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E1869" w14:textId="77777777" w:rsidR="00E469CA" w:rsidRDefault="009E6CED">
      <w:pPr>
        <w:suppressAutoHyphens w:val="0"/>
      </w:pPr>
      <w:r>
        <w:rPr>
          <w:noProof/>
        </w:rPr>
        <mc:AlternateContent>
          <mc:Choice Requires="wps">
            <w:drawing>
              <wp:anchor distT="0" distB="0" distL="114300" distR="114300" simplePos="0" relativeHeight="251659264" behindDoc="0" locked="0" layoutInCell="1" allowOverlap="1" wp14:anchorId="47CE186A" wp14:editId="47CE186B">
                <wp:simplePos x="0" y="0"/>
                <wp:positionH relativeFrom="page">
                  <wp:posOffset>-402290</wp:posOffset>
                </wp:positionH>
                <wp:positionV relativeFrom="page">
                  <wp:posOffset>-3237835</wp:posOffset>
                </wp:positionV>
                <wp:extent cx="7518397" cy="9753603"/>
                <wp:effectExtent l="0" t="0" r="6353" b="0"/>
                <wp:wrapNone/>
                <wp:docPr id="2" name="Text Box 138"/>
                <wp:cNvGraphicFramePr/>
                <a:graphic xmlns:a="http://schemas.openxmlformats.org/drawingml/2006/main">
                  <a:graphicData uri="http://schemas.microsoft.com/office/word/2010/wordprocessingShape">
                    <wps:wsp>
                      <wps:cNvSpPr txBox="1"/>
                      <wps:spPr>
                        <a:xfrm>
                          <a:off x="0" y="0"/>
                          <a:ext cx="7518397" cy="9753603"/>
                        </a:xfrm>
                        <a:prstGeom prst="rect">
                          <a:avLst/>
                        </a:prstGeom>
                        <a:solidFill>
                          <a:srgbClr val="FFFFFF"/>
                        </a:solidFill>
                        <a:ln>
                          <a:noFill/>
                          <a:prstDash/>
                        </a:ln>
                      </wps:spPr>
                      <wps:txbx>
                        <w:txbxContent>
                          <w:tbl>
                            <w:tblPr>
                              <w:tblW w:w="5000" w:type="pct"/>
                              <w:jc w:val="center"/>
                              <w:tblCellMar>
                                <w:left w:w="10" w:type="dxa"/>
                                <w:right w:w="10" w:type="dxa"/>
                              </w:tblCellMar>
                              <w:tblLook w:val="04A0" w:firstRow="1" w:lastRow="0" w:firstColumn="1" w:lastColumn="0" w:noHBand="0" w:noVBand="1"/>
                            </w:tblPr>
                            <w:tblGrid>
                              <w:gridCol w:w="8189"/>
                              <w:gridCol w:w="3650"/>
                            </w:tblGrid>
                            <w:tr w:rsidR="00E469CA" w14:paraId="47CE187E" w14:textId="77777777">
                              <w:trPr>
                                <w:trHeight w:val="7908"/>
                                <w:jc w:val="center"/>
                              </w:trPr>
                              <w:tc>
                                <w:tcPr>
                                  <w:tcW w:w="8201" w:type="dxa"/>
                                  <w:tcBorders>
                                    <w:right w:val="single" w:sz="12" w:space="0" w:color="ED7D31"/>
                                  </w:tcBorders>
                                  <w:shd w:val="clear" w:color="auto" w:fill="auto"/>
                                  <w:tcMar>
                                    <w:top w:w="1296" w:type="dxa"/>
                                    <w:left w:w="360" w:type="dxa"/>
                                    <w:bottom w:w="1296" w:type="dxa"/>
                                    <w:right w:w="360" w:type="dxa"/>
                                  </w:tcMar>
                                  <w:vAlign w:val="center"/>
                                </w:tcPr>
                                <w:p w14:paraId="47CE1870" w14:textId="77777777" w:rsidR="00E469CA" w:rsidRDefault="00E469CA">
                                  <w:pPr>
                                    <w:jc w:val="right"/>
                                  </w:pPr>
                                </w:p>
                                <w:p w14:paraId="47CE1871" w14:textId="77777777" w:rsidR="00E469CA" w:rsidRDefault="009E6CED">
                                  <w:pPr>
                                    <w:pStyle w:val="NoSpacing"/>
                                    <w:spacing w:line="312" w:lineRule="auto"/>
                                    <w:jc w:val="right"/>
                                  </w:pPr>
                                  <w:r>
                                    <w:rPr>
                                      <w:caps/>
                                      <w:color w:val="191919"/>
                                      <w:sz w:val="48"/>
                                      <w:szCs w:val="48"/>
                                    </w:rPr>
                                    <w:t>brain stroke</w:t>
                                  </w:r>
                                </w:p>
                                <w:p w14:paraId="47CE1872" w14:textId="77777777" w:rsidR="00E469CA" w:rsidRDefault="009E6CED">
                                  <w:pPr>
                                    <w:jc w:val="right"/>
                                    <w:rPr>
                                      <w:color w:val="000000"/>
                                      <w:sz w:val="24"/>
                                      <w:szCs w:val="24"/>
                                    </w:rPr>
                                  </w:pPr>
                                  <w:r>
                                    <w:rPr>
                                      <w:color w:val="000000"/>
                                      <w:sz w:val="24"/>
                                      <w:szCs w:val="24"/>
                                    </w:rPr>
                                    <w:t>NERVE SYSTEM</w:t>
                                  </w:r>
                                </w:p>
                                <w:p w14:paraId="47CE1873" w14:textId="77777777" w:rsidR="00E469CA" w:rsidRDefault="009E6CED">
                                  <w:pPr>
                                    <w:jc w:val="right"/>
                                  </w:pPr>
                                  <w:r>
                                    <w:rPr>
                                      <w:noProof/>
                                    </w:rPr>
                                    <w:drawing>
                                      <wp:inline distT="0" distB="0" distL="0" distR="0" wp14:anchorId="47CE1870" wp14:editId="47CE1871">
                                        <wp:extent cx="2000972" cy="2402741"/>
                                        <wp:effectExtent l="0" t="0" r="0" b="0"/>
                                        <wp:docPr id="1" name="Picture 4" descr="Brain with a stethoscop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000972" cy="2402741"/>
                                                </a:xfrm>
                                                <a:prstGeom prst="rect">
                                                  <a:avLst/>
                                                </a:prstGeom>
                                                <a:noFill/>
                                                <a:ln>
                                                  <a:noFill/>
                                                  <a:prstDash/>
                                                </a:ln>
                                              </pic:spPr>
                                            </pic:pic>
                                          </a:graphicData>
                                        </a:graphic>
                                      </wp:inline>
                                    </w:drawing>
                                  </w:r>
                                </w:p>
                              </w:tc>
                              <w:tc>
                                <w:tcPr>
                                  <w:tcW w:w="3654" w:type="dxa"/>
                                  <w:tcBorders>
                                    <w:left w:val="single" w:sz="12" w:space="0" w:color="ED7D31"/>
                                  </w:tcBorders>
                                  <w:shd w:val="clear" w:color="auto" w:fill="auto"/>
                                  <w:tcMar>
                                    <w:top w:w="1296" w:type="dxa"/>
                                    <w:left w:w="360" w:type="dxa"/>
                                    <w:bottom w:w="1296" w:type="dxa"/>
                                    <w:right w:w="360" w:type="dxa"/>
                                  </w:tcMar>
                                  <w:vAlign w:val="center"/>
                                </w:tcPr>
                                <w:p w14:paraId="47CE1874" w14:textId="77777777" w:rsidR="00E469CA" w:rsidRDefault="009E6CED">
                                  <w:pPr>
                                    <w:pStyle w:val="NoSpacing"/>
                                    <w:rPr>
                                      <w:rFonts w:ascii="Algerian" w:hAnsi="Algerian"/>
                                      <w:caps/>
                                      <w:color w:val="ED7D31"/>
                                      <w:sz w:val="44"/>
                                      <w:szCs w:val="44"/>
                                    </w:rPr>
                                  </w:pPr>
                                  <w:r>
                                    <w:rPr>
                                      <w:rFonts w:ascii="Algerian" w:hAnsi="Algerian"/>
                                      <w:caps/>
                                      <w:color w:val="ED7D31"/>
                                      <w:sz w:val="44"/>
                                      <w:szCs w:val="44"/>
                                    </w:rPr>
                                    <w:t>university of wales trinity saint david</w:t>
                                  </w:r>
                                </w:p>
                                <w:p w14:paraId="47CE1875" w14:textId="77777777" w:rsidR="00E469CA" w:rsidRDefault="00E469CA">
                                  <w:pPr>
                                    <w:pStyle w:val="NoSpacing"/>
                                    <w:rPr>
                                      <w:rFonts w:ascii="Algerian" w:hAnsi="Algerian"/>
                                      <w:caps/>
                                      <w:color w:val="ED7D31"/>
                                      <w:sz w:val="44"/>
                                      <w:szCs w:val="44"/>
                                    </w:rPr>
                                  </w:pPr>
                                </w:p>
                                <w:p w14:paraId="47CE1876" w14:textId="77777777" w:rsidR="00E469CA" w:rsidRDefault="00E469CA">
                                  <w:pPr>
                                    <w:pStyle w:val="NoSpacing"/>
                                    <w:rPr>
                                      <w:rFonts w:ascii="Algerian" w:hAnsi="Algerian"/>
                                      <w:caps/>
                                      <w:color w:val="ED7D31"/>
                                      <w:sz w:val="44"/>
                                      <w:szCs w:val="44"/>
                                    </w:rPr>
                                  </w:pPr>
                                </w:p>
                                <w:p w14:paraId="47CE1877" w14:textId="77777777" w:rsidR="00E469CA" w:rsidRDefault="00E469CA">
                                  <w:pPr>
                                    <w:pStyle w:val="NoSpacing"/>
                                    <w:rPr>
                                      <w:rFonts w:ascii="Algerian" w:hAnsi="Algerian"/>
                                      <w:caps/>
                                      <w:color w:val="ED7D31"/>
                                      <w:sz w:val="44"/>
                                      <w:szCs w:val="44"/>
                                    </w:rPr>
                                  </w:pPr>
                                </w:p>
                                <w:p w14:paraId="47CE1878" w14:textId="77777777" w:rsidR="00E469CA" w:rsidRDefault="00E469CA">
                                  <w:pPr>
                                    <w:pStyle w:val="NoSpacing"/>
                                    <w:rPr>
                                      <w:rFonts w:ascii="Algerian" w:hAnsi="Algerian"/>
                                      <w:caps/>
                                      <w:color w:val="ED7D31"/>
                                      <w:sz w:val="44"/>
                                      <w:szCs w:val="44"/>
                                    </w:rPr>
                                  </w:pPr>
                                </w:p>
                                <w:p w14:paraId="47CE1879" w14:textId="77777777" w:rsidR="00E469CA" w:rsidRDefault="009E6CED">
                                  <w:pPr>
                                    <w:pStyle w:val="NoSpacing"/>
                                    <w:rPr>
                                      <w:rFonts w:ascii="Algerian" w:hAnsi="Algerian"/>
                                      <w:caps/>
                                      <w:color w:val="ED7D31"/>
                                      <w:sz w:val="24"/>
                                      <w:szCs w:val="24"/>
                                    </w:rPr>
                                  </w:pPr>
                                  <w:r>
                                    <w:rPr>
                                      <w:rFonts w:ascii="Algerian" w:hAnsi="Algerian"/>
                                      <w:caps/>
                                      <w:color w:val="ED7D31"/>
                                      <w:sz w:val="24"/>
                                      <w:szCs w:val="24"/>
                                    </w:rPr>
                                    <w:t>LECTURER NAME-LAILA</w:t>
                                  </w:r>
                                </w:p>
                                <w:p w14:paraId="47CE187A" w14:textId="77777777" w:rsidR="00E469CA" w:rsidRDefault="009E6CED">
                                  <w:pPr>
                                    <w:pStyle w:val="NoSpacing"/>
                                    <w:rPr>
                                      <w:rFonts w:ascii="Algerian" w:hAnsi="Algerian"/>
                                      <w:caps/>
                                      <w:color w:val="ED7D31"/>
                                      <w:sz w:val="24"/>
                                      <w:szCs w:val="24"/>
                                    </w:rPr>
                                  </w:pPr>
                                  <w:r>
                                    <w:rPr>
                                      <w:rFonts w:ascii="Algerian" w:hAnsi="Algerian"/>
                                      <w:caps/>
                                      <w:color w:val="ED7D31"/>
                                      <w:sz w:val="24"/>
                                      <w:szCs w:val="24"/>
                                    </w:rPr>
                                    <w:t>SURANI</w:t>
                                  </w:r>
                                </w:p>
                                <w:p w14:paraId="47CE187B" w14:textId="77777777" w:rsidR="00E469CA" w:rsidRDefault="009E6CED">
                                  <w:r>
                                    <w:rPr>
                                      <w:color w:val="000000"/>
                                    </w:rPr>
                                    <w:t>STUDENT ID-1818406/YULIANA ABADZHIEVA</w:t>
                                  </w:r>
                                </w:p>
                                <w:p w14:paraId="47CE187C" w14:textId="77777777" w:rsidR="00E469CA" w:rsidRDefault="009E6CED">
                                  <w:pPr>
                                    <w:pStyle w:val="NoSpacing"/>
                                  </w:pPr>
                                  <w:r>
                                    <w:rPr>
                                      <w:color w:val="ED7D31"/>
                                      <w:sz w:val="26"/>
                                      <w:szCs w:val="26"/>
                                    </w:rPr>
                                    <w:t>BMH5003-INTRODUCTION IN PHYSIOLOGY</w:t>
                                  </w:r>
                                </w:p>
                                <w:p w14:paraId="47CE187D" w14:textId="77777777" w:rsidR="00E469CA" w:rsidRDefault="009E6CED">
                                  <w:pPr>
                                    <w:pStyle w:val="NoSpacing"/>
                                  </w:pPr>
                                  <w:r>
                                    <w:rPr>
                                      <w:color w:val="44546A"/>
                                    </w:rPr>
                                    <w:t>BSc Health and Social Care</w:t>
                                  </w:r>
                                </w:p>
                              </w:tc>
                            </w:tr>
                          </w:tbl>
                          <w:p w14:paraId="47CE187F" w14:textId="77777777" w:rsidR="00E469CA" w:rsidRDefault="00E469CA"/>
                        </w:txbxContent>
                      </wps:txbx>
                      <wps:bodyPr vert="horz" wrap="square" lIns="0" tIns="0" rIns="0" bIns="0" anchor="ctr" anchorCtr="0" compatLnSpc="1">
                        <a:noAutofit/>
                      </wps:bodyPr>
                    </wps:wsp>
                  </a:graphicData>
                </a:graphic>
              </wp:anchor>
            </w:drawing>
          </mc:Choice>
          <mc:Fallback>
            <w:pict>
              <v:shapetype w14:anchorId="47CE186A" id="_x0000_t202" coordsize="21600,21600" o:spt="202" path="m,l,21600r21600,l21600,xe">
                <v:stroke joinstyle="miter"/>
                <v:path gradientshapeok="t" o:connecttype="rect"/>
              </v:shapetype>
              <v:shape id="Text Box 138" o:spid="_x0000_s1026" type="#_x0000_t202" style="position:absolute;margin-left:-31.7pt;margin-top:-254.95pt;width:592pt;height:768pt;z-index:25165926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" stroked="f">
                <v:textbox inset="0,0,0,0">
                  <w:txbxContent>
                    <w:tbl>
                      <w:tblPr>
                        <w:tblW w:w="5000" w:type="pct"/>
                        <w:jc w:val="center"/>
                        <w:tblCellMar>
                          <w:left w:w="10" w:type="dxa"/>
                          <w:right w:w="10" w:type="dxa"/>
                        </w:tblCellMar>
                        <w:tblLook w:val="04A0" w:firstRow="1" w:lastRow="0" w:firstColumn="1" w:lastColumn="0" w:noHBand="0" w:noVBand="1"/>
                      </w:tblPr>
                      <w:tblGrid>
                        <w:gridCol w:w="8189"/>
                        <w:gridCol w:w="3650"/>
                      </w:tblGrid>
                      <w:tr w:rsidR="00E469CA" w14:paraId="47CE187E" w14:textId="77777777">
                        <w:trPr>
                          <w:trHeight w:val="7908"/>
                          <w:jc w:val="center"/>
                        </w:trPr>
                        <w:tc>
                          <w:tcPr>
                            <w:tcW w:w="8201" w:type="dxa"/>
                            <w:tcBorders>
                              <w:right w:val="single" w:sz="12" w:space="0" w:color="ED7D31"/>
                            </w:tcBorders>
                            <w:shd w:val="clear" w:color="auto" w:fill="auto"/>
                            <w:tcMar>
                              <w:top w:w="1296" w:type="dxa"/>
                              <w:left w:w="360" w:type="dxa"/>
                              <w:bottom w:w="1296" w:type="dxa"/>
                              <w:right w:w="360" w:type="dxa"/>
                            </w:tcMar>
                            <w:vAlign w:val="center"/>
                          </w:tcPr>
                          <w:p w14:paraId="47CE1870" w14:textId="77777777" w:rsidR="00E469CA" w:rsidRDefault="00E469CA">
                            <w:pPr>
                              <w:jc w:val="right"/>
                            </w:pPr>
                          </w:p>
                          <w:p w14:paraId="47CE1871" w14:textId="77777777" w:rsidR="00E469CA" w:rsidRDefault="009E6CED">
                            <w:pPr>
                              <w:pStyle w:val="NoSpacing"/>
                              <w:spacing w:line="312" w:lineRule="auto"/>
                              <w:jc w:val="right"/>
                            </w:pPr>
                            <w:r>
                              <w:rPr>
                                <w:caps/>
                                <w:color w:val="191919"/>
                                <w:sz w:val="48"/>
                                <w:szCs w:val="48"/>
                              </w:rPr>
                              <w:t>brain stroke</w:t>
                            </w:r>
                          </w:p>
                          <w:p w14:paraId="47CE1872" w14:textId="77777777" w:rsidR="00E469CA" w:rsidRDefault="009E6CED">
                            <w:pPr>
                              <w:jc w:val="right"/>
                              <w:rPr>
                                <w:color w:val="000000"/>
                                <w:sz w:val="24"/>
                                <w:szCs w:val="24"/>
                              </w:rPr>
                            </w:pPr>
                            <w:r>
                              <w:rPr>
                                <w:color w:val="000000"/>
                                <w:sz w:val="24"/>
                                <w:szCs w:val="24"/>
                              </w:rPr>
                              <w:t>NERVE SYSTEM</w:t>
                            </w:r>
                          </w:p>
                          <w:p w14:paraId="47CE1873" w14:textId="77777777" w:rsidR="00E469CA" w:rsidRDefault="009E6CED">
                            <w:pPr>
                              <w:jc w:val="right"/>
                            </w:pPr>
                            <w:r>
                              <w:rPr>
                                <w:noProof/>
                              </w:rPr>
                              <w:drawing>
                                <wp:inline distT="0" distB="0" distL="0" distR="0" wp14:anchorId="47CE1870" wp14:editId="47CE1871">
                                  <wp:extent cx="2000972" cy="2402741"/>
                                  <wp:effectExtent l="0" t="0" r="0" b="0"/>
                                  <wp:docPr id="1" name="Picture 4" descr="Brain with a stethoscop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000972" cy="2402741"/>
                                          </a:xfrm>
                                          <a:prstGeom prst="rect">
                                            <a:avLst/>
                                          </a:prstGeom>
                                          <a:noFill/>
                                          <a:ln>
                                            <a:noFill/>
                                            <a:prstDash/>
                                          </a:ln>
                                        </pic:spPr>
                                      </pic:pic>
                                    </a:graphicData>
                                  </a:graphic>
                                </wp:inline>
                              </w:drawing>
                            </w:r>
                          </w:p>
                        </w:tc>
                        <w:tc>
                          <w:tcPr>
                            <w:tcW w:w="3654" w:type="dxa"/>
                            <w:tcBorders>
                              <w:left w:val="single" w:sz="12" w:space="0" w:color="ED7D31"/>
                            </w:tcBorders>
                            <w:shd w:val="clear" w:color="auto" w:fill="auto"/>
                            <w:tcMar>
                              <w:top w:w="1296" w:type="dxa"/>
                              <w:left w:w="360" w:type="dxa"/>
                              <w:bottom w:w="1296" w:type="dxa"/>
                              <w:right w:w="360" w:type="dxa"/>
                            </w:tcMar>
                            <w:vAlign w:val="center"/>
                          </w:tcPr>
                          <w:p w14:paraId="47CE1874" w14:textId="77777777" w:rsidR="00E469CA" w:rsidRDefault="009E6CED">
                            <w:pPr>
                              <w:pStyle w:val="NoSpacing"/>
                              <w:rPr>
                                <w:rFonts w:ascii="Algerian" w:hAnsi="Algerian"/>
                                <w:caps/>
                                <w:color w:val="ED7D31"/>
                                <w:sz w:val="44"/>
                                <w:szCs w:val="44"/>
                              </w:rPr>
                            </w:pPr>
                            <w:r>
                              <w:rPr>
                                <w:rFonts w:ascii="Algerian" w:hAnsi="Algerian"/>
                                <w:caps/>
                                <w:color w:val="ED7D31"/>
                                <w:sz w:val="44"/>
                                <w:szCs w:val="44"/>
                              </w:rPr>
                              <w:t>university of wales trinity saint david</w:t>
                            </w:r>
                          </w:p>
                          <w:p w14:paraId="47CE1875" w14:textId="77777777" w:rsidR="00E469CA" w:rsidRDefault="00E469CA">
                            <w:pPr>
                              <w:pStyle w:val="NoSpacing"/>
                              <w:rPr>
                                <w:rFonts w:ascii="Algerian" w:hAnsi="Algerian"/>
                                <w:caps/>
                                <w:color w:val="ED7D31"/>
                                <w:sz w:val="44"/>
                                <w:szCs w:val="44"/>
                              </w:rPr>
                            </w:pPr>
                          </w:p>
                          <w:p w14:paraId="47CE1876" w14:textId="77777777" w:rsidR="00E469CA" w:rsidRDefault="00E469CA">
                            <w:pPr>
                              <w:pStyle w:val="NoSpacing"/>
                              <w:rPr>
                                <w:rFonts w:ascii="Algerian" w:hAnsi="Algerian"/>
                                <w:caps/>
                                <w:color w:val="ED7D31"/>
                                <w:sz w:val="44"/>
                                <w:szCs w:val="44"/>
                              </w:rPr>
                            </w:pPr>
                          </w:p>
                          <w:p w14:paraId="47CE1877" w14:textId="77777777" w:rsidR="00E469CA" w:rsidRDefault="00E469CA">
                            <w:pPr>
                              <w:pStyle w:val="NoSpacing"/>
                              <w:rPr>
                                <w:rFonts w:ascii="Algerian" w:hAnsi="Algerian"/>
                                <w:caps/>
                                <w:color w:val="ED7D31"/>
                                <w:sz w:val="44"/>
                                <w:szCs w:val="44"/>
                              </w:rPr>
                            </w:pPr>
                          </w:p>
                          <w:p w14:paraId="47CE1878" w14:textId="77777777" w:rsidR="00E469CA" w:rsidRDefault="00E469CA">
                            <w:pPr>
                              <w:pStyle w:val="NoSpacing"/>
                              <w:rPr>
                                <w:rFonts w:ascii="Algerian" w:hAnsi="Algerian"/>
                                <w:caps/>
                                <w:color w:val="ED7D31"/>
                                <w:sz w:val="44"/>
                                <w:szCs w:val="44"/>
                              </w:rPr>
                            </w:pPr>
                          </w:p>
                          <w:p w14:paraId="47CE1879" w14:textId="77777777" w:rsidR="00E469CA" w:rsidRDefault="009E6CED">
                            <w:pPr>
                              <w:pStyle w:val="NoSpacing"/>
                              <w:rPr>
                                <w:rFonts w:ascii="Algerian" w:hAnsi="Algerian"/>
                                <w:caps/>
                                <w:color w:val="ED7D31"/>
                                <w:sz w:val="24"/>
                                <w:szCs w:val="24"/>
                              </w:rPr>
                            </w:pPr>
                            <w:r>
                              <w:rPr>
                                <w:rFonts w:ascii="Algerian" w:hAnsi="Algerian"/>
                                <w:caps/>
                                <w:color w:val="ED7D31"/>
                                <w:sz w:val="24"/>
                                <w:szCs w:val="24"/>
                              </w:rPr>
                              <w:t>LECTURER NAME-LAILA</w:t>
                            </w:r>
                          </w:p>
                          <w:p w14:paraId="47CE187A" w14:textId="77777777" w:rsidR="00E469CA" w:rsidRDefault="009E6CED">
                            <w:pPr>
                              <w:pStyle w:val="NoSpacing"/>
                              <w:rPr>
                                <w:rFonts w:ascii="Algerian" w:hAnsi="Algerian"/>
                                <w:caps/>
                                <w:color w:val="ED7D31"/>
                                <w:sz w:val="24"/>
                                <w:szCs w:val="24"/>
                              </w:rPr>
                            </w:pPr>
                            <w:r>
                              <w:rPr>
                                <w:rFonts w:ascii="Algerian" w:hAnsi="Algerian"/>
                                <w:caps/>
                                <w:color w:val="ED7D31"/>
                                <w:sz w:val="24"/>
                                <w:szCs w:val="24"/>
                              </w:rPr>
                              <w:t>SURANI</w:t>
                            </w:r>
                          </w:p>
                          <w:p w14:paraId="47CE187B" w14:textId="77777777" w:rsidR="00E469CA" w:rsidRDefault="009E6CED">
                            <w:r>
                              <w:rPr>
                                <w:color w:val="000000"/>
                              </w:rPr>
                              <w:t>STUDENT ID-1818406/YULIANA ABADZHIEVA</w:t>
                            </w:r>
                          </w:p>
                          <w:p w14:paraId="47CE187C" w14:textId="77777777" w:rsidR="00E469CA" w:rsidRDefault="009E6CED">
                            <w:pPr>
                              <w:pStyle w:val="NoSpacing"/>
                            </w:pPr>
                            <w:r>
                              <w:rPr>
                                <w:color w:val="ED7D31"/>
                                <w:sz w:val="26"/>
                                <w:szCs w:val="26"/>
                              </w:rPr>
                              <w:t>BMH5003-INTRODUCTION IN PHYSIOLOGY</w:t>
                            </w:r>
                          </w:p>
                          <w:p w14:paraId="47CE187D" w14:textId="77777777" w:rsidR="00E469CA" w:rsidRDefault="009E6CED">
                            <w:pPr>
                              <w:pStyle w:val="NoSpacing"/>
                            </w:pPr>
                            <w:r>
                              <w:rPr>
                                <w:color w:val="44546A"/>
                              </w:rPr>
                              <w:t>BSc Health and Social Care</w:t>
                            </w:r>
                          </w:p>
                        </w:tc>
                      </w:tr>
                    </w:tbl>
                    <w:p w14:paraId="47CE187F" w14:textId="77777777" w:rsidR="00E469CA" w:rsidRDefault="00E469CA"/>
                  </w:txbxContent>
                </v:textbox>
                <w10:wrap anchorx="page" anchory="page"/>
              </v:shape>
            </w:pict>
          </mc:Fallback>
        </mc:AlternateContent>
      </w:r>
    </w:p>
    <w:p w14:paraId="47CE186A" w14:textId="77777777" w:rsidR="00E469CA" w:rsidRDefault="00E469CA">
      <w:pPr>
        <w:pageBreakBefore/>
        <w:suppressAutoHyphens w:val="0"/>
      </w:pPr>
    </w:p>
    <w:p w14:paraId="47CE186B" w14:textId="4F5FC47A" w:rsidR="00E469CA" w:rsidRDefault="009E6CED">
      <w:pPr>
        <w:ind w:left="3600"/>
        <w:rPr>
          <w:rFonts w:ascii="Arial" w:hAnsi="Arial" w:cs="Arial"/>
          <w:b/>
          <w:bCs/>
        </w:rPr>
      </w:pPr>
      <w:r>
        <w:rPr>
          <w:rFonts w:ascii="Arial" w:hAnsi="Arial" w:cs="Arial"/>
          <w:b/>
          <w:bCs/>
        </w:rPr>
        <w:t>Table of content</w:t>
      </w:r>
    </w:p>
    <w:p w14:paraId="28015749" w14:textId="77777777" w:rsidR="008A2FE6" w:rsidRDefault="008A2FE6">
      <w:pPr>
        <w:ind w:left="3600"/>
        <w:rPr>
          <w:rFonts w:ascii="Arial" w:hAnsi="Arial" w:cs="Arial"/>
          <w:b/>
          <w:bCs/>
        </w:rPr>
      </w:pPr>
    </w:p>
    <w:p w14:paraId="3DACB905" w14:textId="38CC29C4" w:rsidR="008A2FE6" w:rsidRPr="008A2FE6" w:rsidRDefault="008A2FE6" w:rsidP="008A2FE6">
      <w:pPr>
        <w:rPr>
          <w:rFonts w:ascii="Arial" w:hAnsi="Arial" w:cs="Arial"/>
        </w:rPr>
      </w:pPr>
      <w:r w:rsidRPr="008A2FE6">
        <w:rPr>
          <w:rFonts w:ascii="Arial" w:hAnsi="Arial" w:cs="Arial"/>
        </w:rPr>
        <w:t>1.Introduction……………………………………………………………………………………….</w:t>
      </w:r>
      <w:r w:rsidR="006E416A">
        <w:rPr>
          <w:rFonts w:ascii="Arial" w:hAnsi="Arial" w:cs="Arial"/>
        </w:rPr>
        <w:t>2</w:t>
      </w:r>
    </w:p>
    <w:p w14:paraId="25354D40" w14:textId="38785779" w:rsidR="002C518C" w:rsidRDefault="008A2FE6">
      <w:pPr>
        <w:rPr>
          <w:rFonts w:ascii="Arial" w:hAnsi="Arial" w:cs="Arial"/>
        </w:rPr>
      </w:pPr>
      <w:r>
        <w:rPr>
          <w:rFonts w:ascii="Arial" w:hAnsi="Arial" w:cs="Arial"/>
        </w:rPr>
        <w:t>2.Physiology of Nervous system………………………………………………………………….</w:t>
      </w:r>
      <w:r w:rsidR="0094180F">
        <w:rPr>
          <w:rFonts w:ascii="Arial" w:hAnsi="Arial" w:cs="Arial"/>
        </w:rPr>
        <w:t>4</w:t>
      </w:r>
    </w:p>
    <w:p w14:paraId="5DE67103" w14:textId="3AD0CF1F" w:rsidR="008A2FE6" w:rsidRDefault="008A2FE6">
      <w:pPr>
        <w:rPr>
          <w:rFonts w:ascii="Arial" w:hAnsi="Arial" w:cs="Arial"/>
        </w:rPr>
      </w:pPr>
      <w:r>
        <w:rPr>
          <w:rFonts w:ascii="Arial" w:hAnsi="Arial" w:cs="Arial"/>
        </w:rPr>
        <w:t>3.Anatomy of the Nervous system……………………………………………………………</w:t>
      </w:r>
      <w:r w:rsidR="002708B1">
        <w:rPr>
          <w:rFonts w:ascii="Arial" w:hAnsi="Arial" w:cs="Arial"/>
        </w:rPr>
        <w:t>….</w:t>
      </w:r>
      <w:r w:rsidR="0094180F">
        <w:rPr>
          <w:rFonts w:ascii="Arial" w:hAnsi="Arial" w:cs="Arial"/>
        </w:rPr>
        <w:t>5</w:t>
      </w:r>
    </w:p>
    <w:p w14:paraId="01685E14" w14:textId="50DA8351" w:rsidR="008A2FE6" w:rsidRDefault="008A2FE6">
      <w:pPr>
        <w:rPr>
          <w:rFonts w:ascii="Arial" w:hAnsi="Arial" w:cs="Arial"/>
        </w:rPr>
      </w:pPr>
      <w:r>
        <w:rPr>
          <w:rFonts w:ascii="Arial" w:hAnsi="Arial" w:cs="Arial"/>
        </w:rPr>
        <w:t>4.</w:t>
      </w:r>
      <w:r w:rsidR="00BB33BA">
        <w:rPr>
          <w:rFonts w:ascii="Arial" w:hAnsi="Arial" w:cs="Arial"/>
        </w:rPr>
        <w:t>Health and lifestyle routine measures…………………………………………………………</w:t>
      </w:r>
      <w:r w:rsidR="006539CD">
        <w:rPr>
          <w:rFonts w:ascii="Arial" w:hAnsi="Arial" w:cs="Arial"/>
        </w:rPr>
        <w:t>.</w:t>
      </w:r>
      <w:r w:rsidR="0094180F">
        <w:rPr>
          <w:rFonts w:ascii="Arial" w:hAnsi="Arial" w:cs="Arial"/>
        </w:rPr>
        <w:t>6</w:t>
      </w:r>
    </w:p>
    <w:p w14:paraId="1AE2C843" w14:textId="354EBC27" w:rsidR="006539CD" w:rsidRDefault="006539CD">
      <w:pPr>
        <w:rPr>
          <w:rFonts w:ascii="Arial" w:hAnsi="Arial" w:cs="Arial"/>
        </w:rPr>
      </w:pPr>
      <w:r>
        <w:rPr>
          <w:rFonts w:ascii="Arial" w:hAnsi="Arial" w:cs="Arial"/>
        </w:rPr>
        <w:t>5.Health and Social Care Practice……………………………………………………………</w:t>
      </w:r>
      <w:r w:rsidR="002708B1">
        <w:rPr>
          <w:rFonts w:ascii="Arial" w:hAnsi="Arial" w:cs="Arial"/>
        </w:rPr>
        <w:t>…...</w:t>
      </w:r>
      <w:r w:rsidR="00A86B36">
        <w:rPr>
          <w:rFonts w:ascii="Arial" w:hAnsi="Arial" w:cs="Arial"/>
        </w:rPr>
        <w:t>7</w:t>
      </w:r>
    </w:p>
    <w:p w14:paraId="350FD8B4" w14:textId="76F5837D" w:rsidR="00BB33BA" w:rsidRDefault="006539CD">
      <w:pPr>
        <w:rPr>
          <w:rFonts w:ascii="Arial" w:hAnsi="Arial" w:cs="Arial"/>
        </w:rPr>
      </w:pPr>
      <w:r>
        <w:rPr>
          <w:rFonts w:ascii="Arial" w:hAnsi="Arial" w:cs="Arial"/>
        </w:rPr>
        <w:t>6</w:t>
      </w:r>
      <w:r w:rsidR="00BB33BA">
        <w:rPr>
          <w:rFonts w:ascii="Arial" w:hAnsi="Arial" w:cs="Arial"/>
        </w:rPr>
        <w:t>.Recommendation………………………………………………………………………………</w:t>
      </w:r>
      <w:r w:rsidR="000327F3">
        <w:rPr>
          <w:rFonts w:ascii="Arial" w:hAnsi="Arial" w:cs="Arial"/>
        </w:rPr>
        <w:t>…</w:t>
      </w:r>
      <w:r w:rsidR="00A86B36">
        <w:rPr>
          <w:rFonts w:ascii="Arial" w:hAnsi="Arial" w:cs="Arial"/>
        </w:rPr>
        <w:t>8</w:t>
      </w:r>
    </w:p>
    <w:p w14:paraId="021B92F5" w14:textId="53D05FEA" w:rsidR="00BB33BA" w:rsidRDefault="006539CD">
      <w:pPr>
        <w:rPr>
          <w:rFonts w:ascii="Arial" w:hAnsi="Arial" w:cs="Arial"/>
        </w:rPr>
      </w:pPr>
      <w:r>
        <w:rPr>
          <w:rFonts w:ascii="Arial" w:hAnsi="Arial" w:cs="Arial"/>
        </w:rPr>
        <w:t>7</w:t>
      </w:r>
      <w:r w:rsidR="00BB33BA">
        <w:rPr>
          <w:rFonts w:ascii="Arial" w:hAnsi="Arial" w:cs="Arial"/>
        </w:rPr>
        <w:t>.Conclusion…………………………………………………………………………………………</w:t>
      </w:r>
      <w:r w:rsidR="00A86B36">
        <w:rPr>
          <w:rFonts w:ascii="Arial" w:hAnsi="Arial" w:cs="Arial"/>
        </w:rPr>
        <w:t>10</w:t>
      </w:r>
    </w:p>
    <w:p w14:paraId="62C17C40" w14:textId="1D5CB786" w:rsidR="007C014C" w:rsidRDefault="007C014C">
      <w:pPr>
        <w:rPr>
          <w:rFonts w:ascii="Arial" w:hAnsi="Arial" w:cs="Arial"/>
        </w:rPr>
      </w:pPr>
      <w:r>
        <w:rPr>
          <w:rFonts w:ascii="Arial" w:hAnsi="Arial" w:cs="Arial"/>
        </w:rPr>
        <w:t>8.References……………………………………………………………………………………</w:t>
      </w:r>
      <w:r w:rsidR="002708B1">
        <w:rPr>
          <w:rFonts w:ascii="Arial" w:hAnsi="Arial" w:cs="Arial"/>
        </w:rPr>
        <w:t>…...</w:t>
      </w:r>
      <w:r w:rsidR="00D07A6F">
        <w:rPr>
          <w:rFonts w:ascii="Arial" w:hAnsi="Arial" w:cs="Arial"/>
        </w:rPr>
        <w:t>1</w:t>
      </w:r>
      <w:r w:rsidR="00A86B36">
        <w:rPr>
          <w:rFonts w:ascii="Arial" w:hAnsi="Arial" w:cs="Arial"/>
        </w:rPr>
        <w:t>1</w:t>
      </w:r>
    </w:p>
    <w:p w14:paraId="2D4FB0F3" w14:textId="77777777" w:rsidR="00BB33BA" w:rsidRDefault="00BB33BA">
      <w:pPr>
        <w:rPr>
          <w:rFonts w:ascii="Arial" w:hAnsi="Arial" w:cs="Arial"/>
        </w:rPr>
      </w:pPr>
    </w:p>
    <w:p w14:paraId="2A6F16BF" w14:textId="77777777" w:rsidR="008A2FE6" w:rsidRDefault="008A2FE6">
      <w:pPr>
        <w:rPr>
          <w:rFonts w:ascii="Arial" w:hAnsi="Arial" w:cs="Arial"/>
        </w:rPr>
      </w:pPr>
    </w:p>
    <w:p w14:paraId="47CE186D" w14:textId="77777777" w:rsidR="00E469CA" w:rsidRDefault="00E469CA">
      <w:pPr>
        <w:ind w:left="3600"/>
        <w:rPr>
          <w:rFonts w:ascii="Arial" w:hAnsi="Arial" w:cs="Arial"/>
        </w:rPr>
      </w:pPr>
    </w:p>
    <w:p w14:paraId="47CE186E" w14:textId="77777777" w:rsidR="00E469CA" w:rsidRDefault="00E469CA">
      <w:pPr>
        <w:ind w:left="3600"/>
        <w:rPr>
          <w:rFonts w:ascii="Arial" w:hAnsi="Arial" w:cs="Arial"/>
        </w:rPr>
      </w:pPr>
    </w:p>
    <w:p w14:paraId="47CE186F" w14:textId="77777777" w:rsidR="00E469CA" w:rsidRDefault="00E469CA">
      <w:pPr>
        <w:ind w:left="3600"/>
        <w:rPr>
          <w:rFonts w:ascii="Arial" w:hAnsi="Arial" w:cs="Arial"/>
        </w:rPr>
      </w:pPr>
    </w:p>
    <w:p w14:paraId="47CE1870" w14:textId="77777777" w:rsidR="00E469CA" w:rsidRDefault="00E469CA">
      <w:pPr>
        <w:ind w:left="3600"/>
        <w:rPr>
          <w:rFonts w:ascii="Arial" w:hAnsi="Arial" w:cs="Arial"/>
        </w:rPr>
      </w:pPr>
    </w:p>
    <w:p w14:paraId="47CE1871" w14:textId="77777777" w:rsidR="00E469CA" w:rsidRDefault="00E469CA">
      <w:pPr>
        <w:ind w:left="3600"/>
        <w:rPr>
          <w:rFonts w:ascii="Arial" w:hAnsi="Arial" w:cs="Arial"/>
        </w:rPr>
      </w:pPr>
    </w:p>
    <w:p w14:paraId="47CE1872" w14:textId="77777777" w:rsidR="00E469CA" w:rsidRDefault="00E469CA">
      <w:pPr>
        <w:ind w:left="3600"/>
        <w:rPr>
          <w:rFonts w:ascii="Arial" w:hAnsi="Arial" w:cs="Arial"/>
        </w:rPr>
      </w:pPr>
    </w:p>
    <w:p w14:paraId="47CE1873" w14:textId="77777777" w:rsidR="00E469CA" w:rsidRDefault="00E469CA">
      <w:pPr>
        <w:ind w:left="3600"/>
        <w:rPr>
          <w:rFonts w:ascii="Arial" w:hAnsi="Arial" w:cs="Arial"/>
        </w:rPr>
      </w:pPr>
    </w:p>
    <w:p w14:paraId="47CE1874" w14:textId="77777777" w:rsidR="00E469CA" w:rsidRDefault="00E469CA">
      <w:pPr>
        <w:ind w:left="3600"/>
        <w:rPr>
          <w:rFonts w:ascii="Arial" w:hAnsi="Arial" w:cs="Arial"/>
        </w:rPr>
      </w:pPr>
    </w:p>
    <w:p w14:paraId="47CE1875" w14:textId="77777777" w:rsidR="00E469CA" w:rsidRDefault="00E469CA">
      <w:pPr>
        <w:ind w:left="3600"/>
        <w:rPr>
          <w:rFonts w:ascii="Arial" w:hAnsi="Arial" w:cs="Arial"/>
        </w:rPr>
      </w:pPr>
    </w:p>
    <w:p w14:paraId="47CE1876" w14:textId="77777777" w:rsidR="00E469CA" w:rsidRDefault="00E469CA">
      <w:pPr>
        <w:ind w:left="3600"/>
        <w:rPr>
          <w:rFonts w:ascii="Arial" w:hAnsi="Arial" w:cs="Arial"/>
        </w:rPr>
      </w:pPr>
    </w:p>
    <w:p w14:paraId="47CE1877" w14:textId="77777777" w:rsidR="00E469CA" w:rsidRDefault="00E469CA">
      <w:pPr>
        <w:ind w:left="3600"/>
        <w:rPr>
          <w:rFonts w:ascii="Arial" w:hAnsi="Arial" w:cs="Arial"/>
        </w:rPr>
      </w:pPr>
    </w:p>
    <w:p w14:paraId="47CE1878" w14:textId="77777777" w:rsidR="00E469CA" w:rsidRDefault="00E469CA">
      <w:pPr>
        <w:ind w:left="3600"/>
        <w:rPr>
          <w:rFonts w:ascii="Arial" w:hAnsi="Arial" w:cs="Arial"/>
        </w:rPr>
      </w:pPr>
    </w:p>
    <w:p w14:paraId="47CE1879" w14:textId="77777777" w:rsidR="00E469CA" w:rsidRDefault="00E469CA">
      <w:pPr>
        <w:ind w:left="3600"/>
        <w:rPr>
          <w:rFonts w:ascii="Arial" w:hAnsi="Arial" w:cs="Arial"/>
        </w:rPr>
      </w:pPr>
    </w:p>
    <w:p w14:paraId="47CE187A" w14:textId="77777777" w:rsidR="00E469CA" w:rsidRDefault="00E469CA">
      <w:pPr>
        <w:ind w:left="3600"/>
        <w:rPr>
          <w:rFonts w:ascii="Arial" w:hAnsi="Arial" w:cs="Arial"/>
        </w:rPr>
      </w:pPr>
    </w:p>
    <w:p w14:paraId="47CE187B" w14:textId="77777777" w:rsidR="00E469CA" w:rsidRDefault="00E469CA">
      <w:pPr>
        <w:ind w:left="3600"/>
        <w:rPr>
          <w:rFonts w:ascii="Arial" w:hAnsi="Arial" w:cs="Arial"/>
        </w:rPr>
      </w:pPr>
    </w:p>
    <w:p w14:paraId="47CE187C" w14:textId="77777777" w:rsidR="00E469CA" w:rsidRDefault="00E469CA">
      <w:pPr>
        <w:ind w:left="3600"/>
        <w:rPr>
          <w:rFonts w:ascii="Arial" w:hAnsi="Arial" w:cs="Arial"/>
        </w:rPr>
      </w:pPr>
    </w:p>
    <w:p w14:paraId="47CE187D" w14:textId="77777777" w:rsidR="00E469CA" w:rsidRDefault="00E469CA">
      <w:pPr>
        <w:ind w:left="3600"/>
        <w:rPr>
          <w:rFonts w:ascii="Arial" w:hAnsi="Arial" w:cs="Arial"/>
        </w:rPr>
      </w:pPr>
    </w:p>
    <w:p w14:paraId="47CE187E" w14:textId="77777777" w:rsidR="00E469CA" w:rsidRDefault="00E469CA">
      <w:pPr>
        <w:ind w:left="3600"/>
        <w:rPr>
          <w:rFonts w:ascii="Arial" w:hAnsi="Arial" w:cs="Arial"/>
        </w:rPr>
      </w:pPr>
    </w:p>
    <w:p w14:paraId="47CE187F" w14:textId="77777777" w:rsidR="00E469CA" w:rsidRDefault="00E469CA">
      <w:pPr>
        <w:ind w:left="3600"/>
        <w:rPr>
          <w:rFonts w:ascii="Arial" w:hAnsi="Arial" w:cs="Arial"/>
        </w:rPr>
      </w:pPr>
    </w:p>
    <w:p w14:paraId="47CE188B" w14:textId="2347F9E6" w:rsidR="00E469CA" w:rsidRDefault="00E469CA" w:rsidP="008A2FE6">
      <w:pPr>
        <w:rPr>
          <w:rFonts w:ascii="Arial" w:hAnsi="Arial" w:cs="Arial"/>
        </w:rPr>
      </w:pPr>
    </w:p>
    <w:p w14:paraId="47CE188C" w14:textId="77777777" w:rsidR="00E469CA" w:rsidRDefault="009E6CED">
      <w:pPr>
        <w:ind w:left="3600"/>
        <w:rPr>
          <w:rFonts w:ascii="Arial" w:hAnsi="Arial" w:cs="Arial"/>
        </w:rPr>
      </w:pPr>
      <w:r>
        <w:rPr>
          <w:rFonts w:ascii="Arial" w:hAnsi="Arial" w:cs="Arial"/>
        </w:rPr>
        <w:lastRenderedPageBreak/>
        <w:t>Introduction</w:t>
      </w:r>
    </w:p>
    <w:p w14:paraId="47CE188D" w14:textId="77777777" w:rsidR="00E469CA" w:rsidRDefault="00E469CA">
      <w:pPr>
        <w:ind w:left="3600"/>
        <w:rPr>
          <w:rFonts w:ascii="Arial" w:hAnsi="Arial" w:cs="Arial"/>
        </w:rPr>
      </w:pPr>
    </w:p>
    <w:p w14:paraId="47CE188E" w14:textId="77777777" w:rsidR="00E469CA" w:rsidRDefault="009E6CED">
      <w:pPr>
        <w:spacing w:line="360" w:lineRule="auto"/>
        <w:rPr>
          <w:rFonts w:ascii="Arial" w:hAnsi="Arial" w:cs="Arial"/>
        </w:rPr>
      </w:pPr>
      <w:r>
        <w:rPr>
          <w:rFonts w:ascii="Arial" w:hAnsi="Arial" w:cs="Arial"/>
        </w:rPr>
        <w:t>This report examines the lifestyle disease brain stroke, characteristics of the disease, anatomy, and physiology of the nervous system in the state of brain stroke, and the health and social implications of this disease.</w:t>
      </w:r>
    </w:p>
    <w:p w14:paraId="47CE188F" w14:textId="639BBF77" w:rsidR="00E469CA" w:rsidRDefault="007B05F7">
      <w:pPr>
        <w:spacing w:line="360" w:lineRule="auto"/>
        <w:rPr>
          <w:rFonts w:ascii="Arial" w:hAnsi="Arial" w:cs="Arial"/>
        </w:rPr>
      </w:pPr>
      <w:r w:rsidRPr="007B05F7">
        <w:rPr>
          <w:rFonts w:ascii="Arial" w:hAnsi="Arial" w:cs="Arial"/>
        </w:rPr>
        <w:t>A disruption in the blood supply to the brain is what makes a stroke happen. Which area of the brain is deprived of blood, and for how long, determines how much damage is done to the brain after a stroke. A stroke can cause anything from little weakness to paralysis or numbness on one side of the body or face. Other symptoms include a sudden, intense headache, unexpected weakness, vision problems, and trouble speaking or comprehending speech.</w:t>
      </w:r>
    </w:p>
    <w:p w14:paraId="47CE1890" w14:textId="62D6BA1F" w:rsidR="00E469CA" w:rsidRDefault="009E6CED">
      <w:pPr>
        <w:spacing w:line="360" w:lineRule="auto"/>
        <w:rPr>
          <w:rFonts w:ascii="Arial" w:hAnsi="Arial" w:cs="Arial"/>
        </w:rPr>
      </w:pPr>
      <w:r>
        <w:rPr>
          <w:rFonts w:ascii="Arial" w:hAnsi="Arial" w:cs="Arial"/>
        </w:rPr>
        <w:t>A stroke, often known as a talent attack, occurs when something blocks blood grant to the phase of the Genuis or when a blood vessel in the Genius bursts. In either case, parts of the talent may be damaged or die. A stroke can motive lasting intelligence damage, long-term disability, or even loss of life. Two organizations participate in the course work – “Stroke NHS” and “Stroke Recovery.”</w:t>
      </w:r>
      <w:r w:rsidR="00DA1170" w:rsidRPr="00DA1170">
        <w:t xml:space="preserve"> </w:t>
      </w:r>
      <w:r w:rsidR="00DA1170" w:rsidRPr="00DA1170">
        <w:rPr>
          <w:rFonts w:ascii="Arial" w:hAnsi="Arial" w:cs="Arial"/>
        </w:rPr>
        <w:t>The organizations will improve the knowledge and the regulations in society by supporting the communities in the local hospitals, family support and support to the carers.</w:t>
      </w:r>
      <w:r w:rsidR="00592DE7">
        <w:rPr>
          <w:rFonts w:ascii="Arial" w:hAnsi="Arial" w:cs="Arial"/>
        </w:rPr>
        <w:t>,(Tian,N.,et.al,2022).</w:t>
      </w:r>
    </w:p>
    <w:p w14:paraId="62AF2195" w14:textId="0BBE01F5" w:rsidR="00937FD5" w:rsidRDefault="00937FD5">
      <w:pPr>
        <w:spacing w:line="360" w:lineRule="auto"/>
        <w:rPr>
          <w:rFonts w:ascii="Arial" w:hAnsi="Arial" w:cs="Arial"/>
        </w:rPr>
      </w:pPr>
      <w:r>
        <w:rPr>
          <w:rFonts w:ascii="Arial" w:hAnsi="Arial" w:cs="Arial"/>
          <w:noProof/>
        </w:rPr>
        <w:lastRenderedPageBreak/>
        <w:drawing>
          <wp:inline distT="0" distB="0" distL="0" distR="0" wp14:anchorId="19D22C3D" wp14:editId="420A10D9">
            <wp:extent cx="5837555" cy="697947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86116" cy="7157100"/>
                    </a:xfrm>
                    <a:prstGeom prst="rect">
                      <a:avLst/>
                    </a:prstGeom>
                    <a:noFill/>
                  </pic:spPr>
                </pic:pic>
              </a:graphicData>
            </a:graphic>
          </wp:inline>
        </w:drawing>
      </w:r>
    </w:p>
    <w:p w14:paraId="66D2B628" w14:textId="77777777" w:rsidR="00E84EAB" w:rsidRDefault="00E84EAB">
      <w:pPr>
        <w:spacing w:line="360" w:lineRule="auto"/>
        <w:rPr>
          <w:rFonts w:ascii="Arial" w:hAnsi="Arial" w:cs="Arial"/>
        </w:rPr>
      </w:pPr>
      <w:r>
        <w:rPr>
          <w:rFonts w:ascii="Arial" w:hAnsi="Arial" w:cs="Arial"/>
        </w:rPr>
        <w:t>(Tonya Hines,2017),</w:t>
      </w:r>
    </w:p>
    <w:p w14:paraId="47CE1891" w14:textId="5E599225" w:rsidR="00E469CA" w:rsidRDefault="00E84EAB">
      <w:pPr>
        <w:spacing w:line="360" w:lineRule="auto"/>
        <w:rPr>
          <w:rFonts w:ascii="Arial" w:hAnsi="Arial" w:cs="Arial"/>
        </w:rPr>
      </w:pPr>
      <w:r>
        <w:rPr>
          <w:rFonts w:ascii="Arial" w:hAnsi="Arial" w:cs="Arial"/>
        </w:rPr>
        <w:t>Available at:</w:t>
      </w:r>
      <w:r w:rsidRPr="00E84EAB">
        <w:rPr>
          <w:rFonts w:ascii="Arial" w:hAnsi="Arial" w:cs="Arial"/>
        </w:rPr>
        <w:t>https://www.shopanatomical.com/Understanding_Stroke_Anatomical_Chart_2nd_Edition_p/acc-9877.htm</w:t>
      </w:r>
    </w:p>
    <w:p w14:paraId="47CE1892" w14:textId="77777777" w:rsidR="00E469CA" w:rsidRDefault="00E469CA">
      <w:pPr>
        <w:spacing w:line="360" w:lineRule="auto"/>
        <w:rPr>
          <w:rFonts w:ascii="Arial" w:hAnsi="Arial" w:cs="Arial"/>
        </w:rPr>
      </w:pPr>
    </w:p>
    <w:p w14:paraId="47CE189F" w14:textId="77777777" w:rsidR="00E469CA" w:rsidRDefault="00E469CA">
      <w:pPr>
        <w:spacing w:line="360" w:lineRule="auto"/>
        <w:rPr>
          <w:rFonts w:ascii="Arial" w:hAnsi="Arial" w:cs="Arial"/>
        </w:rPr>
      </w:pPr>
    </w:p>
    <w:p w14:paraId="47CE18A0" w14:textId="77777777" w:rsidR="00E469CA" w:rsidRDefault="009E6CED">
      <w:pPr>
        <w:spacing w:line="360" w:lineRule="auto"/>
        <w:ind w:left="2880"/>
        <w:rPr>
          <w:rFonts w:ascii="Arial" w:hAnsi="Arial" w:cs="Arial"/>
          <w:b/>
          <w:bCs/>
        </w:rPr>
      </w:pPr>
      <w:r>
        <w:rPr>
          <w:rFonts w:ascii="Arial" w:hAnsi="Arial" w:cs="Arial"/>
          <w:b/>
          <w:bCs/>
        </w:rPr>
        <w:lastRenderedPageBreak/>
        <w:t>Physiology of Nervous system.</w:t>
      </w:r>
    </w:p>
    <w:p w14:paraId="47CE18A1" w14:textId="77777777" w:rsidR="00E469CA" w:rsidRDefault="00E469CA">
      <w:pPr>
        <w:spacing w:line="360" w:lineRule="auto"/>
        <w:ind w:left="2880"/>
        <w:rPr>
          <w:rFonts w:ascii="Arial" w:hAnsi="Arial" w:cs="Arial"/>
          <w:b/>
          <w:bCs/>
        </w:rPr>
      </w:pPr>
    </w:p>
    <w:p w14:paraId="47CE18A2" w14:textId="77777777" w:rsidR="00E469CA" w:rsidRDefault="009E6CED">
      <w:pPr>
        <w:spacing w:line="360" w:lineRule="auto"/>
      </w:pPr>
      <w:r>
        <w:rPr>
          <w:rFonts w:ascii="Arial" w:hAnsi="Arial" w:cs="Arial"/>
        </w:rPr>
        <w:t xml:space="preserve"> Clots structure in the brain and interrupt blood flow, clogging arteries and causing blood vessels to break, leading to bleeding. Rupture of the streets leading to the brain, all though stroke outcomes in the unexpected loss of life of brain cells owing to a lack of oxygen. Stroke can also lead to despair and dementia.,</w:t>
      </w:r>
      <w:r>
        <w:t xml:space="preserve"> </w:t>
      </w:r>
      <w:r>
        <w:rPr>
          <w:rFonts w:ascii="Arial" w:hAnsi="Arial" w:cs="Arial"/>
        </w:rPr>
        <w:t>(Sparaco, M., Ciolli, L. and Zini, A., 2019).</w:t>
      </w:r>
    </w:p>
    <w:p w14:paraId="47CE18A3" w14:textId="77777777" w:rsidR="00E469CA" w:rsidRDefault="009E6CED">
      <w:pPr>
        <w:spacing w:line="360" w:lineRule="auto"/>
      </w:pPr>
      <w:r>
        <w:rPr>
          <w:rFonts w:ascii="Arial" w:hAnsi="Arial" w:cs="Arial"/>
        </w:rPr>
        <w:t>Understanding how blood flows through the brain is crucial in understanding stroke. The internal carotid and vertebral arteries, two linked blood vessels, help the heart pump blood from the body to the cells.</w:t>
      </w:r>
      <w:r>
        <w:t xml:space="preserve"> </w:t>
      </w:r>
      <w:r>
        <w:rPr>
          <w:rFonts w:ascii="Arial" w:hAnsi="Arial" w:cs="Arial"/>
        </w:rPr>
        <w:t>The internal carotid arteries supply the brain's anterior (front) regions, whereas the vertebral arteries provide the posterior (back) regions. The right and left vertebral arteries combine to form the basilar artery after passing through the skull. At the base of the brain, in a ring called the Circle of Willis, the basilar artery and the internal carotid arteries communicate in several ways. The cerebral artery that is frequently obstructed during a stroke is the middle cerebral artery.,</w:t>
      </w:r>
      <w:r>
        <w:t xml:space="preserve"> </w:t>
      </w:r>
      <w:r>
        <w:rPr>
          <w:rFonts w:ascii="Arial" w:hAnsi="Arial" w:cs="Arial"/>
        </w:rPr>
        <w:t>(Sirsat, M.S., Fermé, E. and Câmara, J., 2020).</w:t>
      </w:r>
    </w:p>
    <w:p w14:paraId="47CE18A4" w14:textId="77777777" w:rsidR="00E469CA" w:rsidRDefault="009E6CED">
      <w:pPr>
        <w:spacing w:line="360" w:lineRule="auto"/>
        <w:rPr>
          <w:rFonts w:ascii="Arial" w:hAnsi="Arial" w:cs="Arial"/>
        </w:rPr>
      </w:pPr>
      <w:r>
        <w:rPr>
          <w:rFonts w:ascii="Arial" w:hAnsi="Arial" w:cs="Arial"/>
        </w:rPr>
        <w:t>The loss of blood gliding to the phase of the brain is the physiology of stroke. It happens when a blood clot narrows an artery in the vessel or when pressure on the brain results from bleeding blood vessels in the head. Either way, the brain dies, and the brain suffers temporary or permanent harm.</w:t>
      </w:r>
    </w:p>
    <w:p w14:paraId="47CE18A5" w14:textId="77777777" w:rsidR="00E469CA" w:rsidRDefault="00E469CA">
      <w:pPr>
        <w:spacing w:line="360" w:lineRule="auto"/>
        <w:rPr>
          <w:rFonts w:ascii="Arial" w:hAnsi="Arial" w:cs="Arial"/>
        </w:rPr>
      </w:pPr>
    </w:p>
    <w:p w14:paraId="47CE18A6" w14:textId="77777777" w:rsidR="00E469CA" w:rsidRDefault="009E6CED">
      <w:pPr>
        <w:spacing w:line="360" w:lineRule="auto"/>
        <w:ind w:left="2880"/>
      </w:pPr>
      <w:r>
        <w:rPr>
          <w:rFonts w:ascii="Arial" w:hAnsi="Arial" w:cs="Arial"/>
          <w:b/>
          <w:bCs/>
        </w:rPr>
        <w:t>Anatomy of the Nervous system</w:t>
      </w:r>
      <w:r>
        <w:rPr>
          <w:rFonts w:ascii="Arial" w:hAnsi="Arial" w:cs="Arial"/>
        </w:rPr>
        <w:t>.</w:t>
      </w:r>
    </w:p>
    <w:p w14:paraId="47CE18A7" w14:textId="77777777" w:rsidR="00E469CA" w:rsidRDefault="00E469CA">
      <w:pPr>
        <w:spacing w:line="360" w:lineRule="auto"/>
        <w:ind w:left="2880"/>
        <w:rPr>
          <w:rFonts w:ascii="Arial" w:hAnsi="Arial" w:cs="Arial"/>
        </w:rPr>
      </w:pPr>
    </w:p>
    <w:p w14:paraId="095FD626" w14:textId="428FC745" w:rsidR="004468BE" w:rsidRPr="00986572" w:rsidRDefault="009E6CED">
      <w:pPr>
        <w:spacing w:line="360" w:lineRule="auto"/>
        <w:rPr>
          <w:rFonts w:ascii="Arial" w:hAnsi="Arial" w:cs="Arial"/>
        </w:rPr>
      </w:pPr>
      <w:r>
        <w:t xml:space="preserve"> </w:t>
      </w:r>
      <w:r>
        <w:rPr>
          <w:rFonts w:ascii="Arial" w:hAnsi="Arial" w:cs="Arial"/>
        </w:rPr>
        <w:t>The brain is part of the nervous system. The nervous system uses specialised cells known as neurons to ship signals or messages all over our bodies—these electrical alerts tour between the brain, skin, organs, glands, and muscles. The messages help you pass the limbs and experience sensations like pain.</w:t>
      </w:r>
      <w:r w:rsidR="00ED684C" w:rsidRPr="00ED684C">
        <w:t xml:space="preserve"> </w:t>
      </w:r>
      <w:r w:rsidR="00ED684C" w:rsidRPr="00ED684C">
        <w:rPr>
          <w:rFonts w:ascii="Arial" w:hAnsi="Arial" w:cs="Arial"/>
        </w:rPr>
        <w:t>The central nervous system (defined as the brain in the spinal cord) is commonly regarded to have seven fundamental parts: the spinal cord, the midbrain, the diencephalon, and the cerebral hemispheres.</w:t>
      </w:r>
      <w:r>
        <w:rPr>
          <w:rFonts w:ascii="Arial" w:hAnsi="Arial" w:cs="Arial"/>
        </w:rPr>
        <w:t>,(</w:t>
      </w:r>
      <w:proofErr w:type="spellStart"/>
      <w:r>
        <w:rPr>
          <w:rFonts w:ascii="Arial" w:hAnsi="Arial" w:cs="Arial"/>
        </w:rPr>
        <w:t>Li,S.,et.al</w:t>
      </w:r>
      <w:proofErr w:type="spellEnd"/>
      <w:r>
        <w:rPr>
          <w:rFonts w:ascii="Arial" w:hAnsi="Arial" w:cs="Arial"/>
        </w:rPr>
        <w:t xml:space="preserve"> 2021).</w:t>
      </w:r>
    </w:p>
    <w:p w14:paraId="524DF974" w14:textId="359908BE" w:rsidR="00C14075" w:rsidRDefault="00096FFD">
      <w:pPr>
        <w:spacing w:line="360" w:lineRule="auto"/>
        <w:rPr>
          <w:rFonts w:ascii="Arial" w:hAnsi="Arial" w:cs="Arial"/>
        </w:rPr>
      </w:pPr>
      <w:r w:rsidRPr="00096FFD">
        <w:rPr>
          <w:rFonts w:ascii="Arial" w:hAnsi="Arial" w:cs="Arial"/>
        </w:rPr>
        <w:t xml:space="preserve">A nerve cell or neurone is the main component of the concerned machine. Depending on where they </w:t>
      </w:r>
      <w:r w:rsidR="00BD6D28" w:rsidRPr="00096FFD">
        <w:rPr>
          <w:rFonts w:ascii="Arial" w:hAnsi="Arial" w:cs="Arial"/>
        </w:rPr>
        <w:t>are in</w:t>
      </w:r>
      <w:r w:rsidRPr="00096FFD">
        <w:rPr>
          <w:rFonts w:ascii="Arial" w:hAnsi="Arial" w:cs="Arial"/>
        </w:rPr>
        <w:t xml:space="preserve"> the body and the function they serve, neurones are produced differently. All neurones have a long fibre called an axon and projections that resemble fingers.</w:t>
      </w:r>
    </w:p>
    <w:p w14:paraId="47CE18AA" w14:textId="19C91597" w:rsidR="00E469CA" w:rsidRDefault="009E6CED">
      <w:pPr>
        <w:spacing w:line="360" w:lineRule="auto"/>
        <w:rPr>
          <w:rFonts w:ascii="Arial" w:hAnsi="Arial" w:cs="Arial"/>
        </w:rPr>
      </w:pPr>
      <w:r>
        <w:rPr>
          <w:rFonts w:ascii="Arial" w:hAnsi="Arial" w:cs="Arial"/>
        </w:rPr>
        <w:lastRenderedPageBreak/>
        <w:t>In many cases, the axon is coated with the  aid of a specialised membrane referred to as a myelin sheath. The axon feathers out and has a variety of bumps on it. Each bump sits near to a dendrite from some other neurone. The space between the bump and the dendrite is called a synapse. Messages soar the synapse from one neurone to the next, the usage of special chemical compounds known as neurotransmitters. Unlike different cells in the body ,neurones are not effortlessly replaced if they die or are damaged by way of contamination or injury.,(Miller,K.D.,et.al,2020).</w:t>
      </w:r>
    </w:p>
    <w:p w14:paraId="21DF6AB6" w14:textId="130D8C4E" w:rsidR="00986572" w:rsidRDefault="00986572">
      <w:pPr>
        <w:spacing w:line="360" w:lineRule="auto"/>
        <w:rPr>
          <w:rFonts w:ascii="Arial" w:hAnsi="Arial" w:cs="Arial"/>
        </w:rPr>
      </w:pPr>
    </w:p>
    <w:p w14:paraId="09CC4B0E" w14:textId="77777777" w:rsidR="00986572" w:rsidRDefault="00986572">
      <w:pPr>
        <w:spacing w:line="360" w:lineRule="auto"/>
        <w:rPr>
          <w:rFonts w:ascii="Arial" w:hAnsi="Arial" w:cs="Arial"/>
        </w:rPr>
      </w:pPr>
    </w:p>
    <w:p w14:paraId="47CE18AB" w14:textId="77777777" w:rsidR="00E469CA" w:rsidRDefault="009E6CED">
      <w:pPr>
        <w:spacing w:line="360" w:lineRule="auto"/>
        <w:ind w:left="2160"/>
        <w:rPr>
          <w:rFonts w:ascii="Arial" w:hAnsi="Arial" w:cs="Arial"/>
          <w:b/>
          <w:bCs/>
        </w:rPr>
      </w:pPr>
      <w:r>
        <w:rPr>
          <w:rFonts w:ascii="Arial" w:hAnsi="Arial" w:cs="Arial"/>
          <w:b/>
          <w:bCs/>
        </w:rPr>
        <w:t>Health and Lifestyle routine measures</w:t>
      </w:r>
    </w:p>
    <w:p w14:paraId="47CE18AC" w14:textId="77777777" w:rsidR="00E469CA" w:rsidRDefault="009E6CED">
      <w:pPr>
        <w:spacing w:line="360" w:lineRule="auto"/>
        <w:rPr>
          <w:rFonts w:ascii="Arial" w:hAnsi="Arial" w:cs="Arial"/>
        </w:rPr>
      </w:pPr>
      <w:r>
        <w:rPr>
          <w:rFonts w:ascii="Arial" w:hAnsi="Arial" w:cs="Arial"/>
        </w:rPr>
        <w:t>Assessment of modifiable risk factors: high blood pressure, diabetes, high cholesterol. In the case of established deviations - taking specific measures for their medical, interventional, or surgical treatment:</w:t>
      </w:r>
    </w:p>
    <w:p w14:paraId="47CE18AD" w14:textId="77777777" w:rsidR="00E469CA" w:rsidRDefault="009E6CED">
      <w:pPr>
        <w:spacing w:line="360" w:lineRule="auto"/>
        <w:rPr>
          <w:rFonts w:ascii="Arial" w:hAnsi="Arial" w:cs="Arial"/>
        </w:rPr>
      </w:pPr>
      <w:r>
        <w:rPr>
          <w:rFonts w:ascii="Arial" w:hAnsi="Arial" w:cs="Arial"/>
        </w:rPr>
        <w:t>Regular exercise – walking one hour daily.</w:t>
      </w:r>
    </w:p>
    <w:p w14:paraId="47CE18AE" w14:textId="77777777" w:rsidR="00E469CA" w:rsidRDefault="009E6CED">
      <w:pPr>
        <w:spacing w:line="360" w:lineRule="auto"/>
      </w:pPr>
      <w:r>
        <w:rPr>
          <w:rFonts w:ascii="Arial" w:hAnsi="Arial" w:cs="Arial"/>
          <w:noProof/>
        </w:rPr>
        <w:drawing>
          <wp:anchor distT="0" distB="0" distL="114300" distR="114300" simplePos="0" relativeHeight="251660288" behindDoc="0" locked="0" layoutInCell="1" allowOverlap="1" wp14:anchorId="47CE186C" wp14:editId="47CE186D">
            <wp:simplePos x="0" y="0"/>
            <wp:positionH relativeFrom="margin">
              <wp:posOffset>3398980</wp:posOffset>
            </wp:positionH>
            <wp:positionV relativeFrom="paragraph">
              <wp:posOffset>40425</wp:posOffset>
            </wp:positionV>
            <wp:extent cx="2033909" cy="1729743"/>
            <wp:effectExtent l="0" t="0" r="4441" b="3807"/>
            <wp:wrapNone/>
            <wp:docPr id="3" name="3D Model 6" descr="Br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033909" cy="1729743"/>
                    </a:xfrm>
                    <a:prstGeom prst="rect">
                      <a:avLst/>
                    </a:prstGeom>
                    <a:noFill/>
                    <a:ln>
                      <a:noFill/>
                      <a:prstDash/>
                    </a:ln>
                  </pic:spPr>
                </pic:pic>
              </a:graphicData>
            </a:graphic>
          </wp:anchor>
        </w:drawing>
      </w:r>
      <w:r>
        <w:rPr>
          <w:rFonts w:ascii="Arial" w:hAnsi="Arial" w:cs="Arial"/>
        </w:rPr>
        <w:t>Avoiding excess weight – health diet.</w:t>
      </w:r>
    </w:p>
    <w:p w14:paraId="47CE18AF" w14:textId="77777777" w:rsidR="00E469CA" w:rsidRDefault="009E6CED">
      <w:pPr>
        <w:spacing w:line="360" w:lineRule="auto"/>
        <w:rPr>
          <w:rFonts w:ascii="Arial" w:hAnsi="Arial" w:cs="Arial"/>
        </w:rPr>
      </w:pPr>
      <w:r>
        <w:rPr>
          <w:rFonts w:ascii="Arial" w:hAnsi="Arial" w:cs="Arial"/>
        </w:rPr>
        <w:t xml:space="preserve">Reduce alcohol consumption -drinking one day per </w:t>
      </w:r>
    </w:p>
    <w:p w14:paraId="47CE18B0" w14:textId="77777777" w:rsidR="00E469CA" w:rsidRDefault="009E6CED">
      <w:pPr>
        <w:spacing w:line="360" w:lineRule="auto"/>
        <w:rPr>
          <w:rFonts w:ascii="Arial" w:hAnsi="Arial" w:cs="Arial"/>
        </w:rPr>
      </w:pPr>
      <w:r>
        <w:rPr>
          <w:rFonts w:ascii="Arial" w:hAnsi="Arial" w:cs="Arial"/>
        </w:rPr>
        <w:t>week only.</w:t>
      </w:r>
    </w:p>
    <w:p w14:paraId="47CE18B1" w14:textId="77777777" w:rsidR="00E469CA" w:rsidRDefault="009E6CED">
      <w:pPr>
        <w:spacing w:line="360" w:lineRule="auto"/>
        <w:rPr>
          <w:rFonts w:ascii="Arial" w:hAnsi="Arial" w:cs="Arial"/>
        </w:rPr>
      </w:pPr>
      <w:r>
        <w:rPr>
          <w:rFonts w:ascii="Arial" w:hAnsi="Arial" w:cs="Arial"/>
        </w:rPr>
        <w:t>Avoid smoking – access community for quit smoking.</w:t>
      </w:r>
    </w:p>
    <w:p w14:paraId="47CE18B2" w14:textId="77777777" w:rsidR="00E469CA" w:rsidRDefault="009E6CED">
      <w:pPr>
        <w:spacing w:line="360" w:lineRule="auto"/>
        <w:rPr>
          <w:rFonts w:ascii="Arial" w:hAnsi="Arial" w:cs="Arial"/>
        </w:rPr>
      </w:pPr>
      <w:r>
        <w:rPr>
          <w:rFonts w:ascii="Arial" w:hAnsi="Arial" w:cs="Arial"/>
        </w:rPr>
        <w:t xml:space="preserve">                                                                </w:t>
      </w:r>
    </w:p>
    <w:p w14:paraId="47CE18B3" w14:textId="77777777" w:rsidR="00E469CA" w:rsidRDefault="00E469CA">
      <w:pPr>
        <w:spacing w:line="360" w:lineRule="auto"/>
        <w:rPr>
          <w:rFonts w:ascii="Arial" w:hAnsi="Arial" w:cs="Arial"/>
        </w:rPr>
      </w:pPr>
    </w:p>
    <w:p w14:paraId="47CE18B4" w14:textId="77777777" w:rsidR="00E469CA" w:rsidRDefault="00E469CA">
      <w:pPr>
        <w:spacing w:line="360" w:lineRule="auto"/>
        <w:rPr>
          <w:rFonts w:ascii="Arial" w:hAnsi="Arial" w:cs="Arial"/>
        </w:rPr>
      </w:pPr>
    </w:p>
    <w:p w14:paraId="47CE18B5" w14:textId="77777777" w:rsidR="00E469CA" w:rsidRDefault="00E469CA">
      <w:pPr>
        <w:spacing w:line="360" w:lineRule="auto"/>
        <w:rPr>
          <w:rFonts w:ascii="Arial" w:hAnsi="Arial" w:cs="Arial"/>
        </w:rPr>
      </w:pPr>
    </w:p>
    <w:p w14:paraId="47CE18B6" w14:textId="77777777" w:rsidR="00E469CA" w:rsidRDefault="009E6CED">
      <w:pPr>
        <w:spacing w:line="360" w:lineRule="auto"/>
        <w:ind w:left="6480"/>
        <w:rPr>
          <w:rFonts w:ascii="Arial" w:hAnsi="Arial" w:cs="Arial"/>
        </w:rPr>
      </w:pPr>
      <w:r>
        <w:rPr>
          <w:rFonts w:ascii="Arial" w:hAnsi="Arial" w:cs="Arial"/>
        </w:rPr>
        <w:t>3D Brain Model.</w:t>
      </w:r>
    </w:p>
    <w:p w14:paraId="47CE18B7" w14:textId="77777777" w:rsidR="00E469CA" w:rsidRDefault="009E6CED">
      <w:pPr>
        <w:spacing w:line="360" w:lineRule="auto"/>
        <w:rPr>
          <w:rFonts w:ascii="Arial" w:hAnsi="Arial" w:cs="Arial"/>
        </w:rPr>
      </w:pPr>
      <w:r>
        <w:rPr>
          <w:rFonts w:ascii="Arial" w:hAnsi="Arial" w:cs="Arial"/>
        </w:rPr>
        <w:t>Regular measurement of blood pressure. In case of high blood pressure, lifestyle changes and individualization of appropriate therapy are recommended. Regular testing of blood sugar. In patients with diabetes mellitus, a change in lifestyle and individualized pharmacological treatment are recommended. High blood pressure should be treated aggressively, where it is possible to include angiotensin-converting enzyme inhibitors and an angiotensin -receptor blocker.,(Anderson,W.A.,et.al,2021).</w:t>
      </w:r>
    </w:p>
    <w:p w14:paraId="47CE18BC" w14:textId="77777777" w:rsidR="00E469CA" w:rsidRDefault="00E469CA">
      <w:pPr>
        <w:spacing w:line="360" w:lineRule="auto"/>
        <w:rPr>
          <w:rFonts w:ascii="Arial" w:hAnsi="Arial" w:cs="Arial"/>
        </w:rPr>
      </w:pPr>
    </w:p>
    <w:p w14:paraId="47CE18BD" w14:textId="77777777" w:rsidR="00E469CA" w:rsidRDefault="009E6CED">
      <w:pPr>
        <w:spacing w:line="360" w:lineRule="auto"/>
        <w:ind w:left="2880"/>
        <w:rPr>
          <w:rFonts w:ascii="Arial" w:hAnsi="Arial" w:cs="Arial"/>
          <w:b/>
          <w:bCs/>
        </w:rPr>
      </w:pPr>
      <w:r>
        <w:rPr>
          <w:rFonts w:ascii="Arial" w:hAnsi="Arial" w:cs="Arial"/>
          <w:b/>
          <w:bCs/>
        </w:rPr>
        <w:lastRenderedPageBreak/>
        <w:t>Health and Social Care Practice</w:t>
      </w:r>
    </w:p>
    <w:p w14:paraId="47CE18BE" w14:textId="77777777" w:rsidR="00E469CA" w:rsidRDefault="00E469CA">
      <w:pPr>
        <w:spacing w:line="360" w:lineRule="auto"/>
        <w:ind w:left="2880"/>
        <w:rPr>
          <w:rFonts w:ascii="Arial" w:hAnsi="Arial" w:cs="Arial"/>
          <w:b/>
          <w:bCs/>
        </w:rPr>
      </w:pPr>
    </w:p>
    <w:p w14:paraId="47CE18BF" w14:textId="443EE0EE" w:rsidR="00E469CA" w:rsidRDefault="003A1F82">
      <w:pPr>
        <w:pStyle w:val="ListParagraph"/>
        <w:numPr>
          <w:ilvl w:val="0"/>
          <w:numId w:val="1"/>
        </w:numPr>
        <w:spacing w:line="360" w:lineRule="auto"/>
        <w:rPr>
          <w:rFonts w:ascii="Arial" w:hAnsi="Arial" w:cs="Arial"/>
          <w:b/>
          <w:bCs/>
        </w:rPr>
      </w:pPr>
      <w:r>
        <w:rPr>
          <w:rFonts w:ascii="Arial" w:hAnsi="Arial" w:cs="Arial"/>
          <w:b/>
          <w:bCs/>
        </w:rPr>
        <w:t>“</w:t>
      </w:r>
      <w:r w:rsidR="009E6CED">
        <w:rPr>
          <w:rFonts w:ascii="Arial" w:hAnsi="Arial" w:cs="Arial"/>
          <w:b/>
          <w:bCs/>
        </w:rPr>
        <w:t>Stroke NHS</w:t>
      </w:r>
      <w:r w:rsidR="002708B1">
        <w:rPr>
          <w:rFonts w:ascii="Arial" w:hAnsi="Arial" w:cs="Arial"/>
          <w:b/>
          <w:bCs/>
        </w:rPr>
        <w:t>.”</w:t>
      </w:r>
    </w:p>
    <w:p w14:paraId="47CE18C0" w14:textId="1BE64C93" w:rsidR="00E469CA" w:rsidRDefault="006255B7">
      <w:pPr>
        <w:spacing w:line="360" w:lineRule="auto"/>
      </w:pPr>
      <w:r w:rsidRPr="006255B7">
        <w:rPr>
          <w:rFonts w:ascii="Arial" w:hAnsi="Arial" w:cs="Arial"/>
        </w:rPr>
        <w:t>Stroke survivors report a wide range of physical, communication, emotional, and cognitive challenges, and more than half also experience fatigue, memory and focus issues, anxiety, or depressed mood. Stroke survivors typically receive less than half the rehabilitation recommended by national guidelines, and many reports of feeling "abandoned" after leaving the hospital exist.</w:t>
      </w:r>
      <w:r w:rsidR="009E6CED">
        <w:rPr>
          <w:rFonts w:ascii="Arial" w:hAnsi="Arial" w:cs="Arial"/>
        </w:rPr>
        <w:t>,</w:t>
      </w:r>
      <w:r w:rsidR="009E6CED">
        <w:t>(</w:t>
      </w:r>
      <w:r w:rsidR="009E6CED">
        <w:rPr>
          <w:rFonts w:ascii="Arial" w:hAnsi="Arial" w:cs="Arial"/>
        </w:rPr>
        <w:t>Murphy, S.J. and Werring, D.J., 2020).</w:t>
      </w:r>
    </w:p>
    <w:p w14:paraId="58C40354" w14:textId="77777777" w:rsidR="00074370" w:rsidRDefault="00074370">
      <w:pPr>
        <w:spacing w:line="360" w:lineRule="auto"/>
        <w:rPr>
          <w:rFonts w:ascii="Arial" w:hAnsi="Arial" w:cs="Arial"/>
        </w:rPr>
      </w:pPr>
      <w:r w:rsidRPr="00074370">
        <w:rPr>
          <w:rFonts w:ascii="Arial" w:hAnsi="Arial" w:cs="Arial"/>
        </w:rPr>
        <w:t>This pathway segment needs to be improved for stroke survivors and their caregivers because it has seen the least advancement over the past ten years. This workstream's goals are community-based continuous assistance, enhanced 6-month evaluation delivery, and inpatient rehabilitation.</w:t>
      </w:r>
      <w:r>
        <w:rPr>
          <w:rFonts w:ascii="Arial" w:hAnsi="Arial" w:cs="Arial"/>
        </w:rPr>
        <w:t xml:space="preserve"> </w:t>
      </w:r>
    </w:p>
    <w:p w14:paraId="47CE18C2" w14:textId="1A389C71" w:rsidR="00E469CA" w:rsidRDefault="003743F9">
      <w:pPr>
        <w:spacing w:line="360" w:lineRule="auto"/>
      </w:pPr>
      <w:r w:rsidRPr="003743F9">
        <w:rPr>
          <w:rFonts w:ascii="Arial" w:hAnsi="Arial" w:cs="Arial"/>
        </w:rPr>
        <w:t>The type of stroke you have, including the afflicted area of the brain in the past and what caused it, will determine how you are treated. Medication is often used to treat strokes. This includes medication to lower cholesterol levels, minimise blood stress, and prevent and dissolve blood clots. In some circumstances, methods for removing blood clots may be necessary. If the objective of the stroke was to cause brain oedema, surgery may also be necessary to repair it and lower the risk of a similar haemorrhage.</w:t>
      </w:r>
    </w:p>
    <w:p w14:paraId="47CE18C3" w14:textId="77777777" w:rsidR="00E469CA" w:rsidRDefault="009E6CED">
      <w:pPr>
        <w:spacing w:line="360" w:lineRule="auto"/>
        <w:rPr>
          <w:rFonts w:ascii="Arial" w:hAnsi="Arial" w:cs="Arial"/>
        </w:rPr>
      </w:pPr>
      <w:r>
        <w:rPr>
          <w:rFonts w:ascii="Arial" w:hAnsi="Arial" w:cs="Arial"/>
        </w:rPr>
        <w:t>The stroke organization works to establish several people over 50 years and demonstrates the opportunities and benefits of person-centred stroke rehabilitation. The rehabilitation journey includes:</w:t>
      </w:r>
    </w:p>
    <w:p w14:paraId="47CE18C4" w14:textId="77777777" w:rsidR="00E469CA" w:rsidRDefault="009E6CED">
      <w:pPr>
        <w:spacing w:line="360" w:lineRule="auto"/>
        <w:ind w:left="720"/>
        <w:rPr>
          <w:rFonts w:ascii="Arial" w:hAnsi="Arial" w:cs="Arial"/>
        </w:rPr>
      </w:pPr>
      <w:r>
        <w:rPr>
          <w:rFonts w:ascii="Arial" w:hAnsi="Arial" w:cs="Arial"/>
        </w:rPr>
        <w:t>Better get entry to psychological rehabilitation, including neuropsychology, with specialist supervision from stroke neuropsychologists where needed.</w:t>
      </w:r>
    </w:p>
    <w:p w14:paraId="47CE18C5" w14:textId="77777777" w:rsidR="00E469CA" w:rsidRDefault="009E6CED">
      <w:pPr>
        <w:spacing w:line="360" w:lineRule="auto"/>
        <w:ind w:left="720"/>
        <w:rPr>
          <w:rFonts w:ascii="Arial" w:hAnsi="Arial" w:cs="Arial"/>
        </w:rPr>
      </w:pPr>
      <w:r>
        <w:rPr>
          <w:rFonts w:ascii="Arial" w:hAnsi="Arial" w:cs="Arial"/>
        </w:rPr>
        <w:t>The Stroke association is growing a countrywide existence after stroke initiative, drawing on successful models to create person-centred ongoing practical, social, and emotional help.,(Sekhon,J.K.,et.al,2019).</w:t>
      </w:r>
    </w:p>
    <w:p w14:paraId="47CE18C6" w14:textId="77777777" w:rsidR="00E469CA" w:rsidRDefault="009E6CED">
      <w:pPr>
        <w:spacing w:line="360" w:lineRule="auto"/>
        <w:rPr>
          <w:rFonts w:ascii="Arial" w:hAnsi="Arial" w:cs="Arial"/>
        </w:rPr>
      </w:pPr>
      <w:r>
        <w:rPr>
          <w:rFonts w:ascii="Arial" w:hAnsi="Arial" w:cs="Arial"/>
        </w:rPr>
        <w:t>Nursing interventions during the acute levels following stroke aim at preventing secondary brain damage (intracranial hypertension), preserving the airways (due to paralysis of the pharynx muscles), offering ordinary physique guide (vital signs, fluid, and electrolyte balance), and looking ahead for better improvement.,(Longley,V.,et.al,2019).</w:t>
      </w:r>
    </w:p>
    <w:p w14:paraId="47CE18C7" w14:textId="77777777" w:rsidR="00E469CA" w:rsidRDefault="009E6CED">
      <w:pPr>
        <w:spacing w:line="360" w:lineRule="auto"/>
        <w:rPr>
          <w:rFonts w:ascii="Arial" w:hAnsi="Arial" w:cs="Arial"/>
        </w:rPr>
      </w:pPr>
      <w:r>
        <w:rPr>
          <w:rFonts w:ascii="Arial" w:hAnsi="Arial" w:cs="Arial"/>
        </w:rPr>
        <w:t xml:space="preserve">To help neighbourhood commissioners in charge of stroke enhance services for patients in their region, the Stroke NHS care was once posted in October 2017. Core methods for </w:t>
      </w:r>
      <w:r>
        <w:rPr>
          <w:rFonts w:ascii="Arial" w:hAnsi="Arial" w:cs="Arial"/>
        </w:rPr>
        <w:lastRenderedPageBreak/>
        <w:t>working with stroke survivors are outlined in the Stroke Specific Educational -Framework.,(Brunton,L.,et.al,2022).</w:t>
      </w:r>
    </w:p>
    <w:p w14:paraId="47CE18C8" w14:textId="77777777" w:rsidR="00E469CA" w:rsidRDefault="00E469CA">
      <w:pPr>
        <w:spacing w:line="360" w:lineRule="auto"/>
        <w:rPr>
          <w:rFonts w:ascii="Arial" w:hAnsi="Arial" w:cs="Arial"/>
        </w:rPr>
      </w:pPr>
    </w:p>
    <w:p w14:paraId="47CE18C9" w14:textId="333CD27F" w:rsidR="00E469CA" w:rsidRDefault="003A1F82">
      <w:pPr>
        <w:pStyle w:val="ListParagraph"/>
        <w:numPr>
          <w:ilvl w:val="0"/>
          <w:numId w:val="1"/>
        </w:numPr>
        <w:spacing w:line="360" w:lineRule="auto"/>
        <w:rPr>
          <w:rFonts w:ascii="Arial" w:hAnsi="Arial" w:cs="Arial"/>
          <w:b/>
          <w:bCs/>
        </w:rPr>
      </w:pPr>
      <w:r>
        <w:rPr>
          <w:rFonts w:ascii="Arial" w:hAnsi="Arial" w:cs="Arial"/>
          <w:b/>
          <w:bCs/>
        </w:rPr>
        <w:t>“</w:t>
      </w:r>
      <w:r w:rsidR="009E6CED">
        <w:rPr>
          <w:rFonts w:ascii="Arial" w:hAnsi="Arial" w:cs="Arial"/>
          <w:b/>
          <w:bCs/>
        </w:rPr>
        <w:t>Recovery Stroke Association</w:t>
      </w:r>
      <w:r w:rsidR="002708B1">
        <w:rPr>
          <w:rFonts w:ascii="Arial" w:hAnsi="Arial" w:cs="Arial"/>
          <w:b/>
          <w:bCs/>
        </w:rPr>
        <w:t>.”</w:t>
      </w:r>
    </w:p>
    <w:p w14:paraId="47CE18CA" w14:textId="77777777" w:rsidR="00E469CA" w:rsidRDefault="009E6CED">
      <w:pPr>
        <w:spacing w:line="360" w:lineRule="auto"/>
        <w:rPr>
          <w:rFonts w:ascii="Arial" w:hAnsi="Arial" w:cs="Arial"/>
        </w:rPr>
      </w:pPr>
      <w:r>
        <w:rPr>
          <w:rFonts w:ascii="Arial" w:hAnsi="Arial" w:cs="Arial"/>
        </w:rPr>
        <w:t>Rehabilitation, in this case, helps you to make the excellent restoration possible and re-learn competencies for everyday life. Therapists raise assessments and work with you to set goals for your rehabilitation.,(Sutton,2008).</w:t>
      </w:r>
    </w:p>
    <w:p w14:paraId="47CE18CB" w14:textId="77777777" w:rsidR="00E469CA" w:rsidRDefault="009E6CED">
      <w:pPr>
        <w:spacing w:line="360" w:lineRule="auto"/>
        <w:rPr>
          <w:rFonts w:ascii="Arial" w:hAnsi="Arial" w:cs="Arial"/>
        </w:rPr>
      </w:pPr>
      <w:r>
        <w:rPr>
          <w:rFonts w:ascii="Arial" w:hAnsi="Arial" w:cs="Arial"/>
        </w:rPr>
        <w:t>The effects of stroke on the body:</w:t>
      </w:r>
    </w:p>
    <w:p w14:paraId="47CE18CC" w14:textId="77777777" w:rsidR="00E469CA" w:rsidRDefault="009E6CED">
      <w:pPr>
        <w:spacing w:line="360" w:lineRule="auto"/>
        <w:rPr>
          <w:rFonts w:ascii="Arial" w:hAnsi="Arial" w:cs="Arial"/>
        </w:rPr>
      </w:pPr>
      <w:r>
        <w:rPr>
          <w:rFonts w:ascii="Arial" w:hAnsi="Arial" w:cs="Arial"/>
        </w:rPr>
        <w:t>Damage to the place of your brain that controls consuming, and swallowing can purpose you to have trouble with these functions:</w:t>
      </w:r>
    </w:p>
    <w:p w14:paraId="47CE18CD" w14:textId="25D19C08" w:rsidR="00E469CA" w:rsidRDefault="009E6CED">
      <w:pPr>
        <w:spacing w:line="360" w:lineRule="auto"/>
        <w:rPr>
          <w:rFonts w:ascii="Arial" w:hAnsi="Arial" w:cs="Arial"/>
        </w:rPr>
      </w:pPr>
      <w:r>
        <w:rPr>
          <w:rFonts w:ascii="Arial" w:hAnsi="Arial" w:cs="Arial"/>
        </w:rPr>
        <w:t>Nervous system</w:t>
      </w:r>
      <w:r w:rsidR="0049087A">
        <w:rPr>
          <w:rFonts w:ascii="Arial" w:hAnsi="Arial" w:cs="Arial"/>
        </w:rPr>
        <w:t xml:space="preserve"> -</w:t>
      </w:r>
      <w:r w:rsidR="0049087A" w:rsidRPr="0049087A">
        <w:t xml:space="preserve"> </w:t>
      </w:r>
      <w:r w:rsidR="0049087A" w:rsidRPr="0049087A">
        <w:rPr>
          <w:rFonts w:ascii="Arial" w:hAnsi="Arial" w:cs="Arial"/>
        </w:rPr>
        <w:t>It controls all processes in the human body</w:t>
      </w:r>
      <w:r w:rsidR="0049087A">
        <w:rPr>
          <w:rFonts w:ascii="Arial" w:hAnsi="Arial" w:cs="Arial"/>
        </w:rPr>
        <w:t>.</w:t>
      </w:r>
    </w:p>
    <w:p w14:paraId="47CE18CE" w14:textId="6CAF4A36" w:rsidR="00E469CA" w:rsidRDefault="009E6CED">
      <w:pPr>
        <w:spacing w:line="360" w:lineRule="auto"/>
        <w:rPr>
          <w:rFonts w:ascii="Arial" w:hAnsi="Arial" w:cs="Arial"/>
        </w:rPr>
      </w:pPr>
      <w:r>
        <w:rPr>
          <w:rFonts w:ascii="Arial" w:hAnsi="Arial" w:cs="Arial"/>
        </w:rPr>
        <w:t>Circulatory system</w:t>
      </w:r>
      <w:r w:rsidR="0049087A">
        <w:rPr>
          <w:rFonts w:ascii="Arial" w:hAnsi="Arial" w:cs="Arial"/>
        </w:rPr>
        <w:t>-</w:t>
      </w:r>
      <w:r w:rsidR="00A7478A" w:rsidRPr="00A7478A">
        <w:t xml:space="preserve"> </w:t>
      </w:r>
      <w:r w:rsidR="00A7478A" w:rsidRPr="00A7478A">
        <w:rPr>
          <w:rFonts w:ascii="Arial" w:hAnsi="Arial" w:cs="Arial"/>
        </w:rPr>
        <w:t xml:space="preserve">It affects the arteries, </w:t>
      </w:r>
      <w:r w:rsidR="000A3267" w:rsidRPr="00A7478A">
        <w:rPr>
          <w:rFonts w:ascii="Arial" w:hAnsi="Arial" w:cs="Arial"/>
        </w:rPr>
        <w:t>women,</w:t>
      </w:r>
      <w:r w:rsidR="00A7478A" w:rsidRPr="00A7478A">
        <w:rPr>
          <w:rFonts w:ascii="Arial" w:hAnsi="Arial" w:cs="Arial"/>
        </w:rPr>
        <w:t xml:space="preserve"> and capillaries of the body</w:t>
      </w:r>
      <w:r w:rsidR="00A7478A">
        <w:rPr>
          <w:rFonts w:ascii="Arial" w:hAnsi="Arial" w:cs="Arial"/>
        </w:rPr>
        <w:t>.</w:t>
      </w:r>
    </w:p>
    <w:p w14:paraId="47CE18CF" w14:textId="12AF4950" w:rsidR="00E469CA" w:rsidRDefault="009E6CED">
      <w:pPr>
        <w:spacing w:line="360" w:lineRule="auto"/>
        <w:rPr>
          <w:rFonts w:ascii="Arial" w:hAnsi="Arial" w:cs="Arial"/>
        </w:rPr>
      </w:pPr>
      <w:r>
        <w:rPr>
          <w:rFonts w:ascii="Arial" w:hAnsi="Arial" w:cs="Arial"/>
        </w:rPr>
        <w:t>Muscular system</w:t>
      </w:r>
      <w:r w:rsidR="00A7478A">
        <w:rPr>
          <w:rFonts w:ascii="Arial" w:hAnsi="Arial" w:cs="Arial"/>
        </w:rPr>
        <w:t xml:space="preserve"> -</w:t>
      </w:r>
      <w:r w:rsidR="00A7478A" w:rsidRPr="00A7478A">
        <w:t xml:space="preserve"> </w:t>
      </w:r>
      <w:r w:rsidR="00A7478A" w:rsidRPr="00A7478A">
        <w:rPr>
          <w:rFonts w:ascii="Arial" w:hAnsi="Arial" w:cs="Arial"/>
        </w:rPr>
        <w:t>Support Motor system</w:t>
      </w:r>
      <w:r w:rsidR="00A7478A">
        <w:rPr>
          <w:rFonts w:ascii="Arial" w:hAnsi="Arial" w:cs="Arial"/>
        </w:rPr>
        <w:t>.</w:t>
      </w:r>
    </w:p>
    <w:p w14:paraId="47CE18D0" w14:textId="7F0F6981" w:rsidR="00E469CA" w:rsidRDefault="009E6CED">
      <w:pPr>
        <w:spacing w:line="360" w:lineRule="auto"/>
        <w:rPr>
          <w:rFonts w:ascii="Arial" w:hAnsi="Arial" w:cs="Arial"/>
        </w:rPr>
      </w:pPr>
      <w:r>
        <w:rPr>
          <w:rFonts w:ascii="Arial" w:hAnsi="Arial" w:cs="Arial"/>
        </w:rPr>
        <w:t>Digestive system</w:t>
      </w:r>
      <w:r w:rsidR="00A7478A">
        <w:rPr>
          <w:rFonts w:ascii="Arial" w:hAnsi="Arial" w:cs="Arial"/>
        </w:rPr>
        <w:t>-</w:t>
      </w:r>
      <w:r w:rsidR="00A7478A" w:rsidRPr="00A7478A">
        <w:t xml:space="preserve"> </w:t>
      </w:r>
      <w:r w:rsidR="00A7478A" w:rsidRPr="00A7478A">
        <w:rPr>
          <w:rFonts w:ascii="Arial" w:hAnsi="Arial" w:cs="Arial"/>
        </w:rPr>
        <w:t>The processes in which nutrients from the outside pass into the body.</w:t>
      </w:r>
    </w:p>
    <w:p w14:paraId="47CE18D1" w14:textId="293CF207" w:rsidR="00E469CA" w:rsidRDefault="009E6CED">
      <w:pPr>
        <w:spacing w:line="360" w:lineRule="auto"/>
        <w:rPr>
          <w:rFonts w:ascii="Arial" w:hAnsi="Arial" w:cs="Arial"/>
        </w:rPr>
      </w:pPr>
      <w:r>
        <w:rPr>
          <w:rFonts w:ascii="Arial" w:hAnsi="Arial" w:cs="Arial"/>
        </w:rPr>
        <w:t>Urinary system</w:t>
      </w:r>
      <w:r w:rsidR="00A7478A">
        <w:rPr>
          <w:rFonts w:ascii="Arial" w:hAnsi="Arial" w:cs="Arial"/>
        </w:rPr>
        <w:t xml:space="preserve">- </w:t>
      </w:r>
      <w:r w:rsidR="00304D6E" w:rsidRPr="00304D6E">
        <w:rPr>
          <w:rFonts w:ascii="Arial" w:hAnsi="Arial" w:cs="Arial"/>
        </w:rPr>
        <w:t>Effect on the urinary tract</w:t>
      </w:r>
      <w:r w:rsidR="00304D6E">
        <w:rPr>
          <w:rFonts w:ascii="Arial" w:hAnsi="Arial" w:cs="Arial"/>
        </w:rPr>
        <w:t>.</w:t>
      </w:r>
    </w:p>
    <w:p w14:paraId="47CE18D2" w14:textId="0B05ED1F" w:rsidR="00E469CA" w:rsidRDefault="009E6CED">
      <w:pPr>
        <w:spacing w:line="360" w:lineRule="auto"/>
        <w:rPr>
          <w:rFonts w:ascii="Arial" w:hAnsi="Arial" w:cs="Arial"/>
        </w:rPr>
      </w:pPr>
      <w:r>
        <w:rPr>
          <w:rFonts w:ascii="Arial" w:hAnsi="Arial" w:cs="Arial"/>
        </w:rPr>
        <w:t>Reproductive system</w:t>
      </w:r>
      <w:r w:rsidR="00304D6E">
        <w:rPr>
          <w:rFonts w:ascii="Arial" w:hAnsi="Arial" w:cs="Arial"/>
        </w:rPr>
        <w:t>-</w:t>
      </w:r>
      <w:r w:rsidR="00304D6E" w:rsidRPr="00304D6E">
        <w:t xml:space="preserve"> </w:t>
      </w:r>
      <w:r w:rsidR="00304D6E" w:rsidRPr="00304D6E">
        <w:rPr>
          <w:rFonts w:ascii="Arial" w:hAnsi="Arial" w:cs="Arial"/>
        </w:rPr>
        <w:t>We are maintaining biological species.</w:t>
      </w:r>
      <w:r w:rsidR="004F327D">
        <w:rPr>
          <w:rFonts w:ascii="Arial" w:hAnsi="Arial" w:cs="Arial"/>
        </w:rPr>
        <w:t>,(</w:t>
      </w:r>
      <w:r w:rsidR="004F327D" w:rsidRPr="004F327D">
        <w:t xml:space="preserve"> </w:t>
      </w:r>
      <w:r w:rsidR="004F327D" w:rsidRPr="004F327D">
        <w:rPr>
          <w:rFonts w:ascii="Arial" w:hAnsi="Arial" w:cs="Arial"/>
        </w:rPr>
        <w:t>Yoshioka, N. and Hamazaki, R., 2019</w:t>
      </w:r>
      <w:r w:rsidR="004F327D">
        <w:rPr>
          <w:rFonts w:ascii="Arial" w:hAnsi="Arial" w:cs="Arial"/>
        </w:rPr>
        <w:t>)</w:t>
      </w:r>
      <w:r w:rsidR="004F327D" w:rsidRPr="004F327D">
        <w:rPr>
          <w:rFonts w:ascii="Arial" w:hAnsi="Arial" w:cs="Arial"/>
        </w:rPr>
        <w:t>.</w:t>
      </w:r>
    </w:p>
    <w:p w14:paraId="084661D5" w14:textId="77777777" w:rsidR="000A3267" w:rsidRDefault="000A3267">
      <w:pPr>
        <w:spacing w:line="360" w:lineRule="auto"/>
        <w:rPr>
          <w:rFonts w:ascii="Arial" w:hAnsi="Arial" w:cs="Arial"/>
        </w:rPr>
      </w:pPr>
    </w:p>
    <w:p w14:paraId="618A5B69" w14:textId="77777777" w:rsidR="000A3267" w:rsidRDefault="000A3267">
      <w:pPr>
        <w:spacing w:line="360" w:lineRule="auto"/>
        <w:rPr>
          <w:rFonts w:ascii="Arial" w:hAnsi="Arial" w:cs="Arial"/>
        </w:rPr>
      </w:pPr>
    </w:p>
    <w:p w14:paraId="47CE18D3" w14:textId="77777777" w:rsidR="00E469CA" w:rsidRDefault="00E469CA">
      <w:pPr>
        <w:spacing w:line="360" w:lineRule="auto"/>
        <w:rPr>
          <w:rFonts w:ascii="Arial" w:hAnsi="Arial" w:cs="Arial"/>
        </w:rPr>
      </w:pPr>
    </w:p>
    <w:p w14:paraId="47CE18D4" w14:textId="619E6C92" w:rsidR="00E469CA" w:rsidRPr="009B0047" w:rsidRDefault="009E6CED">
      <w:pPr>
        <w:spacing w:line="360" w:lineRule="auto"/>
      </w:pPr>
      <w:r>
        <w:rPr>
          <w:rFonts w:ascii="Arial" w:hAnsi="Arial" w:cs="Arial"/>
        </w:rPr>
        <w:t>The organization help society acknowledges the people for the risk factors of stroke like high cholesterol stages can contribute to atherosclerosis precipitated with the aid of a build-up of plaque (deposits of fatty substances, cholesterol, calcium). Plaque build-up on the cells of the partitions of arteries can reduce the amount of blood floating to the brain.</w:t>
      </w:r>
      <w:r w:rsidR="009B0047">
        <w:rPr>
          <w:rFonts w:ascii="Arial" w:hAnsi="Arial" w:cs="Arial"/>
        </w:rPr>
        <w:t>,               (</w:t>
      </w:r>
      <w:r w:rsidR="009B0047" w:rsidRPr="009B0047">
        <w:rPr>
          <w:rFonts w:ascii="Arial" w:hAnsi="Arial" w:cs="Arial"/>
        </w:rPr>
        <w:t>Yaemrattanakul, W.,</w:t>
      </w:r>
      <w:r w:rsidR="009B0047">
        <w:rPr>
          <w:rFonts w:ascii="Arial" w:hAnsi="Arial" w:cs="Arial"/>
        </w:rPr>
        <w:t>et.al,2022).</w:t>
      </w:r>
    </w:p>
    <w:p w14:paraId="47CE18D5" w14:textId="4AD44493" w:rsidR="00E469CA" w:rsidRDefault="009E6CED">
      <w:pPr>
        <w:spacing w:line="360" w:lineRule="auto"/>
        <w:rPr>
          <w:rFonts w:ascii="Arial" w:hAnsi="Arial" w:cs="Arial"/>
        </w:rPr>
      </w:pPr>
      <w:r>
        <w:rPr>
          <w:rFonts w:ascii="Arial" w:hAnsi="Arial" w:cs="Arial"/>
        </w:rPr>
        <w:t>SDS options- the act gives human beings a range of choices for how their social care is delivered, thereby empowering people to figure out how much ongoing manipulation and responsibility they choose over their own assistance arrangements. The act requires neighbourhood authorities to provide human beings with the following four references for how they can receive their assessed care and support.,(Zhou,Z.et.al 2020).</w:t>
      </w:r>
    </w:p>
    <w:p w14:paraId="4C579949" w14:textId="7D213450" w:rsidR="00AA07ED" w:rsidRDefault="00F17E83">
      <w:pPr>
        <w:spacing w:line="360" w:lineRule="auto"/>
        <w:rPr>
          <w:rFonts w:ascii="Arial" w:hAnsi="Arial" w:cs="Arial"/>
        </w:rPr>
      </w:pPr>
      <w:r w:rsidRPr="00F17E83">
        <w:rPr>
          <w:rFonts w:ascii="Arial" w:hAnsi="Arial" w:cs="Arial"/>
        </w:rPr>
        <w:lastRenderedPageBreak/>
        <w:t xml:space="preserve">The Association gives carers who provide a significant amount of care on a regular foundation the right to request an evaluation of their needs as a career. This is recognized as a career assessment. Professionals </w:t>
      </w:r>
      <w:r w:rsidR="002708B1" w:rsidRPr="00F17E83">
        <w:rPr>
          <w:rFonts w:ascii="Arial" w:hAnsi="Arial" w:cs="Arial"/>
        </w:rPr>
        <w:t>collaborating</w:t>
      </w:r>
      <w:r w:rsidRPr="00F17E83">
        <w:rPr>
          <w:rFonts w:ascii="Arial" w:hAnsi="Arial" w:cs="Arial"/>
        </w:rPr>
        <w:t xml:space="preserve"> with human beings who have had a stroke should inform any appropriate carer of the right to request an estimate. As with an individual`s assessment, a top-quality carer`s evaluation begins with a problem-solving dialogue between the professional and the career with a sturdy focal point on personal outcomes.</w:t>
      </w:r>
      <w:r w:rsidR="00D82F97">
        <w:rPr>
          <w:rFonts w:ascii="Arial" w:hAnsi="Arial" w:cs="Arial"/>
        </w:rPr>
        <w:t>,(Adeoye,O.,et.al,2019).</w:t>
      </w:r>
    </w:p>
    <w:p w14:paraId="446BC0C7" w14:textId="77777777" w:rsidR="00013C7A" w:rsidRDefault="00013C7A">
      <w:pPr>
        <w:spacing w:line="360" w:lineRule="auto"/>
        <w:rPr>
          <w:rFonts w:ascii="Arial" w:hAnsi="Arial" w:cs="Arial"/>
        </w:rPr>
      </w:pPr>
    </w:p>
    <w:p w14:paraId="4AE1388E" w14:textId="3D438E7B" w:rsidR="00013C7A" w:rsidRDefault="00013C7A">
      <w:pPr>
        <w:spacing w:line="360" w:lineRule="auto"/>
        <w:rPr>
          <w:rFonts w:ascii="Arial" w:hAnsi="Arial" w:cs="Arial"/>
        </w:rPr>
      </w:pPr>
    </w:p>
    <w:p w14:paraId="0EF6CBB6" w14:textId="07E829B4" w:rsidR="00013C7A" w:rsidRDefault="00013C7A" w:rsidP="00013C7A">
      <w:pPr>
        <w:spacing w:line="360" w:lineRule="auto"/>
        <w:ind w:left="2880"/>
        <w:rPr>
          <w:rFonts w:ascii="Arial" w:hAnsi="Arial" w:cs="Arial"/>
          <w:b/>
          <w:bCs/>
        </w:rPr>
      </w:pPr>
      <w:r w:rsidRPr="00013C7A">
        <w:rPr>
          <w:rFonts w:ascii="Arial" w:hAnsi="Arial" w:cs="Arial"/>
          <w:b/>
          <w:bCs/>
        </w:rPr>
        <w:t>Recommendation</w:t>
      </w:r>
    </w:p>
    <w:p w14:paraId="70949071" w14:textId="77777777" w:rsidR="00F91A3F" w:rsidRDefault="00F91A3F" w:rsidP="00013C7A">
      <w:pPr>
        <w:spacing w:line="360" w:lineRule="auto"/>
        <w:ind w:left="2880"/>
        <w:rPr>
          <w:rFonts w:ascii="Arial" w:hAnsi="Arial" w:cs="Arial"/>
          <w:b/>
          <w:bCs/>
        </w:rPr>
      </w:pPr>
    </w:p>
    <w:p w14:paraId="657A6F60" w14:textId="1B2FD5AC" w:rsidR="004468BE" w:rsidRDefault="00296A8F" w:rsidP="009A0215">
      <w:pPr>
        <w:spacing w:line="360" w:lineRule="auto"/>
        <w:rPr>
          <w:rFonts w:ascii="Arial" w:hAnsi="Arial" w:cs="Arial"/>
        </w:rPr>
      </w:pPr>
      <w:r w:rsidRPr="00296A8F">
        <w:rPr>
          <w:rFonts w:ascii="Arial" w:hAnsi="Arial" w:cs="Arial"/>
        </w:rPr>
        <w:t>The type of brain stroke will determine the prevention methods. Reduced salt consumption, a Mediterranean diet, strenuous aerobic exercise lasting at least twenty minutes twice a week, and aerobic exercise with physical activity for at least 10 minutes four times a week are all lifestyle factors.</w:t>
      </w:r>
    </w:p>
    <w:p w14:paraId="1524E00F" w14:textId="3649FF17" w:rsidR="00296A8F" w:rsidRDefault="00CB5927" w:rsidP="009A0215">
      <w:pPr>
        <w:spacing w:line="360" w:lineRule="auto"/>
        <w:rPr>
          <w:rFonts w:ascii="Arial" w:hAnsi="Arial" w:cs="Arial"/>
        </w:rPr>
      </w:pPr>
      <w:r w:rsidRPr="00CB5927">
        <w:rPr>
          <w:rFonts w:ascii="Arial" w:hAnsi="Arial" w:cs="Arial"/>
        </w:rPr>
        <w:t>Lifestyle changes require consultation with a specialist and participation in specialized programs based on theoretical models for behaviour change, proven techniques, and a multidisciplinary approach.</w:t>
      </w:r>
    </w:p>
    <w:p w14:paraId="4FCBF50A" w14:textId="4E3C4FDC" w:rsidR="00FE078F" w:rsidRDefault="00A327CA" w:rsidP="009A0215">
      <w:pPr>
        <w:spacing w:line="360" w:lineRule="auto"/>
        <w:rPr>
          <w:rFonts w:ascii="Arial" w:hAnsi="Arial" w:cs="Arial"/>
        </w:rPr>
      </w:pPr>
      <w:r w:rsidRPr="00A327CA">
        <w:rPr>
          <w:rFonts w:ascii="Arial" w:hAnsi="Arial" w:cs="Arial"/>
        </w:rPr>
        <w:t>Aggressive drug control of risk factors is recommended as first-line therapy before angioplasty and stenting to prevent recurrence in patients with severe intracranial stenosis believed to be the cause of stroke.</w:t>
      </w:r>
    </w:p>
    <w:p w14:paraId="7AD08761" w14:textId="7FF81300" w:rsidR="0045164A" w:rsidRDefault="00F91A3F" w:rsidP="009A0215">
      <w:pPr>
        <w:spacing w:line="360" w:lineRule="auto"/>
        <w:rPr>
          <w:rFonts w:ascii="Arial" w:hAnsi="Arial" w:cs="Arial"/>
        </w:rPr>
      </w:pPr>
      <w:r w:rsidRPr="00F91A3F">
        <w:rPr>
          <w:rFonts w:ascii="Arial" w:hAnsi="Arial" w:cs="Arial"/>
        </w:rPr>
        <w:t xml:space="preserve">Rehabilitation in home conditions is essential for overcoming daily difficulties the patient might encounter. In this way, the therapist can </w:t>
      </w:r>
      <w:r w:rsidR="002708B1" w:rsidRPr="00F91A3F">
        <w:rPr>
          <w:rFonts w:ascii="Arial" w:hAnsi="Arial" w:cs="Arial"/>
        </w:rPr>
        <w:t>assess</w:t>
      </w:r>
      <w:r w:rsidRPr="00F91A3F">
        <w:rPr>
          <w:rFonts w:ascii="Arial" w:hAnsi="Arial" w:cs="Arial"/>
        </w:rPr>
        <w:t xml:space="preserve"> what they are and help in the best way to overcome them. This can also be accompanied by help and training of the patient's relatives to provide him with the necessary help in his daily life because often, the recovery can last for years. In some cases, it is even necessary to use aids for the correct selection, which the therapist could greatly help.</w:t>
      </w:r>
      <w:r w:rsidR="00A36DBE">
        <w:rPr>
          <w:rFonts w:ascii="Arial" w:hAnsi="Arial" w:cs="Arial"/>
        </w:rPr>
        <w:t>,(Navarro -Flores,A.,et.al,2021).</w:t>
      </w:r>
    </w:p>
    <w:p w14:paraId="338BB355" w14:textId="0C8E4D3B" w:rsidR="00CB5911" w:rsidRDefault="008E0409" w:rsidP="009A0215">
      <w:pPr>
        <w:spacing w:line="360" w:lineRule="auto"/>
        <w:rPr>
          <w:rFonts w:ascii="Arial" w:hAnsi="Arial" w:cs="Arial"/>
        </w:rPr>
      </w:pPr>
      <w:r w:rsidRPr="008E0409">
        <w:rPr>
          <w:rFonts w:ascii="Arial" w:hAnsi="Arial" w:cs="Arial"/>
        </w:rPr>
        <w:t>Creation of specific training programs aimed at society, doctors, and the rest of the hospital staff, aiming to reduce the recognition time and transportation of patients to medical facilities and increase the possibilities for thrombolytic treatment.</w:t>
      </w:r>
    </w:p>
    <w:p w14:paraId="47B33E94" w14:textId="77777777" w:rsidR="00DA1D57" w:rsidRPr="00DA1D57" w:rsidRDefault="00DA1D57" w:rsidP="00DA1D57">
      <w:pPr>
        <w:spacing w:line="360" w:lineRule="auto"/>
        <w:rPr>
          <w:rFonts w:ascii="Arial" w:hAnsi="Arial" w:cs="Arial"/>
        </w:rPr>
      </w:pPr>
      <w:r w:rsidRPr="00DA1D57">
        <w:rPr>
          <w:rFonts w:ascii="Arial" w:hAnsi="Arial" w:cs="Arial"/>
        </w:rPr>
        <w:t>It is educating the population to quickly recognize the early symptoms of a stroke—immediate contact with the service for rapid and urgent medical assistance.</w:t>
      </w:r>
    </w:p>
    <w:p w14:paraId="4A358CC0" w14:textId="294B3F79" w:rsidR="008E0409" w:rsidRDefault="00DA1D57" w:rsidP="00DA1D57">
      <w:pPr>
        <w:spacing w:line="360" w:lineRule="auto"/>
        <w:rPr>
          <w:rFonts w:ascii="Arial" w:hAnsi="Arial" w:cs="Arial"/>
        </w:rPr>
      </w:pPr>
      <w:r w:rsidRPr="00DA1D57">
        <w:rPr>
          <w:rFonts w:ascii="Arial" w:hAnsi="Arial" w:cs="Arial"/>
        </w:rPr>
        <w:lastRenderedPageBreak/>
        <w:t>High-priority emergency transport to the nearest specialist centre for treatment of strokes . The patient should not be transported to hospitals that cannot treat strokes, even if they are located closer.</w:t>
      </w:r>
      <w:r w:rsidR="00A36DBE">
        <w:rPr>
          <w:rFonts w:ascii="Arial" w:hAnsi="Arial" w:cs="Arial"/>
        </w:rPr>
        <w:t>,(Langhorne,P.,et.al,2020).</w:t>
      </w:r>
    </w:p>
    <w:p w14:paraId="624A050F" w14:textId="4CB0F022" w:rsidR="006D1EB2" w:rsidRDefault="006D1EB2" w:rsidP="00DA1D57">
      <w:pPr>
        <w:spacing w:line="360" w:lineRule="auto"/>
        <w:rPr>
          <w:rFonts w:ascii="Arial" w:hAnsi="Arial" w:cs="Arial"/>
        </w:rPr>
      </w:pPr>
    </w:p>
    <w:p w14:paraId="3AF92078" w14:textId="77777777" w:rsidR="006D1EB2" w:rsidRPr="009A0215" w:rsidRDefault="006D1EB2" w:rsidP="00DA1D57">
      <w:pPr>
        <w:spacing w:line="360" w:lineRule="auto"/>
        <w:rPr>
          <w:rFonts w:ascii="Arial" w:hAnsi="Arial" w:cs="Arial"/>
        </w:rPr>
      </w:pPr>
    </w:p>
    <w:p w14:paraId="685CB164" w14:textId="77777777" w:rsidR="00FC1B3B" w:rsidRPr="00013C7A" w:rsidRDefault="00FC1B3B" w:rsidP="00FC1B3B">
      <w:pPr>
        <w:spacing w:line="360" w:lineRule="auto"/>
        <w:rPr>
          <w:rFonts w:ascii="Arial" w:hAnsi="Arial" w:cs="Arial"/>
          <w:b/>
          <w:bCs/>
        </w:rPr>
      </w:pPr>
    </w:p>
    <w:p w14:paraId="47CE18D6" w14:textId="77777777" w:rsidR="00E469CA" w:rsidRDefault="00E469CA">
      <w:pPr>
        <w:spacing w:line="360" w:lineRule="auto"/>
        <w:rPr>
          <w:rFonts w:ascii="Arial" w:hAnsi="Arial" w:cs="Arial"/>
        </w:rPr>
      </w:pPr>
    </w:p>
    <w:p w14:paraId="47CE18D7" w14:textId="77777777" w:rsidR="00E469CA" w:rsidRDefault="00E469CA">
      <w:pPr>
        <w:spacing w:line="360" w:lineRule="auto"/>
        <w:rPr>
          <w:rFonts w:ascii="Arial" w:hAnsi="Arial" w:cs="Arial"/>
        </w:rPr>
      </w:pPr>
    </w:p>
    <w:p w14:paraId="47CE18D8" w14:textId="77777777" w:rsidR="00E469CA" w:rsidRDefault="00E469CA">
      <w:pPr>
        <w:spacing w:line="360" w:lineRule="auto"/>
        <w:rPr>
          <w:rFonts w:ascii="Arial" w:hAnsi="Arial" w:cs="Arial"/>
        </w:rPr>
      </w:pPr>
    </w:p>
    <w:p w14:paraId="47CE18D9" w14:textId="77777777" w:rsidR="00E469CA" w:rsidRDefault="00E469CA">
      <w:pPr>
        <w:spacing w:line="360" w:lineRule="auto"/>
        <w:rPr>
          <w:rFonts w:ascii="Arial" w:hAnsi="Arial" w:cs="Arial"/>
        </w:rPr>
      </w:pPr>
    </w:p>
    <w:p w14:paraId="47CE18DA" w14:textId="77777777" w:rsidR="00E469CA" w:rsidRDefault="00E469CA">
      <w:pPr>
        <w:spacing w:line="360" w:lineRule="auto"/>
        <w:rPr>
          <w:rFonts w:ascii="Arial" w:hAnsi="Arial" w:cs="Arial"/>
          <w:b/>
          <w:bCs/>
        </w:rPr>
      </w:pPr>
    </w:p>
    <w:p w14:paraId="47CE18DB" w14:textId="77777777" w:rsidR="00E469CA" w:rsidRDefault="00E469CA">
      <w:pPr>
        <w:spacing w:line="360" w:lineRule="auto"/>
        <w:rPr>
          <w:rFonts w:ascii="Arial" w:hAnsi="Arial" w:cs="Arial"/>
        </w:rPr>
      </w:pPr>
    </w:p>
    <w:p w14:paraId="47CE18DC" w14:textId="025F6674" w:rsidR="00E469CA" w:rsidRDefault="00E469CA">
      <w:pPr>
        <w:spacing w:line="360" w:lineRule="auto"/>
        <w:rPr>
          <w:rFonts w:ascii="Arial" w:hAnsi="Arial" w:cs="Arial"/>
        </w:rPr>
      </w:pPr>
    </w:p>
    <w:p w14:paraId="20EA0EDD" w14:textId="4E48F9E5" w:rsidR="006D1EB2" w:rsidRDefault="006D1EB2">
      <w:pPr>
        <w:spacing w:line="360" w:lineRule="auto"/>
        <w:rPr>
          <w:rFonts w:ascii="Arial" w:hAnsi="Arial" w:cs="Arial"/>
        </w:rPr>
      </w:pPr>
    </w:p>
    <w:p w14:paraId="60A7AD37" w14:textId="1BAD0DD2" w:rsidR="006D1EB2" w:rsidRDefault="006D1EB2">
      <w:pPr>
        <w:spacing w:line="360" w:lineRule="auto"/>
        <w:rPr>
          <w:rFonts w:ascii="Arial" w:hAnsi="Arial" w:cs="Arial"/>
        </w:rPr>
      </w:pPr>
    </w:p>
    <w:p w14:paraId="58F7E7E9" w14:textId="3988BF72" w:rsidR="006D1EB2" w:rsidRDefault="006D1EB2">
      <w:pPr>
        <w:spacing w:line="360" w:lineRule="auto"/>
        <w:rPr>
          <w:rFonts w:ascii="Arial" w:hAnsi="Arial" w:cs="Arial"/>
        </w:rPr>
      </w:pPr>
    </w:p>
    <w:p w14:paraId="4E253E2C" w14:textId="05CEFBF3" w:rsidR="006D1EB2" w:rsidRDefault="006D1EB2">
      <w:pPr>
        <w:spacing w:line="360" w:lineRule="auto"/>
        <w:rPr>
          <w:rFonts w:ascii="Arial" w:hAnsi="Arial" w:cs="Arial"/>
        </w:rPr>
      </w:pPr>
    </w:p>
    <w:p w14:paraId="70A44435" w14:textId="68D9A887" w:rsidR="006D1EB2" w:rsidRDefault="006D1EB2">
      <w:pPr>
        <w:spacing w:line="360" w:lineRule="auto"/>
        <w:rPr>
          <w:rFonts w:ascii="Arial" w:hAnsi="Arial" w:cs="Arial"/>
        </w:rPr>
      </w:pPr>
    </w:p>
    <w:p w14:paraId="012325E1" w14:textId="3C70CC41" w:rsidR="006D1EB2" w:rsidRDefault="006D1EB2">
      <w:pPr>
        <w:spacing w:line="360" w:lineRule="auto"/>
        <w:rPr>
          <w:rFonts w:ascii="Arial" w:hAnsi="Arial" w:cs="Arial"/>
        </w:rPr>
      </w:pPr>
    </w:p>
    <w:p w14:paraId="4E58B733" w14:textId="3C78FFD0" w:rsidR="006D1EB2" w:rsidRDefault="006D1EB2">
      <w:pPr>
        <w:spacing w:line="360" w:lineRule="auto"/>
        <w:rPr>
          <w:rFonts w:ascii="Arial" w:hAnsi="Arial" w:cs="Arial"/>
        </w:rPr>
      </w:pPr>
    </w:p>
    <w:p w14:paraId="63328191" w14:textId="09572A76" w:rsidR="006D1EB2" w:rsidRDefault="006D1EB2">
      <w:pPr>
        <w:spacing w:line="360" w:lineRule="auto"/>
        <w:rPr>
          <w:rFonts w:ascii="Arial" w:hAnsi="Arial" w:cs="Arial"/>
        </w:rPr>
      </w:pPr>
    </w:p>
    <w:p w14:paraId="7004A5B0" w14:textId="7D55534F" w:rsidR="000327F3" w:rsidRDefault="000327F3">
      <w:pPr>
        <w:spacing w:line="360" w:lineRule="auto"/>
        <w:rPr>
          <w:rFonts w:ascii="Arial" w:hAnsi="Arial" w:cs="Arial"/>
        </w:rPr>
      </w:pPr>
    </w:p>
    <w:p w14:paraId="4D6A0000" w14:textId="768ED50A" w:rsidR="000327F3" w:rsidRDefault="000327F3">
      <w:pPr>
        <w:spacing w:line="360" w:lineRule="auto"/>
        <w:rPr>
          <w:rFonts w:ascii="Arial" w:hAnsi="Arial" w:cs="Arial"/>
        </w:rPr>
      </w:pPr>
    </w:p>
    <w:p w14:paraId="608FE70D" w14:textId="0B9FD8D5" w:rsidR="000327F3" w:rsidRDefault="000327F3">
      <w:pPr>
        <w:spacing w:line="360" w:lineRule="auto"/>
        <w:rPr>
          <w:rFonts w:ascii="Arial" w:hAnsi="Arial" w:cs="Arial"/>
        </w:rPr>
      </w:pPr>
    </w:p>
    <w:p w14:paraId="0E4E2791" w14:textId="6750A464" w:rsidR="000327F3" w:rsidRDefault="000327F3">
      <w:pPr>
        <w:spacing w:line="360" w:lineRule="auto"/>
        <w:rPr>
          <w:rFonts w:ascii="Arial" w:hAnsi="Arial" w:cs="Arial"/>
        </w:rPr>
      </w:pPr>
    </w:p>
    <w:p w14:paraId="1BBF6B72" w14:textId="77777777" w:rsidR="000327F3" w:rsidRDefault="000327F3">
      <w:pPr>
        <w:spacing w:line="360" w:lineRule="auto"/>
        <w:rPr>
          <w:rFonts w:ascii="Arial" w:hAnsi="Arial" w:cs="Arial"/>
        </w:rPr>
      </w:pPr>
    </w:p>
    <w:p w14:paraId="055891F0" w14:textId="05A2DEE0" w:rsidR="006D1EB2" w:rsidRDefault="006D1EB2" w:rsidP="006D1EB2">
      <w:pPr>
        <w:spacing w:line="360" w:lineRule="auto"/>
        <w:ind w:left="3600"/>
        <w:rPr>
          <w:rFonts w:ascii="Arial" w:hAnsi="Arial" w:cs="Arial"/>
          <w:b/>
          <w:bCs/>
        </w:rPr>
      </w:pPr>
      <w:r w:rsidRPr="006D1EB2">
        <w:rPr>
          <w:rFonts w:ascii="Arial" w:hAnsi="Arial" w:cs="Arial"/>
          <w:b/>
          <w:bCs/>
        </w:rPr>
        <w:lastRenderedPageBreak/>
        <w:t>Conclusion</w:t>
      </w:r>
    </w:p>
    <w:p w14:paraId="3CB756A6" w14:textId="77777777" w:rsidR="00655733" w:rsidRDefault="001368F5" w:rsidP="001022CB">
      <w:pPr>
        <w:spacing w:line="360" w:lineRule="auto"/>
        <w:rPr>
          <w:rFonts w:ascii="Arial" w:hAnsi="Arial" w:cs="Arial"/>
        </w:rPr>
      </w:pPr>
      <w:r w:rsidRPr="001368F5">
        <w:rPr>
          <w:rFonts w:ascii="Arial" w:hAnsi="Arial" w:cs="Arial"/>
        </w:rPr>
        <w:t>The findings have significant ramifications for developing the best stroke rehabilitation programmes, which, in our opinion, are feasible within the constraints of the current clinical care systems. There are still many issues that must be resolved in subsequent research. The time and length of the sensitive or crucial period need to be more precisely determined first.</w:t>
      </w:r>
    </w:p>
    <w:p w14:paraId="2F62A0AA" w14:textId="7B59BD12" w:rsidR="0010360E" w:rsidRPr="0010360E" w:rsidRDefault="0071407A" w:rsidP="001022CB">
      <w:pPr>
        <w:spacing w:line="360" w:lineRule="auto"/>
        <w:rPr>
          <w:rFonts w:ascii="Arial" w:hAnsi="Arial" w:cs="Arial"/>
        </w:rPr>
      </w:pPr>
      <w:r w:rsidRPr="0071407A">
        <w:rPr>
          <w:rFonts w:ascii="Arial" w:hAnsi="Arial" w:cs="Arial"/>
        </w:rPr>
        <w:t>Many stroke patients require rehabilitation following their illness, and there are possibilities to increase compliance with accepted standards of care. These performance indicators were developed to concentrate on crucial elements of stroke therapy that are significant to stroke victims, quantifiable, and thought to offer room for performance improvement.</w:t>
      </w:r>
      <w:r w:rsidR="008B33EF">
        <w:rPr>
          <w:rFonts w:ascii="Arial" w:hAnsi="Arial" w:cs="Arial"/>
        </w:rPr>
        <w:t>,(Lee ,H.S.,et.al,2019).</w:t>
      </w:r>
    </w:p>
    <w:p w14:paraId="47CE18DD" w14:textId="007F1913" w:rsidR="00E469CA" w:rsidRDefault="009E6CED">
      <w:pPr>
        <w:spacing w:line="360" w:lineRule="auto"/>
        <w:rPr>
          <w:rFonts w:ascii="Arial" w:hAnsi="Arial" w:cs="Arial"/>
          <w:noProof/>
        </w:rPr>
      </w:pPr>
      <w:r>
        <w:rPr>
          <w:rFonts w:ascii="Arial" w:hAnsi="Arial" w:cs="Arial"/>
        </w:rPr>
        <w:t xml:space="preserve">                                         </w:t>
      </w:r>
    </w:p>
    <w:p w14:paraId="26F1A3A1" w14:textId="06B06046" w:rsidR="000327F3" w:rsidRDefault="000327F3">
      <w:pPr>
        <w:spacing w:line="360" w:lineRule="auto"/>
        <w:rPr>
          <w:rFonts w:ascii="Arial" w:hAnsi="Arial" w:cs="Arial"/>
          <w:noProof/>
        </w:rPr>
      </w:pPr>
    </w:p>
    <w:p w14:paraId="376A0A20" w14:textId="7A1341A7" w:rsidR="000327F3" w:rsidRDefault="000327F3">
      <w:pPr>
        <w:spacing w:line="360" w:lineRule="auto"/>
        <w:rPr>
          <w:rFonts w:ascii="Arial" w:hAnsi="Arial" w:cs="Arial"/>
          <w:noProof/>
        </w:rPr>
      </w:pPr>
    </w:p>
    <w:p w14:paraId="4FCAABE3" w14:textId="2D3105FF" w:rsidR="000327F3" w:rsidRDefault="000327F3">
      <w:pPr>
        <w:spacing w:line="360" w:lineRule="auto"/>
        <w:rPr>
          <w:rFonts w:ascii="Arial" w:hAnsi="Arial" w:cs="Arial"/>
          <w:noProof/>
        </w:rPr>
      </w:pPr>
    </w:p>
    <w:p w14:paraId="4CBFDC01" w14:textId="7768006E" w:rsidR="000327F3" w:rsidRDefault="000327F3">
      <w:pPr>
        <w:spacing w:line="360" w:lineRule="auto"/>
        <w:rPr>
          <w:rFonts w:ascii="Arial" w:hAnsi="Arial" w:cs="Arial"/>
          <w:noProof/>
        </w:rPr>
      </w:pPr>
    </w:p>
    <w:p w14:paraId="6BE575A4" w14:textId="5CDF142E" w:rsidR="000327F3" w:rsidRDefault="000327F3">
      <w:pPr>
        <w:spacing w:line="360" w:lineRule="auto"/>
        <w:rPr>
          <w:rFonts w:ascii="Arial" w:hAnsi="Arial" w:cs="Arial"/>
          <w:noProof/>
        </w:rPr>
      </w:pPr>
    </w:p>
    <w:p w14:paraId="75160F6F" w14:textId="6A5B16A6" w:rsidR="000327F3" w:rsidRDefault="000327F3">
      <w:pPr>
        <w:spacing w:line="360" w:lineRule="auto"/>
        <w:rPr>
          <w:rFonts w:ascii="Arial" w:hAnsi="Arial" w:cs="Arial"/>
          <w:noProof/>
        </w:rPr>
      </w:pPr>
    </w:p>
    <w:p w14:paraId="4380CBED" w14:textId="3F1C12F9" w:rsidR="000327F3" w:rsidRDefault="000327F3">
      <w:pPr>
        <w:spacing w:line="360" w:lineRule="auto"/>
        <w:rPr>
          <w:rFonts w:ascii="Arial" w:hAnsi="Arial" w:cs="Arial"/>
          <w:noProof/>
        </w:rPr>
      </w:pPr>
    </w:p>
    <w:p w14:paraId="3310A610" w14:textId="20BF71DB" w:rsidR="000327F3" w:rsidRDefault="000327F3">
      <w:pPr>
        <w:spacing w:line="360" w:lineRule="auto"/>
        <w:rPr>
          <w:rFonts w:ascii="Arial" w:hAnsi="Arial" w:cs="Arial"/>
          <w:noProof/>
        </w:rPr>
      </w:pPr>
    </w:p>
    <w:p w14:paraId="6B7FA151" w14:textId="1A5C9A90" w:rsidR="000327F3" w:rsidRDefault="000327F3">
      <w:pPr>
        <w:spacing w:line="360" w:lineRule="auto"/>
        <w:rPr>
          <w:rFonts w:ascii="Arial" w:hAnsi="Arial" w:cs="Arial"/>
          <w:noProof/>
        </w:rPr>
      </w:pPr>
    </w:p>
    <w:p w14:paraId="6DA23CC8" w14:textId="0402C6E3" w:rsidR="000327F3" w:rsidRDefault="000327F3">
      <w:pPr>
        <w:spacing w:line="360" w:lineRule="auto"/>
        <w:rPr>
          <w:rFonts w:ascii="Arial" w:hAnsi="Arial" w:cs="Arial"/>
          <w:noProof/>
        </w:rPr>
      </w:pPr>
    </w:p>
    <w:p w14:paraId="79949A40" w14:textId="54EE7466" w:rsidR="000327F3" w:rsidRDefault="000327F3">
      <w:pPr>
        <w:spacing w:line="360" w:lineRule="auto"/>
        <w:rPr>
          <w:rFonts w:ascii="Arial" w:hAnsi="Arial" w:cs="Arial"/>
          <w:noProof/>
        </w:rPr>
      </w:pPr>
    </w:p>
    <w:p w14:paraId="5AF43D4D" w14:textId="66E0A16A" w:rsidR="000327F3" w:rsidRDefault="000327F3">
      <w:pPr>
        <w:spacing w:line="360" w:lineRule="auto"/>
        <w:rPr>
          <w:rFonts w:ascii="Arial" w:hAnsi="Arial" w:cs="Arial"/>
          <w:noProof/>
        </w:rPr>
      </w:pPr>
    </w:p>
    <w:p w14:paraId="529D55AB" w14:textId="78EC6C1E" w:rsidR="000327F3" w:rsidRDefault="000327F3">
      <w:pPr>
        <w:spacing w:line="360" w:lineRule="auto"/>
        <w:rPr>
          <w:rFonts w:ascii="Arial" w:hAnsi="Arial" w:cs="Arial"/>
          <w:noProof/>
        </w:rPr>
      </w:pPr>
    </w:p>
    <w:p w14:paraId="20FCA36D" w14:textId="17164F10" w:rsidR="000327F3" w:rsidRDefault="000327F3">
      <w:pPr>
        <w:spacing w:line="360" w:lineRule="auto"/>
        <w:rPr>
          <w:rFonts w:ascii="Arial" w:hAnsi="Arial" w:cs="Arial"/>
          <w:noProof/>
        </w:rPr>
      </w:pPr>
    </w:p>
    <w:p w14:paraId="4DE3D0B5" w14:textId="37CA9CED" w:rsidR="000327F3" w:rsidRDefault="000327F3">
      <w:pPr>
        <w:spacing w:line="360" w:lineRule="auto"/>
        <w:rPr>
          <w:rFonts w:ascii="Arial" w:hAnsi="Arial" w:cs="Arial"/>
          <w:noProof/>
        </w:rPr>
      </w:pPr>
    </w:p>
    <w:p w14:paraId="72F2FC86" w14:textId="6ECE8502" w:rsidR="000327F3" w:rsidRDefault="000327F3">
      <w:pPr>
        <w:spacing w:line="360" w:lineRule="auto"/>
        <w:rPr>
          <w:rFonts w:ascii="Arial" w:hAnsi="Arial" w:cs="Arial"/>
          <w:noProof/>
        </w:rPr>
      </w:pPr>
    </w:p>
    <w:p w14:paraId="03D17FF6" w14:textId="1DD6AC6E" w:rsidR="000327F3" w:rsidRDefault="003D7AD9" w:rsidP="003D7AD9">
      <w:pPr>
        <w:spacing w:line="360" w:lineRule="auto"/>
        <w:ind w:left="3600"/>
        <w:rPr>
          <w:rFonts w:ascii="Arial" w:hAnsi="Arial" w:cs="Arial"/>
          <w:b/>
          <w:bCs/>
          <w:noProof/>
        </w:rPr>
      </w:pPr>
      <w:r w:rsidRPr="003D7AD9">
        <w:rPr>
          <w:rFonts w:ascii="Arial" w:hAnsi="Arial" w:cs="Arial"/>
          <w:b/>
          <w:bCs/>
          <w:noProof/>
        </w:rPr>
        <w:lastRenderedPageBreak/>
        <w:t>References</w:t>
      </w:r>
    </w:p>
    <w:p w14:paraId="4FA1ACDC" w14:textId="593EB713" w:rsidR="001232C0" w:rsidRDefault="0020049F" w:rsidP="001232C0">
      <w:pPr>
        <w:spacing w:line="360" w:lineRule="auto"/>
        <w:rPr>
          <w:rFonts w:ascii="Arial" w:hAnsi="Arial" w:cs="Arial"/>
          <w:noProof/>
        </w:rPr>
      </w:pPr>
      <w:r w:rsidRPr="0020049F">
        <w:rPr>
          <w:rFonts w:ascii="Arial" w:hAnsi="Arial" w:cs="Arial"/>
          <w:noProof/>
        </w:rPr>
        <w:t>•</w:t>
      </w:r>
      <w:r w:rsidRPr="0020049F">
        <w:rPr>
          <w:rFonts w:ascii="Arial" w:hAnsi="Arial" w:cs="Arial"/>
          <w:b/>
          <w:bCs/>
          <w:noProof/>
        </w:rPr>
        <w:tab/>
      </w:r>
      <w:r w:rsidRPr="0020049F">
        <w:rPr>
          <w:rFonts w:ascii="Arial" w:hAnsi="Arial" w:cs="Arial"/>
          <w:noProof/>
        </w:rPr>
        <w:t>Anderson, W.A., Bosak, A., Hogberg, H.T., Hartung, T. and Moore, M.J., 2021. Advances in 3D neuronal microphysiological systems: towards a functional nervous system on a chip. In Vitro Cellular &amp; Developmental Biology-Animal, 57(2), pp.191-206.</w:t>
      </w:r>
    </w:p>
    <w:p w14:paraId="56022D4A" w14:textId="12C3224B" w:rsidR="0020049F" w:rsidRDefault="007F79F0" w:rsidP="001232C0">
      <w:pPr>
        <w:spacing w:line="360" w:lineRule="auto"/>
        <w:rPr>
          <w:rFonts w:ascii="Arial" w:hAnsi="Arial" w:cs="Arial"/>
          <w:noProof/>
        </w:rPr>
      </w:pPr>
      <w:r w:rsidRPr="007F79F0">
        <w:rPr>
          <w:rFonts w:ascii="Arial" w:hAnsi="Arial" w:cs="Arial"/>
          <w:noProof/>
        </w:rPr>
        <w:t>•</w:t>
      </w:r>
      <w:r w:rsidRPr="007F79F0">
        <w:rPr>
          <w:rFonts w:ascii="Arial" w:hAnsi="Arial" w:cs="Arial"/>
          <w:noProof/>
        </w:rPr>
        <w:tab/>
        <w:t>Adeoye, O., Nyström, K.V., Yavagal, D.R., Luciano, J., Nogueira, R.G., Zorowitz, R.D., Khalessi, A.A., Bushnell, C., Barsan, W.G., Panagos, P. and Alberts, M.J., 2019. Recommendations for the establishment of stroke systems of care: a 2019 update: a policy statement from the American Stroke Association. Stroke, 50(7), pp.e187-e210</w:t>
      </w:r>
      <w:r>
        <w:rPr>
          <w:rFonts w:ascii="Arial" w:hAnsi="Arial" w:cs="Arial"/>
          <w:noProof/>
        </w:rPr>
        <w:t>.</w:t>
      </w:r>
    </w:p>
    <w:p w14:paraId="63075D4D" w14:textId="55C0886C" w:rsidR="00532714" w:rsidRDefault="00532714" w:rsidP="001232C0">
      <w:pPr>
        <w:spacing w:line="360" w:lineRule="auto"/>
        <w:rPr>
          <w:rFonts w:ascii="Arial" w:hAnsi="Arial" w:cs="Arial"/>
          <w:noProof/>
        </w:rPr>
      </w:pPr>
      <w:r w:rsidRPr="00532714">
        <w:rPr>
          <w:rFonts w:ascii="Arial" w:hAnsi="Arial" w:cs="Arial"/>
          <w:noProof/>
        </w:rPr>
        <w:t>•</w:t>
      </w:r>
      <w:r w:rsidRPr="00532714">
        <w:rPr>
          <w:rFonts w:ascii="Arial" w:hAnsi="Arial" w:cs="Arial"/>
          <w:noProof/>
        </w:rPr>
        <w:tab/>
        <w:t>Brunton, L., Sammut-Powell, C., Birleson, E., Boaden, R., Knowles, S.E., McQuaker, C., Cross, S., Greaves, N., Paroutoglou, K., Alzouabi, O. and Patel, H.C., 2022. Scale-up of ABC care bundle for intracerebral haemorrhage across two hyperacute stroke units in one region in England: a mixed methods evaluation of a quality improvement project. BMJ open quality, 11(2), p.e001601.</w:t>
      </w:r>
    </w:p>
    <w:p w14:paraId="563E75DE" w14:textId="53947663" w:rsidR="005509BE" w:rsidRDefault="005509BE" w:rsidP="001232C0">
      <w:pPr>
        <w:spacing w:line="360" w:lineRule="auto"/>
        <w:rPr>
          <w:rFonts w:ascii="Arial" w:hAnsi="Arial" w:cs="Arial"/>
          <w:noProof/>
        </w:rPr>
      </w:pPr>
      <w:r w:rsidRPr="005509BE">
        <w:rPr>
          <w:rFonts w:ascii="Arial" w:hAnsi="Arial" w:cs="Arial"/>
          <w:noProof/>
        </w:rPr>
        <w:t>•</w:t>
      </w:r>
      <w:r w:rsidRPr="005509BE">
        <w:rPr>
          <w:rFonts w:ascii="Arial" w:hAnsi="Arial" w:cs="Arial"/>
          <w:noProof/>
        </w:rPr>
        <w:tab/>
        <w:t>Lee, H.S., Park, Y.J. and Park, S.W., 2019. The effects of virtual reality training on function in chronic stroke patients: a systematic review and meta-analysis. BioMed research international, 2019.</w:t>
      </w:r>
    </w:p>
    <w:p w14:paraId="018E9573" w14:textId="7FFAFD89" w:rsidR="00756338" w:rsidRDefault="00756338" w:rsidP="001232C0">
      <w:pPr>
        <w:spacing w:line="360" w:lineRule="auto"/>
        <w:rPr>
          <w:rFonts w:ascii="Arial" w:hAnsi="Arial" w:cs="Arial"/>
          <w:noProof/>
        </w:rPr>
      </w:pPr>
      <w:r w:rsidRPr="00756338">
        <w:rPr>
          <w:rFonts w:ascii="Arial" w:hAnsi="Arial" w:cs="Arial"/>
          <w:noProof/>
        </w:rPr>
        <w:t>•</w:t>
      </w:r>
      <w:r w:rsidRPr="00756338">
        <w:rPr>
          <w:rFonts w:ascii="Arial" w:hAnsi="Arial" w:cs="Arial"/>
          <w:noProof/>
        </w:rPr>
        <w:tab/>
        <w:t>Langhorne, P., Audebert, H.J., Cadilhac, D.A., Kim, J. and Lindsay, P., 2020. Stroke systems of care in high-income countries: what is optimal? The Lancet, 396(10260), pp.1433-1442</w:t>
      </w:r>
    </w:p>
    <w:p w14:paraId="5ADD7FBB" w14:textId="6EC6BA96" w:rsidR="008E1E2E" w:rsidRDefault="00835CFE" w:rsidP="001232C0">
      <w:pPr>
        <w:spacing w:line="360" w:lineRule="auto"/>
        <w:rPr>
          <w:rFonts w:ascii="Arial" w:hAnsi="Arial" w:cs="Arial"/>
          <w:noProof/>
        </w:rPr>
      </w:pPr>
      <w:r w:rsidRPr="00835CFE">
        <w:rPr>
          <w:rFonts w:ascii="Arial" w:hAnsi="Arial" w:cs="Arial"/>
          <w:noProof/>
        </w:rPr>
        <w:t>•</w:t>
      </w:r>
      <w:r w:rsidRPr="00835CFE">
        <w:rPr>
          <w:rFonts w:ascii="Arial" w:hAnsi="Arial" w:cs="Arial"/>
          <w:noProof/>
        </w:rPr>
        <w:tab/>
        <w:t>Longley, V., Peters, S., Swarbrick, C., Rhodes, S. and Bowen, A., 2019. Does pre-existing cognitive impairment impact on amount of stroke rehabilitation received? An observational cohort studies. Clinical Rehabilitation, 33(9), pp.1492-1502.</w:t>
      </w:r>
    </w:p>
    <w:p w14:paraId="58F10AAC" w14:textId="785CB1D8" w:rsidR="002536D7" w:rsidRDefault="002536D7" w:rsidP="001232C0">
      <w:pPr>
        <w:spacing w:line="360" w:lineRule="auto"/>
        <w:rPr>
          <w:rFonts w:ascii="Arial" w:hAnsi="Arial" w:cs="Arial"/>
          <w:noProof/>
        </w:rPr>
      </w:pPr>
      <w:r w:rsidRPr="002536D7">
        <w:rPr>
          <w:rFonts w:ascii="Arial" w:hAnsi="Arial" w:cs="Arial"/>
          <w:noProof/>
        </w:rPr>
        <w:t>•</w:t>
      </w:r>
      <w:r w:rsidRPr="002536D7">
        <w:rPr>
          <w:rFonts w:ascii="Arial" w:hAnsi="Arial" w:cs="Arial"/>
          <w:noProof/>
        </w:rPr>
        <w:tab/>
        <w:t>Li, S., Song, J., Ke, P., Kong, L., Lei, B., Zhou, J., Huang, Y., Li, H., Li, G., Chen, J. and Li, X., 2021. The gut microbiome is associated with brain structure and function in schizophrenia. Scientific reports, 11(1), pp.1-11.</w:t>
      </w:r>
    </w:p>
    <w:p w14:paraId="171FB6D7" w14:textId="2B3B41AB" w:rsidR="000D74D1" w:rsidRDefault="000D74D1" w:rsidP="001232C0">
      <w:pPr>
        <w:spacing w:line="360" w:lineRule="auto"/>
        <w:rPr>
          <w:rFonts w:ascii="Arial" w:hAnsi="Arial" w:cs="Arial"/>
          <w:noProof/>
        </w:rPr>
      </w:pPr>
      <w:r w:rsidRPr="000D74D1">
        <w:rPr>
          <w:rFonts w:ascii="Arial" w:hAnsi="Arial" w:cs="Arial"/>
          <w:noProof/>
        </w:rPr>
        <w:t>•</w:t>
      </w:r>
      <w:r w:rsidRPr="000D74D1">
        <w:rPr>
          <w:rFonts w:ascii="Arial" w:hAnsi="Arial" w:cs="Arial"/>
          <w:noProof/>
        </w:rPr>
        <w:tab/>
        <w:t>Murphy, S.J. and Werring, D.J., 2020. Stroke: causes and clinical features. Medicine, 48(9), pp.561-566.</w:t>
      </w:r>
    </w:p>
    <w:p w14:paraId="1B53050E" w14:textId="2E5BA079" w:rsidR="00292E12" w:rsidRDefault="00292E12" w:rsidP="001232C0">
      <w:pPr>
        <w:spacing w:line="360" w:lineRule="auto"/>
        <w:rPr>
          <w:rFonts w:ascii="Arial" w:hAnsi="Arial" w:cs="Arial"/>
          <w:noProof/>
        </w:rPr>
      </w:pPr>
      <w:r w:rsidRPr="00292E12">
        <w:rPr>
          <w:rFonts w:ascii="Arial" w:hAnsi="Arial" w:cs="Arial"/>
          <w:noProof/>
        </w:rPr>
        <w:t>•</w:t>
      </w:r>
      <w:r w:rsidRPr="00292E12">
        <w:rPr>
          <w:rFonts w:ascii="Arial" w:hAnsi="Arial" w:cs="Arial"/>
          <w:noProof/>
        </w:rPr>
        <w:tab/>
        <w:t>Martindale, N., Stephenson, J. and Pownall, S., 2019. Neuromuscular electrical stimulation plus rehabilitative exercise as a treatment for dysphagia in stroke and non-stroke patients in an NHS setting: feasibility and outcomes. Geriatrics, 4(4), p.53.</w:t>
      </w:r>
    </w:p>
    <w:p w14:paraId="0C281ECC" w14:textId="7524E1EB" w:rsidR="005314A3" w:rsidRDefault="005314A3" w:rsidP="001232C0">
      <w:pPr>
        <w:spacing w:line="360" w:lineRule="auto"/>
        <w:rPr>
          <w:rFonts w:ascii="Arial" w:hAnsi="Arial" w:cs="Arial"/>
          <w:noProof/>
        </w:rPr>
      </w:pPr>
      <w:r w:rsidRPr="005314A3">
        <w:rPr>
          <w:rFonts w:ascii="Arial" w:hAnsi="Arial" w:cs="Arial"/>
          <w:noProof/>
        </w:rPr>
        <w:lastRenderedPageBreak/>
        <w:t>•</w:t>
      </w:r>
      <w:r w:rsidRPr="005314A3">
        <w:rPr>
          <w:rFonts w:ascii="Arial" w:hAnsi="Arial" w:cs="Arial"/>
          <w:noProof/>
        </w:rPr>
        <w:tab/>
        <w:t>Miller, K.D., Ostrom, Q.T., Kruchko, C., Patil, N., Tihan, T., Cioffi, G., Fuchs, H.E., Waite, K.A., Jemal, A., Siegel, R.L. and Barnholtz</w:t>
      </w:r>
      <w:r w:rsidRPr="005314A3">
        <w:rPr>
          <w:rFonts w:ascii="Cambria Math" w:hAnsi="Cambria Math" w:cs="Cambria Math"/>
          <w:noProof/>
        </w:rPr>
        <w:t>‐</w:t>
      </w:r>
      <w:r w:rsidRPr="005314A3">
        <w:rPr>
          <w:rFonts w:ascii="Arial" w:hAnsi="Arial" w:cs="Arial"/>
          <w:noProof/>
        </w:rPr>
        <w:t>Sloan, J.S., 2021. Brain and other central nervous system tumor statistics, 2021. CA: a cancer journal for clinicians, 71(5), pp.381-406.</w:t>
      </w:r>
    </w:p>
    <w:p w14:paraId="22FBE72A" w14:textId="39C29405" w:rsidR="00D80941" w:rsidRDefault="00D80941" w:rsidP="001232C0">
      <w:pPr>
        <w:spacing w:line="360" w:lineRule="auto"/>
        <w:rPr>
          <w:rFonts w:ascii="Arial" w:hAnsi="Arial" w:cs="Arial"/>
          <w:noProof/>
        </w:rPr>
      </w:pPr>
      <w:r w:rsidRPr="00D80941">
        <w:rPr>
          <w:rFonts w:ascii="Arial" w:hAnsi="Arial" w:cs="Arial"/>
          <w:noProof/>
        </w:rPr>
        <w:t>•</w:t>
      </w:r>
      <w:r w:rsidRPr="00D80941">
        <w:rPr>
          <w:rFonts w:ascii="Arial" w:hAnsi="Arial" w:cs="Arial"/>
          <w:noProof/>
        </w:rPr>
        <w:tab/>
        <w:t>Navarro-Flores, A., Alarcon-Ruiz, C.A., Morán-Mariños, C., Taype-Rondan, A., Sequeiros, J.M., Alva-Diaz, C. and Zafra-Tanaka, J.H., 2021. Scoping review of clinical practice guidelines for the early management of stroke with focus on endovascular treatment. World Neurosurgery, 155, pp.e249-e263.</w:t>
      </w:r>
    </w:p>
    <w:p w14:paraId="78B55389" w14:textId="638B0AA0" w:rsidR="00A03FCF" w:rsidRDefault="007C037A" w:rsidP="001232C0">
      <w:pPr>
        <w:spacing w:line="360" w:lineRule="auto"/>
        <w:rPr>
          <w:rFonts w:ascii="Arial" w:hAnsi="Arial" w:cs="Arial"/>
          <w:noProof/>
        </w:rPr>
      </w:pPr>
      <w:r w:rsidRPr="007C037A">
        <w:rPr>
          <w:rFonts w:ascii="Arial" w:hAnsi="Arial" w:cs="Arial"/>
          <w:noProof/>
        </w:rPr>
        <w:t>•</w:t>
      </w:r>
      <w:r w:rsidRPr="007C037A">
        <w:rPr>
          <w:rFonts w:ascii="Arial" w:hAnsi="Arial" w:cs="Arial"/>
          <w:noProof/>
        </w:rPr>
        <w:tab/>
        <w:t>Sparaco, M., Ciolli, L. and Zini, A., 2019. Posterior circulation ischaemic stroke—a review part I: anatomy, aetiology, and clinical presentations. Neurological Sciences, 40(10), pp.1995-2006.</w:t>
      </w:r>
    </w:p>
    <w:p w14:paraId="4F0AAC74" w14:textId="77777777" w:rsidR="007C037A" w:rsidRPr="007C037A" w:rsidRDefault="007C037A" w:rsidP="007C037A">
      <w:pPr>
        <w:spacing w:line="360" w:lineRule="auto"/>
        <w:rPr>
          <w:rFonts w:ascii="Arial" w:hAnsi="Arial" w:cs="Arial"/>
          <w:noProof/>
        </w:rPr>
      </w:pPr>
      <w:r w:rsidRPr="007C037A">
        <w:rPr>
          <w:rFonts w:ascii="Arial" w:hAnsi="Arial" w:cs="Arial"/>
          <w:noProof/>
        </w:rPr>
        <w:t>•</w:t>
      </w:r>
      <w:r w:rsidRPr="007C037A">
        <w:rPr>
          <w:rFonts w:ascii="Arial" w:hAnsi="Arial" w:cs="Arial"/>
          <w:noProof/>
        </w:rPr>
        <w:tab/>
        <w:t>Sirsat, M.S., Fermé, E. and Câmara, J., 2020. Machine learning for brain stroke: a review. Journal of Stroke and Cerebrovascular Diseases, 29(10), p.105162.</w:t>
      </w:r>
    </w:p>
    <w:p w14:paraId="682387B8" w14:textId="5741AF5B" w:rsidR="007C037A" w:rsidRDefault="007C037A" w:rsidP="007C037A">
      <w:pPr>
        <w:spacing w:line="360" w:lineRule="auto"/>
        <w:rPr>
          <w:rFonts w:ascii="Arial" w:hAnsi="Arial" w:cs="Arial"/>
          <w:noProof/>
        </w:rPr>
      </w:pPr>
      <w:r w:rsidRPr="007C037A">
        <w:rPr>
          <w:rFonts w:ascii="Arial" w:hAnsi="Arial" w:cs="Arial"/>
          <w:noProof/>
        </w:rPr>
        <w:t>•</w:t>
      </w:r>
      <w:r w:rsidRPr="007C037A">
        <w:rPr>
          <w:rFonts w:ascii="Arial" w:hAnsi="Arial" w:cs="Arial"/>
          <w:noProof/>
        </w:rPr>
        <w:tab/>
        <w:t>Sekhon, J.K., Oates, J., Kneebone, I. and Rose, M., 2019. Counselling training for speech–language therapists working with people affected by post</w:t>
      </w:r>
      <w:r w:rsidRPr="007C037A">
        <w:rPr>
          <w:rFonts w:ascii="Cambria Math" w:hAnsi="Cambria Math" w:cs="Cambria Math"/>
          <w:noProof/>
        </w:rPr>
        <w:t>‐</w:t>
      </w:r>
      <w:r w:rsidRPr="007C037A">
        <w:rPr>
          <w:rFonts w:ascii="Arial" w:hAnsi="Arial" w:cs="Arial"/>
          <w:noProof/>
        </w:rPr>
        <w:t>stroke aphasia: a systematic review. International journal of language &amp; communication disorders, 54(3), pp.321-346.</w:t>
      </w:r>
    </w:p>
    <w:p w14:paraId="0DF11406" w14:textId="7BBD8FCD" w:rsidR="007C037A" w:rsidRDefault="007C037A" w:rsidP="007C037A">
      <w:pPr>
        <w:spacing w:line="360" w:lineRule="auto"/>
        <w:rPr>
          <w:rFonts w:ascii="Arial" w:hAnsi="Arial" w:cs="Arial"/>
          <w:noProof/>
        </w:rPr>
      </w:pPr>
      <w:r w:rsidRPr="007C037A">
        <w:rPr>
          <w:rFonts w:ascii="Arial" w:hAnsi="Arial" w:cs="Arial"/>
          <w:noProof/>
        </w:rPr>
        <w:t>•</w:t>
      </w:r>
      <w:r w:rsidRPr="007C037A">
        <w:rPr>
          <w:rFonts w:ascii="Arial" w:hAnsi="Arial" w:cs="Arial"/>
          <w:noProof/>
        </w:rPr>
        <w:tab/>
        <w:t>Stroke source book: basic consumer health information about stroke, including ischemic, haemorrhagic ,and mini strokes, as well as risk factors ,prevention guidelines, diagnostic tests, medications and surgical treatments ,and complications of stroke…Detroit,Mi:Omnigraphics</w:t>
      </w:r>
      <w:r>
        <w:rPr>
          <w:rFonts w:ascii="Arial" w:hAnsi="Arial" w:cs="Arial"/>
          <w:noProof/>
        </w:rPr>
        <w:t>.</w:t>
      </w:r>
    </w:p>
    <w:p w14:paraId="3242B5F1" w14:textId="776A27AF" w:rsidR="00F75203" w:rsidRDefault="00F75203" w:rsidP="007C037A">
      <w:pPr>
        <w:spacing w:line="360" w:lineRule="auto"/>
        <w:rPr>
          <w:rFonts w:ascii="Arial" w:hAnsi="Arial" w:cs="Arial"/>
          <w:noProof/>
        </w:rPr>
      </w:pPr>
      <w:r w:rsidRPr="00F75203">
        <w:rPr>
          <w:rFonts w:ascii="Arial" w:hAnsi="Arial" w:cs="Arial"/>
          <w:noProof/>
        </w:rPr>
        <w:t>•</w:t>
      </w:r>
      <w:r w:rsidRPr="00F75203">
        <w:rPr>
          <w:rFonts w:ascii="Arial" w:hAnsi="Arial" w:cs="Arial"/>
          <w:noProof/>
        </w:rPr>
        <w:tab/>
        <w:t>Tian, N., Liang, L.K., Luo, X.M., Hu, R.L., Long, W.S. and Song, R., 2022. More than just statics: altered complexity of dynamic amplitude of low-frequency fluctuations in the resting brain after stroke. Journal of Neural Engineering, 19(3), p.036036.</w:t>
      </w:r>
    </w:p>
    <w:p w14:paraId="3E81598A" w14:textId="29E74BEC" w:rsidR="00757C04" w:rsidRDefault="00757C04" w:rsidP="007C037A">
      <w:pPr>
        <w:spacing w:line="360" w:lineRule="auto"/>
        <w:rPr>
          <w:rFonts w:ascii="Arial" w:hAnsi="Arial" w:cs="Arial"/>
          <w:noProof/>
        </w:rPr>
      </w:pPr>
      <w:r w:rsidRPr="00757C04">
        <w:rPr>
          <w:rFonts w:ascii="Arial" w:hAnsi="Arial" w:cs="Arial"/>
          <w:noProof/>
        </w:rPr>
        <w:t>•</w:t>
      </w:r>
      <w:r w:rsidRPr="00757C04">
        <w:rPr>
          <w:rFonts w:ascii="Arial" w:hAnsi="Arial" w:cs="Arial"/>
          <w:noProof/>
        </w:rPr>
        <w:tab/>
        <w:t>Yoshioka, N. and Hamazaki, R., 2019. Constructing neural stationary states for open quantum many-body systems. Physical Review B, 99(21), p.214306.</w:t>
      </w:r>
    </w:p>
    <w:p w14:paraId="4E06AE7F" w14:textId="77777777" w:rsidR="00757C04" w:rsidRPr="00757C04" w:rsidRDefault="00757C04" w:rsidP="00757C04">
      <w:pPr>
        <w:rPr>
          <w:rFonts w:ascii="Arial" w:hAnsi="Arial" w:cs="Arial"/>
          <w:noProof/>
        </w:rPr>
      </w:pPr>
      <w:r w:rsidRPr="00757C04">
        <w:rPr>
          <w:rFonts w:ascii="Arial" w:hAnsi="Arial" w:cs="Arial"/>
          <w:noProof/>
        </w:rPr>
        <w:t>•</w:t>
      </w:r>
      <w:r w:rsidRPr="00757C04">
        <w:rPr>
          <w:rFonts w:ascii="Arial" w:hAnsi="Arial" w:cs="Arial"/>
          <w:noProof/>
        </w:rPr>
        <w:tab/>
        <w:t>Yaemrattanakul, W., Soison, T., Khuna, L. and Jackson, J., 2022. A Systematic Review of Clinical Practice Guidelines for the Management of Shoulder Pain in Patients with Stroke. ASEAN Journal of Rehabilitation Medicine, 32(2), pp.54-63.</w:t>
      </w:r>
    </w:p>
    <w:p w14:paraId="29586E09" w14:textId="372E9037" w:rsidR="00757C04" w:rsidRDefault="009B1B1A" w:rsidP="007C037A">
      <w:pPr>
        <w:spacing w:line="360" w:lineRule="auto"/>
        <w:rPr>
          <w:rFonts w:ascii="Arial" w:hAnsi="Arial" w:cs="Arial"/>
          <w:noProof/>
        </w:rPr>
      </w:pPr>
      <w:r w:rsidRPr="009B1B1A">
        <w:rPr>
          <w:rFonts w:ascii="Arial" w:hAnsi="Arial" w:cs="Arial"/>
          <w:noProof/>
        </w:rPr>
        <w:t>•</w:t>
      </w:r>
      <w:r w:rsidRPr="009B1B1A">
        <w:rPr>
          <w:rFonts w:ascii="Arial" w:hAnsi="Arial" w:cs="Arial"/>
          <w:noProof/>
        </w:rPr>
        <w:tab/>
        <w:t>Zhou, Z., Yoshimura, S., Delcourt, C., Lindley, R.I., You, S., Malavera, A., Torii-Yoshimura, T., Carcel, C., Wang, X., Chen, X. and Parsons, M.W., 2020. Thrombolysis outcomes in acute ischemic stroke by fluid-attenuated inversion recovery hyperintense arteries. Stroke, 51(7), pp.2240-2243.</w:t>
      </w:r>
    </w:p>
    <w:p w14:paraId="105F70AA" w14:textId="163E43FA" w:rsidR="009B1B1A" w:rsidRPr="0020049F" w:rsidRDefault="009B1B1A" w:rsidP="007C037A">
      <w:pPr>
        <w:spacing w:line="360" w:lineRule="auto"/>
        <w:rPr>
          <w:rFonts w:ascii="Arial" w:hAnsi="Arial" w:cs="Arial"/>
          <w:noProof/>
        </w:rPr>
      </w:pPr>
      <w:r w:rsidRPr="009B1B1A">
        <w:rPr>
          <w:rFonts w:ascii="Arial" w:hAnsi="Arial" w:cs="Arial"/>
          <w:noProof/>
        </w:rPr>
        <w:lastRenderedPageBreak/>
        <w:t>•</w:t>
      </w:r>
      <w:r w:rsidRPr="009B1B1A">
        <w:rPr>
          <w:rFonts w:ascii="Arial" w:hAnsi="Arial" w:cs="Arial"/>
          <w:noProof/>
        </w:rPr>
        <w:tab/>
        <w:t>Zhou, Z., Yoshimura, S., Delcourt, C., Lindley, R.I., You, S., Malavera, A., Torii-Yoshimura, T., Carcel, C., Wang, X., Chen, X. and Parsons, M.W., 2020. Thrombolysis outcomes in acute ischemic stroke by fluid-attenuated inversion recovery hyperintense arteries. Stroke, 51(7), pp.2240-2243.</w:t>
      </w:r>
    </w:p>
    <w:p w14:paraId="083CD99D" w14:textId="217522D9" w:rsidR="000327F3" w:rsidRDefault="000327F3">
      <w:pPr>
        <w:spacing w:line="360" w:lineRule="auto"/>
        <w:rPr>
          <w:rFonts w:ascii="Arial" w:hAnsi="Arial" w:cs="Arial"/>
          <w:noProof/>
        </w:rPr>
      </w:pPr>
    </w:p>
    <w:p w14:paraId="25C69BE4" w14:textId="77777777" w:rsidR="000327F3" w:rsidRDefault="000327F3">
      <w:pPr>
        <w:spacing w:line="360" w:lineRule="auto"/>
      </w:pPr>
    </w:p>
    <w:sectPr w:rsidR="000327F3">
      <w:footerReference w:type="default" r:id="rId10"/>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E1874" w14:textId="77777777" w:rsidR="00703D86" w:rsidRDefault="009E6CED">
      <w:pPr>
        <w:spacing w:after="0" w:line="240" w:lineRule="auto"/>
      </w:pPr>
      <w:r>
        <w:separator/>
      </w:r>
    </w:p>
  </w:endnote>
  <w:endnote w:type="continuationSeparator" w:id="0">
    <w:p w14:paraId="47CE1876" w14:textId="77777777" w:rsidR="00703D86" w:rsidRDefault="009E6C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345346"/>
      <w:docPartObj>
        <w:docPartGallery w:val="Page Numbers (Bottom of Page)"/>
        <w:docPartUnique/>
      </w:docPartObj>
    </w:sdtPr>
    <w:sdtEndPr>
      <w:rPr>
        <w:noProof/>
      </w:rPr>
    </w:sdtEndPr>
    <w:sdtContent>
      <w:p w14:paraId="666D151F" w14:textId="5A85465B" w:rsidR="00A92DA2" w:rsidRDefault="00A92D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2EC7B3" w14:textId="77777777" w:rsidR="00A92DA2" w:rsidRDefault="00A92D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E1870" w14:textId="77777777" w:rsidR="00703D86" w:rsidRDefault="009E6CED">
      <w:pPr>
        <w:spacing w:after="0" w:line="240" w:lineRule="auto"/>
      </w:pPr>
      <w:r>
        <w:rPr>
          <w:color w:val="000000"/>
        </w:rPr>
        <w:separator/>
      </w:r>
    </w:p>
  </w:footnote>
  <w:footnote w:type="continuationSeparator" w:id="0">
    <w:p w14:paraId="47CE1872" w14:textId="77777777" w:rsidR="00703D86" w:rsidRDefault="009E6C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D854F8"/>
    <w:multiLevelType w:val="multilevel"/>
    <w:tmpl w:val="E71E221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76433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69CA"/>
    <w:rsid w:val="000048A7"/>
    <w:rsid w:val="00013C7A"/>
    <w:rsid w:val="000327F3"/>
    <w:rsid w:val="00046F3C"/>
    <w:rsid w:val="00074370"/>
    <w:rsid w:val="00082844"/>
    <w:rsid w:val="00096FFD"/>
    <w:rsid w:val="000A3267"/>
    <w:rsid w:val="000D74D1"/>
    <w:rsid w:val="001022CB"/>
    <w:rsid w:val="0010360E"/>
    <w:rsid w:val="001232C0"/>
    <w:rsid w:val="001368F5"/>
    <w:rsid w:val="0020049F"/>
    <w:rsid w:val="002536D7"/>
    <w:rsid w:val="002708B1"/>
    <w:rsid w:val="00270BF7"/>
    <w:rsid w:val="00292E12"/>
    <w:rsid w:val="00296A8F"/>
    <w:rsid w:val="002C518C"/>
    <w:rsid w:val="002D5BEC"/>
    <w:rsid w:val="00304D6E"/>
    <w:rsid w:val="00344606"/>
    <w:rsid w:val="003743F9"/>
    <w:rsid w:val="00397236"/>
    <w:rsid w:val="003A1F82"/>
    <w:rsid w:val="003D536C"/>
    <w:rsid w:val="003D7AD9"/>
    <w:rsid w:val="004468BE"/>
    <w:rsid w:val="0045164A"/>
    <w:rsid w:val="0049087A"/>
    <w:rsid w:val="004F327D"/>
    <w:rsid w:val="005314A3"/>
    <w:rsid w:val="00532714"/>
    <w:rsid w:val="005509BE"/>
    <w:rsid w:val="005842E0"/>
    <w:rsid w:val="00592DE7"/>
    <w:rsid w:val="006255B7"/>
    <w:rsid w:val="006539CD"/>
    <w:rsid w:val="00655733"/>
    <w:rsid w:val="006D1EB2"/>
    <w:rsid w:val="006E416A"/>
    <w:rsid w:val="00703D86"/>
    <w:rsid w:val="0071407A"/>
    <w:rsid w:val="00756338"/>
    <w:rsid w:val="00757C04"/>
    <w:rsid w:val="007B05F7"/>
    <w:rsid w:val="007C014C"/>
    <w:rsid w:val="007C037A"/>
    <w:rsid w:val="007F79F0"/>
    <w:rsid w:val="00835CFE"/>
    <w:rsid w:val="008A2FE6"/>
    <w:rsid w:val="008B33EF"/>
    <w:rsid w:val="008E0409"/>
    <w:rsid w:val="008E1E2E"/>
    <w:rsid w:val="00937FD5"/>
    <w:rsid w:val="0094180F"/>
    <w:rsid w:val="00986572"/>
    <w:rsid w:val="009A0215"/>
    <w:rsid w:val="009B0047"/>
    <w:rsid w:val="009B1B1A"/>
    <w:rsid w:val="009E6CED"/>
    <w:rsid w:val="00A03FCF"/>
    <w:rsid w:val="00A327CA"/>
    <w:rsid w:val="00A36DBE"/>
    <w:rsid w:val="00A66728"/>
    <w:rsid w:val="00A7478A"/>
    <w:rsid w:val="00A86B36"/>
    <w:rsid w:val="00A92DA2"/>
    <w:rsid w:val="00AA07ED"/>
    <w:rsid w:val="00AD466B"/>
    <w:rsid w:val="00B62347"/>
    <w:rsid w:val="00BB33BA"/>
    <w:rsid w:val="00BD6D28"/>
    <w:rsid w:val="00C14075"/>
    <w:rsid w:val="00C27586"/>
    <w:rsid w:val="00CB5911"/>
    <w:rsid w:val="00CB5927"/>
    <w:rsid w:val="00D07A6F"/>
    <w:rsid w:val="00D80941"/>
    <w:rsid w:val="00D82F97"/>
    <w:rsid w:val="00DA1170"/>
    <w:rsid w:val="00DA1D57"/>
    <w:rsid w:val="00E469CA"/>
    <w:rsid w:val="00E84EAB"/>
    <w:rsid w:val="00E9337E"/>
    <w:rsid w:val="00EC116B"/>
    <w:rsid w:val="00ED684C"/>
    <w:rsid w:val="00EE0FFA"/>
    <w:rsid w:val="00F17E83"/>
    <w:rsid w:val="00F75203"/>
    <w:rsid w:val="00F91A3F"/>
    <w:rsid w:val="00FA26E3"/>
    <w:rsid w:val="00FC1B3B"/>
    <w:rsid w:val="00FE0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E1869"/>
  <w15:docId w15:val="{27A2518D-5668-4D18-856F-83FDF306F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line="240" w:lineRule="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ListParagraph">
    <w:name w:val="List Paragraph"/>
    <w:basedOn w:val="Normal"/>
    <w:pPr>
      <w:ind w:left="720"/>
      <w:contextualSpacing/>
    </w:pPr>
  </w:style>
  <w:style w:type="paragraph" w:styleId="Header">
    <w:name w:val="header"/>
    <w:basedOn w:val="Normal"/>
    <w:link w:val="HeaderChar"/>
    <w:uiPriority w:val="99"/>
    <w:unhideWhenUsed/>
    <w:rsid w:val="00A92D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DA2"/>
  </w:style>
  <w:style w:type="paragraph" w:styleId="Footer">
    <w:name w:val="footer"/>
    <w:basedOn w:val="Normal"/>
    <w:link w:val="FooterChar"/>
    <w:uiPriority w:val="99"/>
    <w:unhideWhenUsed/>
    <w:rsid w:val="00A92D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D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2704</Words>
  <Characters>15415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NERVE SYSTEM</dc:subject>
  <dc:creator>BMH5003-INTRODUCTION IN PHYSIOLOGY</dc:creator>
  <dc:description/>
  <cp:lastModifiedBy>Yuliana Abadzhieva</cp:lastModifiedBy>
  <cp:revision>2</cp:revision>
  <dcterms:created xsi:type="dcterms:W3CDTF">2022-08-18T21:17:00Z</dcterms:created>
  <dcterms:modified xsi:type="dcterms:W3CDTF">2022-08-18T21:17:00Z</dcterms:modified>
</cp:coreProperties>
</file>