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D347EAE" w14:textId="77777777" w:rsidR="00646B10" w:rsidRPr="003A2FDF" w:rsidRDefault="00646B10" w:rsidP="00041A5A">
      <w:pPr>
        <w:spacing w:line="360" w:lineRule="auto"/>
        <w:jc w:val="center"/>
        <w:rPr>
          <w:rFonts w:ascii="Aptos" w:hAnsi="Aptos" w:cs="Arial"/>
          <w:b/>
          <w:bCs/>
          <w:sz w:val="28"/>
          <w:szCs w:val="28"/>
        </w:rPr>
      </w:pPr>
    </w:p>
    <w:p w14:paraId="7CAFB8A8" w14:textId="77777777" w:rsidR="00646B10" w:rsidRPr="003C45FE" w:rsidRDefault="00646B10" w:rsidP="00041A5A">
      <w:pPr>
        <w:spacing w:line="360" w:lineRule="auto"/>
        <w:jc w:val="center"/>
        <w:rPr>
          <w:rFonts w:ascii="Arial" w:hAnsi="Arial" w:cs="Arial"/>
          <w:b/>
          <w:bCs/>
          <w:sz w:val="28"/>
          <w:szCs w:val="28"/>
        </w:rPr>
      </w:pPr>
    </w:p>
    <w:p w14:paraId="09103BF7" w14:textId="77777777" w:rsidR="00646B10" w:rsidRPr="00E82FFF" w:rsidRDefault="00646B10" w:rsidP="00041A5A">
      <w:pPr>
        <w:spacing w:line="360" w:lineRule="auto"/>
        <w:jc w:val="center"/>
        <w:rPr>
          <w:rFonts w:ascii="Arial" w:hAnsi="Arial" w:cs="Arial"/>
          <w:b/>
          <w:bCs/>
          <w:sz w:val="36"/>
          <w:szCs w:val="36"/>
        </w:rPr>
      </w:pPr>
    </w:p>
    <w:p w14:paraId="75E38F7F" w14:textId="7C4BF558" w:rsidR="00715990" w:rsidRPr="00E82FFF" w:rsidRDefault="00715990" w:rsidP="00041A5A">
      <w:pPr>
        <w:spacing w:line="360" w:lineRule="auto"/>
        <w:jc w:val="center"/>
        <w:rPr>
          <w:rFonts w:ascii="Arial" w:hAnsi="Arial" w:cs="Arial"/>
          <w:b/>
          <w:bCs/>
          <w:sz w:val="36"/>
          <w:szCs w:val="36"/>
        </w:rPr>
      </w:pPr>
      <w:r w:rsidRPr="00E82FFF">
        <w:rPr>
          <w:rFonts w:ascii="Arial" w:hAnsi="Arial" w:cs="Arial"/>
          <w:b/>
          <w:bCs/>
          <w:sz w:val="36"/>
          <w:szCs w:val="36"/>
        </w:rPr>
        <w:t>Course: BSc (Hons) Health and Social Care</w:t>
      </w:r>
    </w:p>
    <w:p w14:paraId="7680A4B0" w14:textId="43F6E3D7" w:rsidR="00715990" w:rsidRPr="00E82FFF" w:rsidRDefault="00715990" w:rsidP="00041A5A">
      <w:pPr>
        <w:spacing w:line="360" w:lineRule="auto"/>
        <w:jc w:val="center"/>
        <w:rPr>
          <w:rFonts w:ascii="Arial" w:hAnsi="Arial" w:cs="Arial"/>
          <w:b/>
          <w:bCs/>
          <w:sz w:val="36"/>
          <w:szCs w:val="36"/>
        </w:rPr>
      </w:pPr>
      <w:r w:rsidRPr="00E82FFF">
        <w:rPr>
          <w:rFonts w:ascii="Arial" w:hAnsi="Arial" w:cs="Arial"/>
          <w:b/>
          <w:bCs/>
          <w:sz w:val="36"/>
          <w:szCs w:val="36"/>
        </w:rPr>
        <w:t>Module: Independent Project (BMHP6020_</w:t>
      </w:r>
      <w:r w:rsidR="00646B10" w:rsidRPr="00E82FFF">
        <w:rPr>
          <w:rFonts w:ascii="Arial" w:hAnsi="Arial" w:cs="Arial"/>
          <w:b/>
          <w:bCs/>
          <w:sz w:val="36"/>
          <w:szCs w:val="36"/>
        </w:rPr>
        <w:t>BIRM</w:t>
      </w:r>
      <w:r w:rsidRPr="00E82FFF">
        <w:rPr>
          <w:rFonts w:ascii="Arial" w:hAnsi="Arial" w:cs="Arial"/>
          <w:b/>
          <w:bCs/>
          <w:sz w:val="36"/>
          <w:szCs w:val="36"/>
        </w:rPr>
        <w:t>)</w:t>
      </w:r>
    </w:p>
    <w:p w14:paraId="3157DF3C" w14:textId="77777777" w:rsidR="00715990" w:rsidRPr="00E82FFF" w:rsidRDefault="00715990" w:rsidP="00041A5A">
      <w:pPr>
        <w:spacing w:line="360" w:lineRule="auto"/>
        <w:jc w:val="center"/>
        <w:rPr>
          <w:rFonts w:ascii="Arial" w:hAnsi="Arial" w:cs="Arial"/>
          <w:sz w:val="36"/>
          <w:szCs w:val="36"/>
        </w:rPr>
      </w:pPr>
    </w:p>
    <w:p w14:paraId="08BDA311" w14:textId="6E55C9BE" w:rsidR="00041A5A" w:rsidRPr="00E82FFF" w:rsidRDefault="00FB4301" w:rsidP="00FB4301">
      <w:pPr>
        <w:spacing w:line="360" w:lineRule="auto"/>
        <w:jc w:val="center"/>
        <w:rPr>
          <w:rFonts w:ascii="Arial" w:hAnsi="Arial" w:cs="Arial"/>
          <w:b/>
          <w:bCs/>
          <w:sz w:val="36"/>
          <w:szCs w:val="36"/>
        </w:rPr>
      </w:pPr>
      <w:r w:rsidRPr="00E82FFF">
        <w:rPr>
          <w:rFonts w:ascii="Arial" w:hAnsi="Arial" w:cs="Arial"/>
          <w:b/>
          <w:bCs/>
          <w:sz w:val="36"/>
          <w:szCs w:val="36"/>
        </w:rPr>
        <w:t>Component 1</w:t>
      </w:r>
      <w:r w:rsidR="00715990" w:rsidRPr="00E82FFF">
        <w:rPr>
          <w:rFonts w:ascii="Arial" w:hAnsi="Arial" w:cs="Arial"/>
          <w:b/>
          <w:bCs/>
          <w:sz w:val="36"/>
          <w:szCs w:val="36"/>
        </w:rPr>
        <w:t xml:space="preserve">: </w:t>
      </w:r>
      <w:r w:rsidRPr="00E82FFF">
        <w:rPr>
          <w:rFonts w:ascii="Arial" w:hAnsi="Arial" w:cs="Arial"/>
          <w:sz w:val="36"/>
          <w:szCs w:val="36"/>
        </w:rPr>
        <w:t>Element 1</w:t>
      </w:r>
      <w:r w:rsidR="00715990" w:rsidRPr="00E82FFF">
        <w:rPr>
          <w:rFonts w:ascii="Arial" w:hAnsi="Arial" w:cs="Arial"/>
          <w:sz w:val="36"/>
          <w:szCs w:val="36"/>
        </w:rPr>
        <w:t xml:space="preserve"> - Project Proposal</w:t>
      </w:r>
      <w:r w:rsidR="00545684" w:rsidRPr="00E82FFF">
        <w:rPr>
          <w:rFonts w:ascii="Arial" w:hAnsi="Arial" w:cs="Arial"/>
          <w:sz w:val="36"/>
          <w:szCs w:val="36"/>
        </w:rPr>
        <w:t xml:space="preserve"> </w:t>
      </w:r>
    </w:p>
    <w:p w14:paraId="2EDEAE0B" w14:textId="149B09BE" w:rsidR="00715990" w:rsidRPr="00E82FFF" w:rsidRDefault="00715990" w:rsidP="00041A5A">
      <w:pPr>
        <w:spacing w:line="360" w:lineRule="auto"/>
        <w:rPr>
          <w:rFonts w:ascii="Arial" w:hAnsi="Arial" w:cs="Arial"/>
          <w:sz w:val="36"/>
          <w:szCs w:val="36"/>
        </w:rPr>
      </w:pPr>
    </w:p>
    <w:p w14:paraId="1AD185BB" w14:textId="77777777" w:rsidR="00FF5B70" w:rsidRPr="00E82FFF" w:rsidRDefault="00FF5B70" w:rsidP="00041A5A">
      <w:pPr>
        <w:spacing w:line="360" w:lineRule="auto"/>
        <w:rPr>
          <w:rFonts w:ascii="Arial" w:hAnsi="Arial" w:cs="Arial"/>
          <w:sz w:val="36"/>
          <w:szCs w:val="36"/>
        </w:rPr>
      </w:pPr>
    </w:p>
    <w:p w14:paraId="684DDF82" w14:textId="4FA66E0B" w:rsidR="00715990" w:rsidRPr="00E82FFF" w:rsidRDefault="00715990" w:rsidP="00041A5A">
      <w:pPr>
        <w:spacing w:line="360" w:lineRule="auto"/>
        <w:rPr>
          <w:rFonts w:ascii="Arial" w:hAnsi="Arial" w:cs="Arial"/>
          <w:sz w:val="36"/>
          <w:szCs w:val="36"/>
        </w:rPr>
      </w:pPr>
      <w:r w:rsidRPr="00E82FFF">
        <w:rPr>
          <w:rFonts w:ascii="Arial" w:hAnsi="Arial" w:cs="Arial"/>
          <w:b/>
          <w:bCs/>
          <w:sz w:val="36"/>
          <w:szCs w:val="36"/>
        </w:rPr>
        <w:t>Student ID</w:t>
      </w:r>
      <w:r w:rsidRPr="00E82FFF">
        <w:rPr>
          <w:rFonts w:ascii="Arial" w:hAnsi="Arial" w:cs="Arial"/>
          <w:sz w:val="36"/>
          <w:szCs w:val="36"/>
        </w:rPr>
        <w:t xml:space="preserve">: </w:t>
      </w:r>
      <w:r w:rsidR="003C45FE" w:rsidRPr="00E82FFF">
        <w:rPr>
          <w:rFonts w:ascii="Arial" w:hAnsi="Arial" w:cs="Arial"/>
          <w:sz w:val="36"/>
          <w:szCs w:val="36"/>
        </w:rPr>
        <w:t xml:space="preserve"> 2329009</w:t>
      </w:r>
    </w:p>
    <w:p w14:paraId="01D5D8DB" w14:textId="03ED09ED" w:rsidR="00FF5B70" w:rsidRPr="00E82FFF" w:rsidRDefault="00FF5B70" w:rsidP="00041A5A">
      <w:pPr>
        <w:spacing w:line="360" w:lineRule="auto"/>
        <w:rPr>
          <w:rFonts w:ascii="Arial" w:hAnsi="Arial" w:cs="Arial"/>
          <w:sz w:val="36"/>
          <w:szCs w:val="36"/>
        </w:rPr>
      </w:pPr>
    </w:p>
    <w:p w14:paraId="7B4B148B" w14:textId="6A8AA567" w:rsidR="00646B10" w:rsidRPr="00E82FFF" w:rsidRDefault="00FF5B70" w:rsidP="00646B10">
      <w:pPr>
        <w:spacing w:line="360" w:lineRule="auto"/>
        <w:rPr>
          <w:rFonts w:ascii="Arial" w:hAnsi="Arial" w:cs="Arial"/>
          <w:sz w:val="36"/>
          <w:szCs w:val="36"/>
        </w:rPr>
      </w:pPr>
      <w:r w:rsidRPr="00E82FFF">
        <w:rPr>
          <w:rFonts w:ascii="Arial" w:hAnsi="Arial" w:cs="Arial"/>
          <w:b/>
          <w:bCs/>
          <w:sz w:val="36"/>
          <w:szCs w:val="36"/>
        </w:rPr>
        <w:t>Student Name</w:t>
      </w:r>
      <w:r w:rsidRPr="00E82FFF">
        <w:rPr>
          <w:rFonts w:ascii="Arial" w:hAnsi="Arial" w:cs="Arial"/>
          <w:sz w:val="36"/>
          <w:szCs w:val="36"/>
        </w:rPr>
        <w:t xml:space="preserve">: </w:t>
      </w:r>
      <w:r w:rsidR="003C45FE" w:rsidRPr="00E82FFF">
        <w:rPr>
          <w:rFonts w:ascii="Arial" w:hAnsi="Arial" w:cs="Arial"/>
          <w:sz w:val="36"/>
          <w:szCs w:val="36"/>
        </w:rPr>
        <w:t>Farzia Saddique</w:t>
      </w:r>
    </w:p>
    <w:p w14:paraId="638A4615" w14:textId="77777777" w:rsidR="00715990" w:rsidRPr="00757A11" w:rsidRDefault="00715990" w:rsidP="00041A5A">
      <w:pPr>
        <w:spacing w:line="360" w:lineRule="auto"/>
        <w:rPr>
          <w:rFonts w:ascii="Arial" w:hAnsi="Arial" w:cs="Arial"/>
          <w:sz w:val="22"/>
        </w:rPr>
      </w:pPr>
    </w:p>
    <w:p w14:paraId="5BD313B6" w14:textId="4BA804DC" w:rsidR="00715990" w:rsidRPr="00757A11" w:rsidRDefault="00715990" w:rsidP="00041A5A">
      <w:pPr>
        <w:spacing w:line="360" w:lineRule="auto"/>
        <w:rPr>
          <w:rFonts w:ascii="Arial" w:hAnsi="Arial" w:cs="Arial"/>
          <w:sz w:val="22"/>
        </w:rPr>
      </w:pPr>
    </w:p>
    <w:p w14:paraId="20861456" w14:textId="77777777" w:rsidR="00C635B3" w:rsidRDefault="00715990" w:rsidP="00C635B3">
      <w:pPr>
        <w:rPr>
          <w:rFonts w:ascii="Arial" w:hAnsi="Arial" w:cs="Arial"/>
          <w:b/>
          <w:bCs/>
          <w:szCs w:val="24"/>
        </w:rPr>
      </w:pPr>
      <w:r w:rsidRPr="00757A11">
        <w:rPr>
          <w:rFonts w:ascii="Arial" w:hAnsi="Arial" w:cs="Arial"/>
          <w:sz w:val="22"/>
        </w:rPr>
        <w:br w:type="page"/>
      </w:r>
      <w:r w:rsidR="00C635B3" w:rsidRPr="007D289E">
        <w:rPr>
          <w:rFonts w:ascii="Arial" w:hAnsi="Arial" w:cs="Arial"/>
          <w:b/>
          <w:bCs/>
          <w:szCs w:val="24"/>
        </w:rPr>
        <w:lastRenderedPageBreak/>
        <w:t>Project Proposal</w:t>
      </w:r>
    </w:p>
    <w:p w14:paraId="60BE048D" w14:textId="77777777" w:rsidR="007D289E" w:rsidRPr="007D289E" w:rsidRDefault="007D289E" w:rsidP="00C635B3">
      <w:pPr>
        <w:rPr>
          <w:rFonts w:ascii="Arial" w:hAnsi="Arial" w:cs="Arial"/>
          <w:b/>
          <w:bCs/>
          <w:szCs w:val="24"/>
        </w:rPr>
      </w:pPr>
    </w:p>
    <w:p w14:paraId="3498D5CC" w14:textId="2C68BECC" w:rsidR="00C635B3" w:rsidRPr="007D289E" w:rsidRDefault="00C635B3" w:rsidP="00C635B3">
      <w:pPr>
        <w:spacing w:line="360" w:lineRule="auto"/>
        <w:rPr>
          <w:rFonts w:ascii="Arial" w:hAnsi="Arial" w:cs="Arial"/>
          <w:b/>
          <w:bCs/>
          <w:sz w:val="22"/>
        </w:rPr>
      </w:pPr>
      <w:r w:rsidRPr="00C635B3">
        <w:rPr>
          <w:rFonts w:ascii="Arial" w:hAnsi="Arial" w:cs="Arial"/>
          <w:b/>
          <w:bCs/>
          <w:sz w:val="22"/>
        </w:rPr>
        <w:t>Project title</w:t>
      </w:r>
      <w:r w:rsidR="007D289E">
        <w:rPr>
          <w:rFonts w:ascii="Arial" w:hAnsi="Arial" w:cs="Arial"/>
          <w:b/>
          <w:bCs/>
          <w:sz w:val="22"/>
        </w:rPr>
        <w:t>-</w:t>
      </w:r>
      <w:r w:rsidRPr="00C635B3">
        <w:rPr>
          <w:rFonts w:ascii="Arial" w:hAnsi="Arial" w:cs="Arial"/>
          <w:sz w:val="22"/>
        </w:rPr>
        <w:t>Barriers to Accessing and Delivering Palliative Care in Acute Hospital Settings in the United Kingdom</w:t>
      </w:r>
    </w:p>
    <w:p w14:paraId="6EBC5B78" w14:textId="77777777" w:rsidR="007D289E" w:rsidRDefault="007D289E" w:rsidP="00C635B3">
      <w:pPr>
        <w:spacing w:line="360" w:lineRule="auto"/>
        <w:rPr>
          <w:rFonts w:ascii="Arial" w:hAnsi="Arial" w:cs="Arial"/>
          <w:b/>
          <w:bCs/>
          <w:sz w:val="22"/>
        </w:rPr>
      </w:pPr>
    </w:p>
    <w:p w14:paraId="664EC5AE" w14:textId="50412885" w:rsidR="00C635B3" w:rsidRPr="00C635B3" w:rsidRDefault="00C635B3" w:rsidP="00C635B3">
      <w:pPr>
        <w:spacing w:line="360" w:lineRule="auto"/>
        <w:rPr>
          <w:rFonts w:ascii="Arial" w:hAnsi="Arial" w:cs="Arial"/>
          <w:b/>
          <w:bCs/>
          <w:sz w:val="22"/>
        </w:rPr>
      </w:pPr>
      <w:r w:rsidRPr="00C635B3">
        <w:rPr>
          <w:rFonts w:ascii="Arial" w:hAnsi="Arial" w:cs="Arial"/>
          <w:b/>
          <w:bCs/>
          <w:sz w:val="22"/>
        </w:rPr>
        <w:t>1</w:t>
      </w:r>
      <w:r w:rsidR="007D289E">
        <w:rPr>
          <w:rFonts w:ascii="Arial" w:hAnsi="Arial" w:cs="Arial"/>
          <w:b/>
          <w:bCs/>
          <w:sz w:val="22"/>
        </w:rPr>
        <w:t>)</w:t>
      </w:r>
      <w:r w:rsidRPr="00C635B3">
        <w:rPr>
          <w:rFonts w:ascii="Arial" w:hAnsi="Arial" w:cs="Arial"/>
          <w:b/>
          <w:bCs/>
          <w:sz w:val="22"/>
        </w:rPr>
        <w:t xml:space="preserve"> Aim</w:t>
      </w:r>
    </w:p>
    <w:p w14:paraId="7702847E" w14:textId="77777777" w:rsidR="00C635B3" w:rsidRPr="00C635B3" w:rsidRDefault="00C635B3" w:rsidP="00C635B3">
      <w:pPr>
        <w:spacing w:line="360" w:lineRule="auto"/>
        <w:rPr>
          <w:rFonts w:ascii="Arial" w:hAnsi="Arial" w:cs="Arial"/>
          <w:sz w:val="22"/>
        </w:rPr>
      </w:pPr>
      <w:r w:rsidRPr="00C635B3">
        <w:rPr>
          <w:rFonts w:ascii="Arial" w:hAnsi="Arial" w:cs="Arial"/>
          <w:sz w:val="22"/>
        </w:rPr>
        <w:t xml:space="preserve">This research aims to critically examine the barriers affecting timely access to and delivery of high-quality palliative care for adults in UK acute hospital settings. It will explore organisational, professional, communication-related and patient-level barriers and identify evidence-based measures that could support earlier referrals, equitable access and person-centred care (NICE, 2019; Pitzer </w:t>
      </w:r>
      <w:r w:rsidRPr="00C635B3">
        <w:rPr>
          <w:rFonts w:ascii="Arial" w:hAnsi="Arial" w:cs="Arial"/>
          <w:i/>
          <w:iCs/>
          <w:sz w:val="22"/>
        </w:rPr>
        <w:t>et al</w:t>
      </w:r>
      <w:r w:rsidRPr="00C635B3">
        <w:rPr>
          <w:rFonts w:ascii="Arial" w:hAnsi="Arial" w:cs="Arial"/>
          <w:sz w:val="22"/>
        </w:rPr>
        <w:t>., 2024).</w:t>
      </w:r>
    </w:p>
    <w:p w14:paraId="61592FFC" w14:textId="77777777" w:rsidR="007D289E" w:rsidRDefault="007D289E" w:rsidP="00C635B3">
      <w:pPr>
        <w:spacing w:line="360" w:lineRule="auto"/>
        <w:rPr>
          <w:rFonts w:ascii="Arial" w:hAnsi="Arial" w:cs="Arial"/>
          <w:b/>
          <w:bCs/>
          <w:sz w:val="22"/>
        </w:rPr>
      </w:pPr>
    </w:p>
    <w:p w14:paraId="36A1BF46" w14:textId="65615079" w:rsidR="00C635B3" w:rsidRPr="00C635B3" w:rsidRDefault="00C635B3" w:rsidP="00C635B3">
      <w:pPr>
        <w:spacing w:line="360" w:lineRule="auto"/>
        <w:rPr>
          <w:rFonts w:ascii="Arial" w:hAnsi="Arial" w:cs="Arial"/>
          <w:b/>
          <w:bCs/>
          <w:sz w:val="22"/>
        </w:rPr>
      </w:pPr>
      <w:r w:rsidRPr="00C635B3">
        <w:rPr>
          <w:rFonts w:ascii="Arial" w:hAnsi="Arial" w:cs="Arial"/>
          <w:b/>
          <w:bCs/>
          <w:sz w:val="22"/>
        </w:rPr>
        <w:t>2</w:t>
      </w:r>
      <w:r w:rsidR="005C0214">
        <w:rPr>
          <w:rFonts w:ascii="Arial" w:hAnsi="Arial" w:cs="Arial"/>
          <w:b/>
          <w:bCs/>
          <w:sz w:val="22"/>
        </w:rPr>
        <w:t>)</w:t>
      </w:r>
      <w:r w:rsidRPr="00C635B3">
        <w:rPr>
          <w:rFonts w:ascii="Arial" w:hAnsi="Arial" w:cs="Arial"/>
          <w:b/>
          <w:bCs/>
          <w:sz w:val="22"/>
        </w:rPr>
        <w:t xml:space="preserve"> Objectives</w:t>
      </w:r>
    </w:p>
    <w:p w14:paraId="7633B0AD" w14:textId="77777777" w:rsidR="00C635B3" w:rsidRPr="00C635B3" w:rsidRDefault="00C635B3" w:rsidP="00C635B3">
      <w:pPr>
        <w:numPr>
          <w:ilvl w:val="0"/>
          <w:numId w:val="10"/>
        </w:numPr>
        <w:spacing w:line="360" w:lineRule="auto"/>
        <w:rPr>
          <w:rFonts w:ascii="Arial" w:hAnsi="Arial" w:cs="Arial"/>
          <w:sz w:val="22"/>
        </w:rPr>
      </w:pPr>
      <w:r w:rsidRPr="00C635B3">
        <w:rPr>
          <w:rFonts w:ascii="Arial" w:hAnsi="Arial" w:cs="Arial"/>
          <w:sz w:val="22"/>
        </w:rPr>
        <w:t>Define and examine palliative care within acute hospitals and identify the principal organisational, clinical, cultural and patient-related barriers to its provision.</w:t>
      </w:r>
    </w:p>
    <w:p w14:paraId="380DCB4B" w14:textId="77777777" w:rsidR="00C635B3" w:rsidRPr="00C635B3" w:rsidRDefault="00C635B3" w:rsidP="00C635B3">
      <w:pPr>
        <w:numPr>
          <w:ilvl w:val="0"/>
          <w:numId w:val="10"/>
        </w:numPr>
        <w:spacing w:line="360" w:lineRule="auto"/>
        <w:rPr>
          <w:rFonts w:ascii="Arial" w:hAnsi="Arial" w:cs="Arial"/>
          <w:sz w:val="22"/>
        </w:rPr>
      </w:pPr>
      <w:r w:rsidRPr="00C635B3">
        <w:rPr>
          <w:rFonts w:ascii="Arial" w:hAnsi="Arial" w:cs="Arial"/>
          <w:sz w:val="22"/>
        </w:rPr>
        <w:t xml:space="preserve">Analyse how staff knowledge, prognostic uncertainty, communication, hospital culture and referral practices influence patients' access to palliative care (Hodge </w:t>
      </w:r>
      <w:r w:rsidRPr="00C635B3">
        <w:rPr>
          <w:rFonts w:ascii="Arial" w:hAnsi="Arial" w:cs="Arial"/>
          <w:i/>
          <w:iCs/>
          <w:sz w:val="22"/>
        </w:rPr>
        <w:t>et al</w:t>
      </w:r>
      <w:r w:rsidRPr="00C635B3">
        <w:rPr>
          <w:rFonts w:ascii="Arial" w:hAnsi="Arial" w:cs="Arial"/>
          <w:sz w:val="22"/>
        </w:rPr>
        <w:t xml:space="preserve">., 2025; Pitzer </w:t>
      </w:r>
      <w:r w:rsidRPr="00C635B3">
        <w:rPr>
          <w:rFonts w:ascii="Arial" w:hAnsi="Arial" w:cs="Arial"/>
          <w:i/>
          <w:iCs/>
          <w:sz w:val="22"/>
        </w:rPr>
        <w:t>et al</w:t>
      </w:r>
      <w:r w:rsidRPr="00C635B3">
        <w:rPr>
          <w:rFonts w:ascii="Arial" w:hAnsi="Arial" w:cs="Arial"/>
          <w:sz w:val="22"/>
        </w:rPr>
        <w:t>., 2024).</w:t>
      </w:r>
    </w:p>
    <w:p w14:paraId="043CCC33" w14:textId="77777777" w:rsidR="00C635B3" w:rsidRPr="00C635B3" w:rsidRDefault="00C635B3" w:rsidP="00C635B3">
      <w:pPr>
        <w:numPr>
          <w:ilvl w:val="0"/>
          <w:numId w:val="10"/>
        </w:numPr>
        <w:spacing w:line="360" w:lineRule="auto"/>
        <w:rPr>
          <w:rFonts w:ascii="Arial" w:hAnsi="Arial" w:cs="Arial"/>
          <w:sz w:val="22"/>
        </w:rPr>
      </w:pPr>
      <w:r w:rsidRPr="00C635B3">
        <w:rPr>
          <w:rFonts w:ascii="Arial" w:hAnsi="Arial" w:cs="Arial"/>
          <w:sz w:val="22"/>
        </w:rPr>
        <w:t xml:space="preserve">Evaluate the effects of resource limitations, workforce pressures and inequalities on the timeliness, quality and continuity of care (Care Quality Commission, 2016; Tobin </w:t>
      </w:r>
      <w:r w:rsidRPr="00C635B3">
        <w:rPr>
          <w:rFonts w:ascii="Arial" w:hAnsi="Arial" w:cs="Arial"/>
          <w:i/>
          <w:iCs/>
          <w:sz w:val="22"/>
        </w:rPr>
        <w:t>et al</w:t>
      </w:r>
      <w:r w:rsidRPr="00C635B3">
        <w:rPr>
          <w:rFonts w:ascii="Arial" w:hAnsi="Arial" w:cs="Arial"/>
          <w:sz w:val="22"/>
        </w:rPr>
        <w:t>., 2022).</w:t>
      </w:r>
    </w:p>
    <w:p w14:paraId="2B726CBD" w14:textId="77777777" w:rsidR="00C635B3" w:rsidRPr="00C635B3" w:rsidRDefault="00C635B3" w:rsidP="00C635B3">
      <w:pPr>
        <w:numPr>
          <w:ilvl w:val="0"/>
          <w:numId w:val="10"/>
        </w:numPr>
        <w:spacing w:line="360" w:lineRule="auto"/>
        <w:rPr>
          <w:rFonts w:ascii="Arial" w:hAnsi="Arial" w:cs="Arial"/>
          <w:sz w:val="22"/>
        </w:rPr>
      </w:pPr>
      <w:r w:rsidRPr="00C635B3">
        <w:rPr>
          <w:rFonts w:ascii="Arial" w:hAnsi="Arial" w:cs="Arial"/>
          <w:sz w:val="22"/>
        </w:rPr>
        <w:t>Provide recommendations for improving staff education, multidisciplinary communication, referral pathways, service availability and equitable access to person-centred palliative care in acute hospitals (NHS England, 2022).</w:t>
      </w:r>
    </w:p>
    <w:p w14:paraId="484CBA9E" w14:textId="77777777" w:rsidR="005C0214" w:rsidRDefault="005C0214" w:rsidP="00C635B3">
      <w:pPr>
        <w:spacing w:line="360" w:lineRule="auto"/>
        <w:rPr>
          <w:rFonts w:ascii="Arial" w:hAnsi="Arial" w:cs="Arial"/>
          <w:b/>
          <w:bCs/>
          <w:sz w:val="22"/>
        </w:rPr>
      </w:pPr>
    </w:p>
    <w:p w14:paraId="5FC24894" w14:textId="1592D82A" w:rsidR="00C635B3" w:rsidRPr="00C635B3" w:rsidRDefault="00C635B3" w:rsidP="00C635B3">
      <w:pPr>
        <w:spacing w:line="360" w:lineRule="auto"/>
        <w:rPr>
          <w:rFonts w:ascii="Arial" w:hAnsi="Arial" w:cs="Arial"/>
          <w:b/>
          <w:bCs/>
          <w:sz w:val="22"/>
        </w:rPr>
      </w:pPr>
      <w:r w:rsidRPr="00C635B3">
        <w:rPr>
          <w:rFonts w:ascii="Arial" w:hAnsi="Arial" w:cs="Arial"/>
          <w:b/>
          <w:bCs/>
          <w:sz w:val="22"/>
        </w:rPr>
        <w:t>3</w:t>
      </w:r>
      <w:r w:rsidR="005C0214">
        <w:rPr>
          <w:rFonts w:ascii="Arial" w:hAnsi="Arial" w:cs="Arial"/>
          <w:b/>
          <w:bCs/>
          <w:sz w:val="22"/>
        </w:rPr>
        <w:t>)</w:t>
      </w:r>
      <w:r w:rsidRPr="00C635B3">
        <w:rPr>
          <w:rFonts w:ascii="Arial" w:hAnsi="Arial" w:cs="Arial"/>
          <w:b/>
          <w:bCs/>
          <w:sz w:val="22"/>
        </w:rPr>
        <w:t xml:space="preserve"> Background/Rationale</w:t>
      </w:r>
      <w:r w:rsidR="005C0214">
        <w:rPr>
          <w:rFonts w:ascii="Arial" w:hAnsi="Arial" w:cs="Arial"/>
          <w:b/>
          <w:bCs/>
          <w:sz w:val="22"/>
        </w:rPr>
        <w:t>:</w:t>
      </w:r>
    </w:p>
    <w:p w14:paraId="3B673F44" w14:textId="77777777" w:rsidR="00C635B3" w:rsidRPr="00C635B3" w:rsidRDefault="00C635B3" w:rsidP="00C635B3">
      <w:pPr>
        <w:spacing w:line="360" w:lineRule="auto"/>
        <w:rPr>
          <w:rFonts w:ascii="Arial" w:hAnsi="Arial" w:cs="Arial"/>
          <w:sz w:val="22"/>
        </w:rPr>
      </w:pPr>
      <w:r w:rsidRPr="00C635B3">
        <w:rPr>
          <w:rFonts w:ascii="Arial" w:hAnsi="Arial" w:cs="Arial"/>
          <w:sz w:val="22"/>
        </w:rPr>
        <w:t xml:space="preserve">Palliative care seeks to improve the quality of life of people with life-limiting illnesses through symptom management and psychological, social and spiritual support. Acute hospitals play an important role because hospitals remain a common place of death in England and Wales (NHS Benchmarking Network, 2025). However, their emphasis on diagnosis, active </w:t>
      </w:r>
      <w:r w:rsidRPr="00C635B3">
        <w:rPr>
          <w:rFonts w:ascii="Arial" w:hAnsi="Arial" w:cs="Arial"/>
          <w:sz w:val="22"/>
        </w:rPr>
        <w:lastRenderedPageBreak/>
        <w:t xml:space="preserve">treatment and cure can delay recognition that a patient would benefit from a palliative approach (Pitzer </w:t>
      </w:r>
      <w:r w:rsidRPr="00C635B3">
        <w:rPr>
          <w:rFonts w:ascii="Arial" w:hAnsi="Arial" w:cs="Arial"/>
          <w:i/>
          <w:iCs/>
          <w:sz w:val="22"/>
        </w:rPr>
        <w:t>et al</w:t>
      </w:r>
      <w:r w:rsidRPr="00C635B3">
        <w:rPr>
          <w:rFonts w:ascii="Arial" w:hAnsi="Arial" w:cs="Arial"/>
          <w:sz w:val="22"/>
        </w:rPr>
        <w:t>., 2024).</w:t>
      </w:r>
    </w:p>
    <w:p w14:paraId="02F2E3F5" w14:textId="77777777" w:rsidR="00C635B3" w:rsidRPr="00C635B3" w:rsidRDefault="00C635B3" w:rsidP="00C635B3">
      <w:pPr>
        <w:spacing w:line="360" w:lineRule="auto"/>
        <w:rPr>
          <w:rFonts w:ascii="Arial" w:hAnsi="Arial" w:cs="Arial"/>
          <w:sz w:val="22"/>
        </w:rPr>
      </w:pPr>
      <w:r w:rsidRPr="00C635B3">
        <w:rPr>
          <w:rFonts w:ascii="Arial" w:hAnsi="Arial" w:cs="Arial"/>
          <w:sz w:val="22"/>
        </w:rPr>
        <w:t xml:space="preserve">Evidence identifies barriers including prognostic uncertainty, late referrals, limited specialist staffing, poor multidisciplinary communication, insufficient education and reluctance to discuss dying (Hodge </w:t>
      </w:r>
      <w:r w:rsidRPr="00C635B3">
        <w:rPr>
          <w:rFonts w:ascii="Arial" w:hAnsi="Arial" w:cs="Arial"/>
          <w:i/>
          <w:iCs/>
          <w:sz w:val="22"/>
        </w:rPr>
        <w:t>et al</w:t>
      </w:r>
      <w:r w:rsidRPr="00C635B3">
        <w:rPr>
          <w:rFonts w:ascii="Arial" w:hAnsi="Arial" w:cs="Arial"/>
          <w:sz w:val="22"/>
        </w:rPr>
        <w:t xml:space="preserve">., 2025; Pitzer </w:t>
      </w:r>
      <w:r w:rsidRPr="00C635B3">
        <w:rPr>
          <w:rFonts w:ascii="Arial" w:hAnsi="Arial" w:cs="Arial"/>
          <w:i/>
          <w:iCs/>
          <w:sz w:val="22"/>
        </w:rPr>
        <w:t>et al</w:t>
      </w:r>
      <w:r w:rsidRPr="00C635B3">
        <w:rPr>
          <w:rFonts w:ascii="Arial" w:hAnsi="Arial" w:cs="Arial"/>
          <w:sz w:val="22"/>
        </w:rPr>
        <w:t xml:space="preserve">., 2024). Patients with non-cancer conditions, people from minority ethnic communities and other underserved groups may also experience unequal access (Care Quality Commission, 2016; Tobin </w:t>
      </w:r>
      <w:r w:rsidRPr="00C635B3">
        <w:rPr>
          <w:rFonts w:ascii="Arial" w:hAnsi="Arial" w:cs="Arial"/>
          <w:i/>
          <w:iCs/>
          <w:sz w:val="22"/>
        </w:rPr>
        <w:t>et al</w:t>
      </w:r>
      <w:r w:rsidRPr="00C635B3">
        <w:rPr>
          <w:rFonts w:ascii="Arial" w:hAnsi="Arial" w:cs="Arial"/>
          <w:sz w:val="22"/>
        </w:rPr>
        <w:t>., 2022). National guidance requires coordinated, personalised care and timely referral, but national audits continue to indicate variation in the provision of hospital care (NICE, 2017; NICE, 2019; NHS Benchmarking Network, 2023).</w:t>
      </w:r>
    </w:p>
    <w:p w14:paraId="3B1FCFB9" w14:textId="77777777" w:rsidR="00C635B3" w:rsidRPr="00C635B3" w:rsidRDefault="00C635B3" w:rsidP="00C635B3">
      <w:pPr>
        <w:spacing w:line="360" w:lineRule="auto"/>
        <w:rPr>
          <w:rFonts w:ascii="Arial" w:hAnsi="Arial" w:cs="Arial"/>
          <w:sz w:val="22"/>
        </w:rPr>
      </w:pPr>
      <w:r w:rsidRPr="00C635B3">
        <w:rPr>
          <w:rFonts w:ascii="Arial" w:hAnsi="Arial" w:cs="Arial"/>
          <w:sz w:val="22"/>
        </w:rPr>
        <w:t>This research is significant because identifying how these barriers interact could support safer, more equitable and compassionate care. It addresses the gap between national expectations and their consistent implementation in busy acute hospital settings (NHS England, 2022; NHS Benchmarking Network, 2025).</w:t>
      </w:r>
    </w:p>
    <w:p w14:paraId="761CC754" w14:textId="77777777" w:rsidR="005C0214" w:rsidRDefault="005C0214" w:rsidP="00C635B3">
      <w:pPr>
        <w:spacing w:line="360" w:lineRule="auto"/>
        <w:rPr>
          <w:rFonts w:ascii="Arial" w:hAnsi="Arial" w:cs="Arial"/>
          <w:b/>
          <w:bCs/>
          <w:sz w:val="22"/>
        </w:rPr>
      </w:pPr>
    </w:p>
    <w:p w14:paraId="4E70BC02" w14:textId="14F2B5C8" w:rsidR="00C635B3" w:rsidRPr="00C635B3" w:rsidRDefault="00C635B3" w:rsidP="00C635B3">
      <w:pPr>
        <w:spacing w:line="360" w:lineRule="auto"/>
        <w:rPr>
          <w:rFonts w:ascii="Arial" w:hAnsi="Arial" w:cs="Arial"/>
          <w:b/>
          <w:bCs/>
          <w:sz w:val="22"/>
        </w:rPr>
      </w:pPr>
      <w:r w:rsidRPr="00C635B3">
        <w:rPr>
          <w:rFonts w:ascii="Arial" w:hAnsi="Arial" w:cs="Arial"/>
          <w:b/>
          <w:bCs/>
          <w:sz w:val="22"/>
        </w:rPr>
        <w:t>4</w:t>
      </w:r>
      <w:r w:rsidR="007D289E">
        <w:rPr>
          <w:rFonts w:ascii="Arial" w:hAnsi="Arial" w:cs="Arial"/>
          <w:b/>
          <w:bCs/>
          <w:sz w:val="22"/>
        </w:rPr>
        <w:t>)</w:t>
      </w:r>
      <w:r w:rsidRPr="00C635B3">
        <w:rPr>
          <w:rFonts w:ascii="Arial" w:hAnsi="Arial" w:cs="Arial"/>
          <w:b/>
          <w:bCs/>
          <w:sz w:val="22"/>
        </w:rPr>
        <w:t>Methods</w:t>
      </w:r>
      <w:r w:rsidR="005C0214">
        <w:rPr>
          <w:rFonts w:ascii="Arial" w:hAnsi="Arial" w:cs="Arial"/>
          <w:b/>
          <w:bCs/>
          <w:sz w:val="22"/>
        </w:rPr>
        <w:t>:</w:t>
      </w:r>
    </w:p>
    <w:p w14:paraId="55E9745D" w14:textId="77777777" w:rsidR="00C635B3" w:rsidRPr="00C635B3" w:rsidRDefault="00C635B3" w:rsidP="00C635B3">
      <w:pPr>
        <w:spacing w:line="360" w:lineRule="auto"/>
        <w:rPr>
          <w:rFonts w:ascii="Arial" w:hAnsi="Arial" w:cs="Arial"/>
          <w:b/>
          <w:bCs/>
          <w:sz w:val="22"/>
        </w:rPr>
      </w:pPr>
      <w:r w:rsidRPr="00C635B3">
        <w:rPr>
          <w:rFonts w:ascii="Arial" w:hAnsi="Arial" w:cs="Arial"/>
          <w:b/>
          <w:bCs/>
          <w:sz w:val="22"/>
        </w:rPr>
        <w:t>Research design</w:t>
      </w:r>
    </w:p>
    <w:p w14:paraId="7821F33E" w14:textId="77777777" w:rsidR="00C635B3" w:rsidRPr="00C635B3" w:rsidRDefault="00C635B3" w:rsidP="00C635B3">
      <w:pPr>
        <w:spacing w:line="360" w:lineRule="auto"/>
        <w:rPr>
          <w:rFonts w:ascii="Arial" w:hAnsi="Arial" w:cs="Arial"/>
          <w:sz w:val="22"/>
        </w:rPr>
      </w:pPr>
      <w:r w:rsidRPr="00C635B3">
        <w:rPr>
          <w:rFonts w:ascii="Arial" w:hAnsi="Arial" w:cs="Arial"/>
          <w:sz w:val="22"/>
        </w:rPr>
        <w:t>A secondary research design will be used to review and synthesise existing evidence concerning barriers to palliative care in acute hospital settings. This approach will allow findings from research studies, national guidance and audit reports to be compared.</w:t>
      </w:r>
    </w:p>
    <w:p w14:paraId="1C1933E3" w14:textId="77777777" w:rsidR="00C635B3" w:rsidRDefault="00C635B3" w:rsidP="00C635B3">
      <w:pPr>
        <w:spacing w:line="360" w:lineRule="auto"/>
        <w:rPr>
          <w:rFonts w:ascii="Arial" w:hAnsi="Arial" w:cs="Arial"/>
          <w:b/>
          <w:bCs/>
          <w:sz w:val="22"/>
        </w:rPr>
      </w:pPr>
    </w:p>
    <w:p w14:paraId="497D7B19" w14:textId="1447A888" w:rsidR="00C635B3" w:rsidRPr="00C635B3" w:rsidRDefault="00C635B3" w:rsidP="00C635B3">
      <w:pPr>
        <w:spacing w:line="360" w:lineRule="auto"/>
        <w:rPr>
          <w:rFonts w:ascii="Arial" w:hAnsi="Arial" w:cs="Arial"/>
          <w:b/>
          <w:bCs/>
          <w:sz w:val="22"/>
        </w:rPr>
      </w:pPr>
      <w:r w:rsidRPr="00C635B3">
        <w:rPr>
          <w:rFonts w:ascii="Arial" w:hAnsi="Arial" w:cs="Arial"/>
          <w:b/>
          <w:bCs/>
          <w:sz w:val="22"/>
        </w:rPr>
        <w:t>Types of evidence</w:t>
      </w:r>
    </w:p>
    <w:p w14:paraId="6DE8455F" w14:textId="77777777" w:rsidR="00C635B3" w:rsidRPr="00C635B3" w:rsidRDefault="00C635B3" w:rsidP="00C635B3">
      <w:pPr>
        <w:spacing w:line="360" w:lineRule="auto"/>
        <w:rPr>
          <w:rFonts w:ascii="Arial" w:hAnsi="Arial" w:cs="Arial"/>
          <w:sz w:val="22"/>
        </w:rPr>
      </w:pPr>
      <w:r w:rsidRPr="00C635B3">
        <w:rPr>
          <w:rFonts w:ascii="Arial" w:hAnsi="Arial" w:cs="Arial"/>
          <w:sz w:val="22"/>
        </w:rPr>
        <w:t>Evidence will include peer-reviewed journal articles, systematic reviews, NICE guidance, NHS England policy documents, Care Quality Commission reports and findings from the National Audit of Care at the End of Life published between 2016 and 2026 (NICE, 2019; NHS England, 2022; NHS Benchmarking Network, 2025).</w:t>
      </w:r>
    </w:p>
    <w:p w14:paraId="268D42C8" w14:textId="77777777" w:rsidR="00C635B3" w:rsidRDefault="00C635B3" w:rsidP="00C635B3">
      <w:pPr>
        <w:spacing w:line="360" w:lineRule="auto"/>
        <w:rPr>
          <w:rFonts w:ascii="Arial" w:hAnsi="Arial" w:cs="Arial"/>
          <w:b/>
          <w:bCs/>
          <w:sz w:val="22"/>
        </w:rPr>
      </w:pPr>
    </w:p>
    <w:p w14:paraId="02BA3ECF" w14:textId="45855150" w:rsidR="00C635B3" w:rsidRPr="00C635B3" w:rsidRDefault="00C635B3" w:rsidP="00C635B3">
      <w:pPr>
        <w:spacing w:line="360" w:lineRule="auto"/>
        <w:rPr>
          <w:rFonts w:ascii="Arial" w:hAnsi="Arial" w:cs="Arial"/>
          <w:b/>
          <w:bCs/>
          <w:sz w:val="22"/>
        </w:rPr>
      </w:pPr>
      <w:r w:rsidRPr="00C635B3">
        <w:rPr>
          <w:rFonts w:ascii="Arial" w:hAnsi="Arial" w:cs="Arial"/>
          <w:b/>
          <w:bCs/>
          <w:sz w:val="22"/>
        </w:rPr>
        <w:t>Search strategy</w:t>
      </w:r>
    </w:p>
    <w:p w14:paraId="3E0830E3" w14:textId="77777777" w:rsidR="00C635B3" w:rsidRPr="00C635B3" w:rsidRDefault="00C635B3" w:rsidP="00C635B3">
      <w:pPr>
        <w:spacing w:line="360" w:lineRule="auto"/>
        <w:rPr>
          <w:rFonts w:ascii="Arial" w:hAnsi="Arial" w:cs="Arial"/>
          <w:sz w:val="22"/>
        </w:rPr>
      </w:pPr>
      <w:r w:rsidRPr="00C635B3">
        <w:rPr>
          <w:rFonts w:ascii="Arial" w:hAnsi="Arial" w:cs="Arial"/>
          <w:sz w:val="22"/>
        </w:rPr>
        <w:t xml:space="preserve">Searches will be conducted using CINAHL, MEDLINE/PubMed, Google Scholar and relevant UK health and social care organisational websites. Search terms will include combinations of </w:t>
      </w:r>
      <w:r w:rsidRPr="00C635B3">
        <w:rPr>
          <w:rFonts w:ascii="Arial" w:hAnsi="Arial" w:cs="Arial"/>
          <w:i/>
          <w:iCs/>
          <w:sz w:val="22"/>
        </w:rPr>
        <w:t>palliative care</w:t>
      </w:r>
      <w:r w:rsidRPr="00C635B3">
        <w:rPr>
          <w:rFonts w:ascii="Arial" w:hAnsi="Arial" w:cs="Arial"/>
          <w:sz w:val="22"/>
        </w:rPr>
        <w:t xml:space="preserve">, </w:t>
      </w:r>
      <w:r w:rsidRPr="00C635B3">
        <w:rPr>
          <w:rFonts w:ascii="Arial" w:hAnsi="Arial" w:cs="Arial"/>
          <w:i/>
          <w:iCs/>
          <w:sz w:val="22"/>
        </w:rPr>
        <w:t>end-of-life care</w:t>
      </w:r>
      <w:r w:rsidRPr="00C635B3">
        <w:rPr>
          <w:rFonts w:ascii="Arial" w:hAnsi="Arial" w:cs="Arial"/>
          <w:sz w:val="22"/>
        </w:rPr>
        <w:t xml:space="preserve">, </w:t>
      </w:r>
      <w:r w:rsidRPr="00C635B3">
        <w:rPr>
          <w:rFonts w:ascii="Arial" w:hAnsi="Arial" w:cs="Arial"/>
          <w:i/>
          <w:iCs/>
          <w:sz w:val="22"/>
        </w:rPr>
        <w:t>acute hospitals</w:t>
      </w:r>
      <w:r w:rsidRPr="00C635B3">
        <w:rPr>
          <w:rFonts w:ascii="Arial" w:hAnsi="Arial" w:cs="Arial"/>
          <w:sz w:val="22"/>
        </w:rPr>
        <w:t xml:space="preserve">, </w:t>
      </w:r>
      <w:r w:rsidRPr="00C635B3">
        <w:rPr>
          <w:rFonts w:ascii="Arial" w:hAnsi="Arial" w:cs="Arial"/>
          <w:i/>
          <w:iCs/>
          <w:sz w:val="22"/>
        </w:rPr>
        <w:t>barriers</w:t>
      </w:r>
      <w:r w:rsidRPr="00C635B3">
        <w:rPr>
          <w:rFonts w:ascii="Arial" w:hAnsi="Arial" w:cs="Arial"/>
          <w:sz w:val="22"/>
        </w:rPr>
        <w:t xml:space="preserve">, </w:t>
      </w:r>
      <w:r w:rsidRPr="00C635B3">
        <w:rPr>
          <w:rFonts w:ascii="Arial" w:hAnsi="Arial" w:cs="Arial"/>
          <w:i/>
          <w:iCs/>
          <w:sz w:val="22"/>
        </w:rPr>
        <w:t>access</w:t>
      </w:r>
      <w:r w:rsidRPr="00C635B3">
        <w:rPr>
          <w:rFonts w:ascii="Arial" w:hAnsi="Arial" w:cs="Arial"/>
          <w:sz w:val="22"/>
        </w:rPr>
        <w:t xml:space="preserve">, </w:t>
      </w:r>
      <w:r w:rsidRPr="00C635B3">
        <w:rPr>
          <w:rFonts w:ascii="Arial" w:hAnsi="Arial" w:cs="Arial"/>
          <w:i/>
          <w:iCs/>
          <w:sz w:val="22"/>
        </w:rPr>
        <w:t>referral</w:t>
      </w:r>
      <w:r w:rsidRPr="00C635B3">
        <w:rPr>
          <w:rFonts w:ascii="Arial" w:hAnsi="Arial" w:cs="Arial"/>
          <w:sz w:val="22"/>
        </w:rPr>
        <w:t xml:space="preserve">, </w:t>
      </w:r>
      <w:r w:rsidRPr="00C635B3">
        <w:rPr>
          <w:rFonts w:ascii="Arial" w:hAnsi="Arial" w:cs="Arial"/>
          <w:i/>
          <w:iCs/>
          <w:sz w:val="22"/>
        </w:rPr>
        <w:t>communication</w:t>
      </w:r>
      <w:r w:rsidRPr="00C635B3">
        <w:rPr>
          <w:rFonts w:ascii="Arial" w:hAnsi="Arial" w:cs="Arial"/>
          <w:sz w:val="22"/>
        </w:rPr>
        <w:t xml:space="preserve">, </w:t>
      </w:r>
      <w:r w:rsidRPr="00C635B3">
        <w:rPr>
          <w:rFonts w:ascii="Arial" w:hAnsi="Arial" w:cs="Arial"/>
          <w:i/>
          <w:iCs/>
          <w:sz w:val="22"/>
        </w:rPr>
        <w:t>workforce</w:t>
      </w:r>
      <w:r w:rsidRPr="00C635B3">
        <w:rPr>
          <w:rFonts w:ascii="Arial" w:hAnsi="Arial" w:cs="Arial"/>
          <w:sz w:val="22"/>
        </w:rPr>
        <w:t xml:space="preserve"> and </w:t>
      </w:r>
      <w:r w:rsidRPr="00C635B3">
        <w:rPr>
          <w:rFonts w:ascii="Arial" w:hAnsi="Arial" w:cs="Arial"/>
          <w:i/>
          <w:iCs/>
          <w:sz w:val="22"/>
        </w:rPr>
        <w:t>United Kingdom</w:t>
      </w:r>
      <w:r w:rsidRPr="00C635B3">
        <w:rPr>
          <w:rFonts w:ascii="Arial" w:hAnsi="Arial" w:cs="Arial"/>
          <w:sz w:val="22"/>
        </w:rPr>
        <w:t>.</w:t>
      </w:r>
    </w:p>
    <w:p w14:paraId="4A2D438D" w14:textId="77777777" w:rsidR="00C635B3" w:rsidRDefault="00C635B3" w:rsidP="00C635B3">
      <w:pPr>
        <w:spacing w:line="360" w:lineRule="auto"/>
        <w:rPr>
          <w:rFonts w:ascii="Arial" w:hAnsi="Arial" w:cs="Arial"/>
          <w:b/>
          <w:bCs/>
          <w:sz w:val="22"/>
        </w:rPr>
      </w:pPr>
    </w:p>
    <w:p w14:paraId="5B485C51" w14:textId="1975759A" w:rsidR="00C635B3" w:rsidRPr="00C635B3" w:rsidRDefault="00C635B3" w:rsidP="00C635B3">
      <w:pPr>
        <w:spacing w:line="360" w:lineRule="auto"/>
        <w:rPr>
          <w:rFonts w:ascii="Arial" w:hAnsi="Arial" w:cs="Arial"/>
          <w:b/>
          <w:bCs/>
          <w:sz w:val="22"/>
        </w:rPr>
      </w:pPr>
      <w:r w:rsidRPr="00C635B3">
        <w:rPr>
          <w:rFonts w:ascii="Arial" w:hAnsi="Arial" w:cs="Arial"/>
          <w:b/>
          <w:bCs/>
          <w:sz w:val="22"/>
        </w:rPr>
        <w:t>Source-selection criteria</w:t>
      </w:r>
    </w:p>
    <w:p w14:paraId="020A76D5" w14:textId="77777777" w:rsidR="00C635B3" w:rsidRPr="00C635B3" w:rsidRDefault="00C635B3" w:rsidP="00C635B3">
      <w:pPr>
        <w:spacing w:line="360" w:lineRule="auto"/>
        <w:rPr>
          <w:rFonts w:ascii="Arial" w:hAnsi="Arial" w:cs="Arial"/>
          <w:sz w:val="22"/>
        </w:rPr>
      </w:pPr>
      <w:r w:rsidRPr="00C635B3">
        <w:rPr>
          <w:rFonts w:ascii="Arial" w:hAnsi="Arial" w:cs="Arial"/>
          <w:sz w:val="22"/>
        </w:rPr>
        <w:t>English-language sources concerning adult palliative or end-of-life care in acute hospitals will be prioritised. Sources will be selected according to their relevance, recency, methodological quality and applicability to UK practice. Sources published before 2016, those focusing exclusively on children and those without relevance to acute hospital care will normally be excluded.</w:t>
      </w:r>
    </w:p>
    <w:p w14:paraId="667D6FF7" w14:textId="52624702" w:rsidR="00C635B3" w:rsidRPr="00C635B3" w:rsidRDefault="00C635B3" w:rsidP="00C635B3">
      <w:pPr>
        <w:spacing w:line="360" w:lineRule="auto"/>
        <w:rPr>
          <w:rFonts w:ascii="Arial" w:hAnsi="Arial" w:cs="Arial"/>
          <w:b/>
          <w:bCs/>
          <w:sz w:val="22"/>
        </w:rPr>
      </w:pPr>
      <w:r w:rsidRPr="00C635B3">
        <w:rPr>
          <w:rFonts w:ascii="Arial" w:hAnsi="Arial" w:cs="Arial"/>
          <w:b/>
          <w:bCs/>
          <w:sz w:val="22"/>
        </w:rPr>
        <w:t>Data analysis</w:t>
      </w:r>
    </w:p>
    <w:p w14:paraId="753D4579" w14:textId="77777777" w:rsidR="00C635B3" w:rsidRPr="00C635B3" w:rsidRDefault="00C635B3" w:rsidP="00C635B3">
      <w:pPr>
        <w:spacing w:line="360" w:lineRule="auto"/>
        <w:rPr>
          <w:rFonts w:ascii="Arial" w:hAnsi="Arial" w:cs="Arial"/>
          <w:sz w:val="22"/>
        </w:rPr>
      </w:pPr>
      <w:r w:rsidRPr="00C635B3">
        <w:rPr>
          <w:rFonts w:ascii="Arial" w:hAnsi="Arial" w:cs="Arial"/>
          <w:sz w:val="22"/>
        </w:rPr>
        <w:t xml:space="preserve">The findings will be organised into themes such as communication, workforce, education, resources, hospital culture, referral practices and inequalities. Evidence from different sources will then be compared to identify common findings, differences and gaps. These themes reflect barriers identified in recent research and national reports (Care Quality Commission, 2016; Tobin </w:t>
      </w:r>
      <w:r w:rsidRPr="00C635B3">
        <w:rPr>
          <w:rFonts w:ascii="Arial" w:hAnsi="Arial" w:cs="Arial"/>
          <w:i/>
          <w:iCs/>
          <w:sz w:val="22"/>
        </w:rPr>
        <w:t>et al</w:t>
      </w:r>
      <w:r w:rsidRPr="00C635B3">
        <w:rPr>
          <w:rFonts w:ascii="Arial" w:hAnsi="Arial" w:cs="Arial"/>
          <w:sz w:val="22"/>
        </w:rPr>
        <w:t xml:space="preserve">., 2022; Pitzer </w:t>
      </w:r>
      <w:r w:rsidRPr="00C635B3">
        <w:rPr>
          <w:rFonts w:ascii="Arial" w:hAnsi="Arial" w:cs="Arial"/>
          <w:i/>
          <w:iCs/>
          <w:sz w:val="22"/>
        </w:rPr>
        <w:t>et al</w:t>
      </w:r>
      <w:r w:rsidRPr="00C635B3">
        <w:rPr>
          <w:rFonts w:ascii="Arial" w:hAnsi="Arial" w:cs="Arial"/>
          <w:sz w:val="22"/>
        </w:rPr>
        <w:t xml:space="preserve">., 2024; Hodge </w:t>
      </w:r>
      <w:r w:rsidRPr="00C635B3">
        <w:rPr>
          <w:rFonts w:ascii="Arial" w:hAnsi="Arial" w:cs="Arial"/>
          <w:i/>
          <w:iCs/>
          <w:sz w:val="22"/>
        </w:rPr>
        <w:t>et al</w:t>
      </w:r>
      <w:r w:rsidRPr="00C635B3">
        <w:rPr>
          <w:rFonts w:ascii="Arial" w:hAnsi="Arial" w:cs="Arial"/>
          <w:sz w:val="22"/>
        </w:rPr>
        <w:t>., 2025).</w:t>
      </w:r>
    </w:p>
    <w:p w14:paraId="4A9F35A2" w14:textId="77777777" w:rsidR="00C635B3" w:rsidRPr="00C635B3" w:rsidRDefault="00C635B3" w:rsidP="00C635B3">
      <w:pPr>
        <w:spacing w:line="360" w:lineRule="auto"/>
        <w:rPr>
          <w:rFonts w:ascii="Arial" w:hAnsi="Arial" w:cs="Arial"/>
          <w:b/>
          <w:bCs/>
          <w:sz w:val="22"/>
        </w:rPr>
      </w:pPr>
      <w:r w:rsidRPr="00C635B3">
        <w:rPr>
          <w:rFonts w:ascii="Arial" w:hAnsi="Arial" w:cs="Arial"/>
          <w:b/>
          <w:bCs/>
          <w:sz w:val="22"/>
        </w:rPr>
        <w:t>Ethical considerations</w:t>
      </w:r>
    </w:p>
    <w:p w14:paraId="58D9594C" w14:textId="77777777" w:rsidR="00C635B3" w:rsidRPr="00C635B3" w:rsidRDefault="00C635B3" w:rsidP="00C635B3">
      <w:pPr>
        <w:spacing w:line="360" w:lineRule="auto"/>
        <w:rPr>
          <w:rFonts w:ascii="Arial" w:hAnsi="Arial" w:cs="Arial"/>
          <w:sz w:val="22"/>
        </w:rPr>
      </w:pPr>
      <w:r w:rsidRPr="00C635B3">
        <w:rPr>
          <w:rFonts w:ascii="Arial" w:hAnsi="Arial" w:cs="Arial"/>
          <w:sz w:val="22"/>
        </w:rPr>
        <w:t>Ethical practice will include accurate Harvard referencing, faithful representation of evidence, acknowledgement of original authors and avoidance of plagiarism, fabrication or misrepresentation. As this project uses published secondary evidence and does not recruit participants or collect identifiable personal information, formal participant consent will not be required.</w:t>
      </w:r>
    </w:p>
    <w:p w14:paraId="2543A376" w14:textId="2C01FA1E" w:rsidR="00C635B3" w:rsidRPr="00C635B3" w:rsidRDefault="00C635B3" w:rsidP="00C635B3">
      <w:pPr>
        <w:spacing w:line="360" w:lineRule="auto"/>
        <w:rPr>
          <w:rFonts w:ascii="Arial" w:hAnsi="Arial" w:cs="Arial"/>
          <w:b/>
          <w:bCs/>
          <w:sz w:val="22"/>
        </w:rPr>
      </w:pPr>
      <w:r w:rsidRPr="00C635B3">
        <w:rPr>
          <w:rFonts w:ascii="Arial" w:hAnsi="Arial" w:cs="Arial"/>
          <w:b/>
          <w:bCs/>
          <w:sz w:val="22"/>
        </w:rPr>
        <w:t>5</w:t>
      </w:r>
      <w:r w:rsidR="007D289E">
        <w:rPr>
          <w:rFonts w:ascii="Arial" w:hAnsi="Arial" w:cs="Arial"/>
          <w:b/>
          <w:bCs/>
          <w:sz w:val="22"/>
        </w:rPr>
        <w:t xml:space="preserve">) </w:t>
      </w:r>
      <w:r w:rsidRPr="00C635B3">
        <w:rPr>
          <w:rFonts w:ascii="Arial" w:hAnsi="Arial" w:cs="Arial"/>
          <w:b/>
          <w:bCs/>
          <w:sz w:val="22"/>
        </w:rPr>
        <w:t>Resources</w:t>
      </w:r>
    </w:p>
    <w:p w14:paraId="2EE29A18" w14:textId="77777777" w:rsidR="00C635B3" w:rsidRPr="00C635B3" w:rsidRDefault="00C635B3" w:rsidP="00C635B3">
      <w:pPr>
        <w:numPr>
          <w:ilvl w:val="0"/>
          <w:numId w:val="11"/>
        </w:numPr>
        <w:spacing w:line="360" w:lineRule="auto"/>
        <w:rPr>
          <w:rFonts w:ascii="Arial" w:hAnsi="Arial" w:cs="Arial"/>
          <w:sz w:val="22"/>
        </w:rPr>
      </w:pPr>
      <w:r w:rsidRPr="00C635B3">
        <w:rPr>
          <w:rFonts w:ascii="Arial" w:hAnsi="Arial" w:cs="Arial"/>
          <w:sz w:val="22"/>
        </w:rPr>
        <w:t>CINAHL, MEDLINE/PubMed and Google Scholar</w:t>
      </w:r>
    </w:p>
    <w:p w14:paraId="463E5559" w14:textId="77777777" w:rsidR="00C635B3" w:rsidRPr="00C635B3" w:rsidRDefault="00C635B3" w:rsidP="00C635B3">
      <w:pPr>
        <w:numPr>
          <w:ilvl w:val="0"/>
          <w:numId w:val="11"/>
        </w:numPr>
        <w:spacing w:line="360" w:lineRule="auto"/>
        <w:rPr>
          <w:rFonts w:ascii="Arial" w:hAnsi="Arial" w:cs="Arial"/>
          <w:sz w:val="22"/>
        </w:rPr>
      </w:pPr>
      <w:r w:rsidRPr="00C635B3">
        <w:rPr>
          <w:rFonts w:ascii="Arial" w:hAnsi="Arial" w:cs="Arial"/>
          <w:sz w:val="22"/>
        </w:rPr>
        <w:t>University library and UK policy websites</w:t>
      </w:r>
    </w:p>
    <w:p w14:paraId="605D0DDF" w14:textId="77777777" w:rsidR="00C635B3" w:rsidRPr="00C635B3" w:rsidRDefault="00C635B3" w:rsidP="00C635B3">
      <w:pPr>
        <w:numPr>
          <w:ilvl w:val="0"/>
          <w:numId w:val="11"/>
        </w:numPr>
        <w:spacing w:line="360" w:lineRule="auto"/>
        <w:rPr>
          <w:rFonts w:ascii="Arial" w:hAnsi="Arial" w:cs="Arial"/>
          <w:sz w:val="22"/>
        </w:rPr>
      </w:pPr>
      <w:r w:rsidRPr="00C635B3">
        <w:rPr>
          <w:rFonts w:ascii="Arial" w:hAnsi="Arial" w:cs="Arial"/>
          <w:sz w:val="22"/>
        </w:rPr>
        <w:t>Guidance from the lecturer</w:t>
      </w:r>
    </w:p>
    <w:p w14:paraId="13E62EAD" w14:textId="77777777" w:rsidR="00C635B3" w:rsidRDefault="00C635B3" w:rsidP="00C635B3">
      <w:pPr>
        <w:spacing w:line="360" w:lineRule="auto"/>
        <w:rPr>
          <w:rFonts w:ascii="Arial" w:hAnsi="Arial" w:cs="Arial"/>
          <w:b/>
          <w:bCs/>
          <w:sz w:val="22"/>
        </w:rPr>
      </w:pPr>
    </w:p>
    <w:p w14:paraId="14133107" w14:textId="77777777" w:rsidR="00C635B3" w:rsidRDefault="00C635B3" w:rsidP="00C635B3">
      <w:pPr>
        <w:spacing w:line="360" w:lineRule="auto"/>
        <w:rPr>
          <w:rFonts w:ascii="Arial" w:hAnsi="Arial" w:cs="Arial"/>
          <w:b/>
          <w:bCs/>
          <w:sz w:val="22"/>
        </w:rPr>
      </w:pPr>
    </w:p>
    <w:p w14:paraId="786023C0" w14:textId="77777777" w:rsidR="00C635B3" w:rsidRDefault="00C635B3" w:rsidP="00C635B3">
      <w:pPr>
        <w:spacing w:line="360" w:lineRule="auto"/>
        <w:rPr>
          <w:rFonts w:ascii="Arial" w:hAnsi="Arial" w:cs="Arial"/>
          <w:b/>
          <w:bCs/>
          <w:sz w:val="22"/>
        </w:rPr>
      </w:pPr>
    </w:p>
    <w:p w14:paraId="4838FF97" w14:textId="77777777" w:rsidR="00C635B3" w:rsidRDefault="00C635B3" w:rsidP="00C635B3">
      <w:pPr>
        <w:spacing w:line="360" w:lineRule="auto"/>
        <w:rPr>
          <w:rFonts w:ascii="Arial" w:hAnsi="Arial" w:cs="Arial"/>
          <w:b/>
          <w:bCs/>
          <w:sz w:val="22"/>
        </w:rPr>
      </w:pPr>
    </w:p>
    <w:p w14:paraId="45272777" w14:textId="77777777" w:rsidR="00C635B3" w:rsidRDefault="00C635B3" w:rsidP="00C635B3">
      <w:pPr>
        <w:spacing w:line="360" w:lineRule="auto"/>
        <w:rPr>
          <w:rFonts w:ascii="Arial" w:hAnsi="Arial" w:cs="Arial"/>
          <w:b/>
          <w:bCs/>
          <w:sz w:val="22"/>
        </w:rPr>
      </w:pPr>
    </w:p>
    <w:p w14:paraId="3D295F7D" w14:textId="77777777" w:rsidR="007D289E" w:rsidRDefault="007D289E" w:rsidP="00C635B3">
      <w:pPr>
        <w:spacing w:line="360" w:lineRule="auto"/>
        <w:rPr>
          <w:rFonts w:ascii="Arial" w:hAnsi="Arial" w:cs="Arial"/>
          <w:b/>
          <w:bCs/>
          <w:sz w:val="22"/>
        </w:rPr>
      </w:pPr>
    </w:p>
    <w:p w14:paraId="6CEA1C58" w14:textId="16326D99" w:rsidR="00C635B3" w:rsidRPr="00C635B3" w:rsidRDefault="00C635B3" w:rsidP="00C635B3">
      <w:pPr>
        <w:spacing w:line="360" w:lineRule="auto"/>
        <w:rPr>
          <w:rFonts w:ascii="Arial" w:hAnsi="Arial" w:cs="Arial"/>
          <w:b/>
          <w:bCs/>
          <w:sz w:val="22"/>
        </w:rPr>
      </w:pPr>
      <w:r w:rsidRPr="00C635B3">
        <w:rPr>
          <w:rFonts w:ascii="Arial" w:hAnsi="Arial" w:cs="Arial"/>
          <w:b/>
          <w:bCs/>
          <w:sz w:val="22"/>
        </w:rPr>
        <w:lastRenderedPageBreak/>
        <w:t>6</w:t>
      </w:r>
      <w:r w:rsidR="007D289E">
        <w:rPr>
          <w:rFonts w:ascii="Arial" w:hAnsi="Arial" w:cs="Arial"/>
          <w:b/>
          <w:bCs/>
          <w:sz w:val="22"/>
        </w:rPr>
        <w:t>)</w:t>
      </w:r>
      <w:r w:rsidRPr="00C635B3">
        <w:rPr>
          <w:rFonts w:ascii="Arial" w:hAnsi="Arial" w:cs="Arial"/>
          <w:b/>
          <w:bCs/>
          <w:sz w:val="22"/>
        </w:rPr>
        <w:t xml:space="preserve"> Timescale</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73"/>
        <w:gridCol w:w="6936"/>
      </w:tblGrid>
      <w:tr w:rsidR="00C635B3" w:rsidRPr="00C635B3" w14:paraId="7615E354" w14:textId="77777777">
        <w:trPr>
          <w:tblHeader/>
          <w:tblCellSpacing w:w="15" w:type="dxa"/>
        </w:trPr>
        <w:tc>
          <w:tcPr>
            <w:tcW w:w="0" w:type="auto"/>
            <w:vAlign w:val="center"/>
            <w:hideMark/>
          </w:tcPr>
          <w:p w14:paraId="6C4E513B" w14:textId="77777777" w:rsidR="00C635B3" w:rsidRPr="00C635B3" w:rsidRDefault="00C635B3" w:rsidP="00C635B3">
            <w:pPr>
              <w:spacing w:line="360" w:lineRule="auto"/>
              <w:rPr>
                <w:rFonts w:ascii="Arial" w:hAnsi="Arial" w:cs="Arial"/>
                <w:b/>
                <w:bCs/>
                <w:sz w:val="22"/>
              </w:rPr>
            </w:pPr>
            <w:r w:rsidRPr="00C635B3">
              <w:rPr>
                <w:rFonts w:ascii="Arial" w:hAnsi="Arial" w:cs="Arial"/>
                <w:b/>
                <w:bCs/>
                <w:sz w:val="22"/>
              </w:rPr>
              <w:t>Weeks</w:t>
            </w:r>
          </w:p>
        </w:tc>
        <w:tc>
          <w:tcPr>
            <w:tcW w:w="0" w:type="auto"/>
            <w:vAlign w:val="center"/>
            <w:hideMark/>
          </w:tcPr>
          <w:p w14:paraId="138F289E" w14:textId="77777777" w:rsidR="00C635B3" w:rsidRPr="00C635B3" w:rsidRDefault="00C635B3" w:rsidP="00C635B3">
            <w:pPr>
              <w:spacing w:line="360" w:lineRule="auto"/>
              <w:rPr>
                <w:rFonts w:ascii="Arial" w:hAnsi="Arial" w:cs="Arial"/>
                <w:b/>
                <w:bCs/>
                <w:sz w:val="22"/>
              </w:rPr>
            </w:pPr>
            <w:r w:rsidRPr="00C635B3">
              <w:rPr>
                <w:rFonts w:ascii="Arial" w:hAnsi="Arial" w:cs="Arial"/>
                <w:b/>
                <w:bCs/>
                <w:sz w:val="22"/>
              </w:rPr>
              <w:t>Activity</w:t>
            </w:r>
          </w:p>
        </w:tc>
      </w:tr>
      <w:tr w:rsidR="00C635B3" w:rsidRPr="00C635B3" w14:paraId="3F1A98F9" w14:textId="77777777">
        <w:trPr>
          <w:tblCellSpacing w:w="15" w:type="dxa"/>
        </w:trPr>
        <w:tc>
          <w:tcPr>
            <w:tcW w:w="0" w:type="auto"/>
            <w:vAlign w:val="center"/>
            <w:hideMark/>
          </w:tcPr>
          <w:p w14:paraId="40BEF49E" w14:textId="77777777" w:rsidR="00C635B3" w:rsidRPr="00C635B3" w:rsidRDefault="00C635B3" w:rsidP="00C635B3">
            <w:pPr>
              <w:spacing w:line="360" w:lineRule="auto"/>
              <w:rPr>
                <w:rFonts w:ascii="Arial" w:hAnsi="Arial" w:cs="Arial"/>
                <w:sz w:val="22"/>
              </w:rPr>
            </w:pPr>
            <w:r w:rsidRPr="00C635B3">
              <w:rPr>
                <w:rFonts w:ascii="Arial" w:hAnsi="Arial" w:cs="Arial"/>
                <w:sz w:val="22"/>
              </w:rPr>
              <w:t>1-2</w:t>
            </w:r>
          </w:p>
        </w:tc>
        <w:tc>
          <w:tcPr>
            <w:tcW w:w="0" w:type="auto"/>
            <w:vAlign w:val="center"/>
            <w:hideMark/>
          </w:tcPr>
          <w:p w14:paraId="78BB28D6" w14:textId="77777777" w:rsidR="00C635B3" w:rsidRPr="00C635B3" w:rsidRDefault="00C635B3" w:rsidP="00C635B3">
            <w:pPr>
              <w:spacing w:line="360" w:lineRule="auto"/>
              <w:rPr>
                <w:rFonts w:ascii="Arial" w:hAnsi="Arial" w:cs="Arial"/>
                <w:sz w:val="22"/>
              </w:rPr>
            </w:pPr>
            <w:r w:rsidRPr="00C635B3">
              <w:rPr>
                <w:rFonts w:ascii="Arial" w:hAnsi="Arial" w:cs="Arial"/>
                <w:sz w:val="22"/>
              </w:rPr>
              <w:t>Finalise the research title, aim, objectives and research question</w:t>
            </w:r>
          </w:p>
        </w:tc>
      </w:tr>
      <w:tr w:rsidR="00C635B3" w:rsidRPr="00C635B3" w14:paraId="461A0E9F" w14:textId="77777777">
        <w:trPr>
          <w:tblCellSpacing w:w="15" w:type="dxa"/>
        </w:trPr>
        <w:tc>
          <w:tcPr>
            <w:tcW w:w="0" w:type="auto"/>
            <w:vAlign w:val="center"/>
            <w:hideMark/>
          </w:tcPr>
          <w:p w14:paraId="7A6B4C6A" w14:textId="77777777" w:rsidR="00C635B3" w:rsidRPr="00C635B3" w:rsidRDefault="00C635B3" w:rsidP="00C635B3">
            <w:pPr>
              <w:spacing w:line="360" w:lineRule="auto"/>
              <w:rPr>
                <w:rFonts w:ascii="Arial" w:hAnsi="Arial" w:cs="Arial"/>
                <w:sz w:val="22"/>
              </w:rPr>
            </w:pPr>
            <w:r w:rsidRPr="00C635B3">
              <w:rPr>
                <w:rFonts w:ascii="Arial" w:hAnsi="Arial" w:cs="Arial"/>
                <w:sz w:val="22"/>
              </w:rPr>
              <w:t>3-5</w:t>
            </w:r>
          </w:p>
        </w:tc>
        <w:tc>
          <w:tcPr>
            <w:tcW w:w="0" w:type="auto"/>
            <w:vAlign w:val="center"/>
            <w:hideMark/>
          </w:tcPr>
          <w:p w14:paraId="015F750C" w14:textId="77777777" w:rsidR="00C635B3" w:rsidRPr="00C635B3" w:rsidRDefault="00C635B3" w:rsidP="00C635B3">
            <w:pPr>
              <w:spacing w:line="360" w:lineRule="auto"/>
              <w:rPr>
                <w:rFonts w:ascii="Arial" w:hAnsi="Arial" w:cs="Arial"/>
                <w:sz w:val="22"/>
              </w:rPr>
            </w:pPr>
            <w:r w:rsidRPr="00C635B3">
              <w:rPr>
                <w:rFonts w:ascii="Arial" w:hAnsi="Arial" w:cs="Arial"/>
                <w:sz w:val="22"/>
              </w:rPr>
              <w:t>Develop keywords, inclusion criteria and a literature-search strategy</w:t>
            </w:r>
          </w:p>
        </w:tc>
      </w:tr>
      <w:tr w:rsidR="00C635B3" w:rsidRPr="00C635B3" w14:paraId="1E49E174" w14:textId="77777777">
        <w:trPr>
          <w:tblCellSpacing w:w="15" w:type="dxa"/>
        </w:trPr>
        <w:tc>
          <w:tcPr>
            <w:tcW w:w="0" w:type="auto"/>
            <w:vAlign w:val="center"/>
            <w:hideMark/>
          </w:tcPr>
          <w:p w14:paraId="70AFCB9E" w14:textId="77777777" w:rsidR="00C635B3" w:rsidRPr="00C635B3" w:rsidRDefault="00C635B3" w:rsidP="00C635B3">
            <w:pPr>
              <w:spacing w:line="360" w:lineRule="auto"/>
              <w:rPr>
                <w:rFonts w:ascii="Arial" w:hAnsi="Arial" w:cs="Arial"/>
                <w:sz w:val="22"/>
              </w:rPr>
            </w:pPr>
            <w:r w:rsidRPr="00C635B3">
              <w:rPr>
                <w:rFonts w:ascii="Arial" w:hAnsi="Arial" w:cs="Arial"/>
                <w:sz w:val="22"/>
              </w:rPr>
              <w:t>6-9</w:t>
            </w:r>
          </w:p>
        </w:tc>
        <w:tc>
          <w:tcPr>
            <w:tcW w:w="0" w:type="auto"/>
            <w:vAlign w:val="center"/>
            <w:hideMark/>
          </w:tcPr>
          <w:p w14:paraId="23235A3F" w14:textId="77777777" w:rsidR="00C635B3" w:rsidRPr="00C635B3" w:rsidRDefault="00C635B3" w:rsidP="00C635B3">
            <w:pPr>
              <w:spacing w:line="360" w:lineRule="auto"/>
              <w:rPr>
                <w:rFonts w:ascii="Arial" w:hAnsi="Arial" w:cs="Arial"/>
                <w:sz w:val="22"/>
              </w:rPr>
            </w:pPr>
            <w:r w:rsidRPr="00C635B3">
              <w:rPr>
                <w:rFonts w:ascii="Arial" w:hAnsi="Arial" w:cs="Arial"/>
                <w:sz w:val="22"/>
              </w:rPr>
              <w:t>Search databases and relevant UK health and social care websites</w:t>
            </w:r>
          </w:p>
        </w:tc>
      </w:tr>
      <w:tr w:rsidR="00C635B3" w:rsidRPr="00C635B3" w14:paraId="0FDC716E" w14:textId="77777777">
        <w:trPr>
          <w:tblCellSpacing w:w="15" w:type="dxa"/>
        </w:trPr>
        <w:tc>
          <w:tcPr>
            <w:tcW w:w="0" w:type="auto"/>
            <w:vAlign w:val="center"/>
            <w:hideMark/>
          </w:tcPr>
          <w:p w14:paraId="135AEC52" w14:textId="77777777" w:rsidR="00C635B3" w:rsidRPr="00C635B3" w:rsidRDefault="00C635B3" w:rsidP="00C635B3">
            <w:pPr>
              <w:spacing w:line="360" w:lineRule="auto"/>
              <w:rPr>
                <w:rFonts w:ascii="Arial" w:hAnsi="Arial" w:cs="Arial"/>
                <w:sz w:val="22"/>
              </w:rPr>
            </w:pPr>
            <w:r w:rsidRPr="00C635B3">
              <w:rPr>
                <w:rFonts w:ascii="Arial" w:hAnsi="Arial" w:cs="Arial"/>
                <w:sz w:val="22"/>
              </w:rPr>
              <w:t>10-12</w:t>
            </w:r>
          </w:p>
        </w:tc>
        <w:tc>
          <w:tcPr>
            <w:tcW w:w="0" w:type="auto"/>
            <w:vAlign w:val="center"/>
            <w:hideMark/>
          </w:tcPr>
          <w:p w14:paraId="2228BCB7" w14:textId="77777777" w:rsidR="00C635B3" w:rsidRPr="00C635B3" w:rsidRDefault="00C635B3" w:rsidP="00C635B3">
            <w:pPr>
              <w:spacing w:line="360" w:lineRule="auto"/>
              <w:rPr>
                <w:rFonts w:ascii="Arial" w:hAnsi="Arial" w:cs="Arial"/>
                <w:sz w:val="22"/>
              </w:rPr>
            </w:pPr>
            <w:r w:rsidRPr="00C635B3">
              <w:rPr>
                <w:rFonts w:ascii="Arial" w:hAnsi="Arial" w:cs="Arial"/>
                <w:sz w:val="22"/>
              </w:rPr>
              <w:t>Screen sources and select the most relevant evidence</w:t>
            </w:r>
          </w:p>
        </w:tc>
      </w:tr>
      <w:tr w:rsidR="00C635B3" w:rsidRPr="00C635B3" w14:paraId="41849E30" w14:textId="77777777">
        <w:trPr>
          <w:tblCellSpacing w:w="15" w:type="dxa"/>
        </w:trPr>
        <w:tc>
          <w:tcPr>
            <w:tcW w:w="0" w:type="auto"/>
            <w:vAlign w:val="center"/>
            <w:hideMark/>
          </w:tcPr>
          <w:p w14:paraId="16F83E3D" w14:textId="77777777" w:rsidR="00C635B3" w:rsidRPr="00C635B3" w:rsidRDefault="00C635B3" w:rsidP="00C635B3">
            <w:pPr>
              <w:spacing w:line="360" w:lineRule="auto"/>
              <w:rPr>
                <w:rFonts w:ascii="Arial" w:hAnsi="Arial" w:cs="Arial"/>
                <w:sz w:val="22"/>
              </w:rPr>
            </w:pPr>
            <w:r w:rsidRPr="00C635B3">
              <w:rPr>
                <w:rFonts w:ascii="Arial" w:hAnsi="Arial" w:cs="Arial"/>
                <w:sz w:val="22"/>
              </w:rPr>
              <w:t>13-15</w:t>
            </w:r>
          </w:p>
        </w:tc>
        <w:tc>
          <w:tcPr>
            <w:tcW w:w="0" w:type="auto"/>
            <w:vAlign w:val="center"/>
            <w:hideMark/>
          </w:tcPr>
          <w:p w14:paraId="4C786341" w14:textId="77777777" w:rsidR="00C635B3" w:rsidRPr="00C635B3" w:rsidRDefault="00C635B3" w:rsidP="00C635B3">
            <w:pPr>
              <w:spacing w:line="360" w:lineRule="auto"/>
              <w:rPr>
                <w:rFonts w:ascii="Arial" w:hAnsi="Arial" w:cs="Arial"/>
                <w:sz w:val="22"/>
              </w:rPr>
            </w:pPr>
            <w:r w:rsidRPr="00C635B3">
              <w:rPr>
                <w:rFonts w:ascii="Arial" w:hAnsi="Arial" w:cs="Arial"/>
                <w:sz w:val="22"/>
              </w:rPr>
              <w:t>Critically appraise the quality and reliability of selected sources</w:t>
            </w:r>
          </w:p>
        </w:tc>
      </w:tr>
      <w:tr w:rsidR="00C635B3" w:rsidRPr="00C635B3" w14:paraId="3B446E73" w14:textId="77777777">
        <w:trPr>
          <w:tblCellSpacing w:w="15" w:type="dxa"/>
        </w:trPr>
        <w:tc>
          <w:tcPr>
            <w:tcW w:w="0" w:type="auto"/>
            <w:vAlign w:val="center"/>
            <w:hideMark/>
          </w:tcPr>
          <w:p w14:paraId="17B56EA8" w14:textId="77777777" w:rsidR="00C635B3" w:rsidRPr="00C635B3" w:rsidRDefault="00C635B3" w:rsidP="00C635B3">
            <w:pPr>
              <w:spacing w:line="360" w:lineRule="auto"/>
              <w:rPr>
                <w:rFonts w:ascii="Arial" w:hAnsi="Arial" w:cs="Arial"/>
                <w:sz w:val="22"/>
              </w:rPr>
            </w:pPr>
            <w:r w:rsidRPr="00C635B3">
              <w:rPr>
                <w:rFonts w:ascii="Arial" w:hAnsi="Arial" w:cs="Arial"/>
                <w:sz w:val="22"/>
              </w:rPr>
              <w:t>16-18</w:t>
            </w:r>
          </w:p>
        </w:tc>
        <w:tc>
          <w:tcPr>
            <w:tcW w:w="0" w:type="auto"/>
            <w:vAlign w:val="center"/>
            <w:hideMark/>
          </w:tcPr>
          <w:p w14:paraId="2662E6FE" w14:textId="77777777" w:rsidR="00C635B3" w:rsidRPr="00C635B3" w:rsidRDefault="00C635B3" w:rsidP="00C635B3">
            <w:pPr>
              <w:spacing w:line="360" w:lineRule="auto"/>
              <w:rPr>
                <w:rFonts w:ascii="Arial" w:hAnsi="Arial" w:cs="Arial"/>
                <w:sz w:val="22"/>
              </w:rPr>
            </w:pPr>
            <w:r w:rsidRPr="00C635B3">
              <w:rPr>
                <w:rFonts w:ascii="Arial" w:hAnsi="Arial" w:cs="Arial"/>
                <w:sz w:val="22"/>
              </w:rPr>
              <w:t>Extract, organise and categorise the main findings</w:t>
            </w:r>
          </w:p>
        </w:tc>
      </w:tr>
      <w:tr w:rsidR="00C635B3" w:rsidRPr="00C635B3" w14:paraId="2ECCD203" w14:textId="77777777">
        <w:trPr>
          <w:tblCellSpacing w:w="15" w:type="dxa"/>
        </w:trPr>
        <w:tc>
          <w:tcPr>
            <w:tcW w:w="0" w:type="auto"/>
            <w:vAlign w:val="center"/>
            <w:hideMark/>
          </w:tcPr>
          <w:p w14:paraId="4B4DF2E4" w14:textId="77777777" w:rsidR="00C635B3" w:rsidRPr="00C635B3" w:rsidRDefault="00C635B3" w:rsidP="00C635B3">
            <w:pPr>
              <w:spacing w:line="360" w:lineRule="auto"/>
              <w:rPr>
                <w:rFonts w:ascii="Arial" w:hAnsi="Arial" w:cs="Arial"/>
                <w:sz w:val="22"/>
              </w:rPr>
            </w:pPr>
            <w:r w:rsidRPr="00C635B3">
              <w:rPr>
                <w:rFonts w:ascii="Arial" w:hAnsi="Arial" w:cs="Arial"/>
                <w:sz w:val="22"/>
              </w:rPr>
              <w:t>19-21</w:t>
            </w:r>
          </w:p>
        </w:tc>
        <w:tc>
          <w:tcPr>
            <w:tcW w:w="0" w:type="auto"/>
            <w:vAlign w:val="center"/>
            <w:hideMark/>
          </w:tcPr>
          <w:p w14:paraId="086BE8C0" w14:textId="77777777" w:rsidR="00C635B3" w:rsidRPr="00C635B3" w:rsidRDefault="00C635B3" w:rsidP="00C635B3">
            <w:pPr>
              <w:spacing w:line="360" w:lineRule="auto"/>
              <w:rPr>
                <w:rFonts w:ascii="Arial" w:hAnsi="Arial" w:cs="Arial"/>
                <w:sz w:val="22"/>
              </w:rPr>
            </w:pPr>
            <w:r w:rsidRPr="00C635B3">
              <w:rPr>
                <w:rFonts w:ascii="Arial" w:hAnsi="Arial" w:cs="Arial"/>
                <w:sz w:val="22"/>
              </w:rPr>
              <w:t>Conduct thematic analysis and compare findings across sources</w:t>
            </w:r>
          </w:p>
        </w:tc>
      </w:tr>
      <w:tr w:rsidR="00C635B3" w:rsidRPr="00C635B3" w14:paraId="14B67F28" w14:textId="77777777">
        <w:trPr>
          <w:tblCellSpacing w:w="15" w:type="dxa"/>
        </w:trPr>
        <w:tc>
          <w:tcPr>
            <w:tcW w:w="0" w:type="auto"/>
            <w:vAlign w:val="center"/>
            <w:hideMark/>
          </w:tcPr>
          <w:p w14:paraId="02A182C7" w14:textId="77777777" w:rsidR="00C635B3" w:rsidRPr="00C635B3" w:rsidRDefault="00C635B3" w:rsidP="00C635B3">
            <w:pPr>
              <w:spacing w:line="360" w:lineRule="auto"/>
              <w:rPr>
                <w:rFonts w:ascii="Arial" w:hAnsi="Arial" w:cs="Arial"/>
                <w:sz w:val="22"/>
              </w:rPr>
            </w:pPr>
            <w:r w:rsidRPr="00C635B3">
              <w:rPr>
                <w:rFonts w:ascii="Arial" w:hAnsi="Arial" w:cs="Arial"/>
                <w:sz w:val="22"/>
              </w:rPr>
              <w:t>22-23</w:t>
            </w:r>
          </w:p>
        </w:tc>
        <w:tc>
          <w:tcPr>
            <w:tcW w:w="0" w:type="auto"/>
            <w:vAlign w:val="center"/>
            <w:hideMark/>
          </w:tcPr>
          <w:p w14:paraId="0922BCED" w14:textId="77777777" w:rsidR="00C635B3" w:rsidRPr="00C635B3" w:rsidRDefault="00C635B3" w:rsidP="00C635B3">
            <w:pPr>
              <w:spacing w:line="360" w:lineRule="auto"/>
              <w:rPr>
                <w:rFonts w:ascii="Arial" w:hAnsi="Arial" w:cs="Arial"/>
                <w:sz w:val="22"/>
              </w:rPr>
            </w:pPr>
            <w:r w:rsidRPr="00C635B3">
              <w:rPr>
                <w:rFonts w:ascii="Arial" w:hAnsi="Arial" w:cs="Arial"/>
                <w:sz w:val="22"/>
              </w:rPr>
              <w:t>Write the first draft of the research project</w:t>
            </w:r>
          </w:p>
        </w:tc>
      </w:tr>
      <w:tr w:rsidR="00C635B3" w:rsidRPr="00C635B3" w14:paraId="18C3B4A8" w14:textId="77777777">
        <w:trPr>
          <w:tblCellSpacing w:w="15" w:type="dxa"/>
        </w:trPr>
        <w:tc>
          <w:tcPr>
            <w:tcW w:w="0" w:type="auto"/>
            <w:vAlign w:val="center"/>
            <w:hideMark/>
          </w:tcPr>
          <w:p w14:paraId="3838EEB3" w14:textId="77777777" w:rsidR="00C635B3" w:rsidRPr="00C635B3" w:rsidRDefault="00C635B3" w:rsidP="00C635B3">
            <w:pPr>
              <w:spacing w:line="360" w:lineRule="auto"/>
              <w:rPr>
                <w:rFonts w:ascii="Arial" w:hAnsi="Arial" w:cs="Arial"/>
                <w:sz w:val="22"/>
              </w:rPr>
            </w:pPr>
            <w:r w:rsidRPr="00C635B3">
              <w:rPr>
                <w:rFonts w:ascii="Arial" w:hAnsi="Arial" w:cs="Arial"/>
                <w:sz w:val="22"/>
              </w:rPr>
              <w:t>24-25</w:t>
            </w:r>
          </w:p>
        </w:tc>
        <w:tc>
          <w:tcPr>
            <w:tcW w:w="0" w:type="auto"/>
            <w:vAlign w:val="center"/>
            <w:hideMark/>
          </w:tcPr>
          <w:p w14:paraId="7B2A1710" w14:textId="77777777" w:rsidR="00C635B3" w:rsidRPr="00C635B3" w:rsidRDefault="00C635B3" w:rsidP="00C635B3">
            <w:pPr>
              <w:spacing w:line="360" w:lineRule="auto"/>
              <w:rPr>
                <w:rFonts w:ascii="Arial" w:hAnsi="Arial" w:cs="Arial"/>
                <w:sz w:val="22"/>
              </w:rPr>
            </w:pPr>
            <w:r w:rsidRPr="00C635B3">
              <w:rPr>
                <w:rFonts w:ascii="Arial" w:hAnsi="Arial" w:cs="Arial"/>
                <w:sz w:val="22"/>
              </w:rPr>
              <w:t>Review the discussion and develop evidence-based recommendations</w:t>
            </w:r>
          </w:p>
        </w:tc>
      </w:tr>
      <w:tr w:rsidR="00C635B3" w:rsidRPr="00C635B3" w14:paraId="43744301" w14:textId="77777777">
        <w:trPr>
          <w:tblCellSpacing w:w="15" w:type="dxa"/>
        </w:trPr>
        <w:tc>
          <w:tcPr>
            <w:tcW w:w="0" w:type="auto"/>
            <w:vAlign w:val="center"/>
            <w:hideMark/>
          </w:tcPr>
          <w:p w14:paraId="26F63D9E" w14:textId="77777777" w:rsidR="00C635B3" w:rsidRPr="00C635B3" w:rsidRDefault="00C635B3" w:rsidP="00C635B3">
            <w:pPr>
              <w:spacing w:line="360" w:lineRule="auto"/>
              <w:rPr>
                <w:rFonts w:ascii="Arial" w:hAnsi="Arial" w:cs="Arial"/>
                <w:sz w:val="22"/>
              </w:rPr>
            </w:pPr>
            <w:r w:rsidRPr="00C635B3">
              <w:rPr>
                <w:rFonts w:ascii="Arial" w:hAnsi="Arial" w:cs="Arial"/>
                <w:sz w:val="22"/>
              </w:rPr>
              <w:t>26</w:t>
            </w:r>
          </w:p>
        </w:tc>
        <w:tc>
          <w:tcPr>
            <w:tcW w:w="0" w:type="auto"/>
            <w:vAlign w:val="center"/>
            <w:hideMark/>
          </w:tcPr>
          <w:p w14:paraId="4FA68CCC" w14:textId="77777777" w:rsidR="00C635B3" w:rsidRPr="00C635B3" w:rsidRDefault="00C635B3" w:rsidP="00C635B3">
            <w:pPr>
              <w:spacing w:line="360" w:lineRule="auto"/>
              <w:rPr>
                <w:rFonts w:ascii="Arial" w:hAnsi="Arial" w:cs="Arial"/>
                <w:sz w:val="22"/>
              </w:rPr>
            </w:pPr>
            <w:r w:rsidRPr="00C635B3">
              <w:rPr>
                <w:rFonts w:ascii="Arial" w:hAnsi="Arial" w:cs="Arial"/>
                <w:sz w:val="22"/>
              </w:rPr>
              <w:t>Proofread, edit and check Harvard references</w:t>
            </w:r>
          </w:p>
        </w:tc>
      </w:tr>
      <w:tr w:rsidR="00C635B3" w:rsidRPr="00C635B3" w14:paraId="5744CDF6" w14:textId="77777777">
        <w:trPr>
          <w:tblCellSpacing w:w="15" w:type="dxa"/>
        </w:trPr>
        <w:tc>
          <w:tcPr>
            <w:tcW w:w="0" w:type="auto"/>
            <w:vAlign w:val="center"/>
            <w:hideMark/>
          </w:tcPr>
          <w:p w14:paraId="5E3B4F7C" w14:textId="77777777" w:rsidR="00C635B3" w:rsidRPr="00C635B3" w:rsidRDefault="00C635B3" w:rsidP="00C635B3">
            <w:pPr>
              <w:spacing w:line="360" w:lineRule="auto"/>
              <w:rPr>
                <w:rFonts w:ascii="Arial" w:hAnsi="Arial" w:cs="Arial"/>
                <w:sz w:val="22"/>
              </w:rPr>
            </w:pPr>
            <w:r w:rsidRPr="00C635B3">
              <w:rPr>
                <w:rFonts w:ascii="Arial" w:hAnsi="Arial" w:cs="Arial"/>
                <w:sz w:val="22"/>
              </w:rPr>
              <w:t>27</w:t>
            </w:r>
          </w:p>
        </w:tc>
        <w:tc>
          <w:tcPr>
            <w:tcW w:w="0" w:type="auto"/>
            <w:vAlign w:val="center"/>
            <w:hideMark/>
          </w:tcPr>
          <w:p w14:paraId="246524E3" w14:textId="77777777" w:rsidR="00C635B3" w:rsidRPr="00C635B3" w:rsidRDefault="00C635B3" w:rsidP="00C635B3">
            <w:pPr>
              <w:spacing w:line="360" w:lineRule="auto"/>
              <w:rPr>
                <w:rFonts w:ascii="Arial" w:hAnsi="Arial" w:cs="Arial"/>
                <w:sz w:val="22"/>
              </w:rPr>
            </w:pPr>
            <w:r w:rsidRPr="00C635B3">
              <w:rPr>
                <w:rFonts w:ascii="Arial" w:hAnsi="Arial" w:cs="Arial"/>
                <w:sz w:val="22"/>
              </w:rPr>
              <w:t>Complete final checks and submit the research project</w:t>
            </w:r>
          </w:p>
        </w:tc>
      </w:tr>
    </w:tbl>
    <w:p w14:paraId="32C3B195" w14:textId="77777777" w:rsidR="00C635B3" w:rsidRDefault="00C635B3" w:rsidP="00C635B3">
      <w:pPr>
        <w:spacing w:line="360" w:lineRule="auto"/>
        <w:rPr>
          <w:rFonts w:ascii="Arial" w:hAnsi="Arial" w:cs="Arial"/>
          <w:b/>
          <w:bCs/>
          <w:sz w:val="22"/>
        </w:rPr>
      </w:pPr>
    </w:p>
    <w:p w14:paraId="059E4ABC" w14:textId="3EEE00FB" w:rsidR="00C635B3" w:rsidRPr="00C635B3" w:rsidRDefault="00C635B3" w:rsidP="00C635B3">
      <w:pPr>
        <w:spacing w:line="360" w:lineRule="auto"/>
        <w:rPr>
          <w:rFonts w:ascii="Arial" w:hAnsi="Arial" w:cs="Arial"/>
          <w:b/>
          <w:bCs/>
          <w:sz w:val="22"/>
        </w:rPr>
      </w:pPr>
      <w:r w:rsidRPr="00C635B3">
        <w:rPr>
          <w:rFonts w:ascii="Arial" w:hAnsi="Arial" w:cs="Arial"/>
          <w:b/>
          <w:bCs/>
          <w:sz w:val="22"/>
        </w:rPr>
        <w:t>7</w:t>
      </w:r>
      <w:r w:rsidR="007D289E">
        <w:rPr>
          <w:rFonts w:ascii="Arial" w:hAnsi="Arial" w:cs="Arial"/>
          <w:b/>
          <w:bCs/>
          <w:sz w:val="22"/>
        </w:rPr>
        <w:t>)</w:t>
      </w:r>
      <w:r w:rsidRPr="00C635B3">
        <w:rPr>
          <w:rFonts w:ascii="Arial" w:hAnsi="Arial" w:cs="Arial"/>
          <w:b/>
          <w:bCs/>
          <w:sz w:val="22"/>
        </w:rPr>
        <w:t xml:space="preserve"> Self-reflection as a researcher</w:t>
      </w:r>
    </w:p>
    <w:p w14:paraId="24A5C525" w14:textId="77777777" w:rsidR="00C635B3" w:rsidRPr="00C635B3" w:rsidRDefault="00C635B3" w:rsidP="00C635B3">
      <w:pPr>
        <w:spacing w:line="360" w:lineRule="auto"/>
        <w:rPr>
          <w:rFonts w:ascii="Arial" w:hAnsi="Arial" w:cs="Arial"/>
          <w:sz w:val="22"/>
        </w:rPr>
      </w:pPr>
      <w:r w:rsidRPr="00C635B3">
        <w:rPr>
          <w:rFonts w:ascii="Arial" w:hAnsi="Arial" w:cs="Arial"/>
          <w:sz w:val="22"/>
        </w:rPr>
        <w:t>The researcher's strengths include organisation, empathy, an interest in person-centred care and many years of experience working as an auxiliary nurse on an acute medical ward. The researcher can compare evidence and work independently. Potential challenges include critically evaluating different research designs, managing a large evidence base and discussing sensitive end-of-life issues objectively. Support will be sought from peers and lecturers when required.</w:t>
      </w:r>
    </w:p>
    <w:p w14:paraId="63FBA94B" w14:textId="0688F4C9" w:rsidR="00757A11" w:rsidRPr="00E82FFF" w:rsidRDefault="00E82FFF" w:rsidP="00C635B3">
      <w:pPr>
        <w:spacing w:line="360" w:lineRule="auto"/>
        <w:rPr>
          <w:rFonts w:ascii="Arial" w:hAnsi="Arial" w:cs="Arial"/>
          <w:sz w:val="22"/>
        </w:rPr>
      </w:pPr>
      <w:r w:rsidRPr="00E82FFF">
        <w:rPr>
          <w:rFonts w:ascii="Arial" w:hAnsi="Arial" w:cs="Arial"/>
          <w:sz w:val="22"/>
        </w:rPr>
        <w:t xml:space="preserve"> </w:t>
      </w:r>
    </w:p>
    <w:p w14:paraId="002F3BB4" w14:textId="77777777" w:rsidR="00757A11" w:rsidRPr="00E82FFF" w:rsidRDefault="00757A11" w:rsidP="00E82FFF">
      <w:pPr>
        <w:spacing w:line="360" w:lineRule="auto"/>
        <w:rPr>
          <w:rFonts w:ascii="Arial" w:hAnsi="Arial" w:cs="Arial"/>
          <w:sz w:val="22"/>
        </w:rPr>
      </w:pPr>
    </w:p>
    <w:p w14:paraId="286D3844" w14:textId="77777777" w:rsidR="002F6B8E" w:rsidRDefault="002F6B8E" w:rsidP="0014769A">
      <w:pPr>
        <w:spacing w:line="360" w:lineRule="auto"/>
        <w:rPr>
          <w:rFonts w:ascii="Arial" w:hAnsi="Arial" w:cs="Arial"/>
          <w:sz w:val="22"/>
        </w:rPr>
      </w:pPr>
    </w:p>
    <w:p w14:paraId="16C8CB6D" w14:textId="77777777" w:rsidR="007D289E" w:rsidRDefault="007D289E" w:rsidP="0014769A">
      <w:pPr>
        <w:spacing w:line="360" w:lineRule="auto"/>
        <w:rPr>
          <w:rFonts w:ascii="Arial" w:hAnsi="Arial" w:cs="Arial"/>
          <w:b/>
          <w:bCs/>
          <w:sz w:val="52"/>
          <w:szCs w:val="52"/>
          <w:u w:val="single"/>
        </w:rPr>
      </w:pPr>
    </w:p>
    <w:p w14:paraId="15520E56" w14:textId="4BA868C9" w:rsidR="0014769A" w:rsidRPr="002F6B8E" w:rsidRDefault="0014769A" w:rsidP="0014769A">
      <w:pPr>
        <w:spacing w:line="360" w:lineRule="auto"/>
        <w:rPr>
          <w:rFonts w:ascii="Arial" w:hAnsi="Arial" w:cs="Arial"/>
          <w:sz w:val="52"/>
          <w:szCs w:val="52"/>
          <w:u w:val="single"/>
        </w:rPr>
      </w:pPr>
      <w:r w:rsidRPr="002F6B8E">
        <w:rPr>
          <w:rFonts w:ascii="Arial" w:hAnsi="Arial" w:cs="Arial"/>
          <w:b/>
          <w:bCs/>
          <w:sz w:val="52"/>
          <w:szCs w:val="52"/>
          <w:u w:val="single"/>
        </w:rPr>
        <w:lastRenderedPageBreak/>
        <w:t>References</w:t>
      </w:r>
    </w:p>
    <w:p w14:paraId="07FCBFFA" w14:textId="5A1E04E2" w:rsidR="0014769A" w:rsidRPr="0014769A" w:rsidRDefault="0014769A" w:rsidP="0014769A">
      <w:pPr>
        <w:spacing w:line="360" w:lineRule="auto"/>
        <w:rPr>
          <w:rFonts w:ascii="Arial" w:hAnsi="Arial" w:cs="Arial"/>
          <w:sz w:val="22"/>
        </w:rPr>
      </w:pPr>
      <w:r w:rsidRPr="0014769A">
        <w:rPr>
          <w:rFonts w:ascii="Arial" w:hAnsi="Arial" w:cs="Arial"/>
          <w:sz w:val="22"/>
        </w:rPr>
        <w:t xml:space="preserve">Care Quality Commission (2016) </w:t>
      </w:r>
      <w:r w:rsidRPr="0014769A">
        <w:rPr>
          <w:rFonts w:ascii="Arial" w:hAnsi="Arial" w:cs="Arial"/>
          <w:i/>
          <w:iCs/>
          <w:sz w:val="22"/>
        </w:rPr>
        <w:t xml:space="preserve">A different ending: addressing inequalities in </w:t>
      </w:r>
      <w:proofErr w:type="gramStart"/>
      <w:r w:rsidRPr="0014769A">
        <w:rPr>
          <w:rFonts w:ascii="Arial" w:hAnsi="Arial" w:cs="Arial"/>
          <w:i/>
          <w:iCs/>
          <w:sz w:val="22"/>
        </w:rPr>
        <w:t>end of life</w:t>
      </w:r>
      <w:proofErr w:type="gramEnd"/>
      <w:r w:rsidRPr="0014769A">
        <w:rPr>
          <w:rFonts w:ascii="Arial" w:hAnsi="Arial" w:cs="Arial"/>
          <w:i/>
          <w:iCs/>
          <w:sz w:val="22"/>
        </w:rPr>
        <w:t xml:space="preserve"> care</w:t>
      </w:r>
      <w:r w:rsidRPr="0014769A">
        <w:rPr>
          <w:rFonts w:ascii="Arial" w:hAnsi="Arial" w:cs="Arial"/>
          <w:sz w:val="22"/>
        </w:rPr>
        <w:t xml:space="preserve">. Newcastle upon Tyne: Care Quality Commission. Available at: </w:t>
      </w:r>
      <w:hyperlink r:id="rId7" w:tgtFrame="_blank" w:history="1">
        <w:r w:rsidRPr="0014769A">
          <w:rPr>
            <w:rStyle w:val="Hyperlink"/>
            <w:rFonts w:ascii="Arial" w:hAnsi="Arial" w:cs="Arial"/>
            <w:sz w:val="22"/>
          </w:rPr>
          <w:t>cqc.org.uk</w:t>
        </w:r>
      </w:hyperlink>
      <w:r w:rsidRPr="0014769A">
        <w:rPr>
          <w:rFonts w:ascii="Arial" w:hAnsi="Arial" w:cs="Arial"/>
          <w:sz w:val="22"/>
        </w:rPr>
        <w:t xml:space="preserve"> (Accessed: </w:t>
      </w:r>
      <w:r w:rsidR="00C73D80">
        <w:rPr>
          <w:rFonts w:ascii="Arial" w:hAnsi="Arial" w:cs="Arial"/>
          <w:sz w:val="22"/>
        </w:rPr>
        <w:t>1</w:t>
      </w:r>
      <w:r w:rsidRPr="0014769A">
        <w:rPr>
          <w:rFonts w:ascii="Arial" w:hAnsi="Arial" w:cs="Arial"/>
          <w:sz w:val="22"/>
        </w:rPr>
        <w:t xml:space="preserve"> October 2026).</w:t>
      </w:r>
    </w:p>
    <w:p w14:paraId="065D9F48" w14:textId="52BE585E" w:rsidR="0014769A" w:rsidRPr="0014769A" w:rsidRDefault="0014769A" w:rsidP="0014769A">
      <w:pPr>
        <w:spacing w:line="360" w:lineRule="auto"/>
        <w:rPr>
          <w:rFonts w:ascii="Arial" w:hAnsi="Arial" w:cs="Arial"/>
          <w:sz w:val="22"/>
        </w:rPr>
      </w:pPr>
      <w:r w:rsidRPr="0014769A">
        <w:rPr>
          <w:rFonts w:ascii="Arial" w:hAnsi="Arial" w:cs="Arial"/>
          <w:sz w:val="22"/>
        </w:rPr>
        <w:t xml:space="preserve">Care Quality Commission (2017) </w:t>
      </w:r>
      <w:r w:rsidRPr="0014769A">
        <w:rPr>
          <w:rFonts w:ascii="Arial" w:hAnsi="Arial" w:cs="Arial"/>
          <w:i/>
          <w:iCs/>
          <w:sz w:val="22"/>
        </w:rPr>
        <w:t>A second class ending: exploring the barriers and championing outstanding end of life care for people who are homeless</w:t>
      </w:r>
      <w:r w:rsidRPr="0014769A">
        <w:rPr>
          <w:rFonts w:ascii="Arial" w:hAnsi="Arial" w:cs="Arial"/>
          <w:sz w:val="22"/>
        </w:rPr>
        <w:t xml:space="preserve">. Newcastle upon Tyne: Care Quality Commission. Available at: </w:t>
      </w:r>
      <w:hyperlink r:id="rId8" w:tgtFrame="_blank" w:history="1">
        <w:r w:rsidRPr="0014769A">
          <w:rPr>
            <w:rStyle w:val="Hyperlink"/>
            <w:rFonts w:ascii="Arial" w:hAnsi="Arial" w:cs="Arial"/>
            <w:sz w:val="22"/>
          </w:rPr>
          <w:t>cqc.org.uk</w:t>
        </w:r>
      </w:hyperlink>
      <w:r w:rsidRPr="0014769A">
        <w:rPr>
          <w:rFonts w:ascii="Arial" w:hAnsi="Arial" w:cs="Arial"/>
          <w:sz w:val="22"/>
        </w:rPr>
        <w:t xml:space="preserve"> (Accessed: </w:t>
      </w:r>
      <w:r w:rsidR="00C73D80">
        <w:rPr>
          <w:rFonts w:ascii="Arial" w:hAnsi="Arial" w:cs="Arial"/>
          <w:sz w:val="22"/>
        </w:rPr>
        <w:t>2</w:t>
      </w:r>
      <w:r w:rsidRPr="0014769A">
        <w:rPr>
          <w:rFonts w:ascii="Arial" w:hAnsi="Arial" w:cs="Arial"/>
          <w:sz w:val="22"/>
        </w:rPr>
        <w:t xml:space="preserve"> October 2026).</w:t>
      </w:r>
    </w:p>
    <w:p w14:paraId="50B44F3E" w14:textId="77777777" w:rsidR="0014769A" w:rsidRPr="0014769A" w:rsidRDefault="0014769A" w:rsidP="0014769A">
      <w:pPr>
        <w:spacing w:line="360" w:lineRule="auto"/>
        <w:rPr>
          <w:rFonts w:ascii="Arial" w:hAnsi="Arial" w:cs="Arial"/>
          <w:sz w:val="22"/>
        </w:rPr>
      </w:pPr>
      <w:r w:rsidRPr="0014769A">
        <w:rPr>
          <w:rFonts w:ascii="Arial" w:hAnsi="Arial" w:cs="Arial"/>
          <w:sz w:val="22"/>
        </w:rPr>
        <w:t xml:space="preserve">Hodge, G.H., Kallis, G.K., Oh, T.M., Wheat, H. and Pearce, S. (2025) 'Exploring perceived barriers to palliative and end of life care provision in South-West England: bringing together the perspectives of professionals, patients, and families', </w:t>
      </w:r>
      <w:r w:rsidRPr="0014769A">
        <w:rPr>
          <w:rFonts w:ascii="Arial" w:hAnsi="Arial" w:cs="Arial"/>
          <w:i/>
          <w:iCs/>
          <w:sz w:val="22"/>
        </w:rPr>
        <w:t>Frontiers in Sociology</w:t>
      </w:r>
      <w:r w:rsidRPr="0014769A">
        <w:rPr>
          <w:rFonts w:ascii="Arial" w:hAnsi="Arial" w:cs="Arial"/>
          <w:sz w:val="22"/>
        </w:rPr>
        <w:t xml:space="preserve">, 9, article 1488688. Available at: </w:t>
      </w:r>
      <w:hyperlink r:id="rId9" w:tgtFrame="_blank" w:history="1">
        <w:r w:rsidRPr="0014769A">
          <w:rPr>
            <w:rStyle w:val="Hyperlink"/>
            <w:rFonts w:ascii="Arial" w:hAnsi="Arial" w:cs="Arial"/>
            <w:sz w:val="22"/>
          </w:rPr>
          <w:t>doi.org</w:t>
        </w:r>
      </w:hyperlink>
      <w:r w:rsidRPr="0014769A">
        <w:rPr>
          <w:rFonts w:ascii="Arial" w:hAnsi="Arial" w:cs="Arial"/>
          <w:sz w:val="22"/>
        </w:rPr>
        <w:t xml:space="preserve"> (Accessed: 3 October 2026).</w:t>
      </w:r>
    </w:p>
    <w:p w14:paraId="3050DF4E" w14:textId="77777777" w:rsidR="0014769A" w:rsidRPr="0014769A" w:rsidRDefault="0014769A" w:rsidP="0014769A">
      <w:pPr>
        <w:spacing w:line="360" w:lineRule="auto"/>
        <w:rPr>
          <w:rFonts w:ascii="Arial" w:hAnsi="Arial" w:cs="Arial"/>
          <w:sz w:val="22"/>
        </w:rPr>
      </w:pPr>
      <w:r w:rsidRPr="0014769A">
        <w:rPr>
          <w:rFonts w:ascii="Arial" w:hAnsi="Arial" w:cs="Arial"/>
          <w:sz w:val="22"/>
        </w:rPr>
        <w:t xml:space="preserve">National Institute for Health and Care Excellence (2017) </w:t>
      </w:r>
      <w:r w:rsidRPr="0014769A">
        <w:rPr>
          <w:rFonts w:ascii="Arial" w:hAnsi="Arial" w:cs="Arial"/>
          <w:i/>
          <w:iCs/>
          <w:sz w:val="22"/>
        </w:rPr>
        <w:t>Care of dying adults in the last days of life</w:t>
      </w:r>
      <w:r w:rsidRPr="0014769A">
        <w:rPr>
          <w:rFonts w:ascii="Arial" w:hAnsi="Arial" w:cs="Arial"/>
          <w:sz w:val="22"/>
        </w:rPr>
        <w:t xml:space="preserve">. Quality standard QS144. London: National Institute for Health and Care Excellence. Available at: </w:t>
      </w:r>
      <w:hyperlink r:id="rId10" w:tgtFrame="_blank" w:history="1">
        <w:r w:rsidRPr="0014769A">
          <w:rPr>
            <w:rStyle w:val="Hyperlink"/>
            <w:rFonts w:ascii="Arial" w:hAnsi="Arial" w:cs="Arial"/>
            <w:sz w:val="22"/>
          </w:rPr>
          <w:t>nice.org.uk</w:t>
        </w:r>
      </w:hyperlink>
      <w:r w:rsidRPr="0014769A">
        <w:rPr>
          <w:rFonts w:ascii="Arial" w:hAnsi="Arial" w:cs="Arial"/>
          <w:sz w:val="22"/>
        </w:rPr>
        <w:t xml:space="preserve"> (Accessed: 3 October 2026).</w:t>
      </w:r>
    </w:p>
    <w:p w14:paraId="29938EC0" w14:textId="1D32AA2E" w:rsidR="0014769A" w:rsidRPr="0014769A" w:rsidRDefault="0014769A" w:rsidP="0014769A">
      <w:pPr>
        <w:spacing w:line="360" w:lineRule="auto"/>
        <w:rPr>
          <w:rFonts w:ascii="Arial" w:hAnsi="Arial" w:cs="Arial"/>
          <w:sz w:val="22"/>
        </w:rPr>
      </w:pPr>
      <w:r w:rsidRPr="0014769A">
        <w:rPr>
          <w:rFonts w:ascii="Arial" w:hAnsi="Arial" w:cs="Arial"/>
          <w:sz w:val="22"/>
        </w:rPr>
        <w:t xml:space="preserve">National Institute for Health and Care Excellence (2019) </w:t>
      </w:r>
      <w:r w:rsidRPr="0014769A">
        <w:rPr>
          <w:rFonts w:ascii="Arial" w:hAnsi="Arial" w:cs="Arial"/>
          <w:i/>
          <w:iCs/>
          <w:sz w:val="22"/>
        </w:rPr>
        <w:t>End of life care for adults: service delivery</w:t>
      </w:r>
      <w:r w:rsidRPr="0014769A">
        <w:rPr>
          <w:rFonts w:ascii="Arial" w:hAnsi="Arial" w:cs="Arial"/>
          <w:sz w:val="22"/>
        </w:rPr>
        <w:t xml:space="preserve">. NICE guideline NG142. London: National Institute for Health and Care Excellence. Available at: </w:t>
      </w:r>
      <w:hyperlink r:id="rId11" w:tgtFrame="_blank" w:history="1">
        <w:r w:rsidRPr="0014769A">
          <w:rPr>
            <w:rStyle w:val="Hyperlink"/>
            <w:rFonts w:ascii="Arial" w:hAnsi="Arial" w:cs="Arial"/>
            <w:sz w:val="22"/>
          </w:rPr>
          <w:t>nice.org.uk</w:t>
        </w:r>
      </w:hyperlink>
      <w:r w:rsidRPr="0014769A">
        <w:rPr>
          <w:rFonts w:ascii="Arial" w:hAnsi="Arial" w:cs="Arial"/>
          <w:sz w:val="22"/>
        </w:rPr>
        <w:t xml:space="preserve"> (Accessed: </w:t>
      </w:r>
      <w:r w:rsidR="00C73D80">
        <w:rPr>
          <w:rFonts w:ascii="Arial" w:hAnsi="Arial" w:cs="Arial"/>
          <w:sz w:val="22"/>
        </w:rPr>
        <w:t xml:space="preserve">1 </w:t>
      </w:r>
      <w:r w:rsidRPr="0014769A">
        <w:rPr>
          <w:rFonts w:ascii="Arial" w:hAnsi="Arial" w:cs="Arial"/>
          <w:sz w:val="22"/>
        </w:rPr>
        <w:t>October 2026).</w:t>
      </w:r>
    </w:p>
    <w:p w14:paraId="1CD8264E" w14:textId="7EDC2099" w:rsidR="0014769A" w:rsidRPr="0014769A" w:rsidRDefault="0014769A" w:rsidP="0014769A">
      <w:pPr>
        <w:spacing w:line="360" w:lineRule="auto"/>
        <w:rPr>
          <w:rFonts w:ascii="Arial" w:hAnsi="Arial" w:cs="Arial"/>
          <w:sz w:val="22"/>
        </w:rPr>
      </w:pPr>
      <w:r w:rsidRPr="0014769A">
        <w:rPr>
          <w:rFonts w:ascii="Arial" w:hAnsi="Arial" w:cs="Arial"/>
          <w:sz w:val="22"/>
        </w:rPr>
        <w:t xml:space="preserve">NHS Benchmarking Network (2023) </w:t>
      </w:r>
      <w:r w:rsidRPr="0014769A">
        <w:rPr>
          <w:rFonts w:ascii="Arial" w:hAnsi="Arial" w:cs="Arial"/>
          <w:i/>
          <w:iCs/>
          <w:sz w:val="22"/>
        </w:rPr>
        <w:t>National Audit of Care at the End of Life: fourth round of the audit (2022/23) appendices - England and Wales</w:t>
      </w:r>
      <w:r w:rsidRPr="0014769A">
        <w:rPr>
          <w:rFonts w:ascii="Arial" w:hAnsi="Arial" w:cs="Arial"/>
          <w:sz w:val="22"/>
        </w:rPr>
        <w:t xml:space="preserve">. Manchester: NHS Benchmarking Network. Available at: </w:t>
      </w:r>
      <w:hyperlink r:id="rId12" w:tgtFrame="_blank" w:history="1">
        <w:r w:rsidRPr="0014769A">
          <w:rPr>
            <w:rStyle w:val="Hyperlink"/>
            <w:rFonts w:ascii="Arial" w:hAnsi="Arial" w:cs="Arial"/>
            <w:sz w:val="22"/>
          </w:rPr>
          <w:t>hqip.org.uk</w:t>
        </w:r>
      </w:hyperlink>
      <w:r w:rsidRPr="0014769A">
        <w:rPr>
          <w:rFonts w:ascii="Arial" w:hAnsi="Arial" w:cs="Arial"/>
          <w:sz w:val="22"/>
        </w:rPr>
        <w:t xml:space="preserve"> (Accessed: </w:t>
      </w:r>
      <w:r w:rsidR="00C73D80">
        <w:rPr>
          <w:rFonts w:ascii="Arial" w:hAnsi="Arial" w:cs="Arial"/>
          <w:sz w:val="22"/>
        </w:rPr>
        <w:t xml:space="preserve">2 </w:t>
      </w:r>
      <w:r w:rsidRPr="0014769A">
        <w:rPr>
          <w:rFonts w:ascii="Arial" w:hAnsi="Arial" w:cs="Arial"/>
          <w:sz w:val="22"/>
        </w:rPr>
        <w:t>October 2026).</w:t>
      </w:r>
    </w:p>
    <w:p w14:paraId="2B424DE9" w14:textId="77777777" w:rsidR="0014769A" w:rsidRPr="0014769A" w:rsidRDefault="0014769A" w:rsidP="0014769A">
      <w:pPr>
        <w:spacing w:line="360" w:lineRule="auto"/>
        <w:rPr>
          <w:rFonts w:ascii="Arial" w:hAnsi="Arial" w:cs="Arial"/>
          <w:sz w:val="22"/>
        </w:rPr>
      </w:pPr>
      <w:r w:rsidRPr="0014769A">
        <w:rPr>
          <w:rFonts w:ascii="Arial" w:hAnsi="Arial" w:cs="Arial"/>
          <w:sz w:val="22"/>
        </w:rPr>
        <w:t xml:space="preserve">NHS Benchmarking Network (2025) </w:t>
      </w:r>
      <w:r w:rsidRPr="0014769A">
        <w:rPr>
          <w:rFonts w:ascii="Arial" w:hAnsi="Arial" w:cs="Arial"/>
          <w:i/>
          <w:iCs/>
          <w:sz w:val="22"/>
        </w:rPr>
        <w:t xml:space="preserve">National Audit of Care at the </w:t>
      </w:r>
      <w:proofErr w:type="gramStart"/>
      <w:r w:rsidRPr="0014769A">
        <w:rPr>
          <w:rFonts w:ascii="Arial" w:hAnsi="Arial" w:cs="Arial"/>
          <w:i/>
          <w:iCs/>
          <w:sz w:val="22"/>
        </w:rPr>
        <w:t>End of Life</w:t>
      </w:r>
      <w:proofErr w:type="gramEnd"/>
      <w:r w:rsidRPr="0014769A">
        <w:rPr>
          <w:rFonts w:ascii="Arial" w:hAnsi="Arial" w:cs="Arial"/>
          <w:i/>
          <w:iCs/>
          <w:sz w:val="22"/>
        </w:rPr>
        <w:t xml:space="preserve"> 2024: State of the Nations Report</w:t>
      </w:r>
      <w:r w:rsidRPr="0014769A">
        <w:rPr>
          <w:rFonts w:ascii="Arial" w:hAnsi="Arial" w:cs="Arial"/>
          <w:sz w:val="22"/>
        </w:rPr>
        <w:t xml:space="preserve">. Manchester: NHS Benchmarking Network. Available at: </w:t>
      </w:r>
      <w:hyperlink r:id="rId13" w:tgtFrame="_blank" w:history="1">
        <w:r w:rsidRPr="0014769A">
          <w:rPr>
            <w:rStyle w:val="Hyperlink"/>
            <w:rFonts w:ascii="Arial" w:hAnsi="Arial" w:cs="Arial"/>
            <w:sz w:val="22"/>
          </w:rPr>
          <w:t>nacel.nhs.uk</w:t>
        </w:r>
      </w:hyperlink>
      <w:r w:rsidRPr="0014769A">
        <w:rPr>
          <w:rFonts w:ascii="Arial" w:hAnsi="Arial" w:cs="Arial"/>
          <w:sz w:val="22"/>
        </w:rPr>
        <w:t xml:space="preserve"> (Accessed: 3 October 2026).</w:t>
      </w:r>
    </w:p>
    <w:p w14:paraId="29B3B9BD" w14:textId="77777777" w:rsidR="0014769A" w:rsidRPr="0014769A" w:rsidRDefault="0014769A" w:rsidP="0014769A">
      <w:pPr>
        <w:spacing w:line="360" w:lineRule="auto"/>
        <w:rPr>
          <w:rFonts w:ascii="Arial" w:hAnsi="Arial" w:cs="Arial"/>
          <w:sz w:val="22"/>
        </w:rPr>
      </w:pPr>
      <w:r w:rsidRPr="0014769A">
        <w:rPr>
          <w:rFonts w:ascii="Arial" w:hAnsi="Arial" w:cs="Arial"/>
          <w:sz w:val="22"/>
        </w:rPr>
        <w:t xml:space="preserve">NHS England (2022) </w:t>
      </w:r>
      <w:r w:rsidRPr="0014769A">
        <w:rPr>
          <w:rFonts w:ascii="Arial" w:hAnsi="Arial" w:cs="Arial"/>
          <w:i/>
          <w:iCs/>
          <w:sz w:val="22"/>
        </w:rPr>
        <w:t>Palliative and end of life care: statutory guidance for integrated care boards (ICBs)</w:t>
      </w:r>
      <w:r w:rsidRPr="0014769A">
        <w:rPr>
          <w:rFonts w:ascii="Arial" w:hAnsi="Arial" w:cs="Arial"/>
          <w:sz w:val="22"/>
        </w:rPr>
        <w:t xml:space="preserve">. London: NHS England. Available at: </w:t>
      </w:r>
      <w:hyperlink r:id="rId14" w:tgtFrame="_blank" w:history="1">
        <w:r w:rsidRPr="0014769A">
          <w:rPr>
            <w:rStyle w:val="Hyperlink"/>
            <w:rFonts w:ascii="Arial" w:hAnsi="Arial" w:cs="Arial"/>
            <w:sz w:val="22"/>
          </w:rPr>
          <w:t>england.nhs.uk</w:t>
        </w:r>
      </w:hyperlink>
      <w:r w:rsidRPr="0014769A">
        <w:rPr>
          <w:rFonts w:ascii="Arial" w:hAnsi="Arial" w:cs="Arial"/>
          <w:sz w:val="22"/>
        </w:rPr>
        <w:t xml:space="preserve"> (Accessed: 3 October 2026).</w:t>
      </w:r>
    </w:p>
    <w:p w14:paraId="6EE9562F" w14:textId="4C119BCC" w:rsidR="0014769A" w:rsidRPr="0014769A" w:rsidRDefault="0014769A" w:rsidP="0014769A">
      <w:pPr>
        <w:spacing w:line="360" w:lineRule="auto"/>
        <w:rPr>
          <w:rFonts w:ascii="Arial" w:hAnsi="Arial" w:cs="Arial"/>
          <w:sz w:val="22"/>
        </w:rPr>
      </w:pPr>
      <w:r w:rsidRPr="0014769A">
        <w:rPr>
          <w:rFonts w:ascii="Arial" w:hAnsi="Arial" w:cs="Arial"/>
          <w:sz w:val="22"/>
        </w:rPr>
        <w:t xml:space="preserve">Pitzer, S., </w:t>
      </w:r>
      <w:proofErr w:type="spellStart"/>
      <w:r w:rsidRPr="0014769A">
        <w:rPr>
          <w:rFonts w:ascii="Arial" w:hAnsi="Arial" w:cs="Arial"/>
          <w:sz w:val="22"/>
        </w:rPr>
        <w:t>Kutschar</w:t>
      </w:r>
      <w:proofErr w:type="spellEnd"/>
      <w:r w:rsidRPr="0014769A">
        <w:rPr>
          <w:rFonts w:ascii="Arial" w:hAnsi="Arial" w:cs="Arial"/>
          <w:sz w:val="22"/>
        </w:rPr>
        <w:t xml:space="preserve">, P., Paal, P., </w:t>
      </w:r>
      <w:proofErr w:type="spellStart"/>
      <w:r w:rsidRPr="0014769A">
        <w:rPr>
          <w:rFonts w:ascii="Arial" w:hAnsi="Arial" w:cs="Arial"/>
          <w:sz w:val="22"/>
        </w:rPr>
        <w:t>Mülleder</w:t>
      </w:r>
      <w:proofErr w:type="spellEnd"/>
      <w:r w:rsidRPr="0014769A">
        <w:rPr>
          <w:rFonts w:ascii="Arial" w:hAnsi="Arial" w:cs="Arial"/>
          <w:sz w:val="22"/>
        </w:rPr>
        <w:t xml:space="preserve">, P., Lorenzl, S., Wosko, P., Osterbrink, J. and Bükki, J. (2024) 'Barriers for adult patients to access palliative care in hospitals: a mixed methods systematic review', </w:t>
      </w:r>
      <w:r w:rsidRPr="0014769A">
        <w:rPr>
          <w:rFonts w:ascii="Arial" w:hAnsi="Arial" w:cs="Arial"/>
          <w:i/>
          <w:iCs/>
          <w:sz w:val="22"/>
        </w:rPr>
        <w:t>Journal of Pain and Symptom Management</w:t>
      </w:r>
      <w:r w:rsidRPr="0014769A">
        <w:rPr>
          <w:rFonts w:ascii="Arial" w:hAnsi="Arial" w:cs="Arial"/>
          <w:sz w:val="22"/>
        </w:rPr>
        <w:t xml:space="preserve">, 67(1), pp. e16-e33. Available at: </w:t>
      </w:r>
      <w:hyperlink r:id="rId15" w:tgtFrame="_blank" w:history="1">
        <w:r w:rsidRPr="0014769A">
          <w:rPr>
            <w:rStyle w:val="Hyperlink"/>
            <w:rFonts w:ascii="Arial" w:hAnsi="Arial" w:cs="Arial"/>
            <w:sz w:val="22"/>
          </w:rPr>
          <w:t>doi.org</w:t>
        </w:r>
      </w:hyperlink>
      <w:r w:rsidRPr="0014769A">
        <w:rPr>
          <w:rFonts w:ascii="Arial" w:hAnsi="Arial" w:cs="Arial"/>
          <w:sz w:val="22"/>
        </w:rPr>
        <w:t xml:space="preserve"> (Accessed: </w:t>
      </w:r>
      <w:r w:rsidR="00C73D80">
        <w:rPr>
          <w:rFonts w:ascii="Arial" w:hAnsi="Arial" w:cs="Arial"/>
          <w:sz w:val="22"/>
        </w:rPr>
        <w:t>2</w:t>
      </w:r>
      <w:r w:rsidRPr="0014769A">
        <w:rPr>
          <w:rFonts w:ascii="Arial" w:hAnsi="Arial" w:cs="Arial"/>
          <w:sz w:val="22"/>
        </w:rPr>
        <w:t xml:space="preserve"> October 2026).</w:t>
      </w:r>
    </w:p>
    <w:p w14:paraId="089C30B4" w14:textId="77777777" w:rsidR="0014769A" w:rsidRPr="0014769A" w:rsidRDefault="0014769A" w:rsidP="0014769A">
      <w:pPr>
        <w:spacing w:line="360" w:lineRule="auto"/>
        <w:rPr>
          <w:rFonts w:ascii="Arial" w:hAnsi="Arial" w:cs="Arial"/>
          <w:sz w:val="22"/>
        </w:rPr>
      </w:pPr>
      <w:r w:rsidRPr="0014769A">
        <w:rPr>
          <w:rFonts w:ascii="Arial" w:hAnsi="Arial" w:cs="Arial"/>
          <w:sz w:val="22"/>
        </w:rPr>
        <w:lastRenderedPageBreak/>
        <w:t xml:space="preserve">Tobin, J., Rogers, A., Winterburn, I., Tullie, S., Kalyanasundaram, A., Kuhn, I. and Barclay, S. (2022) 'Hospice care access inequalities: a systematic review and narrative synthesis', </w:t>
      </w:r>
      <w:r w:rsidRPr="0014769A">
        <w:rPr>
          <w:rFonts w:ascii="Arial" w:hAnsi="Arial" w:cs="Arial"/>
          <w:i/>
          <w:iCs/>
          <w:sz w:val="22"/>
        </w:rPr>
        <w:t>BMJ Supportive &amp; Palliative Care</w:t>
      </w:r>
      <w:r w:rsidRPr="0014769A">
        <w:rPr>
          <w:rFonts w:ascii="Arial" w:hAnsi="Arial" w:cs="Arial"/>
          <w:sz w:val="22"/>
        </w:rPr>
        <w:t xml:space="preserve">, 12(2), pp. 142-151. Available at: </w:t>
      </w:r>
      <w:hyperlink r:id="rId16" w:tgtFrame="_blank" w:history="1">
        <w:r w:rsidRPr="0014769A">
          <w:rPr>
            <w:rStyle w:val="Hyperlink"/>
            <w:rFonts w:ascii="Arial" w:hAnsi="Arial" w:cs="Arial"/>
            <w:sz w:val="22"/>
          </w:rPr>
          <w:t>spcare.bmj.com</w:t>
        </w:r>
      </w:hyperlink>
      <w:r w:rsidRPr="0014769A">
        <w:rPr>
          <w:rFonts w:ascii="Arial" w:hAnsi="Arial" w:cs="Arial"/>
          <w:sz w:val="22"/>
        </w:rPr>
        <w:t xml:space="preserve"> (Accessed: 3 October 2026).</w:t>
      </w:r>
    </w:p>
    <w:p w14:paraId="5BC91157" w14:textId="05407841" w:rsidR="00545684" w:rsidRPr="00757A11" w:rsidRDefault="00545684" w:rsidP="00331F5A">
      <w:pPr>
        <w:spacing w:line="360" w:lineRule="auto"/>
        <w:rPr>
          <w:rFonts w:ascii="Arial" w:hAnsi="Arial" w:cs="Arial"/>
          <w:sz w:val="22"/>
        </w:rPr>
      </w:pPr>
    </w:p>
    <w:sectPr w:rsidR="00545684" w:rsidRPr="00757A11" w:rsidSect="00041A5A">
      <w:footerReference w:type="default" r:id="rId17"/>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98179D" w14:textId="77777777" w:rsidR="00466B0A" w:rsidRDefault="00466B0A" w:rsidP="00545684">
      <w:pPr>
        <w:spacing w:after="0" w:line="240" w:lineRule="auto"/>
      </w:pPr>
      <w:r>
        <w:separator/>
      </w:r>
    </w:p>
  </w:endnote>
  <w:endnote w:type="continuationSeparator" w:id="0">
    <w:p w14:paraId="60F65E76" w14:textId="77777777" w:rsidR="00466B0A" w:rsidRDefault="00466B0A"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F69267" w14:textId="77777777" w:rsidR="00466B0A" w:rsidRDefault="00466B0A" w:rsidP="00545684">
      <w:pPr>
        <w:spacing w:after="0" w:line="240" w:lineRule="auto"/>
      </w:pPr>
      <w:r>
        <w:separator/>
      </w:r>
    </w:p>
  </w:footnote>
  <w:footnote w:type="continuationSeparator" w:id="0">
    <w:p w14:paraId="46766995" w14:textId="77777777" w:rsidR="00466B0A" w:rsidRDefault="00466B0A" w:rsidP="005456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425BA0"/>
    <w:multiLevelType w:val="multilevel"/>
    <w:tmpl w:val="88489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B80B4D"/>
    <w:multiLevelType w:val="hybridMultilevel"/>
    <w:tmpl w:val="BF083A2A"/>
    <w:lvl w:ilvl="0" w:tplc="E4C29E2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E431B11"/>
    <w:multiLevelType w:val="hybridMultilevel"/>
    <w:tmpl w:val="1C3A2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1253E0"/>
    <w:multiLevelType w:val="hybridMultilevel"/>
    <w:tmpl w:val="DC101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8F5248"/>
    <w:multiLevelType w:val="hybridMultilevel"/>
    <w:tmpl w:val="9CDC35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A97037A"/>
    <w:multiLevelType w:val="multilevel"/>
    <w:tmpl w:val="1BDE8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5714011"/>
    <w:multiLevelType w:val="multilevel"/>
    <w:tmpl w:val="FB207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76D522C"/>
    <w:multiLevelType w:val="multilevel"/>
    <w:tmpl w:val="3E56C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E921C95"/>
    <w:multiLevelType w:val="multilevel"/>
    <w:tmpl w:val="8CF89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B431161"/>
    <w:multiLevelType w:val="hybridMultilevel"/>
    <w:tmpl w:val="BE0C4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1933321522">
    <w:abstractNumId w:val="7"/>
  </w:num>
  <w:num w:numId="3" w16cid:durableId="875194671">
    <w:abstractNumId w:val="5"/>
  </w:num>
  <w:num w:numId="4" w16cid:durableId="1703288516">
    <w:abstractNumId w:val="8"/>
  </w:num>
  <w:num w:numId="5" w16cid:durableId="1208763282">
    <w:abstractNumId w:val="9"/>
  </w:num>
  <w:num w:numId="6" w16cid:durableId="1781218759">
    <w:abstractNumId w:val="3"/>
  </w:num>
  <w:num w:numId="7" w16cid:durableId="1821994641">
    <w:abstractNumId w:val="1"/>
  </w:num>
  <w:num w:numId="8" w16cid:durableId="648290439">
    <w:abstractNumId w:val="2"/>
  </w:num>
  <w:num w:numId="9" w16cid:durableId="849566647">
    <w:abstractNumId w:val="4"/>
  </w:num>
  <w:num w:numId="10" w16cid:durableId="1264654470">
    <w:abstractNumId w:val="6"/>
  </w:num>
  <w:num w:numId="11" w16cid:durableId="46956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41A5A"/>
    <w:rsid w:val="0009712E"/>
    <w:rsid w:val="000A5161"/>
    <w:rsid w:val="000B67B3"/>
    <w:rsid w:val="000B7CD5"/>
    <w:rsid w:val="000F549C"/>
    <w:rsid w:val="0014769A"/>
    <w:rsid w:val="00175D18"/>
    <w:rsid w:val="0020643B"/>
    <w:rsid w:val="00216C85"/>
    <w:rsid w:val="00245A44"/>
    <w:rsid w:val="00245BB0"/>
    <w:rsid w:val="0025139E"/>
    <w:rsid w:val="00260277"/>
    <w:rsid w:val="00273EDD"/>
    <w:rsid w:val="002A15DA"/>
    <w:rsid w:val="002C3965"/>
    <w:rsid w:val="002F6B8E"/>
    <w:rsid w:val="00301882"/>
    <w:rsid w:val="003018F0"/>
    <w:rsid w:val="00321C4C"/>
    <w:rsid w:val="00331F5A"/>
    <w:rsid w:val="00394C19"/>
    <w:rsid w:val="003A2FDF"/>
    <w:rsid w:val="003B5B7F"/>
    <w:rsid w:val="003C45FE"/>
    <w:rsid w:val="003D7D7C"/>
    <w:rsid w:val="004174BB"/>
    <w:rsid w:val="00466B0A"/>
    <w:rsid w:val="00475EC1"/>
    <w:rsid w:val="004903AA"/>
    <w:rsid w:val="004E6C3B"/>
    <w:rsid w:val="00545684"/>
    <w:rsid w:val="005637E2"/>
    <w:rsid w:val="0059504B"/>
    <w:rsid w:val="005C0214"/>
    <w:rsid w:val="005D57CA"/>
    <w:rsid w:val="0061260B"/>
    <w:rsid w:val="00646B10"/>
    <w:rsid w:val="006A1D7C"/>
    <w:rsid w:val="006D298C"/>
    <w:rsid w:val="00711D0F"/>
    <w:rsid w:val="00715990"/>
    <w:rsid w:val="00757825"/>
    <w:rsid w:val="00757A11"/>
    <w:rsid w:val="00766E4F"/>
    <w:rsid w:val="00784670"/>
    <w:rsid w:val="007C31A3"/>
    <w:rsid w:val="007D289E"/>
    <w:rsid w:val="007E1300"/>
    <w:rsid w:val="007E229C"/>
    <w:rsid w:val="00806601"/>
    <w:rsid w:val="00812E00"/>
    <w:rsid w:val="00816D76"/>
    <w:rsid w:val="0082217A"/>
    <w:rsid w:val="00866B7B"/>
    <w:rsid w:val="0089305B"/>
    <w:rsid w:val="008C200A"/>
    <w:rsid w:val="008E5015"/>
    <w:rsid w:val="00973127"/>
    <w:rsid w:val="009C3E37"/>
    <w:rsid w:val="009C607D"/>
    <w:rsid w:val="009D1D1E"/>
    <w:rsid w:val="00A02F1F"/>
    <w:rsid w:val="00A035FD"/>
    <w:rsid w:val="00A276A0"/>
    <w:rsid w:val="00A6153D"/>
    <w:rsid w:val="00A65434"/>
    <w:rsid w:val="00A90D1A"/>
    <w:rsid w:val="00C3171A"/>
    <w:rsid w:val="00C54573"/>
    <w:rsid w:val="00C635B3"/>
    <w:rsid w:val="00C73D80"/>
    <w:rsid w:val="00D025CA"/>
    <w:rsid w:val="00D24D09"/>
    <w:rsid w:val="00D769F0"/>
    <w:rsid w:val="00E614D4"/>
    <w:rsid w:val="00E82FFF"/>
    <w:rsid w:val="00EC68DA"/>
    <w:rsid w:val="00F278D4"/>
    <w:rsid w:val="00FA39E5"/>
    <w:rsid w:val="00FB4301"/>
    <w:rsid w:val="00FC2B9B"/>
    <w:rsid w:val="00FF5B7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03400D5-F401-46E1-989C-BDD7432490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973127"/>
    <w:pPr>
      <w:keepNext/>
      <w:keepLines/>
      <w:spacing w:before="240" w:after="0" w:line="360" w:lineRule="auto"/>
      <w:outlineLvl w:val="0"/>
    </w:pPr>
    <w:rPr>
      <w:rFonts w:ascii="Arial" w:eastAsiaTheme="majorEastAsia" w:hAnsi="Arial" w:cs="Arial"/>
      <w:b/>
      <w:sz w:val="36"/>
      <w:szCs w:val="36"/>
      <w:u w:val="single"/>
    </w:rPr>
  </w:style>
  <w:style w:type="paragraph" w:styleId="Heading2">
    <w:name w:val="heading 2"/>
    <w:basedOn w:val="Normal"/>
    <w:next w:val="Normal"/>
    <w:link w:val="Heading2Char"/>
    <w:autoRedefine/>
    <w:uiPriority w:val="9"/>
    <w:unhideWhenUsed/>
    <w:qFormat/>
    <w:rsid w:val="00757A11"/>
    <w:pPr>
      <w:keepNext/>
      <w:keepLines/>
      <w:spacing w:before="40" w:after="0" w:line="360" w:lineRule="auto"/>
      <w:outlineLvl w:val="1"/>
    </w:pPr>
    <w:rPr>
      <w:rFonts w:ascii="Arial" w:eastAsiaTheme="majorEastAsia" w:hAnsi="Arial" w:cs="Arial"/>
      <w:b/>
      <w:bCs/>
      <w:iCs/>
      <w:sz w:val="22"/>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3127"/>
    <w:rPr>
      <w:rFonts w:ascii="Arial" w:eastAsiaTheme="majorEastAsia" w:hAnsi="Arial" w:cs="Arial"/>
      <w:b/>
      <w:sz w:val="36"/>
      <w:szCs w:val="36"/>
      <w:u w:val="single"/>
    </w:rPr>
  </w:style>
  <w:style w:type="character" w:customStyle="1" w:styleId="Heading2Char">
    <w:name w:val="Heading 2 Char"/>
    <w:basedOn w:val="DefaultParagraphFont"/>
    <w:link w:val="Heading2"/>
    <w:uiPriority w:val="9"/>
    <w:rsid w:val="00757A11"/>
    <w:rPr>
      <w:rFonts w:ascii="Arial" w:eastAsiaTheme="majorEastAsia" w:hAnsi="Arial" w:cs="Arial"/>
      <w:b/>
      <w:bCs/>
      <w:iCs/>
      <w:sz w:val="22"/>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paragraph" w:styleId="NormalWeb">
    <w:name w:val="Normal (Web)"/>
    <w:basedOn w:val="Normal"/>
    <w:uiPriority w:val="99"/>
    <w:semiHidden/>
    <w:unhideWhenUsed/>
    <w:rsid w:val="00A6153D"/>
    <w:rPr>
      <w:rFonts w:cs="Times New Roman"/>
      <w:szCs w:val="24"/>
    </w:rPr>
  </w:style>
  <w:style w:type="paragraph" w:styleId="ListParagraph">
    <w:name w:val="List Paragraph"/>
    <w:basedOn w:val="Normal"/>
    <w:uiPriority w:val="34"/>
    <w:qFormat/>
    <w:rsid w:val="00A276A0"/>
    <w:pPr>
      <w:ind w:left="720"/>
      <w:contextualSpacing/>
    </w:pPr>
  </w:style>
  <w:style w:type="character" w:styleId="Hyperlink">
    <w:name w:val="Hyperlink"/>
    <w:basedOn w:val="DefaultParagraphFont"/>
    <w:uiPriority w:val="99"/>
    <w:unhideWhenUsed/>
    <w:rsid w:val="00806601"/>
    <w:rPr>
      <w:color w:val="0563C1" w:themeColor="hyperlink"/>
      <w:u w:val="single"/>
    </w:rPr>
  </w:style>
  <w:style w:type="character" w:styleId="UnresolvedMention">
    <w:name w:val="Unresolved Mention"/>
    <w:basedOn w:val="DefaultParagraphFont"/>
    <w:uiPriority w:val="99"/>
    <w:semiHidden/>
    <w:unhideWhenUsed/>
    <w:rsid w:val="0080660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775017">
      <w:bodyDiv w:val="1"/>
      <w:marLeft w:val="0"/>
      <w:marRight w:val="0"/>
      <w:marTop w:val="0"/>
      <w:marBottom w:val="0"/>
      <w:divBdr>
        <w:top w:val="none" w:sz="0" w:space="0" w:color="auto"/>
        <w:left w:val="none" w:sz="0" w:space="0" w:color="auto"/>
        <w:bottom w:val="none" w:sz="0" w:space="0" w:color="auto"/>
        <w:right w:val="none" w:sz="0" w:space="0" w:color="auto"/>
      </w:divBdr>
      <w:divsChild>
        <w:div w:id="315493043">
          <w:marLeft w:val="0"/>
          <w:marRight w:val="0"/>
          <w:marTop w:val="0"/>
          <w:marBottom w:val="0"/>
          <w:divBdr>
            <w:top w:val="none" w:sz="0" w:space="0" w:color="auto"/>
            <w:left w:val="none" w:sz="0" w:space="0" w:color="auto"/>
            <w:bottom w:val="none" w:sz="0" w:space="0" w:color="auto"/>
            <w:right w:val="none" w:sz="0" w:space="0" w:color="auto"/>
          </w:divBdr>
        </w:div>
      </w:divsChild>
    </w:div>
    <w:div w:id="171336536">
      <w:bodyDiv w:val="1"/>
      <w:marLeft w:val="0"/>
      <w:marRight w:val="0"/>
      <w:marTop w:val="0"/>
      <w:marBottom w:val="0"/>
      <w:divBdr>
        <w:top w:val="none" w:sz="0" w:space="0" w:color="auto"/>
        <w:left w:val="none" w:sz="0" w:space="0" w:color="auto"/>
        <w:bottom w:val="none" w:sz="0" w:space="0" w:color="auto"/>
        <w:right w:val="none" w:sz="0" w:space="0" w:color="auto"/>
      </w:divBdr>
      <w:divsChild>
        <w:div w:id="746996415">
          <w:marLeft w:val="0"/>
          <w:marRight w:val="0"/>
          <w:marTop w:val="0"/>
          <w:marBottom w:val="0"/>
          <w:divBdr>
            <w:top w:val="none" w:sz="0" w:space="0" w:color="auto"/>
            <w:left w:val="none" w:sz="0" w:space="0" w:color="auto"/>
            <w:bottom w:val="none" w:sz="0" w:space="0" w:color="auto"/>
            <w:right w:val="none" w:sz="0" w:space="0" w:color="auto"/>
          </w:divBdr>
        </w:div>
      </w:divsChild>
    </w:div>
    <w:div w:id="969096441">
      <w:bodyDiv w:val="1"/>
      <w:marLeft w:val="0"/>
      <w:marRight w:val="0"/>
      <w:marTop w:val="0"/>
      <w:marBottom w:val="0"/>
      <w:divBdr>
        <w:top w:val="none" w:sz="0" w:space="0" w:color="auto"/>
        <w:left w:val="none" w:sz="0" w:space="0" w:color="auto"/>
        <w:bottom w:val="none" w:sz="0" w:space="0" w:color="auto"/>
        <w:right w:val="none" w:sz="0" w:space="0" w:color="auto"/>
      </w:divBdr>
    </w:div>
    <w:div w:id="1789928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qc.org.uk/publications/themed-work/second-class-ending-exploring-barriers-championing-outstanding-end-life" TargetMode="External"/><Relationship Id="rId13" Type="http://schemas.openxmlformats.org/officeDocument/2006/relationships/hyperlink" Target="https://www.nacel.nhs.uk/outputs"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cqc.org.uk/sites/default/files/20160505%20CQC_EOLC_OVERVIEW_FINAL_3.pdf" TargetMode="External"/><Relationship Id="rId12" Type="http://schemas.openxmlformats.org/officeDocument/2006/relationships/hyperlink" Target="https://www.hqip.org.uk/wp-content/uploads/2023/07/Ref.-380-NACEL-2022-Appendices-Final.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spcare.bmj.com/content/12/2/14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ice.org.uk/guidance/ng142" TargetMode="External"/><Relationship Id="rId5" Type="http://schemas.openxmlformats.org/officeDocument/2006/relationships/footnotes" Target="footnotes.xml"/><Relationship Id="rId15" Type="http://schemas.openxmlformats.org/officeDocument/2006/relationships/hyperlink" Target="https://doi.org/10.1016/j.jpainsymman.2023.09.012" TargetMode="External"/><Relationship Id="rId10" Type="http://schemas.openxmlformats.org/officeDocument/2006/relationships/hyperlink" Target="https://www.nice.org.uk/guidance/qs14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doi.org/10.3389/fsoc.2024.1488688" TargetMode="External"/><Relationship Id="rId14" Type="http://schemas.openxmlformats.org/officeDocument/2006/relationships/hyperlink" Target="https://www.england.nhs.uk/publication/palliative-and-end-of-life-care-statutory-guidance-for-integrated-care-boards-icb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3270</TotalTime>
  <Pages>7</Pages>
  <Words>1496</Words>
  <Characters>8531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Farzia Saddique (2329009)</cp:lastModifiedBy>
  <cp:revision>37</cp:revision>
  <dcterms:created xsi:type="dcterms:W3CDTF">2026-10-01T14:18:00Z</dcterms:created>
  <dcterms:modified xsi:type="dcterms:W3CDTF">2026-10-03T20:45:00Z</dcterms:modified>
</cp:coreProperties>
</file>