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11D9" w:rsidP="00E611D9" w:rsidRDefault="002229F0" w14:paraId="19456DE9" w14:textId="560F003D">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yr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rsidTr="73CB681A" w14:paraId="706C5A24" w14:textId="09F3EA57">
        <w:tc>
          <w:tcPr>
            <w:tcW w:w="1722" w:type="dxa"/>
            <w:tcMar/>
          </w:tcPr>
          <w:p w:rsidR="00AD4EBD" w:rsidP="00AE1A4C" w:rsidRDefault="00AD4EBD" w14:paraId="28E17A5A" w14:textId="77777777">
            <w:pPr>
              <w:pStyle w:val="AssignBody"/>
            </w:pPr>
          </w:p>
        </w:tc>
        <w:tc>
          <w:tcPr>
            <w:tcW w:w="3647" w:type="dxa"/>
            <w:tcMar/>
          </w:tcPr>
          <w:p w:rsidR="00AD4EBD" w:rsidP="00AE1A4C" w:rsidRDefault="00AD4EBD" w14:paraId="6D1F9A38" w14:textId="75E67885">
            <w:pPr>
              <w:pStyle w:val="AssignBody"/>
            </w:pPr>
            <w:proofErr w:type="spellStart"/>
            <w:r>
              <w:t>Targed</w:t>
            </w:r>
            <w:proofErr w:type="spellEnd"/>
            <w:r>
              <w:t>/target</w:t>
            </w:r>
          </w:p>
        </w:tc>
        <w:tc>
          <w:tcPr>
            <w:tcW w:w="3647" w:type="dxa"/>
            <w:tcMar/>
          </w:tcPr>
          <w:p w:rsidR="00AD4EBD" w:rsidP="00AD4EBD" w:rsidRDefault="00AD4EBD" w14:paraId="0DE6AF28" w14:textId="77777777">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 xml:space="preserve">Yr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rsidR="00AD4EBD" w:rsidP="00AD4EBD" w:rsidRDefault="00AD4EBD" w14:paraId="65DA3C77" w14:textId="77777777">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rsidR="00AD4EBD" w:rsidP="00AE1A4C" w:rsidRDefault="00AD4EBD" w14:paraId="6D71B5B6" w14:textId="77777777">
            <w:pPr>
              <w:pStyle w:val="AssignBody"/>
            </w:pPr>
          </w:p>
        </w:tc>
      </w:tr>
      <w:tr w:rsidR="00AD4EBD" w:rsidTr="73CB681A" w14:paraId="4072E411" w14:textId="3E550A78">
        <w:tc>
          <w:tcPr>
            <w:tcW w:w="1722" w:type="dxa"/>
            <w:tcMar/>
          </w:tcPr>
          <w:p w:rsidR="00AD4EBD" w:rsidP="00AE1A4C" w:rsidRDefault="00AD4EBD" w14:paraId="3BDD7132" w14:textId="77777777">
            <w:pPr>
              <w:pStyle w:val="AssignBody"/>
            </w:pPr>
            <w:proofErr w:type="spellStart"/>
            <w:r>
              <w:t>T</w:t>
            </w:r>
            <w:bookmarkStart w:name="cysill" w:id="0"/>
            <w:bookmarkEnd w:id="0"/>
            <w:r>
              <w:t>arged</w:t>
            </w:r>
            <w:proofErr w:type="spellEnd"/>
            <w:r>
              <w:t>/Target 1</w:t>
            </w:r>
          </w:p>
        </w:tc>
        <w:tc>
          <w:tcPr>
            <w:tcW w:w="3647" w:type="dxa"/>
            <w:tcMar/>
          </w:tcPr>
          <w:p w:rsidR="00AD4EBD" w:rsidP="73CB681A" w:rsidRDefault="00AD4EBD" w14:paraId="0468E3AC" w14:textId="1FED4850">
            <w:pPr>
              <w:shd w:val="clear" w:color="auto" w:fill="FFFFFF" w:themeFill="background1"/>
              <w:spacing w:before="0" w:beforeAutospacing="off" w:after="0" w:afterAutospacing="off"/>
            </w:pPr>
            <w:r w:rsidRPr="73CB681A" w:rsidR="68DC576D">
              <w:rPr>
                <w:rFonts w:ascii="helvetica" w:hAnsi="helvetica" w:eastAsia="helvetica" w:cs="helvetica"/>
                <w:b w:val="0"/>
                <w:bCs w:val="0"/>
                <w:i w:val="0"/>
                <w:iCs w:val="0"/>
                <w:caps w:val="0"/>
                <w:smallCaps w:val="0"/>
                <w:noProof w:val="0"/>
                <w:color w:val="283041"/>
                <w:sz w:val="21"/>
                <w:szCs w:val="21"/>
                <w:lang w:val="en-GB"/>
              </w:rPr>
              <w:t>1.  Continue to read widely and use the literature to engage with a high level of criticality.  Going forward, your next assignments will demand a more academic voice.  You may find the following link to an academic phrase bank useful:</w:t>
            </w:r>
          </w:p>
          <w:p w:rsidR="00AD4EBD" w:rsidP="73CB681A" w:rsidRDefault="00AD4EBD" w14:paraId="394C5558" w14:textId="5D66FDC1">
            <w:pPr>
              <w:shd w:val="clear" w:color="auto" w:fill="FFFFFF" w:themeFill="background1"/>
              <w:spacing w:before="0" w:beforeAutospacing="off" w:after="0" w:afterAutospacing="off"/>
            </w:pPr>
            <w:hyperlink r:id="Rf6f9452597ca4666">
              <w:r w:rsidRPr="73CB681A" w:rsidR="68DC576D">
                <w:rPr>
                  <w:rStyle w:val="Hyperlink"/>
                  <w:rFonts w:ascii="helvetica" w:hAnsi="helvetica" w:eastAsia="helvetica" w:cs="helvetica"/>
                  <w:b w:val="0"/>
                  <w:bCs w:val="0"/>
                  <w:i w:val="0"/>
                  <w:iCs w:val="0"/>
                  <w:caps w:val="0"/>
                  <w:smallCaps w:val="0"/>
                  <w:strike w:val="0"/>
                  <w:dstrike w:val="0"/>
                  <w:noProof w:val="0"/>
                  <w:color w:val="1E7BBB"/>
                  <w:sz w:val="21"/>
                  <w:szCs w:val="21"/>
                  <w:u w:val="none"/>
                  <w:lang w:val="en-GB"/>
                </w:rPr>
                <w:t>Academic Phrasebank | The University of Manchester</w:t>
              </w:r>
            </w:hyperlink>
          </w:p>
        </w:tc>
        <w:tc>
          <w:tcPr>
            <w:tcW w:w="3647" w:type="dxa"/>
            <w:tcMar/>
          </w:tcPr>
          <w:p w:rsidR="00AD4EBD" w:rsidP="00AE1A4C" w:rsidRDefault="00AD4EBD" w14:paraId="5F7F611A" w14:textId="77777777">
            <w:pPr>
              <w:pStyle w:val="AssignBody"/>
            </w:pPr>
          </w:p>
        </w:tc>
      </w:tr>
      <w:tr w:rsidR="00AD4EBD" w:rsidTr="73CB681A" w14:paraId="73A65764" w14:textId="34BD1589">
        <w:tc>
          <w:tcPr>
            <w:tcW w:w="1722" w:type="dxa"/>
            <w:tcMar/>
          </w:tcPr>
          <w:p w:rsidR="00AD4EBD" w:rsidP="00AE1A4C" w:rsidRDefault="00AD4EBD" w14:paraId="12A42483" w14:textId="77777777">
            <w:pPr>
              <w:pStyle w:val="AssignBody"/>
            </w:pPr>
            <w:proofErr w:type="spellStart"/>
            <w:r>
              <w:t>Targed</w:t>
            </w:r>
            <w:proofErr w:type="spellEnd"/>
            <w:r>
              <w:t>/Target 2</w:t>
            </w:r>
          </w:p>
        </w:tc>
        <w:tc>
          <w:tcPr>
            <w:tcW w:w="3647" w:type="dxa"/>
            <w:tcMar/>
          </w:tcPr>
          <w:p w:rsidR="00AD4EBD" w:rsidP="73CB681A" w:rsidRDefault="00AD4EBD" w14:paraId="3E19823E" w14:textId="6B015AB8">
            <w:pPr/>
            <w:r w:rsidRPr="73CB681A" w:rsidR="63BDBD84">
              <w:rPr>
                <w:rFonts w:ascii="helvetica" w:hAnsi="helvetica" w:eastAsia="helvetica" w:cs="helvetica"/>
                <w:b w:val="0"/>
                <w:bCs w:val="0"/>
                <w:i w:val="0"/>
                <w:iCs w:val="0"/>
                <w:caps w:val="0"/>
                <w:smallCaps w:val="0"/>
                <w:noProof w:val="0"/>
                <w:color w:val="283041"/>
                <w:sz w:val="21"/>
                <w:szCs w:val="21"/>
                <w:lang w:val="en-GB"/>
              </w:rPr>
              <w:t xml:space="preserve">2.  Ensure that you fully understand the requirements of the assignment.  Your blog should focus on the same critical incident.  </w:t>
            </w:r>
            <w:r w:rsidRPr="73CB681A" w:rsidR="63BDBD84">
              <w:rPr>
                <w:noProof w:val="0"/>
                <w:lang w:val="en-GB"/>
              </w:rPr>
              <w:t xml:space="preserve"> </w:t>
            </w:r>
          </w:p>
        </w:tc>
        <w:tc>
          <w:tcPr>
            <w:tcW w:w="3647" w:type="dxa"/>
            <w:tcMar/>
          </w:tcPr>
          <w:p w:rsidR="00AD4EBD" w:rsidP="00AE1A4C" w:rsidRDefault="00AD4EBD" w14:paraId="54F0029C" w14:textId="77777777">
            <w:pPr>
              <w:pStyle w:val="AssignBody"/>
            </w:pPr>
          </w:p>
        </w:tc>
      </w:tr>
      <w:tr w:rsidR="00AD4EBD" w:rsidTr="73CB681A" w14:paraId="0216786F" w14:textId="16A0EC59">
        <w:tc>
          <w:tcPr>
            <w:tcW w:w="1722" w:type="dxa"/>
            <w:tcMar/>
          </w:tcPr>
          <w:p w:rsidR="00AD4EBD" w:rsidP="00AE1A4C" w:rsidRDefault="00AD4EBD" w14:paraId="4F73937C" w14:textId="77777777">
            <w:pPr>
              <w:pStyle w:val="AssignBody"/>
            </w:pPr>
            <w:proofErr w:type="spellStart"/>
            <w:r>
              <w:t>Targed</w:t>
            </w:r>
            <w:proofErr w:type="spellEnd"/>
            <w:r>
              <w:t>/Target 3</w:t>
            </w:r>
          </w:p>
        </w:tc>
        <w:tc>
          <w:tcPr>
            <w:tcW w:w="3647" w:type="dxa"/>
            <w:tcMar/>
          </w:tcPr>
          <w:p w:rsidR="00AD4EBD" w:rsidP="00AE1A4C" w:rsidRDefault="00AD4EBD" w14:paraId="1FEDD524" w14:textId="66B82562">
            <w:pPr>
              <w:pStyle w:val="AssignBody"/>
            </w:pPr>
            <w:r w:rsidR="074F8A64">
              <w:rPr/>
              <w:t>N/A</w:t>
            </w:r>
          </w:p>
        </w:tc>
        <w:tc>
          <w:tcPr>
            <w:tcW w:w="3647" w:type="dxa"/>
            <w:tcMar/>
          </w:tcPr>
          <w:p w:rsidR="00AD4EBD" w:rsidP="00AE1A4C" w:rsidRDefault="00AD4EBD" w14:paraId="3697C55C" w14:textId="1EC84711">
            <w:pPr>
              <w:pStyle w:val="AssignBody"/>
            </w:pPr>
            <w:r w:rsidR="074F8A64">
              <w:rPr/>
              <w:t>N/A</w:t>
            </w:r>
          </w:p>
        </w:tc>
      </w:tr>
    </w:tbl>
    <w:p w:rsidR="002229F0" w:rsidP="00E611D9" w:rsidRDefault="002229F0" w14:paraId="45E34BBD" w14:textId="77777777">
      <w:pPr>
        <w:pStyle w:val="AssignBody"/>
      </w:pPr>
    </w:p>
    <w:p w:rsidR="18121EF4" w:rsidP="587A7B25" w:rsidRDefault="18121EF4" w14:paraId="0D79FB29" w14:textId="564E32A3">
      <w:pPr>
        <w:pStyle w:val="AssignHeader"/>
        <w:spacing w:after="0" w:line="360" w:lineRule="auto"/>
        <w:ind w:left="0" w:right="0"/>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587A7B25" w:rsidR="18121EF4">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GB"/>
        </w:rPr>
        <w:t>A Critical Evaluation of the Development of a Strategic Target in a School Development Plan: Actions, Impact, and Evidence-Based Reflections</w:t>
      </w:r>
    </w:p>
    <w:p w:rsidR="18121EF4" w:rsidP="587A7B25" w:rsidRDefault="18121EF4" w14:paraId="6A937FF2" w14:textId="20F219F5">
      <w:pPr>
        <w:pStyle w:val="AssignSubHeader"/>
        <w:spacing w:after="0" w:line="360" w:lineRule="auto"/>
        <w:ind w:left="0" w:right="0"/>
        <w:rPr>
          <w:rFonts w:ascii="Arial" w:hAnsi="Arial" w:eastAsia="Arial" w:cs="Arial"/>
          <w:b w:val="1"/>
          <w:bCs w:val="1"/>
          <w:i w:val="0"/>
          <w:iCs w:val="0"/>
          <w:caps w:val="0"/>
          <w:smallCaps w:val="0"/>
          <w:noProof w:val="0"/>
          <w:color w:val="000000" w:themeColor="text1" w:themeTint="FF" w:themeShade="FF"/>
          <w:sz w:val="28"/>
          <w:szCs w:val="28"/>
          <w:lang w:val="en-GB"/>
        </w:rPr>
      </w:pPr>
      <w:r w:rsidRPr="4B9F494B" w:rsidR="18121EF4">
        <w:rPr>
          <w:rFonts w:ascii="Arial" w:hAnsi="Arial" w:eastAsia="Arial" w:cs="Arial"/>
          <w:b w:val="1"/>
          <w:bCs w:val="1"/>
          <w:i w:val="0"/>
          <w:iCs w:val="0"/>
          <w:caps w:val="0"/>
          <w:smallCaps w:val="0"/>
          <w:noProof w:val="0"/>
          <w:color w:val="000000" w:themeColor="text1" w:themeTint="FF" w:themeShade="FF"/>
          <w:sz w:val="28"/>
          <w:szCs w:val="28"/>
          <w:lang w:val="en-GB"/>
        </w:rPr>
        <w:t>Target: Further develop pupils’ numeracy skills in measurement and time</w:t>
      </w:r>
    </w:p>
    <w:p w:rsidR="51120C5D" w:rsidP="4B9F494B" w:rsidRDefault="51120C5D" w14:paraId="44639C61" w14:textId="5466141D">
      <w:pPr>
        <w:pStyle w:val="AssignBody"/>
        <w:rPr>
          <w:noProof w:val="0"/>
          <w:lang w:val="en-GB"/>
        </w:rPr>
      </w:pPr>
      <w:r w:rsidRPr="4B9F494B" w:rsidR="51120C5D">
        <w:rPr>
          <w:noProof w:val="0"/>
          <w:lang w:val="en-GB"/>
        </w:rPr>
        <w:t xml:space="preserve">Evaluation, reflection, and an improvement plan are vital in developing any skill, service area, or national industry. This is why large companies make </w:t>
      </w:r>
      <w:r w:rsidRPr="4B9F494B" w:rsidR="51120C5D">
        <w:rPr>
          <w:noProof w:val="0"/>
          <w:lang w:val="en-GB"/>
        </w:rPr>
        <w:t>great efforts</w:t>
      </w:r>
      <w:r w:rsidRPr="4B9F494B" w:rsidR="51120C5D">
        <w:rPr>
          <w:noProof w:val="0"/>
          <w:lang w:val="en-GB"/>
        </w:rPr>
        <w:t xml:space="preserve"> to get feedback from consumers – to improve and develop their products. Education is no different in that to see a continual improvement in education, schools must face evaluation, self-reflect, and set out a plan to improve outcomes for pupils and other shareholders. An effective strategy followed by many UK schools for developing education and improving outcomes is to produce and implement a School Development Plan (SDP). SDPs are documents designed to </w:t>
      </w:r>
      <w:r w:rsidRPr="4B9F494B" w:rsidR="51120C5D">
        <w:rPr>
          <w:noProof w:val="0"/>
          <w:lang w:val="en-GB"/>
        </w:rPr>
        <w:t>identify</w:t>
      </w:r>
      <w:r w:rsidRPr="4B9F494B" w:rsidR="51120C5D">
        <w:rPr>
          <w:noProof w:val="0"/>
          <w:lang w:val="en-GB"/>
        </w:rPr>
        <w:t xml:space="preserve"> strategic targets to improve schools in various areas of their operation including education and well-being. These documents are engineered through a school's self-evaluation and reflection on its daily operations. Kim </w:t>
      </w:r>
      <w:r w:rsidRPr="4B9F494B" w:rsidR="51120C5D">
        <w:rPr>
          <w:noProof w:val="0"/>
          <w:lang w:val="en-GB"/>
        </w:rPr>
        <w:t>Schildkamp</w:t>
      </w:r>
      <w:r w:rsidRPr="4B9F494B" w:rsidR="51120C5D">
        <w:rPr>
          <w:noProof w:val="0"/>
          <w:lang w:val="en-GB"/>
        </w:rPr>
        <w:t xml:space="preserve">, suggests that school improvement can be seen as an iterative process beginning with a target which is then achieved by collecting data, </w:t>
      </w:r>
      <w:r w:rsidRPr="4B9F494B" w:rsidR="51120C5D">
        <w:rPr>
          <w:noProof w:val="0"/>
          <w:lang w:val="en-GB"/>
        </w:rPr>
        <w:t>analysing</w:t>
      </w:r>
      <w:r w:rsidRPr="4B9F494B" w:rsidR="51120C5D">
        <w:rPr>
          <w:noProof w:val="0"/>
          <w:lang w:val="en-GB"/>
        </w:rPr>
        <w:t xml:space="preserve"> and interpreting that data, and then evaluating how to act upon the data to work towards the desired target (See Appendix Figure 1) (</w:t>
      </w:r>
      <w:r w:rsidRPr="4B9F494B" w:rsidR="51120C5D">
        <w:rPr>
          <w:noProof w:val="0"/>
          <w:lang w:val="en-GB"/>
        </w:rPr>
        <w:t>Schildkamp</w:t>
      </w:r>
      <w:r w:rsidRPr="4B9F494B" w:rsidR="51120C5D">
        <w:rPr>
          <w:noProof w:val="0"/>
          <w:lang w:val="en-GB"/>
        </w:rPr>
        <w:t xml:space="preserve">, K. 2019). </w:t>
      </w:r>
    </w:p>
    <w:p w:rsidR="51120C5D" w:rsidP="4B9F494B" w:rsidRDefault="51120C5D" w14:paraId="569EC058" w14:textId="436394B1">
      <w:pPr>
        <w:pStyle w:val="AssignBody"/>
      </w:pPr>
      <w:r w:rsidRPr="4B9F494B" w:rsidR="51120C5D">
        <w:rPr>
          <w:noProof w:val="0"/>
          <w:lang w:val="en-GB"/>
        </w:rPr>
        <w:t xml:space="preserve"> </w:t>
      </w:r>
    </w:p>
    <w:p w:rsidR="51120C5D" w:rsidP="4B9F494B" w:rsidRDefault="51120C5D" w14:paraId="44B1232F" w14:textId="40A2A93F">
      <w:pPr>
        <w:pStyle w:val="AssignBody"/>
      </w:pPr>
      <w:r w:rsidRPr="4B9F494B" w:rsidR="51120C5D">
        <w:rPr>
          <w:noProof w:val="0"/>
          <w:lang w:val="en-GB"/>
        </w:rPr>
        <w:t xml:space="preserve">I have been teaching in a placement secondary school in Wales, where I have </w:t>
      </w:r>
      <w:r w:rsidRPr="4B9F494B" w:rsidR="51120C5D">
        <w:rPr>
          <w:noProof w:val="0"/>
          <w:lang w:val="en-GB"/>
        </w:rPr>
        <w:t>witnessed</w:t>
      </w:r>
      <w:r w:rsidRPr="4B9F494B" w:rsidR="51120C5D">
        <w:rPr>
          <w:noProof w:val="0"/>
          <w:lang w:val="en-GB"/>
        </w:rPr>
        <w:t xml:space="preserve"> students from year 7 to year 9 struggle with understanding time and measurement, two of the most important uses of numeracy in day-to-day life. While referring to my experience in the placement school I will protect the rights of the institution and individuals involved by following guidelines per the British Educational Research Association [hereafter BERA] (2024). To </w:t>
      </w:r>
      <w:r w:rsidRPr="4B9F494B" w:rsidR="51120C5D">
        <w:rPr>
          <w:noProof w:val="0"/>
          <w:lang w:val="en-GB"/>
        </w:rPr>
        <w:t>maintain</w:t>
      </w:r>
      <w:r w:rsidRPr="4B9F494B" w:rsidR="51120C5D">
        <w:rPr>
          <w:noProof w:val="0"/>
          <w:lang w:val="en-GB"/>
        </w:rPr>
        <w:t xml:space="preserve"> anonymity, I will refer to the secondary school as "placement school" and will not refer to any individual directly. What follows is a focus on a specific strategic target of developing pupils' numeracy skills in measurement and time. A weakness in numeracy has been recognised in Wales in the annual report of 2021 to 2022 from the Education and Training Inspectorate for Wales (ESTYN). Numeracy is a vital gateway to further learning. This then lays a foundation for successful education, training, and employment, which is why the SDP has a focus on improving numeracy learning. The Curriculum for Wales aims to raise awareness of the importance of the application of numeracy skills which are vital for schools to meet the four purposes of the national curriculum (Curriculum for Wales, 2022)</w:t>
      </w:r>
      <w:r w:rsidRPr="4B9F494B" w:rsidR="51120C5D">
        <w:rPr>
          <w:noProof w:val="0"/>
          <w:lang w:val="en-GB"/>
        </w:rPr>
        <w:t xml:space="preserve">.  </w:t>
      </w:r>
      <w:r w:rsidRPr="4B9F494B" w:rsidR="51120C5D">
        <w:rPr>
          <w:noProof w:val="0"/>
          <w:lang w:val="en-GB"/>
        </w:rPr>
        <w:t>This paper is going to evaluate the rationale and implementation of the placement schools' strategic target for teaching numeracy in measurement and time as well as the impact that the plan has had. I will then present an evidence-based reflection on the strategy considering the school's aims in its SDP.</w:t>
      </w:r>
    </w:p>
    <w:p w:rsidR="51120C5D" w:rsidP="4B9F494B" w:rsidRDefault="51120C5D" w14:paraId="6601DD94" w14:textId="4B3D30E8">
      <w:pPr>
        <w:pStyle w:val="AssignBody"/>
      </w:pPr>
      <w:r w:rsidRPr="4B9F494B" w:rsidR="51120C5D">
        <w:rPr>
          <w:noProof w:val="0"/>
          <w:lang w:val="en-GB"/>
        </w:rPr>
        <w:t xml:space="preserve"> </w:t>
      </w:r>
    </w:p>
    <w:p w:rsidR="51120C5D" w:rsidP="4B9F494B" w:rsidRDefault="51120C5D" w14:paraId="6D483184" w14:textId="25E47942">
      <w:pPr>
        <w:pStyle w:val="AssignBody"/>
      </w:pPr>
      <w:r w:rsidRPr="4B9F494B" w:rsidR="51120C5D">
        <w:rPr>
          <w:noProof w:val="0"/>
          <w:lang w:val="en-GB"/>
        </w:rPr>
        <w:t xml:space="preserve">Let us now consider the background and rationale for the strategic target that the placement school has set. Reports from ESTYN show some consistency for the placement school </w:t>
      </w:r>
      <w:r w:rsidRPr="4B9F494B" w:rsidR="51120C5D">
        <w:rPr>
          <w:noProof w:val="0"/>
          <w:lang w:val="en-GB"/>
        </w:rPr>
        <w:t>regarding</w:t>
      </w:r>
      <w:r w:rsidRPr="4B9F494B" w:rsidR="51120C5D">
        <w:rPr>
          <w:noProof w:val="0"/>
          <w:lang w:val="en-GB"/>
        </w:rPr>
        <w:t xml:space="preserve"> numeracy. In their report in 2016, most pupils were identified as having strong number skills and in 2023 the report </w:t>
      </w:r>
      <w:r w:rsidRPr="4B9F494B" w:rsidR="51120C5D">
        <w:rPr>
          <w:noProof w:val="0"/>
          <w:lang w:val="en-GB"/>
        </w:rPr>
        <w:t>stated</w:t>
      </w:r>
      <w:r w:rsidRPr="4B9F494B" w:rsidR="51120C5D">
        <w:rPr>
          <w:noProof w:val="0"/>
          <w:lang w:val="en-GB"/>
        </w:rPr>
        <w:t xml:space="preserve"> that many of the pupils </w:t>
      </w:r>
      <w:r w:rsidRPr="4B9F494B" w:rsidR="51120C5D">
        <w:rPr>
          <w:noProof w:val="0"/>
          <w:lang w:val="en-GB"/>
        </w:rPr>
        <w:t>demonstrated</w:t>
      </w:r>
      <w:r w:rsidRPr="4B9F494B" w:rsidR="51120C5D">
        <w:rPr>
          <w:noProof w:val="0"/>
          <w:lang w:val="en-GB"/>
        </w:rPr>
        <w:t xml:space="preserve"> good numeracy skills. The 2024 attainment scores at my placement school for numeracy are higher than the national and local authority (LA) average, for the school overall and both male and female students</w:t>
      </w:r>
      <w:r w:rsidRPr="4B9F494B" w:rsidR="51120C5D">
        <w:rPr>
          <w:noProof w:val="0"/>
          <w:lang w:val="en-GB"/>
        </w:rPr>
        <w:t xml:space="preserve">.  </w:t>
      </w:r>
      <w:r w:rsidRPr="4B9F494B" w:rsidR="51120C5D">
        <w:rPr>
          <w:noProof w:val="0"/>
          <w:lang w:val="en-GB"/>
        </w:rPr>
        <w:t xml:space="preserve">Although the school has a high national numeracy attainment, they also use measures such as Cognitive Ability Tests (CATs) and teachers' professional judgments to </w:t>
      </w:r>
      <w:r w:rsidRPr="4B9F494B" w:rsidR="51120C5D">
        <w:rPr>
          <w:noProof w:val="0"/>
          <w:lang w:val="en-GB"/>
        </w:rPr>
        <w:t>determine</w:t>
      </w:r>
      <w:r w:rsidRPr="4B9F494B" w:rsidR="51120C5D">
        <w:rPr>
          <w:noProof w:val="0"/>
          <w:lang w:val="en-GB"/>
        </w:rPr>
        <w:t xml:space="preserve"> targets for the school and individual students. From these measures and the school's self-evaluation report, they </w:t>
      </w:r>
      <w:r w:rsidRPr="4B9F494B" w:rsidR="51120C5D">
        <w:rPr>
          <w:noProof w:val="0"/>
          <w:lang w:val="en-GB"/>
        </w:rPr>
        <w:t>identified</w:t>
      </w:r>
      <w:r w:rsidRPr="4B9F494B" w:rsidR="51120C5D">
        <w:rPr>
          <w:noProof w:val="0"/>
          <w:lang w:val="en-GB"/>
        </w:rPr>
        <w:t xml:space="preserve"> the need for a whole-school approach to using measuring skills as an area for development. The report also revealed a desire for numeracy training among staff. The guiding document for schools' strategic targets in Wales is the curriculum for Wales which sets out principles of what matters in areas of learning experience and a numeracy framework. The Education Endowment Foundation (EEF) puts forward developmental progressions in numeracy from their research which suggests students move from the simple numbers system to operations and then to geometry and spatial thinking. All these parts of mathematical learning are important to the target of measurement and time which serve as the ongoing evidence of student's numeracy. Daily examples of this are seen at school when students are expected to keep to the timing of their daily schedule, measure using their spatial awareness navigating the school, and use time and measurement together in things like cooking. </w:t>
      </w:r>
    </w:p>
    <w:p w:rsidR="51120C5D" w:rsidP="4B9F494B" w:rsidRDefault="51120C5D" w14:paraId="15204661" w14:textId="250D6F8F">
      <w:pPr>
        <w:pStyle w:val="AssignBody"/>
      </w:pPr>
      <w:r w:rsidRPr="4B9F494B" w:rsidR="51120C5D">
        <w:rPr>
          <w:noProof w:val="0"/>
          <w:lang w:val="en-GB"/>
        </w:rPr>
        <w:t xml:space="preserve"> </w:t>
      </w:r>
    </w:p>
    <w:p w:rsidR="51120C5D" w:rsidP="4B9F494B" w:rsidRDefault="51120C5D" w14:paraId="3321804C" w14:textId="6D7775EF">
      <w:pPr>
        <w:pStyle w:val="AssignBody"/>
      </w:pPr>
      <w:r w:rsidRPr="4B9F494B" w:rsidR="51120C5D">
        <w:rPr>
          <w:noProof w:val="0"/>
          <w:lang w:val="en-GB"/>
        </w:rPr>
        <w:t xml:space="preserve">Knowledgeable teachers must continue to teach numeracy skills related to time and measurement and their day-to-day application of them. Pupils gradually internalise information they learn from teachers before it becomes independent knowledge (Vygotsky, 1987). Receiving instruction is built upon by a learner's self-discovery in daily operations (Bruner, 1960). These learning techniques are then supported by scaffolding as per Bruner. The strategy of this placement school is to provide teachers with numeracy training they can teach pupils and scaffold training to support students' self-development of these numeracy skills. As mathematics and numeracy are such an important universal skill and language that </w:t>
      </w:r>
      <w:r w:rsidRPr="4B9F494B" w:rsidR="51120C5D">
        <w:rPr>
          <w:noProof w:val="0"/>
          <w:lang w:val="en-GB"/>
        </w:rPr>
        <w:t>impacts</w:t>
      </w:r>
      <w:r w:rsidRPr="4B9F494B" w:rsidR="51120C5D">
        <w:rPr>
          <w:noProof w:val="0"/>
          <w:lang w:val="en-GB"/>
        </w:rPr>
        <w:t xml:space="preserve"> daily living and future career prospects the strategic target is certainly an important one. Seeing the impact of numeracy skills in measurement and time applied across all AOLEs will surely encourage pupils to engage with this target. </w:t>
      </w:r>
    </w:p>
    <w:p w:rsidR="51120C5D" w:rsidP="4B9F494B" w:rsidRDefault="51120C5D" w14:paraId="1AEC78D4" w14:textId="7029829A">
      <w:pPr>
        <w:pStyle w:val="AssignBody"/>
      </w:pPr>
      <w:r w:rsidRPr="4B9F494B" w:rsidR="51120C5D">
        <w:rPr>
          <w:noProof w:val="0"/>
          <w:lang w:val="en-GB"/>
        </w:rPr>
        <w:t xml:space="preserve">The placement school has planned to provide staff with training to support the delivery of numeracy lessons, resources to support teaching, and tutorial videos for staff to guide teaching. Scheduled training time and twilight in-service training (INSET) days were set aside for teachers to develop their delivery of numeracy lessons. This training is designed to change the teacher's classroom practice. In the curriculum for Wales numeracy is a mandatory cross-curricular skill it is the responsibility of practitioners from all areas of learning experience (AOLEs) to ensure pupils progress in numeracy. For non-maths teachers to </w:t>
      </w:r>
      <w:r w:rsidRPr="4B9F494B" w:rsidR="51120C5D">
        <w:rPr>
          <w:noProof w:val="0"/>
          <w:lang w:val="en-GB"/>
        </w:rPr>
        <w:t>fulfill</w:t>
      </w:r>
      <w:r w:rsidRPr="4B9F494B" w:rsidR="51120C5D">
        <w:rPr>
          <w:noProof w:val="0"/>
          <w:lang w:val="en-GB"/>
        </w:rPr>
        <w:t xml:space="preserve"> this responsibility successfully high-quality professional development is going to be key. Following the training a Continuing Professional Development (CPD) skills library has been provided on the school website for future use. The CPD library is populated with PDF PowerPoints on teaching charts and diagrams using multimedia resources for professional learning and student engagement (Mayer et al, 2003). The teaching of time is intended to be supported by having analogue clocks visible at the front of every classroom. The use of analogue clocks supports students' insights into conventions of time measurement (Earnest, 2022). The visual cue of an analogue clock challenges students to put learning into day-to-day practice that will continue for the rest of their lives. Research in U.S. secondary schools suggests that children continue to have difficulty understanding how representations model time beyond primary/elementary school age (Earnest, 2015; Ellis et al., 2015) which highlights the need for ongoing instruction into secondary school years. The school intends to evaluate students' measuring skills and produce School on a Page reports (SOAPs)that will be able to reveal data at strategic points throughout the academic year showing teachers evidence of improvements.</w:t>
      </w:r>
    </w:p>
    <w:p w:rsidR="51120C5D" w:rsidP="4B9F494B" w:rsidRDefault="51120C5D" w14:paraId="1F959D49" w14:textId="4DF52D4B">
      <w:pPr>
        <w:pStyle w:val="AssignBody"/>
      </w:pPr>
      <w:r w:rsidRPr="4B9F494B" w:rsidR="51120C5D">
        <w:rPr>
          <w:noProof w:val="0"/>
          <w:lang w:val="en-GB"/>
        </w:rPr>
        <w:t>Teachers' attitudes and beliefs only change after they see evidence of improvements in student learning (</w:t>
      </w:r>
      <w:r w:rsidRPr="4B9F494B" w:rsidR="51120C5D">
        <w:rPr>
          <w:noProof w:val="0"/>
          <w:lang w:val="en-GB"/>
        </w:rPr>
        <w:t>Guskey</w:t>
      </w:r>
      <w:r w:rsidRPr="4B9F494B" w:rsidR="51120C5D">
        <w:rPr>
          <w:noProof w:val="0"/>
          <w:lang w:val="en-GB"/>
        </w:rPr>
        <w:t xml:space="preserve">, 2002). Teachers cannot get behind teaching strategies they have not seen work, particularly if they are convinced that their </w:t>
      </w:r>
      <w:r w:rsidRPr="4B9F494B" w:rsidR="51120C5D">
        <w:rPr>
          <w:noProof w:val="0"/>
          <w:lang w:val="en-GB"/>
        </w:rPr>
        <w:t>previous</w:t>
      </w:r>
      <w:r w:rsidRPr="4B9F494B" w:rsidR="51120C5D">
        <w:rPr>
          <w:noProof w:val="0"/>
          <w:lang w:val="en-GB"/>
        </w:rPr>
        <w:t xml:space="preserve"> methods are effective. I taught in the humanities AOLE and recognised the unique opportunity that the subjects in this area of learning have. Humanities teachers can teach concepts of time in </w:t>
      </w:r>
      <w:r w:rsidRPr="4B9F494B" w:rsidR="51120C5D">
        <w:rPr>
          <w:noProof w:val="0"/>
          <w:lang w:val="en-GB"/>
        </w:rPr>
        <w:t>a different way</w:t>
      </w:r>
      <w:r w:rsidRPr="4B9F494B" w:rsidR="51120C5D">
        <w:rPr>
          <w:noProof w:val="0"/>
          <w:lang w:val="en-GB"/>
        </w:rPr>
        <w:t xml:space="preserve"> to our mathematics counterparts as we teach subjects that are reliant on their contexts in time. I developed lessons that included designing and plotting timelines covering events that students would learn about in Religion Values and Ethics (RVE) or history. These timelines could plot out hours, days, years, or even greater concepts of time such as centuries which many students struggled to </w:t>
      </w:r>
      <w:r w:rsidRPr="4B9F494B" w:rsidR="51120C5D">
        <w:rPr>
          <w:noProof w:val="0"/>
          <w:lang w:val="en-GB"/>
        </w:rPr>
        <w:t>comprehend</w:t>
      </w:r>
      <w:r w:rsidRPr="4B9F494B" w:rsidR="51120C5D">
        <w:rPr>
          <w:noProof w:val="0"/>
          <w:lang w:val="en-GB"/>
        </w:rPr>
        <w:t xml:space="preserve">. Knowledge organiser worksheets were also helpful if they were designed chronologically. In geography, an analogue clock worksheet can </w:t>
      </w:r>
      <w:r w:rsidRPr="4B9F494B" w:rsidR="51120C5D">
        <w:rPr>
          <w:noProof w:val="0"/>
          <w:lang w:val="en-GB"/>
        </w:rPr>
        <w:t>determine</w:t>
      </w:r>
      <w:r w:rsidRPr="4B9F494B" w:rsidR="51120C5D">
        <w:rPr>
          <w:noProof w:val="0"/>
          <w:lang w:val="en-GB"/>
        </w:rPr>
        <w:t xml:space="preserve"> the timing of geographical processes and measurements in plotting data on graphs and timelines. If the schools' measures continue to be built upon, I </w:t>
      </w:r>
      <w:r w:rsidRPr="4B9F494B" w:rsidR="51120C5D">
        <w:rPr>
          <w:noProof w:val="0"/>
          <w:lang w:val="en-GB"/>
        </w:rPr>
        <w:t>have high hopes</w:t>
      </w:r>
      <w:r w:rsidRPr="4B9F494B" w:rsidR="51120C5D">
        <w:rPr>
          <w:noProof w:val="0"/>
          <w:lang w:val="en-GB"/>
        </w:rPr>
        <w:t xml:space="preserve"> they will see progress toward the strategic target. Having evaluated the intention of the school to implement these measures, I will now move on to assess the impact of the target.</w:t>
      </w:r>
    </w:p>
    <w:p w:rsidR="51120C5D" w:rsidP="4B9F494B" w:rsidRDefault="51120C5D" w14:paraId="366855BE" w14:textId="3B049047">
      <w:pPr>
        <w:pStyle w:val="AssignBody"/>
      </w:pPr>
      <w:r w:rsidRPr="4B9F494B" w:rsidR="51120C5D">
        <w:rPr>
          <w:noProof w:val="0"/>
          <w:lang w:val="en-GB"/>
        </w:rPr>
        <w:t xml:space="preserve"> </w:t>
      </w:r>
    </w:p>
    <w:p w:rsidR="51120C5D" w:rsidP="4B9F494B" w:rsidRDefault="51120C5D" w14:paraId="58E3AF62" w14:textId="17479FD3">
      <w:pPr>
        <w:pStyle w:val="AssignBody"/>
      </w:pPr>
      <w:r w:rsidRPr="4B9F494B" w:rsidR="51120C5D">
        <w:rPr>
          <w:noProof w:val="0"/>
          <w:lang w:val="en-GB"/>
        </w:rPr>
        <w:t xml:space="preserve">In planning lessons, </w:t>
      </w:r>
      <w:r w:rsidRPr="4B9F494B" w:rsidR="51120C5D">
        <w:rPr>
          <w:noProof w:val="0"/>
          <w:lang w:val="en-GB"/>
        </w:rPr>
        <w:t>it is clear that the</w:t>
      </w:r>
      <w:r w:rsidRPr="4B9F494B" w:rsidR="51120C5D">
        <w:rPr>
          <w:noProof w:val="0"/>
          <w:lang w:val="en-GB"/>
        </w:rPr>
        <w:t xml:space="preserve"> school-wide lesson plan template encourages space for numeracy to be considered in all lessons. The template also expects plans for scaffolding and differentiation to be included in lessons. The classroom environments are satisfactory for learning with large whiteboards and modern screens giving plenty of opportunity for aspects of time and measurement to be displayed. The facilities alongside clear direction from practitioners allow for students to be able to develop their skills in time and measurement. When teaching classes myself I made efforts to display and verbally deliver clear and concise directions for students to follow. The assessments for progress set for this strategic target are lesson observations, learning outcomes for pupils (pupil product), and assessing if there are improvements in numeracy national test scores. I will consider lesson observations as an assessment through the lens of a framework for teaching (Danielson, 2009). </w:t>
      </w:r>
    </w:p>
    <w:p w:rsidR="51120C5D" w:rsidP="4B9F494B" w:rsidRDefault="51120C5D" w14:paraId="54E97014" w14:textId="4B306A7C">
      <w:pPr>
        <w:pStyle w:val="AssignBody"/>
      </w:pPr>
      <w:r w:rsidRPr="4B9F494B" w:rsidR="51120C5D">
        <w:rPr>
          <w:noProof w:val="0"/>
          <w:lang w:val="en-GB"/>
        </w:rPr>
        <w:t xml:space="preserve"> </w:t>
      </w:r>
    </w:p>
    <w:p w:rsidR="51120C5D" w:rsidP="4B9F494B" w:rsidRDefault="51120C5D" w14:paraId="4C63808E" w14:textId="6EDA145C">
      <w:pPr>
        <w:pStyle w:val="AssignBody"/>
      </w:pPr>
      <w:r w:rsidRPr="4B9F494B" w:rsidR="51120C5D">
        <w:rPr>
          <w:noProof w:val="0"/>
          <w:lang w:val="en-GB"/>
        </w:rPr>
        <w:t xml:space="preserve">As lessons progressed, I introduced the concept of creating timelines alongside learning about historical events where students would consider the chronology of incidents, measure them out, and plot them. Units of measurement were ascribed to representations of time along the timeline utilising both numerical skills of the strategic target. The need for this kind of conceptualising of time was clear when students struggled to grasp the concept of centuries as we looked at it when discussing the history of a local church. Also, while on a trip to a museum, the students asked a historian questions about World War Two while he was talking to them about motte and bailey castles and a battle in the fourth century. Teaching is followed up by </w:t>
      </w:r>
      <w:r w:rsidRPr="4B9F494B" w:rsidR="51120C5D">
        <w:rPr>
          <w:noProof w:val="0"/>
          <w:lang w:val="en-GB"/>
        </w:rPr>
        <w:t>numerous</w:t>
      </w:r>
      <w:r w:rsidRPr="4B9F494B" w:rsidR="51120C5D">
        <w:rPr>
          <w:noProof w:val="0"/>
          <w:lang w:val="en-GB"/>
        </w:rPr>
        <w:t xml:space="preserve"> methods of assessment, peer assessment between teachers, teachers' assessment of students' work, and peer assessment among students. These assessments included considering the targets for cross-curricular subjects such as numeracy. The pupil product is assessed in marking workbooks to gauge the effectiveness of the teacher's pedagogy as well as the pupil's work. Teachers will continue to be the agents of ongoing change in teaching, working towards the strategic targets of the SDP (Priestley et al., 2013). </w:t>
      </w:r>
    </w:p>
    <w:p w:rsidR="51120C5D" w:rsidP="4B9F494B" w:rsidRDefault="51120C5D" w14:paraId="503F92D9" w14:textId="51AAE14D">
      <w:pPr>
        <w:pStyle w:val="AssignBody"/>
      </w:pPr>
      <w:r w:rsidRPr="4B9F494B" w:rsidR="51120C5D">
        <w:rPr>
          <w:noProof w:val="0"/>
          <w:lang w:val="en-GB"/>
        </w:rPr>
        <w:t xml:space="preserve"> </w:t>
      </w:r>
    </w:p>
    <w:p w:rsidR="51120C5D" w:rsidP="4B9F494B" w:rsidRDefault="51120C5D" w14:paraId="087B6CA8" w14:textId="4BA52DF5">
      <w:pPr>
        <w:pStyle w:val="AssignBody"/>
      </w:pPr>
      <w:r w:rsidRPr="4B9F494B" w:rsidR="51120C5D">
        <w:rPr>
          <w:noProof w:val="0"/>
          <w:lang w:val="en-GB"/>
        </w:rPr>
        <w:t xml:space="preserve">‌Analysing the strategies that have been employed, the school's detailed SDP </w:t>
      </w:r>
      <w:r w:rsidRPr="4B9F494B" w:rsidR="51120C5D">
        <w:rPr>
          <w:noProof w:val="0"/>
          <w:lang w:val="en-GB"/>
        </w:rPr>
        <w:t>seems to be</w:t>
      </w:r>
      <w:r w:rsidRPr="4B9F494B" w:rsidR="51120C5D">
        <w:rPr>
          <w:noProof w:val="0"/>
          <w:lang w:val="en-GB"/>
        </w:rPr>
        <w:t xml:space="preserve"> a comprehensive collection of </w:t>
      </w:r>
      <w:r w:rsidRPr="4B9F494B" w:rsidR="51120C5D">
        <w:rPr>
          <w:noProof w:val="0"/>
          <w:lang w:val="en-GB"/>
        </w:rPr>
        <w:t>objectives</w:t>
      </w:r>
      <w:r w:rsidRPr="4B9F494B" w:rsidR="51120C5D">
        <w:rPr>
          <w:noProof w:val="0"/>
          <w:lang w:val="en-GB"/>
        </w:rPr>
        <w:t xml:space="preserve"> and strategies to achieve them. The school has used the strands and elements related to measurement and time from the national numeracy framework to plan lessons and resources. Dedicated staff training to support teaching numeracy and cross-curricular skills is an effective follow-up to the SDP to give practitioners confidence in teaching numeracy. It can seem difficult to incorporate time and measurement into lessons if your subject is not intrinsically linked to these concepts. Staff training has gone some way to building teacher confidence and providing ideas and cross-departmental approaches to numeracy. Analysing pupil products and reporting improvements in skills in SOAPs throughout the year is an effective strategy to </w:t>
      </w:r>
      <w:r w:rsidRPr="4B9F494B" w:rsidR="51120C5D">
        <w:rPr>
          <w:noProof w:val="0"/>
          <w:lang w:val="en-GB"/>
        </w:rPr>
        <w:t>establish</w:t>
      </w:r>
      <w:r w:rsidRPr="4B9F494B" w:rsidR="51120C5D">
        <w:rPr>
          <w:noProof w:val="0"/>
          <w:lang w:val="en-GB"/>
        </w:rPr>
        <w:t xml:space="preserve"> long-term progress and to encourage teachers to continue in their new practices. </w:t>
      </w:r>
    </w:p>
    <w:p w:rsidR="51120C5D" w:rsidP="4B9F494B" w:rsidRDefault="51120C5D" w14:paraId="7B874748" w14:textId="61E7B2CE">
      <w:pPr>
        <w:pStyle w:val="AssignBody"/>
      </w:pPr>
      <w:r w:rsidRPr="4B9F494B" w:rsidR="51120C5D">
        <w:rPr>
          <w:noProof w:val="0"/>
          <w:lang w:val="en-GB"/>
        </w:rPr>
        <w:t xml:space="preserve"> </w:t>
      </w:r>
    </w:p>
    <w:p w:rsidR="51120C5D" w:rsidP="4B9F494B" w:rsidRDefault="51120C5D" w14:paraId="26778FF9" w14:textId="235E6EA1">
      <w:pPr>
        <w:pStyle w:val="AssignBody"/>
      </w:pPr>
      <w:r w:rsidRPr="4B9F494B" w:rsidR="51120C5D">
        <w:rPr>
          <w:noProof w:val="0"/>
          <w:lang w:val="en-GB"/>
        </w:rPr>
        <w:t xml:space="preserve">There have been several challenges and limitations to my study. One of the main challenges I have </w:t>
      </w:r>
      <w:r w:rsidRPr="4B9F494B" w:rsidR="51120C5D">
        <w:rPr>
          <w:noProof w:val="0"/>
          <w:lang w:val="en-GB"/>
        </w:rPr>
        <w:t>encountered</w:t>
      </w:r>
      <w:r w:rsidRPr="4B9F494B" w:rsidR="51120C5D">
        <w:rPr>
          <w:noProof w:val="0"/>
          <w:lang w:val="en-GB"/>
        </w:rPr>
        <w:t xml:space="preserve"> has been my limited time at the school. I was not able to </w:t>
      </w:r>
      <w:r w:rsidRPr="4B9F494B" w:rsidR="51120C5D">
        <w:rPr>
          <w:noProof w:val="0"/>
          <w:lang w:val="en-GB"/>
        </w:rPr>
        <w:t>witness</w:t>
      </w:r>
      <w:r w:rsidRPr="4B9F494B" w:rsidR="51120C5D">
        <w:rPr>
          <w:noProof w:val="0"/>
          <w:lang w:val="en-GB"/>
        </w:rPr>
        <w:t xml:space="preserve"> the changes that these measures may have produced over a longer period. There were also some strategies such as placing analogue clocks around the school that were not placed as proposed. At the time of my leaving the school, we were 5 months into the academic year. This measure would have been far more effective if the analogue clocks had been put in place from the start of the year. My limited time at the school would also prevent me from evaluating pupil product improvement over an extended time. Students were also yet to sit the numeracy national tests. This is why this paper has focussed primarily on planning and lesson observations. Teachers in the school also had a lack of time to implement measures. When I came to the placement school, </w:t>
      </w:r>
      <w:r w:rsidRPr="4B9F494B" w:rsidR="51120C5D">
        <w:rPr>
          <w:noProof w:val="0"/>
          <w:lang w:val="en-GB"/>
        </w:rPr>
        <w:t>I found that the staff</w:t>
      </w:r>
      <w:r w:rsidRPr="4B9F494B" w:rsidR="51120C5D">
        <w:rPr>
          <w:noProof w:val="0"/>
          <w:lang w:val="en-GB"/>
        </w:rPr>
        <w:t xml:space="preserve"> expected that I already knew the methods of teaching from the school training. I had not yet been directed to or informed about the CPD library until several weeks after staff members were already frustrated that I was using a different method of teaching. Teachers also struggled to keep up with using lesson plan templates. They </w:t>
      </w:r>
      <w:r w:rsidRPr="4B9F494B" w:rsidR="51120C5D">
        <w:rPr>
          <w:noProof w:val="0"/>
          <w:lang w:val="en-GB"/>
        </w:rPr>
        <w:t>only seemed to be</w:t>
      </w:r>
      <w:r w:rsidRPr="4B9F494B" w:rsidR="51120C5D">
        <w:rPr>
          <w:noProof w:val="0"/>
          <w:lang w:val="en-GB"/>
        </w:rPr>
        <w:t xml:space="preserve"> used when teachers were being </w:t>
      </w:r>
      <w:r w:rsidRPr="4B9F494B" w:rsidR="51120C5D">
        <w:rPr>
          <w:noProof w:val="0"/>
          <w:lang w:val="en-GB"/>
        </w:rPr>
        <w:t>observed</w:t>
      </w:r>
      <w:r w:rsidRPr="4B9F494B" w:rsidR="51120C5D">
        <w:rPr>
          <w:noProof w:val="0"/>
          <w:lang w:val="en-GB"/>
        </w:rPr>
        <w:t xml:space="preserve"> in times of inspection. Teachers now face expectations of hitting numeracy targets as well as satisfying other elements of the curriculum – such as literacy, digital competency, and Welsh language skills in Wales. While these targets are admirable, teacher fatigue will affect the long-term efficacy of the SDP. These problems can be mitigated by scheduling time for teachers to continue their training and ensuring that all staff members are up to date with the training.</w:t>
      </w:r>
    </w:p>
    <w:p w:rsidR="51120C5D" w:rsidP="4B9F494B" w:rsidRDefault="51120C5D" w14:paraId="77484D90" w14:textId="4D524C44">
      <w:pPr>
        <w:pStyle w:val="AssignBody"/>
      </w:pPr>
      <w:r w:rsidRPr="4B9F494B" w:rsidR="51120C5D">
        <w:rPr>
          <w:noProof w:val="0"/>
          <w:lang w:val="en-GB"/>
        </w:rPr>
        <w:t xml:space="preserve"> </w:t>
      </w:r>
    </w:p>
    <w:p w:rsidR="51120C5D" w:rsidP="4B9F494B" w:rsidRDefault="51120C5D" w14:paraId="6E557ED3" w14:textId="769C52F8">
      <w:pPr>
        <w:pStyle w:val="AssignBody"/>
      </w:pPr>
      <w:r w:rsidRPr="4B9F494B" w:rsidR="51120C5D">
        <w:rPr>
          <w:noProof w:val="0"/>
          <w:lang w:val="en-GB"/>
        </w:rPr>
        <w:t xml:space="preserve">To conclude I want to recap on my main findings when engaging with the strategic target to develop students' numeracy skills in measurement and time. I was impressed that despite the school's impressive performance on national test scores, the self-evaluative production of the SDP highlighted a numeracy-specific target for improvement. The SDP strategy to support staff training is a key element in successfully changing teaching methods and improving measurement and time numeracy. While the SDP and the </w:t>
      </w:r>
      <w:r w:rsidRPr="4B9F494B" w:rsidR="51120C5D">
        <w:rPr>
          <w:noProof w:val="0"/>
          <w:lang w:val="en-GB"/>
        </w:rPr>
        <w:t>initial</w:t>
      </w:r>
      <w:r w:rsidRPr="4B9F494B" w:rsidR="51120C5D">
        <w:rPr>
          <w:noProof w:val="0"/>
          <w:lang w:val="en-GB"/>
        </w:rPr>
        <w:t xml:space="preserve"> round of teacher training showed a dedicated approach to the cross-curricular targets, the ongoing dedication will remain to be seen in giving time for staff to continue their training and train others. In the application of the numeracy target into lessons, it has become </w:t>
      </w:r>
      <w:r w:rsidRPr="4B9F494B" w:rsidR="51120C5D">
        <w:rPr>
          <w:noProof w:val="0"/>
          <w:lang w:val="en-GB"/>
        </w:rPr>
        <w:t>evident</w:t>
      </w:r>
      <w:r w:rsidRPr="4B9F494B" w:rsidR="51120C5D">
        <w:rPr>
          <w:noProof w:val="0"/>
          <w:lang w:val="en-GB"/>
        </w:rPr>
        <w:t xml:space="preserve"> that pupils require a real-world context to best apply the knowledge they have received in the classroom (Priestley et al., 2013). </w:t>
      </w:r>
    </w:p>
    <w:p w:rsidR="51120C5D" w:rsidP="4B9F494B" w:rsidRDefault="51120C5D" w14:paraId="6A2D820D" w14:textId="6C6C2DD2">
      <w:pPr>
        <w:pStyle w:val="AssignBody"/>
      </w:pPr>
      <w:r w:rsidRPr="4B9F494B" w:rsidR="51120C5D">
        <w:rPr>
          <w:noProof w:val="0"/>
          <w:lang w:val="en-GB"/>
        </w:rPr>
        <w:t xml:space="preserve"> </w:t>
      </w:r>
    </w:p>
    <w:p w:rsidR="51120C5D" w:rsidP="4B9F494B" w:rsidRDefault="51120C5D" w14:paraId="34F50CC6" w14:textId="101A71AF">
      <w:pPr>
        <w:pStyle w:val="AssignBody"/>
      </w:pPr>
      <w:r w:rsidRPr="4B9F494B" w:rsidR="51120C5D">
        <w:rPr>
          <w:noProof w:val="0"/>
          <w:lang w:val="en-GB"/>
        </w:rPr>
        <w:t>I'm</w:t>
      </w:r>
      <w:r w:rsidRPr="4B9F494B" w:rsidR="51120C5D">
        <w:rPr>
          <w:noProof w:val="0"/>
          <w:lang w:val="en-GB"/>
        </w:rPr>
        <w:t xml:space="preserve"> going to consider the success of the strategic plan in three stages. The first stage is in the planning, which is seen in the SDP which sets out adequate success criteria, resources, and methods of assessment. The second stage is the short-term effects for which I would say the strategy has had a mixed success. On the one hand, the teachers have undergone promising </w:t>
      </w:r>
      <w:r w:rsidRPr="4B9F494B" w:rsidR="51120C5D">
        <w:rPr>
          <w:noProof w:val="0"/>
          <w:lang w:val="en-GB"/>
        </w:rPr>
        <w:t>initial</w:t>
      </w:r>
      <w:r w:rsidRPr="4B9F494B" w:rsidR="51120C5D">
        <w:rPr>
          <w:noProof w:val="0"/>
          <w:lang w:val="en-GB"/>
        </w:rPr>
        <w:t xml:space="preserve"> training, and information has been added to the CPD library. On the other hand, there </w:t>
      </w:r>
      <w:r w:rsidRPr="4B9F494B" w:rsidR="51120C5D">
        <w:rPr>
          <w:noProof w:val="0"/>
          <w:lang w:val="en-GB"/>
        </w:rPr>
        <w:t>wasn't</w:t>
      </w:r>
      <w:r w:rsidRPr="4B9F494B" w:rsidR="51120C5D">
        <w:rPr>
          <w:noProof w:val="0"/>
          <w:lang w:val="en-GB"/>
        </w:rPr>
        <w:t xml:space="preserve"> evidence that training is ongoing for teachers the resources in the CPD library are limited and the numeracy section does not have adequate resources for the strategic target I am evaluating. Some inclusions of cross-curricular skills have started to be included in classes. The final stage is the long-term effect of this strategy which I can only say is yet to be </w:t>
      </w:r>
      <w:r w:rsidRPr="4B9F494B" w:rsidR="51120C5D">
        <w:rPr>
          <w:noProof w:val="0"/>
          <w:lang w:val="en-GB"/>
        </w:rPr>
        <w:t>determined</w:t>
      </w:r>
      <w:r w:rsidRPr="4B9F494B" w:rsidR="51120C5D">
        <w:rPr>
          <w:noProof w:val="0"/>
          <w:lang w:val="en-GB"/>
        </w:rPr>
        <w:t>. There are still four months left on the timescale that the school has set for its target. The lack of follow-through up to this point with some provisions is concerning but as the timescale is ongoing, I cannot conclude if the long-term effect is a success.</w:t>
      </w:r>
    </w:p>
    <w:p w:rsidR="51120C5D" w:rsidP="4B9F494B" w:rsidRDefault="51120C5D" w14:paraId="10D67046" w14:textId="7091387F">
      <w:pPr>
        <w:pStyle w:val="AssignBody"/>
      </w:pPr>
      <w:r w:rsidRPr="4B9F494B" w:rsidR="51120C5D">
        <w:rPr>
          <w:noProof w:val="0"/>
          <w:lang w:val="en-GB"/>
        </w:rPr>
        <w:t xml:space="preserve"> </w:t>
      </w:r>
    </w:p>
    <w:p w:rsidR="51120C5D" w:rsidP="4B9F494B" w:rsidRDefault="51120C5D" w14:paraId="011587A0" w14:textId="1DEBD28A">
      <w:pPr>
        <w:pStyle w:val="AssignBody"/>
      </w:pPr>
      <w:r w:rsidRPr="4B9F494B" w:rsidR="51120C5D">
        <w:rPr>
          <w:noProof w:val="0"/>
          <w:lang w:val="en-GB"/>
        </w:rPr>
        <w:t xml:space="preserve">All subjects across the school can </w:t>
      </w:r>
      <w:r w:rsidRPr="4B9F494B" w:rsidR="51120C5D">
        <w:rPr>
          <w:noProof w:val="0"/>
          <w:lang w:val="en-GB"/>
        </w:rPr>
        <w:t>benefit</w:t>
      </w:r>
      <w:r w:rsidRPr="4B9F494B" w:rsidR="51120C5D">
        <w:rPr>
          <w:noProof w:val="0"/>
          <w:lang w:val="en-GB"/>
        </w:rPr>
        <w:t xml:space="preserve"> from students engaging in measuring, time-keeping, and numerical problem-solving. The skills gained from this strategic target are also invaluable throughout a person's lifetime and so the success of this strategic target can have implications on the rest of a young person's life. This strategic target is one of such importance, schools cannot afford to fail in it or abandon it, it is one that schools must make a priority. This placement school has made it a priority in its planning and must continue to support its implementation.</w:t>
      </w:r>
    </w:p>
    <w:p w:rsidR="51120C5D" w:rsidP="4B9F494B" w:rsidRDefault="51120C5D" w14:paraId="7AC94413" w14:textId="3002E574">
      <w:pPr>
        <w:pStyle w:val="AssignBody"/>
      </w:pPr>
      <w:r w:rsidRPr="4B9F494B" w:rsidR="51120C5D">
        <w:rPr>
          <w:noProof w:val="0"/>
          <w:lang w:val="en-GB"/>
        </w:rPr>
        <w:t xml:space="preserve"> </w:t>
      </w:r>
    </w:p>
    <w:p w:rsidR="51120C5D" w:rsidP="4B9F494B" w:rsidRDefault="51120C5D" w14:paraId="2CAFFB05" w14:textId="3C7A5F51">
      <w:pPr>
        <w:pStyle w:val="AssignBody"/>
      </w:pPr>
      <w:r w:rsidRPr="4B9F494B" w:rsidR="51120C5D">
        <w:rPr>
          <w:noProof w:val="0"/>
          <w:lang w:val="en-GB"/>
        </w:rPr>
        <w:t xml:space="preserve"> </w:t>
      </w:r>
    </w:p>
    <w:p w:rsidR="51120C5D" w:rsidP="4B9F494B" w:rsidRDefault="51120C5D" w14:paraId="7EAF330F" w14:textId="3E313CCC">
      <w:pPr>
        <w:pStyle w:val="AssignBody"/>
      </w:pPr>
      <w:r w:rsidRPr="4B9F494B" w:rsidR="51120C5D">
        <w:rPr>
          <w:noProof w:val="0"/>
          <w:lang w:val="en-GB"/>
        </w:rPr>
        <w:t xml:space="preserve"> </w:t>
      </w:r>
    </w:p>
    <w:p w:rsidR="51120C5D" w:rsidP="4B9F494B" w:rsidRDefault="51120C5D" w14:paraId="2D0974FC" w14:textId="0077474B">
      <w:pPr>
        <w:pStyle w:val="AssignBody"/>
      </w:pPr>
      <w:r w:rsidRPr="4B9F494B" w:rsidR="51120C5D">
        <w:rPr>
          <w:noProof w:val="0"/>
          <w:lang w:val="en-GB"/>
        </w:rPr>
        <w:t>Reference list:</w:t>
      </w:r>
    </w:p>
    <w:p w:rsidR="51120C5D" w:rsidP="4B9F494B" w:rsidRDefault="51120C5D" w14:paraId="5A5905A3" w14:textId="7FE90CE2">
      <w:pPr>
        <w:pStyle w:val="AssignBody"/>
      </w:pPr>
      <w:r w:rsidRPr="0FCF8BC3" w:rsidR="51120C5D">
        <w:rPr>
          <w:noProof w:val="0"/>
          <w:lang w:val="en-GB"/>
        </w:rPr>
        <w:t xml:space="preserve"> </w:t>
      </w:r>
    </w:p>
    <w:p w:rsidR="60278DAF" w:rsidP="0FCF8BC3" w:rsidRDefault="60278DAF" w14:paraId="75E00238" w14:textId="7FA22D36">
      <w:pPr>
        <w:pStyle w:val="AssignBody"/>
      </w:pPr>
      <w:r w:rsidRPr="0FCF8BC3" w:rsidR="60278DAF">
        <w:rPr>
          <w:noProof w:val="0"/>
          <w:lang w:val="en-GB"/>
        </w:rPr>
        <w:t xml:space="preserve">Biesta, G. and Priestley, M. (Mark R.) (eds) (2013) Reinventing the </w:t>
      </w:r>
      <w:r w:rsidRPr="0FCF8BC3" w:rsidR="60278DAF">
        <w:rPr>
          <w:noProof w:val="0"/>
          <w:lang w:val="en-GB"/>
        </w:rPr>
        <w:t>curriculum :</w:t>
      </w:r>
      <w:r w:rsidRPr="0FCF8BC3" w:rsidR="60278DAF">
        <w:rPr>
          <w:noProof w:val="0"/>
          <w:lang w:val="en-GB"/>
        </w:rPr>
        <w:t xml:space="preserve"> </w:t>
      </w:r>
      <w:r w:rsidRPr="0FCF8BC3" w:rsidR="60278DAF">
        <w:rPr>
          <w:noProof w:val="0"/>
          <w:lang w:val="en-GB"/>
        </w:rPr>
        <w:t>new trends</w:t>
      </w:r>
      <w:r w:rsidRPr="0FCF8BC3" w:rsidR="60278DAF">
        <w:rPr>
          <w:noProof w:val="0"/>
          <w:lang w:val="en-GB"/>
        </w:rPr>
        <w:t xml:space="preserve"> in curriculum policy and practice. London: Bloomsbury Pub. Available at: </w:t>
      </w:r>
      <w:hyperlink r:id="R509d529944a6400a">
        <w:r w:rsidRPr="0FCF8BC3" w:rsidR="60278DAF">
          <w:rPr>
            <w:rStyle w:val="Hyperlink"/>
            <w:noProof w:val="0"/>
            <w:lang w:val="en-GB"/>
          </w:rPr>
          <w:t>https://doi.org/10.5040/9781472553195</w:t>
        </w:r>
      </w:hyperlink>
      <w:r w:rsidRPr="0FCF8BC3" w:rsidR="60278DAF">
        <w:rPr>
          <w:noProof w:val="0"/>
          <w:lang w:val="en-GB"/>
        </w:rPr>
        <w:t>.</w:t>
      </w:r>
    </w:p>
    <w:p w:rsidR="0FCF8BC3" w:rsidP="0FCF8BC3" w:rsidRDefault="0FCF8BC3" w14:paraId="2A4C86DA" w14:textId="2EDCF52F">
      <w:pPr>
        <w:pStyle w:val="AssignBody"/>
        <w:rPr>
          <w:noProof w:val="0"/>
          <w:lang w:val="en-GB"/>
        </w:rPr>
      </w:pPr>
    </w:p>
    <w:p w:rsidR="51120C5D" w:rsidP="4B9F494B" w:rsidRDefault="51120C5D" w14:paraId="0C13948D" w14:textId="07F3673E">
      <w:pPr>
        <w:pStyle w:val="AssignBody"/>
      </w:pPr>
      <w:r w:rsidRPr="0FCF8BC3" w:rsidR="51120C5D">
        <w:rPr>
          <w:noProof w:val="0"/>
          <w:lang w:val="en-GB"/>
        </w:rPr>
        <w:t xml:space="preserve">British Educational Research Association (2024). Ethical Guidelines for Educational Research, Fifth Edition (2024). [online] </w:t>
      </w:r>
      <w:r w:rsidRPr="0FCF8BC3" w:rsidR="51120C5D">
        <w:rPr>
          <w:noProof w:val="0"/>
          <w:lang w:val="en-GB"/>
        </w:rPr>
        <w:t>www.bera.ac.uk</w:t>
      </w:r>
      <w:r w:rsidRPr="0FCF8BC3" w:rsidR="51120C5D">
        <w:rPr>
          <w:noProof w:val="0"/>
          <w:lang w:val="en-GB"/>
        </w:rPr>
        <w:t>. Available at:</w:t>
      </w:r>
      <w:r w:rsidRPr="0FCF8BC3" w:rsidR="65B7C1B8">
        <w:rPr>
          <w:noProof w:val="0"/>
          <w:lang w:val="en-GB"/>
        </w:rPr>
        <w:t xml:space="preserve"> </w:t>
      </w:r>
      <w:hyperlink r:id="R95a38f733acf4b90">
        <w:r w:rsidRPr="0FCF8BC3" w:rsidR="51120C5D">
          <w:rPr>
            <w:rStyle w:val="Hyperlink"/>
            <w:noProof w:val="0"/>
            <w:lang w:val="en-GB"/>
          </w:rPr>
          <w:t>https://www.bera.ac.uk/publication/ethical-guidelines-for-educational-research-fifth-edition-2024</w:t>
        </w:r>
      </w:hyperlink>
      <w:r w:rsidRPr="0FCF8BC3" w:rsidR="51120C5D">
        <w:rPr>
          <w:noProof w:val="0"/>
          <w:lang w:val="en-GB"/>
        </w:rPr>
        <w:t>.</w:t>
      </w:r>
    </w:p>
    <w:p w:rsidR="51120C5D" w:rsidP="0FCF8BC3" w:rsidRDefault="51120C5D" w14:paraId="4D760A91" w14:textId="01D54480">
      <w:pPr>
        <w:pStyle w:val="AssignBody"/>
        <w:rPr>
          <w:noProof w:val="0"/>
          <w:lang w:val="en-GB"/>
        </w:rPr>
      </w:pPr>
    </w:p>
    <w:p w:rsidR="51120C5D" w:rsidP="4B9F494B" w:rsidRDefault="51120C5D" w14:paraId="1A2CED46" w14:textId="57AE64DB">
      <w:pPr>
        <w:pStyle w:val="AssignBody"/>
      </w:pPr>
      <w:r w:rsidRPr="0FCF8BC3" w:rsidR="35EE3EDC">
        <w:rPr>
          <w:noProof w:val="0"/>
          <w:lang w:val="en-GB"/>
        </w:rPr>
        <w:t>Bruner, J.S. (1960). The Process of Education. Cambridge: Harvard University Press.</w:t>
      </w:r>
    </w:p>
    <w:p w:rsidR="51120C5D" w:rsidP="0FCF8BC3" w:rsidRDefault="51120C5D" w14:paraId="470D76A4" w14:textId="079C52B5">
      <w:pPr>
        <w:pStyle w:val="AssignBody"/>
        <w:rPr>
          <w:noProof w:val="0"/>
          <w:lang w:val="en-GB"/>
        </w:rPr>
      </w:pPr>
    </w:p>
    <w:p w:rsidR="51120C5D" w:rsidP="4B9F494B" w:rsidRDefault="51120C5D" w14:paraId="73A3C213" w14:textId="64472CB0">
      <w:pPr>
        <w:pStyle w:val="AssignBody"/>
      </w:pPr>
      <w:r w:rsidRPr="0FCF8BC3" w:rsidR="0CEC52CB">
        <w:rPr>
          <w:noProof w:val="0"/>
          <w:lang w:val="en-GB"/>
        </w:rPr>
        <w:t xml:space="preserve">Danielson, C., Axtell, D. and Al, E. (2009). Implementing the framework for teaching in enhancing professional practice. Alexandria, Va: </w:t>
      </w:r>
      <w:r w:rsidRPr="0FCF8BC3" w:rsidR="0CEC52CB">
        <w:rPr>
          <w:noProof w:val="0"/>
          <w:lang w:val="en-GB"/>
        </w:rPr>
        <w:t>Ascd</w:t>
      </w:r>
      <w:r w:rsidRPr="0FCF8BC3" w:rsidR="0CEC52CB">
        <w:rPr>
          <w:noProof w:val="0"/>
          <w:lang w:val="en-GB"/>
        </w:rPr>
        <w:t>, Cop.</w:t>
      </w:r>
    </w:p>
    <w:p w:rsidR="51120C5D" w:rsidP="0FCF8BC3" w:rsidRDefault="51120C5D" w14:paraId="0F74BA17" w14:textId="329A386D">
      <w:pPr>
        <w:pStyle w:val="AssignBody"/>
        <w:rPr>
          <w:noProof w:val="0"/>
          <w:lang w:val="en-GB"/>
        </w:rPr>
      </w:pPr>
    </w:p>
    <w:p w:rsidR="51120C5D" w:rsidP="4B9F494B" w:rsidRDefault="51120C5D" w14:paraId="3BF1AF1B" w14:textId="0C2E8DE3">
      <w:pPr>
        <w:pStyle w:val="AssignBody"/>
      </w:pPr>
      <w:r w:rsidRPr="0FCF8BC3" w:rsidR="6027CFC7">
        <w:rPr>
          <w:noProof w:val="0"/>
          <w:lang w:val="en-GB"/>
        </w:rPr>
        <w:t xml:space="preserve">Earnest, D. (2022) 'About time: Syntactically-guided reasoning with </w:t>
      </w:r>
      <w:r w:rsidRPr="0FCF8BC3" w:rsidR="6027CFC7">
        <w:rPr>
          <w:noProof w:val="0"/>
          <w:lang w:val="en-GB"/>
        </w:rPr>
        <w:t>analog</w:t>
      </w:r>
      <w:r w:rsidRPr="0FCF8BC3" w:rsidR="6027CFC7">
        <w:rPr>
          <w:noProof w:val="0"/>
          <w:lang w:val="en-GB"/>
        </w:rPr>
        <w:t xml:space="preserve"> and digital clocks', Mathematical thinking and learning, 24(1), pp. 70–89. Available at: </w:t>
      </w:r>
      <w:hyperlink r:id="R0737d3cf300146b7">
        <w:r w:rsidRPr="0FCF8BC3" w:rsidR="6027CFC7">
          <w:rPr>
            <w:rStyle w:val="Hyperlink"/>
            <w:noProof w:val="0"/>
            <w:lang w:val="en-GB"/>
          </w:rPr>
          <w:t>https://doi.org/10.1080/10986065.2021.1881703</w:t>
        </w:r>
      </w:hyperlink>
      <w:r w:rsidRPr="0FCF8BC3" w:rsidR="6027CFC7">
        <w:rPr>
          <w:noProof w:val="0"/>
          <w:lang w:val="en-GB"/>
        </w:rPr>
        <w:t>.</w:t>
      </w:r>
    </w:p>
    <w:p w:rsidR="51120C5D" w:rsidP="0FCF8BC3" w:rsidRDefault="51120C5D" w14:paraId="0A6D5588" w14:textId="59CFA23C">
      <w:pPr>
        <w:pStyle w:val="AssignBody"/>
        <w:rPr>
          <w:noProof w:val="0"/>
          <w:lang w:val="en-GB"/>
        </w:rPr>
      </w:pPr>
    </w:p>
    <w:p w:rsidR="51120C5D" w:rsidP="4B9F494B" w:rsidRDefault="51120C5D" w14:paraId="64EB8BBC" w14:textId="1EB24DE3">
      <w:pPr>
        <w:pStyle w:val="AssignBody"/>
      </w:pPr>
      <w:r w:rsidRPr="0FCF8BC3" w:rsidR="024A1388">
        <w:rPr>
          <w:noProof w:val="0"/>
          <w:lang w:val="en-GB"/>
        </w:rPr>
        <w:t xml:space="preserve">Estyn. (2024). Latest inspection reports - Estyn. [online] Available at: </w:t>
      </w:r>
      <w:hyperlink r:id="R99053dac564941c6">
        <w:r w:rsidRPr="0FCF8BC3" w:rsidR="024A1388">
          <w:rPr>
            <w:rStyle w:val="Hyperlink"/>
            <w:noProof w:val="0"/>
            <w:lang w:val="en-GB"/>
          </w:rPr>
          <w:t>https://estyn.gov.wales/latest-inspection-reports/</w:t>
        </w:r>
      </w:hyperlink>
      <w:r w:rsidRPr="0FCF8BC3" w:rsidR="024A1388">
        <w:rPr>
          <w:noProof w:val="0"/>
          <w:lang w:val="en-GB"/>
        </w:rPr>
        <w:t>.</w:t>
      </w:r>
    </w:p>
    <w:p w:rsidR="51120C5D" w:rsidP="0FCF8BC3" w:rsidRDefault="51120C5D" w14:paraId="746F9B07" w14:textId="7406068F">
      <w:pPr>
        <w:pStyle w:val="AssignBody"/>
        <w:rPr>
          <w:noProof w:val="0"/>
          <w:lang w:val="en-GB"/>
        </w:rPr>
      </w:pPr>
    </w:p>
    <w:p w:rsidR="51120C5D" w:rsidP="4B9F494B" w:rsidRDefault="51120C5D" w14:paraId="4E2A22A7" w14:textId="7E0C7541">
      <w:pPr>
        <w:pStyle w:val="AssignBody"/>
      </w:pPr>
      <w:r w:rsidRPr="0FCF8BC3" w:rsidR="653C0294">
        <w:rPr>
          <w:noProof w:val="0"/>
          <w:lang w:val="en-GB"/>
        </w:rPr>
        <w:t xml:space="preserve">Education Endowment Foundation (2014). How children learn maths. [online] EEF. Available at: </w:t>
      </w:r>
      <w:hyperlink r:id="Rfdf6c3f68bf7445d">
        <w:r w:rsidRPr="0FCF8BC3" w:rsidR="653C0294">
          <w:rPr>
            <w:rStyle w:val="Hyperlink"/>
            <w:noProof w:val="0"/>
            <w:lang w:val="en-GB"/>
          </w:rPr>
          <w:t>https://educationendowmentfoundation.org.uk/early-years/maths/effective-pedagogy-mathematics</w:t>
        </w:r>
      </w:hyperlink>
      <w:r w:rsidRPr="0FCF8BC3" w:rsidR="653C0294">
        <w:rPr>
          <w:noProof w:val="0"/>
          <w:lang w:val="en-GB"/>
        </w:rPr>
        <w:t>.</w:t>
      </w:r>
    </w:p>
    <w:p w:rsidR="51120C5D" w:rsidP="0FCF8BC3" w:rsidRDefault="51120C5D" w14:paraId="1CA24F26" w14:textId="70105738">
      <w:pPr>
        <w:pStyle w:val="AssignBody"/>
        <w:rPr>
          <w:noProof w:val="0"/>
          <w:lang w:val="en-GB"/>
        </w:rPr>
      </w:pPr>
    </w:p>
    <w:p w:rsidR="51120C5D" w:rsidP="4B9F494B" w:rsidRDefault="51120C5D" w14:paraId="5C28F442" w14:textId="183153E4">
      <w:pPr>
        <w:pStyle w:val="AssignBody"/>
      </w:pPr>
      <w:r w:rsidRPr="0FCF8BC3" w:rsidR="100EB7CF">
        <w:rPr>
          <w:noProof w:val="0"/>
          <w:lang w:val="en-GB"/>
        </w:rPr>
        <w:t>Ellis, A.B., Özgür, Z., Kulow, T., Williams, C.C. and Amidon, J. (2015). Quantifying exponential growth: Three conceptual shifts in coordinating multiplicative and additive growth. The Journal of Mathematical Behavior, 39, pp.135–155. doi:https://doi.org/10.1016/j.jmathb.2015.06.004.</w:t>
      </w:r>
    </w:p>
    <w:p w:rsidR="51120C5D" w:rsidP="0FCF8BC3" w:rsidRDefault="51120C5D" w14:paraId="3C599F55" w14:textId="57371C7D">
      <w:pPr>
        <w:pStyle w:val="AssignBody"/>
        <w:rPr>
          <w:noProof w:val="0"/>
          <w:lang w:val="en-GB"/>
        </w:rPr>
      </w:pPr>
    </w:p>
    <w:p w:rsidR="51120C5D" w:rsidP="4B9F494B" w:rsidRDefault="51120C5D" w14:paraId="153E3428" w14:textId="7168F5B0">
      <w:pPr>
        <w:pStyle w:val="AssignBody"/>
      </w:pPr>
      <w:r w:rsidRPr="0FCF8BC3" w:rsidR="22A66357">
        <w:rPr>
          <w:noProof w:val="0"/>
          <w:lang w:val="en-GB"/>
        </w:rPr>
        <w:t xml:space="preserve">GOV.WALES. (n.d.). School improvement guidance: impact assessment [HTML]. [online] Available at: </w:t>
      </w:r>
      <w:hyperlink r:id="R36b91921a2ee48c4">
        <w:r w:rsidRPr="0FCF8BC3" w:rsidR="22A66357">
          <w:rPr>
            <w:rStyle w:val="Hyperlink"/>
            <w:noProof w:val="0"/>
            <w:lang w:val="en-GB"/>
          </w:rPr>
          <w:t>https://www.gov.wales/school-improvement-guidance-impact-assessment-html</w:t>
        </w:r>
      </w:hyperlink>
      <w:r w:rsidRPr="0FCF8BC3" w:rsidR="22A66357">
        <w:rPr>
          <w:noProof w:val="0"/>
          <w:lang w:val="en-GB"/>
        </w:rPr>
        <w:t>.</w:t>
      </w:r>
    </w:p>
    <w:p w:rsidR="51120C5D" w:rsidP="0FCF8BC3" w:rsidRDefault="51120C5D" w14:paraId="08590053" w14:textId="4725394D">
      <w:pPr>
        <w:pStyle w:val="AssignBody"/>
        <w:rPr>
          <w:noProof w:val="0"/>
          <w:lang w:val="en-GB"/>
        </w:rPr>
      </w:pPr>
    </w:p>
    <w:p w:rsidR="51120C5D" w:rsidP="4B9F494B" w:rsidRDefault="51120C5D" w14:paraId="13D9E6BD" w14:textId="3DC01D75">
      <w:pPr>
        <w:pStyle w:val="AssignBody"/>
      </w:pPr>
      <w:r w:rsidRPr="0FCF8BC3" w:rsidR="17886409">
        <w:rPr>
          <w:noProof w:val="0"/>
          <w:lang w:val="en-GB"/>
        </w:rPr>
        <w:t xml:space="preserve">GOV.WALES. (n.d.). My local school. [online] Available at: </w:t>
      </w:r>
      <w:hyperlink r:id="R1fe67da7fcbc4eed">
        <w:r w:rsidRPr="0FCF8BC3" w:rsidR="17886409">
          <w:rPr>
            <w:rStyle w:val="Hyperlink"/>
            <w:noProof w:val="0"/>
            <w:lang w:val="en-GB"/>
          </w:rPr>
          <w:t>https://www.gov.wales/my-local-school-guide</w:t>
        </w:r>
      </w:hyperlink>
      <w:r w:rsidRPr="0FCF8BC3" w:rsidR="17886409">
        <w:rPr>
          <w:noProof w:val="0"/>
          <w:lang w:val="en-GB"/>
        </w:rPr>
        <w:t>.</w:t>
      </w:r>
    </w:p>
    <w:p w:rsidR="51120C5D" w:rsidP="0FCF8BC3" w:rsidRDefault="51120C5D" w14:paraId="502AF52F" w14:textId="3E1903A2">
      <w:pPr>
        <w:pStyle w:val="AssignBody"/>
        <w:rPr>
          <w:noProof w:val="0"/>
          <w:lang w:val="en-GB"/>
        </w:rPr>
      </w:pPr>
    </w:p>
    <w:p w:rsidR="51120C5D" w:rsidP="4B9F494B" w:rsidRDefault="51120C5D" w14:paraId="062697B5" w14:textId="3E523539">
      <w:pPr>
        <w:pStyle w:val="AssignBody"/>
      </w:pPr>
      <w:r w:rsidRPr="0FCF8BC3" w:rsidR="3A92B154">
        <w:rPr>
          <w:noProof w:val="0"/>
          <w:lang w:val="en-GB"/>
        </w:rPr>
        <w:t>Guskey</w:t>
      </w:r>
      <w:r w:rsidRPr="0FCF8BC3" w:rsidR="3A92B154">
        <w:rPr>
          <w:noProof w:val="0"/>
          <w:lang w:val="en-GB"/>
        </w:rPr>
        <w:t xml:space="preserve">, T.R. (2002) 'Professional Development and Teacher Change', Teachers and teaching, </w:t>
      </w:r>
      <w:r w:rsidRPr="0FCF8BC3" w:rsidR="3A92B154">
        <w:rPr>
          <w:noProof w:val="0"/>
          <w:lang w:val="en-GB"/>
        </w:rPr>
        <w:t>theory</w:t>
      </w:r>
      <w:r w:rsidRPr="0FCF8BC3" w:rsidR="3A92B154">
        <w:rPr>
          <w:noProof w:val="0"/>
          <w:lang w:val="en-GB"/>
        </w:rPr>
        <w:t xml:space="preserve"> and practice, 8(3), pp. 381–391. Available at: </w:t>
      </w:r>
      <w:hyperlink r:id="R45ae4b077c4343f8">
        <w:r w:rsidRPr="0FCF8BC3" w:rsidR="3A92B154">
          <w:rPr>
            <w:rStyle w:val="Hyperlink"/>
            <w:noProof w:val="0"/>
            <w:lang w:val="en-GB"/>
          </w:rPr>
          <w:t>https://doi.org/10.1080/135406002100000512</w:t>
        </w:r>
      </w:hyperlink>
      <w:r w:rsidRPr="0FCF8BC3" w:rsidR="3A92B154">
        <w:rPr>
          <w:noProof w:val="0"/>
          <w:lang w:val="en-GB"/>
        </w:rPr>
        <w:t>.</w:t>
      </w:r>
    </w:p>
    <w:p w:rsidR="51120C5D" w:rsidP="0FCF8BC3" w:rsidRDefault="51120C5D" w14:paraId="324C6B5C" w14:textId="17F020CE">
      <w:pPr>
        <w:pStyle w:val="AssignBody"/>
        <w:rPr>
          <w:noProof w:val="0"/>
          <w:lang w:val="en-GB"/>
        </w:rPr>
      </w:pPr>
    </w:p>
    <w:p w:rsidR="51120C5D" w:rsidP="4B9F494B" w:rsidRDefault="51120C5D" w14:paraId="0C4B38A0" w14:textId="36B9E643">
      <w:pPr>
        <w:pStyle w:val="AssignBody"/>
      </w:pPr>
      <w:r w:rsidRPr="0FCF8BC3" w:rsidR="51120C5D">
        <w:rPr>
          <w:noProof w:val="0"/>
          <w:lang w:val="en-GB"/>
        </w:rPr>
        <w:t xml:space="preserve">HMCI Annual Report. (2021). Available at: </w:t>
      </w:r>
      <w:hyperlink r:id="Rfbaece99454c4dcf">
        <w:r w:rsidRPr="0FCF8BC3" w:rsidR="51120C5D">
          <w:rPr>
            <w:rStyle w:val="Hyperlink"/>
            <w:noProof w:val="0"/>
            <w:lang w:val="en-GB"/>
          </w:rPr>
          <w:t>https://annual-report.estyn.gov.wales/app/uploads/2023/08/Estyn-HMCI-Annual-Report-2021-2022-A1.pdf</w:t>
        </w:r>
      </w:hyperlink>
      <w:r w:rsidRPr="0FCF8BC3" w:rsidR="51120C5D">
        <w:rPr>
          <w:noProof w:val="0"/>
          <w:lang w:val="en-GB"/>
        </w:rPr>
        <w:t>.</w:t>
      </w:r>
    </w:p>
    <w:p w:rsidR="0FCF8BC3" w:rsidP="0FCF8BC3" w:rsidRDefault="0FCF8BC3" w14:paraId="3E74D24D" w14:textId="734D1E47">
      <w:pPr>
        <w:pStyle w:val="AssignBody"/>
        <w:rPr>
          <w:noProof w:val="0"/>
          <w:lang w:val="en-GB"/>
        </w:rPr>
      </w:pPr>
    </w:p>
    <w:p w:rsidR="2A546273" w:rsidP="0FCF8BC3" w:rsidRDefault="2A546273" w14:paraId="5498E550" w14:textId="643AFF72">
      <w:pPr>
        <w:pStyle w:val="AssignBody"/>
      </w:pPr>
      <w:r w:rsidRPr="0FCF8BC3" w:rsidR="2A546273">
        <w:rPr>
          <w:noProof w:val="0"/>
          <w:lang w:val="en-GB"/>
        </w:rPr>
        <w:t xml:space="preserve">Mayer, R.E. and Moreno, R. (2003) 'Nine Ways to Reduce Cognitive Load in Multimedia Learning', Educational psychologist, 38(1), pp. 43–52. Available at: </w:t>
      </w:r>
      <w:hyperlink r:id="R60aeb86662c14db3">
        <w:r w:rsidRPr="0FCF8BC3" w:rsidR="2A546273">
          <w:rPr>
            <w:rStyle w:val="Hyperlink"/>
            <w:noProof w:val="0"/>
            <w:lang w:val="en-GB"/>
          </w:rPr>
          <w:t>https://doi.org/10.1207/S15326985EP3801_6</w:t>
        </w:r>
      </w:hyperlink>
      <w:r w:rsidRPr="0FCF8BC3" w:rsidR="2A546273">
        <w:rPr>
          <w:noProof w:val="0"/>
          <w:lang w:val="en-GB"/>
        </w:rPr>
        <w:t>.</w:t>
      </w:r>
    </w:p>
    <w:p w:rsidR="0FCF8BC3" w:rsidP="0FCF8BC3" w:rsidRDefault="0FCF8BC3" w14:paraId="1AFD9DB9" w14:textId="5F4ACE6E">
      <w:pPr>
        <w:pStyle w:val="AssignBody"/>
        <w:rPr>
          <w:noProof w:val="0"/>
          <w:lang w:val="en-GB"/>
        </w:rPr>
      </w:pPr>
    </w:p>
    <w:p w:rsidR="177790B4" w:rsidP="0FCF8BC3" w:rsidRDefault="177790B4" w14:paraId="7AED73A0" w14:textId="5EA116CA">
      <w:pPr>
        <w:pStyle w:val="AssignBody"/>
      </w:pPr>
      <w:r w:rsidRPr="0FCF8BC3" w:rsidR="177790B4">
        <w:rPr>
          <w:noProof w:val="0"/>
          <w:lang w:val="en-GB"/>
        </w:rPr>
        <w:t>“Placement school” School development plan document.</w:t>
      </w:r>
    </w:p>
    <w:p w:rsidR="0FCF8BC3" w:rsidP="0FCF8BC3" w:rsidRDefault="0FCF8BC3" w14:paraId="278BBBD2" w14:textId="2B901931">
      <w:pPr>
        <w:pStyle w:val="AssignBody"/>
        <w:rPr>
          <w:noProof w:val="0"/>
          <w:lang w:val="en-GB"/>
        </w:rPr>
      </w:pPr>
    </w:p>
    <w:p w:rsidR="177790B4" w:rsidP="0FCF8BC3" w:rsidRDefault="177790B4" w14:paraId="6485D998" w14:textId="58603434">
      <w:pPr>
        <w:pStyle w:val="AssignBody"/>
      </w:pPr>
      <w:r w:rsidRPr="0FCF8BC3" w:rsidR="177790B4">
        <w:rPr>
          <w:noProof w:val="0"/>
          <w:lang w:val="en-GB"/>
        </w:rPr>
        <w:t>Schildkamp, K. (2019). Data-based decision-making for school improvement: Research insights and gaps. Educational Research, 61(3), pp.257–273. doi:https://doi.org/10.1080/00131881.2019.1625716.</w:t>
      </w:r>
    </w:p>
    <w:p w:rsidR="0FCF8BC3" w:rsidP="0FCF8BC3" w:rsidRDefault="0FCF8BC3" w14:paraId="66D3242C" w14:textId="40ED7221">
      <w:pPr>
        <w:pStyle w:val="AssignBody"/>
        <w:rPr>
          <w:noProof w:val="0"/>
          <w:lang w:val="en-GB"/>
        </w:rPr>
      </w:pPr>
    </w:p>
    <w:p w:rsidR="35C9787C" w:rsidP="0FCF8BC3" w:rsidRDefault="35C9787C" w14:paraId="50237332" w14:textId="01A6330D">
      <w:pPr>
        <w:pStyle w:val="AssignBody"/>
      </w:pPr>
      <w:r w:rsidRPr="0FCF8BC3" w:rsidR="35C9787C">
        <w:rPr>
          <w:noProof w:val="0"/>
          <w:lang w:val="en-GB"/>
        </w:rPr>
        <w:t>Vygotski, L. (1987) Mind in Society: the development of higher psychological processes. Cambridge: Harvard University Press.</w:t>
      </w:r>
    </w:p>
    <w:p w:rsidR="51120C5D" w:rsidP="4B9F494B" w:rsidRDefault="51120C5D" w14:paraId="04DAD4C8" w14:textId="6C223814">
      <w:pPr>
        <w:pStyle w:val="AssignBody"/>
      </w:pPr>
      <w:r w:rsidRPr="0FCF8BC3" w:rsidR="51120C5D">
        <w:rPr>
          <w:noProof w:val="0"/>
          <w:lang w:val="en-GB"/>
        </w:rPr>
        <w:t>‌</w:t>
      </w:r>
    </w:p>
    <w:p w:rsidR="51120C5D" w:rsidP="4B9F494B" w:rsidRDefault="51120C5D" w14:paraId="432A8889" w14:textId="62BEC6F8">
      <w:pPr>
        <w:pStyle w:val="AssignBody"/>
      </w:pPr>
      <w:r w:rsidRPr="0FCF8BC3" w:rsidR="51120C5D">
        <w:rPr>
          <w:noProof w:val="0"/>
          <w:lang w:val="en-GB"/>
        </w:rPr>
        <w:t xml:space="preserve">Welsh Government (2023). Mathematics and numeracy plan 2023 [HTML] | GOV.WALES. [online] </w:t>
      </w:r>
      <w:r w:rsidRPr="0FCF8BC3" w:rsidR="51120C5D">
        <w:rPr>
          <w:noProof w:val="0"/>
          <w:lang w:val="en-GB"/>
        </w:rPr>
        <w:t>www.gov.wales</w:t>
      </w:r>
      <w:r w:rsidRPr="0FCF8BC3" w:rsidR="51120C5D">
        <w:rPr>
          <w:noProof w:val="0"/>
          <w:lang w:val="en-GB"/>
        </w:rPr>
        <w:t xml:space="preserve">. Available at: </w:t>
      </w:r>
      <w:r w:rsidRPr="0FCF8BC3" w:rsidR="51120C5D">
        <w:rPr>
          <w:noProof w:val="0"/>
          <w:lang w:val="en-GB"/>
        </w:rPr>
        <w:t>https://www.gov.wales/mathematics-and-numeracy-plan-2023-html</w:t>
      </w:r>
      <w:r w:rsidRPr="0FCF8BC3" w:rsidR="51120C5D">
        <w:rPr>
          <w:noProof w:val="0"/>
          <w:lang w:val="en-GB"/>
        </w:rPr>
        <w:t>.</w:t>
      </w:r>
    </w:p>
    <w:p w:rsidR="0FCF8BC3" w:rsidP="0FCF8BC3" w:rsidRDefault="0FCF8BC3" w14:paraId="4449DA3F" w14:textId="2EBF56BA">
      <w:pPr>
        <w:pStyle w:val="AssignBody"/>
        <w:rPr>
          <w:noProof w:val="0"/>
          <w:lang w:val="en-GB"/>
        </w:rPr>
      </w:pPr>
    </w:p>
    <w:p w:rsidR="51120C5D" w:rsidP="0FCF8BC3" w:rsidRDefault="51120C5D" w14:paraId="07A4C9A3" w14:textId="0DF713BC">
      <w:pPr>
        <w:pStyle w:val="AssignBody"/>
        <w:rPr>
          <w:noProof w:val="0"/>
          <w:lang w:val="en-GB"/>
        </w:rPr>
      </w:pPr>
      <w:r w:rsidRPr="0FCF8BC3" w:rsidR="51120C5D">
        <w:rPr>
          <w:noProof w:val="0"/>
          <w:lang w:val="en-GB"/>
        </w:rPr>
        <w:t xml:space="preserve">Welsh Government (2022). Curriculum for Wales - Hwb. [online] </w:t>
      </w:r>
      <w:r w:rsidRPr="0FCF8BC3" w:rsidR="51120C5D">
        <w:rPr>
          <w:noProof w:val="0"/>
          <w:lang w:val="en-GB"/>
        </w:rPr>
        <w:t>hwb.gov.wales</w:t>
      </w:r>
      <w:r w:rsidRPr="0FCF8BC3" w:rsidR="51120C5D">
        <w:rPr>
          <w:noProof w:val="0"/>
          <w:lang w:val="en-GB"/>
        </w:rPr>
        <w:t xml:space="preserve">. Available at: </w:t>
      </w:r>
      <w:r w:rsidRPr="0FCF8BC3" w:rsidR="51120C5D">
        <w:rPr>
          <w:noProof w:val="0"/>
          <w:lang w:val="en-GB"/>
        </w:rPr>
        <w:t>https://hwb.gov.wales/curriculum-for-wales</w:t>
      </w:r>
      <w:r w:rsidRPr="0FCF8BC3" w:rsidR="51120C5D">
        <w:rPr>
          <w:noProof w:val="0"/>
          <w:lang w:val="en-GB"/>
        </w:rPr>
        <w:t>.</w:t>
      </w:r>
      <w:r w:rsidRPr="0FCF8BC3" w:rsidR="51120C5D">
        <w:rPr>
          <w:noProof w:val="0"/>
          <w:lang w:val="en-GB"/>
        </w:rPr>
        <w:t xml:space="preserve"> </w:t>
      </w:r>
      <w:r w:rsidRPr="0FCF8BC3" w:rsidR="51120C5D">
        <w:rPr>
          <w:noProof w:val="0"/>
          <w:lang w:val="en-GB"/>
        </w:rPr>
        <w:t xml:space="preserve"> </w:t>
      </w:r>
      <w:r w:rsidRPr="0FCF8BC3" w:rsidR="51120C5D">
        <w:rPr>
          <w:noProof w:val="0"/>
          <w:lang w:val="en-GB"/>
        </w:rPr>
        <w:t xml:space="preserve"> </w:t>
      </w:r>
      <w:r w:rsidRPr="0FCF8BC3" w:rsidR="51120C5D">
        <w:rPr>
          <w:noProof w:val="0"/>
          <w:lang w:val="en-GB"/>
        </w:rPr>
        <w:t xml:space="preserve"> </w:t>
      </w:r>
    </w:p>
    <w:p w:rsidR="4B9F494B" w:rsidP="0FCF8BC3" w:rsidRDefault="4B9F494B" w14:paraId="6FB6E651" w14:textId="6B9F71F1">
      <w:pPr>
        <w:pStyle w:val="AssignBody"/>
        <w:rPr>
          <w:noProof w:val="0"/>
          <w:lang w:val="en-GB"/>
        </w:rPr>
      </w:pPr>
    </w:p>
    <w:p w:rsidR="4B9F494B" w:rsidP="0FCF8BC3" w:rsidRDefault="4B9F494B" w14:paraId="453821FA" w14:textId="1E1331BA">
      <w:pPr>
        <w:pStyle w:val="AssignBody"/>
        <w:rPr>
          <w:noProof w:val="0"/>
          <w:lang w:val="en-GB"/>
        </w:rPr>
      </w:pPr>
    </w:p>
    <w:p w:rsidR="4B9F494B" w:rsidP="0FCF8BC3" w:rsidRDefault="4B9F494B" w14:paraId="5FA0AB83" w14:textId="7A9FBD7E">
      <w:pPr>
        <w:pStyle w:val="AssignBody"/>
        <w:rPr>
          <w:noProof w:val="0"/>
          <w:lang w:val="en-GB"/>
        </w:rPr>
      </w:pPr>
    </w:p>
    <w:p w:rsidR="4B9F494B" w:rsidP="0FCF8BC3" w:rsidRDefault="4B9F494B" w14:paraId="76CB45C1" w14:textId="13C59461">
      <w:pPr>
        <w:pStyle w:val="AssignBody"/>
        <w:rPr>
          <w:noProof w:val="0"/>
          <w:lang w:val="en-GB"/>
        </w:rPr>
      </w:pPr>
    </w:p>
    <w:p w:rsidR="4B9F494B" w:rsidP="0FCF8BC3" w:rsidRDefault="4B9F494B" w14:paraId="0004B2EA" w14:textId="0348312C">
      <w:pPr>
        <w:pStyle w:val="AssignBody"/>
        <w:rPr>
          <w:noProof w:val="0"/>
          <w:lang w:val="en-GB"/>
        </w:rPr>
      </w:pPr>
    </w:p>
    <w:p w:rsidR="4B9F494B" w:rsidP="0FCF8BC3" w:rsidRDefault="4B9F494B" w14:paraId="1808C7DD" w14:textId="27DA0F97">
      <w:pPr>
        <w:pStyle w:val="AssignBody"/>
        <w:rPr>
          <w:noProof w:val="0"/>
          <w:lang w:val="en-GB"/>
        </w:rPr>
      </w:pPr>
    </w:p>
    <w:p w:rsidR="4B9F494B" w:rsidP="0FCF8BC3" w:rsidRDefault="4B9F494B" w14:paraId="223B5601" w14:textId="683BF3C8">
      <w:pPr>
        <w:pStyle w:val="AssignBody"/>
        <w:rPr>
          <w:noProof w:val="0"/>
          <w:lang w:val="en-GB"/>
        </w:rPr>
      </w:pPr>
    </w:p>
    <w:p w:rsidR="0FCF8BC3" w:rsidP="0FCF8BC3" w:rsidRDefault="0FCF8BC3" w14:paraId="75BC66D9" w14:textId="7D27BCD7">
      <w:pPr>
        <w:pStyle w:val="AssignBody"/>
        <w:rPr>
          <w:noProof w:val="0"/>
          <w:lang w:val="en-GB"/>
        </w:rPr>
      </w:pPr>
    </w:p>
    <w:p w:rsidR="0FCF8BC3" w:rsidP="0FCF8BC3" w:rsidRDefault="0FCF8BC3" w14:paraId="717EF935" w14:textId="1EA131E2">
      <w:pPr>
        <w:pStyle w:val="AssignBody"/>
        <w:rPr>
          <w:noProof w:val="0"/>
          <w:lang w:val="en-GB"/>
        </w:rPr>
      </w:pPr>
    </w:p>
    <w:p w:rsidR="587A7B25" w:rsidP="587A7B25" w:rsidRDefault="587A7B25" w14:paraId="1DA8DC3A" w14:textId="33F18997">
      <w:pPr>
        <w:spacing w:after="0" w:line="360"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p>
    <w:p w:rsidR="18121EF4" w:rsidP="587A7B25" w:rsidRDefault="18121EF4" w14:paraId="152358E9" w14:textId="3218223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GB"/>
        </w:rPr>
      </w:pPr>
      <w:r w:rsidRPr="587A7B25" w:rsidR="18121EF4">
        <w:rPr>
          <w:rStyle w:val="AssignSubHeaderChar"/>
          <w:rFonts w:ascii="Aptos" w:hAnsi="Aptos" w:eastAsia="Aptos" w:cs="Aptos"/>
          <w:b w:val="1"/>
          <w:bCs w:val="1"/>
          <w:i w:val="0"/>
          <w:iCs w:val="0"/>
          <w:caps w:val="0"/>
          <w:smallCaps w:val="0"/>
          <w:noProof w:val="0"/>
          <w:color w:val="000000" w:themeColor="text1" w:themeTint="FF" w:themeShade="FF"/>
          <w:sz w:val="28"/>
          <w:szCs w:val="28"/>
          <w:lang w:val="en-GB"/>
        </w:rPr>
        <w:t>Appendix figure 1.</w:t>
      </w:r>
      <w:r w:rsidRPr="587A7B25" w:rsidR="18121EF4">
        <w:rPr>
          <w:rFonts w:ascii="Calibri" w:hAnsi="Calibri" w:eastAsia="Calibri" w:cs="Calibri"/>
          <w:b w:val="0"/>
          <w:bCs w:val="0"/>
          <w:i w:val="0"/>
          <w:iCs w:val="0"/>
          <w:caps w:val="0"/>
          <w:smallCaps w:val="0"/>
          <w:noProof w:val="0"/>
          <w:color w:val="0070C0"/>
          <w:sz w:val="27"/>
          <w:szCs w:val="27"/>
          <w:lang w:val="en-GB"/>
        </w:rPr>
        <w:t xml:space="preserve"> </w:t>
      </w:r>
      <w:r w:rsidRPr="587A7B25" w:rsidR="18121EF4">
        <w:rPr>
          <w:rStyle w:val="AssignBodyChar"/>
          <w:rFonts w:ascii="Aptos" w:hAnsi="Aptos" w:eastAsia="Aptos" w:cs="Aptos"/>
          <w:b w:val="0"/>
          <w:bCs w:val="0"/>
          <w:i w:val="0"/>
          <w:iCs w:val="0"/>
          <w:caps w:val="0"/>
          <w:smallCaps w:val="0"/>
          <w:noProof w:val="0"/>
          <w:color w:val="000000" w:themeColor="text1" w:themeTint="FF" w:themeShade="FF"/>
          <w:sz w:val="22"/>
          <w:szCs w:val="22"/>
          <w:lang w:val="en-GB"/>
        </w:rPr>
        <w:t>The iterative process of improvement: improving the quality of educational organisations through the use of data.</w:t>
      </w:r>
    </w:p>
    <w:p w:rsidR="587A7B25" w:rsidP="587A7B25" w:rsidRDefault="587A7B25" w14:paraId="10F6148E" w14:textId="6280556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8121EF4" w:rsidP="587A7B25" w:rsidRDefault="18121EF4" w14:paraId="13FC2D06" w14:textId="5730DAB8">
      <w:pPr>
        <w:spacing w:before="0" w:beforeAutospacing="off" w:after="0" w:afterAutospacing="off"/>
        <w:rPr>
          <w:rFonts w:ascii="Open Sans" w:hAnsi="Open Sans" w:eastAsia="Open Sans" w:cs="Open Sans"/>
          <w:b w:val="0"/>
          <w:bCs w:val="0"/>
          <w:i w:val="0"/>
          <w:iCs w:val="0"/>
          <w:caps w:val="0"/>
          <w:smallCaps w:val="0"/>
          <w:noProof w:val="0"/>
          <w:color w:val="333333"/>
          <w:sz w:val="26"/>
          <w:szCs w:val="26"/>
          <w:lang w:val="en-GB"/>
        </w:rPr>
      </w:pPr>
      <w:r w:rsidR="18121EF4">
        <w:drawing>
          <wp:inline wp14:editId="1DF59A06" wp14:anchorId="4B09E7F4">
            <wp:extent cx="3390900" cy="3419475"/>
            <wp:effectExtent l="0" t="0" r="0" b="0"/>
            <wp:docPr id="2043192500" name="" title=""/>
            <wp:cNvGraphicFramePr>
              <a:graphicFrameLocks noChangeAspect="1"/>
            </wp:cNvGraphicFramePr>
            <a:graphic>
              <a:graphicData uri="http://schemas.openxmlformats.org/drawingml/2006/picture">
                <pic:pic>
                  <pic:nvPicPr>
                    <pic:cNvPr id="0" name=""/>
                    <pic:cNvPicPr/>
                  </pic:nvPicPr>
                  <pic:blipFill>
                    <a:blip r:embed="R8bf4a86dda8c4939">
                      <a:extLst>
                        <a:ext xmlns:a="http://schemas.openxmlformats.org/drawingml/2006/main" uri="{28A0092B-C50C-407E-A947-70E740481C1C}">
                          <a14:useLocalDpi val="0"/>
                        </a:ext>
                      </a:extLst>
                    </a:blip>
                    <a:stretch>
                      <a:fillRect/>
                    </a:stretch>
                  </pic:blipFill>
                  <pic:spPr>
                    <a:xfrm>
                      <a:off x="0" y="0"/>
                      <a:ext cx="3390900" cy="3419475"/>
                    </a:xfrm>
                    <a:prstGeom prst="rect">
                      <a:avLst/>
                    </a:prstGeom>
                  </pic:spPr>
                </pic:pic>
              </a:graphicData>
            </a:graphic>
          </wp:inline>
        </w:drawing>
      </w:r>
    </w:p>
    <w:p w:rsidR="18121EF4" w:rsidP="587A7B25" w:rsidRDefault="18121EF4" w14:paraId="59B25293" w14:textId="6BD82E69">
      <w:pPr>
        <w:pStyle w:val="AssignBody"/>
        <w:spacing w:after="0" w:line="360"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87A7B25" w:rsidR="18121EF4">
        <w:rPr>
          <w:rFonts w:ascii="Aptos" w:hAnsi="Aptos" w:eastAsia="Aptos" w:cs="Aptos"/>
          <w:b w:val="0"/>
          <w:bCs w:val="0"/>
          <w:i w:val="0"/>
          <w:iCs w:val="0"/>
          <w:caps w:val="0"/>
          <w:smallCaps w:val="0"/>
          <w:noProof w:val="0"/>
          <w:color w:val="000000" w:themeColor="text1" w:themeTint="FF" w:themeShade="FF"/>
          <w:sz w:val="22"/>
          <w:szCs w:val="22"/>
          <w:lang w:val="en-GB"/>
        </w:rPr>
        <w:t>Source: Schildkamp, K. (2019). Data-based decision-making for school improvement: Research insights and gaps. Educational Research, 61(3), pp.257–273. doi:https://doi.org/10.1080/00131881.2019.1625716.</w:t>
      </w:r>
    </w:p>
    <w:p w:rsidR="587A7B25" w:rsidP="587A7B25" w:rsidRDefault="587A7B25" w14:paraId="4874B354" w14:textId="242EEB8E">
      <w:pPr>
        <w:pStyle w:val="AssignBody"/>
      </w:pPr>
    </w:p>
    <w:sectPr w:rsidRPr="00E611D9" w:rsidR="00E611D9">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7618C" w:rsidP="00E611D9" w:rsidRDefault="0087618C" w14:paraId="0CA19FA5" w14:textId="77777777">
      <w:pPr>
        <w:spacing w:after="0" w:line="240" w:lineRule="auto"/>
      </w:pPr>
      <w:r>
        <w:separator/>
      </w:r>
    </w:p>
  </w:endnote>
  <w:endnote w:type="continuationSeparator" w:id="0">
    <w:p w:rsidR="0087618C" w:rsidP="00E611D9" w:rsidRDefault="0087618C" w14:paraId="64A7E4F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611D9" w:rsidRDefault="00E611D9" w14:paraId="4531959A" w14:textId="50073E4D">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7618C" w:rsidP="00E611D9" w:rsidRDefault="0087618C" w14:paraId="08F9FD7B" w14:textId="77777777">
      <w:pPr>
        <w:spacing w:after="0" w:line="240" w:lineRule="auto"/>
      </w:pPr>
      <w:r>
        <w:separator/>
      </w:r>
    </w:p>
  </w:footnote>
  <w:footnote w:type="continuationSeparator" w:id="0">
    <w:p w:rsidR="0087618C" w:rsidP="00E611D9" w:rsidRDefault="0087618C" w14:paraId="71F8072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587A7B25" w14:paraId="746C0110" w14:textId="77777777">
      <w:tc>
        <w:tcPr>
          <w:tcW w:w="4508" w:type="dxa"/>
          <w:tcMar/>
        </w:tcPr>
        <w:p w:rsidRPr="00E611D9" w:rsidR="00E611D9" w:rsidRDefault="00E611D9" w14:paraId="739FBAFA" w14:textId="5DC15C02">
          <w:pPr>
            <w:pStyle w:val="Header"/>
            <w:rPr>
              <w:rFonts w:ascii="Arial" w:hAnsi="Arial" w:cs="Arial"/>
            </w:rPr>
          </w:pPr>
          <w:r w:rsidRPr="587A7B25" w:rsidR="587A7B25">
            <w:rPr>
              <w:rFonts w:ascii="Arial" w:hAnsi="Arial" w:cs="Arial"/>
            </w:rPr>
            <w:t>E</w:t>
          </w:r>
          <w:r w:rsidRPr="587A7B25" w:rsidR="587A7B25">
            <w:rPr>
              <w:rFonts w:ascii="Arial" w:hAnsi="Arial" w:cs="Arial"/>
            </w:rPr>
            <w:t>CAD</w:t>
          </w:r>
          <w:r w:rsidRPr="587A7B25" w:rsidR="587A7B25">
            <w:rPr>
              <w:rFonts w:ascii="Arial" w:hAnsi="Arial" w:cs="Arial"/>
            </w:rPr>
            <w:t>7005</w:t>
          </w:r>
        </w:p>
      </w:tc>
      <w:tc>
        <w:tcPr>
          <w:tcW w:w="4508" w:type="dxa"/>
          <w:tcMar/>
        </w:tcPr>
        <w:p w:rsidRPr="00E611D9" w:rsidR="00E611D9" w:rsidP="00E611D9" w:rsidRDefault="00E611D9" w14:paraId="51D506A0" w14:textId="426CF243">
          <w:pPr>
            <w:pStyle w:val="Header"/>
            <w:jc w:val="right"/>
            <w:rPr>
              <w:rFonts w:ascii="Arial" w:hAnsi="Arial" w:cs="Arial"/>
            </w:rPr>
          </w:pPr>
          <w:r w:rsidRPr="587A7B25" w:rsidR="587A7B25">
            <w:rPr>
              <w:rFonts w:ascii="Arial" w:hAnsi="Arial" w:cs="Arial"/>
            </w:rPr>
            <w:t xml:space="preserve"> </w:t>
          </w:r>
          <w:r w:rsidRPr="587A7B25" w:rsidR="587A7B25">
            <w:rPr>
              <w:rFonts w:ascii="Arial" w:hAnsi="Arial" w:cs="Arial"/>
            </w:rPr>
            <w:t>Rhif</w:t>
          </w:r>
          <w:r w:rsidRPr="587A7B25" w:rsidR="587A7B25">
            <w:rPr>
              <w:rFonts w:ascii="Arial" w:hAnsi="Arial" w:cs="Arial"/>
            </w:rPr>
            <w:t xml:space="preserve"> </w:t>
          </w:r>
          <w:r w:rsidRPr="587A7B25" w:rsidR="587A7B25">
            <w:rPr>
              <w:rFonts w:ascii="Arial" w:hAnsi="Arial" w:cs="Arial"/>
            </w:rPr>
            <w:t>Myfyriwr</w:t>
          </w:r>
          <w:r w:rsidRPr="587A7B25" w:rsidR="587A7B25">
            <w:rPr>
              <w:rFonts w:ascii="Arial" w:hAnsi="Arial" w:cs="Arial"/>
            </w:rPr>
            <w:t xml:space="preserve"> / Student Number:</w:t>
          </w:r>
          <w:r w:rsidRPr="587A7B25" w:rsidR="587A7B25">
            <w:rPr>
              <w:rFonts w:ascii="Arial" w:hAnsi="Arial" w:cs="Arial"/>
            </w:rPr>
            <w:t>2405923</w:t>
          </w:r>
          <w:r w:rsidRPr="587A7B25" w:rsidR="587A7B25">
            <w:rPr>
              <w:rFonts w:ascii="Arial" w:hAnsi="Arial" w:cs="Arial"/>
            </w:rPr>
            <w:t xml:space="preserve"> </w:t>
          </w:r>
        </w:p>
      </w:tc>
    </w:tr>
  </w:tbl>
  <w:p w:rsidR="00E611D9" w:rsidRDefault="00E611D9" w14:paraId="31028CA5" w14:textId="60CD5227">
    <w:pPr>
      <w:pStyle w:val="Header"/>
    </w:pPr>
  </w:p>
</w:hdr>
</file>

<file path=word/numbering.xml><?xml version="1.0" encoding="utf-8"?>
<w:numbering xmlns:w="http://schemas.openxmlformats.org/wordprocessingml/2006/main">
  <w:abstractNum xmlns:w="http://schemas.openxmlformats.org/wordprocessingml/2006/main" w:abstractNumId="6">
    <w:nsid w:val="7fb8b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cf47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b3d7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7140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b24a1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55d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1E75"/>
    <w:rsid w:val="00087FFD"/>
    <w:rsid w:val="002229F0"/>
    <w:rsid w:val="003E55AE"/>
    <w:rsid w:val="00402BEC"/>
    <w:rsid w:val="00433F17"/>
    <w:rsid w:val="006419C3"/>
    <w:rsid w:val="00691A46"/>
    <w:rsid w:val="006B5861"/>
    <w:rsid w:val="006F79C3"/>
    <w:rsid w:val="00817F7A"/>
    <w:rsid w:val="0087618C"/>
    <w:rsid w:val="00AD4EBD"/>
    <w:rsid w:val="00BC651E"/>
    <w:rsid w:val="00CD1240"/>
    <w:rsid w:val="00E611D9"/>
    <w:rsid w:val="00FE0DB9"/>
    <w:rsid w:val="024A1388"/>
    <w:rsid w:val="02A8D423"/>
    <w:rsid w:val="0449171C"/>
    <w:rsid w:val="05FBCFD7"/>
    <w:rsid w:val="074F8A64"/>
    <w:rsid w:val="085D654B"/>
    <w:rsid w:val="0CEC52CB"/>
    <w:rsid w:val="0FCF8BC3"/>
    <w:rsid w:val="100EB7CF"/>
    <w:rsid w:val="13E81356"/>
    <w:rsid w:val="177790B4"/>
    <w:rsid w:val="17886409"/>
    <w:rsid w:val="18121EF4"/>
    <w:rsid w:val="1B24B32B"/>
    <w:rsid w:val="1BEC636A"/>
    <w:rsid w:val="1CABF870"/>
    <w:rsid w:val="22A66357"/>
    <w:rsid w:val="2A546273"/>
    <w:rsid w:val="2B1F1C80"/>
    <w:rsid w:val="2C7D7A9D"/>
    <w:rsid w:val="2E43E75B"/>
    <w:rsid w:val="2F8DEB45"/>
    <w:rsid w:val="2FD9C001"/>
    <w:rsid w:val="30C5D0CE"/>
    <w:rsid w:val="35C9787C"/>
    <w:rsid w:val="35EE3EDC"/>
    <w:rsid w:val="36311D94"/>
    <w:rsid w:val="3771FDC1"/>
    <w:rsid w:val="3A92B154"/>
    <w:rsid w:val="3BB3FD69"/>
    <w:rsid w:val="3DAB9BCA"/>
    <w:rsid w:val="447042CB"/>
    <w:rsid w:val="472F772B"/>
    <w:rsid w:val="4B5511EE"/>
    <w:rsid w:val="4B9F494B"/>
    <w:rsid w:val="5002B5D1"/>
    <w:rsid w:val="51120C5D"/>
    <w:rsid w:val="54B66D9E"/>
    <w:rsid w:val="55AFE5C5"/>
    <w:rsid w:val="587A7B25"/>
    <w:rsid w:val="5B98E649"/>
    <w:rsid w:val="60278DAF"/>
    <w:rsid w:val="6027CFC7"/>
    <w:rsid w:val="63A4C77F"/>
    <w:rsid w:val="63BDBD84"/>
    <w:rsid w:val="64991A18"/>
    <w:rsid w:val="64E675E7"/>
    <w:rsid w:val="653C0294"/>
    <w:rsid w:val="65B7C1B8"/>
    <w:rsid w:val="66F77984"/>
    <w:rsid w:val="68DC576D"/>
    <w:rsid w:val="6962A83C"/>
    <w:rsid w:val="69D76A8F"/>
    <w:rsid w:val="6C505768"/>
    <w:rsid w:val="717D082F"/>
    <w:rsid w:val="722ADD17"/>
    <w:rsid w:val="73CB681A"/>
    <w:rsid w:val="75A2B1BA"/>
    <w:rsid w:val="7B2026E0"/>
    <w:rsid w:val="7CFBE4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1">
    <w:name w:val="AssignQuote"/>
    <w:basedOn w:val="Normal"/>
    <w:next w:val="AssignBody"/>
    <w:link w:val="AssignQuoteChar"/>
    <w:qFormat/>
    <w:rsid w:val="00CD1240"/>
    <w:pPr>
      <w:spacing w:after="0" w:line="360" w:lineRule="auto"/>
      <w:ind w:left="1134" w:right="1134"/>
    </w:pPr>
    <w:rPr>
      <w:rFonts w:ascii="Arial" w:hAnsi="Arial"/>
      <w:i/>
    </w:rPr>
  </w:style>
  <w:style w:type="paragraph" w:styleId="AssignBody" w:customStyle="1">
    <w:name w:val="AssignBody"/>
    <w:basedOn w:val="AssignQuote"/>
    <w:link w:val="AssignBodyChar"/>
    <w:qFormat/>
    <w:rsid w:val="00CD1240"/>
    <w:pPr>
      <w:ind w:left="0" w:right="0"/>
    </w:pPr>
    <w:rPr>
      <w:i w:val="0"/>
    </w:rPr>
  </w:style>
  <w:style w:type="character" w:styleId="AssignQuoteChar" w:customStyle="1">
    <w:name w:val="AssignQuote Char"/>
    <w:basedOn w:val="DefaultParagraphFont"/>
    <w:link w:val="AssignQuote"/>
    <w:rsid w:val="00CD1240"/>
    <w:rPr>
      <w:rFonts w:ascii="Arial" w:hAnsi="Arial"/>
      <w:i/>
    </w:rPr>
  </w:style>
  <w:style w:type="paragraph" w:styleId="AssignSubHeader" w:customStyle="1">
    <w:name w:val="AssignSubHeader"/>
    <w:basedOn w:val="AssignBody"/>
    <w:next w:val="AssignBody"/>
    <w:link w:val="AssignSubHeaderChar"/>
    <w:qFormat/>
    <w:rsid w:val="00691A46"/>
    <w:rPr>
      <w:b/>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uiPriority w:val="99"/>
    <w:name w:val="Hyperlink"/>
    <w:basedOn w:val="DefaultParagraphFont"/>
    <w:unhideWhenUsed/>
    <w:rsid w:val="73CB681A"/>
    <w:rPr>
      <w:color w:val="0563C1"/>
      <w:u w:val="single"/>
    </w:rPr>
  </w:style>
  <w:style w:type="paragraph" w:styleId="Heading1">
    <w:uiPriority w:val="9"/>
    <w:name w:val="heading 1"/>
    <w:basedOn w:val="Normal"/>
    <w:next w:val="Normal"/>
    <w:qFormat/>
    <w:rsid w:val="63A4C77F"/>
    <w:rPr>
      <w:rFonts w:ascii="Calibri Light" w:hAnsi="Calibri Light" w:eastAsia="Calibri Light" w:cs="等线 Light" w:asciiTheme="majorAscii" w:hAnsiTheme="majorAscii" w:eastAsiaTheme="minorAscii" w:cstheme="majorEastAsia"/>
      <w:color w:val="2F5496"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3A4C77F"/>
    <w:rPr>
      <w:rFonts w:ascii="Calibri Light" w:hAnsi="Calibri Light" w:eastAsia="Calibri Light" w:cs="等线 Light" w:asciiTheme="majorAscii" w:hAnsiTheme="majorAscii" w:eastAsiaTheme="minorAscii" w:cstheme="majorEastAsia"/>
      <w:color w:val="2F5496"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3A4C77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hyperlink" Target="https://www.phrasebank.manchester.ac.uk/" TargetMode="External" Id="Rf6f9452597ca4666" /><Relationship Type="http://schemas.openxmlformats.org/officeDocument/2006/relationships/numbering" Target="numbering.xml" Id="R5cdabf0777784d7d" /><Relationship Type="http://schemas.openxmlformats.org/officeDocument/2006/relationships/image" Target="/media/image.jpg" Id="R8bf4a86dda8c4939" /><Relationship Type="http://schemas.openxmlformats.org/officeDocument/2006/relationships/hyperlink" Target="https://doi.org/10.5040/9781472553195" TargetMode="External" Id="R509d529944a6400a" /><Relationship Type="http://schemas.openxmlformats.org/officeDocument/2006/relationships/hyperlink" Target="https://www.bera.ac.uk/publication/ethical-guidelines-for-educational-research-fifth-edition-2024" TargetMode="External" Id="R95a38f733acf4b90" /><Relationship Type="http://schemas.openxmlformats.org/officeDocument/2006/relationships/hyperlink" Target="https://doi.org/10.1080/10986065.2021.1881703" TargetMode="External" Id="R0737d3cf300146b7" /><Relationship Type="http://schemas.openxmlformats.org/officeDocument/2006/relationships/hyperlink" Target="https://estyn.gov.wales/latest-inspection-reports/" TargetMode="External" Id="R99053dac564941c6" /><Relationship Type="http://schemas.openxmlformats.org/officeDocument/2006/relationships/hyperlink" Target="https://educationendowmentfoundation.org.uk/early-years/maths/effective-pedagogy-mathematics" TargetMode="External" Id="Rfdf6c3f68bf7445d" /><Relationship Type="http://schemas.openxmlformats.org/officeDocument/2006/relationships/hyperlink" Target="https://www.gov.wales/school-improvement-guidance-impact-assessment-html" TargetMode="External" Id="R36b91921a2ee48c4" /><Relationship Type="http://schemas.openxmlformats.org/officeDocument/2006/relationships/hyperlink" Target="https://www.gov.wales/my-local-school-guide" TargetMode="External" Id="R1fe67da7fcbc4eed" /><Relationship Type="http://schemas.openxmlformats.org/officeDocument/2006/relationships/hyperlink" Target="https://doi.org/10.1080/135406002100000512" TargetMode="External" Id="R45ae4b077c4343f8" /><Relationship Type="http://schemas.openxmlformats.org/officeDocument/2006/relationships/hyperlink" Target="https://annual-report.estyn.gov.wales/app/uploads/2023/08/Estyn-HMCI-Annual-Report-2021-2022-A1.pdf" TargetMode="External" Id="Rfbaece99454c4dcf" /><Relationship Type="http://schemas.openxmlformats.org/officeDocument/2006/relationships/hyperlink" Target="https://doi.org/10.1207/S15326985EP3801_6" TargetMode="External" Id="R60aeb86662c14d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David Germon (2405923)</lastModifiedBy>
  <revision>8</revision>
  <dcterms:created xsi:type="dcterms:W3CDTF">2025-02-02T21:41:00.0000000Z</dcterms:created>
  <dcterms:modified xsi:type="dcterms:W3CDTF">2025-03-01T17:37:43.4637958Z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