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71F1F" w14:textId="77777777" w:rsidR="002B3974" w:rsidRPr="000C05CF" w:rsidRDefault="002B3974" w:rsidP="00A47E27">
      <w:pPr>
        <w:jc w:val="center"/>
        <w:rPr>
          <w:sz w:val="28"/>
          <w:szCs w:val="28"/>
        </w:rPr>
      </w:pPr>
      <w:r w:rsidRPr="000C05CF">
        <w:rPr>
          <w:sz w:val="28"/>
          <w:szCs w:val="28"/>
        </w:rPr>
        <w:t>Research Proposal</w:t>
      </w:r>
    </w:p>
    <w:p w14:paraId="7FC1EAC9" w14:textId="77777777" w:rsidR="002B3974" w:rsidRPr="00A47E27" w:rsidRDefault="002B3974" w:rsidP="00A47E27">
      <w:pPr>
        <w:jc w:val="center"/>
        <w:rPr>
          <w:b/>
          <w:bCs/>
          <w:color w:val="FF0000"/>
          <w:sz w:val="28"/>
          <w:szCs w:val="28"/>
        </w:rPr>
      </w:pPr>
      <w:r w:rsidRPr="00A47E27">
        <w:rPr>
          <w:b/>
          <w:bCs/>
          <w:color w:val="FF0000"/>
          <w:sz w:val="28"/>
          <w:szCs w:val="28"/>
        </w:rPr>
        <w:t xml:space="preserve">Title: An Empirical Comparison of Learner Engagement in Moodle and </w:t>
      </w:r>
      <w:proofErr w:type="spellStart"/>
      <w:r w:rsidRPr="00A47E27">
        <w:rPr>
          <w:b/>
          <w:bCs/>
          <w:color w:val="FF0000"/>
          <w:sz w:val="28"/>
          <w:szCs w:val="28"/>
        </w:rPr>
        <w:t>Coursa</w:t>
      </w:r>
      <w:proofErr w:type="spellEnd"/>
      <w:r w:rsidRPr="00A47E27">
        <w:rPr>
          <w:b/>
          <w:bCs/>
          <w:color w:val="FF0000"/>
          <w:sz w:val="28"/>
          <w:szCs w:val="28"/>
        </w:rPr>
        <w:t>: A Quasi-Experimental ANCOVA Study</w:t>
      </w:r>
    </w:p>
    <w:p w14:paraId="7ED66C0F" w14:textId="77777777" w:rsidR="00EE1C91" w:rsidRPr="000C05CF" w:rsidRDefault="00EE1C91" w:rsidP="00A47E27">
      <w:pPr>
        <w:jc w:val="both"/>
        <w:rPr>
          <w:sz w:val="28"/>
          <w:szCs w:val="28"/>
        </w:rPr>
      </w:pPr>
    </w:p>
    <w:p w14:paraId="0EFC47C6" w14:textId="77777777" w:rsidR="000C05CF" w:rsidRPr="000C05CF" w:rsidRDefault="000C05CF" w:rsidP="00A47E27">
      <w:pPr>
        <w:jc w:val="both"/>
        <w:rPr>
          <w:sz w:val="28"/>
          <w:szCs w:val="28"/>
        </w:rPr>
      </w:pPr>
      <w:r w:rsidRPr="000C05CF">
        <w:rPr>
          <w:sz w:val="28"/>
          <w:szCs w:val="28"/>
        </w:rPr>
        <w:t>1. Background and Context</w:t>
      </w:r>
    </w:p>
    <w:p w14:paraId="7F331988" w14:textId="77777777" w:rsidR="00C6029E" w:rsidRPr="00C6029E" w:rsidRDefault="00C6029E" w:rsidP="00C6029E">
      <w:pPr>
        <w:jc w:val="both"/>
        <w:rPr>
          <w:sz w:val="28"/>
          <w:szCs w:val="28"/>
        </w:rPr>
      </w:pPr>
      <w:r w:rsidRPr="00C6029E">
        <w:rPr>
          <w:sz w:val="28"/>
          <w:szCs w:val="28"/>
        </w:rPr>
        <w:t>Historical Context</w:t>
      </w:r>
    </w:p>
    <w:p w14:paraId="66677196" w14:textId="77777777" w:rsidR="00C6029E" w:rsidRPr="00C6029E" w:rsidRDefault="00C6029E" w:rsidP="00C6029E">
      <w:pPr>
        <w:jc w:val="both"/>
        <w:rPr>
          <w:sz w:val="28"/>
          <w:szCs w:val="28"/>
        </w:rPr>
      </w:pPr>
      <w:r w:rsidRPr="00C6029E">
        <w:rPr>
          <w:sz w:val="28"/>
          <w:szCs w:val="28"/>
        </w:rPr>
        <w:t>Technological advancements and a growing</w:t>
      </w:r>
      <w:r w:rsidRPr="00C6029E">
        <w:rPr>
          <w:sz w:val="28"/>
          <w:szCs w:val="28"/>
        </w:rPr>
        <w:t> </w:t>
      </w:r>
      <w:r w:rsidRPr="00C6029E">
        <w:rPr>
          <w:sz w:val="28"/>
          <w:szCs w:val="28"/>
        </w:rPr>
        <w:t xml:space="preserve">need for digital education have driven the evolution of Learning Management Systems (LMS). Learning Management System (LMS) Empowers Moussa Smida </w:t>
      </w:r>
      <w:proofErr w:type="gramStart"/>
      <w:r w:rsidRPr="00C6029E">
        <w:rPr>
          <w:sz w:val="28"/>
          <w:szCs w:val="28"/>
        </w:rPr>
        <w:t>The</w:t>
      </w:r>
      <w:proofErr w:type="gramEnd"/>
      <w:r w:rsidRPr="00C6029E">
        <w:rPr>
          <w:sz w:val="28"/>
          <w:szCs w:val="28"/>
        </w:rPr>
        <w:t xml:space="preserve"> first LMS platforms were the likes of Blackboard and Moodle in the late 1990s, where they merely enabled content distribution and elementary student-teacher communication</w:t>
      </w:r>
      <w:r w:rsidRPr="00C6029E">
        <w:rPr>
          <w:sz w:val="28"/>
          <w:szCs w:val="28"/>
        </w:rPr>
        <w:t> </w:t>
      </w:r>
      <w:r w:rsidRPr="00C6029E">
        <w:rPr>
          <w:sz w:val="28"/>
          <w:szCs w:val="28"/>
        </w:rPr>
        <w:t>(Siemens, 2013). These systems adhered to a top-down, instructor-centric model that formalized learning content</w:t>
      </w:r>
      <w:r w:rsidRPr="00C6029E">
        <w:rPr>
          <w:sz w:val="28"/>
          <w:szCs w:val="28"/>
        </w:rPr>
        <w:t> </w:t>
      </w:r>
      <w:r w:rsidRPr="00C6029E">
        <w:rPr>
          <w:sz w:val="28"/>
          <w:szCs w:val="28"/>
        </w:rPr>
        <w:t>and evaluation across learners. But in the wake of more learner-centred</w:t>
      </w:r>
      <w:r w:rsidRPr="00C6029E">
        <w:rPr>
          <w:sz w:val="28"/>
          <w:szCs w:val="28"/>
        </w:rPr>
        <w:t> </w:t>
      </w:r>
      <w:r w:rsidRPr="00C6029E">
        <w:rPr>
          <w:sz w:val="28"/>
          <w:szCs w:val="28"/>
        </w:rPr>
        <w:t>theories of education emerging (Anderson, 2008), LMS platforms began to integrate collaborative tools and adaptive learning features.</w:t>
      </w:r>
    </w:p>
    <w:p w14:paraId="62D65180" w14:textId="473398D6" w:rsidR="000C05CF" w:rsidRPr="000C05CF" w:rsidRDefault="000C05CF" w:rsidP="00A47E27">
      <w:pPr>
        <w:jc w:val="both"/>
        <w:rPr>
          <w:sz w:val="28"/>
          <w:szCs w:val="28"/>
        </w:rPr>
      </w:pPr>
      <w:r w:rsidRPr="000C05CF">
        <w:rPr>
          <w:sz w:val="28"/>
          <w:szCs w:val="28"/>
        </w:rPr>
        <w:t xml:space="preserve">More recently, AI-based LMS systems such as </w:t>
      </w:r>
      <w:proofErr w:type="spellStart"/>
      <w:r w:rsidRPr="000C05CF">
        <w:rPr>
          <w:sz w:val="28"/>
          <w:szCs w:val="28"/>
        </w:rPr>
        <w:t>Coursa</w:t>
      </w:r>
      <w:proofErr w:type="spellEnd"/>
      <w:r w:rsidRPr="000C05CF">
        <w:rPr>
          <w:sz w:val="28"/>
          <w:szCs w:val="28"/>
        </w:rPr>
        <w:t xml:space="preserve"> have gained traction, with the promise of transforming online education via adaptive learning paths that change dynamically in response to student requirements based on learner analytics and </w:t>
      </w:r>
      <w:r w:rsidR="006950A0" w:rsidRPr="000C05CF">
        <w:rPr>
          <w:sz w:val="28"/>
          <w:szCs w:val="28"/>
        </w:rPr>
        <w:t>behavioural</w:t>
      </w:r>
      <w:r w:rsidRPr="000C05CF">
        <w:rPr>
          <w:sz w:val="28"/>
          <w:szCs w:val="28"/>
        </w:rPr>
        <w:t xml:space="preserve"> data (</w:t>
      </w:r>
      <w:proofErr w:type="spellStart"/>
      <w:r w:rsidRPr="000C05CF">
        <w:rPr>
          <w:sz w:val="28"/>
          <w:szCs w:val="28"/>
        </w:rPr>
        <w:t>Luckin</w:t>
      </w:r>
      <w:proofErr w:type="spellEnd"/>
      <w:r w:rsidRPr="000C05CF">
        <w:rPr>
          <w:sz w:val="28"/>
          <w:szCs w:val="28"/>
        </w:rPr>
        <w:t>, 2017). Even with such developments, empirical studies contrasting conventional and AI-based LMS usage are sparse, especially in quantitative studies applying statistical models such as ANCOVA (Henrie, Halverson &amp; Graham, 2015).</w:t>
      </w:r>
    </w:p>
    <w:p w14:paraId="53017A5C" w14:textId="77777777" w:rsidR="000C05CF" w:rsidRPr="000C05CF" w:rsidRDefault="000C05CF" w:rsidP="00A47E27">
      <w:pPr>
        <w:jc w:val="both"/>
        <w:rPr>
          <w:sz w:val="28"/>
          <w:szCs w:val="28"/>
        </w:rPr>
      </w:pPr>
      <w:r w:rsidRPr="000C05CF">
        <w:rPr>
          <w:sz w:val="28"/>
          <w:szCs w:val="28"/>
        </w:rPr>
        <w:t>Cultural Context</w:t>
      </w:r>
    </w:p>
    <w:p w14:paraId="7ABFF39C" w14:textId="77777777" w:rsidR="000C05CF" w:rsidRPr="000C05CF" w:rsidRDefault="000C05CF" w:rsidP="00A47E27">
      <w:pPr>
        <w:jc w:val="both"/>
        <w:rPr>
          <w:sz w:val="28"/>
          <w:szCs w:val="28"/>
        </w:rPr>
      </w:pPr>
      <w:r w:rsidRPr="000C05CF">
        <w:rPr>
          <w:sz w:val="28"/>
          <w:szCs w:val="28"/>
        </w:rPr>
        <w:t xml:space="preserve">The implementation of personalized learning environments is one of the concepts that is aligned with constructivist theories of education, like Piaget's cognitive development theory and Vygotsky's social learning theory, which indicate active engagement and individualized learning trajectories (Zimmerman, 2002). Traditional LMS platforms, such as Moodle, encourage passive content consumption. However, adaptive AI-enhanced systems, like </w:t>
      </w:r>
      <w:proofErr w:type="spellStart"/>
      <w:r w:rsidRPr="000C05CF">
        <w:rPr>
          <w:sz w:val="28"/>
          <w:szCs w:val="28"/>
        </w:rPr>
        <w:t>Coursa</w:t>
      </w:r>
      <w:proofErr w:type="spellEnd"/>
      <w:r w:rsidRPr="000C05CF">
        <w:rPr>
          <w:sz w:val="28"/>
          <w:szCs w:val="28"/>
        </w:rPr>
        <w:t xml:space="preserve">, ensure the use of adaptive learning algorithms that give </w:t>
      </w:r>
      <w:r w:rsidRPr="000C05CF">
        <w:rPr>
          <w:sz w:val="28"/>
          <w:szCs w:val="28"/>
        </w:rPr>
        <w:lastRenderedPageBreak/>
        <w:t xml:space="preserve">students real-time feedback and modify their learning experience based on their performances (Dabbagh &amp; </w:t>
      </w:r>
      <w:proofErr w:type="spellStart"/>
      <w:r w:rsidRPr="000C05CF">
        <w:rPr>
          <w:sz w:val="28"/>
          <w:szCs w:val="28"/>
        </w:rPr>
        <w:t>Kitsantas</w:t>
      </w:r>
      <w:proofErr w:type="spellEnd"/>
      <w:r w:rsidRPr="000C05CF">
        <w:rPr>
          <w:sz w:val="28"/>
          <w:szCs w:val="28"/>
        </w:rPr>
        <w:t>, 2012).</w:t>
      </w:r>
    </w:p>
    <w:p w14:paraId="30F19FDC" w14:textId="77777777" w:rsidR="000C05CF" w:rsidRPr="000C05CF" w:rsidRDefault="000C05CF" w:rsidP="00A47E27">
      <w:pPr>
        <w:jc w:val="both"/>
        <w:rPr>
          <w:sz w:val="28"/>
          <w:szCs w:val="28"/>
        </w:rPr>
      </w:pPr>
      <w:r w:rsidRPr="000C05CF">
        <w:rPr>
          <w:sz w:val="28"/>
          <w:szCs w:val="28"/>
        </w:rPr>
        <w:t xml:space="preserve">In different cultural contexts, the perception and effectiveness of AI-driven LMS may vary. For instance, in Western educational frameworks, there is an increasing emphasis on learner autonomy and self-regulated learning, making personalized LMS platforms more </w:t>
      </w:r>
      <w:proofErr w:type="spellStart"/>
      <w:r w:rsidRPr="000C05CF">
        <w:rPr>
          <w:sz w:val="28"/>
          <w:szCs w:val="28"/>
        </w:rPr>
        <w:t>favorable</w:t>
      </w:r>
      <w:proofErr w:type="spellEnd"/>
      <w:r w:rsidRPr="000C05CF">
        <w:rPr>
          <w:sz w:val="28"/>
          <w:szCs w:val="28"/>
        </w:rPr>
        <w:t xml:space="preserve"> (Siemens, 2013). However, in Asian educational settings, where structured, teacher-led learning is traditionally preferred, AI-driven LMS adoption faces pedagogical and institutional barriers (Selwyn, 2016).</w:t>
      </w:r>
    </w:p>
    <w:p w14:paraId="408E7BE3" w14:textId="77777777" w:rsidR="000C05CF" w:rsidRPr="000C05CF" w:rsidRDefault="000C05CF" w:rsidP="00A47E27">
      <w:pPr>
        <w:jc w:val="both"/>
        <w:rPr>
          <w:sz w:val="28"/>
          <w:szCs w:val="28"/>
        </w:rPr>
      </w:pPr>
      <w:r w:rsidRPr="000C05CF">
        <w:rPr>
          <w:sz w:val="28"/>
          <w:szCs w:val="28"/>
        </w:rPr>
        <w:t>Social Context</w:t>
      </w:r>
    </w:p>
    <w:p w14:paraId="35337973" w14:textId="77777777" w:rsidR="000C05CF" w:rsidRPr="000C05CF" w:rsidRDefault="000C05CF" w:rsidP="00A47E27">
      <w:pPr>
        <w:jc w:val="both"/>
        <w:rPr>
          <w:sz w:val="28"/>
          <w:szCs w:val="28"/>
        </w:rPr>
      </w:pPr>
      <w:r w:rsidRPr="000C05CF">
        <w:rPr>
          <w:sz w:val="28"/>
          <w:szCs w:val="28"/>
        </w:rPr>
        <w:t>The COVID-19 pandemic accelerated the adoption of e-learning worldwide. According to UNESCO (2021) and OECD (2022), there is an increase of 300% in the use of LMS since institutions completely shifted to online or blended approaches. This exposed students to much more importance in terms of engagement in digital learning environments as learner motivation and retention rates dwindled in traditional settings with LMS due to the lack of interaction and feedback in real-time by Mayer (2014).</w:t>
      </w:r>
    </w:p>
    <w:p w14:paraId="12C6FD48" w14:textId="77777777" w:rsidR="000C05CF" w:rsidRPr="000C05CF" w:rsidRDefault="000C05CF" w:rsidP="00A47E27">
      <w:pPr>
        <w:jc w:val="both"/>
        <w:rPr>
          <w:sz w:val="28"/>
          <w:szCs w:val="28"/>
        </w:rPr>
      </w:pPr>
      <w:r w:rsidRPr="000C05CF">
        <w:rPr>
          <w:sz w:val="28"/>
          <w:szCs w:val="28"/>
        </w:rPr>
        <w:t xml:space="preserve">Although Moodle remains a dominant LMS, AI-powered platforms like </w:t>
      </w:r>
      <w:proofErr w:type="spellStart"/>
      <w:r w:rsidRPr="000C05CF">
        <w:rPr>
          <w:sz w:val="28"/>
          <w:szCs w:val="28"/>
        </w:rPr>
        <w:t>Coursa</w:t>
      </w:r>
      <w:proofErr w:type="spellEnd"/>
      <w:r w:rsidRPr="000C05CF">
        <w:rPr>
          <w:sz w:val="28"/>
          <w:szCs w:val="28"/>
        </w:rPr>
        <w:t xml:space="preserve"> claim to provide higher engagement through adaptive content, predictive analytics, and automated support (Garrison, 2011). However, quantitative evidence validating these claims is scarce, necessitating further research to assess whether AI-driven personalization significantly enhances learner engagement.</w:t>
      </w:r>
    </w:p>
    <w:p w14:paraId="76EF7816" w14:textId="77777777" w:rsidR="000C05CF" w:rsidRPr="000C05CF" w:rsidRDefault="000C05CF" w:rsidP="00A47E27">
      <w:pPr>
        <w:jc w:val="both"/>
        <w:rPr>
          <w:sz w:val="28"/>
          <w:szCs w:val="28"/>
        </w:rPr>
      </w:pPr>
      <w:r w:rsidRPr="000C05CF">
        <w:rPr>
          <w:sz w:val="28"/>
          <w:szCs w:val="28"/>
        </w:rPr>
        <w:t>Significance of the Research</w:t>
      </w:r>
    </w:p>
    <w:p w14:paraId="5BDEE864" w14:textId="77777777" w:rsidR="000C05CF" w:rsidRPr="000C05CF" w:rsidRDefault="000C05CF" w:rsidP="00A47E27">
      <w:pPr>
        <w:jc w:val="both"/>
        <w:rPr>
          <w:sz w:val="28"/>
          <w:szCs w:val="28"/>
        </w:rPr>
      </w:pPr>
      <w:r w:rsidRPr="000C05CF">
        <w:rPr>
          <w:sz w:val="28"/>
          <w:szCs w:val="28"/>
        </w:rPr>
        <w:t>This research is significant as it:</w:t>
      </w:r>
    </w:p>
    <w:p w14:paraId="11861CAC" w14:textId="77777777" w:rsidR="000C05CF" w:rsidRPr="000C05CF" w:rsidRDefault="000C05CF" w:rsidP="00A47E27">
      <w:pPr>
        <w:jc w:val="both"/>
        <w:rPr>
          <w:sz w:val="28"/>
          <w:szCs w:val="28"/>
        </w:rPr>
      </w:pPr>
      <w:r w:rsidRPr="000C05CF">
        <w:rPr>
          <w:sz w:val="28"/>
          <w:szCs w:val="28"/>
        </w:rPr>
        <w:t>•</w:t>
      </w:r>
      <w:r w:rsidRPr="000C05CF">
        <w:rPr>
          <w:sz w:val="28"/>
          <w:szCs w:val="28"/>
        </w:rPr>
        <w:tab/>
        <w:t>Investigates the impact of AI-driven personalization on learner engagement, addressing a key concern in e-learning research (Henrie et al., 2015).</w:t>
      </w:r>
    </w:p>
    <w:p w14:paraId="6106ABE1" w14:textId="77777777" w:rsidR="000C05CF" w:rsidRPr="000C05CF" w:rsidRDefault="000C05CF" w:rsidP="00A47E27">
      <w:pPr>
        <w:jc w:val="both"/>
        <w:rPr>
          <w:sz w:val="28"/>
          <w:szCs w:val="28"/>
        </w:rPr>
      </w:pPr>
      <w:r w:rsidRPr="000C05CF">
        <w:rPr>
          <w:sz w:val="28"/>
          <w:szCs w:val="28"/>
        </w:rPr>
        <w:t>•</w:t>
      </w:r>
      <w:r w:rsidRPr="000C05CF">
        <w:rPr>
          <w:sz w:val="28"/>
          <w:szCs w:val="28"/>
        </w:rPr>
        <w:tab/>
        <w:t>Contributes empirical evidence to instructional design, guiding educators in selecting LMS platforms that optimize student motivation and participation (Zimmerman, 2002).</w:t>
      </w:r>
    </w:p>
    <w:p w14:paraId="57FCB5D2" w14:textId="77777777" w:rsidR="000C05CF" w:rsidRPr="000C05CF" w:rsidRDefault="000C05CF" w:rsidP="00A47E27">
      <w:pPr>
        <w:jc w:val="both"/>
        <w:rPr>
          <w:sz w:val="28"/>
          <w:szCs w:val="28"/>
        </w:rPr>
      </w:pPr>
      <w:r w:rsidRPr="000C05CF">
        <w:rPr>
          <w:sz w:val="28"/>
          <w:szCs w:val="28"/>
        </w:rPr>
        <w:lastRenderedPageBreak/>
        <w:t>•</w:t>
      </w:r>
      <w:r w:rsidRPr="000C05CF">
        <w:rPr>
          <w:sz w:val="28"/>
          <w:szCs w:val="28"/>
        </w:rPr>
        <w:tab/>
        <w:t>Supports policy and decision-making for universities and educational technology developers seeking data-driven LMS improvements (Siemens, 2013).</w:t>
      </w:r>
    </w:p>
    <w:p w14:paraId="779991F6" w14:textId="14D82663" w:rsidR="004B7A6B" w:rsidRPr="004B7A6B" w:rsidRDefault="000C05CF" w:rsidP="00A47E27">
      <w:pPr>
        <w:jc w:val="both"/>
        <w:rPr>
          <w:sz w:val="28"/>
          <w:szCs w:val="28"/>
        </w:rPr>
      </w:pPr>
      <w:r w:rsidRPr="000C05CF">
        <w:rPr>
          <w:sz w:val="28"/>
          <w:szCs w:val="28"/>
        </w:rPr>
        <w:t>•</w:t>
      </w:r>
      <w:r w:rsidRPr="000C05CF">
        <w:rPr>
          <w:sz w:val="28"/>
          <w:szCs w:val="28"/>
        </w:rPr>
        <w:tab/>
        <w:t>tackles prospective ethical and educational implications of AI-based learning so that adaptive LMS systems will be in congruence with fair and just education standards (</w:t>
      </w:r>
      <w:proofErr w:type="spellStart"/>
      <w:r w:rsidRPr="000C05CF">
        <w:rPr>
          <w:sz w:val="28"/>
          <w:szCs w:val="28"/>
        </w:rPr>
        <w:t>Luckin</w:t>
      </w:r>
      <w:proofErr w:type="spellEnd"/>
      <w:r w:rsidRPr="000C05CF">
        <w:rPr>
          <w:sz w:val="28"/>
          <w:szCs w:val="28"/>
        </w:rPr>
        <w:t>, 2017).</w:t>
      </w:r>
      <w:r w:rsidR="004B7A6B" w:rsidRPr="004B7A6B">
        <w:rPr>
          <w:sz w:val="28"/>
          <w:szCs w:val="28"/>
        </w:rPr>
        <w:pict w14:anchorId="171943DF">
          <v:rect id="_x0000_i1117" style="width:0;height:1.5pt" o:hralign="center" o:hrstd="t" o:hr="t" fillcolor="#a0a0a0" stroked="f"/>
        </w:pict>
      </w:r>
    </w:p>
    <w:p w14:paraId="6BD70359" w14:textId="77777777" w:rsidR="000C05CF" w:rsidRPr="000C05CF" w:rsidRDefault="000C05CF" w:rsidP="00A47E27">
      <w:pPr>
        <w:jc w:val="both"/>
        <w:rPr>
          <w:sz w:val="28"/>
          <w:szCs w:val="28"/>
        </w:rPr>
      </w:pPr>
      <w:r w:rsidRPr="000C05CF">
        <w:rPr>
          <w:sz w:val="28"/>
          <w:szCs w:val="28"/>
        </w:rPr>
        <w:t>2. Research Gap</w:t>
      </w:r>
    </w:p>
    <w:p w14:paraId="32A857BB" w14:textId="77777777" w:rsidR="000C05CF" w:rsidRPr="000C05CF" w:rsidRDefault="000C05CF" w:rsidP="00A47E27">
      <w:pPr>
        <w:jc w:val="both"/>
        <w:rPr>
          <w:sz w:val="28"/>
          <w:szCs w:val="28"/>
        </w:rPr>
      </w:pPr>
      <w:r w:rsidRPr="000C05CF">
        <w:rPr>
          <w:sz w:val="28"/>
          <w:szCs w:val="28"/>
        </w:rPr>
        <w:t xml:space="preserve">While learner engagement has been widely studied as a predictor of academic success, existing research primarily focuses on qualitative assessments rather than quantitative statistical comparisons (Henrie, Halverson &amp; Graham, 2015). Prior studies discuss AI-driven LMS benefits in personalized learning (Dabbagh &amp; </w:t>
      </w:r>
      <w:proofErr w:type="spellStart"/>
      <w:r w:rsidRPr="000C05CF">
        <w:rPr>
          <w:sz w:val="28"/>
          <w:szCs w:val="28"/>
        </w:rPr>
        <w:t>Kitsantas</w:t>
      </w:r>
      <w:proofErr w:type="spellEnd"/>
      <w:r w:rsidRPr="000C05CF">
        <w:rPr>
          <w:sz w:val="28"/>
          <w:szCs w:val="28"/>
        </w:rPr>
        <w:t>, 2012), but few apply robust statistical models like ANCOVA to examine engagement differences between AI-based and traditional LMS platforms.</w:t>
      </w:r>
    </w:p>
    <w:p w14:paraId="7F3A7812" w14:textId="77777777" w:rsidR="000C05CF" w:rsidRPr="000C05CF" w:rsidRDefault="000C05CF" w:rsidP="00A47E27">
      <w:pPr>
        <w:jc w:val="both"/>
        <w:rPr>
          <w:sz w:val="28"/>
          <w:szCs w:val="28"/>
        </w:rPr>
      </w:pPr>
      <w:r w:rsidRPr="000C05CF">
        <w:rPr>
          <w:sz w:val="28"/>
          <w:szCs w:val="28"/>
        </w:rPr>
        <w:t>Key Research Gaps:</w:t>
      </w:r>
    </w:p>
    <w:p w14:paraId="011D5443" w14:textId="1A21DF47" w:rsidR="000C05CF" w:rsidRPr="000C05CF" w:rsidRDefault="000C05CF" w:rsidP="00A47E27">
      <w:pPr>
        <w:jc w:val="both"/>
        <w:rPr>
          <w:sz w:val="28"/>
          <w:szCs w:val="28"/>
        </w:rPr>
      </w:pPr>
      <w:r w:rsidRPr="000C05CF">
        <w:rPr>
          <w:sz w:val="28"/>
          <w:szCs w:val="28"/>
        </w:rPr>
        <w:t>1.</w:t>
      </w:r>
      <w:r w:rsidRPr="000C05CF">
        <w:rPr>
          <w:sz w:val="28"/>
          <w:szCs w:val="28"/>
        </w:rPr>
        <w:tab/>
        <w:t xml:space="preserve">Limited statistical validation of AI-driven LMS engagement—most existing studies rely on descriptive or observational analyses rather than comparative statistical </w:t>
      </w:r>
      <w:r w:rsidR="00282463" w:rsidRPr="000C05CF">
        <w:rPr>
          <w:sz w:val="28"/>
          <w:szCs w:val="28"/>
        </w:rPr>
        <w:t>modelling</w:t>
      </w:r>
      <w:r w:rsidRPr="000C05CF">
        <w:rPr>
          <w:sz w:val="28"/>
          <w:szCs w:val="28"/>
        </w:rPr>
        <w:t>.</w:t>
      </w:r>
    </w:p>
    <w:p w14:paraId="5D363C6B" w14:textId="77777777" w:rsidR="000C05CF" w:rsidRPr="000C05CF" w:rsidRDefault="000C05CF" w:rsidP="00A47E27">
      <w:pPr>
        <w:jc w:val="both"/>
        <w:rPr>
          <w:sz w:val="28"/>
          <w:szCs w:val="28"/>
        </w:rPr>
      </w:pPr>
      <w:r w:rsidRPr="000C05CF">
        <w:rPr>
          <w:sz w:val="28"/>
          <w:szCs w:val="28"/>
        </w:rPr>
        <w:t>2.</w:t>
      </w:r>
      <w:r w:rsidRPr="000C05CF">
        <w:rPr>
          <w:sz w:val="28"/>
          <w:szCs w:val="28"/>
        </w:rPr>
        <w:tab/>
        <w:t>Lack of control over confounding variables—prior research does not systematically account for prior LMS experience, demographic differences, or learning styles, which may influence engagement outcomes.</w:t>
      </w:r>
    </w:p>
    <w:p w14:paraId="04B8C9EA" w14:textId="3178A509" w:rsidR="000C05CF" w:rsidRPr="000C05CF" w:rsidRDefault="000C05CF" w:rsidP="00A47E27">
      <w:pPr>
        <w:jc w:val="both"/>
        <w:rPr>
          <w:sz w:val="28"/>
          <w:szCs w:val="28"/>
        </w:rPr>
      </w:pPr>
      <w:r w:rsidRPr="000C05CF">
        <w:rPr>
          <w:sz w:val="28"/>
          <w:szCs w:val="28"/>
        </w:rPr>
        <w:t>3.</w:t>
      </w:r>
      <w:r w:rsidRPr="000C05CF">
        <w:rPr>
          <w:sz w:val="28"/>
          <w:szCs w:val="28"/>
        </w:rPr>
        <w:tab/>
        <w:t xml:space="preserve">Absence of empirical studies using ANCOVA to compare engagement dimensions—cognitive, emotional, and </w:t>
      </w:r>
      <w:r w:rsidR="00282463" w:rsidRPr="000C05CF">
        <w:rPr>
          <w:sz w:val="28"/>
          <w:szCs w:val="28"/>
        </w:rPr>
        <w:t>behavioural</w:t>
      </w:r>
      <w:r w:rsidRPr="000C05CF">
        <w:rPr>
          <w:sz w:val="28"/>
          <w:szCs w:val="28"/>
        </w:rPr>
        <w:t xml:space="preserve"> engagement remain underexplored in AI-driven vs. traditional LMS environments.</w:t>
      </w:r>
    </w:p>
    <w:p w14:paraId="4026CA4F" w14:textId="77777777" w:rsidR="000C05CF" w:rsidRPr="000C05CF" w:rsidRDefault="000C05CF" w:rsidP="00A47E27">
      <w:pPr>
        <w:jc w:val="both"/>
        <w:rPr>
          <w:sz w:val="28"/>
          <w:szCs w:val="28"/>
        </w:rPr>
      </w:pPr>
      <w:r w:rsidRPr="000C05CF">
        <w:rPr>
          <w:sz w:val="28"/>
          <w:szCs w:val="28"/>
        </w:rPr>
        <w:t>This study will address these gaps by implementing a quasi-experimental post-hoc comparative design, applying ANCOVA to assess engagement differences while controlling for confounding variables.</w:t>
      </w:r>
    </w:p>
    <w:p w14:paraId="2B2C0A4C" w14:textId="77777777" w:rsidR="000C05CF" w:rsidRPr="000C05CF" w:rsidRDefault="000C05CF" w:rsidP="00A47E27">
      <w:pPr>
        <w:jc w:val="both"/>
        <w:rPr>
          <w:sz w:val="28"/>
          <w:szCs w:val="28"/>
        </w:rPr>
      </w:pPr>
      <w:r w:rsidRPr="000C05CF">
        <w:rPr>
          <w:sz w:val="28"/>
          <w:szCs w:val="28"/>
        </w:rPr>
        <w:t>________________________________________</w:t>
      </w:r>
    </w:p>
    <w:p w14:paraId="69D37D40" w14:textId="77777777" w:rsidR="000C05CF" w:rsidRPr="000C05CF" w:rsidRDefault="000C05CF" w:rsidP="00A47E27">
      <w:pPr>
        <w:jc w:val="both"/>
        <w:rPr>
          <w:sz w:val="28"/>
          <w:szCs w:val="28"/>
        </w:rPr>
      </w:pPr>
      <w:r w:rsidRPr="000C05CF">
        <w:rPr>
          <w:sz w:val="28"/>
          <w:szCs w:val="28"/>
        </w:rPr>
        <w:t>2. Aims and Objectives</w:t>
      </w:r>
    </w:p>
    <w:p w14:paraId="7178F1FD" w14:textId="77777777" w:rsidR="000C05CF" w:rsidRPr="000C05CF" w:rsidRDefault="000C05CF" w:rsidP="00A47E27">
      <w:pPr>
        <w:jc w:val="both"/>
        <w:rPr>
          <w:sz w:val="28"/>
          <w:szCs w:val="28"/>
        </w:rPr>
      </w:pPr>
      <w:r w:rsidRPr="000C05CF">
        <w:rPr>
          <w:sz w:val="28"/>
          <w:szCs w:val="28"/>
        </w:rPr>
        <w:lastRenderedPageBreak/>
        <w:t>Research Purpose</w:t>
      </w:r>
    </w:p>
    <w:p w14:paraId="47E86CC6" w14:textId="11B31525" w:rsidR="000C05CF" w:rsidRPr="000C05CF" w:rsidRDefault="000C05CF" w:rsidP="00A47E27">
      <w:pPr>
        <w:jc w:val="both"/>
        <w:rPr>
          <w:sz w:val="28"/>
          <w:szCs w:val="28"/>
        </w:rPr>
      </w:pPr>
      <w:r w:rsidRPr="000C05CF">
        <w:rPr>
          <w:sz w:val="28"/>
          <w:szCs w:val="28"/>
        </w:rPr>
        <w:t xml:space="preserve">This research seeks to evaluate the effect of AI-based personalization on learner engagement by contrasting two LMS systems: Moodle (legacy) and </w:t>
      </w:r>
      <w:proofErr w:type="spellStart"/>
      <w:r w:rsidRPr="000C05CF">
        <w:rPr>
          <w:sz w:val="28"/>
          <w:szCs w:val="28"/>
        </w:rPr>
        <w:t>Coursa</w:t>
      </w:r>
      <w:proofErr w:type="spellEnd"/>
      <w:r w:rsidRPr="000C05CF">
        <w:rPr>
          <w:sz w:val="28"/>
          <w:szCs w:val="28"/>
        </w:rPr>
        <w:t xml:space="preserve"> (adaptive AI). Through investigation of engagement on cognitive, affective, and </w:t>
      </w:r>
      <w:r w:rsidR="006950A0" w:rsidRPr="000C05CF">
        <w:rPr>
          <w:sz w:val="28"/>
          <w:szCs w:val="28"/>
        </w:rPr>
        <w:t>behavioural</w:t>
      </w:r>
      <w:r w:rsidRPr="000C05CF">
        <w:rPr>
          <w:sz w:val="28"/>
          <w:szCs w:val="28"/>
        </w:rPr>
        <w:t xml:space="preserve"> levels, the study aims to identify if AI-adaptive platforms improve learner engagement better compared to legacy LMS models.</w:t>
      </w:r>
    </w:p>
    <w:p w14:paraId="3AA1B721" w14:textId="77777777" w:rsidR="000C05CF" w:rsidRPr="000C05CF" w:rsidRDefault="000C05CF" w:rsidP="00A47E27">
      <w:pPr>
        <w:jc w:val="both"/>
        <w:rPr>
          <w:sz w:val="28"/>
          <w:szCs w:val="28"/>
        </w:rPr>
      </w:pPr>
      <w:r w:rsidRPr="000C05CF">
        <w:rPr>
          <w:sz w:val="28"/>
          <w:szCs w:val="28"/>
        </w:rPr>
        <w:t>Research Aims</w:t>
      </w:r>
    </w:p>
    <w:p w14:paraId="68FB469A" w14:textId="1FF35325" w:rsidR="000C05CF" w:rsidRPr="000C05CF" w:rsidRDefault="000C05CF" w:rsidP="00A47E27">
      <w:pPr>
        <w:jc w:val="both"/>
        <w:rPr>
          <w:sz w:val="28"/>
          <w:szCs w:val="28"/>
        </w:rPr>
      </w:pPr>
      <w:r w:rsidRPr="000C05CF">
        <w:rPr>
          <w:sz w:val="28"/>
          <w:szCs w:val="28"/>
        </w:rPr>
        <w:t>•</w:t>
      </w:r>
      <w:r w:rsidR="006950A0">
        <w:rPr>
          <w:sz w:val="28"/>
          <w:szCs w:val="28"/>
        </w:rPr>
        <w:t xml:space="preserve">        </w:t>
      </w:r>
      <w:r w:rsidR="006950A0" w:rsidRPr="000C05CF">
        <w:rPr>
          <w:sz w:val="28"/>
          <w:szCs w:val="28"/>
        </w:rPr>
        <w:t>to</w:t>
      </w:r>
      <w:r w:rsidRPr="000C05CF">
        <w:rPr>
          <w:sz w:val="28"/>
          <w:szCs w:val="28"/>
        </w:rPr>
        <w:t xml:space="preserve"> examine the degree to which AI-based personalization affects learner engagement within an LMS setting.</w:t>
      </w:r>
    </w:p>
    <w:p w14:paraId="0AD06514" w14:textId="7A5D664F" w:rsidR="000C05CF" w:rsidRPr="000C05CF" w:rsidRDefault="000C05CF" w:rsidP="00A47E27">
      <w:pPr>
        <w:jc w:val="both"/>
        <w:rPr>
          <w:sz w:val="28"/>
          <w:szCs w:val="28"/>
        </w:rPr>
      </w:pPr>
      <w:r w:rsidRPr="000C05CF">
        <w:rPr>
          <w:sz w:val="28"/>
          <w:szCs w:val="28"/>
        </w:rPr>
        <w:t>•</w:t>
      </w:r>
      <w:r w:rsidRPr="000C05CF">
        <w:rPr>
          <w:sz w:val="28"/>
          <w:szCs w:val="28"/>
        </w:rPr>
        <w:tab/>
        <w:t xml:space="preserve">To compare levels of engagement in Moodle vs. </w:t>
      </w:r>
      <w:proofErr w:type="spellStart"/>
      <w:r w:rsidRPr="000C05CF">
        <w:rPr>
          <w:sz w:val="28"/>
          <w:szCs w:val="28"/>
        </w:rPr>
        <w:t>Coursa</w:t>
      </w:r>
      <w:proofErr w:type="spellEnd"/>
      <w:r w:rsidRPr="000C05CF">
        <w:rPr>
          <w:sz w:val="28"/>
          <w:szCs w:val="28"/>
        </w:rPr>
        <w:t xml:space="preserve"> on cognitive, emotional, and </w:t>
      </w:r>
      <w:r w:rsidR="006950A0" w:rsidRPr="000C05CF">
        <w:rPr>
          <w:sz w:val="28"/>
          <w:szCs w:val="28"/>
        </w:rPr>
        <w:t>behavioural</w:t>
      </w:r>
      <w:r w:rsidRPr="000C05CF">
        <w:rPr>
          <w:sz w:val="28"/>
          <w:szCs w:val="28"/>
        </w:rPr>
        <w:t xml:space="preserve"> dimensions.</w:t>
      </w:r>
    </w:p>
    <w:p w14:paraId="77C26FA7" w14:textId="77777777" w:rsidR="000C05CF" w:rsidRPr="000C05CF" w:rsidRDefault="000C05CF" w:rsidP="00A47E27">
      <w:pPr>
        <w:jc w:val="both"/>
        <w:rPr>
          <w:sz w:val="28"/>
          <w:szCs w:val="28"/>
        </w:rPr>
      </w:pPr>
      <w:r w:rsidRPr="000C05CF">
        <w:rPr>
          <w:sz w:val="28"/>
          <w:szCs w:val="28"/>
        </w:rPr>
        <w:t>•</w:t>
      </w:r>
      <w:r w:rsidRPr="000C05CF">
        <w:rPr>
          <w:sz w:val="28"/>
          <w:szCs w:val="28"/>
        </w:rPr>
        <w:tab/>
        <w:t>To statistically control for confounding factors (e.g., prior experience with online learning, demographics) using ANCOVA.</w:t>
      </w:r>
    </w:p>
    <w:p w14:paraId="79424D21" w14:textId="77777777" w:rsidR="000C05CF" w:rsidRPr="000C05CF" w:rsidRDefault="000C05CF" w:rsidP="00A47E27">
      <w:pPr>
        <w:jc w:val="both"/>
        <w:rPr>
          <w:sz w:val="28"/>
          <w:szCs w:val="28"/>
        </w:rPr>
      </w:pPr>
      <w:r w:rsidRPr="000C05CF">
        <w:rPr>
          <w:sz w:val="28"/>
          <w:szCs w:val="28"/>
        </w:rPr>
        <w:t>•</w:t>
      </w:r>
      <w:r w:rsidRPr="000C05CF">
        <w:rPr>
          <w:sz w:val="28"/>
          <w:szCs w:val="28"/>
        </w:rPr>
        <w:tab/>
        <w:t>To assess if AI-driven personalization enhances the motivation and long-term engagement of students.</w:t>
      </w:r>
    </w:p>
    <w:p w14:paraId="7F95E7BE" w14:textId="77777777" w:rsidR="000C05CF" w:rsidRPr="000C05CF" w:rsidRDefault="000C05CF" w:rsidP="00A47E27">
      <w:pPr>
        <w:jc w:val="both"/>
        <w:rPr>
          <w:sz w:val="28"/>
          <w:szCs w:val="28"/>
        </w:rPr>
      </w:pPr>
      <w:r w:rsidRPr="000C05CF">
        <w:rPr>
          <w:sz w:val="28"/>
          <w:szCs w:val="28"/>
        </w:rPr>
        <w:t>•</w:t>
      </w:r>
      <w:r w:rsidRPr="000C05CF">
        <w:rPr>
          <w:sz w:val="28"/>
          <w:szCs w:val="28"/>
        </w:rPr>
        <w:tab/>
        <w:t>To provide empirical insights that inform LMS design enhancements, allowing educational institutions to make informed choices for optimal platforms.</w:t>
      </w:r>
    </w:p>
    <w:p w14:paraId="34E84E7F" w14:textId="77777777" w:rsidR="000C05CF" w:rsidRPr="000C05CF" w:rsidRDefault="000C05CF" w:rsidP="00A47E27">
      <w:pPr>
        <w:jc w:val="both"/>
        <w:rPr>
          <w:sz w:val="28"/>
          <w:szCs w:val="28"/>
        </w:rPr>
      </w:pPr>
      <w:r w:rsidRPr="000C05CF">
        <w:rPr>
          <w:sz w:val="28"/>
          <w:szCs w:val="28"/>
        </w:rPr>
        <w:t>Gap in Literature</w:t>
      </w:r>
    </w:p>
    <w:p w14:paraId="4F183C52" w14:textId="77777777" w:rsidR="000C05CF" w:rsidRPr="000C05CF" w:rsidRDefault="000C05CF" w:rsidP="00A47E27">
      <w:pPr>
        <w:jc w:val="both"/>
        <w:rPr>
          <w:sz w:val="28"/>
          <w:szCs w:val="28"/>
        </w:rPr>
      </w:pPr>
      <w:r w:rsidRPr="000C05CF">
        <w:rPr>
          <w:sz w:val="28"/>
          <w:szCs w:val="28"/>
        </w:rPr>
        <w:t>Previous research underscores the importance of learner engagement in digital learning environments but lacks quantitative validation of engagement differences between traditional and AI-driven LMS platforms. Most prior studies have relied on qualitative methods, failing to control for confounding variables such as prior online experience or demographic factors (Henrie, Halverson &amp; Graham, 2015; Siemens, 2013).</w:t>
      </w:r>
    </w:p>
    <w:p w14:paraId="6FCEFBFD" w14:textId="2C8C74BF" w:rsidR="000C05CF" w:rsidRPr="000C05CF" w:rsidRDefault="000C05CF" w:rsidP="00A47E27">
      <w:pPr>
        <w:jc w:val="both"/>
        <w:rPr>
          <w:sz w:val="28"/>
          <w:szCs w:val="28"/>
        </w:rPr>
      </w:pPr>
      <w:r w:rsidRPr="000C05CF">
        <w:rPr>
          <w:sz w:val="28"/>
          <w:szCs w:val="28"/>
        </w:rPr>
        <w:t xml:space="preserve">Furthermore, existing studies do not sufficiently explore how AI-driven personalization impacts engagement differently across cognitive, emotional, and </w:t>
      </w:r>
      <w:r w:rsidR="006950A0" w:rsidRPr="000C05CF">
        <w:rPr>
          <w:sz w:val="28"/>
          <w:szCs w:val="28"/>
        </w:rPr>
        <w:t>behavioural</w:t>
      </w:r>
      <w:r w:rsidRPr="000C05CF">
        <w:rPr>
          <w:sz w:val="28"/>
          <w:szCs w:val="28"/>
        </w:rPr>
        <w:t xml:space="preserve"> dimensions. While researchers acknowledge the potential benefits of AI in education (Dabbagh &amp; </w:t>
      </w:r>
      <w:proofErr w:type="spellStart"/>
      <w:r w:rsidRPr="000C05CF">
        <w:rPr>
          <w:sz w:val="28"/>
          <w:szCs w:val="28"/>
        </w:rPr>
        <w:t>Kitsantas</w:t>
      </w:r>
      <w:proofErr w:type="spellEnd"/>
      <w:r w:rsidRPr="000C05CF">
        <w:rPr>
          <w:sz w:val="28"/>
          <w:szCs w:val="28"/>
        </w:rPr>
        <w:t xml:space="preserve">, 2012; </w:t>
      </w:r>
      <w:proofErr w:type="spellStart"/>
      <w:r w:rsidRPr="000C05CF">
        <w:rPr>
          <w:sz w:val="28"/>
          <w:szCs w:val="28"/>
        </w:rPr>
        <w:t>Luckin</w:t>
      </w:r>
      <w:proofErr w:type="spellEnd"/>
      <w:r w:rsidRPr="000C05CF">
        <w:rPr>
          <w:sz w:val="28"/>
          <w:szCs w:val="28"/>
        </w:rPr>
        <w:t xml:space="preserve">, 2017), there is a lack of empirical studies employing statistical techniques </w:t>
      </w:r>
      <w:r w:rsidRPr="000C05CF">
        <w:rPr>
          <w:sz w:val="28"/>
          <w:szCs w:val="28"/>
        </w:rPr>
        <w:lastRenderedPageBreak/>
        <w:t>such as ANCOVA to rigorously compare engagement outcomes across different LMS platforms.</w:t>
      </w:r>
    </w:p>
    <w:p w14:paraId="4C67CEEC" w14:textId="72A60FD2" w:rsidR="004B7A6B" w:rsidRPr="004B7A6B" w:rsidRDefault="000C05CF" w:rsidP="00A47E27">
      <w:pPr>
        <w:jc w:val="both"/>
        <w:rPr>
          <w:sz w:val="28"/>
          <w:szCs w:val="28"/>
        </w:rPr>
      </w:pPr>
      <w:r w:rsidRPr="000C05CF">
        <w:rPr>
          <w:sz w:val="28"/>
          <w:szCs w:val="28"/>
        </w:rPr>
        <w:t>This study addresses these limitations by employing ANCOVA, a statistical model that enables a rigorous comparative analysis of engagement differences while controlling for external variables. By using quantitative statistical methods, this research provides empirical confirmation of the effects of AI-personalized learning pathways, thereby filling a critical gap in e-learning research.</w:t>
      </w:r>
      <w:r w:rsidR="004B7A6B" w:rsidRPr="004B7A6B">
        <w:rPr>
          <w:sz w:val="28"/>
          <w:szCs w:val="28"/>
        </w:rPr>
        <w:pict w14:anchorId="325C1AE3">
          <v:rect id="_x0000_i1156" style="width:0;height:1.5pt" o:hralign="center" o:hrstd="t" o:hr="t" fillcolor="#a0a0a0" stroked="f"/>
        </w:pict>
      </w:r>
    </w:p>
    <w:p w14:paraId="10C4F2EE" w14:textId="77777777" w:rsidR="002B3974" w:rsidRPr="002B3974" w:rsidRDefault="002B3974" w:rsidP="00A47E27">
      <w:pPr>
        <w:jc w:val="both"/>
        <w:rPr>
          <w:sz w:val="28"/>
          <w:szCs w:val="28"/>
        </w:rPr>
      </w:pPr>
      <w:r w:rsidRPr="002B3974">
        <w:rPr>
          <w:sz w:val="28"/>
          <w:szCs w:val="28"/>
        </w:rPr>
        <w:t>3. Proposed Plan of Work</w:t>
      </w:r>
    </w:p>
    <w:p w14:paraId="6EA84383" w14:textId="77777777" w:rsidR="002B3974" w:rsidRPr="002B3974" w:rsidRDefault="002B3974" w:rsidP="00A47E27">
      <w:pPr>
        <w:jc w:val="both"/>
        <w:rPr>
          <w:sz w:val="28"/>
          <w:szCs w:val="28"/>
        </w:rPr>
      </w:pPr>
      <w:r w:rsidRPr="002B3974">
        <w:rPr>
          <w:sz w:val="28"/>
          <w:szCs w:val="28"/>
        </w:rPr>
        <w:t>This study will be conducted from April to September 2025, assuming integration into module ECDE7021.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45"/>
        <w:gridCol w:w="5084"/>
        <w:gridCol w:w="2091"/>
      </w:tblGrid>
      <w:tr w:rsidR="002B3974" w:rsidRPr="002B3974" w14:paraId="09DD60C2" w14:textId="77777777" w:rsidTr="002B3974">
        <w:trPr>
          <w:tblHeader/>
          <w:tblCellSpacing w:w="15" w:type="dxa"/>
        </w:trPr>
        <w:tc>
          <w:tcPr>
            <w:tcW w:w="0" w:type="auto"/>
            <w:vAlign w:val="center"/>
            <w:hideMark/>
          </w:tcPr>
          <w:p w14:paraId="4832FB7D" w14:textId="77777777" w:rsidR="002B3974" w:rsidRPr="002B3974" w:rsidRDefault="002B3974" w:rsidP="00A47E27">
            <w:pPr>
              <w:jc w:val="both"/>
              <w:rPr>
                <w:sz w:val="28"/>
                <w:szCs w:val="28"/>
              </w:rPr>
            </w:pPr>
            <w:r w:rsidRPr="002B3974">
              <w:rPr>
                <w:sz w:val="28"/>
                <w:szCs w:val="28"/>
              </w:rPr>
              <w:t>Phase</w:t>
            </w:r>
          </w:p>
        </w:tc>
        <w:tc>
          <w:tcPr>
            <w:tcW w:w="0" w:type="auto"/>
            <w:vAlign w:val="center"/>
            <w:hideMark/>
          </w:tcPr>
          <w:p w14:paraId="66E6D0D6" w14:textId="77777777" w:rsidR="002B3974" w:rsidRPr="002B3974" w:rsidRDefault="002B3974" w:rsidP="00A47E27">
            <w:pPr>
              <w:jc w:val="both"/>
              <w:rPr>
                <w:sz w:val="28"/>
                <w:szCs w:val="28"/>
              </w:rPr>
            </w:pPr>
            <w:r w:rsidRPr="002B3974">
              <w:rPr>
                <w:sz w:val="28"/>
                <w:szCs w:val="28"/>
              </w:rPr>
              <w:t>Activity</w:t>
            </w:r>
          </w:p>
        </w:tc>
        <w:tc>
          <w:tcPr>
            <w:tcW w:w="0" w:type="auto"/>
            <w:vAlign w:val="center"/>
            <w:hideMark/>
          </w:tcPr>
          <w:p w14:paraId="3FE68732" w14:textId="77777777" w:rsidR="002B3974" w:rsidRPr="002B3974" w:rsidRDefault="002B3974" w:rsidP="00A47E27">
            <w:pPr>
              <w:jc w:val="both"/>
              <w:rPr>
                <w:sz w:val="28"/>
                <w:szCs w:val="28"/>
              </w:rPr>
            </w:pPr>
            <w:r w:rsidRPr="002B3974">
              <w:rPr>
                <w:sz w:val="28"/>
                <w:szCs w:val="28"/>
              </w:rPr>
              <w:t>Timeframe</w:t>
            </w:r>
          </w:p>
        </w:tc>
      </w:tr>
      <w:tr w:rsidR="002B3974" w:rsidRPr="002B3974" w14:paraId="72AE4C97" w14:textId="77777777" w:rsidTr="002B3974">
        <w:trPr>
          <w:tblCellSpacing w:w="15" w:type="dxa"/>
        </w:trPr>
        <w:tc>
          <w:tcPr>
            <w:tcW w:w="0" w:type="auto"/>
            <w:vAlign w:val="center"/>
            <w:hideMark/>
          </w:tcPr>
          <w:p w14:paraId="0CD5B2EB" w14:textId="77777777" w:rsidR="002B3974" w:rsidRPr="002B3974" w:rsidRDefault="002B3974" w:rsidP="00A47E27">
            <w:pPr>
              <w:jc w:val="both"/>
              <w:rPr>
                <w:sz w:val="28"/>
                <w:szCs w:val="28"/>
              </w:rPr>
            </w:pPr>
            <w:r w:rsidRPr="002B3974">
              <w:rPr>
                <w:sz w:val="28"/>
                <w:szCs w:val="28"/>
              </w:rPr>
              <w:t>Phase 1</w:t>
            </w:r>
          </w:p>
        </w:tc>
        <w:tc>
          <w:tcPr>
            <w:tcW w:w="0" w:type="auto"/>
            <w:vAlign w:val="center"/>
            <w:hideMark/>
          </w:tcPr>
          <w:p w14:paraId="7D3D9CF0" w14:textId="77777777" w:rsidR="002B3974" w:rsidRPr="002B3974" w:rsidRDefault="002B3974" w:rsidP="00A47E27">
            <w:pPr>
              <w:jc w:val="both"/>
              <w:rPr>
                <w:sz w:val="28"/>
                <w:szCs w:val="28"/>
              </w:rPr>
            </w:pPr>
            <w:r w:rsidRPr="002B3974">
              <w:rPr>
                <w:sz w:val="28"/>
                <w:szCs w:val="28"/>
              </w:rPr>
              <w:t>Literature review &amp; proposal development</w:t>
            </w:r>
          </w:p>
        </w:tc>
        <w:tc>
          <w:tcPr>
            <w:tcW w:w="0" w:type="auto"/>
            <w:vAlign w:val="center"/>
            <w:hideMark/>
          </w:tcPr>
          <w:p w14:paraId="3FBA8C89" w14:textId="77777777" w:rsidR="002B3974" w:rsidRPr="002B3974" w:rsidRDefault="002B3974" w:rsidP="00A47E27">
            <w:pPr>
              <w:jc w:val="both"/>
              <w:rPr>
                <w:sz w:val="28"/>
                <w:szCs w:val="28"/>
              </w:rPr>
            </w:pPr>
            <w:r w:rsidRPr="002B3974">
              <w:rPr>
                <w:sz w:val="28"/>
                <w:szCs w:val="28"/>
              </w:rPr>
              <w:t>May 2025</w:t>
            </w:r>
          </w:p>
        </w:tc>
      </w:tr>
      <w:tr w:rsidR="002B3974" w:rsidRPr="002B3974" w14:paraId="071374A4" w14:textId="77777777" w:rsidTr="002B3974">
        <w:trPr>
          <w:tblCellSpacing w:w="15" w:type="dxa"/>
        </w:trPr>
        <w:tc>
          <w:tcPr>
            <w:tcW w:w="0" w:type="auto"/>
            <w:vAlign w:val="center"/>
            <w:hideMark/>
          </w:tcPr>
          <w:p w14:paraId="23BD417B" w14:textId="77777777" w:rsidR="002B3974" w:rsidRPr="002B3974" w:rsidRDefault="002B3974" w:rsidP="00A47E27">
            <w:pPr>
              <w:jc w:val="both"/>
              <w:rPr>
                <w:sz w:val="28"/>
                <w:szCs w:val="28"/>
              </w:rPr>
            </w:pPr>
            <w:r w:rsidRPr="002B3974">
              <w:rPr>
                <w:sz w:val="28"/>
                <w:szCs w:val="28"/>
              </w:rPr>
              <w:t>Phase 2</w:t>
            </w:r>
          </w:p>
        </w:tc>
        <w:tc>
          <w:tcPr>
            <w:tcW w:w="0" w:type="auto"/>
            <w:vAlign w:val="center"/>
            <w:hideMark/>
          </w:tcPr>
          <w:p w14:paraId="2E85D2A4" w14:textId="77777777" w:rsidR="002B3974" w:rsidRPr="002B3974" w:rsidRDefault="002B3974" w:rsidP="00A47E27">
            <w:pPr>
              <w:jc w:val="both"/>
              <w:rPr>
                <w:sz w:val="28"/>
                <w:szCs w:val="28"/>
              </w:rPr>
            </w:pPr>
            <w:r w:rsidRPr="002B3974">
              <w:rPr>
                <w:sz w:val="28"/>
                <w:szCs w:val="28"/>
              </w:rPr>
              <w:t>Ethics approval &amp; participant recruitment</w:t>
            </w:r>
          </w:p>
        </w:tc>
        <w:tc>
          <w:tcPr>
            <w:tcW w:w="0" w:type="auto"/>
            <w:vAlign w:val="center"/>
            <w:hideMark/>
          </w:tcPr>
          <w:p w14:paraId="5EEEB7F1" w14:textId="77777777" w:rsidR="002B3974" w:rsidRPr="002B3974" w:rsidRDefault="002B3974" w:rsidP="00A47E27">
            <w:pPr>
              <w:jc w:val="both"/>
              <w:rPr>
                <w:sz w:val="28"/>
                <w:szCs w:val="28"/>
              </w:rPr>
            </w:pPr>
            <w:r w:rsidRPr="002B3974">
              <w:rPr>
                <w:sz w:val="28"/>
                <w:szCs w:val="28"/>
              </w:rPr>
              <w:t>June 2025</w:t>
            </w:r>
          </w:p>
        </w:tc>
      </w:tr>
      <w:tr w:rsidR="002B3974" w:rsidRPr="002B3974" w14:paraId="5F942B8E" w14:textId="77777777" w:rsidTr="002B3974">
        <w:trPr>
          <w:tblCellSpacing w:w="15" w:type="dxa"/>
        </w:trPr>
        <w:tc>
          <w:tcPr>
            <w:tcW w:w="0" w:type="auto"/>
            <w:vAlign w:val="center"/>
            <w:hideMark/>
          </w:tcPr>
          <w:p w14:paraId="106E7420" w14:textId="77777777" w:rsidR="002B3974" w:rsidRPr="002B3974" w:rsidRDefault="002B3974" w:rsidP="00A47E27">
            <w:pPr>
              <w:jc w:val="both"/>
              <w:rPr>
                <w:sz w:val="28"/>
                <w:szCs w:val="28"/>
              </w:rPr>
            </w:pPr>
            <w:r w:rsidRPr="002B3974">
              <w:rPr>
                <w:sz w:val="28"/>
                <w:szCs w:val="28"/>
              </w:rPr>
              <w:t>Phase 3</w:t>
            </w:r>
          </w:p>
        </w:tc>
        <w:tc>
          <w:tcPr>
            <w:tcW w:w="0" w:type="auto"/>
            <w:vAlign w:val="center"/>
            <w:hideMark/>
          </w:tcPr>
          <w:p w14:paraId="78699A1B" w14:textId="77777777" w:rsidR="002B3974" w:rsidRPr="002B3974" w:rsidRDefault="002B3974" w:rsidP="00A47E27">
            <w:pPr>
              <w:jc w:val="both"/>
              <w:rPr>
                <w:sz w:val="28"/>
                <w:szCs w:val="28"/>
              </w:rPr>
            </w:pPr>
            <w:r w:rsidRPr="002B3974">
              <w:rPr>
                <w:sz w:val="28"/>
                <w:szCs w:val="28"/>
              </w:rPr>
              <w:t>Data collection &amp; preliminary analysis</w:t>
            </w:r>
          </w:p>
        </w:tc>
        <w:tc>
          <w:tcPr>
            <w:tcW w:w="0" w:type="auto"/>
            <w:vAlign w:val="center"/>
            <w:hideMark/>
          </w:tcPr>
          <w:p w14:paraId="0649FDA4" w14:textId="77777777" w:rsidR="002B3974" w:rsidRPr="002B3974" w:rsidRDefault="002B3974" w:rsidP="00A47E27">
            <w:pPr>
              <w:jc w:val="both"/>
              <w:rPr>
                <w:sz w:val="28"/>
                <w:szCs w:val="28"/>
              </w:rPr>
            </w:pPr>
            <w:r w:rsidRPr="002B3974">
              <w:rPr>
                <w:sz w:val="28"/>
                <w:szCs w:val="28"/>
              </w:rPr>
              <w:t>July 2025</w:t>
            </w:r>
          </w:p>
        </w:tc>
      </w:tr>
      <w:tr w:rsidR="002B3974" w:rsidRPr="002B3974" w14:paraId="12B2B1FE" w14:textId="77777777" w:rsidTr="002B3974">
        <w:trPr>
          <w:tblCellSpacing w:w="15" w:type="dxa"/>
        </w:trPr>
        <w:tc>
          <w:tcPr>
            <w:tcW w:w="0" w:type="auto"/>
            <w:vAlign w:val="center"/>
            <w:hideMark/>
          </w:tcPr>
          <w:p w14:paraId="5257E284" w14:textId="77777777" w:rsidR="002B3974" w:rsidRPr="002B3974" w:rsidRDefault="002B3974" w:rsidP="00A47E27">
            <w:pPr>
              <w:jc w:val="both"/>
              <w:rPr>
                <w:sz w:val="28"/>
                <w:szCs w:val="28"/>
              </w:rPr>
            </w:pPr>
            <w:r w:rsidRPr="002B3974">
              <w:rPr>
                <w:sz w:val="28"/>
                <w:szCs w:val="28"/>
              </w:rPr>
              <w:t>Phase 4</w:t>
            </w:r>
          </w:p>
        </w:tc>
        <w:tc>
          <w:tcPr>
            <w:tcW w:w="0" w:type="auto"/>
            <w:vAlign w:val="center"/>
            <w:hideMark/>
          </w:tcPr>
          <w:p w14:paraId="1099CC6E" w14:textId="77777777" w:rsidR="002B3974" w:rsidRPr="002B3974" w:rsidRDefault="002B3974" w:rsidP="00A47E27">
            <w:pPr>
              <w:jc w:val="both"/>
              <w:rPr>
                <w:sz w:val="28"/>
                <w:szCs w:val="28"/>
              </w:rPr>
            </w:pPr>
            <w:r w:rsidRPr="002B3974">
              <w:rPr>
                <w:sz w:val="28"/>
                <w:szCs w:val="28"/>
              </w:rPr>
              <w:t>Full analysis &amp; discussion of results</w:t>
            </w:r>
          </w:p>
        </w:tc>
        <w:tc>
          <w:tcPr>
            <w:tcW w:w="0" w:type="auto"/>
            <w:vAlign w:val="center"/>
            <w:hideMark/>
          </w:tcPr>
          <w:p w14:paraId="77444FB4" w14:textId="77777777" w:rsidR="002B3974" w:rsidRPr="002B3974" w:rsidRDefault="002B3974" w:rsidP="00A47E27">
            <w:pPr>
              <w:jc w:val="both"/>
              <w:rPr>
                <w:sz w:val="28"/>
                <w:szCs w:val="28"/>
              </w:rPr>
            </w:pPr>
            <w:r w:rsidRPr="002B3974">
              <w:rPr>
                <w:sz w:val="28"/>
                <w:szCs w:val="28"/>
              </w:rPr>
              <w:t>August 2025</w:t>
            </w:r>
          </w:p>
        </w:tc>
      </w:tr>
      <w:tr w:rsidR="002B3974" w:rsidRPr="002B3974" w14:paraId="4733014E" w14:textId="77777777" w:rsidTr="002B3974">
        <w:trPr>
          <w:tblCellSpacing w:w="15" w:type="dxa"/>
        </w:trPr>
        <w:tc>
          <w:tcPr>
            <w:tcW w:w="0" w:type="auto"/>
            <w:vAlign w:val="center"/>
            <w:hideMark/>
          </w:tcPr>
          <w:p w14:paraId="6C630BA7" w14:textId="77777777" w:rsidR="002B3974" w:rsidRPr="002B3974" w:rsidRDefault="002B3974" w:rsidP="00A47E27">
            <w:pPr>
              <w:jc w:val="both"/>
              <w:rPr>
                <w:sz w:val="28"/>
                <w:szCs w:val="28"/>
              </w:rPr>
            </w:pPr>
            <w:r w:rsidRPr="002B3974">
              <w:rPr>
                <w:sz w:val="28"/>
                <w:szCs w:val="28"/>
              </w:rPr>
              <w:t>Phase 5</w:t>
            </w:r>
          </w:p>
        </w:tc>
        <w:tc>
          <w:tcPr>
            <w:tcW w:w="0" w:type="auto"/>
            <w:vAlign w:val="center"/>
            <w:hideMark/>
          </w:tcPr>
          <w:p w14:paraId="2EC2F038" w14:textId="77777777" w:rsidR="002B3974" w:rsidRPr="002B3974" w:rsidRDefault="002B3974" w:rsidP="00A47E27">
            <w:pPr>
              <w:jc w:val="both"/>
              <w:rPr>
                <w:sz w:val="28"/>
                <w:szCs w:val="28"/>
              </w:rPr>
            </w:pPr>
            <w:r w:rsidRPr="002B3974">
              <w:rPr>
                <w:sz w:val="28"/>
                <w:szCs w:val="28"/>
              </w:rPr>
              <w:t>Report writing &amp; final submission</w:t>
            </w:r>
          </w:p>
        </w:tc>
        <w:tc>
          <w:tcPr>
            <w:tcW w:w="0" w:type="auto"/>
            <w:vAlign w:val="center"/>
            <w:hideMark/>
          </w:tcPr>
          <w:p w14:paraId="07865336" w14:textId="77777777" w:rsidR="002B3974" w:rsidRPr="002B3974" w:rsidRDefault="002B3974" w:rsidP="00A47E27">
            <w:pPr>
              <w:jc w:val="both"/>
              <w:rPr>
                <w:sz w:val="28"/>
                <w:szCs w:val="28"/>
              </w:rPr>
            </w:pPr>
            <w:r w:rsidRPr="002B3974">
              <w:rPr>
                <w:sz w:val="28"/>
                <w:szCs w:val="28"/>
              </w:rPr>
              <w:t>September 2025</w:t>
            </w:r>
          </w:p>
        </w:tc>
      </w:tr>
    </w:tbl>
    <w:p w14:paraId="0AC5DA24" w14:textId="77777777" w:rsidR="002B3974" w:rsidRPr="002B3974" w:rsidRDefault="002B3974" w:rsidP="00A47E27">
      <w:pPr>
        <w:jc w:val="both"/>
        <w:rPr>
          <w:sz w:val="28"/>
          <w:szCs w:val="28"/>
        </w:rPr>
      </w:pPr>
      <w:r w:rsidRPr="002B3974">
        <w:rPr>
          <w:sz w:val="28"/>
          <w:szCs w:val="28"/>
        </w:rPr>
        <w:pict w14:anchorId="18204A3C">
          <v:rect id="_x0000_i1070" style="width:0;height:1.5pt" o:hralign="center" o:hrstd="t" o:hr="t" fillcolor="#a0a0a0" stroked="f"/>
        </w:pict>
      </w:r>
    </w:p>
    <w:p w14:paraId="413A09A8" w14:textId="77777777" w:rsidR="000C05CF" w:rsidRPr="000C05CF" w:rsidRDefault="000C05CF" w:rsidP="00A47E27">
      <w:pPr>
        <w:jc w:val="both"/>
        <w:rPr>
          <w:sz w:val="28"/>
          <w:szCs w:val="28"/>
        </w:rPr>
      </w:pPr>
      <w:r w:rsidRPr="000C05CF">
        <w:rPr>
          <w:sz w:val="28"/>
          <w:szCs w:val="28"/>
        </w:rPr>
        <w:t>4. Research Paradigm and Methodology</w:t>
      </w:r>
    </w:p>
    <w:p w14:paraId="6A9149D8" w14:textId="77777777" w:rsidR="000C05CF" w:rsidRPr="000C05CF" w:rsidRDefault="000C05CF" w:rsidP="00A47E27">
      <w:pPr>
        <w:jc w:val="both"/>
        <w:rPr>
          <w:sz w:val="28"/>
          <w:szCs w:val="28"/>
        </w:rPr>
      </w:pPr>
      <w:r w:rsidRPr="000C05CF">
        <w:rPr>
          <w:sz w:val="28"/>
          <w:szCs w:val="28"/>
        </w:rPr>
        <w:t>Research Design</w:t>
      </w:r>
    </w:p>
    <w:p w14:paraId="62CADF2C" w14:textId="77777777" w:rsidR="000C05CF" w:rsidRPr="000C05CF" w:rsidRDefault="000C05CF" w:rsidP="00A47E27">
      <w:pPr>
        <w:jc w:val="both"/>
        <w:rPr>
          <w:sz w:val="28"/>
          <w:szCs w:val="28"/>
        </w:rPr>
      </w:pPr>
      <w:r w:rsidRPr="000C05CF">
        <w:rPr>
          <w:sz w:val="28"/>
          <w:szCs w:val="28"/>
        </w:rPr>
        <w:t xml:space="preserve">The study uses a quasi-experimental post-hoc comparative design, which is suitable for measuring learner engagement in Moodle and </w:t>
      </w:r>
      <w:proofErr w:type="spellStart"/>
      <w:r w:rsidRPr="000C05CF">
        <w:rPr>
          <w:sz w:val="28"/>
          <w:szCs w:val="28"/>
        </w:rPr>
        <w:t>Coursa</w:t>
      </w:r>
      <w:proofErr w:type="spellEnd"/>
      <w:r w:rsidRPr="000C05CF">
        <w:rPr>
          <w:sz w:val="28"/>
          <w:szCs w:val="28"/>
        </w:rPr>
        <w:t xml:space="preserve"> without direct intervention. A completely randomized experimental study is not possible owing to prior learner preferences and institutional limitations. Rather, this design facilitates naturalistic comparisons, with practical applicability in real educational environments.</w:t>
      </w:r>
    </w:p>
    <w:p w14:paraId="1BE096EB" w14:textId="77777777" w:rsidR="000C05CF" w:rsidRPr="000C05CF" w:rsidRDefault="000C05CF" w:rsidP="00A47E27">
      <w:pPr>
        <w:jc w:val="both"/>
        <w:rPr>
          <w:sz w:val="28"/>
          <w:szCs w:val="28"/>
        </w:rPr>
      </w:pPr>
      <w:r w:rsidRPr="000C05CF">
        <w:rPr>
          <w:sz w:val="28"/>
          <w:szCs w:val="28"/>
        </w:rPr>
        <w:lastRenderedPageBreak/>
        <w:t>To enhance validity, this study employs Analysis of Covariance (ANCOVA), which adjusts for confounding factors such as prior learning experience, age, and subject area. This ensures that any observed differences in engagement levels are due to LMS type rather than external variables.</w:t>
      </w:r>
    </w:p>
    <w:p w14:paraId="120A797C" w14:textId="77777777" w:rsidR="000C05CF" w:rsidRPr="000C05CF" w:rsidRDefault="000C05CF" w:rsidP="00A47E27">
      <w:pPr>
        <w:jc w:val="both"/>
        <w:rPr>
          <w:sz w:val="28"/>
          <w:szCs w:val="28"/>
        </w:rPr>
      </w:pPr>
      <w:r w:rsidRPr="000C05CF">
        <w:rPr>
          <w:sz w:val="28"/>
          <w:szCs w:val="28"/>
        </w:rPr>
        <w:t>Sampling Strategy</w:t>
      </w:r>
    </w:p>
    <w:p w14:paraId="36E341CB" w14:textId="77777777" w:rsidR="000C05CF" w:rsidRPr="000C05CF" w:rsidRDefault="000C05CF" w:rsidP="00A47E27">
      <w:pPr>
        <w:jc w:val="both"/>
        <w:rPr>
          <w:sz w:val="28"/>
          <w:szCs w:val="28"/>
        </w:rPr>
      </w:pPr>
      <w:r w:rsidRPr="000C05CF">
        <w:rPr>
          <w:sz w:val="28"/>
          <w:szCs w:val="28"/>
        </w:rPr>
        <w:t>•</w:t>
      </w:r>
      <w:r w:rsidRPr="000C05CF">
        <w:rPr>
          <w:sz w:val="28"/>
          <w:szCs w:val="28"/>
        </w:rPr>
        <w:tab/>
        <w:t xml:space="preserve">Population: University students enrolled in online courses using either Moodle or </w:t>
      </w:r>
      <w:proofErr w:type="spellStart"/>
      <w:r w:rsidRPr="000C05CF">
        <w:rPr>
          <w:sz w:val="28"/>
          <w:szCs w:val="28"/>
        </w:rPr>
        <w:t>Coursa</w:t>
      </w:r>
      <w:proofErr w:type="spellEnd"/>
      <w:r w:rsidRPr="000C05CF">
        <w:rPr>
          <w:sz w:val="28"/>
          <w:szCs w:val="28"/>
        </w:rPr>
        <w:t>.</w:t>
      </w:r>
    </w:p>
    <w:p w14:paraId="475FE7FB" w14:textId="77777777" w:rsidR="000C05CF" w:rsidRPr="000C05CF" w:rsidRDefault="000C05CF" w:rsidP="00A47E27">
      <w:pPr>
        <w:jc w:val="both"/>
        <w:rPr>
          <w:sz w:val="28"/>
          <w:szCs w:val="28"/>
        </w:rPr>
      </w:pPr>
      <w:r w:rsidRPr="000C05CF">
        <w:rPr>
          <w:sz w:val="28"/>
          <w:szCs w:val="28"/>
        </w:rPr>
        <w:t>•</w:t>
      </w:r>
      <w:r w:rsidRPr="000C05CF">
        <w:rPr>
          <w:sz w:val="28"/>
          <w:szCs w:val="28"/>
        </w:rPr>
        <w:tab/>
        <w:t>Sample Size: Determined using G*Power analysis, ensuring statistical significance and adequate power.</w:t>
      </w:r>
    </w:p>
    <w:p w14:paraId="45535CDA" w14:textId="77777777" w:rsidR="000C05CF" w:rsidRPr="000C05CF" w:rsidRDefault="000C05CF" w:rsidP="00A47E27">
      <w:pPr>
        <w:jc w:val="both"/>
        <w:rPr>
          <w:sz w:val="28"/>
          <w:szCs w:val="28"/>
        </w:rPr>
      </w:pPr>
      <w:r w:rsidRPr="000C05CF">
        <w:rPr>
          <w:sz w:val="28"/>
          <w:szCs w:val="28"/>
        </w:rPr>
        <w:t>•</w:t>
      </w:r>
      <w:r w:rsidRPr="000C05CF">
        <w:rPr>
          <w:sz w:val="28"/>
          <w:szCs w:val="28"/>
        </w:rPr>
        <w:tab/>
        <w:t>Sampling Method: Purposive sampling of students who have experience with both LMS platforms.</w:t>
      </w:r>
    </w:p>
    <w:p w14:paraId="2A1DFAC7" w14:textId="77777777" w:rsidR="000C05CF" w:rsidRPr="000C05CF" w:rsidRDefault="000C05CF" w:rsidP="00A47E27">
      <w:pPr>
        <w:jc w:val="both"/>
        <w:rPr>
          <w:sz w:val="28"/>
          <w:szCs w:val="28"/>
        </w:rPr>
      </w:pPr>
      <w:r w:rsidRPr="000C05CF">
        <w:rPr>
          <w:sz w:val="28"/>
          <w:szCs w:val="28"/>
        </w:rPr>
        <w:t>Justification for Purposive Sampling:</w:t>
      </w:r>
    </w:p>
    <w:p w14:paraId="5B2A6721" w14:textId="77777777" w:rsidR="000C05CF" w:rsidRPr="000C05CF" w:rsidRDefault="000C05CF" w:rsidP="00A47E27">
      <w:pPr>
        <w:jc w:val="both"/>
        <w:rPr>
          <w:sz w:val="28"/>
          <w:szCs w:val="28"/>
        </w:rPr>
      </w:pPr>
      <w:r w:rsidRPr="000C05CF">
        <w:rPr>
          <w:sz w:val="28"/>
          <w:szCs w:val="28"/>
        </w:rPr>
        <w:t xml:space="preserve">This method is chosen because the research requires participants with prior exposure to both Moodle and </w:t>
      </w:r>
      <w:proofErr w:type="spellStart"/>
      <w:r w:rsidRPr="000C05CF">
        <w:rPr>
          <w:sz w:val="28"/>
          <w:szCs w:val="28"/>
        </w:rPr>
        <w:t>Coursa</w:t>
      </w:r>
      <w:proofErr w:type="spellEnd"/>
      <w:r w:rsidRPr="000C05CF">
        <w:rPr>
          <w:sz w:val="28"/>
          <w:szCs w:val="28"/>
        </w:rPr>
        <w:t>, allowing for meaningful engagement comparisons. Unlike random sampling, purposive sampling ensures relevance and improves the validity of engagement assessments. However, potential selection bias will be mitigated by targeting diverse academic disciplines and backgrounds.</w:t>
      </w:r>
    </w:p>
    <w:p w14:paraId="04C337BB" w14:textId="77777777" w:rsidR="000C05CF" w:rsidRPr="000C05CF" w:rsidRDefault="000C05CF" w:rsidP="00A47E27">
      <w:pPr>
        <w:jc w:val="both"/>
        <w:rPr>
          <w:sz w:val="28"/>
          <w:szCs w:val="28"/>
        </w:rPr>
      </w:pPr>
      <w:r w:rsidRPr="000C05CF">
        <w:rPr>
          <w:sz w:val="28"/>
          <w:szCs w:val="28"/>
        </w:rPr>
        <w:t>Data Collection</w:t>
      </w:r>
    </w:p>
    <w:p w14:paraId="503DB323" w14:textId="77777777" w:rsidR="000C05CF" w:rsidRPr="000C05CF" w:rsidRDefault="000C05CF" w:rsidP="00A47E27">
      <w:pPr>
        <w:jc w:val="both"/>
        <w:rPr>
          <w:sz w:val="28"/>
          <w:szCs w:val="28"/>
        </w:rPr>
      </w:pPr>
      <w:r w:rsidRPr="000C05CF">
        <w:rPr>
          <w:sz w:val="28"/>
          <w:szCs w:val="28"/>
        </w:rPr>
        <w:t xml:space="preserve">This study employs a quantitative research design, using the User Engagement Scale (UES) (O'Brien &amp; Toms, 2008) to assess cognitive, emotional, and </w:t>
      </w:r>
      <w:proofErr w:type="spellStart"/>
      <w:r w:rsidRPr="000C05CF">
        <w:rPr>
          <w:sz w:val="28"/>
          <w:szCs w:val="28"/>
        </w:rPr>
        <w:t>behavioral</w:t>
      </w:r>
      <w:proofErr w:type="spellEnd"/>
      <w:r w:rsidRPr="000C05CF">
        <w:rPr>
          <w:sz w:val="28"/>
          <w:szCs w:val="28"/>
        </w:rPr>
        <w:t xml:space="preserve"> engagement. Participants will complete a Likert-scale questionnaire, which generates numerical data suitable for ANCOVA analysis.</w:t>
      </w:r>
    </w:p>
    <w:p w14:paraId="6A0E1403" w14:textId="77777777" w:rsidR="000C05CF" w:rsidRPr="000C05CF" w:rsidRDefault="000C05CF" w:rsidP="00A47E27">
      <w:pPr>
        <w:jc w:val="both"/>
        <w:rPr>
          <w:sz w:val="28"/>
          <w:szCs w:val="28"/>
        </w:rPr>
      </w:pPr>
      <w:r w:rsidRPr="000C05CF">
        <w:rPr>
          <w:sz w:val="28"/>
          <w:szCs w:val="28"/>
        </w:rPr>
        <w:t>Why UES?</w:t>
      </w:r>
    </w:p>
    <w:p w14:paraId="3922B02D" w14:textId="77777777" w:rsidR="000C05CF" w:rsidRPr="000C05CF" w:rsidRDefault="000C05CF" w:rsidP="00A47E27">
      <w:pPr>
        <w:jc w:val="both"/>
        <w:rPr>
          <w:sz w:val="28"/>
          <w:szCs w:val="28"/>
        </w:rPr>
      </w:pPr>
      <w:r w:rsidRPr="000C05CF">
        <w:rPr>
          <w:sz w:val="28"/>
          <w:szCs w:val="28"/>
        </w:rPr>
        <w:t>The UES is widely validated in educational technology research and has demonstrated high reliability and construct validity in measuring student engagement in digital environments (Henrie et al., 2015). The use of self-reported engagement scores allows for direct comparison between LMS platforms.</w:t>
      </w:r>
    </w:p>
    <w:p w14:paraId="02CD7635" w14:textId="77777777" w:rsidR="000C05CF" w:rsidRPr="000C05CF" w:rsidRDefault="000C05CF" w:rsidP="00A47E27">
      <w:pPr>
        <w:jc w:val="both"/>
        <w:rPr>
          <w:sz w:val="28"/>
          <w:szCs w:val="28"/>
        </w:rPr>
      </w:pPr>
      <w:r w:rsidRPr="000C05CF">
        <w:rPr>
          <w:sz w:val="28"/>
          <w:szCs w:val="28"/>
        </w:rPr>
        <w:lastRenderedPageBreak/>
        <w:t>Justification for ANCOVA</w:t>
      </w:r>
    </w:p>
    <w:p w14:paraId="1F3C8A26" w14:textId="77777777" w:rsidR="000C05CF" w:rsidRPr="000C05CF" w:rsidRDefault="000C05CF" w:rsidP="00A47E27">
      <w:pPr>
        <w:jc w:val="both"/>
        <w:rPr>
          <w:sz w:val="28"/>
          <w:szCs w:val="28"/>
        </w:rPr>
      </w:pPr>
      <w:r w:rsidRPr="000C05CF">
        <w:rPr>
          <w:sz w:val="28"/>
          <w:szCs w:val="28"/>
        </w:rPr>
        <w:t>•</w:t>
      </w:r>
      <w:r w:rsidRPr="000C05CF">
        <w:rPr>
          <w:sz w:val="28"/>
          <w:szCs w:val="28"/>
        </w:rPr>
        <w:tab/>
        <w:t>Controls for baseline engagement differences, ensuring LMS-related distinctions are separated from prior learning experiences.</w:t>
      </w:r>
    </w:p>
    <w:p w14:paraId="708CA4CD" w14:textId="77777777" w:rsidR="000C05CF" w:rsidRPr="000C05CF" w:rsidRDefault="000C05CF" w:rsidP="00A47E27">
      <w:pPr>
        <w:jc w:val="both"/>
        <w:rPr>
          <w:sz w:val="28"/>
          <w:szCs w:val="28"/>
        </w:rPr>
      </w:pPr>
      <w:r w:rsidRPr="000C05CF">
        <w:rPr>
          <w:sz w:val="28"/>
          <w:szCs w:val="28"/>
        </w:rPr>
        <w:t>•</w:t>
      </w:r>
      <w:r w:rsidRPr="000C05CF">
        <w:rPr>
          <w:sz w:val="28"/>
          <w:szCs w:val="28"/>
        </w:rPr>
        <w:tab/>
        <w:t>Increases statistical power by reducing unexplained variance, improving the accuracy of results.</w:t>
      </w:r>
    </w:p>
    <w:p w14:paraId="5E9B4AE0" w14:textId="77777777" w:rsidR="000C05CF" w:rsidRPr="000C05CF" w:rsidRDefault="000C05CF" w:rsidP="00A47E27">
      <w:pPr>
        <w:jc w:val="both"/>
        <w:rPr>
          <w:sz w:val="28"/>
          <w:szCs w:val="28"/>
        </w:rPr>
      </w:pPr>
      <w:r w:rsidRPr="000C05CF">
        <w:rPr>
          <w:sz w:val="28"/>
          <w:szCs w:val="28"/>
        </w:rPr>
        <w:t>•</w:t>
      </w:r>
      <w:r w:rsidRPr="000C05CF">
        <w:rPr>
          <w:sz w:val="28"/>
          <w:szCs w:val="28"/>
        </w:rPr>
        <w:tab/>
        <w:t>Offers empirical evidence by controlling confounding variables, improving the internal validity of the study.</w:t>
      </w:r>
    </w:p>
    <w:p w14:paraId="06945DB4" w14:textId="77777777" w:rsidR="000C05CF" w:rsidRPr="000C05CF" w:rsidRDefault="000C05CF" w:rsidP="00A47E27">
      <w:pPr>
        <w:jc w:val="both"/>
        <w:rPr>
          <w:sz w:val="28"/>
          <w:szCs w:val="28"/>
        </w:rPr>
      </w:pPr>
      <w:r w:rsidRPr="000C05CF">
        <w:rPr>
          <w:sz w:val="28"/>
          <w:szCs w:val="28"/>
        </w:rPr>
        <w:t>•</w:t>
      </w:r>
      <w:r w:rsidRPr="000C05CF">
        <w:rPr>
          <w:sz w:val="28"/>
          <w:szCs w:val="28"/>
        </w:rPr>
        <w:tab/>
        <w:t>Relative to regression models, ANCOVA is more appropriate for dealing with categorical independent variables (LMS type) while adjusting for continuous covariates (prior experience, age, etc.).</w:t>
      </w:r>
    </w:p>
    <w:p w14:paraId="04DB6C34" w14:textId="77777777" w:rsidR="000C05CF" w:rsidRPr="000C05CF" w:rsidRDefault="000C05CF" w:rsidP="00A47E27">
      <w:pPr>
        <w:jc w:val="both"/>
        <w:rPr>
          <w:sz w:val="28"/>
          <w:szCs w:val="28"/>
        </w:rPr>
      </w:pPr>
      <w:r w:rsidRPr="000C05CF">
        <w:rPr>
          <w:sz w:val="28"/>
          <w:szCs w:val="28"/>
        </w:rPr>
        <w:t>Challenges &amp; Mitigation Strategies</w:t>
      </w:r>
    </w:p>
    <w:p w14:paraId="70D2C800" w14:textId="77777777" w:rsidR="000C05CF" w:rsidRPr="000C05CF" w:rsidRDefault="000C05CF" w:rsidP="00A47E27">
      <w:pPr>
        <w:jc w:val="both"/>
        <w:rPr>
          <w:sz w:val="28"/>
          <w:szCs w:val="28"/>
        </w:rPr>
      </w:pPr>
      <w:r w:rsidRPr="000C05CF">
        <w:rPr>
          <w:sz w:val="28"/>
          <w:szCs w:val="28"/>
        </w:rPr>
        <w:t>•</w:t>
      </w:r>
      <w:r w:rsidRPr="000C05CF">
        <w:rPr>
          <w:sz w:val="28"/>
          <w:szCs w:val="28"/>
        </w:rPr>
        <w:tab/>
        <w:t>Survey Response Bias: Anonymous online questionnaires will be employed to promote honest and unbiased responses.</w:t>
      </w:r>
    </w:p>
    <w:p w14:paraId="614FA248" w14:textId="77777777" w:rsidR="000C05CF" w:rsidRPr="000C05CF" w:rsidRDefault="000C05CF" w:rsidP="00A47E27">
      <w:pPr>
        <w:jc w:val="both"/>
        <w:rPr>
          <w:sz w:val="28"/>
          <w:szCs w:val="28"/>
        </w:rPr>
      </w:pPr>
      <w:r w:rsidRPr="000C05CF">
        <w:rPr>
          <w:sz w:val="28"/>
          <w:szCs w:val="28"/>
        </w:rPr>
        <w:t>•</w:t>
      </w:r>
      <w:r w:rsidRPr="000C05CF">
        <w:rPr>
          <w:sz w:val="28"/>
          <w:szCs w:val="28"/>
        </w:rPr>
        <w:tab/>
        <w:t>Sample Size Constraints: Targeted recruitment efforts will provide diversity in academic disciplines and LMS usage backgrounds.</w:t>
      </w:r>
    </w:p>
    <w:p w14:paraId="47118EC7" w14:textId="77777777" w:rsidR="000C05CF" w:rsidRPr="000C05CF" w:rsidRDefault="000C05CF" w:rsidP="00A47E27">
      <w:pPr>
        <w:jc w:val="both"/>
        <w:rPr>
          <w:sz w:val="28"/>
          <w:szCs w:val="28"/>
        </w:rPr>
      </w:pPr>
      <w:r w:rsidRPr="000C05CF">
        <w:rPr>
          <w:sz w:val="28"/>
          <w:szCs w:val="28"/>
        </w:rPr>
        <w:t>•</w:t>
      </w:r>
      <w:r w:rsidRPr="000C05CF">
        <w:rPr>
          <w:sz w:val="28"/>
          <w:szCs w:val="28"/>
        </w:rPr>
        <w:tab/>
        <w:t>Non-Random Assignment: While randomization is ideal, ANCOVA compensates by statistically controlling for pre-existing differences in engagement.</w:t>
      </w:r>
    </w:p>
    <w:p w14:paraId="731E53CA" w14:textId="079F5458" w:rsidR="002B3974" w:rsidRPr="000C05CF" w:rsidRDefault="000C05CF" w:rsidP="00A47E27">
      <w:pPr>
        <w:jc w:val="both"/>
        <w:rPr>
          <w:sz w:val="28"/>
          <w:szCs w:val="28"/>
        </w:rPr>
      </w:pPr>
      <w:r w:rsidRPr="000C05CF">
        <w:rPr>
          <w:sz w:val="28"/>
          <w:szCs w:val="28"/>
        </w:rPr>
        <w:t>•</w:t>
      </w:r>
      <w:r w:rsidRPr="000C05CF">
        <w:rPr>
          <w:sz w:val="28"/>
          <w:szCs w:val="28"/>
        </w:rPr>
        <w:tab/>
        <w:t>Data Privacy &amp; Ethics: All participant data will be anonymized and securely stored, ensuring compliance with university ethical guidelines.</w:t>
      </w:r>
      <w:r w:rsidR="002B3974" w:rsidRPr="002B3974">
        <w:rPr>
          <w:sz w:val="28"/>
          <w:szCs w:val="28"/>
        </w:rPr>
        <w:pict w14:anchorId="29CC9A9E">
          <v:rect id="_x0000_i1071" style="width:0;height:1.5pt" o:hralign="center" o:hrstd="t" o:hr="t" fillcolor="#a0a0a0" stroked="f"/>
        </w:pict>
      </w:r>
    </w:p>
    <w:p w14:paraId="0580841B" w14:textId="00FEB87E" w:rsidR="00EE1C91" w:rsidRPr="00EE1C91" w:rsidRDefault="00EE1C91" w:rsidP="00A47E27">
      <w:pPr>
        <w:jc w:val="both"/>
        <w:rPr>
          <w:sz w:val="28"/>
          <w:szCs w:val="28"/>
        </w:rPr>
      </w:pPr>
      <w:r w:rsidRPr="00EE1C91">
        <w:rPr>
          <w:sz w:val="28"/>
          <w:szCs w:val="28"/>
        </w:rPr>
        <w:t xml:space="preserve">5. Introductory Bibliography </w:t>
      </w:r>
    </w:p>
    <w:p w14:paraId="2E58C2B9" w14:textId="77777777" w:rsidR="00EE1C91" w:rsidRPr="00EE1C91" w:rsidRDefault="00EE1C91" w:rsidP="00A47E27">
      <w:pPr>
        <w:jc w:val="both"/>
        <w:rPr>
          <w:sz w:val="28"/>
          <w:szCs w:val="28"/>
        </w:rPr>
      </w:pPr>
      <w:r w:rsidRPr="00EE1C91">
        <w:rPr>
          <w:sz w:val="28"/>
          <w:szCs w:val="28"/>
        </w:rPr>
        <w:t>Key References</w:t>
      </w:r>
    </w:p>
    <w:p w14:paraId="1E32EE8D" w14:textId="77777777" w:rsidR="00EE1C91" w:rsidRPr="00EE1C91" w:rsidRDefault="00EE1C91" w:rsidP="00A47E27">
      <w:pPr>
        <w:numPr>
          <w:ilvl w:val="0"/>
          <w:numId w:val="15"/>
        </w:numPr>
        <w:jc w:val="both"/>
        <w:rPr>
          <w:sz w:val="28"/>
          <w:szCs w:val="28"/>
        </w:rPr>
      </w:pPr>
      <w:r w:rsidRPr="00EE1C91">
        <w:rPr>
          <w:sz w:val="28"/>
          <w:szCs w:val="28"/>
        </w:rPr>
        <w:t xml:space="preserve">Anderson, T. (2008). </w:t>
      </w:r>
      <w:r w:rsidRPr="00EE1C91">
        <w:rPr>
          <w:i/>
          <w:iCs/>
          <w:sz w:val="28"/>
          <w:szCs w:val="28"/>
        </w:rPr>
        <w:t>The Theory and Practice of Online Learning</w:t>
      </w:r>
      <w:r w:rsidRPr="00EE1C91">
        <w:rPr>
          <w:sz w:val="28"/>
          <w:szCs w:val="28"/>
        </w:rPr>
        <w:t>. Edmonton: Athabasca University Press.</w:t>
      </w:r>
    </w:p>
    <w:p w14:paraId="22F66BAB" w14:textId="77777777" w:rsidR="00EE1C91" w:rsidRPr="00EE1C91" w:rsidRDefault="00EE1C91" w:rsidP="00A47E27">
      <w:pPr>
        <w:numPr>
          <w:ilvl w:val="0"/>
          <w:numId w:val="15"/>
        </w:numPr>
        <w:jc w:val="both"/>
        <w:rPr>
          <w:sz w:val="28"/>
          <w:szCs w:val="28"/>
        </w:rPr>
      </w:pPr>
      <w:r w:rsidRPr="00EE1C91">
        <w:rPr>
          <w:sz w:val="28"/>
          <w:szCs w:val="28"/>
        </w:rPr>
        <w:t xml:space="preserve">Bandura, A. (1997). </w:t>
      </w:r>
      <w:r w:rsidRPr="00EE1C91">
        <w:rPr>
          <w:i/>
          <w:iCs/>
          <w:sz w:val="28"/>
          <w:szCs w:val="28"/>
        </w:rPr>
        <w:t>Self-efficacy: The Exercise of Control</w:t>
      </w:r>
      <w:r w:rsidRPr="00EE1C91">
        <w:rPr>
          <w:sz w:val="28"/>
          <w:szCs w:val="28"/>
        </w:rPr>
        <w:t>. New York: Freeman.</w:t>
      </w:r>
    </w:p>
    <w:p w14:paraId="628D4DCB" w14:textId="77777777" w:rsidR="00EE1C91" w:rsidRPr="00EE1C91" w:rsidRDefault="00EE1C91" w:rsidP="00A47E27">
      <w:pPr>
        <w:numPr>
          <w:ilvl w:val="0"/>
          <w:numId w:val="15"/>
        </w:numPr>
        <w:jc w:val="both"/>
        <w:rPr>
          <w:sz w:val="28"/>
          <w:szCs w:val="28"/>
        </w:rPr>
      </w:pPr>
      <w:r w:rsidRPr="00EE1C91">
        <w:rPr>
          <w:sz w:val="28"/>
          <w:szCs w:val="28"/>
        </w:rPr>
        <w:lastRenderedPageBreak/>
        <w:t xml:space="preserve">Dabbagh, N. &amp; </w:t>
      </w:r>
      <w:proofErr w:type="spellStart"/>
      <w:r w:rsidRPr="00EE1C91">
        <w:rPr>
          <w:sz w:val="28"/>
          <w:szCs w:val="28"/>
        </w:rPr>
        <w:t>Kitsantas</w:t>
      </w:r>
      <w:proofErr w:type="spellEnd"/>
      <w:r w:rsidRPr="00EE1C91">
        <w:rPr>
          <w:sz w:val="28"/>
          <w:szCs w:val="28"/>
        </w:rPr>
        <w:t xml:space="preserve">, A. (2012). ‘Personalized learning environments: Developing self-regulated learners in the digital age’, </w:t>
      </w:r>
      <w:r w:rsidRPr="00EE1C91">
        <w:rPr>
          <w:i/>
          <w:iCs/>
          <w:sz w:val="28"/>
          <w:szCs w:val="28"/>
        </w:rPr>
        <w:t xml:space="preserve">Computers in Human </w:t>
      </w:r>
      <w:proofErr w:type="spellStart"/>
      <w:r w:rsidRPr="00EE1C91">
        <w:rPr>
          <w:i/>
          <w:iCs/>
          <w:sz w:val="28"/>
          <w:szCs w:val="28"/>
        </w:rPr>
        <w:t>Behavior</w:t>
      </w:r>
      <w:proofErr w:type="spellEnd"/>
      <w:r w:rsidRPr="00EE1C91">
        <w:rPr>
          <w:sz w:val="28"/>
          <w:szCs w:val="28"/>
        </w:rPr>
        <w:t>, 28(2), pp. 317–322.</w:t>
      </w:r>
    </w:p>
    <w:p w14:paraId="61EE5A4F" w14:textId="77777777" w:rsidR="00EE1C91" w:rsidRPr="00EE1C91" w:rsidRDefault="00EE1C91" w:rsidP="00A47E27">
      <w:pPr>
        <w:numPr>
          <w:ilvl w:val="0"/>
          <w:numId w:val="15"/>
        </w:numPr>
        <w:jc w:val="both"/>
        <w:rPr>
          <w:sz w:val="28"/>
          <w:szCs w:val="28"/>
        </w:rPr>
      </w:pPr>
      <w:r w:rsidRPr="00EE1C91">
        <w:rPr>
          <w:sz w:val="28"/>
          <w:szCs w:val="28"/>
        </w:rPr>
        <w:t xml:space="preserve">Garrison, D.R. (2011). </w:t>
      </w:r>
      <w:r w:rsidRPr="00EE1C91">
        <w:rPr>
          <w:i/>
          <w:iCs/>
          <w:sz w:val="28"/>
          <w:szCs w:val="28"/>
        </w:rPr>
        <w:t>E-Learning in the 21st Century: A Framework for Research and Practice</w:t>
      </w:r>
      <w:r w:rsidRPr="00EE1C91">
        <w:rPr>
          <w:sz w:val="28"/>
          <w:szCs w:val="28"/>
        </w:rPr>
        <w:t>. London: Routledge.</w:t>
      </w:r>
    </w:p>
    <w:p w14:paraId="100B6251" w14:textId="77777777" w:rsidR="00EE1C91" w:rsidRPr="00EE1C91" w:rsidRDefault="00EE1C91" w:rsidP="00A47E27">
      <w:pPr>
        <w:numPr>
          <w:ilvl w:val="0"/>
          <w:numId w:val="15"/>
        </w:numPr>
        <w:jc w:val="both"/>
        <w:rPr>
          <w:sz w:val="28"/>
          <w:szCs w:val="28"/>
        </w:rPr>
      </w:pPr>
      <w:r w:rsidRPr="00EE1C91">
        <w:rPr>
          <w:sz w:val="28"/>
          <w:szCs w:val="28"/>
        </w:rPr>
        <w:t xml:space="preserve">Henrie, C.R., Halverson, L.R., &amp; Graham, C.R. (2015). ‘Measuring student engagement in technology-mediated learning: A review’, </w:t>
      </w:r>
      <w:r w:rsidRPr="00EE1C91">
        <w:rPr>
          <w:i/>
          <w:iCs/>
          <w:sz w:val="28"/>
          <w:szCs w:val="28"/>
        </w:rPr>
        <w:t>Computers &amp; Education</w:t>
      </w:r>
      <w:r w:rsidRPr="00EE1C91">
        <w:rPr>
          <w:sz w:val="28"/>
          <w:szCs w:val="28"/>
        </w:rPr>
        <w:t>, 90, pp. 36–53.</w:t>
      </w:r>
    </w:p>
    <w:p w14:paraId="1FC77A32" w14:textId="77777777" w:rsidR="00EE1C91" w:rsidRPr="00EE1C91" w:rsidRDefault="00EE1C91" w:rsidP="00A47E27">
      <w:pPr>
        <w:numPr>
          <w:ilvl w:val="0"/>
          <w:numId w:val="15"/>
        </w:numPr>
        <w:jc w:val="both"/>
        <w:rPr>
          <w:sz w:val="28"/>
          <w:szCs w:val="28"/>
        </w:rPr>
      </w:pPr>
      <w:proofErr w:type="spellStart"/>
      <w:r w:rsidRPr="00EE1C91">
        <w:rPr>
          <w:sz w:val="28"/>
          <w:szCs w:val="28"/>
        </w:rPr>
        <w:t>Luckin</w:t>
      </w:r>
      <w:proofErr w:type="spellEnd"/>
      <w:r w:rsidRPr="00EE1C91">
        <w:rPr>
          <w:sz w:val="28"/>
          <w:szCs w:val="28"/>
        </w:rPr>
        <w:t xml:space="preserve">, R. (2017). </w:t>
      </w:r>
      <w:r w:rsidRPr="00EE1C91">
        <w:rPr>
          <w:i/>
          <w:iCs/>
          <w:sz w:val="28"/>
          <w:szCs w:val="28"/>
        </w:rPr>
        <w:t>The Learning Sciences in Conversation with AI: The Future of Education</w:t>
      </w:r>
      <w:r w:rsidRPr="00EE1C91">
        <w:rPr>
          <w:sz w:val="28"/>
          <w:szCs w:val="28"/>
        </w:rPr>
        <w:t>. London: Routledge.</w:t>
      </w:r>
    </w:p>
    <w:p w14:paraId="42A78F8E" w14:textId="77777777" w:rsidR="00EE1C91" w:rsidRPr="00EE1C91" w:rsidRDefault="00EE1C91" w:rsidP="00A47E27">
      <w:pPr>
        <w:numPr>
          <w:ilvl w:val="0"/>
          <w:numId w:val="15"/>
        </w:numPr>
        <w:jc w:val="both"/>
        <w:rPr>
          <w:sz w:val="28"/>
          <w:szCs w:val="28"/>
        </w:rPr>
      </w:pPr>
      <w:r w:rsidRPr="00EE1C91">
        <w:rPr>
          <w:sz w:val="28"/>
          <w:szCs w:val="28"/>
        </w:rPr>
        <w:t xml:space="preserve">Mayer, R.E. (2014). </w:t>
      </w:r>
      <w:r w:rsidRPr="00EE1C91">
        <w:rPr>
          <w:i/>
          <w:iCs/>
          <w:sz w:val="28"/>
          <w:szCs w:val="28"/>
        </w:rPr>
        <w:t>The Cambridge Handbook of Multimedia Learning</w:t>
      </w:r>
      <w:r w:rsidRPr="00EE1C91">
        <w:rPr>
          <w:sz w:val="28"/>
          <w:szCs w:val="28"/>
        </w:rPr>
        <w:t>. Cambridge: Cambridge University Press.</w:t>
      </w:r>
    </w:p>
    <w:p w14:paraId="313B07B0" w14:textId="77777777" w:rsidR="00EE1C91" w:rsidRPr="00EE1C91" w:rsidRDefault="00EE1C91" w:rsidP="00A47E27">
      <w:pPr>
        <w:numPr>
          <w:ilvl w:val="0"/>
          <w:numId w:val="15"/>
        </w:numPr>
        <w:jc w:val="both"/>
        <w:rPr>
          <w:sz w:val="28"/>
          <w:szCs w:val="28"/>
        </w:rPr>
      </w:pPr>
      <w:r w:rsidRPr="00EE1C91">
        <w:rPr>
          <w:sz w:val="28"/>
          <w:szCs w:val="28"/>
        </w:rPr>
        <w:t xml:space="preserve">Selwyn, N. (2016). </w:t>
      </w:r>
      <w:r w:rsidRPr="00EE1C91">
        <w:rPr>
          <w:i/>
          <w:iCs/>
          <w:sz w:val="28"/>
          <w:szCs w:val="28"/>
        </w:rPr>
        <w:t>Education and Technology: Key Issues and Debates</w:t>
      </w:r>
      <w:r w:rsidRPr="00EE1C91">
        <w:rPr>
          <w:sz w:val="28"/>
          <w:szCs w:val="28"/>
        </w:rPr>
        <w:t>. London: Bloomsbury.</w:t>
      </w:r>
    </w:p>
    <w:p w14:paraId="40A2C141" w14:textId="77777777" w:rsidR="00EE1C91" w:rsidRPr="00EE1C91" w:rsidRDefault="00EE1C91" w:rsidP="00A47E27">
      <w:pPr>
        <w:numPr>
          <w:ilvl w:val="0"/>
          <w:numId w:val="15"/>
        </w:numPr>
        <w:jc w:val="both"/>
        <w:rPr>
          <w:sz w:val="28"/>
          <w:szCs w:val="28"/>
        </w:rPr>
      </w:pPr>
      <w:r w:rsidRPr="00EE1C91">
        <w:rPr>
          <w:sz w:val="28"/>
          <w:szCs w:val="28"/>
        </w:rPr>
        <w:t xml:space="preserve">Siemens, G. (2013). ‘Learning Analytics: The Emergence of a Discipline’, </w:t>
      </w:r>
      <w:r w:rsidRPr="00EE1C91">
        <w:rPr>
          <w:i/>
          <w:iCs/>
          <w:sz w:val="28"/>
          <w:szCs w:val="28"/>
        </w:rPr>
        <w:t xml:space="preserve">American </w:t>
      </w:r>
      <w:proofErr w:type="spellStart"/>
      <w:r w:rsidRPr="00EE1C91">
        <w:rPr>
          <w:i/>
          <w:iCs/>
          <w:sz w:val="28"/>
          <w:szCs w:val="28"/>
        </w:rPr>
        <w:t>Behavioral</w:t>
      </w:r>
      <w:proofErr w:type="spellEnd"/>
      <w:r w:rsidRPr="00EE1C91">
        <w:rPr>
          <w:i/>
          <w:iCs/>
          <w:sz w:val="28"/>
          <w:szCs w:val="28"/>
        </w:rPr>
        <w:t xml:space="preserve"> Scientist</w:t>
      </w:r>
      <w:r w:rsidRPr="00EE1C91">
        <w:rPr>
          <w:sz w:val="28"/>
          <w:szCs w:val="28"/>
        </w:rPr>
        <w:t>, 57(10), pp. 1380–1400.</w:t>
      </w:r>
    </w:p>
    <w:p w14:paraId="3EDCBE0B" w14:textId="77777777" w:rsidR="00EE1C91" w:rsidRPr="00EE1C91" w:rsidRDefault="00EE1C91" w:rsidP="00A47E27">
      <w:pPr>
        <w:numPr>
          <w:ilvl w:val="0"/>
          <w:numId w:val="15"/>
        </w:numPr>
        <w:jc w:val="both"/>
        <w:rPr>
          <w:sz w:val="28"/>
          <w:szCs w:val="28"/>
        </w:rPr>
      </w:pPr>
      <w:r w:rsidRPr="00EE1C91">
        <w:rPr>
          <w:sz w:val="28"/>
          <w:szCs w:val="28"/>
        </w:rPr>
        <w:t xml:space="preserve">UNESCO. (2021). </w:t>
      </w:r>
      <w:r w:rsidRPr="00EE1C91">
        <w:rPr>
          <w:i/>
          <w:iCs/>
          <w:sz w:val="28"/>
          <w:szCs w:val="28"/>
        </w:rPr>
        <w:t>The Impact of COVID-19 on Global Education</w:t>
      </w:r>
      <w:r w:rsidRPr="00EE1C91">
        <w:rPr>
          <w:sz w:val="28"/>
          <w:szCs w:val="28"/>
        </w:rPr>
        <w:t>. UNESCO Report.</w:t>
      </w:r>
    </w:p>
    <w:p w14:paraId="35738742" w14:textId="77777777" w:rsidR="00EE1C91" w:rsidRPr="00EE1C91" w:rsidRDefault="00EE1C91" w:rsidP="00A47E27">
      <w:pPr>
        <w:numPr>
          <w:ilvl w:val="0"/>
          <w:numId w:val="15"/>
        </w:numPr>
        <w:jc w:val="both"/>
        <w:rPr>
          <w:sz w:val="28"/>
          <w:szCs w:val="28"/>
        </w:rPr>
      </w:pPr>
      <w:r w:rsidRPr="00EE1C91">
        <w:rPr>
          <w:sz w:val="28"/>
          <w:szCs w:val="28"/>
        </w:rPr>
        <w:t xml:space="preserve">Zimmerman, B.J. (2002). ‘Becoming a self-regulated learner: An overview’, </w:t>
      </w:r>
      <w:r w:rsidRPr="00EE1C91">
        <w:rPr>
          <w:i/>
          <w:iCs/>
          <w:sz w:val="28"/>
          <w:szCs w:val="28"/>
        </w:rPr>
        <w:t>Theory into Practice</w:t>
      </w:r>
      <w:r w:rsidRPr="00EE1C91">
        <w:rPr>
          <w:sz w:val="28"/>
          <w:szCs w:val="28"/>
        </w:rPr>
        <w:t>, 41(2), pp. 64–70.</w:t>
      </w:r>
    </w:p>
    <w:p w14:paraId="2C18D1F5" w14:textId="589FAEB8" w:rsidR="00EE1C91" w:rsidRPr="00EE1C91" w:rsidRDefault="00EE1C91" w:rsidP="00A47E27">
      <w:pPr>
        <w:jc w:val="both"/>
        <w:rPr>
          <w:sz w:val="28"/>
          <w:szCs w:val="28"/>
        </w:rPr>
      </w:pPr>
    </w:p>
    <w:p w14:paraId="0604F9F9" w14:textId="77777777" w:rsidR="00EE1C91" w:rsidRPr="002B3974" w:rsidRDefault="00EE1C91" w:rsidP="00A47E27">
      <w:pPr>
        <w:jc w:val="both"/>
        <w:rPr>
          <w:sz w:val="28"/>
          <w:szCs w:val="28"/>
        </w:rPr>
      </w:pPr>
    </w:p>
    <w:sectPr w:rsidR="00EE1C91" w:rsidRPr="002B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A4260"/>
    <w:multiLevelType w:val="multilevel"/>
    <w:tmpl w:val="29F88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D0607"/>
    <w:multiLevelType w:val="multilevel"/>
    <w:tmpl w:val="D7FA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A3E1E"/>
    <w:multiLevelType w:val="multilevel"/>
    <w:tmpl w:val="917C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42FAF"/>
    <w:multiLevelType w:val="multilevel"/>
    <w:tmpl w:val="1FA0C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53352F"/>
    <w:multiLevelType w:val="multilevel"/>
    <w:tmpl w:val="FAC05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C6B99"/>
    <w:multiLevelType w:val="multilevel"/>
    <w:tmpl w:val="4532F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84479"/>
    <w:multiLevelType w:val="multilevel"/>
    <w:tmpl w:val="2A5A0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B91680"/>
    <w:multiLevelType w:val="multilevel"/>
    <w:tmpl w:val="C902F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D1623"/>
    <w:multiLevelType w:val="multilevel"/>
    <w:tmpl w:val="BD08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1F6279"/>
    <w:multiLevelType w:val="multilevel"/>
    <w:tmpl w:val="F52AF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FD498E"/>
    <w:multiLevelType w:val="multilevel"/>
    <w:tmpl w:val="0542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E58AA"/>
    <w:multiLevelType w:val="multilevel"/>
    <w:tmpl w:val="7C9E3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C656BC"/>
    <w:multiLevelType w:val="multilevel"/>
    <w:tmpl w:val="789A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396B07"/>
    <w:multiLevelType w:val="multilevel"/>
    <w:tmpl w:val="97563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DF5438"/>
    <w:multiLevelType w:val="multilevel"/>
    <w:tmpl w:val="3A5A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695410">
    <w:abstractNumId w:val="0"/>
  </w:num>
  <w:num w:numId="2" w16cid:durableId="2100758674">
    <w:abstractNumId w:val="13"/>
  </w:num>
  <w:num w:numId="3" w16cid:durableId="1525167325">
    <w:abstractNumId w:val="14"/>
  </w:num>
  <w:num w:numId="4" w16cid:durableId="2081516327">
    <w:abstractNumId w:val="10"/>
  </w:num>
  <w:num w:numId="5" w16cid:durableId="1914503514">
    <w:abstractNumId w:val="3"/>
  </w:num>
  <w:num w:numId="6" w16cid:durableId="1463380227">
    <w:abstractNumId w:val="5"/>
  </w:num>
  <w:num w:numId="7" w16cid:durableId="872377292">
    <w:abstractNumId w:val="11"/>
  </w:num>
  <w:num w:numId="8" w16cid:durableId="1708749514">
    <w:abstractNumId w:val="8"/>
  </w:num>
  <w:num w:numId="9" w16cid:durableId="1829398812">
    <w:abstractNumId w:val="12"/>
  </w:num>
  <w:num w:numId="10" w16cid:durableId="1213078561">
    <w:abstractNumId w:val="6"/>
  </w:num>
  <w:num w:numId="11" w16cid:durableId="729577026">
    <w:abstractNumId w:val="7"/>
  </w:num>
  <w:num w:numId="12" w16cid:durableId="474880071">
    <w:abstractNumId w:val="4"/>
  </w:num>
  <w:num w:numId="13" w16cid:durableId="959385403">
    <w:abstractNumId w:val="1"/>
  </w:num>
  <w:num w:numId="14" w16cid:durableId="1801146901">
    <w:abstractNumId w:val="2"/>
  </w:num>
  <w:num w:numId="15" w16cid:durableId="12245645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74"/>
    <w:rsid w:val="000C05CF"/>
    <w:rsid w:val="00282463"/>
    <w:rsid w:val="002B3974"/>
    <w:rsid w:val="004B7A6B"/>
    <w:rsid w:val="006950A0"/>
    <w:rsid w:val="006E0ABF"/>
    <w:rsid w:val="008C77A5"/>
    <w:rsid w:val="008F0B07"/>
    <w:rsid w:val="00A47E27"/>
    <w:rsid w:val="00BD3A9D"/>
    <w:rsid w:val="00BE490D"/>
    <w:rsid w:val="00C6029E"/>
    <w:rsid w:val="00EE1C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FDA92"/>
  <w15:chartTrackingRefBased/>
  <w15:docId w15:val="{39632DA8-085A-4A49-9D10-1C65954AB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974"/>
    <w:rPr>
      <w:rFonts w:eastAsiaTheme="majorEastAsia" w:cstheme="majorBidi"/>
      <w:color w:val="272727" w:themeColor="text1" w:themeTint="D8"/>
    </w:rPr>
  </w:style>
  <w:style w:type="paragraph" w:styleId="Title">
    <w:name w:val="Title"/>
    <w:basedOn w:val="Normal"/>
    <w:next w:val="Normal"/>
    <w:link w:val="TitleChar"/>
    <w:uiPriority w:val="10"/>
    <w:qFormat/>
    <w:rsid w:val="002B3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974"/>
    <w:pPr>
      <w:spacing w:before="160"/>
      <w:jc w:val="center"/>
    </w:pPr>
    <w:rPr>
      <w:i/>
      <w:iCs/>
      <w:color w:val="404040" w:themeColor="text1" w:themeTint="BF"/>
    </w:rPr>
  </w:style>
  <w:style w:type="character" w:customStyle="1" w:styleId="QuoteChar">
    <w:name w:val="Quote Char"/>
    <w:basedOn w:val="DefaultParagraphFont"/>
    <w:link w:val="Quote"/>
    <w:uiPriority w:val="29"/>
    <w:rsid w:val="002B3974"/>
    <w:rPr>
      <w:i/>
      <w:iCs/>
      <w:color w:val="404040" w:themeColor="text1" w:themeTint="BF"/>
    </w:rPr>
  </w:style>
  <w:style w:type="paragraph" w:styleId="ListParagraph">
    <w:name w:val="List Paragraph"/>
    <w:basedOn w:val="Normal"/>
    <w:uiPriority w:val="34"/>
    <w:qFormat/>
    <w:rsid w:val="002B3974"/>
    <w:pPr>
      <w:ind w:left="720"/>
      <w:contextualSpacing/>
    </w:pPr>
  </w:style>
  <w:style w:type="character" w:styleId="IntenseEmphasis">
    <w:name w:val="Intense Emphasis"/>
    <w:basedOn w:val="DefaultParagraphFont"/>
    <w:uiPriority w:val="21"/>
    <w:qFormat/>
    <w:rsid w:val="002B3974"/>
    <w:rPr>
      <w:i/>
      <w:iCs/>
      <w:color w:val="0F4761" w:themeColor="accent1" w:themeShade="BF"/>
    </w:rPr>
  </w:style>
  <w:style w:type="paragraph" w:styleId="IntenseQuote">
    <w:name w:val="Intense Quote"/>
    <w:basedOn w:val="Normal"/>
    <w:next w:val="Normal"/>
    <w:link w:val="IntenseQuoteChar"/>
    <w:uiPriority w:val="30"/>
    <w:qFormat/>
    <w:rsid w:val="002B3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974"/>
    <w:rPr>
      <w:i/>
      <w:iCs/>
      <w:color w:val="0F4761" w:themeColor="accent1" w:themeShade="BF"/>
    </w:rPr>
  </w:style>
  <w:style w:type="character" w:styleId="IntenseReference">
    <w:name w:val="Intense Reference"/>
    <w:basedOn w:val="DefaultParagraphFont"/>
    <w:uiPriority w:val="32"/>
    <w:qFormat/>
    <w:rsid w:val="002B397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4896">
      <w:bodyDiv w:val="1"/>
      <w:marLeft w:val="0"/>
      <w:marRight w:val="0"/>
      <w:marTop w:val="0"/>
      <w:marBottom w:val="0"/>
      <w:divBdr>
        <w:top w:val="none" w:sz="0" w:space="0" w:color="auto"/>
        <w:left w:val="none" w:sz="0" w:space="0" w:color="auto"/>
        <w:bottom w:val="none" w:sz="0" w:space="0" w:color="auto"/>
        <w:right w:val="none" w:sz="0" w:space="0" w:color="auto"/>
      </w:divBdr>
    </w:div>
    <w:div w:id="33890212">
      <w:bodyDiv w:val="1"/>
      <w:marLeft w:val="0"/>
      <w:marRight w:val="0"/>
      <w:marTop w:val="0"/>
      <w:marBottom w:val="0"/>
      <w:divBdr>
        <w:top w:val="none" w:sz="0" w:space="0" w:color="auto"/>
        <w:left w:val="none" w:sz="0" w:space="0" w:color="auto"/>
        <w:bottom w:val="none" w:sz="0" w:space="0" w:color="auto"/>
        <w:right w:val="none" w:sz="0" w:space="0" w:color="auto"/>
      </w:divBdr>
    </w:div>
    <w:div w:id="179242617">
      <w:bodyDiv w:val="1"/>
      <w:marLeft w:val="0"/>
      <w:marRight w:val="0"/>
      <w:marTop w:val="0"/>
      <w:marBottom w:val="0"/>
      <w:divBdr>
        <w:top w:val="none" w:sz="0" w:space="0" w:color="auto"/>
        <w:left w:val="none" w:sz="0" w:space="0" w:color="auto"/>
        <w:bottom w:val="none" w:sz="0" w:space="0" w:color="auto"/>
        <w:right w:val="none" w:sz="0" w:space="0" w:color="auto"/>
      </w:divBdr>
    </w:div>
    <w:div w:id="469370751">
      <w:bodyDiv w:val="1"/>
      <w:marLeft w:val="0"/>
      <w:marRight w:val="0"/>
      <w:marTop w:val="0"/>
      <w:marBottom w:val="0"/>
      <w:divBdr>
        <w:top w:val="none" w:sz="0" w:space="0" w:color="auto"/>
        <w:left w:val="none" w:sz="0" w:space="0" w:color="auto"/>
        <w:bottom w:val="none" w:sz="0" w:space="0" w:color="auto"/>
        <w:right w:val="none" w:sz="0" w:space="0" w:color="auto"/>
      </w:divBdr>
    </w:div>
    <w:div w:id="815993333">
      <w:bodyDiv w:val="1"/>
      <w:marLeft w:val="0"/>
      <w:marRight w:val="0"/>
      <w:marTop w:val="0"/>
      <w:marBottom w:val="0"/>
      <w:divBdr>
        <w:top w:val="none" w:sz="0" w:space="0" w:color="auto"/>
        <w:left w:val="none" w:sz="0" w:space="0" w:color="auto"/>
        <w:bottom w:val="none" w:sz="0" w:space="0" w:color="auto"/>
        <w:right w:val="none" w:sz="0" w:space="0" w:color="auto"/>
      </w:divBdr>
    </w:div>
    <w:div w:id="968168487">
      <w:bodyDiv w:val="1"/>
      <w:marLeft w:val="0"/>
      <w:marRight w:val="0"/>
      <w:marTop w:val="0"/>
      <w:marBottom w:val="0"/>
      <w:divBdr>
        <w:top w:val="none" w:sz="0" w:space="0" w:color="auto"/>
        <w:left w:val="none" w:sz="0" w:space="0" w:color="auto"/>
        <w:bottom w:val="none" w:sz="0" w:space="0" w:color="auto"/>
        <w:right w:val="none" w:sz="0" w:space="0" w:color="auto"/>
      </w:divBdr>
    </w:div>
    <w:div w:id="1136021047">
      <w:bodyDiv w:val="1"/>
      <w:marLeft w:val="0"/>
      <w:marRight w:val="0"/>
      <w:marTop w:val="0"/>
      <w:marBottom w:val="0"/>
      <w:divBdr>
        <w:top w:val="none" w:sz="0" w:space="0" w:color="auto"/>
        <w:left w:val="none" w:sz="0" w:space="0" w:color="auto"/>
        <w:bottom w:val="none" w:sz="0" w:space="0" w:color="auto"/>
        <w:right w:val="none" w:sz="0" w:space="0" w:color="auto"/>
      </w:divBdr>
    </w:div>
    <w:div w:id="1411001245">
      <w:bodyDiv w:val="1"/>
      <w:marLeft w:val="0"/>
      <w:marRight w:val="0"/>
      <w:marTop w:val="0"/>
      <w:marBottom w:val="0"/>
      <w:divBdr>
        <w:top w:val="none" w:sz="0" w:space="0" w:color="auto"/>
        <w:left w:val="none" w:sz="0" w:space="0" w:color="auto"/>
        <w:bottom w:val="none" w:sz="0" w:space="0" w:color="auto"/>
        <w:right w:val="none" w:sz="0" w:space="0" w:color="auto"/>
      </w:divBdr>
    </w:div>
    <w:div w:id="1538665729">
      <w:bodyDiv w:val="1"/>
      <w:marLeft w:val="0"/>
      <w:marRight w:val="0"/>
      <w:marTop w:val="0"/>
      <w:marBottom w:val="0"/>
      <w:divBdr>
        <w:top w:val="none" w:sz="0" w:space="0" w:color="auto"/>
        <w:left w:val="none" w:sz="0" w:space="0" w:color="auto"/>
        <w:bottom w:val="none" w:sz="0" w:space="0" w:color="auto"/>
        <w:right w:val="none" w:sz="0" w:space="0" w:color="auto"/>
      </w:divBdr>
      <w:divsChild>
        <w:div w:id="221600273">
          <w:marLeft w:val="0"/>
          <w:marRight w:val="0"/>
          <w:marTop w:val="0"/>
          <w:marBottom w:val="0"/>
          <w:divBdr>
            <w:top w:val="none" w:sz="0" w:space="0" w:color="auto"/>
            <w:left w:val="none" w:sz="0" w:space="0" w:color="auto"/>
            <w:bottom w:val="none" w:sz="0" w:space="0" w:color="auto"/>
            <w:right w:val="none" w:sz="0" w:space="0" w:color="auto"/>
          </w:divBdr>
        </w:div>
      </w:divsChild>
    </w:div>
    <w:div w:id="1645163578">
      <w:bodyDiv w:val="1"/>
      <w:marLeft w:val="0"/>
      <w:marRight w:val="0"/>
      <w:marTop w:val="0"/>
      <w:marBottom w:val="0"/>
      <w:divBdr>
        <w:top w:val="none" w:sz="0" w:space="0" w:color="auto"/>
        <w:left w:val="none" w:sz="0" w:space="0" w:color="auto"/>
        <w:bottom w:val="none" w:sz="0" w:space="0" w:color="auto"/>
        <w:right w:val="none" w:sz="0" w:space="0" w:color="auto"/>
      </w:divBdr>
      <w:divsChild>
        <w:div w:id="1628002529">
          <w:marLeft w:val="0"/>
          <w:marRight w:val="0"/>
          <w:marTop w:val="0"/>
          <w:marBottom w:val="0"/>
          <w:divBdr>
            <w:top w:val="none" w:sz="0" w:space="0" w:color="auto"/>
            <w:left w:val="none" w:sz="0" w:space="0" w:color="auto"/>
            <w:bottom w:val="none" w:sz="0" w:space="0" w:color="auto"/>
            <w:right w:val="none" w:sz="0" w:space="0" w:color="auto"/>
          </w:divBdr>
        </w:div>
      </w:divsChild>
    </w:div>
    <w:div w:id="1653876090">
      <w:bodyDiv w:val="1"/>
      <w:marLeft w:val="0"/>
      <w:marRight w:val="0"/>
      <w:marTop w:val="0"/>
      <w:marBottom w:val="0"/>
      <w:divBdr>
        <w:top w:val="none" w:sz="0" w:space="0" w:color="auto"/>
        <w:left w:val="none" w:sz="0" w:space="0" w:color="auto"/>
        <w:bottom w:val="none" w:sz="0" w:space="0" w:color="auto"/>
        <w:right w:val="none" w:sz="0" w:space="0" w:color="auto"/>
      </w:divBdr>
    </w:div>
    <w:div w:id="2017229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8</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roya barati</dc:creator>
  <cp:keywords/>
  <dc:description/>
  <cp:lastModifiedBy>roya barati</cp:lastModifiedBy>
  <cp:revision>6</cp:revision>
  <dcterms:created xsi:type="dcterms:W3CDTF">2025-02-20T18:50:00Z</dcterms:created>
  <dcterms:modified xsi:type="dcterms:W3CDTF">2025-02-20T19:40:00Z</dcterms:modified>
</cp:coreProperties>
</file>