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3470" w:rsidRPr="00074402" w:rsidRDefault="00833470" w:rsidP="00833470">
      <w:pPr>
        <w:spacing w:line="360" w:lineRule="auto"/>
        <w:rPr>
          <w:rFonts w:ascii="Arial" w:hAnsi="Arial" w:cs="Arial"/>
          <w:szCs w:val="24"/>
        </w:rPr>
      </w:pPr>
      <w:r w:rsidRPr="00074402">
        <w:rPr>
          <w:rFonts w:ascii="Arial" w:hAnsi="Arial" w:cs="Arial"/>
          <w:noProof/>
          <w:szCs w:val="24"/>
          <w:lang w:eastAsia="en-GB"/>
        </w:rPr>
        <w:drawing>
          <wp:anchor distT="0" distB="0" distL="114300" distR="114300" simplePos="0" relativeHeight="251677696"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833470" w:rsidRPr="00074402" w:rsidRDefault="00833470" w:rsidP="00833470">
      <w:pPr>
        <w:spacing w:line="360" w:lineRule="auto"/>
        <w:rPr>
          <w:rFonts w:ascii="Arial" w:hAnsi="Arial" w:cs="Arial"/>
          <w:szCs w:val="24"/>
        </w:rPr>
      </w:pPr>
    </w:p>
    <w:p w:rsidR="00833470" w:rsidRPr="00074402" w:rsidRDefault="00833470" w:rsidP="00833470">
      <w:pPr>
        <w:spacing w:line="360" w:lineRule="auto"/>
        <w:rPr>
          <w:rFonts w:ascii="Arial" w:hAnsi="Arial" w:cs="Arial"/>
          <w:szCs w:val="24"/>
        </w:rPr>
      </w:pPr>
    </w:p>
    <w:p w:rsidR="00833470" w:rsidRPr="00074402" w:rsidRDefault="00833470" w:rsidP="00833470">
      <w:pPr>
        <w:spacing w:line="360" w:lineRule="auto"/>
        <w:rPr>
          <w:rFonts w:ascii="Arial" w:hAnsi="Arial" w:cs="Arial"/>
          <w:szCs w:val="24"/>
        </w:rPr>
      </w:pPr>
    </w:p>
    <w:p w:rsidR="00833470" w:rsidRDefault="00833470" w:rsidP="00833470">
      <w:pPr>
        <w:tabs>
          <w:tab w:val="left" w:pos="6540"/>
        </w:tabs>
        <w:spacing w:line="360" w:lineRule="auto"/>
        <w:rPr>
          <w:rFonts w:ascii="Arial" w:hAnsi="Arial" w:cs="Arial"/>
          <w:sz w:val="28"/>
          <w:szCs w:val="28"/>
        </w:rPr>
      </w:pPr>
    </w:p>
    <w:p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D41E4">
        <w:rPr>
          <w:rFonts w:ascii="Arial" w:hAnsi="Arial" w:cs="Arial"/>
          <w:sz w:val="28"/>
          <w:szCs w:val="28"/>
        </w:rPr>
        <w:t>Krasimira Bozhidarova Yordanova-Krumova</w:t>
      </w:r>
    </w:p>
    <w:p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34D4D">
        <w:rPr>
          <w:rFonts w:ascii="Arial" w:hAnsi="Arial" w:cs="Arial"/>
          <w:sz w:val="28"/>
          <w:szCs w:val="28"/>
          <w:lang w:val="nl-NL"/>
        </w:rPr>
        <w:t xml:space="preserve"> </w:t>
      </w:r>
      <w:r w:rsidR="00DD41E4">
        <w:rPr>
          <w:rFonts w:ascii="Arial" w:hAnsi="Arial" w:cs="Arial"/>
          <w:sz w:val="28"/>
          <w:szCs w:val="28"/>
          <w:lang w:val="nl-NL"/>
        </w:rPr>
        <w:t>2510713</w:t>
      </w:r>
    </w:p>
    <w:p w:rsidR="00833470" w:rsidRPr="00C83A82" w:rsidRDefault="00833470" w:rsidP="00833470">
      <w:pPr>
        <w:tabs>
          <w:tab w:val="left" w:pos="6540"/>
        </w:tabs>
        <w:spacing w:line="360" w:lineRule="auto"/>
        <w:rPr>
          <w:rFonts w:ascii="Arial" w:hAnsi="Arial" w:cs="Arial"/>
          <w:sz w:val="28"/>
          <w:szCs w:val="28"/>
          <w:lang w:val="nl-NL"/>
        </w:rPr>
      </w:pPr>
    </w:p>
    <w:p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D41E4">
        <w:rPr>
          <w:rFonts w:ascii="Arial" w:hAnsi="Arial" w:cs="Arial"/>
          <w:sz w:val="28"/>
          <w:szCs w:val="28"/>
          <w:lang w:val="nl-NL"/>
        </w:rPr>
        <w:t>Introduction to Health and Social Care</w:t>
      </w:r>
    </w:p>
    <w:p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D41E4">
        <w:rPr>
          <w:rFonts w:ascii="Arial" w:hAnsi="Arial" w:cs="Arial"/>
          <w:sz w:val="28"/>
          <w:szCs w:val="28"/>
        </w:rPr>
        <w:t xml:space="preserve"> LCHS4003</w:t>
      </w:r>
    </w:p>
    <w:p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DD41E4">
        <w:t xml:space="preserve">:  </w:t>
      </w:r>
      <w:r w:rsidR="00DD41E4">
        <w:rPr>
          <w:rFonts w:ascii="Arial" w:hAnsi="Arial" w:cs="Arial"/>
          <w:sz w:val="28"/>
          <w:szCs w:val="28"/>
          <w:lang w:val="nl-NL"/>
        </w:rPr>
        <w:t>Mark</w:t>
      </w:r>
      <w:r w:rsidR="00DD41E4" w:rsidRPr="00DD41E4">
        <w:rPr>
          <w:rFonts w:ascii="Arial" w:hAnsi="Arial" w:cs="Arial"/>
          <w:sz w:val="28"/>
          <w:szCs w:val="28"/>
          <w:lang w:val="nl-NL"/>
        </w:rPr>
        <w:t xml:space="preserve"> K</w:t>
      </w:r>
      <w:r w:rsidR="00DD41E4">
        <w:rPr>
          <w:rFonts w:ascii="Arial" w:hAnsi="Arial" w:cs="Arial"/>
          <w:sz w:val="28"/>
          <w:szCs w:val="28"/>
          <w:lang w:val="nl-NL"/>
        </w:rPr>
        <w:t>ane</w:t>
      </w:r>
    </w:p>
    <w:p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rsidR="00833470" w:rsidRPr="004D35FC" w:rsidRDefault="00833470" w:rsidP="00833470">
      <w:pPr>
        <w:rPr>
          <w:rFonts w:ascii="Arial" w:hAnsi="Arial" w:cs="Arial"/>
          <w:b/>
          <w:bCs/>
          <w:sz w:val="28"/>
          <w:szCs w:val="28"/>
        </w:rPr>
      </w:pPr>
    </w:p>
    <w:p w:rsidR="00833470" w:rsidRDefault="00EF72B1" w:rsidP="00833470">
      <w:pPr>
        <w:rPr>
          <w:rFonts w:ascii="Arial" w:hAnsi="Arial" w:cs="Arial"/>
          <w:b/>
          <w:bCs/>
          <w:sz w:val="28"/>
          <w:szCs w:val="28"/>
        </w:rPr>
      </w:pPr>
      <w:r>
        <w:rPr>
          <w:rFonts w:ascii="Arial" w:hAnsi="Arial" w:cs="Arial"/>
          <w:b/>
          <w:bCs/>
          <w:sz w:val="28"/>
          <w:szCs w:val="28"/>
        </w:rPr>
        <w:t>Portfolio</w:t>
      </w:r>
      <w:r w:rsidR="00833470">
        <w:rPr>
          <w:rFonts w:ascii="Arial" w:hAnsi="Arial" w:cs="Arial"/>
          <w:b/>
          <w:bCs/>
          <w:sz w:val="28"/>
          <w:szCs w:val="28"/>
        </w:rPr>
        <w:t xml:space="preserve"> …………………………………………………………….. page</w:t>
      </w:r>
      <w:r w:rsidR="00A970A7">
        <w:rPr>
          <w:rFonts w:ascii="Arial" w:hAnsi="Arial" w:cs="Arial"/>
          <w:b/>
          <w:bCs/>
          <w:sz w:val="28"/>
          <w:szCs w:val="28"/>
        </w:rPr>
        <w:t xml:space="preserve"> </w:t>
      </w:r>
      <w:r w:rsidR="00203841">
        <w:rPr>
          <w:rFonts w:ascii="Arial" w:hAnsi="Arial" w:cs="Arial"/>
          <w:b/>
          <w:bCs/>
          <w:sz w:val="28"/>
          <w:szCs w:val="28"/>
        </w:rPr>
        <w:t>3</w:t>
      </w:r>
    </w:p>
    <w:p w:rsidR="00203841" w:rsidRDefault="00203841" w:rsidP="00833470">
      <w:pPr>
        <w:rPr>
          <w:rFonts w:ascii="Arial" w:hAnsi="Arial" w:cs="Arial"/>
          <w:b/>
          <w:bCs/>
          <w:sz w:val="28"/>
          <w:szCs w:val="28"/>
        </w:rPr>
      </w:pPr>
      <w:r>
        <w:rPr>
          <w:rFonts w:ascii="Arial" w:hAnsi="Arial" w:cs="Arial"/>
          <w:b/>
          <w:bCs/>
          <w:sz w:val="28"/>
          <w:szCs w:val="28"/>
        </w:rPr>
        <w:t>Essay……………………………………………………………….... page 4</w:t>
      </w:r>
    </w:p>
    <w:p w:rsidR="00203841" w:rsidRDefault="00203841" w:rsidP="00833470">
      <w:pPr>
        <w:sectPr w:rsidR="00203841" w:rsidSect="00925D5E">
          <w:pgSz w:w="11906" w:h="16838"/>
          <w:pgMar w:top="1440" w:right="1440" w:bottom="1440" w:left="1440" w:header="708" w:footer="708" w:gutter="0"/>
          <w:cols w:space="708"/>
          <w:docGrid w:linePitch="360"/>
        </w:sectPr>
      </w:pPr>
    </w:p>
    <w:p w:rsidR="003A000F" w:rsidRDefault="006E76D5">
      <w:pPr>
        <w:sectPr w:rsidR="003A000F" w:rsidSect="003A000F">
          <w:pgSz w:w="16838" w:h="11906" w:orient="landscape"/>
          <w:pgMar w:top="1440" w:right="1440" w:bottom="1440" w:left="1440" w:header="708" w:footer="708" w:gutter="0"/>
          <w:cols w:space="708"/>
          <w:docGrid w:linePitch="360"/>
        </w:sectPr>
      </w:pPr>
      <w:r>
        <w:rPr>
          <w:noProof/>
          <w:lang w:eastAsia="en-GB"/>
        </w:rPr>
        <w:lastRenderedPageBreak/>
        <w:pict>
          <v:shapetype id="_x0000_t202" coordsize="21600,21600" o:spt="202" path="m,l,21600r21600,l21600,xe">
            <v:stroke joinstyle="miter"/>
            <v:path gradientshapeok="t" o:connecttype="rect"/>
          </v:shapetype>
          <v:shape id="Text Box 6" o:spid="_x0000_s2062" type="#_x0000_t202" style="position:absolute;margin-left:536pt;margin-top:81pt;width:217.5pt;height:226.5pt;z-index:25167974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L5L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Rheh5IBTMqEAe0w8LU7jieuGnB/qBk&#10;wFYvqfu+Y1ZSot8btPR6nudhNuIhX1xleLDnkeo8wgxHqJJ6Sqbtxsd5CvQN3KL1tYqmvDA5Ngy2&#10;cPTqOG5hRs7PMevlp7B+Ag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4dL5LMAIAAFwEAAAOAAAAAAAAAAAAAAAA&#10;AC4CAABkcnMvZTJvRG9jLnhtbFBLAQItABQABgAIAAAAIQAp/E+F4gAAAAwBAAAPAAAAAAAAAAAA&#10;AAAAAIoEAABkcnMvZG93bnJldi54bWxQSwUGAAAAAAQABADzAAAAmQUAAAAA&#10;" strokeweight="3.5pt">
            <v:textbox style="mso-next-textbox:#Text Box 6">
              <w:txbxContent>
                <w:p w:rsidR="00933299" w:rsidRPr="009B0E20" w:rsidRDefault="00933299" w:rsidP="00933299">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The residential care home sector is grappling with a range of pressures that directly affect service quality and resident well</w:t>
                  </w:r>
                  <w:r w:rsidRPr="009B0E20">
                    <w:rPr>
                      <w:rFonts w:cs="Arial"/>
                      <w:b/>
                      <w:bCs/>
                      <w:color w:val="385623" w:themeColor="accent6" w:themeShade="80"/>
                      <w:sz w:val="16"/>
                      <w:szCs w:val="16"/>
                    </w:rPr>
                    <w:t>‑</w:t>
                  </w:r>
                  <w:r w:rsidRPr="009B0E20">
                    <w:rPr>
                      <w:rFonts w:ascii="Arial" w:hAnsi="Arial" w:cs="Arial"/>
                      <w:b/>
                      <w:bCs/>
                      <w:color w:val="385623" w:themeColor="accent6" w:themeShade="80"/>
                      <w:sz w:val="16"/>
                      <w:szCs w:val="16"/>
                    </w:rPr>
                    <w:t>being. A major issue is the ongoing workforce shortage, with around 150,000 vacancies in adult social care. High turnover, burnout, demanding hours, and comparatively low pay all contribute to difficulties in attracting and retaining skilled staff.</w:t>
                  </w:r>
                </w:p>
                <w:p w:rsidR="00933299" w:rsidRPr="009B0E20" w:rsidRDefault="00933299" w:rsidP="00933299">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Financial strain is another significant challenge. Rising operational costs, alongside penalties for unoccupied beds, place considerable economic pressure on care providers. In addition, care homes face growing incident related insurance expenses and often lack access to real time data, limiting their ability to make informed decisions and respond quickly to emerging issues.</w:t>
                  </w:r>
                </w:p>
                <w:p w:rsidR="00933299" w:rsidRPr="009B0E20" w:rsidRDefault="00933299" w:rsidP="00933299">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Together, these challenges highlight the need for innovative approaches and strategic planning to ensure the long</w:t>
                  </w:r>
                  <w:r w:rsidR="00B839E8">
                    <w:rPr>
                      <w:rFonts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term sustainability of residential care homes and the consistent delivery of high quality care.</w:t>
                  </w:r>
                </w:p>
                <w:p w:rsidR="00933299" w:rsidRPr="00933299" w:rsidRDefault="00933299" w:rsidP="00933299"/>
              </w:txbxContent>
            </v:textbox>
            <w10:wrap type="square"/>
          </v:shape>
        </w:pict>
      </w:r>
      <w:r w:rsidR="00B839E8">
        <w:rPr>
          <w:noProof/>
        </w:rPr>
        <w:pict>
          <v:rect id="Rectangle 1" o:spid="_x0000_s2053" style="position:absolute;margin-left:34.1pt;margin-top:3pt;width:840.6pt;height:552pt;z-index:-251657216;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w:r>
      <w:r w:rsidR="009B0E20">
        <w:rPr>
          <w:noProof/>
        </w:rPr>
        <w:pict>
          <v:shape id="Text Box 4" o:spid="_x0000_s2057" type="#_x0000_t202" style="position:absolute;margin-left:67.5pt;margin-top:84pt;width:388.5pt;height:185.5pt;z-index:251663360;visibility:visible;mso-wrap-distance-top:3.6pt;mso-wrap-distance-bottom:3.6pt;mso-position-horizontal-relative:pag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" strokecolor="#ed7d31 [3205]" strokeweight="3.75pt">
            <v:textbox style="mso-next-textbox:#Text Box 4">
              <w:txbxContent>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Residential care homes are an essential part of social care, providing dignity, safety and support for older adults in the final stages of their lives. A responsible society has a duty to ensure that elderly people with physical or cognitive needs receive compassionate, high</w:t>
                  </w:r>
                  <w:r w:rsidR="009764A1" w:rsidRPr="009B0E20">
                    <w:rPr>
                      <w:rFonts w:ascii="Arial" w:hAnsi="Arial" w:cs="Arial"/>
                      <w:b/>
                      <w:bCs/>
                      <w:color w:val="385623" w:themeColor="accent6" w:themeShade="80"/>
                      <w:sz w:val="16"/>
                      <w:szCs w:val="16"/>
                    </w:rPr>
                    <w:t>-</w:t>
                  </w:r>
                  <w:r w:rsidRPr="009B0E20">
                    <w:rPr>
                      <w:rFonts w:ascii="Arial" w:hAnsi="Arial" w:cs="Arial"/>
                      <w:b/>
                      <w:bCs/>
                      <w:color w:val="385623" w:themeColor="accent6" w:themeShade="80"/>
                      <w:sz w:val="16"/>
                      <w:szCs w:val="16"/>
                    </w:rPr>
                    <w:t>quality care. This is why I chose to focus on Residential Care Homes in the UK in my portfolio.</w:t>
                  </w:r>
                </w:p>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The UK’s care system has a long history, stretching back to the 10th century. Its earliest form was the alms</w:t>
                  </w:r>
                  <w:r w:rsidR="009764A1" w:rsidRPr="009B0E20">
                    <w:rPr>
                      <w:rFonts w:ascii="Arial" w:hAnsi="Arial"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house—charitable homes funded by the church, merchants and no</w:t>
                  </w:r>
                  <w:r w:rsidR="009764A1" w:rsidRPr="009B0E20">
                    <w:rPr>
                      <w:rFonts w:ascii="Arial" w:hAnsi="Arial" w:cs="Arial"/>
                      <w:b/>
                      <w:bCs/>
                      <w:color w:val="385623" w:themeColor="accent6" w:themeShade="80"/>
                      <w:sz w:val="16"/>
                      <w:szCs w:val="16"/>
                    </w:rPr>
                    <w:t xml:space="preserve">blemen. The first recorded alms </w:t>
                  </w:r>
                  <w:r w:rsidRPr="009B0E20">
                    <w:rPr>
                      <w:rFonts w:ascii="Arial" w:hAnsi="Arial" w:cs="Arial"/>
                      <w:b/>
                      <w:bCs/>
                      <w:color w:val="385623" w:themeColor="accent6" w:themeShade="80"/>
                      <w:sz w:val="16"/>
                      <w:szCs w:val="16"/>
                    </w:rPr>
                    <w:t>house was built in York in 936 AD, supported by King Aethelstan after witnessing clergy caring for elderly people with their own limited resources.</w:t>
                  </w:r>
                </w:p>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Monasteries also played a major role, offering shelter and support for elderly, sick and disabled individuals. Over time, these institutions developed into some of Britain’s earliest hospitals. St John’s Hospital in Canterbury, founded in 1087, is recognised as the first to provide long</w:t>
                  </w:r>
                  <w:r w:rsidR="009764A1" w:rsidRPr="009B0E20">
                    <w:rPr>
                      <w:rFonts w:ascii="Arial" w:hAnsi="Arial"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term care.</w:t>
                  </w:r>
                </w:p>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By the 15th century, as leprosy declined, many small hospitals were converted into alms</w:t>
                  </w:r>
                  <w:r w:rsidR="009764A1" w:rsidRPr="009B0E20">
                    <w:rPr>
                      <w:rFonts w:ascii="Arial" w:hAnsi="Arial"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houses, while larger hospitals continue</w:t>
                  </w:r>
                  <w:r w:rsidR="009764A1" w:rsidRPr="009B0E20">
                    <w:rPr>
                      <w:rFonts w:ascii="Arial" w:hAnsi="Arial" w:cs="Arial"/>
                      <w:b/>
                      <w:bCs/>
                      <w:color w:val="385623" w:themeColor="accent6" w:themeShade="80"/>
                      <w:sz w:val="16"/>
                      <w:szCs w:val="16"/>
                    </w:rPr>
                    <w:t>d caring for soldiers and short-</w:t>
                  </w:r>
                  <w:r w:rsidRPr="009B0E20">
                    <w:rPr>
                      <w:rFonts w:ascii="Arial" w:hAnsi="Arial" w:cs="Arial"/>
                      <w:b/>
                      <w:bCs/>
                      <w:color w:val="385623" w:themeColor="accent6" w:themeShade="80"/>
                      <w:sz w:val="16"/>
                      <w:szCs w:val="16"/>
                    </w:rPr>
                    <w:t>term patients. These early models laid the foundation for today’s regulated and structured residential care system in the UK.</w:t>
                  </w:r>
                </w:p>
                <w:p w:rsidR="00441AF2" w:rsidRPr="002741BF" w:rsidRDefault="00441AF2" w:rsidP="00441AF2">
                  <w:pPr>
                    <w:rPr>
                      <w:b/>
                      <w:bCs/>
                      <w:color w:val="385623" w:themeColor="accent6" w:themeShade="80"/>
                      <w:sz w:val="18"/>
                      <w:szCs w:val="18"/>
                    </w:rPr>
                  </w:pPr>
                </w:p>
                <w:p w:rsidR="00441AF2" w:rsidRPr="002741BF" w:rsidRDefault="00441AF2" w:rsidP="00441AF2">
                  <w:pPr>
                    <w:rPr>
                      <w:b/>
                      <w:bCs/>
                      <w:color w:val="385623" w:themeColor="accent6" w:themeShade="80"/>
                      <w:sz w:val="18"/>
                      <w:szCs w:val="18"/>
                    </w:rPr>
                  </w:pPr>
                </w:p>
                <w:p w:rsidR="00441AF2" w:rsidRPr="002741BF" w:rsidRDefault="00441AF2" w:rsidP="00441AF2">
                  <w:pPr>
                    <w:rPr>
                      <w:b/>
                      <w:bCs/>
                      <w:color w:val="385623" w:themeColor="accent6" w:themeShade="80"/>
                      <w:sz w:val="18"/>
                      <w:szCs w:val="18"/>
                    </w:rPr>
                  </w:pPr>
                </w:p>
                <w:p w:rsidR="00441AF2" w:rsidRPr="002741BF" w:rsidRDefault="00441AF2" w:rsidP="00441AF2">
                  <w:pPr>
                    <w:rPr>
                      <w:b/>
                      <w:bCs/>
                      <w:color w:val="385623" w:themeColor="accent6" w:themeShade="80"/>
                      <w:sz w:val="18"/>
                      <w:szCs w:val="18"/>
                    </w:rPr>
                  </w:pPr>
                </w:p>
                <w:p w:rsidR="00441AF2" w:rsidRPr="002741BF" w:rsidRDefault="00441AF2" w:rsidP="00441AF2">
                  <w:pPr>
                    <w:rPr>
                      <w:b/>
                      <w:bCs/>
                      <w:color w:val="385623" w:themeColor="accent6" w:themeShade="80"/>
                      <w:sz w:val="18"/>
                      <w:szCs w:val="18"/>
                    </w:rPr>
                  </w:pPr>
                </w:p>
                <w:p w:rsidR="00441AF2" w:rsidRPr="002741BF" w:rsidRDefault="00441AF2" w:rsidP="00441AF2">
                  <w:pPr>
                    <w:rPr>
                      <w:b/>
                      <w:bCs/>
                      <w:color w:val="385623" w:themeColor="accent6" w:themeShade="80"/>
                      <w:sz w:val="18"/>
                      <w:szCs w:val="18"/>
                    </w:rPr>
                  </w:pPr>
                </w:p>
                <w:p w:rsidR="00BE6BE0" w:rsidRPr="002741BF" w:rsidRDefault="00BE6BE0" w:rsidP="00441AF2">
                  <w:pPr>
                    <w:rPr>
                      <w:sz w:val="18"/>
                      <w:szCs w:val="18"/>
                    </w:rPr>
                  </w:pPr>
                </w:p>
              </w:txbxContent>
            </v:textbox>
            <w10:wrap type="square" anchorx="page"/>
          </v:shape>
        </w:pict>
      </w:r>
      <w:r w:rsidR="009B0E20">
        <w:rPr>
          <w:noProof/>
          <w:lang w:eastAsia="en-GB"/>
        </w:rPr>
        <w:pict>
          <v:shape id="Text Box 7" o:spid="_x0000_s2064" type="#_x0000_t202" style="position:absolute;margin-left:95.5pt;margin-top:478.5pt;width:741.5pt;height:23.5pt;z-index:251681792;visibility:visible;mso-wrap-distance-top:3.6pt;mso-wrap-distance-bottom:3.6pt;mso-position-horizontal-relative:pag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Gi6rL0vAgAAXAQAAA4AAAAAAAAAAAAAAAAALgIA&#10;AGRycy9lMm9Eb2MueG1sUEsBAi0AFAAGAAgAAAAhAAmZlR7fAAAACgEAAA8AAAAAAAAAAAAAAAAA&#10;iQQAAGRycy9kb3ducmV2LnhtbFBLBQYAAAAABAAEAPMAAACVBQAAAAA=&#10;" strokeweight="3.75pt">
            <v:textbox style="mso-next-textbox:#Text Box 7">
              <w:txbxContent>
                <w:p w:rsidR="00FC42BE" w:rsidRPr="009B0E20" w:rsidRDefault="002D5871" w:rsidP="002D5871">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Residential care homes must remain accessible and aligned with national policy so they can meet the needs of a growing population requiring support.</w:t>
                  </w:r>
                </w:p>
                <w:p w:rsidR="002D5871" w:rsidRPr="009F7C83" w:rsidRDefault="002D5871" w:rsidP="00FC42BE">
                  <w:pPr>
                    <w:rPr>
                      <w:b/>
                      <w:bCs/>
                      <w:color w:val="385623" w:themeColor="accent6" w:themeShade="80"/>
                      <w:sz w:val="16"/>
                      <w:szCs w:val="16"/>
                    </w:rPr>
                  </w:pPr>
                </w:p>
              </w:txbxContent>
            </v:textbox>
            <w10:wrap type="square" anchorx="page"/>
          </v:shape>
        </w:pict>
      </w:r>
      <w:r w:rsidR="009B0E20">
        <w:rPr>
          <w:noProof/>
          <w:lang w:eastAsia="en-GB"/>
        </w:rPr>
        <w:pict>
          <v:shape id="Text Box 2" o:spid="_x0000_s2063" type="#_x0000_t202" style="position:absolute;margin-left:384pt;margin-top:316.5pt;width:384pt;height:156pt;z-index:251680768;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ly4KQIAAFU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" strokeweight="3.5pt">
            <v:textbox style="mso-next-textbox:#Text Box 2">
              <w:txbxContent>
                <w:p w:rsidR="005A0232" w:rsidRPr="009B0E20" w:rsidRDefault="005A0232" w:rsidP="005A0232">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Government policy began shifting towards the privatisation of social care during the 1980s, when responsibility increasingly moved from the state to</w:t>
                  </w:r>
                  <w:r w:rsidR="00B95E46">
                    <w:rPr>
                      <w:rFonts w:ascii="Arial" w:hAnsi="Arial" w:cs="Arial"/>
                      <w:b/>
                      <w:bCs/>
                      <w:color w:val="385623" w:themeColor="accent6" w:themeShade="80"/>
                      <w:sz w:val="16"/>
                      <w:szCs w:val="16"/>
                    </w:rPr>
                    <w:t xml:space="preserve"> independent providers (Glasby,</w:t>
                  </w:r>
                  <w:r w:rsidRPr="009B0E20">
                    <w:rPr>
                      <w:rFonts w:ascii="Arial" w:hAnsi="Arial" w:cs="Arial"/>
                      <w:b/>
                      <w:bCs/>
                      <w:color w:val="385623" w:themeColor="accent6" w:themeShade="80"/>
                      <w:sz w:val="16"/>
                      <w:szCs w:val="16"/>
                    </w:rPr>
                    <w:t>2017). A major milestone was the Community Care Act 1990, which required local authorities to support community</w:t>
                  </w:r>
                  <w:r w:rsidR="00B839E8">
                    <w:rPr>
                      <w:rFonts w:ascii="Arial" w:hAnsi="Cambria Math"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based services rather than relying on council</w:t>
                  </w:r>
                  <w:r w:rsidR="00B95E46">
                    <w:rPr>
                      <w:rFonts w:ascii="Arial" w:hAnsi="Cambria Math"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run homes or hospitals (Department of Health, 1990). This reform led to rapid growth in the private and voluntary care home sector.</w:t>
                  </w:r>
                </w:p>
                <w:p w:rsidR="002D5871" w:rsidRPr="009B0E20" w:rsidRDefault="005A0232" w:rsidP="005A0232">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Although these changes expanded choice and encouraged innovation, they also raised concerns about maintaining consistent quality across providers (Lewis &amp; West, 2014). Today, all care homes must meet strict legal standards relating to staffing, safety, hygiene and resident wellbeing, with regular inspections ensuring accountability (Care Quality Commission, 2023).</w:t>
                  </w:r>
                </w:p>
                <w:p w:rsidR="002D5871" w:rsidRPr="009B0E20" w:rsidRDefault="002D5871" w:rsidP="005A0232">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 xml:space="preserve"> At the same time, the sector must integrate advanced and intelligent technologies to address current challenges and enhance the overall quality and efficiency of care delivery (Skills for Care, 2023;</w:t>
                  </w:r>
                  <w:r w:rsidR="00054CBE">
                    <w:rPr>
                      <w:rFonts w:ascii="Arial" w:hAnsi="Arial"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Department of Health and Social Care, 2021).</w:t>
                  </w:r>
                </w:p>
                <w:p w:rsidR="002D5871" w:rsidRPr="005A0232" w:rsidRDefault="002D5871" w:rsidP="005A0232">
                  <w:pPr>
                    <w:rPr>
                      <w:b/>
                      <w:bCs/>
                      <w:color w:val="385623" w:themeColor="accent6" w:themeShade="80"/>
                      <w:sz w:val="16"/>
                      <w:szCs w:val="16"/>
                    </w:rPr>
                  </w:pPr>
                </w:p>
                <w:p w:rsidR="00FC42BE" w:rsidRDefault="005A0232" w:rsidP="005A0232">
                  <w:pPr>
                    <w:rPr>
                      <w:b/>
                      <w:bCs/>
                      <w:color w:val="385623" w:themeColor="accent6" w:themeShade="80"/>
                    </w:rPr>
                  </w:pPr>
                  <w:r w:rsidRPr="005A0232">
                    <w:rPr>
                      <w:b/>
                      <w:bCs/>
                      <w:color w:val="385623" w:themeColor="accent6" w:themeShade="80"/>
                      <w:sz w:val="16"/>
                      <w:szCs w:val="16"/>
                    </w:rPr>
                    <w:t>Public attitudes towards ageing have also evolved, with older adults increasingly recognised as individuals with dignity, rights and independence rather than being viewed solely through decline (Phillipson, 2013).</w:t>
                  </w:r>
                </w:p>
                <w:p w:rsidR="00FC42BE" w:rsidRDefault="00FC42BE" w:rsidP="00FC42BE">
                  <w:pPr>
                    <w:rPr>
                      <w:b/>
                      <w:bCs/>
                      <w:color w:val="385623" w:themeColor="accent6" w:themeShade="80"/>
                    </w:rPr>
                  </w:pPr>
                </w:p>
                <w:p w:rsidR="00FC42BE" w:rsidRDefault="00FC42BE" w:rsidP="00FC42BE">
                  <w:pPr>
                    <w:rPr>
                      <w:b/>
                      <w:bCs/>
                      <w:color w:val="385623" w:themeColor="accent6" w:themeShade="80"/>
                    </w:rPr>
                  </w:pPr>
                </w:p>
                <w:p w:rsidR="00FC42BE" w:rsidRDefault="00FC42BE" w:rsidP="00FC42BE">
                  <w:pPr>
                    <w:rPr>
                      <w:b/>
                      <w:bCs/>
                      <w:color w:val="385623" w:themeColor="accent6" w:themeShade="80"/>
                    </w:rPr>
                  </w:pPr>
                </w:p>
                <w:p w:rsidR="00FC42BE" w:rsidRDefault="00FC42BE" w:rsidP="00FC42BE">
                  <w:pPr>
                    <w:rPr>
                      <w:b/>
                      <w:bCs/>
                      <w:color w:val="385623" w:themeColor="accent6" w:themeShade="80"/>
                    </w:rPr>
                  </w:pPr>
                </w:p>
                <w:p w:rsidR="00FC42BE" w:rsidRDefault="00FC42BE" w:rsidP="00FC42BE">
                  <w:pPr>
                    <w:rPr>
                      <w:b/>
                      <w:bCs/>
                      <w:color w:val="385623" w:themeColor="accent6" w:themeShade="80"/>
                    </w:rPr>
                  </w:pPr>
                </w:p>
                <w:p w:rsidR="00FC42BE" w:rsidRPr="00FD32B5" w:rsidRDefault="00FC42BE" w:rsidP="00FC42BE">
                  <w:pPr>
                    <w:rPr>
                      <w:b/>
                      <w:bCs/>
                      <w:color w:val="385623" w:themeColor="accent6" w:themeShade="80"/>
                    </w:rPr>
                  </w:pPr>
                  <w:r w:rsidRPr="00FD32B5">
                    <w:rPr>
                      <w:b/>
                      <w:bCs/>
                      <w:color w:val="385623" w:themeColor="accent6" w:themeShade="80"/>
                    </w:rPr>
                    <w:t>Head Here</w:t>
                  </w:r>
                </w:p>
                <w:p w:rsidR="00FC42BE" w:rsidRDefault="00FC42BE" w:rsidP="00FC42BE">
                  <w:r>
                    <w:t>Text or images here</w:t>
                  </w:r>
                </w:p>
              </w:txbxContent>
            </v:textbox>
            <w10:wrap type="square" anchorx="margin"/>
          </v:shape>
        </w:pict>
      </w:r>
      <w:r w:rsidR="009B0E20">
        <w:rPr>
          <w:noProof/>
          <w:lang w:eastAsia="en-GB"/>
        </w:rPr>
        <w:pict>
          <v:shape id="Text Box 8" o:spid="_x0000_s2061" type="#_x0000_t202" style="position:absolute;margin-left:79pt;margin-top:274.5pt;width:351.5pt;height:173.5pt;z-index:251678720;visibility:visible;mso-wrap-distance-top:3.6pt;mso-wrap-distance-bottom:3.6pt;mso-position-horizontal-relative:pag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cJLLg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" strokeweight="3.75pt">
            <v:textbox style="mso-next-textbox:#Text Box 8">
              <w:txbxContent>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Residential care homes provide accommodation and 24</w:t>
                  </w:r>
                  <w:r w:rsidR="00D46CAF" w:rsidRPr="009B0E20">
                    <w:rPr>
                      <w:rFonts w:ascii="Arial" w:hAnsi="Arial" w:cs="Arial"/>
                      <w:b/>
                      <w:bCs/>
                      <w:color w:val="385623" w:themeColor="accent6" w:themeShade="80"/>
                      <w:sz w:val="16"/>
                      <w:szCs w:val="16"/>
                    </w:rPr>
                    <w:t>-</w:t>
                  </w:r>
                  <w:r w:rsidRPr="009B0E20">
                    <w:rPr>
                      <w:rFonts w:ascii="Arial" w:hAnsi="Arial" w:cs="Arial"/>
                      <w:b/>
                      <w:bCs/>
                      <w:color w:val="385623" w:themeColor="accent6" w:themeShade="80"/>
                      <w:sz w:val="16"/>
                      <w:szCs w:val="16"/>
                    </w:rPr>
                    <w:t>h</w:t>
                  </w:r>
                  <w:r w:rsidR="00D46CAF" w:rsidRPr="009B0E20">
                    <w:rPr>
                      <w:rFonts w:ascii="Arial" w:hAnsi="Arial" w:cs="Arial"/>
                      <w:b/>
                      <w:bCs/>
                      <w:color w:val="385623" w:themeColor="accent6" w:themeShade="80"/>
                      <w:sz w:val="16"/>
                      <w:szCs w:val="16"/>
                    </w:rPr>
                    <w:t xml:space="preserve">our personal support for people mainly those over 65, </w:t>
                  </w:r>
                  <w:r w:rsidRPr="009B0E20">
                    <w:rPr>
                      <w:rFonts w:ascii="Arial" w:hAnsi="Arial" w:cs="Arial"/>
                      <w:b/>
                      <w:bCs/>
                      <w:color w:val="385623" w:themeColor="accent6" w:themeShade="80"/>
                      <w:sz w:val="16"/>
                      <w:szCs w:val="16"/>
                    </w:rPr>
                    <w:t>who can no longer manage safely at home but do not require nursing care. These settings offer a safe, homely environment where residents receive help with daily tasks such as washing, dressing, toileting, medication and mobility.</w:t>
                  </w:r>
                </w:p>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The term residential reflects that individuals live there permanently or temporarily, with access to on</w:t>
                  </w:r>
                  <w:r w:rsidRPr="009B0E20">
                    <w:rPr>
                      <w:rFonts w:cs="Arial"/>
                      <w:b/>
                      <w:bCs/>
                      <w:color w:val="385623" w:themeColor="accent6" w:themeShade="80"/>
                      <w:sz w:val="16"/>
                      <w:szCs w:val="16"/>
                    </w:rPr>
                    <w:t>‑</w:t>
                  </w:r>
                  <w:r w:rsidRPr="009B0E20">
                    <w:rPr>
                      <w:rFonts w:ascii="Arial" w:hAnsi="Arial" w:cs="Arial"/>
                      <w:b/>
                      <w:bCs/>
                      <w:color w:val="385623" w:themeColor="accent6" w:themeShade="80"/>
                      <w:sz w:val="16"/>
                      <w:szCs w:val="16"/>
                    </w:rPr>
                    <w:t>site services and social activities. Residential homes support older adults as well as younger people with disabilities, dementia or mental health needs</w:t>
                  </w:r>
                  <w:r w:rsidR="00D46CAF" w:rsidRPr="009B0E20">
                    <w:rPr>
                      <w:rFonts w:ascii="Arial" w:hAnsi="Arial" w:cs="Arial"/>
                      <w:b/>
                      <w:bCs/>
                      <w:color w:val="385623" w:themeColor="accent6" w:themeShade="80"/>
                      <w:sz w:val="16"/>
                      <w:szCs w:val="16"/>
                    </w:rPr>
                    <w:t>. Stays may be long-term, short-</w:t>
                  </w:r>
                  <w:r w:rsidRPr="009B0E20">
                    <w:rPr>
                      <w:rFonts w:ascii="Arial" w:hAnsi="Arial" w:cs="Arial"/>
                      <w:b/>
                      <w:bCs/>
                      <w:color w:val="385623" w:themeColor="accent6" w:themeShade="80"/>
                      <w:sz w:val="16"/>
                      <w:szCs w:val="16"/>
                    </w:rPr>
                    <w:t>term, respite or end</w:t>
                  </w:r>
                  <w:r w:rsidR="00D46CAF" w:rsidRPr="009B0E20">
                    <w:rPr>
                      <w:rFonts w:ascii="Arial" w:hAnsi="Arial" w:cs="Arial"/>
                      <w:b/>
                      <w:bCs/>
                      <w:color w:val="385623" w:themeColor="accent6" w:themeShade="80"/>
                      <w:sz w:val="16"/>
                      <w:szCs w:val="16"/>
                    </w:rPr>
                    <w:t>-of l</w:t>
                  </w:r>
                  <w:r w:rsidRPr="009B0E20">
                    <w:rPr>
                      <w:rFonts w:ascii="Arial" w:hAnsi="Arial" w:cs="Arial"/>
                      <w:b/>
                      <w:bCs/>
                      <w:color w:val="385623" w:themeColor="accent6" w:themeShade="80"/>
                      <w:sz w:val="16"/>
                      <w:szCs w:val="16"/>
                    </w:rPr>
                    <w:t>ife care.</w:t>
                  </w:r>
                </w:p>
                <w:p w:rsidR="00D46CAF"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Residential care is expensive, with self</w:t>
                  </w:r>
                  <w:r w:rsidR="00D46CAF" w:rsidRPr="009B0E20">
                    <w:rPr>
                      <w:rFonts w:ascii="Arial" w:hAnsi="Arial" w:cs="Arial"/>
                      <w:b/>
                      <w:bCs/>
                      <w:color w:val="385623" w:themeColor="accent6" w:themeShade="80"/>
                      <w:sz w:val="16"/>
                      <w:szCs w:val="16"/>
                    </w:rPr>
                    <w:t xml:space="preserve"> </w:t>
                  </w:r>
                  <w:r w:rsidRPr="009B0E20">
                    <w:rPr>
                      <w:rFonts w:ascii="Arial" w:hAnsi="Arial" w:cs="Arial"/>
                      <w:b/>
                      <w:bCs/>
                      <w:color w:val="385623" w:themeColor="accent6" w:themeShade="80"/>
                      <w:sz w:val="16"/>
                      <w:szCs w:val="16"/>
                    </w:rPr>
                    <w:t>funding residents paying around £1,298 per week. Depending on financial circumstances, local authorit</w:t>
                  </w:r>
                  <w:r w:rsidR="00D46CAF" w:rsidRPr="009B0E20">
                    <w:rPr>
                      <w:rFonts w:ascii="Arial" w:hAnsi="Arial" w:cs="Arial"/>
                      <w:b/>
                      <w:bCs/>
                      <w:color w:val="385623" w:themeColor="accent6" w:themeShade="80"/>
                      <w:sz w:val="16"/>
                      <w:szCs w:val="16"/>
                    </w:rPr>
                    <w:t>ies may contribute to the cost.</w:t>
                  </w:r>
                </w:p>
                <w:p w:rsidR="00CE3444" w:rsidRPr="009B0E20" w:rsidRDefault="00CE3444" w:rsidP="00CE3444">
                  <w:pPr>
                    <w:rPr>
                      <w:rFonts w:ascii="Arial" w:hAnsi="Arial" w:cs="Arial"/>
                      <w:b/>
                      <w:bCs/>
                      <w:color w:val="385623" w:themeColor="accent6" w:themeShade="80"/>
                      <w:sz w:val="16"/>
                      <w:szCs w:val="16"/>
                    </w:rPr>
                  </w:pPr>
                  <w:r w:rsidRPr="009B0E20">
                    <w:rPr>
                      <w:rFonts w:ascii="Arial" w:hAnsi="Arial" w:cs="Arial"/>
                      <w:b/>
                      <w:bCs/>
                      <w:color w:val="385623" w:themeColor="accent6" w:themeShade="80"/>
                      <w:sz w:val="16"/>
                      <w:szCs w:val="16"/>
                    </w:rPr>
                    <w:t>Alongside personal care, residents benefit from meals, organised activities, social interaction and facilities such as gardens, cafés or hair salons, helping to maintain wellbeing and quality of life.</w:t>
                  </w:r>
                </w:p>
                <w:p w:rsidR="00CE3444" w:rsidRDefault="00CE3444" w:rsidP="00CE3444"/>
              </w:txbxContent>
            </v:textbox>
            <w10:wrap type="square" anchorx="page"/>
          </v:shape>
        </w:pict>
      </w:r>
      <w:r w:rsidR="003A1B10">
        <w:rPr>
          <w:noProof/>
        </w:rPr>
        <w:pict>
          <v:shape id="Text Box 5" o:spid="_x0000_s2056" type="#_x0000_t202" style="position:absolute;margin-left:389.5pt;margin-top:81pt;width:156pt;height:121.5pt;z-index:251665408;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9C9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KQt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qsPQvS8CAABcBAAADgAAAAAAAAAAAAAAAAAu&#10;AgAAZHJzL2Uyb0RvYy54bWxQSwECLQAUAAYACAAAACEAzuMugOEAAAALAQAADwAAAAAAAAAAAAAA&#10;AACJBAAAZHJzL2Rvd25yZXYueG1sUEsFBgAAAAAEAAQA8wAAAJcFAAAAAA==&#10;" strokeweight="3.5pt">
            <v:textbox style="mso-next-textbox:#Text Box 5">
              <w:txbxContent>
                <w:p w:rsidR="00BE6BE0" w:rsidRDefault="00CE3444" w:rsidP="00BE6BE0">
                  <w:r w:rsidRPr="00CE3444">
                    <w:rPr>
                      <w:noProof/>
                      <w:lang w:eastAsia="en-GB"/>
                    </w:rPr>
                    <w:drawing>
                      <wp:inline distT="0" distB="0" distL="0" distR="0">
                        <wp:extent cx="1694218" cy="1454150"/>
                        <wp:effectExtent l="19050" t="0" r="1232" b="0"/>
                        <wp:docPr id="4" name="Picture 1" descr="Residential Care Homes | B&amp;M Care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idential Care Homes | B&amp;M Care Homes"/>
                                <pic:cNvPicPr>
                                  <a:picLocks noChangeAspect="1" noChangeArrowheads="1"/>
                                </pic:cNvPicPr>
                              </pic:nvPicPr>
                              <pic:blipFill>
                                <a:blip r:embed="rId11"/>
                                <a:srcRect/>
                                <a:stretch>
                                  <a:fillRect/>
                                </a:stretch>
                              </pic:blipFill>
                              <pic:spPr bwMode="auto">
                                <a:xfrm>
                                  <a:off x="0" y="0"/>
                                  <a:ext cx="1700086" cy="1459187"/>
                                </a:xfrm>
                                <a:prstGeom prst="rect">
                                  <a:avLst/>
                                </a:prstGeom>
                                <a:noFill/>
                                <a:ln w="9525">
                                  <a:noFill/>
                                  <a:miter lim="800000"/>
                                  <a:headEnd/>
                                  <a:tailEnd/>
                                </a:ln>
                              </pic:spPr>
                            </pic:pic>
                          </a:graphicData>
                        </a:graphic>
                      </wp:inline>
                    </w:drawing>
                  </w:r>
                </w:p>
              </w:txbxContent>
            </v:textbox>
            <w10:wrap type="square" anchorx="margin"/>
          </v:shape>
        </w:pict>
      </w:r>
      <w:r w:rsidR="003A1B10">
        <w:rPr>
          <w:noProof/>
        </w:rPr>
        <w:pict>
          <v:shape id="_x0000_s2050" type="#_x0000_t202" style="position:absolute;margin-left:7pt;margin-top:-.5pt;width:554.5pt;height:79pt;z-index:251661312;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">
            <v:textbox style="mso-next-textbox:#_x0000_s2050">
              <w:txbxContent>
                <w:p w:rsidR="00BE6BE0" w:rsidRPr="00FD32B5" w:rsidRDefault="00EB121C" w:rsidP="00BE6BE0">
                  <w:pPr>
                    <w:shd w:val="clear" w:color="auto" w:fill="F4B083" w:themeFill="accent2" w:themeFillTint="99"/>
                    <w:jc w:val="center"/>
                    <w:rPr>
                      <w:b/>
                      <w:bCs/>
                      <w:i/>
                      <w:iCs/>
                      <w:color w:val="00B0F0"/>
                      <w:sz w:val="70"/>
                      <w:szCs w:val="70"/>
                    </w:rPr>
                  </w:pPr>
                  <w:r>
                    <w:rPr>
                      <w:b/>
                      <w:bCs/>
                      <w:i/>
                      <w:iCs/>
                      <w:color w:val="00B0F0"/>
                      <w:sz w:val="70"/>
                      <w:szCs w:val="70"/>
                    </w:rPr>
                    <w:t>Residential  care home</w:t>
                  </w:r>
                </w:p>
                <w:p w:rsidR="00BE6BE0" w:rsidRPr="00EF21B5" w:rsidRDefault="00EB121C" w:rsidP="00BE6BE0">
                  <w:pPr>
                    <w:shd w:val="clear" w:color="auto" w:fill="F4B083" w:themeFill="accent2" w:themeFillTint="99"/>
                    <w:jc w:val="center"/>
                    <w:rPr>
                      <w:sz w:val="28"/>
                      <w:szCs w:val="28"/>
                    </w:rPr>
                  </w:pPr>
                  <w:r>
                    <w:rPr>
                      <w:sz w:val="28"/>
                      <w:szCs w:val="28"/>
                    </w:rPr>
                    <w:t>2510713, Introduction to Health and Social Care, 2510713@student.uwtsd.ac.uk</w:t>
                  </w:r>
                </w:p>
                <w:p w:rsidR="00BE6BE0" w:rsidRPr="00EF21B5" w:rsidRDefault="00BE6BE0" w:rsidP="00BE6BE0">
                  <w:pPr>
                    <w:shd w:val="clear" w:color="auto" w:fill="F4B083" w:themeFill="accent2" w:themeFillTint="99"/>
                    <w:rPr>
                      <w:color w:val="00B0F0"/>
                      <w:sz w:val="70"/>
                      <w:szCs w:val="70"/>
                    </w:rPr>
                  </w:pPr>
                </w:p>
              </w:txbxContent>
            </v:textbox>
            <w10:wrap type="square" anchorx="margin"/>
          </v:shape>
        </w:pict>
      </w:r>
    </w:p>
    <w:p w:rsidR="00582592" w:rsidRDefault="00AE63B1">
      <w:pPr>
        <w:rPr>
          <w:rFonts w:ascii="Arial" w:hAnsi="Arial" w:cs="Arial"/>
          <w:b/>
          <w:bCs/>
          <w:sz w:val="28"/>
          <w:szCs w:val="28"/>
        </w:rPr>
      </w:pPr>
      <w:r>
        <w:rPr>
          <w:rFonts w:ascii="Arial" w:hAnsi="Arial" w:cs="Arial"/>
          <w:b/>
          <w:bCs/>
          <w:sz w:val="28"/>
          <w:szCs w:val="28"/>
        </w:rPr>
        <w:lastRenderedPageBreak/>
        <w:t xml:space="preserve">                                 PHARMACY SERVICES</w:t>
      </w:r>
    </w:p>
    <w:p w:rsidR="00582592" w:rsidRDefault="00582592">
      <w:pPr>
        <w:rPr>
          <w:rFonts w:ascii="Arial" w:hAnsi="Arial" w:cs="Arial"/>
          <w:b/>
          <w:bCs/>
          <w:sz w:val="28"/>
          <w:szCs w:val="28"/>
        </w:rPr>
      </w:pPr>
    </w:p>
    <w:p w:rsidR="005056F4" w:rsidRPr="00784CAD" w:rsidRDefault="00582592" w:rsidP="005056F4">
      <w:pPr>
        <w:jc w:val="both"/>
        <w:rPr>
          <w:rFonts w:ascii="Arial" w:hAnsi="Arial" w:cs="Arial"/>
          <w:color w:val="2A2A2A"/>
          <w:sz w:val="20"/>
          <w:szCs w:val="20"/>
          <w:shd w:val="clear" w:color="auto" w:fill="FFFFFF"/>
        </w:rPr>
      </w:pPr>
      <w:r w:rsidRPr="00784CAD">
        <w:rPr>
          <w:rFonts w:ascii="Arial" w:hAnsi="Arial" w:cs="Arial"/>
          <w:color w:val="2A2A2A"/>
          <w:sz w:val="20"/>
          <w:szCs w:val="20"/>
          <w:shd w:val="clear" w:color="auto" w:fill="FFFFFF"/>
        </w:rPr>
        <w:t>The UK National Health Service (NHS) is under considerable strain due to ongoing general practitioner (GP) workforce crisis. More than a half of GPs in England are close to retirement age and 90% feel adversely affected by increasing workload. In order to alleviate these service pressures, NHS England launched the ‘Clinical Pharmacists in General Practice’ (CPGP) pilot, which part-funded 490 pharmacists with an aim of enhancing patients’ access to general practice, supporting the management of long-term conditions and improving communication between care settings.The success of phase 1 urged the Government to invest £112 million into an additional 1500 pharmacists to undertake largely patient-facing clinical roles contributing to the delivery of quality and outcomes framework (QOF) and a range of enhanced services.</w:t>
      </w:r>
      <w:r w:rsidR="005056F4" w:rsidRPr="00784CAD">
        <w:rPr>
          <w:rFonts w:ascii="Arial" w:hAnsi="Arial" w:cs="Arial"/>
          <w:color w:val="2A2A2A"/>
          <w:sz w:val="20"/>
          <w:szCs w:val="20"/>
          <w:shd w:val="clear" w:color="auto" w:fill="FFFFFF"/>
        </w:rPr>
        <w:t xml:space="preserve"> </w:t>
      </w:r>
    </w:p>
    <w:p w:rsidR="00456A60" w:rsidRDefault="00582592" w:rsidP="00456A60">
      <w:pPr>
        <w:jc w:val="both"/>
        <w:rPr>
          <w:rFonts w:ascii="Arial" w:hAnsi="Arial" w:cs="Arial"/>
          <w:color w:val="2A2A2A"/>
          <w:sz w:val="20"/>
          <w:szCs w:val="20"/>
          <w:shd w:val="clear" w:color="auto" w:fill="FFFFFF"/>
        </w:rPr>
      </w:pPr>
      <w:r w:rsidRPr="00784CAD">
        <w:rPr>
          <w:rFonts w:ascii="Arial" w:hAnsi="Arial" w:cs="Arial"/>
          <w:color w:val="2A2A2A"/>
          <w:sz w:val="20"/>
          <w:szCs w:val="20"/>
          <w:shd w:val="clear" w:color="auto" w:fill="FFFFFF"/>
        </w:rPr>
        <w:t>The inception of Primary Care Networks (PCNs) committed to future expansion and integration of these roles alongside other allied healthcare professionals by 2024</w:t>
      </w:r>
      <w:r w:rsidR="00A42B31" w:rsidRPr="00784CAD">
        <w:rPr>
          <w:rFonts w:ascii="Arial" w:hAnsi="Arial" w:cs="Arial"/>
          <w:color w:val="2A2A2A"/>
          <w:sz w:val="20"/>
          <w:szCs w:val="20"/>
          <w:shd w:val="clear" w:color="auto" w:fill="FFFFFF"/>
        </w:rPr>
        <w:t xml:space="preserve"> (Savickas Vet, 2019, 29)</w:t>
      </w:r>
      <w:r w:rsidR="002D1138">
        <w:rPr>
          <w:rFonts w:ascii="Arial" w:hAnsi="Arial" w:cs="Arial"/>
          <w:color w:val="2A2A2A"/>
          <w:sz w:val="20"/>
          <w:szCs w:val="20"/>
          <w:shd w:val="clear" w:color="auto" w:fill="FFFFFF"/>
        </w:rPr>
        <w:t>.</w:t>
      </w:r>
    </w:p>
    <w:p w:rsidR="00164968" w:rsidRPr="00164968" w:rsidRDefault="00164968" w:rsidP="00164968">
      <w:pPr>
        <w:jc w:val="both"/>
        <w:rPr>
          <w:rFonts w:ascii="Arial" w:hAnsi="Arial" w:cs="Arial"/>
          <w:color w:val="2A2A2A"/>
          <w:sz w:val="20"/>
          <w:szCs w:val="20"/>
          <w:shd w:val="clear" w:color="auto" w:fill="FFFFFF"/>
        </w:rPr>
      </w:pPr>
      <w:r w:rsidRPr="00164968">
        <w:rPr>
          <w:rFonts w:ascii="Arial" w:hAnsi="Arial" w:cs="Arial"/>
          <w:color w:val="2A2A2A"/>
          <w:sz w:val="20"/>
          <w:szCs w:val="20"/>
          <w:shd w:val="clear" w:color="auto" w:fill="FFFFFF"/>
        </w:rPr>
        <w:t>The Clinical Pharmacists in General Practice (CPGP) pilot helped define the expected responsibilities of general practice pharmacy professionals (GPPPs), leading NHS England to support the recruitment of more than 2,000 pharmacists in primary care. Despite this expansion, many GPPPs work outside the CPGP programme, and there is limited understanding of the services they deliver.</w:t>
      </w:r>
    </w:p>
    <w:p w:rsidR="00164968" w:rsidRPr="00164968" w:rsidRDefault="00164968" w:rsidP="00164968">
      <w:pPr>
        <w:jc w:val="both"/>
        <w:rPr>
          <w:rFonts w:ascii="Arial" w:hAnsi="Arial" w:cs="Arial"/>
          <w:color w:val="2A2A2A"/>
          <w:sz w:val="20"/>
          <w:szCs w:val="20"/>
          <w:shd w:val="clear" w:color="auto" w:fill="FFFFFF"/>
        </w:rPr>
      </w:pPr>
      <w:r w:rsidRPr="00164968">
        <w:rPr>
          <w:rFonts w:ascii="Arial" w:hAnsi="Arial" w:cs="Arial"/>
          <w:color w:val="2A2A2A"/>
          <w:sz w:val="20"/>
          <w:szCs w:val="20"/>
          <w:shd w:val="clear" w:color="auto" w:fill="FFFFFF"/>
        </w:rPr>
        <w:t>A total of 91 full responses were collected (81 pharmacists and 10 pharmacy technicians). More than 80% of pharmacists reported undertaking clinical duties, including medication reviews and managing long</w:t>
      </w:r>
      <w:r w:rsidRPr="00164968">
        <w:rPr>
          <w:rFonts w:ascii="Cambria Math" w:hAnsi="Cambria Math" w:cs="Cambria Math"/>
          <w:color w:val="2A2A2A"/>
          <w:sz w:val="20"/>
          <w:szCs w:val="20"/>
          <w:shd w:val="clear" w:color="auto" w:fill="FFFFFF"/>
        </w:rPr>
        <w:t>‑</w:t>
      </w:r>
      <w:r w:rsidRPr="00164968">
        <w:rPr>
          <w:rFonts w:ascii="Arial" w:hAnsi="Arial" w:cs="Arial"/>
          <w:color w:val="2A2A2A"/>
          <w:sz w:val="20"/>
          <w:szCs w:val="20"/>
          <w:shd w:val="clear" w:color="auto" w:fill="FFFFFF"/>
        </w:rPr>
        <w:t>term conditions. Pharmacists involved in the CPGP pilot were significantly more likely to process repeat prescription requests (P = 0.035). Pharmacy technicians mainly carried out non</w:t>
      </w:r>
      <w:r w:rsidRPr="00164968">
        <w:rPr>
          <w:rFonts w:ascii="Cambria Math" w:hAnsi="Cambria Math" w:cs="Cambria Math"/>
          <w:color w:val="2A2A2A"/>
          <w:sz w:val="20"/>
          <w:szCs w:val="20"/>
          <w:shd w:val="clear" w:color="auto" w:fill="FFFFFF"/>
        </w:rPr>
        <w:t>‑</w:t>
      </w:r>
      <w:r w:rsidRPr="00164968">
        <w:rPr>
          <w:rFonts w:ascii="Arial" w:hAnsi="Arial" w:cs="Arial"/>
          <w:color w:val="2A2A2A"/>
          <w:sz w:val="20"/>
          <w:szCs w:val="20"/>
          <w:shd w:val="clear" w:color="auto" w:fill="FFFFFF"/>
        </w:rPr>
        <w:t>clinical tasks, such as commissioning activities and handling safety alerts or drug recalls. Around one</w:t>
      </w:r>
      <w:r>
        <w:rPr>
          <w:rFonts w:ascii="Cambria Math" w:hAnsi="Cambria Math" w:cs="Cambria Math"/>
          <w:color w:val="2A2A2A"/>
          <w:sz w:val="20"/>
          <w:szCs w:val="20"/>
          <w:shd w:val="clear" w:color="auto" w:fill="FFFFFF"/>
        </w:rPr>
        <w:t xml:space="preserve"> </w:t>
      </w:r>
      <w:r w:rsidRPr="00164968">
        <w:rPr>
          <w:rFonts w:ascii="Arial" w:hAnsi="Arial" w:cs="Arial"/>
          <w:color w:val="2A2A2A"/>
          <w:sz w:val="20"/>
          <w:szCs w:val="20"/>
          <w:shd w:val="clear" w:color="auto" w:fill="FFFFFF"/>
        </w:rPr>
        <w:t>third of GPPPs expressed interest in further developing care</w:t>
      </w:r>
      <w:r>
        <w:rPr>
          <w:rFonts w:ascii="Cambria Math" w:hAnsi="Cambria Math" w:cs="Cambria Math"/>
          <w:color w:val="2A2A2A"/>
          <w:sz w:val="20"/>
          <w:szCs w:val="20"/>
          <w:shd w:val="clear" w:color="auto" w:fill="FFFFFF"/>
        </w:rPr>
        <w:t xml:space="preserve"> </w:t>
      </w:r>
      <w:r w:rsidRPr="00164968">
        <w:rPr>
          <w:rFonts w:ascii="Arial" w:hAnsi="Arial" w:cs="Arial"/>
          <w:color w:val="2A2A2A"/>
          <w:sz w:val="20"/>
          <w:szCs w:val="20"/>
          <w:shd w:val="clear" w:color="auto" w:fill="FFFFFF"/>
        </w:rPr>
        <w:t>home</w:t>
      </w:r>
      <w:r>
        <w:rPr>
          <w:rFonts w:ascii="Cambria Math" w:hAnsi="Cambria Math" w:cs="Cambria Math"/>
          <w:color w:val="2A2A2A"/>
          <w:sz w:val="20"/>
          <w:szCs w:val="20"/>
          <w:shd w:val="clear" w:color="auto" w:fill="FFFFFF"/>
        </w:rPr>
        <w:t xml:space="preserve"> </w:t>
      </w:r>
      <w:r w:rsidRPr="00164968">
        <w:rPr>
          <w:rFonts w:ascii="Arial" w:hAnsi="Arial" w:cs="Arial"/>
          <w:color w:val="2A2A2A"/>
          <w:sz w:val="20"/>
          <w:szCs w:val="20"/>
          <w:shd w:val="clear" w:color="auto" w:fill="FFFFFF"/>
        </w:rPr>
        <w:t>based services.</w:t>
      </w:r>
    </w:p>
    <w:p w:rsidR="00B92B6C" w:rsidRDefault="00164968" w:rsidP="00164968">
      <w:pPr>
        <w:jc w:val="both"/>
        <w:rPr>
          <w:rFonts w:ascii="Arial" w:hAnsi="Arial" w:cs="Arial"/>
          <w:color w:val="2A2A2A"/>
          <w:sz w:val="20"/>
          <w:szCs w:val="20"/>
          <w:shd w:val="clear" w:color="auto" w:fill="FFFFFF"/>
        </w:rPr>
      </w:pPr>
      <w:r w:rsidRPr="00164968">
        <w:rPr>
          <w:rFonts w:ascii="Arial" w:hAnsi="Arial" w:cs="Arial"/>
          <w:color w:val="2A2A2A"/>
          <w:sz w:val="20"/>
          <w:szCs w:val="20"/>
          <w:shd w:val="clear" w:color="auto" w:fill="FFFFFF"/>
        </w:rPr>
        <w:t>Reported benefits of GPPP involvement included better use of professional expertise, improved identification of medicines</w:t>
      </w:r>
      <w:r>
        <w:rPr>
          <w:rFonts w:ascii="Cambria Math" w:hAnsi="Cambria Math" w:cs="Cambria Math"/>
          <w:color w:val="2A2A2A"/>
          <w:sz w:val="20"/>
          <w:szCs w:val="20"/>
          <w:shd w:val="clear" w:color="auto" w:fill="FFFFFF"/>
        </w:rPr>
        <w:t xml:space="preserve"> </w:t>
      </w:r>
      <w:r w:rsidRPr="00164968">
        <w:rPr>
          <w:rFonts w:ascii="Arial" w:hAnsi="Arial" w:cs="Arial"/>
          <w:color w:val="2A2A2A"/>
          <w:sz w:val="20"/>
          <w:szCs w:val="20"/>
          <w:shd w:val="clear" w:color="auto" w:fill="FFFFFF"/>
        </w:rPr>
        <w:t>related problems, and reduced medication waste. Although respondents generally felt positive about their working relationships, they also highlighted challenges such as heavy workloads, limited patient understanding of their roles, and restricted opportunities to influence service development.</w:t>
      </w:r>
      <w:r>
        <w:rPr>
          <w:rFonts w:ascii="Arial" w:hAnsi="Arial" w:cs="Arial"/>
          <w:color w:val="2A2A2A"/>
          <w:sz w:val="20"/>
          <w:szCs w:val="20"/>
          <w:shd w:val="clear" w:color="auto" w:fill="FFFFFF"/>
        </w:rPr>
        <w:t xml:space="preserve"> </w:t>
      </w:r>
      <w:r w:rsidR="00B92B6C" w:rsidRPr="00B92B6C">
        <w:rPr>
          <w:rFonts w:ascii="Arial" w:hAnsi="Arial" w:cs="Arial"/>
          <w:color w:val="2A2A2A"/>
          <w:sz w:val="20"/>
          <w:szCs w:val="20"/>
          <w:shd w:val="clear" w:color="auto" w:fill="FFFFFF"/>
        </w:rPr>
        <w:t>General practice pharmacy professionals deliver clinical and non-clinical services which may benefit patients, general practice and the healthcare system. General practices and national organisations should provide GPPPs with tailored support and exploit the combined streng</w:t>
      </w:r>
      <w:r w:rsidR="00B92B6C">
        <w:rPr>
          <w:rFonts w:ascii="Arial" w:hAnsi="Arial" w:cs="Arial"/>
          <w:color w:val="2A2A2A"/>
          <w:sz w:val="20"/>
          <w:szCs w:val="20"/>
          <w:shd w:val="clear" w:color="auto" w:fill="FFFFFF"/>
        </w:rPr>
        <w:t xml:space="preserve">ths of pharmacists and pharmacy </w:t>
      </w:r>
      <w:r w:rsidR="00B92B6C" w:rsidRPr="00B92B6C">
        <w:rPr>
          <w:rFonts w:ascii="Arial" w:hAnsi="Arial" w:cs="Arial"/>
          <w:color w:val="2A2A2A"/>
          <w:sz w:val="20"/>
          <w:szCs w:val="20"/>
          <w:shd w:val="clear" w:color="auto" w:fill="FFFFFF"/>
        </w:rPr>
        <w:t>technicians to tackle increased workload.</w:t>
      </w:r>
    </w:p>
    <w:p w:rsidR="000E4236" w:rsidRDefault="000E4236" w:rsidP="00164968">
      <w:pPr>
        <w:jc w:val="both"/>
        <w:rPr>
          <w:rFonts w:ascii="Arial" w:hAnsi="Arial" w:cs="Arial"/>
          <w:color w:val="2A2A2A"/>
          <w:sz w:val="20"/>
          <w:szCs w:val="20"/>
          <w:shd w:val="clear" w:color="auto" w:fill="FFFFFF"/>
        </w:rPr>
      </w:pPr>
      <w:r w:rsidRPr="000E4236">
        <w:rPr>
          <w:rFonts w:ascii="Arial" w:hAnsi="Arial" w:cs="Arial"/>
          <w:color w:val="2A2A2A"/>
          <w:sz w:val="20"/>
          <w:szCs w:val="20"/>
          <w:shd w:val="clear" w:color="auto" w:fill="FFFFFF"/>
        </w:rPr>
        <w:t>A </w:t>
      </w:r>
      <w:r>
        <w:rPr>
          <w:rFonts w:ascii="Arial" w:hAnsi="Arial" w:cs="Arial"/>
          <w:color w:val="2A2A2A"/>
          <w:sz w:val="20"/>
          <w:szCs w:val="20"/>
          <w:shd w:val="clear" w:color="auto" w:fill="FFFFFF"/>
        </w:rPr>
        <w:t xml:space="preserve">professional pharmacy service </w:t>
      </w:r>
      <w:r w:rsidRPr="000E4236">
        <w:rPr>
          <w:rFonts w:ascii="Arial" w:hAnsi="Arial" w:cs="Arial"/>
          <w:color w:val="2A2A2A"/>
          <w:sz w:val="20"/>
          <w:szCs w:val="20"/>
          <w:shd w:val="clear" w:color="auto" w:fill="FFFFFF"/>
        </w:rPr>
        <w:t>is an action or set of actions undertaken in or organized by a pharmacy, delivered by a pharmacist or other health practitioner, who applies their specialized health knowledge personally or via an intermediary, with a patient/client, populat</w:t>
      </w:r>
      <w:r>
        <w:rPr>
          <w:rFonts w:ascii="Arial" w:hAnsi="Arial" w:cs="Arial"/>
          <w:color w:val="2A2A2A"/>
          <w:sz w:val="20"/>
          <w:szCs w:val="20"/>
          <w:shd w:val="clear" w:color="auto" w:fill="FFFFFF"/>
        </w:rPr>
        <w:t>ion or other health professional.</w:t>
      </w:r>
    </w:p>
    <w:p w:rsidR="00C539B2" w:rsidRDefault="00C539B2" w:rsidP="00C539B2">
      <w:pPr>
        <w:rPr>
          <w:rFonts w:ascii="Arial" w:hAnsi="Arial" w:cs="Arial"/>
          <w:color w:val="2A2A2A"/>
          <w:sz w:val="20"/>
          <w:szCs w:val="20"/>
          <w:shd w:val="clear" w:color="auto" w:fill="FFFFFF"/>
        </w:rPr>
      </w:pPr>
      <w:r w:rsidRPr="00913DCB">
        <w:rPr>
          <w:rFonts w:ascii="Arial" w:hAnsi="Arial" w:cs="Arial"/>
          <w:color w:val="2A2A2A"/>
          <w:sz w:val="20"/>
          <w:szCs w:val="20"/>
          <w:shd w:val="clear" w:color="auto" w:fill="FFFFFF"/>
        </w:rPr>
        <w:t>Despite expecting more from pharmacy services, patients report low satisfaction.</w:t>
      </w:r>
    </w:p>
    <w:p w:rsidR="000E4236" w:rsidRDefault="000E4236" w:rsidP="00164968">
      <w:pPr>
        <w:jc w:val="both"/>
        <w:rPr>
          <w:rFonts w:ascii="Arial" w:hAnsi="Arial" w:cs="Arial"/>
          <w:color w:val="2A2A2A"/>
          <w:sz w:val="20"/>
          <w:szCs w:val="20"/>
          <w:shd w:val="clear" w:color="auto" w:fill="FFFFFF"/>
        </w:rPr>
      </w:pPr>
      <w:r w:rsidRPr="000E4236">
        <w:rPr>
          <w:rFonts w:ascii="Arial" w:hAnsi="Arial" w:cs="Arial"/>
          <w:color w:val="2A2A2A"/>
          <w:sz w:val="20"/>
          <w:szCs w:val="20"/>
          <w:shd w:val="clear" w:color="auto" w:fill="FFFFFF"/>
        </w:rPr>
        <w:t>Professional pharmacy services fit within the overall service offering of a pharmacy. There are a wide variety of pharmacy services provided by community pharmacy, both professional and non-professional. In contrast to professional services, non-professional services do not involve the application of any ‘specialized health knowledge,’ do not ‘optimize the process of care’ nor are directed toward ‘improving health outcomes and the value of healthcare.’</w:t>
      </w:r>
      <w:r w:rsidR="009D154A">
        <w:rPr>
          <w:rFonts w:ascii="Arial" w:hAnsi="Arial" w:cs="Arial"/>
          <w:color w:val="2A2A2A"/>
          <w:sz w:val="20"/>
          <w:szCs w:val="20"/>
          <w:shd w:val="clear" w:color="auto" w:fill="FFFFFF"/>
        </w:rPr>
        <w:t xml:space="preserve"> (Strand</w:t>
      </w:r>
      <w:r w:rsidR="00750A9F">
        <w:rPr>
          <w:rFonts w:ascii="Arial" w:hAnsi="Arial" w:cs="Arial"/>
          <w:color w:val="2A2A2A"/>
          <w:sz w:val="20"/>
          <w:szCs w:val="20"/>
          <w:shd w:val="clear" w:color="auto" w:fill="FFFFFF"/>
        </w:rPr>
        <w:t xml:space="preserve"> et al.,</w:t>
      </w:r>
      <w:r w:rsidR="009D154A">
        <w:rPr>
          <w:rFonts w:ascii="Arial" w:hAnsi="Arial" w:cs="Arial"/>
          <w:color w:val="2A2A2A"/>
          <w:sz w:val="20"/>
          <w:szCs w:val="20"/>
          <w:shd w:val="clear" w:color="auto" w:fill="FFFFFF"/>
        </w:rPr>
        <w:t>1992).</w:t>
      </w:r>
    </w:p>
    <w:p w:rsidR="00C539B2" w:rsidRPr="00C539B2" w:rsidRDefault="00EB4BB0" w:rsidP="00C539B2">
      <w:pPr>
        <w:jc w:val="both"/>
        <w:rPr>
          <w:rFonts w:ascii="Arial" w:hAnsi="Arial" w:cs="Arial"/>
          <w:color w:val="2A2A2A"/>
          <w:sz w:val="20"/>
          <w:szCs w:val="20"/>
          <w:shd w:val="clear" w:color="auto" w:fill="FFFFFF"/>
        </w:rPr>
      </w:pPr>
      <w:r w:rsidRPr="00EB4BB0">
        <w:rPr>
          <w:rFonts w:ascii="Arial" w:hAnsi="Arial" w:cs="Arial"/>
          <w:color w:val="2A2A2A"/>
          <w:sz w:val="20"/>
          <w:szCs w:val="20"/>
          <w:shd w:val="clear" w:color="auto" w:fill="FFFFFF"/>
        </w:rPr>
        <w:t>Clearly defining the scope of professional pharmacy services helps create a comprehensive understanding of the contribution community pharmacies make to the healthcare system, both individually and as a coordinated network. Using this definition also enables these services to be identified and measured, supporting evaluation of how the community pharmacy sector generates va</w:t>
      </w:r>
      <w:r w:rsidR="00913DCB">
        <w:rPr>
          <w:rFonts w:ascii="Arial" w:hAnsi="Arial" w:cs="Arial"/>
          <w:color w:val="2A2A2A"/>
          <w:sz w:val="20"/>
          <w:szCs w:val="20"/>
          <w:shd w:val="clear" w:color="auto" w:fill="FFFFFF"/>
        </w:rPr>
        <w:t>lue for the wider health system.</w:t>
      </w:r>
    </w:p>
    <w:p w:rsidR="00C539B2" w:rsidRDefault="00C539B2" w:rsidP="00833470">
      <w:pPr>
        <w:rPr>
          <w:rFonts w:ascii="Arial" w:hAnsi="Arial" w:cs="Arial"/>
          <w:b/>
          <w:bCs/>
          <w:sz w:val="28"/>
          <w:szCs w:val="28"/>
        </w:rPr>
      </w:pPr>
    </w:p>
    <w:p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rsidR="000E0F92" w:rsidRDefault="000E0F92" w:rsidP="00833470">
      <w:pPr>
        <w:rPr>
          <w:rFonts w:ascii="Arial" w:hAnsi="Arial" w:cs="Arial"/>
          <w:b/>
          <w:bCs/>
          <w:sz w:val="28"/>
          <w:szCs w:val="28"/>
        </w:rPr>
      </w:pPr>
    </w:p>
    <w:p w:rsidR="000E0F92" w:rsidRPr="00B92B6C" w:rsidRDefault="000E0F92" w:rsidP="000E0F92">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B92B6C">
        <w:rPr>
          <w:rFonts w:ascii="Arial" w:eastAsiaTheme="minorEastAsia" w:hAnsi="Arial" w:cs="Arial"/>
          <w:color w:val="05103E"/>
          <w:sz w:val="20"/>
          <w:szCs w:val="20"/>
          <w:lang w:eastAsia="zh-CN"/>
        </w:rPr>
        <w:t>International Journal of Pharmacy Practice, Volume 29, Issue 1, February 2021, Pages 1–2,</w:t>
      </w:r>
    </w:p>
    <w:p w:rsidR="000E0F92" w:rsidRDefault="000E0F92" w:rsidP="000E0F92">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hyperlink r:id="rId12" w:history="1">
        <w:r w:rsidRPr="004E2F89">
          <w:rPr>
            <w:rStyle w:val="Hyperlink"/>
            <w:rFonts w:ascii="Arial" w:eastAsiaTheme="minorEastAsia" w:hAnsi="Arial" w:cs="Arial"/>
            <w:sz w:val="20"/>
            <w:szCs w:val="20"/>
            <w:lang w:eastAsia="zh-CN"/>
          </w:rPr>
          <w:t>Https://Doi.org/10.1093/Ijpp/Riaa023</w:t>
        </w:r>
      </w:hyperlink>
      <w:r w:rsidRPr="00B92B6C">
        <w:rPr>
          <w:rFonts w:ascii="Arial" w:eastAsiaTheme="minorEastAsia" w:hAnsi="Arial" w:cs="Arial"/>
          <w:color w:val="05103E"/>
          <w:sz w:val="20"/>
          <w:szCs w:val="20"/>
          <w:lang w:eastAsia="zh-CN"/>
        </w:rPr>
        <w:t>.</w:t>
      </w:r>
    </w:p>
    <w:p w:rsidR="000E0F92" w:rsidRDefault="000E0F92" w:rsidP="000E0F92">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7C0164">
        <w:rPr>
          <w:rFonts w:ascii="Arial" w:eastAsiaTheme="minorEastAsia" w:hAnsi="Arial" w:cs="Arial"/>
          <w:i/>
          <w:iCs/>
          <w:color w:val="05103E"/>
          <w:sz w:val="20"/>
          <w:szCs w:val="20"/>
          <w:lang w:eastAsia="zh-CN"/>
        </w:rPr>
        <w:t>International Journal of Pharmacy Practice</w:t>
      </w:r>
      <w:r w:rsidRPr="007C0164">
        <w:rPr>
          <w:rFonts w:ascii="Arial" w:eastAsiaTheme="minorEastAsia" w:hAnsi="Arial" w:cs="Arial"/>
          <w:color w:val="05103E"/>
          <w:sz w:val="20"/>
          <w:szCs w:val="20"/>
          <w:lang w:eastAsia="zh-CN"/>
        </w:rPr>
        <w:t xml:space="preserve">, Volume 29, Issue 1, February 2021, </w:t>
      </w:r>
    </w:p>
    <w:p w:rsidR="000E0F92" w:rsidRDefault="000E0F92" w:rsidP="000E0F92">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7C0164">
        <w:rPr>
          <w:rFonts w:ascii="Arial" w:eastAsiaTheme="minorEastAsia" w:hAnsi="Arial" w:cs="Arial"/>
          <w:color w:val="05103E"/>
          <w:sz w:val="20"/>
          <w:szCs w:val="20"/>
          <w:lang w:eastAsia="zh-CN"/>
        </w:rPr>
        <w:t>Pages 37–44,</w:t>
      </w:r>
      <w:r>
        <w:rPr>
          <w:rFonts w:ascii="Arial" w:eastAsiaTheme="minorEastAsia" w:hAnsi="Arial" w:cs="Arial"/>
          <w:color w:val="05103E"/>
          <w:sz w:val="20"/>
          <w:szCs w:val="20"/>
          <w:lang w:eastAsia="zh-CN"/>
        </w:rPr>
        <w:t xml:space="preserve"> </w:t>
      </w:r>
      <w:hyperlink r:id="rId13" w:history="1">
        <w:r w:rsidRPr="007C0164">
          <w:rPr>
            <w:rFonts w:ascii="Arial" w:eastAsiaTheme="minorEastAsia" w:hAnsi="Arial" w:cs="Arial"/>
            <w:color w:val="05103E"/>
            <w:sz w:val="20"/>
            <w:szCs w:val="20"/>
            <w:lang w:eastAsia="zh-CN"/>
          </w:rPr>
          <w:t>https://doi.org/10.1111/ijpp.12653</w:t>
        </w:r>
      </w:hyperlink>
    </w:p>
    <w:p w:rsidR="00344C5F" w:rsidRDefault="00344C5F" w:rsidP="00344C5F">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344C5F">
        <w:rPr>
          <w:rFonts w:ascii="Arial" w:eastAsiaTheme="minorEastAsia" w:hAnsi="Arial" w:cs="Arial"/>
          <w:color w:val="05103E"/>
          <w:sz w:val="20"/>
          <w:szCs w:val="20"/>
          <w:lang w:eastAsia="zh-CN"/>
        </w:rPr>
        <w:t xml:space="preserve">Moullin, Joanna C., et al. “Defining Professional Pharmacy Services in Community Pharmacy.” </w:t>
      </w:r>
    </w:p>
    <w:p w:rsidR="00344C5F" w:rsidRDefault="00344C5F" w:rsidP="00344C5F">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344C5F">
        <w:rPr>
          <w:rFonts w:ascii="Arial" w:eastAsiaTheme="minorEastAsia" w:hAnsi="Arial" w:cs="Arial"/>
          <w:color w:val="05103E"/>
          <w:sz w:val="20"/>
          <w:szCs w:val="20"/>
          <w:lang w:eastAsia="zh-CN"/>
        </w:rPr>
        <w:t xml:space="preserve">Research in Social &amp; Administrative Pharmacy: RSAP, vol. 9, no. 6, 1 Nov. 2013, pp. 989–995, </w:t>
      </w:r>
    </w:p>
    <w:p w:rsidR="00344C5F" w:rsidRPr="000E0F92" w:rsidRDefault="00344C5F" w:rsidP="00344C5F">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344C5F">
        <w:rPr>
          <w:rFonts w:ascii="Arial" w:eastAsiaTheme="minorEastAsia" w:hAnsi="Arial" w:cs="Arial"/>
          <w:color w:val="05103E"/>
          <w:sz w:val="20"/>
          <w:szCs w:val="20"/>
          <w:lang w:eastAsia="zh-CN"/>
        </w:rPr>
        <w:t>pubmed.ncbi.nlm.nih.gov/23591411/, https://doi.org/10.1016/j.sapharm.2013.02.005.</w:t>
      </w:r>
    </w:p>
    <w:p w:rsidR="00A930DA" w:rsidRPr="007111D7" w:rsidRDefault="00A930DA" w:rsidP="00A930DA">
      <w:pPr>
        <w:pStyle w:val="NormalWeb"/>
        <w:spacing w:before="0" w:beforeAutospacing="0" w:after="0" w:afterAutospacing="0" w:line="480" w:lineRule="auto"/>
        <w:ind w:left="720" w:hanging="720"/>
        <w:rPr>
          <w:rFonts w:ascii="Arial" w:eastAsiaTheme="minorEastAsia" w:hAnsi="Arial" w:cs="Arial"/>
          <w:i/>
          <w:color w:val="05103E"/>
          <w:sz w:val="20"/>
          <w:szCs w:val="20"/>
          <w:lang w:eastAsia="zh-CN"/>
        </w:rPr>
      </w:pPr>
      <w:r w:rsidRPr="007111D7">
        <w:rPr>
          <w:rFonts w:ascii="Arial" w:eastAsiaTheme="minorEastAsia" w:hAnsi="Arial" w:cs="Arial"/>
          <w:i/>
          <w:color w:val="05103E"/>
          <w:sz w:val="27"/>
          <w:szCs w:val="27"/>
          <w:lang w:eastAsia="zh-CN"/>
        </w:rPr>
        <w:t>“</w:t>
      </w:r>
      <w:r w:rsidRPr="007111D7">
        <w:rPr>
          <w:rFonts w:ascii="Arial" w:eastAsiaTheme="minorEastAsia" w:hAnsi="Arial" w:cs="Arial"/>
          <w:i/>
          <w:color w:val="05103E"/>
          <w:sz w:val="20"/>
          <w:szCs w:val="20"/>
          <w:lang w:eastAsia="zh-CN"/>
        </w:rPr>
        <w:t xml:space="preserve">Our Community - Care England.” www.careengland.org.uk, 8 July </w:t>
      </w:r>
    </w:p>
    <w:p w:rsidR="00A930DA" w:rsidRPr="007111D7" w:rsidRDefault="00A930DA" w:rsidP="00A930DA">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7111D7">
        <w:rPr>
          <w:rFonts w:ascii="Arial" w:eastAsiaTheme="minorEastAsia" w:hAnsi="Arial" w:cs="Arial"/>
          <w:color w:val="05103E"/>
          <w:sz w:val="20"/>
          <w:szCs w:val="20"/>
          <w:lang w:eastAsia="zh-CN"/>
        </w:rPr>
        <w:t>2022,</w:t>
      </w:r>
      <w:r w:rsidR="00DA2EA6" w:rsidRPr="007111D7">
        <w:rPr>
          <w:rFonts w:ascii="Arial" w:eastAsiaTheme="minorEastAsia" w:hAnsi="Arial" w:cs="Arial"/>
          <w:color w:val="05103E"/>
          <w:sz w:val="20"/>
          <w:szCs w:val="20"/>
          <w:lang w:eastAsia="zh-CN"/>
        </w:rPr>
        <w:t xml:space="preserve"> </w:t>
      </w:r>
      <w:r w:rsidRPr="007111D7">
        <w:rPr>
          <w:rFonts w:ascii="Arial" w:eastAsiaTheme="minorEastAsia" w:hAnsi="Arial" w:cs="Arial"/>
          <w:color w:val="05103E"/>
          <w:sz w:val="20"/>
          <w:szCs w:val="20"/>
          <w:lang w:eastAsia="zh-CN"/>
        </w:rPr>
        <w:t>www.careengland.org.uk/our-community/.</w:t>
      </w:r>
    </w:p>
    <w:p w:rsidR="00A930DA" w:rsidRPr="007111D7" w:rsidRDefault="00A930DA" w:rsidP="00381D6D">
      <w:pPr>
        <w:pStyle w:val="NormalWeb"/>
        <w:spacing w:before="0" w:beforeAutospacing="0" w:after="0" w:afterAutospacing="0" w:line="480" w:lineRule="auto"/>
        <w:rPr>
          <w:rFonts w:ascii="Arial" w:eastAsiaTheme="minorEastAsia" w:hAnsi="Arial" w:cs="Arial"/>
          <w:color w:val="05103E"/>
          <w:sz w:val="20"/>
          <w:szCs w:val="20"/>
          <w:lang w:eastAsia="zh-CN"/>
        </w:rPr>
      </w:pPr>
      <w:r w:rsidRPr="007111D7">
        <w:rPr>
          <w:rFonts w:ascii="Arial" w:eastAsiaTheme="minorEastAsia" w:hAnsi="Arial" w:cs="Arial"/>
          <w:color w:val="05103E"/>
          <w:sz w:val="20"/>
          <w:szCs w:val="20"/>
          <w:lang w:eastAsia="zh-CN"/>
        </w:rPr>
        <w:t xml:space="preserve"> “Care Homes - Social Care and Support </w:t>
      </w:r>
    </w:p>
    <w:p w:rsidR="00A930DA" w:rsidRPr="007111D7" w:rsidRDefault="00A930DA" w:rsidP="00A930DA">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7111D7">
        <w:rPr>
          <w:rFonts w:ascii="Arial" w:eastAsiaTheme="minorEastAsia" w:hAnsi="Arial" w:cs="Arial"/>
          <w:color w:val="05103E"/>
          <w:sz w:val="20"/>
          <w:szCs w:val="20"/>
          <w:lang w:eastAsia="zh-CN"/>
        </w:rPr>
        <w:t xml:space="preserve">Guide.” Nhs.uk, Apr. 2023, </w:t>
      </w:r>
      <w:hyperlink r:id="rId14" w:history="1">
        <w:r w:rsidRPr="007111D7">
          <w:rPr>
            <w:rStyle w:val="Hyperlink"/>
            <w:rFonts w:ascii="Arial" w:eastAsiaTheme="minorEastAsia" w:hAnsi="Arial" w:cs="Arial"/>
            <w:sz w:val="20"/>
            <w:szCs w:val="20"/>
            <w:lang w:eastAsia="zh-CN"/>
          </w:rPr>
          <w:t>www.nhs.uk/social-care-and-support/care-</w:t>
        </w:r>
      </w:hyperlink>
    </w:p>
    <w:p w:rsidR="00A930DA" w:rsidRDefault="00A930DA" w:rsidP="00A930DA">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7111D7">
        <w:rPr>
          <w:rFonts w:ascii="Arial" w:eastAsiaTheme="minorEastAsia" w:hAnsi="Arial" w:cs="Arial"/>
          <w:color w:val="05103E"/>
          <w:sz w:val="20"/>
          <w:szCs w:val="20"/>
          <w:lang w:eastAsia="zh-CN"/>
        </w:rPr>
        <w:t>services-equipment-and-care-homes/care-homes/.</w:t>
      </w:r>
    </w:p>
    <w:p w:rsidR="000E0F92" w:rsidRPr="007111D7" w:rsidRDefault="000E0F92" w:rsidP="000E0F92">
      <w:pPr>
        <w:rPr>
          <w:rFonts w:ascii="Arial" w:hAnsi="Arial" w:cs="Arial"/>
          <w:color w:val="05103E"/>
          <w:sz w:val="20"/>
          <w:szCs w:val="20"/>
        </w:rPr>
      </w:pPr>
      <w:r w:rsidRPr="007111D7">
        <w:rPr>
          <w:rFonts w:ascii="Arial" w:hAnsi="Arial" w:cs="Arial"/>
          <w:color w:val="05103E"/>
          <w:sz w:val="20"/>
          <w:szCs w:val="20"/>
        </w:rPr>
        <w:t>Savickas Vet Al. . National Survey of UK General Practice Pharmacy Services. Eur J Public</w:t>
      </w:r>
    </w:p>
    <w:p w:rsidR="00A930DA" w:rsidRPr="000E0F92" w:rsidRDefault="000E0F92" w:rsidP="000E0F92">
      <w:pPr>
        <w:rPr>
          <w:rFonts w:ascii="Arial" w:hAnsi="Arial" w:cs="Arial"/>
          <w:color w:val="05103E"/>
          <w:sz w:val="20"/>
          <w:szCs w:val="20"/>
        </w:rPr>
      </w:pPr>
      <w:r w:rsidRPr="007111D7">
        <w:rPr>
          <w:rFonts w:ascii="Arial" w:hAnsi="Arial" w:cs="Arial"/>
          <w:color w:val="05103E"/>
          <w:sz w:val="20"/>
          <w:szCs w:val="20"/>
        </w:rPr>
        <w:t xml:space="preserve">Health 2019; 29(Suppl 4: 246–247. </w:t>
      </w:r>
      <w:hyperlink r:id="rId15" w:history="1">
        <w:r w:rsidRPr="004E2F89">
          <w:rPr>
            <w:rStyle w:val="Hyperlink"/>
            <w:rFonts w:ascii="Arial" w:hAnsi="Arial" w:cs="Arial"/>
            <w:sz w:val="20"/>
            <w:szCs w:val="20"/>
          </w:rPr>
          <w:t>Https://Doi.org/10.1093/Eurpub/Ckz185.669</w:t>
        </w:r>
      </w:hyperlink>
      <w:r w:rsidR="00A930DA" w:rsidRPr="007111D7">
        <w:rPr>
          <w:rFonts w:ascii="Arial" w:hAnsi="Arial" w:cs="Arial"/>
          <w:color w:val="05103E"/>
          <w:sz w:val="27"/>
          <w:szCs w:val="27"/>
        </w:rPr>
        <w:t xml:space="preserve">                                                                                                           </w:t>
      </w:r>
      <w:r w:rsidR="002F1018" w:rsidRPr="007111D7">
        <w:rPr>
          <w:rFonts w:ascii="Arial" w:hAnsi="Arial" w:cs="Arial"/>
          <w:color w:val="05103E"/>
          <w:sz w:val="27"/>
          <w:szCs w:val="27"/>
        </w:rPr>
        <w:t xml:space="preserve">                               </w:t>
      </w:r>
    </w:p>
    <w:p w:rsidR="00BC578B" w:rsidRPr="007111D7" w:rsidRDefault="00FB3BCB" w:rsidP="00833470">
      <w:pPr>
        <w:rPr>
          <w:rFonts w:ascii="Arial" w:hAnsi="Arial" w:cs="Arial"/>
          <w:color w:val="05103E"/>
          <w:sz w:val="20"/>
          <w:szCs w:val="20"/>
        </w:rPr>
      </w:pPr>
      <w:r w:rsidRPr="007111D7">
        <w:rPr>
          <w:rFonts w:ascii="Arial" w:hAnsi="Arial" w:cs="Arial"/>
          <w:color w:val="05103E"/>
          <w:sz w:val="20"/>
          <w:szCs w:val="20"/>
        </w:rPr>
        <w:t>Website, N. (2024) </w:t>
      </w:r>
      <w:r w:rsidRPr="007111D7">
        <w:rPr>
          <w:rFonts w:ascii="Arial" w:hAnsi="Arial" w:cs="Arial"/>
          <w:i/>
          <w:iCs/>
          <w:color w:val="05103E"/>
          <w:sz w:val="20"/>
          <w:szCs w:val="20"/>
          <w:bdr w:val="single" w:sz="2" w:space="0" w:color="ECEDEE" w:frame="1"/>
        </w:rPr>
        <w:t>Care homes</w:t>
      </w:r>
      <w:r w:rsidRPr="007111D7">
        <w:rPr>
          <w:rFonts w:ascii="Arial" w:hAnsi="Arial" w:cs="Arial"/>
          <w:color w:val="05103E"/>
          <w:sz w:val="20"/>
          <w:szCs w:val="20"/>
        </w:rPr>
        <w:t>. </w:t>
      </w:r>
      <w:hyperlink r:id="rId16" w:history="1">
        <w:r w:rsidR="006F59F0" w:rsidRPr="007111D7">
          <w:rPr>
            <w:rStyle w:val="Hyperlink"/>
            <w:rFonts w:ascii="Arial" w:hAnsi="Arial" w:cs="Arial"/>
            <w:sz w:val="20"/>
            <w:szCs w:val="20"/>
            <w:bdr w:val="single" w:sz="2" w:space="0" w:color="ECEDEE" w:frame="1"/>
          </w:rPr>
          <w:t>https://www.nhs.uk/social-care-and-support/care-services-equipment-and-care-homes/care-homes/</w:t>
        </w:r>
      </w:hyperlink>
      <w:r w:rsidRPr="007111D7">
        <w:rPr>
          <w:rFonts w:ascii="Arial" w:hAnsi="Arial" w:cs="Arial"/>
          <w:color w:val="05103E"/>
          <w:sz w:val="20"/>
          <w:szCs w:val="20"/>
        </w:rPr>
        <w:t>.</w:t>
      </w:r>
    </w:p>
    <w:p w:rsidR="006F59F0" w:rsidRDefault="003A1B10" w:rsidP="00833470">
      <w:pPr>
        <w:rPr>
          <w:rFonts w:ascii="Arial" w:hAnsi="Arial" w:cs="Arial"/>
          <w:sz w:val="20"/>
          <w:szCs w:val="20"/>
        </w:rPr>
      </w:pPr>
      <w:hyperlink r:id="rId17" w:history="1">
        <w:r w:rsidR="006F59F0" w:rsidRPr="007111D7">
          <w:rPr>
            <w:rStyle w:val="Hyperlink"/>
            <w:rFonts w:ascii="Arial" w:hAnsi="Arial" w:cs="Arial"/>
            <w:sz w:val="20"/>
            <w:szCs w:val="20"/>
          </w:rPr>
          <w:t>https://www.carehome.co.uk/advice/what-is-a-residential-care-home</w:t>
        </w:r>
      </w:hyperlink>
    </w:p>
    <w:p w:rsidR="000E4236" w:rsidRDefault="000E4236" w:rsidP="004C13C9">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4C13C9">
        <w:rPr>
          <w:rFonts w:ascii="Arial" w:eastAsiaTheme="minorEastAsia" w:hAnsi="Arial" w:cs="Arial"/>
          <w:color w:val="05103E"/>
          <w:sz w:val="20"/>
          <w:szCs w:val="20"/>
          <w:lang w:eastAsia="zh-CN"/>
        </w:rPr>
        <w:t xml:space="preserve">Strand, Linda, and M. Martin Calero. “Editorial [Hot Topic: Evolution and Current Concept of </w:t>
      </w:r>
    </w:p>
    <w:p w:rsidR="00826988" w:rsidRDefault="004C13C9" w:rsidP="004C13C9">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4C13C9">
        <w:rPr>
          <w:rFonts w:ascii="Arial" w:eastAsiaTheme="minorEastAsia" w:hAnsi="Arial" w:cs="Arial"/>
          <w:color w:val="05103E"/>
          <w:sz w:val="20"/>
          <w:szCs w:val="20"/>
          <w:lang w:eastAsia="zh-CN"/>
        </w:rPr>
        <w:t xml:space="preserve">Pharmaceutical Care (Executive Editors: L.M. Strand and M.J. Martín Calero)].” Current </w:t>
      </w:r>
    </w:p>
    <w:p w:rsidR="004C13C9" w:rsidRDefault="00826988" w:rsidP="004C13C9">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4C13C9">
        <w:rPr>
          <w:rFonts w:ascii="Arial" w:eastAsiaTheme="minorEastAsia" w:hAnsi="Arial" w:cs="Arial"/>
          <w:color w:val="05103E"/>
          <w:sz w:val="20"/>
          <w:szCs w:val="20"/>
          <w:lang w:eastAsia="zh-CN"/>
        </w:rPr>
        <w:t xml:space="preserve">Pharmaceutical Design, vol. 10, no. 31, 1 Dec. 2004, pp. 3929–3930, </w:t>
      </w:r>
    </w:p>
    <w:p w:rsidR="00826988" w:rsidRPr="004C13C9" w:rsidRDefault="00826988" w:rsidP="004C13C9">
      <w:pPr>
        <w:pStyle w:val="NormalWeb"/>
        <w:spacing w:before="0" w:beforeAutospacing="0" w:after="0" w:afterAutospacing="0" w:line="480" w:lineRule="auto"/>
        <w:ind w:left="720" w:hanging="720"/>
        <w:rPr>
          <w:rFonts w:ascii="Arial" w:eastAsiaTheme="minorEastAsia" w:hAnsi="Arial" w:cs="Arial"/>
          <w:color w:val="05103E"/>
          <w:sz w:val="20"/>
          <w:szCs w:val="20"/>
          <w:lang w:eastAsia="zh-CN"/>
        </w:rPr>
      </w:pPr>
      <w:r w:rsidRPr="004C13C9">
        <w:rPr>
          <w:rFonts w:ascii="Arial" w:eastAsiaTheme="minorEastAsia" w:hAnsi="Arial" w:cs="Arial"/>
          <w:color w:val="05103E"/>
          <w:sz w:val="20"/>
          <w:szCs w:val="20"/>
          <w:lang w:eastAsia="zh-CN"/>
        </w:rPr>
        <w:t>https://doi.org/10.2174/1381612043382530. Accessed 16 June 2020.</w:t>
      </w:r>
    </w:p>
    <w:p w:rsidR="000E4236" w:rsidRDefault="000E4236" w:rsidP="00833470">
      <w:pPr>
        <w:rPr>
          <w:rFonts w:ascii="Arial" w:hAnsi="Arial" w:cs="Arial"/>
          <w:sz w:val="20"/>
          <w:szCs w:val="20"/>
        </w:rPr>
      </w:pPr>
    </w:p>
    <w:p w:rsidR="00344C5F" w:rsidRDefault="00344C5F" w:rsidP="00833470">
      <w:pPr>
        <w:rPr>
          <w:rFonts w:ascii="Arial" w:hAnsi="Arial" w:cs="Arial"/>
          <w:sz w:val="20"/>
          <w:szCs w:val="20"/>
        </w:rPr>
      </w:pPr>
    </w:p>
    <w:p w:rsidR="00344C5F" w:rsidRDefault="00344C5F" w:rsidP="00833470">
      <w:pPr>
        <w:rPr>
          <w:rFonts w:ascii="Arial" w:hAnsi="Arial" w:cs="Arial"/>
          <w:sz w:val="20"/>
          <w:szCs w:val="20"/>
        </w:rPr>
      </w:pPr>
    </w:p>
    <w:p w:rsidR="00344C5F" w:rsidRPr="007111D7" w:rsidRDefault="00344C5F" w:rsidP="00833470">
      <w:pPr>
        <w:rPr>
          <w:rFonts w:ascii="Arial" w:hAnsi="Arial" w:cs="Arial"/>
          <w:sz w:val="20"/>
          <w:szCs w:val="20"/>
        </w:rPr>
      </w:pPr>
    </w:p>
    <w:p w:rsidR="002869DD" w:rsidRPr="007111D7" w:rsidRDefault="002869DD" w:rsidP="00833470">
      <w:pPr>
        <w:rPr>
          <w:rFonts w:ascii="Arial" w:hAnsi="Arial" w:cs="Arial"/>
        </w:rPr>
      </w:pPr>
    </w:p>
    <w:p w:rsidR="002869DD" w:rsidRPr="007111D7" w:rsidRDefault="002869DD" w:rsidP="002869DD">
      <w:pPr>
        <w:jc w:val="center"/>
        <w:rPr>
          <w:rFonts w:ascii="Arial" w:hAnsi="Arial" w:cs="Arial"/>
          <w:color w:val="05103E"/>
          <w:sz w:val="20"/>
          <w:szCs w:val="20"/>
        </w:rPr>
      </w:pPr>
    </w:p>
    <w:p w:rsidR="00B92B6C" w:rsidRDefault="00B92B6C" w:rsidP="002F1018">
      <w:pPr>
        <w:rPr>
          <w:rFonts w:ascii="Arial" w:hAnsi="Arial" w:cs="Arial"/>
          <w:color w:val="05103E"/>
          <w:sz w:val="20"/>
          <w:szCs w:val="20"/>
        </w:rPr>
      </w:pPr>
    </w:p>
    <w:p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27E1" w:rsidRDefault="005527E1" w:rsidP="00BE6BE0">
      <w:pPr>
        <w:spacing w:after="0" w:line="240" w:lineRule="auto"/>
      </w:pPr>
      <w:r>
        <w:separator/>
      </w:r>
    </w:p>
  </w:endnote>
  <w:endnote w:type="continuationSeparator" w:id="1">
    <w:p w:rsidR="005527E1" w:rsidRDefault="005527E1" w:rsidP="00BE6B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257B" w:rsidRDefault="009E257B">
    <w:pPr>
      <w:pStyle w:val="Footer"/>
      <w:jc w:val="right"/>
    </w:pPr>
  </w:p>
  <w:p w:rsidR="009E257B" w:rsidRDefault="009E25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27E1" w:rsidRDefault="005527E1" w:rsidP="00BE6BE0">
      <w:pPr>
        <w:spacing w:after="0" w:line="240" w:lineRule="auto"/>
      </w:pPr>
      <w:r>
        <w:separator/>
      </w:r>
    </w:p>
  </w:footnote>
  <w:footnote w:type="continuationSeparator" w:id="1">
    <w:p w:rsidR="005527E1" w:rsidRDefault="005527E1" w:rsidP="00BE6BE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6BE0" w:rsidRDefault="00BE6BE0" w:rsidP="00BE6BE0">
    <w:pPr>
      <w:pStyle w:val="Header"/>
      <w:ind w:left="11520"/>
    </w:pPr>
    <w:r>
      <w:rPr>
        <w:noProof/>
        <w:lang w:eastAsia="en-GB"/>
      </w:rPr>
      <w:drawing>
        <wp:inline distT="0" distB="0" distL="0" distR="0">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hdrShapeDefaults>
    <o:shapedefaults v:ext="edit" spidmax="12290"/>
  </w:hdrShapeDefaults>
  <w:footnotePr>
    <w:footnote w:id="0"/>
    <w:footnote w:id="1"/>
  </w:footnotePr>
  <w:endnotePr>
    <w:endnote w:id="0"/>
    <w:endnote w:id="1"/>
  </w:endnotePr>
  <w:compat>
    <w:useFELayout/>
  </w:compat>
  <w:rsids>
    <w:rsidRoot w:val="003A000F"/>
    <w:rsid w:val="000464A0"/>
    <w:rsid w:val="00054CBE"/>
    <w:rsid w:val="00056EB1"/>
    <w:rsid w:val="000811B9"/>
    <w:rsid w:val="000D2ABC"/>
    <w:rsid w:val="000D4622"/>
    <w:rsid w:val="000E0F92"/>
    <w:rsid w:val="000E4236"/>
    <w:rsid w:val="0011437E"/>
    <w:rsid w:val="00115FDC"/>
    <w:rsid w:val="001174DB"/>
    <w:rsid w:val="001562FC"/>
    <w:rsid w:val="00164968"/>
    <w:rsid w:val="0017119E"/>
    <w:rsid w:val="001B1790"/>
    <w:rsid w:val="00203841"/>
    <w:rsid w:val="00231C5E"/>
    <w:rsid w:val="002741BF"/>
    <w:rsid w:val="002767BF"/>
    <w:rsid w:val="002869DD"/>
    <w:rsid w:val="00295BD1"/>
    <w:rsid w:val="002D1138"/>
    <w:rsid w:val="002D5871"/>
    <w:rsid w:val="002F1018"/>
    <w:rsid w:val="00344C5F"/>
    <w:rsid w:val="00381D6D"/>
    <w:rsid w:val="003A000F"/>
    <w:rsid w:val="003A1B10"/>
    <w:rsid w:val="003E776C"/>
    <w:rsid w:val="00441AF2"/>
    <w:rsid w:val="00456A60"/>
    <w:rsid w:val="00480201"/>
    <w:rsid w:val="0049769C"/>
    <w:rsid w:val="004A3719"/>
    <w:rsid w:val="004C13C9"/>
    <w:rsid w:val="005056F4"/>
    <w:rsid w:val="005527E1"/>
    <w:rsid w:val="00582592"/>
    <w:rsid w:val="005A0232"/>
    <w:rsid w:val="005B5431"/>
    <w:rsid w:val="005D7F49"/>
    <w:rsid w:val="005E7C3C"/>
    <w:rsid w:val="00624920"/>
    <w:rsid w:val="00644F18"/>
    <w:rsid w:val="00673FF7"/>
    <w:rsid w:val="00677288"/>
    <w:rsid w:val="006968D1"/>
    <w:rsid w:val="006A6816"/>
    <w:rsid w:val="006E76D5"/>
    <w:rsid w:val="006F59F0"/>
    <w:rsid w:val="007111D7"/>
    <w:rsid w:val="007236EE"/>
    <w:rsid w:val="00750A9F"/>
    <w:rsid w:val="007549B4"/>
    <w:rsid w:val="00772CD6"/>
    <w:rsid w:val="00784CAD"/>
    <w:rsid w:val="00786A9E"/>
    <w:rsid w:val="00790199"/>
    <w:rsid w:val="007B6E3F"/>
    <w:rsid w:val="007C0164"/>
    <w:rsid w:val="00804A7F"/>
    <w:rsid w:val="0081059D"/>
    <w:rsid w:val="00826988"/>
    <w:rsid w:val="00833470"/>
    <w:rsid w:val="008C180F"/>
    <w:rsid w:val="009111B5"/>
    <w:rsid w:val="00913DCB"/>
    <w:rsid w:val="00925D5E"/>
    <w:rsid w:val="00933299"/>
    <w:rsid w:val="0093651D"/>
    <w:rsid w:val="009764A1"/>
    <w:rsid w:val="009B0E20"/>
    <w:rsid w:val="009D154A"/>
    <w:rsid w:val="009E257B"/>
    <w:rsid w:val="009F7C83"/>
    <w:rsid w:val="00A06589"/>
    <w:rsid w:val="00A20474"/>
    <w:rsid w:val="00A42B31"/>
    <w:rsid w:val="00A6165E"/>
    <w:rsid w:val="00A65B1C"/>
    <w:rsid w:val="00A82690"/>
    <w:rsid w:val="00A930DA"/>
    <w:rsid w:val="00A9369D"/>
    <w:rsid w:val="00A970A7"/>
    <w:rsid w:val="00AA1C98"/>
    <w:rsid w:val="00AE482C"/>
    <w:rsid w:val="00AE63B1"/>
    <w:rsid w:val="00AE6744"/>
    <w:rsid w:val="00AF5D90"/>
    <w:rsid w:val="00B00B30"/>
    <w:rsid w:val="00B11CA3"/>
    <w:rsid w:val="00B34D4D"/>
    <w:rsid w:val="00B409DE"/>
    <w:rsid w:val="00B642EF"/>
    <w:rsid w:val="00B839E8"/>
    <w:rsid w:val="00B92B6C"/>
    <w:rsid w:val="00B95E46"/>
    <w:rsid w:val="00BC578B"/>
    <w:rsid w:val="00BC7C24"/>
    <w:rsid w:val="00BD164E"/>
    <w:rsid w:val="00BE6BE0"/>
    <w:rsid w:val="00C034EB"/>
    <w:rsid w:val="00C06C95"/>
    <w:rsid w:val="00C171DD"/>
    <w:rsid w:val="00C539B2"/>
    <w:rsid w:val="00C83A82"/>
    <w:rsid w:val="00C91B0C"/>
    <w:rsid w:val="00CE3444"/>
    <w:rsid w:val="00D46CAF"/>
    <w:rsid w:val="00D72D21"/>
    <w:rsid w:val="00DA2EA6"/>
    <w:rsid w:val="00DD41E4"/>
    <w:rsid w:val="00DE4617"/>
    <w:rsid w:val="00E16180"/>
    <w:rsid w:val="00EA4250"/>
    <w:rsid w:val="00EB121C"/>
    <w:rsid w:val="00EB3338"/>
    <w:rsid w:val="00EB4BB0"/>
    <w:rsid w:val="00EC26FC"/>
    <w:rsid w:val="00ED0D33"/>
    <w:rsid w:val="00EF3E35"/>
    <w:rsid w:val="00EF72B1"/>
    <w:rsid w:val="00F36D02"/>
    <w:rsid w:val="00F64FBC"/>
    <w:rsid w:val="00F71E4B"/>
    <w:rsid w:val="00FB3BCB"/>
    <w:rsid w:val="00FC42B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2F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BalloonText">
    <w:name w:val="Balloon Text"/>
    <w:basedOn w:val="Normal"/>
    <w:link w:val="BalloonTextChar"/>
    <w:uiPriority w:val="99"/>
    <w:semiHidden/>
    <w:unhideWhenUsed/>
    <w:rsid w:val="009111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1B5"/>
    <w:rPr>
      <w:rFonts w:ascii="Tahoma" w:hAnsi="Tahoma" w:cs="Tahoma"/>
      <w:sz w:val="16"/>
      <w:szCs w:val="16"/>
    </w:rPr>
  </w:style>
  <w:style w:type="character" w:styleId="Hyperlink">
    <w:name w:val="Hyperlink"/>
    <w:basedOn w:val="DefaultParagraphFont"/>
    <w:uiPriority w:val="99"/>
    <w:unhideWhenUsed/>
    <w:rsid w:val="00BC578B"/>
    <w:rPr>
      <w:color w:val="0563C1" w:themeColor="hyperlink"/>
      <w:u w:val="single"/>
    </w:rPr>
  </w:style>
  <w:style w:type="character" w:customStyle="1" w:styleId="url">
    <w:name w:val="url"/>
    <w:basedOn w:val="DefaultParagraphFont"/>
    <w:rsid w:val="00FB3BCB"/>
  </w:style>
  <w:style w:type="paragraph" w:styleId="NormalWeb">
    <w:name w:val="Normal (Web)"/>
    <w:basedOn w:val="Normal"/>
    <w:uiPriority w:val="99"/>
    <w:unhideWhenUsed/>
    <w:rsid w:val="00A930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pter-para">
    <w:name w:val="chapter-para"/>
    <w:basedOn w:val="Normal"/>
    <w:rsid w:val="00456A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2CD6"/>
    <w:rPr>
      <w:i/>
      <w:iCs/>
    </w:rPr>
  </w:style>
</w:styles>
</file>

<file path=word/webSettings.xml><?xml version="1.0" encoding="utf-8"?>
<w:webSettings xmlns:r="http://schemas.openxmlformats.org/officeDocument/2006/relationships" xmlns:w="http://schemas.openxmlformats.org/wordprocessingml/2006/main">
  <w:divs>
    <w:div w:id="22558423">
      <w:bodyDiv w:val="1"/>
      <w:marLeft w:val="0"/>
      <w:marRight w:val="0"/>
      <w:marTop w:val="0"/>
      <w:marBottom w:val="0"/>
      <w:divBdr>
        <w:top w:val="none" w:sz="0" w:space="0" w:color="auto"/>
        <w:left w:val="none" w:sz="0" w:space="0" w:color="auto"/>
        <w:bottom w:val="none" w:sz="0" w:space="0" w:color="auto"/>
        <w:right w:val="none" w:sz="0" w:space="0" w:color="auto"/>
      </w:divBdr>
      <w:divsChild>
        <w:div w:id="1100031335">
          <w:marLeft w:val="-720"/>
          <w:marRight w:val="0"/>
          <w:marTop w:val="0"/>
          <w:marBottom w:val="0"/>
          <w:divBdr>
            <w:top w:val="none" w:sz="0" w:space="0" w:color="auto"/>
            <w:left w:val="none" w:sz="0" w:space="0" w:color="auto"/>
            <w:bottom w:val="none" w:sz="0" w:space="0" w:color="auto"/>
            <w:right w:val="none" w:sz="0" w:space="0" w:color="auto"/>
          </w:divBdr>
        </w:div>
      </w:divsChild>
    </w:div>
    <w:div w:id="341130792">
      <w:bodyDiv w:val="1"/>
      <w:marLeft w:val="0"/>
      <w:marRight w:val="0"/>
      <w:marTop w:val="0"/>
      <w:marBottom w:val="0"/>
      <w:divBdr>
        <w:top w:val="none" w:sz="0" w:space="0" w:color="auto"/>
        <w:left w:val="none" w:sz="0" w:space="0" w:color="auto"/>
        <w:bottom w:val="none" w:sz="0" w:space="0" w:color="auto"/>
        <w:right w:val="none" w:sz="0" w:space="0" w:color="auto"/>
      </w:divBdr>
      <w:divsChild>
        <w:div w:id="1896549894">
          <w:marLeft w:val="-720"/>
          <w:marRight w:val="0"/>
          <w:marTop w:val="0"/>
          <w:marBottom w:val="0"/>
          <w:divBdr>
            <w:top w:val="none" w:sz="0" w:space="0" w:color="auto"/>
            <w:left w:val="none" w:sz="0" w:space="0" w:color="auto"/>
            <w:bottom w:val="none" w:sz="0" w:space="0" w:color="auto"/>
            <w:right w:val="none" w:sz="0" w:space="0" w:color="auto"/>
          </w:divBdr>
        </w:div>
      </w:divsChild>
    </w:div>
    <w:div w:id="506211943">
      <w:bodyDiv w:val="1"/>
      <w:marLeft w:val="0"/>
      <w:marRight w:val="0"/>
      <w:marTop w:val="0"/>
      <w:marBottom w:val="0"/>
      <w:divBdr>
        <w:top w:val="none" w:sz="0" w:space="0" w:color="auto"/>
        <w:left w:val="none" w:sz="0" w:space="0" w:color="auto"/>
        <w:bottom w:val="none" w:sz="0" w:space="0" w:color="auto"/>
        <w:right w:val="none" w:sz="0" w:space="0" w:color="auto"/>
      </w:divBdr>
      <w:divsChild>
        <w:div w:id="2034452099">
          <w:marLeft w:val="-720"/>
          <w:marRight w:val="0"/>
          <w:marTop w:val="0"/>
          <w:marBottom w:val="0"/>
          <w:divBdr>
            <w:top w:val="none" w:sz="0" w:space="0" w:color="auto"/>
            <w:left w:val="none" w:sz="0" w:space="0" w:color="auto"/>
            <w:bottom w:val="none" w:sz="0" w:space="0" w:color="auto"/>
            <w:right w:val="none" w:sz="0" w:space="0" w:color="auto"/>
          </w:divBdr>
        </w:div>
      </w:divsChild>
    </w:div>
    <w:div w:id="540871742">
      <w:bodyDiv w:val="1"/>
      <w:marLeft w:val="0"/>
      <w:marRight w:val="0"/>
      <w:marTop w:val="0"/>
      <w:marBottom w:val="0"/>
      <w:divBdr>
        <w:top w:val="none" w:sz="0" w:space="0" w:color="auto"/>
        <w:left w:val="none" w:sz="0" w:space="0" w:color="auto"/>
        <w:bottom w:val="none" w:sz="0" w:space="0" w:color="auto"/>
        <w:right w:val="none" w:sz="0" w:space="0" w:color="auto"/>
      </w:divBdr>
      <w:divsChild>
        <w:div w:id="1089425661">
          <w:marLeft w:val="-720"/>
          <w:marRight w:val="0"/>
          <w:marTop w:val="0"/>
          <w:marBottom w:val="0"/>
          <w:divBdr>
            <w:top w:val="none" w:sz="0" w:space="0" w:color="auto"/>
            <w:left w:val="none" w:sz="0" w:space="0" w:color="auto"/>
            <w:bottom w:val="none" w:sz="0" w:space="0" w:color="auto"/>
            <w:right w:val="none" w:sz="0" w:space="0" w:color="auto"/>
          </w:divBdr>
        </w:div>
      </w:divsChild>
    </w:div>
    <w:div w:id="899098650">
      <w:bodyDiv w:val="1"/>
      <w:marLeft w:val="0"/>
      <w:marRight w:val="0"/>
      <w:marTop w:val="0"/>
      <w:marBottom w:val="0"/>
      <w:divBdr>
        <w:top w:val="none" w:sz="0" w:space="0" w:color="auto"/>
        <w:left w:val="none" w:sz="0" w:space="0" w:color="auto"/>
        <w:bottom w:val="none" w:sz="0" w:space="0" w:color="auto"/>
        <w:right w:val="none" w:sz="0" w:space="0" w:color="auto"/>
      </w:divBdr>
      <w:divsChild>
        <w:div w:id="1461143199">
          <w:marLeft w:val="0"/>
          <w:marRight w:val="0"/>
          <w:marTop w:val="0"/>
          <w:marBottom w:val="0"/>
          <w:divBdr>
            <w:top w:val="none" w:sz="0" w:space="0" w:color="auto"/>
            <w:left w:val="none" w:sz="0" w:space="0" w:color="auto"/>
            <w:bottom w:val="none" w:sz="0" w:space="0" w:color="auto"/>
            <w:right w:val="none" w:sz="0" w:space="0" w:color="auto"/>
          </w:divBdr>
        </w:div>
        <w:div w:id="1764104091">
          <w:marLeft w:val="0"/>
          <w:marRight w:val="0"/>
          <w:marTop w:val="0"/>
          <w:marBottom w:val="0"/>
          <w:divBdr>
            <w:top w:val="none" w:sz="0" w:space="0" w:color="auto"/>
            <w:left w:val="none" w:sz="0" w:space="0" w:color="auto"/>
            <w:bottom w:val="none" w:sz="0" w:space="0" w:color="auto"/>
            <w:right w:val="none" w:sz="0" w:space="0" w:color="auto"/>
          </w:divBdr>
        </w:div>
        <w:div w:id="390620545">
          <w:marLeft w:val="0"/>
          <w:marRight w:val="0"/>
          <w:marTop w:val="0"/>
          <w:marBottom w:val="0"/>
          <w:divBdr>
            <w:top w:val="none" w:sz="0" w:space="0" w:color="auto"/>
            <w:left w:val="none" w:sz="0" w:space="0" w:color="auto"/>
            <w:bottom w:val="none" w:sz="0" w:space="0" w:color="auto"/>
            <w:right w:val="none" w:sz="0" w:space="0" w:color="auto"/>
          </w:divBdr>
        </w:div>
        <w:div w:id="1002507586">
          <w:marLeft w:val="0"/>
          <w:marRight w:val="0"/>
          <w:marTop w:val="0"/>
          <w:marBottom w:val="0"/>
          <w:divBdr>
            <w:top w:val="none" w:sz="0" w:space="0" w:color="auto"/>
            <w:left w:val="none" w:sz="0" w:space="0" w:color="auto"/>
            <w:bottom w:val="none" w:sz="0" w:space="0" w:color="auto"/>
            <w:right w:val="none" w:sz="0" w:space="0" w:color="auto"/>
          </w:divBdr>
        </w:div>
        <w:div w:id="866017727">
          <w:marLeft w:val="0"/>
          <w:marRight w:val="0"/>
          <w:marTop w:val="0"/>
          <w:marBottom w:val="0"/>
          <w:divBdr>
            <w:top w:val="none" w:sz="0" w:space="0" w:color="auto"/>
            <w:left w:val="none" w:sz="0" w:space="0" w:color="auto"/>
            <w:bottom w:val="none" w:sz="0" w:space="0" w:color="auto"/>
            <w:right w:val="none" w:sz="0" w:space="0" w:color="auto"/>
          </w:divBdr>
        </w:div>
        <w:div w:id="1883639892">
          <w:marLeft w:val="0"/>
          <w:marRight w:val="0"/>
          <w:marTop w:val="0"/>
          <w:marBottom w:val="0"/>
          <w:divBdr>
            <w:top w:val="none" w:sz="0" w:space="0" w:color="auto"/>
            <w:left w:val="none" w:sz="0" w:space="0" w:color="auto"/>
            <w:bottom w:val="none" w:sz="0" w:space="0" w:color="auto"/>
            <w:right w:val="none" w:sz="0" w:space="0" w:color="auto"/>
          </w:divBdr>
        </w:div>
        <w:div w:id="13924750">
          <w:marLeft w:val="0"/>
          <w:marRight w:val="0"/>
          <w:marTop w:val="0"/>
          <w:marBottom w:val="0"/>
          <w:divBdr>
            <w:top w:val="none" w:sz="0" w:space="0" w:color="auto"/>
            <w:left w:val="none" w:sz="0" w:space="0" w:color="auto"/>
            <w:bottom w:val="none" w:sz="0" w:space="0" w:color="auto"/>
            <w:right w:val="none" w:sz="0" w:space="0" w:color="auto"/>
          </w:divBdr>
        </w:div>
        <w:div w:id="1746488677">
          <w:marLeft w:val="0"/>
          <w:marRight w:val="0"/>
          <w:marTop w:val="0"/>
          <w:marBottom w:val="0"/>
          <w:divBdr>
            <w:top w:val="none" w:sz="0" w:space="0" w:color="auto"/>
            <w:left w:val="none" w:sz="0" w:space="0" w:color="auto"/>
            <w:bottom w:val="none" w:sz="0" w:space="0" w:color="auto"/>
            <w:right w:val="none" w:sz="0" w:space="0" w:color="auto"/>
          </w:divBdr>
        </w:div>
        <w:div w:id="833186104">
          <w:marLeft w:val="0"/>
          <w:marRight w:val="0"/>
          <w:marTop w:val="0"/>
          <w:marBottom w:val="0"/>
          <w:divBdr>
            <w:top w:val="none" w:sz="0" w:space="0" w:color="auto"/>
            <w:left w:val="none" w:sz="0" w:space="0" w:color="auto"/>
            <w:bottom w:val="none" w:sz="0" w:space="0" w:color="auto"/>
            <w:right w:val="none" w:sz="0" w:space="0" w:color="auto"/>
          </w:divBdr>
        </w:div>
      </w:divsChild>
    </w:div>
    <w:div w:id="913857185">
      <w:bodyDiv w:val="1"/>
      <w:marLeft w:val="0"/>
      <w:marRight w:val="0"/>
      <w:marTop w:val="0"/>
      <w:marBottom w:val="0"/>
      <w:divBdr>
        <w:top w:val="none" w:sz="0" w:space="0" w:color="auto"/>
        <w:left w:val="none" w:sz="0" w:space="0" w:color="auto"/>
        <w:bottom w:val="none" w:sz="0" w:space="0" w:color="auto"/>
        <w:right w:val="none" w:sz="0" w:space="0" w:color="auto"/>
      </w:divBdr>
      <w:divsChild>
        <w:div w:id="964577313">
          <w:marLeft w:val="-720"/>
          <w:marRight w:val="0"/>
          <w:marTop w:val="0"/>
          <w:marBottom w:val="0"/>
          <w:divBdr>
            <w:top w:val="none" w:sz="0" w:space="0" w:color="auto"/>
            <w:left w:val="none" w:sz="0" w:space="0" w:color="auto"/>
            <w:bottom w:val="none" w:sz="0" w:space="0" w:color="auto"/>
            <w:right w:val="none" w:sz="0" w:space="0" w:color="auto"/>
          </w:divBdr>
        </w:div>
      </w:divsChild>
    </w:div>
    <w:div w:id="1358047947">
      <w:bodyDiv w:val="1"/>
      <w:marLeft w:val="0"/>
      <w:marRight w:val="0"/>
      <w:marTop w:val="0"/>
      <w:marBottom w:val="0"/>
      <w:divBdr>
        <w:top w:val="none" w:sz="0" w:space="0" w:color="auto"/>
        <w:left w:val="none" w:sz="0" w:space="0" w:color="auto"/>
        <w:bottom w:val="none" w:sz="0" w:space="0" w:color="auto"/>
        <w:right w:val="none" w:sz="0" w:space="0" w:color="auto"/>
      </w:divBdr>
      <w:divsChild>
        <w:div w:id="1838113220">
          <w:marLeft w:val="-720"/>
          <w:marRight w:val="0"/>
          <w:marTop w:val="0"/>
          <w:marBottom w:val="0"/>
          <w:divBdr>
            <w:top w:val="none" w:sz="0" w:space="0" w:color="auto"/>
            <w:left w:val="none" w:sz="0" w:space="0" w:color="auto"/>
            <w:bottom w:val="none" w:sz="0" w:space="0" w:color="auto"/>
            <w:right w:val="none" w:sz="0" w:space="0" w:color="auto"/>
          </w:divBdr>
        </w:div>
      </w:divsChild>
    </w:div>
    <w:div w:id="1978140021">
      <w:bodyDiv w:val="1"/>
      <w:marLeft w:val="0"/>
      <w:marRight w:val="0"/>
      <w:marTop w:val="0"/>
      <w:marBottom w:val="0"/>
      <w:divBdr>
        <w:top w:val="none" w:sz="0" w:space="0" w:color="auto"/>
        <w:left w:val="none" w:sz="0" w:space="0" w:color="auto"/>
        <w:bottom w:val="none" w:sz="0" w:space="0" w:color="auto"/>
        <w:right w:val="none" w:sz="0" w:space="0" w:color="auto"/>
      </w:divBdr>
      <w:divsChild>
        <w:div w:id="1250237197">
          <w:marLeft w:val="0"/>
          <w:marRight w:val="0"/>
          <w:marTop w:val="0"/>
          <w:marBottom w:val="0"/>
          <w:divBdr>
            <w:top w:val="none" w:sz="0" w:space="0" w:color="auto"/>
            <w:left w:val="none" w:sz="0" w:space="0" w:color="auto"/>
            <w:bottom w:val="none" w:sz="0" w:space="0" w:color="auto"/>
            <w:right w:val="none" w:sz="0" w:space="0" w:color="auto"/>
          </w:divBdr>
        </w:div>
        <w:div w:id="1976837369">
          <w:marLeft w:val="0"/>
          <w:marRight w:val="0"/>
          <w:marTop w:val="0"/>
          <w:marBottom w:val="0"/>
          <w:divBdr>
            <w:top w:val="none" w:sz="0" w:space="0" w:color="auto"/>
            <w:left w:val="none" w:sz="0" w:space="0" w:color="auto"/>
            <w:bottom w:val="none" w:sz="0" w:space="0" w:color="auto"/>
            <w:right w:val="none" w:sz="0" w:space="0" w:color="auto"/>
          </w:divBdr>
          <w:divsChild>
            <w:div w:id="128839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ijpp.1265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93/Ijpp/Riaa023" TargetMode="External"/><Relationship Id="rId17" Type="http://schemas.openxmlformats.org/officeDocument/2006/relationships/hyperlink" Target="https://www.carehome.co.uk/advice/what-is-a-residential-care-home" TargetMode="External"/><Relationship Id="rId2" Type="http://schemas.openxmlformats.org/officeDocument/2006/relationships/styles" Target="styles.xml"/><Relationship Id="rId16" Type="http://schemas.openxmlformats.org/officeDocument/2006/relationships/hyperlink" Target="https://www.nhs.uk/social-care-and-support/care-services-equipment-and-care-homes/care-hom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Doi.org/10.1093/Eurpub/Ckz185.669"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nhs.uk/social-care-and-support/car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10666</TotalTime>
  <Pages>5</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Krasimira Yordanova-Krumova</cp:lastModifiedBy>
  <cp:revision>91</cp:revision>
  <dcterms:created xsi:type="dcterms:W3CDTF">2026-02-18T20:15:00Z</dcterms:created>
  <dcterms:modified xsi:type="dcterms:W3CDTF">2026-03-19T11:34:00Z</dcterms:modified>
</cp:coreProperties>
</file>