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84316197"/>
        <w:docPartObj>
          <w:docPartGallery w:val="Cover Pages"/>
          <w:docPartUnique/>
        </w:docPartObj>
      </w:sdtPr>
      <w:sdtEndPr>
        <w:rPr>
          <w:rFonts w:eastAsia="Calibri"/>
          <w:b/>
          <w:bCs/>
          <w:sz w:val="28"/>
          <w:szCs w:val="28"/>
          <w:bdr w:val="none" w:sz="0" w:space="0" w:color="auto"/>
          <w:lang w:val="en-GB"/>
        </w:rPr>
      </w:sdtEndPr>
      <w:sdtContent>
        <w:p w14:paraId="5AEF047F" w14:textId="37A9CF0E" w:rsidR="009F525C" w:rsidRDefault="009F525C">
          <w:r>
            <w:rPr>
              <w:noProof/>
            </w:rPr>
            <mc:AlternateContent>
              <mc:Choice Requires="wpg">
                <w:drawing>
                  <wp:anchor distT="0" distB="0" distL="114300" distR="114300" simplePos="0" relativeHeight="251659264" behindDoc="1" locked="0" layoutInCell="1" allowOverlap="1" wp14:anchorId="1E8C5C7F" wp14:editId="20992A95">
                    <wp:simplePos x="0" y="0"/>
                    <wp:positionH relativeFrom="page">
                      <wp:posOffset>444500</wp:posOffset>
                    </wp:positionH>
                    <wp:positionV relativeFrom="page">
                      <wp:posOffset>431800</wp:posOffset>
                    </wp:positionV>
                    <wp:extent cx="6928324" cy="9180678"/>
                    <wp:effectExtent l="0" t="0" r="6350" b="1905"/>
                    <wp:wrapNone/>
                    <wp:docPr id="193" name="Group 193"/>
                    <wp:cNvGraphicFramePr/>
                    <a:graphic xmlns:a="http://schemas.openxmlformats.org/drawingml/2006/main">
                      <a:graphicData uri="http://schemas.microsoft.com/office/word/2010/wordprocessingGroup">
                        <wpg:wgp>
                          <wpg:cNvGrpSpPr/>
                          <wpg:grpSpPr>
                            <a:xfrm>
                              <a:off x="0" y="0"/>
                              <a:ext cx="6928324" cy="9180678"/>
                              <a:chOff x="0" y="-57150"/>
                              <a:chExt cx="6928324" cy="9180678"/>
                            </a:xfrm>
                          </wpg:grpSpPr>
                          <wps:wsp>
                            <wps:cNvPr id="194" name="Rectangle 194"/>
                            <wps:cNvSpPr/>
                            <wps:spPr>
                              <a:xfrm>
                                <a:off x="57150" y="-5715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07803505" w14:textId="77777777" w:rsidR="009F525C" w:rsidRDefault="009F525C">
                                      <w:pPr>
                                        <w:pStyle w:val="NoSpacing"/>
                                        <w:spacing w:before="120"/>
                                        <w:jc w:val="center"/>
                                        <w:rPr>
                                          <w:color w:val="FFFFFF" w:themeColor="background1"/>
                                        </w:rPr>
                                      </w:pPr>
                                      <w:r>
                                        <w:rPr>
                                          <w:color w:val="FFFFFF" w:themeColor="background1"/>
                                        </w:rPr>
                                        <w:t>[Author name]</w:t>
                                      </w:r>
                                    </w:p>
                                  </w:sdtContent>
                                </w:sdt>
                                <w:p w14:paraId="5C7EABAD" w14:textId="77777777" w:rsidR="009F525C" w:rsidRDefault="0053549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F525C">
                                        <w:rPr>
                                          <w:caps/>
                                          <w:color w:val="FFFFFF" w:themeColor="background1"/>
                                        </w:rPr>
                                        <w:t>[Company name]</w:t>
                                      </w:r>
                                    </w:sdtContent>
                                  </w:sdt>
                                  <w:r w:rsidR="009F525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9F525C">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70324" y="132715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68"/>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AE2D18D" w14:textId="418A2DC3" w:rsidR="003252AD" w:rsidRPr="003252AD" w:rsidRDefault="003252AD" w:rsidP="003252AD">
                                      <w:pPr>
                                        <w:pStyle w:val="NoSpacing"/>
                                        <w:rPr>
                                          <w:rFonts w:asciiTheme="majorHAnsi" w:eastAsiaTheme="majorEastAsia" w:hAnsiTheme="majorHAnsi" w:cstheme="majorBidi"/>
                                          <w:caps/>
                                          <w:color w:val="5B9BD5" w:themeColor="accent1"/>
                                          <w:sz w:val="68"/>
                                          <w:szCs w:val="52"/>
                                        </w:rPr>
                                      </w:pPr>
                                      <w:r w:rsidRPr="003252AD">
                                        <w:rPr>
                                          <w:rFonts w:asciiTheme="majorHAnsi" w:eastAsiaTheme="majorEastAsia" w:hAnsiTheme="majorHAnsi" w:cstheme="majorBidi"/>
                                          <w:caps/>
                                          <w:color w:val="5B9BD5" w:themeColor="accent1"/>
                                          <w:sz w:val="68"/>
                                          <w:szCs w:val="52"/>
                                        </w:rPr>
                                        <w:t xml:space="preserve">ECAD6008-PROFESSIONAL AND PEDAGOGIC STUDIES: LEADING THE LEARNING: WHAT, HOW AND WHY AM I </w:t>
                                      </w:r>
                                      <w:proofErr w:type="gramStart"/>
                                      <w:r w:rsidRPr="003252AD">
                                        <w:rPr>
                                          <w:rFonts w:asciiTheme="majorHAnsi" w:eastAsiaTheme="majorEastAsia" w:hAnsiTheme="majorHAnsi" w:cstheme="majorBidi"/>
                                          <w:caps/>
                                          <w:color w:val="5B9BD5" w:themeColor="accent1"/>
                                          <w:sz w:val="68"/>
                                          <w:szCs w:val="52"/>
                                        </w:rPr>
                                        <w:t>TEACHING</w:t>
                                      </w:r>
                                      <w:proofErr w:type="gramEnd"/>
                                      <w:r w:rsidRPr="003252AD">
                                        <w:rPr>
                                          <w:rFonts w:asciiTheme="majorHAnsi" w:eastAsiaTheme="majorEastAsia" w:hAnsiTheme="majorHAnsi" w:cstheme="majorBidi"/>
                                          <w:caps/>
                                          <w:color w:val="5B9BD5" w:themeColor="accent1"/>
                                          <w:sz w:val="68"/>
                                          <w:szCs w:val="52"/>
                                        </w:rPr>
                                        <w:t>?</w:t>
                                      </w:r>
                                    </w:p>
                                  </w:sdtContent>
                                </w:sdt>
                                <w:p w14:paraId="71BEE955" w14:textId="3DD18B89" w:rsidR="009F525C" w:rsidRDefault="009F525C">
                                  <w:pPr>
                                    <w:pStyle w:val="NoSpacing"/>
                                    <w:jc w:val="center"/>
                                    <w:rPr>
                                      <w:rFonts w:asciiTheme="majorHAnsi" w:eastAsiaTheme="majorEastAsia" w:hAnsiTheme="majorHAnsi" w:cstheme="majorBidi"/>
                                      <w:caps/>
                                      <w:color w:val="5B9BD5"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E8C5C7F" id="Group 193" o:spid="_x0000_s1026" style="position:absolute;margin-left:35pt;margin-top:34pt;width:545.55pt;height:722.9pt;z-index:-251657216;mso-position-horizontal-relative:page;mso-position-vertical-relative:page" coordorigin=",-571" coordsize="69283,91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">
                    <v:rect id="Rectangle 194" o:spid="_x0000_s1027" style="position:absolute;left:571;top:-571;width:68580;height:1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5b9bd5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5b9bd5 [3204]" stroked="f" strokeweight="2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07803505" w14:textId="77777777" w:rsidR="009F525C" w:rsidRDefault="009F525C">
                                <w:pPr>
                                  <w:pStyle w:val="NoSpacing"/>
                                  <w:spacing w:before="120"/>
                                  <w:jc w:val="center"/>
                                  <w:rPr>
                                    <w:color w:val="FFFFFF" w:themeColor="background1"/>
                                  </w:rPr>
                                </w:pPr>
                                <w:r>
                                  <w:rPr>
                                    <w:color w:val="FFFFFF" w:themeColor="background1"/>
                                  </w:rPr>
                                  <w:t>[Author name]</w:t>
                                </w:r>
                              </w:p>
                            </w:sdtContent>
                          </w:sdt>
                          <w:p w14:paraId="5C7EABAD" w14:textId="77777777" w:rsidR="009F525C" w:rsidRDefault="0053549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9F525C">
                                  <w:rPr>
                                    <w:caps/>
                                    <w:color w:val="FFFFFF" w:themeColor="background1"/>
                                  </w:rPr>
                                  <w:t>[Company name]</w:t>
                                </w:r>
                              </w:sdtContent>
                            </w:sdt>
                            <w:r w:rsidR="009F525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9F525C">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703;top:13271;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68"/>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AE2D18D" w14:textId="418A2DC3" w:rsidR="003252AD" w:rsidRPr="003252AD" w:rsidRDefault="003252AD" w:rsidP="003252AD">
                                <w:pPr>
                                  <w:pStyle w:val="NoSpacing"/>
                                  <w:rPr>
                                    <w:rFonts w:asciiTheme="majorHAnsi" w:eastAsiaTheme="majorEastAsia" w:hAnsiTheme="majorHAnsi" w:cstheme="majorBidi"/>
                                    <w:caps/>
                                    <w:color w:val="5B9BD5" w:themeColor="accent1"/>
                                    <w:sz w:val="68"/>
                                    <w:szCs w:val="52"/>
                                  </w:rPr>
                                </w:pPr>
                                <w:r w:rsidRPr="003252AD">
                                  <w:rPr>
                                    <w:rFonts w:asciiTheme="majorHAnsi" w:eastAsiaTheme="majorEastAsia" w:hAnsiTheme="majorHAnsi" w:cstheme="majorBidi"/>
                                    <w:caps/>
                                    <w:color w:val="5B9BD5" w:themeColor="accent1"/>
                                    <w:sz w:val="68"/>
                                    <w:szCs w:val="52"/>
                                  </w:rPr>
                                  <w:t xml:space="preserve">ECAD6008-PROFESSIONAL AND PEDAGOGIC STUDIES: LEADING THE LEARNING: WHAT, HOW AND WHY AM I </w:t>
                                </w:r>
                                <w:proofErr w:type="gramStart"/>
                                <w:r w:rsidRPr="003252AD">
                                  <w:rPr>
                                    <w:rFonts w:asciiTheme="majorHAnsi" w:eastAsiaTheme="majorEastAsia" w:hAnsiTheme="majorHAnsi" w:cstheme="majorBidi"/>
                                    <w:caps/>
                                    <w:color w:val="5B9BD5" w:themeColor="accent1"/>
                                    <w:sz w:val="68"/>
                                    <w:szCs w:val="52"/>
                                  </w:rPr>
                                  <w:t>TEACHING</w:t>
                                </w:r>
                                <w:proofErr w:type="gramEnd"/>
                                <w:r w:rsidRPr="003252AD">
                                  <w:rPr>
                                    <w:rFonts w:asciiTheme="majorHAnsi" w:eastAsiaTheme="majorEastAsia" w:hAnsiTheme="majorHAnsi" w:cstheme="majorBidi"/>
                                    <w:caps/>
                                    <w:color w:val="5B9BD5" w:themeColor="accent1"/>
                                    <w:sz w:val="68"/>
                                    <w:szCs w:val="52"/>
                                  </w:rPr>
                                  <w:t>?</w:t>
                                </w:r>
                              </w:p>
                            </w:sdtContent>
                          </w:sdt>
                          <w:p w14:paraId="71BEE955" w14:textId="3DD18B89" w:rsidR="009F525C" w:rsidRDefault="009F525C">
                            <w:pPr>
                              <w:pStyle w:val="NoSpacing"/>
                              <w:jc w:val="center"/>
                              <w:rPr>
                                <w:rFonts w:asciiTheme="majorHAnsi" w:eastAsiaTheme="majorEastAsia" w:hAnsiTheme="majorHAnsi" w:cstheme="majorBidi"/>
                                <w:caps/>
                                <w:color w:val="5B9BD5" w:themeColor="accent1"/>
                                <w:sz w:val="72"/>
                                <w:szCs w:val="72"/>
                              </w:rPr>
                            </w:pPr>
                          </w:p>
                        </w:txbxContent>
                      </v:textbox>
                    </v:shape>
                    <w10:wrap anchorx="page" anchory="page"/>
                  </v:group>
                </w:pict>
              </mc:Fallback>
            </mc:AlternateContent>
          </w:r>
        </w:p>
        <w:p w14:paraId="1859C37E" w14:textId="46137B20" w:rsidR="009F525C" w:rsidRDefault="009F525C">
          <w:pPr>
            <w:rPr>
              <w:rFonts w:ascii="Calibri" w:eastAsia="Calibri" w:hAnsi="Calibri"/>
              <w:b/>
              <w:bCs/>
              <w:sz w:val="28"/>
              <w:szCs w:val="28"/>
              <w:bdr w:val="none" w:sz="0" w:space="0" w:color="auto"/>
              <w:lang w:val="en-GB"/>
            </w:rPr>
          </w:pPr>
          <w:r>
            <w:rPr>
              <w:rFonts w:eastAsia="Calibri"/>
              <w:b/>
              <w:bCs/>
              <w:sz w:val="28"/>
              <w:szCs w:val="28"/>
              <w:bdr w:val="none" w:sz="0" w:space="0" w:color="auto"/>
              <w:lang w:val="en-GB"/>
            </w:rPr>
            <w:br w:type="page"/>
          </w:r>
        </w:p>
      </w:sdtContent>
    </w:sdt>
    <w:tbl>
      <w:tblPr>
        <w:tblpPr w:leftFromText="180" w:rightFromText="180" w:vertAnchor="text" w:horzAnchor="margin" w:tblpY="-111"/>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341689" w14:paraId="2FCF6ADC" w14:textId="77777777" w:rsidTr="00341689">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6B4127" w14:textId="77777777" w:rsidR="00341689" w:rsidRDefault="00341689" w:rsidP="00341689">
            <w:pPr>
              <w:pStyle w:val="Heading2"/>
              <w:jc w:val="center"/>
            </w:pPr>
            <w: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B760E2" w14:textId="77777777" w:rsidR="00341689" w:rsidRDefault="00341689" w:rsidP="00341689">
            <w:pPr>
              <w:pStyle w:val="Body"/>
              <w:jc w:val="center"/>
              <w:rPr>
                <w:sz w:val="32"/>
                <w:szCs w:val="32"/>
              </w:rPr>
            </w:pPr>
            <w:r>
              <w:rPr>
                <w:sz w:val="32"/>
                <w:szCs w:val="32"/>
              </w:rPr>
              <w:t>ECAD6008 Assignment: Part 1</w:t>
            </w:r>
          </w:p>
          <w:p w14:paraId="3CAF6556" w14:textId="77777777" w:rsidR="00341689" w:rsidRDefault="00341689" w:rsidP="00341689"/>
        </w:tc>
      </w:tr>
      <w:tr w:rsidR="00341689" w14:paraId="7CB8514A" w14:textId="77777777" w:rsidTr="00341689">
        <w:trPr>
          <w:trHeight w:val="30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352DD" w14:textId="77777777" w:rsidR="00341689" w:rsidRDefault="00341689" w:rsidP="00341689">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EB311" w14:textId="77777777" w:rsidR="00341689" w:rsidRDefault="00341689" w:rsidP="00341689">
            <w:pPr>
              <w:pStyle w:val="Body"/>
              <w:spacing w:after="0" w:line="240" w:lineRule="auto"/>
            </w:pPr>
            <w:r>
              <w:rPr>
                <w:color w:val="2E74B5"/>
                <w:sz w:val="28"/>
                <w:szCs w:val="28"/>
                <w:u w:color="2E74B5"/>
              </w:rPr>
              <w:t>Assessment for learning</w:t>
            </w:r>
          </w:p>
        </w:tc>
      </w:tr>
      <w:tr w:rsidR="00341689" w14:paraId="20F291A8" w14:textId="77777777" w:rsidTr="00341689">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373FA" w14:textId="77777777" w:rsidR="00341689" w:rsidRDefault="00341689" w:rsidP="00341689">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550D77" w14:textId="77777777" w:rsidR="00341689" w:rsidRDefault="00341689" w:rsidP="00341689">
            <w:r>
              <w:t xml:space="preserve">During my PTE3 experience I decided to incorporate AFL during some lessons. During all three of my placements, I have tried to use different AFL strategies </w:t>
            </w:r>
            <w:proofErr w:type="gramStart"/>
            <w:r>
              <w:t>e.g.</w:t>
            </w:r>
            <w:proofErr w:type="gramEnd"/>
            <w:r>
              <w:t xml:space="preserve"> questioning to ensure I was aware of what the children had already learned and what they didn’t understand so I could plan for future lessons and ensure they were learning what they needed to learn. For PTE3 I was in a foundation phase nursery class meaning the children were 3-4. Because they were so young, I decided to use the AFL strategy of using traffic lights as I believed this may have been one of the easiest concepts for the children to grasp and understand. After their PE lesson, I placed a green, amber and red face on the floor and asked them to go to whichever face they felt the lesson went </w:t>
            </w:r>
            <w:proofErr w:type="gramStart"/>
            <w:r>
              <w:t>e.g.</w:t>
            </w:r>
            <w:proofErr w:type="gramEnd"/>
            <w:r>
              <w:t xml:space="preserve"> green=well, amber= okay and red= not good. I also tried to use questioning as an AFL strategy to ensure I fully understood how the children felt and what the next steps were for them to fully progress further. During lessons with the children, I would try and use open questions to ensure that a conversation and discussion could arise form what was being taught. I also made sure to ask questions after the lessons and activities were over to try and decipher how much the pupils really understood the lesson taught and what steps could be taken in the future to further their learning.  </w:t>
            </w:r>
          </w:p>
        </w:tc>
      </w:tr>
      <w:tr w:rsidR="00341689" w14:paraId="7E0C0844" w14:textId="77777777" w:rsidTr="00341689">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AA496" w14:textId="77777777" w:rsidR="00341689" w:rsidRDefault="00341689" w:rsidP="00341689">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DE11" w14:textId="77777777" w:rsidR="00341689" w:rsidRDefault="00341689" w:rsidP="00341689">
            <w:r>
              <w:t xml:space="preserve">Trying to think of AFL strategies suitable for the children was quite difficult for me. The class I was in were already of quite a lower ability so trying to find a strategy which wouldn’t be too confusing for them was something I had to consider. However, I do believe making sure it is embedded into the children at an early age makes it easier for assessment for learning to be used more effectively and smoothly throughout the children’s lives within the education system. </w:t>
            </w:r>
          </w:p>
        </w:tc>
      </w:tr>
      <w:tr w:rsidR="00341689" w14:paraId="2830ED8B" w14:textId="77777777" w:rsidTr="00341689">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A60D98" w14:textId="77777777" w:rsidR="00341689" w:rsidRDefault="00341689" w:rsidP="00341689">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4417B" w14:textId="77777777" w:rsidR="00341689" w:rsidRDefault="00341689" w:rsidP="00341689">
            <w:r>
              <w:t xml:space="preserve">In the future, I will try and think of more strategies which will suite the early years especially children in nursery/reception. I think the AFL strategies already in place are useful for key stage 2 however, they don’t really take into consideration the early years. I will also try and ensure that when I do become a teacher, I make sure that the assessment for learning strategies I use within class are fully embedded into the pupils </w:t>
            </w:r>
          </w:p>
        </w:tc>
      </w:tr>
    </w:tbl>
    <w:p w14:paraId="67357BED" w14:textId="77777777" w:rsidR="00B852D4" w:rsidRDefault="00B852D4">
      <w:pPr>
        <w:pStyle w:val="Body"/>
        <w:spacing w:line="240" w:lineRule="auto"/>
        <w:jc w:val="center"/>
        <w:rPr>
          <w:sz w:val="32"/>
          <w:szCs w:val="32"/>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852D4" w14:paraId="15ADC4A4" w14:textId="77777777">
        <w:trPr>
          <w:trHeight w:val="1326"/>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028D0" w14:textId="77777777" w:rsidR="00B852D4" w:rsidRDefault="00FD5952">
            <w:pPr>
              <w:pStyle w:val="Heading2"/>
              <w:jc w:val="center"/>
            </w:pPr>
            <w: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A74BF" w14:textId="77777777" w:rsidR="00B852D4" w:rsidRDefault="00B852D4"/>
        </w:tc>
      </w:tr>
      <w:tr w:rsidR="00B852D4" w14:paraId="6947D247" w14:textId="77777777">
        <w:trPr>
          <w:trHeight w:val="6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D87CB" w14:textId="77777777" w:rsidR="00B852D4" w:rsidRDefault="00FD5952">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F43C7" w14:textId="77777777" w:rsidR="00B852D4" w:rsidRDefault="00FD5952">
            <w:pPr>
              <w:pStyle w:val="Body"/>
              <w:spacing w:after="0" w:line="240" w:lineRule="auto"/>
            </w:pPr>
            <w:r>
              <w:rPr>
                <w:rFonts w:ascii="Carlito" w:hAnsi="Carlito"/>
                <w:b/>
                <w:bCs/>
                <w:color w:val="2E74B5"/>
                <w:sz w:val="28"/>
                <w:szCs w:val="28"/>
                <w:u w:color="2E74B5"/>
              </w:rPr>
              <w:t>Blended learning experiences</w:t>
            </w:r>
          </w:p>
        </w:tc>
      </w:tr>
      <w:tr w:rsidR="00B852D4" w14:paraId="6DB1970F"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5AD559" w14:textId="77777777" w:rsidR="00B852D4" w:rsidRDefault="00FD5952">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B76BDB" w14:textId="24E883EC" w:rsidR="00B852D4" w:rsidRDefault="00974731">
            <w:r>
              <w:t>During my third placement, I decided to introduce and aspect of blended learning.</w:t>
            </w:r>
            <w:r w:rsidR="005313D1">
              <w:t xml:space="preserve"> </w:t>
            </w:r>
            <w:r w:rsidR="000A7579">
              <w:t xml:space="preserve">I was in a nursery classroom with children aged 3-4 therefor, I did find it quite difficult to try and </w:t>
            </w:r>
            <w:r w:rsidR="00851AF8">
              <w:t xml:space="preserve">introduce an </w:t>
            </w:r>
            <w:r w:rsidR="00BA3D73">
              <w:t>a</w:t>
            </w:r>
            <w:r w:rsidR="00851AF8">
              <w:t>spect of blended learning to them that they would understand. To ensure they could understand and engage with what I wanted to do, I decided to use J2E</w:t>
            </w:r>
            <w:r w:rsidR="00794A6F">
              <w:t xml:space="preserve"> with them. On J2E, I created a ‘pond’ scene on the board</w:t>
            </w:r>
            <w:r w:rsidR="00905984">
              <w:t xml:space="preserve"> and had </w:t>
            </w:r>
            <w:proofErr w:type="gramStart"/>
            <w:r w:rsidR="00905984">
              <w:t>all of</w:t>
            </w:r>
            <w:proofErr w:type="gramEnd"/>
            <w:r w:rsidR="00905984">
              <w:t xml:space="preserve"> the children sit on the carpet with me. The ‘pond’ scene fitted in to our topic on ‘5 little ducks’. I then asked the children to come up to the board and add </w:t>
            </w:r>
            <w:r w:rsidR="0009481B">
              <w:t xml:space="preserve">different plants, animals </w:t>
            </w:r>
            <w:proofErr w:type="spellStart"/>
            <w:r w:rsidR="0009481B">
              <w:t>etc</w:t>
            </w:r>
            <w:proofErr w:type="spellEnd"/>
            <w:r w:rsidR="0009481B">
              <w:t xml:space="preserve"> that they think would be living in the pond. The use of J2E on the whiteboard gave the children the opportunity to learn about different living things in a pond, however, they were learning this through a digital aspect rather than us just doing it on the carpet using an A3 piece of paper and </w:t>
            </w:r>
            <w:r w:rsidR="00BA3D73">
              <w:t xml:space="preserve">examples given to them. They had the freedom to choose what sort of animal or plant they believed lived at a pond and this then led to further discussion on the carpet about what </w:t>
            </w:r>
            <w:proofErr w:type="gramStart"/>
            <w:r w:rsidR="00BA3D73">
              <w:t>actually does</w:t>
            </w:r>
            <w:proofErr w:type="gramEnd"/>
            <w:r w:rsidR="00BA3D73">
              <w:t xml:space="preserve"> live in a pond. </w:t>
            </w:r>
            <w:r w:rsidR="003B2E85">
              <w:t xml:space="preserve">The children seemed to really enjoy </w:t>
            </w:r>
            <w:r w:rsidR="000754AE">
              <w:t xml:space="preserve">the aspect of using the interactive white board to create a pond scene, and they also liked having the freedom to chose whatever they wanted to go into the pond, even if after they chose </w:t>
            </w:r>
            <w:proofErr w:type="gramStart"/>
            <w:r w:rsidR="000754AE">
              <w:t>it</w:t>
            </w:r>
            <w:proofErr w:type="gramEnd"/>
            <w:r w:rsidR="000754AE">
              <w:t xml:space="preserve"> we all discussed that actually, that animal does not live in a pond. </w:t>
            </w:r>
          </w:p>
        </w:tc>
      </w:tr>
      <w:tr w:rsidR="00B852D4" w14:paraId="363A71BB"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D06DF" w14:textId="77777777" w:rsidR="00B852D4" w:rsidRDefault="00FD5952">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D6C8F" w14:textId="073E189B" w:rsidR="0078775B" w:rsidRDefault="00BF2B9E">
            <w:r>
              <w:t xml:space="preserve">During this experience, I learned that using a different approach to teach like using </w:t>
            </w:r>
            <w:r w:rsidR="00B769F6">
              <w:t xml:space="preserve">a computer or a digital </w:t>
            </w:r>
            <w:proofErr w:type="spellStart"/>
            <w:r w:rsidR="00B769F6">
              <w:t>programme</w:t>
            </w:r>
            <w:proofErr w:type="spellEnd"/>
            <w:r w:rsidR="00B769F6">
              <w:t xml:space="preserve"> </w:t>
            </w:r>
            <w:r w:rsidR="0078775B">
              <w:t>benefited</w:t>
            </w:r>
            <w:r w:rsidR="00B769F6">
              <w:t xml:space="preserve"> me and the pupils learning too. I truly believe that if we had done </w:t>
            </w:r>
            <w:r w:rsidR="0078775B">
              <w:t xml:space="preserve">the activity using paper and pens then the in-depth conversation we had about ponds and what sort of things live in ponds would not have occurred. Giving the children the freedom and independence to </w:t>
            </w:r>
            <w:r w:rsidR="00C27CC1">
              <w:t>choose</w:t>
            </w:r>
            <w:r w:rsidR="0078775B">
              <w:t xml:space="preserve"> their own animals and plants on the </w:t>
            </w:r>
            <w:r w:rsidR="00C27CC1">
              <w:t>interactive</w:t>
            </w:r>
            <w:r w:rsidR="0078775B">
              <w:t xml:space="preserve"> whiteboard gave the opportunity to discuss whether we all thought that child was correct or incorrect </w:t>
            </w:r>
            <w:proofErr w:type="gramStart"/>
            <w:r w:rsidR="0078775B">
              <w:t>e.g.</w:t>
            </w:r>
            <w:proofErr w:type="gramEnd"/>
            <w:r w:rsidR="0078775B">
              <w:t xml:space="preserve"> child A placed a crocodile on the pond. As a class we questioned whether we all thought</w:t>
            </w:r>
            <w:r w:rsidR="00C27CC1">
              <w:t xml:space="preserve"> the crocodile would live in the pond. This then led to further discussion and debate. </w:t>
            </w:r>
          </w:p>
        </w:tc>
      </w:tr>
      <w:tr w:rsidR="00B852D4" w14:paraId="18EE1DAE"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9ED38" w14:textId="77777777" w:rsidR="00B852D4" w:rsidRDefault="00FD5952">
            <w:pPr>
              <w:pStyle w:val="Heading3"/>
              <w:jc w:val="center"/>
            </w:pPr>
            <w: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E78D4" w14:textId="53B09F0C" w:rsidR="00B852D4" w:rsidRDefault="003E600E">
            <w:r>
              <w:t xml:space="preserve">In the future, I will continue to try and create more blended learning experiences for pupils. Knowing the right balance of using digital </w:t>
            </w:r>
            <w:r w:rsidR="00C944D3">
              <w:t xml:space="preserve">media and </w:t>
            </w:r>
            <w:r w:rsidR="00283C82">
              <w:t xml:space="preserve">traditional class-based activities is extremely important </w:t>
            </w:r>
            <w:r w:rsidR="00EB3C75">
              <w:t xml:space="preserve">because using both effectively gives children a bigger opportunity to progress and learn. </w:t>
            </w:r>
            <w:r w:rsidR="00734EAE">
              <w:t>If only one form of teaching is used, then this gives children less of an opportunity to learn and grow and progress further in their education.</w:t>
            </w:r>
          </w:p>
        </w:tc>
      </w:tr>
    </w:tbl>
    <w:p w14:paraId="01F56CB0" w14:textId="77777777" w:rsidR="00B852D4" w:rsidRDefault="00B852D4">
      <w:pPr>
        <w:pStyle w:val="Body"/>
        <w:widowControl w:val="0"/>
        <w:spacing w:line="240" w:lineRule="auto"/>
        <w:jc w:val="center"/>
        <w:rPr>
          <w:sz w:val="32"/>
          <w:szCs w:val="32"/>
        </w:rPr>
      </w:pPr>
    </w:p>
    <w:p w14:paraId="3F575290" w14:textId="77777777" w:rsidR="00B852D4" w:rsidRDefault="00B852D4">
      <w:pPr>
        <w:pStyle w:val="Body"/>
      </w:pPr>
    </w:p>
    <w:p w14:paraId="140721C1" w14:textId="77777777" w:rsidR="00B852D4" w:rsidRDefault="00B852D4">
      <w:pPr>
        <w:pStyle w:val="Body"/>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852D4" w14:paraId="5EA41C3E" w14:textId="77777777">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A69F82" w14:textId="77777777" w:rsidR="00B852D4" w:rsidRDefault="00FD5952">
            <w:pPr>
              <w:pStyle w:val="Heading2"/>
              <w:jc w:val="center"/>
            </w:pPr>
            <w: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2397C" w14:textId="77777777" w:rsidR="00B852D4" w:rsidRDefault="00B852D4"/>
        </w:tc>
      </w:tr>
      <w:tr w:rsidR="00B852D4" w14:paraId="531C525A" w14:textId="7777777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C5A54" w14:textId="77777777" w:rsidR="00B852D4" w:rsidRDefault="00FD5952">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22042" w14:textId="77777777" w:rsidR="00B852D4" w:rsidRDefault="00FD5952">
            <w:pPr>
              <w:pStyle w:val="Body"/>
              <w:spacing w:after="0" w:line="240" w:lineRule="auto"/>
            </w:pPr>
            <w:r>
              <w:rPr>
                <w:rFonts w:ascii="Carlito" w:hAnsi="Carlito"/>
                <w:b/>
                <w:bCs/>
                <w:color w:val="2E74B5"/>
                <w:sz w:val="28"/>
                <w:szCs w:val="28"/>
                <w:u w:color="2E74B5"/>
              </w:rPr>
              <w:t>Real life authentic contexts</w:t>
            </w:r>
          </w:p>
        </w:tc>
      </w:tr>
      <w:tr w:rsidR="00B852D4" w14:paraId="45AD69A9"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02064" w14:textId="77777777" w:rsidR="00B852D4" w:rsidRDefault="00FD5952">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3739B3" w14:textId="569A76DF" w:rsidR="00B852D4" w:rsidRDefault="00D25199">
            <w:r>
              <w:t>During my placement</w:t>
            </w:r>
            <w:r w:rsidR="00476457">
              <w:t xml:space="preserve">, we had a theme of Cinderella. In this theme, I read the book of Cinderella to the children and then </w:t>
            </w:r>
            <w:r w:rsidR="002C044D">
              <w:t xml:space="preserve">created different lessons and </w:t>
            </w:r>
            <w:r w:rsidR="009D48D5">
              <w:t>activities</w:t>
            </w:r>
            <w:r w:rsidR="002C044D">
              <w:t xml:space="preserve"> based around Cinderella. These </w:t>
            </w:r>
            <w:r w:rsidR="009D48D5">
              <w:t>activities</w:t>
            </w:r>
            <w:r w:rsidR="002C044D">
              <w:t xml:space="preserve"> included creating magic</w:t>
            </w:r>
            <w:r w:rsidR="009D48D5">
              <w:t xml:space="preserve"> wands, counting pumpkins etc</w:t>
            </w:r>
            <w:r w:rsidR="00A74187">
              <w:t xml:space="preserve">. Within the story of Cinderella, Cinderella attended a ball. In this ball, people got dressed up, </w:t>
            </w:r>
            <w:proofErr w:type="gramStart"/>
            <w:r w:rsidR="00A74187">
              <w:t>danced</w:t>
            </w:r>
            <w:proofErr w:type="gramEnd"/>
            <w:r w:rsidR="00A74187">
              <w:t xml:space="preserve"> and ate food. </w:t>
            </w:r>
            <w:r w:rsidR="001359C6">
              <w:t xml:space="preserve">I wanted the children to experience what a ball would be like in a day and age where people would attend balls. To try and bring this to life, I decided to </w:t>
            </w:r>
            <w:r w:rsidR="00111F01">
              <w:t xml:space="preserve">have a ‘mini’ ball in the classroom. I got the children to create invitations to the ball, inviting whoever they wanted to invite. </w:t>
            </w:r>
            <w:r w:rsidR="008B4C63">
              <w:t xml:space="preserve">We also learned dances that we would then do at the ball. In the ball the children dressed up in party clothes and we sang, </w:t>
            </w:r>
            <w:r w:rsidR="00A348E8">
              <w:t>danced,</w:t>
            </w:r>
            <w:r w:rsidR="008B4C63">
              <w:t xml:space="preserve"> and ate together. </w:t>
            </w:r>
            <w:r w:rsidR="002D3867">
              <w:t xml:space="preserve">I even got one of the teachers from a different classroom to dress up as Cinderella for the children. </w:t>
            </w:r>
            <w:r w:rsidR="00A01E4C">
              <w:t xml:space="preserve">The children absolutely loved the ball we attended as they felt it brought the story to life and they could truly understand how Cinderella and the other characters in the story felt when they attended the ball. </w:t>
            </w:r>
            <w:r w:rsidR="00FE700A">
              <w:t xml:space="preserve">Although Cinderella is a fictitious character, attending a ball is something which </w:t>
            </w:r>
            <w:r w:rsidR="00A00ED6">
              <w:t xml:space="preserve">people used to do during history and so I decided to try and bring this aspect of history to life within our classroom. </w:t>
            </w:r>
          </w:p>
        </w:tc>
      </w:tr>
      <w:tr w:rsidR="00B852D4" w14:paraId="2F37384E"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BB5160" w14:textId="77777777" w:rsidR="00B852D4" w:rsidRDefault="00FD5952">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2D8AEB" w14:textId="79AA98C3" w:rsidR="00B852D4" w:rsidRDefault="00A01E4C">
            <w:r>
              <w:t xml:space="preserve">I have learned that trying to bring lessons to life really does encourage </w:t>
            </w:r>
            <w:r w:rsidR="00A348E8">
              <w:t xml:space="preserve">engagement from the pupils. The children were so excited </w:t>
            </w:r>
            <w:r w:rsidR="0057000E">
              <w:t xml:space="preserve">for the ball, that all of the lessons leading up to the ball </w:t>
            </w:r>
            <w:proofErr w:type="gramStart"/>
            <w:r w:rsidR="0057000E">
              <w:t>e.g.</w:t>
            </w:r>
            <w:proofErr w:type="gramEnd"/>
            <w:r w:rsidR="0057000E">
              <w:t xml:space="preserve"> creating invitations, learning dance routines, making food for the ball became exciting and they all wanted to participate and get involved to ensure we all had the best time at the ball. </w:t>
            </w:r>
          </w:p>
        </w:tc>
      </w:tr>
      <w:tr w:rsidR="00B852D4" w14:paraId="000AB986"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77E77E" w14:textId="77777777" w:rsidR="00B852D4" w:rsidRDefault="00FD5952">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8C0D7" w14:textId="6BE25E92" w:rsidR="00B852D4" w:rsidRDefault="0057000E">
            <w:r>
              <w:t xml:space="preserve">In the future, I will try and </w:t>
            </w:r>
            <w:r w:rsidR="002F569E">
              <w:t xml:space="preserve">ensure where possible, that lessons I plan have some sort of </w:t>
            </w:r>
            <w:r w:rsidR="00EA3805">
              <w:t>real-life</w:t>
            </w:r>
            <w:r w:rsidR="002F569E">
              <w:t xml:space="preserve"> authentic context within them. I found it </w:t>
            </w:r>
            <w:r w:rsidR="0042382C">
              <w:t xml:space="preserve">gave the children a purpose and it made what they were learning fun for them. They all wanted to join </w:t>
            </w:r>
            <w:r w:rsidR="00EA3805">
              <w:t>in,</w:t>
            </w:r>
            <w:r w:rsidR="0042382C">
              <w:t xml:space="preserve"> </w:t>
            </w:r>
            <w:r w:rsidR="00EA3805">
              <w:t xml:space="preserve">and they all got to experience something some of them may never have experienced before e.g., a party. Making sure these real-life experiences are giving to pupils ensures all children get the same opportunities to learn and progress. </w:t>
            </w:r>
          </w:p>
        </w:tc>
      </w:tr>
    </w:tbl>
    <w:p w14:paraId="367BECBF" w14:textId="77777777" w:rsidR="00B852D4" w:rsidRDefault="00B852D4">
      <w:pPr>
        <w:pStyle w:val="Body"/>
        <w:widowControl w:val="0"/>
        <w:spacing w:line="240" w:lineRule="auto"/>
      </w:pPr>
    </w:p>
    <w:p w14:paraId="4B363587" w14:textId="77777777" w:rsidR="00B852D4" w:rsidRDefault="00B852D4">
      <w:pPr>
        <w:pStyle w:val="Body"/>
      </w:pPr>
    </w:p>
    <w:p w14:paraId="79B050DC" w14:textId="77777777" w:rsidR="00B852D4" w:rsidRDefault="00B852D4">
      <w:pPr>
        <w:pStyle w:val="Body"/>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852D4" w14:paraId="7E075B5F" w14:textId="77777777">
        <w:trPr>
          <w:trHeight w:val="1326"/>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1AF96F" w14:textId="77777777" w:rsidR="00B852D4" w:rsidRDefault="00FD5952">
            <w:pPr>
              <w:pStyle w:val="Heading2"/>
              <w:jc w:val="center"/>
            </w:pPr>
            <w: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01EB9" w14:textId="77777777" w:rsidR="00B852D4" w:rsidRDefault="00B852D4"/>
        </w:tc>
      </w:tr>
      <w:tr w:rsidR="00B852D4" w14:paraId="5DC1A85B" w14:textId="7777777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49463E" w14:textId="77777777" w:rsidR="00B852D4" w:rsidRDefault="00FD5952">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18A6BE" w14:textId="77777777" w:rsidR="00B852D4" w:rsidRDefault="00FD5952">
            <w:pPr>
              <w:pStyle w:val="Body"/>
              <w:spacing w:after="0" w:line="240" w:lineRule="auto"/>
            </w:pPr>
            <w:r>
              <w:rPr>
                <w:rFonts w:ascii="Carlito" w:hAnsi="Carlito"/>
                <w:b/>
                <w:bCs/>
                <w:color w:val="2E74B5"/>
                <w:sz w:val="28"/>
                <w:szCs w:val="28"/>
                <w:u w:color="2E74B5"/>
              </w:rPr>
              <w:t>Cross-curricular themes</w:t>
            </w:r>
          </w:p>
        </w:tc>
      </w:tr>
      <w:tr w:rsidR="00B852D4" w14:paraId="2C985C32"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648306" w14:textId="77777777" w:rsidR="00B852D4" w:rsidRDefault="00FD5952">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36076" w14:textId="76D54080" w:rsidR="00B852D4" w:rsidRDefault="000A1AF7">
            <w:r>
              <w:t xml:space="preserve">During my placement, the whole of the term I was there the theme was ‘nursery rhymes and celebrations.’ Each week as a class, we would focus on a different nursery rhyme or celebration. </w:t>
            </w:r>
            <w:r w:rsidR="001E2336">
              <w:t xml:space="preserve">The focus of each week was for the children to learn the nursery rhymes and be able to repeat and sing the song together as a class. However, each week I would make cross-curricular links within the theme to ensure all aspects of the children’s learning was met. </w:t>
            </w:r>
            <w:r w:rsidR="00177FE5">
              <w:t xml:space="preserve">For example, one week our theme was ‘miss </w:t>
            </w:r>
            <w:proofErr w:type="spellStart"/>
            <w:r w:rsidR="00177FE5">
              <w:t>polly</w:t>
            </w:r>
            <w:proofErr w:type="spellEnd"/>
            <w:r w:rsidR="00177FE5">
              <w:t xml:space="preserve"> had a dolly.’ From this theme, I decided to focus on health, </w:t>
            </w:r>
            <w:r w:rsidR="00E532B9">
              <w:t>doctors,</w:t>
            </w:r>
            <w:r w:rsidR="00177FE5">
              <w:t xml:space="preserve"> and nurses etc. </w:t>
            </w:r>
            <w:r w:rsidR="00C24B8D">
              <w:t xml:space="preserve">I created lessons and </w:t>
            </w:r>
            <w:r w:rsidR="00E532B9">
              <w:t>activities</w:t>
            </w:r>
            <w:r w:rsidR="00C24B8D">
              <w:t xml:space="preserve"> based on doctors and nurses, what they do for us etc. I </w:t>
            </w:r>
            <w:r w:rsidR="00E532B9">
              <w:t xml:space="preserve">thought of different aspects of the topic, and planned lessons around healthy eating and what </w:t>
            </w:r>
            <w:r w:rsidR="008B3288">
              <w:t xml:space="preserve">we should and shouldn’t eat. To teach them this, I placed two circles in the middle of the carpet and asked them to sort the healthy and unhealthy foods into </w:t>
            </w:r>
            <w:r w:rsidR="00AE1C13">
              <w:t xml:space="preserve">two circles. </w:t>
            </w:r>
            <w:r w:rsidR="00724068">
              <w:t xml:space="preserve">Using the circles to sort the foods into categories </w:t>
            </w:r>
            <w:r w:rsidR="00E956D3">
              <w:t xml:space="preserve">not only taught the children about </w:t>
            </w:r>
            <w:r w:rsidR="0056141F">
              <w:t>what</w:t>
            </w:r>
            <w:r w:rsidR="002A3DC3">
              <w:t xml:space="preserve"> foods are healthy and unhealthy, but also gave them the opportunity to improve their mathematic skills and </w:t>
            </w:r>
            <w:r w:rsidR="00613788">
              <w:t xml:space="preserve">improve their progression step of sorting </w:t>
            </w:r>
            <w:r w:rsidR="00E256E4">
              <w:t xml:space="preserve">into categories. </w:t>
            </w:r>
          </w:p>
        </w:tc>
      </w:tr>
      <w:tr w:rsidR="00B852D4" w14:paraId="695B5D6C"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15AF05" w14:textId="77777777" w:rsidR="00B852D4" w:rsidRDefault="00FD5952">
            <w:pPr>
              <w:pStyle w:val="Heading3"/>
              <w:jc w:val="center"/>
            </w:pPr>
            <w: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85040" w14:textId="0C464EE3" w:rsidR="00B852D4" w:rsidRDefault="00E256E4">
            <w:r>
              <w:t xml:space="preserve">I have learned that although focusing on a theme and </w:t>
            </w:r>
            <w:r w:rsidR="00CB551F">
              <w:t xml:space="preserve">focusing specifically on a certain subject is important, trying to include other aspects and link them all together is also important. </w:t>
            </w:r>
            <w:r w:rsidR="0004680B">
              <w:t xml:space="preserve">If I </w:t>
            </w:r>
            <w:proofErr w:type="gramStart"/>
            <w:r w:rsidR="0004680B">
              <w:t>am able to</w:t>
            </w:r>
            <w:proofErr w:type="gramEnd"/>
            <w:r w:rsidR="0004680B">
              <w:t xml:space="preserve"> teach the children about healthy eating and what foods are healthy and unhealthy</w:t>
            </w:r>
            <w:r w:rsidR="00D171D5">
              <w:t xml:space="preserve"> </w:t>
            </w:r>
            <w:r w:rsidR="003F3628">
              <w:t xml:space="preserve">and I am able to include another area of learning effectively, then </w:t>
            </w:r>
            <w:r w:rsidR="0056141F">
              <w:t xml:space="preserve">the children are only going to benefit from this, and their progression will continue further. </w:t>
            </w:r>
            <w:r w:rsidR="00803EA2">
              <w:t>Trying to force areas of learning together is just as un-beneficial as only focusing on one area of learning</w:t>
            </w:r>
            <w:r w:rsidR="00715495">
              <w:t xml:space="preserve">. Finding the right balance is what I think is extremely important. </w:t>
            </w:r>
          </w:p>
        </w:tc>
      </w:tr>
      <w:tr w:rsidR="00B852D4" w14:paraId="39E0989C"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1BDE95" w14:textId="77777777" w:rsidR="00B852D4" w:rsidRDefault="00FD5952">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6FEFA" w14:textId="77777777" w:rsidR="00B852D4" w:rsidRDefault="0056141F">
            <w:r>
              <w:t xml:space="preserve">In the future, I will try and continue to link different areas of learning together </w:t>
            </w:r>
            <w:proofErr w:type="gramStart"/>
            <w:r>
              <w:t>in order to</w:t>
            </w:r>
            <w:proofErr w:type="gramEnd"/>
            <w:r>
              <w:t xml:space="preserve"> give the children a wider outlook and opportunity to progress and learn. </w:t>
            </w:r>
            <w:r w:rsidR="00F950BD">
              <w:t xml:space="preserve">However, making sure that the lessons are still fitting to their level is also important and if for example, in one lesson I cannot find a link between the areas of learning, then that is ok. </w:t>
            </w:r>
            <w:proofErr w:type="gramStart"/>
            <w:r w:rsidR="00F950BD">
              <w:t>As long as</w:t>
            </w:r>
            <w:proofErr w:type="gramEnd"/>
            <w:r w:rsidR="00F950BD">
              <w:t xml:space="preserve"> the children are learning and will </w:t>
            </w:r>
            <w:r w:rsidR="006C1AD3">
              <w:t xml:space="preserve">progress from this then that is what should be done. </w:t>
            </w:r>
          </w:p>
        </w:tc>
      </w:tr>
    </w:tbl>
    <w:p w14:paraId="5A81E0EC"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b/>
          <w:bCs/>
          <w:sz w:val="28"/>
          <w:szCs w:val="28"/>
          <w:bdr w:val="none" w:sz="0" w:space="0" w:color="auto"/>
          <w:lang w:val="en-GB"/>
        </w:rPr>
      </w:pPr>
      <w:r w:rsidRPr="0046401E">
        <w:rPr>
          <w:rFonts w:ascii="Calibri" w:eastAsia="Calibri" w:hAnsi="Calibri"/>
          <w:b/>
          <w:bCs/>
          <w:sz w:val="28"/>
          <w:szCs w:val="28"/>
          <w:bdr w:val="none" w:sz="0" w:space="0" w:color="auto"/>
          <w:lang w:val="en-GB"/>
        </w:rPr>
        <w:lastRenderedPageBreak/>
        <w:t xml:space="preserve">Critically reflect on your progress in planning, </w:t>
      </w:r>
      <w:proofErr w:type="gramStart"/>
      <w:r w:rsidRPr="0046401E">
        <w:rPr>
          <w:rFonts w:ascii="Calibri" w:eastAsia="Calibri" w:hAnsi="Calibri"/>
          <w:b/>
          <w:bCs/>
          <w:sz w:val="28"/>
          <w:szCs w:val="28"/>
          <w:bdr w:val="none" w:sz="0" w:space="0" w:color="auto"/>
          <w:lang w:val="en-GB"/>
        </w:rPr>
        <w:t>preparing</w:t>
      </w:r>
      <w:proofErr w:type="gramEnd"/>
      <w:r w:rsidRPr="0046401E">
        <w:rPr>
          <w:rFonts w:ascii="Calibri" w:eastAsia="Calibri" w:hAnsi="Calibri"/>
          <w:b/>
          <w:bCs/>
          <w:sz w:val="28"/>
          <w:szCs w:val="28"/>
          <w:bdr w:val="none" w:sz="0" w:space="0" w:color="auto"/>
          <w:lang w:val="en-GB"/>
        </w:rPr>
        <w:t xml:space="preserve"> and teaching lessons that incorporate specific pedagogical principles. (This evidence should be taken from you Professional Learning Passport –PLP.) Identify up to three of these pedagogical principles as an area for development and justify the next steps in your development.</w:t>
      </w:r>
    </w:p>
    <w:p w14:paraId="439E97B9" w14:textId="55A856F0"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Throughout this assignment, I will be focusing on a specific pedagogical principle I tried to use effectively during my third teaching placement. The pedagogical principle I will be focusing on is that </w:t>
      </w:r>
      <w:bookmarkStart w:id="0" w:name="_Hlk100321762"/>
      <w:r w:rsidRPr="0046401E">
        <w:rPr>
          <w:rFonts w:ascii="Calibri" w:eastAsia="Calibri" w:hAnsi="Calibri"/>
          <w:i/>
          <w:iCs/>
          <w:sz w:val="28"/>
          <w:szCs w:val="28"/>
          <w:bdr w:val="none" w:sz="0" w:space="0" w:color="auto"/>
          <w:lang w:val="en-GB"/>
        </w:rPr>
        <w:t>‘Good teaching and learning means employing assessment for learning principles.’</w:t>
      </w:r>
      <w:r w:rsidRPr="0046401E">
        <w:rPr>
          <w:rFonts w:ascii="Calibri" w:eastAsia="Calibri" w:hAnsi="Calibri"/>
          <w:sz w:val="28"/>
          <w:szCs w:val="28"/>
          <w:bdr w:val="none" w:sz="0" w:space="0" w:color="auto"/>
          <w:lang w:val="en-GB"/>
        </w:rPr>
        <w:t xml:space="preserve"> (Professor Graham Donaldson, 2015). </w:t>
      </w:r>
      <w:bookmarkEnd w:id="0"/>
      <w:r w:rsidRPr="0046401E">
        <w:rPr>
          <w:rFonts w:ascii="Calibri" w:eastAsia="Calibri" w:hAnsi="Calibri"/>
          <w:sz w:val="28"/>
          <w:szCs w:val="28"/>
          <w:bdr w:val="none" w:sz="0" w:space="0" w:color="auto"/>
          <w:lang w:val="en-GB"/>
        </w:rPr>
        <w:t>Professor Graham Donaldson states in his successful futures document (2015) that in previous years, a common issue within inspection reports was the need to improve the way teachers assess the children’s learning claiming around 40% of schools all had this problem highlighted when trying to use assessment to progress the students learning</w:t>
      </w:r>
      <w:r w:rsidR="003C2D84">
        <w:rPr>
          <w:rFonts w:ascii="Calibri" w:eastAsia="Calibri" w:hAnsi="Calibri"/>
          <w:sz w:val="28"/>
          <w:szCs w:val="28"/>
          <w:bdr w:val="none" w:sz="0" w:space="0" w:color="auto"/>
          <w:lang w:val="en-GB"/>
        </w:rPr>
        <w:t>.</w:t>
      </w:r>
      <w:r w:rsidRPr="0046401E">
        <w:rPr>
          <w:rFonts w:ascii="Calibri" w:eastAsia="Calibri" w:hAnsi="Calibri"/>
          <w:sz w:val="28"/>
          <w:szCs w:val="28"/>
          <w:bdr w:val="none" w:sz="0" w:space="0" w:color="auto"/>
          <w:lang w:val="en-GB"/>
        </w:rPr>
        <w:t xml:space="preserve"> As a future teacher, I believe that being able to use assessment in a beneficial way is extremely important and reading that according to Donaldson (2015) assessment is often seen as a hurdle for teachers helped make my decision on what pedagogical principle I wanted to focus on during my placement and throughout this assignment. </w:t>
      </w:r>
    </w:p>
    <w:p w14:paraId="362F73D1"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Assessment for learning is also seen as quite an important aspect when teaching. In Robert Coe et </w:t>
      </w:r>
      <w:proofErr w:type="spellStart"/>
      <w:r w:rsidRPr="0046401E">
        <w:rPr>
          <w:rFonts w:ascii="Calibri" w:eastAsia="Calibri" w:hAnsi="Calibri"/>
          <w:sz w:val="28"/>
          <w:szCs w:val="28"/>
          <w:bdr w:val="none" w:sz="0" w:space="0" w:color="auto"/>
          <w:lang w:val="en-GB"/>
        </w:rPr>
        <w:t>al’s</w:t>
      </w:r>
      <w:proofErr w:type="spellEnd"/>
      <w:r w:rsidRPr="0046401E">
        <w:rPr>
          <w:rFonts w:ascii="Calibri" w:eastAsia="Calibri" w:hAnsi="Calibri"/>
          <w:sz w:val="28"/>
          <w:szCs w:val="28"/>
          <w:bdr w:val="none" w:sz="0" w:space="0" w:color="auto"/>
          <w:lang w:val="en-GB"/>
        </w:rPr>
        <w:t xml:space="preserve"> (2020) evidence review on the great teaching toolkit, questioning is something teachers should be using in the classroom. Coe et al (2020) explain that when teachers use questioning as a learning technique in the right way </w:t>
      </w:r>
      <w:proofErr w:type="gramStart"/>
      <w:r w:rsidRPr="0046401E">
        <w:rPr>
          <w:rFonts w:ascii="Calibri" w:eastAsia="Calibri" w:hAnsi="Calibri"/>
          <w:sz w:val="28"/>
          <w:szCs w:val="28"/>
          <w:bdr w:val="none" w:sz="0" w:space="0" w:color="auto"/>
          <w:lang w:val="en-GB"/>
        </w:rPr>
        <w:t>i.e.</w:t>
      </w:r>
      <w:proofErr w:type="gramEnd"/>
      <w:r w:rsidRPr="0046401E">
        <w:rPr>
          <w:rFonts w:ascii="Calibri" w:eastAsia="Calibri" w:hAnsi="Calibri"/>
          <w:sz w:val="28"/>
          <w:szCs w:val="28"/>
          <w:bdr w:val="none" w:sz="0" w:space="0" w:color="auto"/>
          <w:lang w:val="en-GB"/>
        </w:rPr>
        <w:t xml:space="preserve"> asking meaningful questions which link to the learning, then children often progress further. They explain it is vital for a teacher to be asking questions throughout a child’s learning as it gives both the </w:t>
      </w:r>
      <w:r w:rsidRPr="0046401E">
        <w:rPr>
          <w:rFonts w:ascii="Calibri" w:eastAsia="Calibri" w:hAnsi="Calibri"/>
          <w:sz w:val="28"/>
          <w:szCs w:val="28"/>
          <w:bdr w:val="none" w:sz="0" w:space="0" w:color="auto"/>
          <w:lang w:val="en-GB"/>
        </w:rPr>
        <w:lastRenderedPageBreak/>
        <w:t xml:space="preserve">teacher and the child the opportunity to understand what they have learned, what they may not have understood during the lesson and what will need to be done for the child to progress further. Coe et al (2020) go on to explain that this is one-way teachers can assess a child’s learning, and if a teacher is able to ask questions throughout the lesson and use the answers to further progress the children’s learning, then this is a sign of a great teacher. </w:t>
      </w:r>
    </w:p>
    <w:p w14:paraId="557AEA12"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Graham Donaldson (2015) lists twelve pedagogical principles which according to him, if followed correctly provides teachers with an example of good teaching and learning and gives them a guide to follow when trying to become good teachers. Assessment is something which is embedded throughout school life for children and if used correctly can benefit them greatly. </w:t>
      </w:r>
    </w:p>
    <w:p w14:paraId="6772A9E0"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i/>
          <w:iCs/>
          <w:sz w:val="28"/>
          <w:szCs w:val="28"/>
          <w:bdr w:val="none" w:sz="0" w:space="0" w:color="auto"/>
          <w:lang w:val="en-GB"/>
        </w:rPr>
        <w:t>‘We focus on one aspect of teaching: formative assessment. But we will show that this feature is at the heart of effective teaching.’</w:t>
      </w:r>
      <w:r w:rsidRPr="0046401E">
        <w:rPr>
          <w:rFonts w:ascii="Calibri" w:eastAsia="Calibri" w:hAnsi="Calibri"/>
          <w:sz w:val="28"/>
          <w:szCs w:val="28"/>
          <w:bdr w:val="none" w:sz="0" w:space="0" w:color="auto"/>
          <w:lang w:val="en-GB"/>
        </w:rPr>
        <w:t xml:space="preserve"> (Black and </w:t>
      </w:r>
      <w:proofErr w:type="spellStart"/>
      <w:r w:rsidRPr="0046401E">
        <w:rPr>
          <w:rFonts w:ascii="Calibri" w:eastAsia="Calibri" w:hAnsi="Calibri"/>
          <w:sz w:val="28"/>
          <w:szCs w:val="28"/>
          <w:bdr w:val="none" w:sz="0" w:space="0" w:color="auto"/>
          <w:lang w:val="en-GB"/>
        </w:rPr>
        <w:t>Wiliam</w:t>
      </w:r>
      <w:proofErr w:type="spellEnd"/>
      <w:r w:rsidRPr="0046401E">
        <w:rPr>
          <w:rFonts w:ascii="Calibri" w:eastAsia="Calibri" w:hAnsi="Calibri"/>
          <w:sz w:val="28"/>
          <w:szCs w:val="28"/>
          <w:bdr w:val="none" w:sz="0" w:space="0" w:color="auto"/>
          <w:lang w:val="en-GB"/>
        </w:rPr>
        <w:t xml:space="preserve">, 2010) This quote by Paul </w:t>
      </w:r>
      <w:proofErr w:type="gramStart"/>
      <w:r w:rsidRPr="0046401E">
        <w:rPr>
          <w:rFonts w:ascii="Calibri" w:eastAsia="Calibri" w:hAnsi="Calibri"/>
          <w:sz w:val="28"/>
          <w:szCs w:val="28"/>
          <w:bdr w:val="none" w:sz="0" w:space="0" w:color="auto"/>
          <w:lang w:val="en-GB"/>
        </w:rPr>
        <w:t>Black</w:t>
      </w:r>
      <w:proofErr w:type="gramEnd"/>
      <w:r w:rsidRPr="0046401E">
        <w:rPr>
          <w:rFonts w:ascii="Calibri" w:eastAsia="Calibri" w:hAnsi="Calibri"/>
          <w:sz w:val="28"/>
          <w:szCs w:val="28"/>
          <w:bdr w:val="none" w:sz="0" w:space="0" w:color="auto"/>
          <w:lang w:val="en-GB"/>
        </w:rPr>
        <w:t xml:space="preserve"> and Dylan </w:t>
      </w:r>
      <w:proofErr w:type="spellStart"/>
      <w:r w:rsidRPr="0046401E">
        <w:rPr>
          <w:rFonts w:ascii="Calibri" w:eastAsia="Calibri" w:hAnsi="Calibri"/>
          <w:sz w:val="28"/>
          <w:szCs w:val="28"/>
          <w:bdr w:val="none" w:sz="0" w:space="0" w:color="auto"/>
          <w:lang w:val="en-GB"/>
        </w:rPr>
        <w:t>Wiliam</w:t>
      </w:r>
      <w:proofErr w:type="spellEnd"/>
      <w:r w:rsidRPr="0046401E">
        <w:rPr>
          <w:rFonts w:ascii="Calibri" w:eastAsia="Calibri" w:hAnsi="Calibri"/>
          <w:sz w:val="28"/>
          <w:szCs w:val="28"/>
          <w:bdr w:val="none" w:sz="0" w:space="0" w:color="auto"/>
          <w:lang w:val="en-GB"/>
        </w:rPr>
        <w:t xml:space="preserve"> shows how they believe although many different aspects combine to create a good teacher, formative assessment is one of the most important aspects. In Eleanor Armour-Thomas and Edmund W. Gordon’s (N.D) paper on assessment as a dynamic component of pedagogy, they introduce the Dynamic pedagogy model. They explain that the model marries instruction, assessment, and the curriculum together as they believe these three aspects of pedagogy create the best learning for pupils. Their Dynamic pedagogy model shows the importance of assessment as they believe it is one of the three key aspects when thinking of a good teacher. </w:t>
      </w:r>
    </w:p>
    <w:p w14:paraId="34EBE173"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Within the classroom, there are many different </w:t>
      </w:r>
      <w:proofErr w:type="gramStart"/>
      <w:r w:rsidRPr="0046401E">
        <w:rPr>
          <w:rFonts w:ascii="Calibri" w:eastAsia="Calibri" w:hAnsi="Calibri"/>
          <w:sz w:val="28"/>
          <w:szCs w:val="28"/>
          <w:bdr w:val="none" w:sz="0" w:space="0" w:color="auto"/>
          <w:lang w:val="en-GB"/>
        </w:rPr>
        <w:t>assessment</w:t>
      </w:r>
      <w:proofErr w:type="gramEnd"/>
      <w:r w:rsidRPr="0046401E">
        <w:rPr>
          <w:rFonts w:ascii="Calibri" w:eastAsia="Calibri" w:hAnsi="Calibri"/>
          <w:sz w:val="28"/>
          <w:szCs w:val="28"/>
          <w:bdr w:val="none" w:sz="0" w:space="0" w:color="auto"/>
          <w:lang w:val="en-GB"/>
        </w:rPr>
        <w:t xml:space="preserve"> for learning strategies which are tried and tested. Paul Black et al (2004) explain a few of these strategies. He talks about questioning as an assessment for learning strategy used within the classroom. Black et al (2004) goes on to explain that </w:t>
      </w:r>
      <w:r w:rsidRPr="0046401E">
        <w:rPr>
          <w:rFonts w:ascii="Calibri" w:eastAsia="Calibri" w:hAnsi="Calibri"/>
          <w:sz w:val="28"/>
          <w:szCs w:val="28"/>
          <w:bdr w:val="none" w:sz="0" w:space="0" w:color="auto"/>
          <w:lang w:val="en-GB"/>
        </w:rPr>
        <w:lastRenderedPageBreak/>
        <w:t>the way teachers use questioning is not beneficial to students’ progress as after asking a question, they do not give a substantial amount of time for the students to answer the questions leading to them either answering the question themselves or asking another question ignoring the first one asked. There are many different questioning techniques which are used throughout the classroom and Black et al (2004) explain that a teacher tried some of these techniques to improve questioning in the classroom. One the techniques mentioned was the ‘no hands up’ method. Black et al (2004) explains that when pupils are asked a question, they are encouraged not to put their hands up even if they do know the answer as they should all be ready to answer the question, even if their answer is simply ‘I am not sure.’ This technique ensures that pupils are always listening and engaged with the conversations and questions asked in case they are called upon to answer.</w:t>
      </w:r>
    </w:p>
    <w:p w14:paraId="5834C1E8" w14:textId="59EA9DC3"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During my time on my third placement, I felt that this assessment for learning strategy would not be as useful as it would be in an older classroom. I was in a nursery classroom therefor their understanding of answering questions varies to that of children in year</w:t>
      </w:r>
      <w:r w:rsidR="003C2D84">
        <w:rPr>
          <w:rFonts w:ascii="Calibri" w:eastAsia="Calibri" w:hAnsi="Calibri"/>
          <w:sz w:val="28"/>
          <w:szCs w:val="28"/>
          <w:bdr w:val="none" w:sz="0" w:space="0" w:color="auto"/>
          <w:lang w:val="en-GB"/>
        </w:rPr>
        <w:t>s 1</w:t>
      </w:r>
      <w:r w:rsidR="00BA3C8E">
        <w:rPr>
          <w:rFonts w:ascii="Calibri" w:eastAsia="Calibri" w:hAnsi="Calibri"/>
          <w:sz w:val="28"/>
          <w:szCs w:val="28"/>
          <w:bdr w:val="none" w:sz="0" w:space="0" w:color="auto"/>
          <w:lang w:val="en-GB"/>
        </w:rPr>
        <w:t xml:space="preserve"> and 2 </w:t>
      </w:r>
      <w:r w:rsidRPr="0046401E">
        <w:rPr>
          <w:rFonts w:ascii="Calibri" w:eastAsia="Calibri" w:hAnsi="Calibri"/>
          <w:sz w:val="28"/>
          <w:szCs w:val="28"/>
          <w:bdr w:val="none" w:sz="0" w:space="0" w:color="auto"/>
          <w:lang w:val="en-GB"/>
        </w:rPr>
        <w:t xml:space="preserve">and key stage 2. Matt </w:t>
      </w:r>
      <w:proofErr w:type="spellStart"/>
      <w:r w:rsidRPr="0046401E">
        <w:rPr>
          <w:rFonts w:ascii="Calibri" w:eastAsia="Calibri" w:hAnsi="Calibri"/>
          <w:sz w:val="28"/>
          <w:szCs w:val="28"/>
          <w:bdr w:val="none" w:sz="0" w:space="0" w:color="auto"/>
          <w:lang w:val="en-GB"/>
        </w:rPr>
        <w:t>Arnerich</w:t>
      </w:r>
      <w:proofErr w:type="spellEnd"/>
      <w:r w:rsidRPr="0046401E">
        <w:rPr>
          <w:rFonts w:ascii="Calibri" w:eastAsia="Calibri" w:hAnsi="Calibri"/>
          <w:sz w:val="28"/>
          <w:szCs w:val="28"/>
          <w:bdr w:val="none" w:sz="0" w:space="0" w:color="auto"/>
          <w:lang w:val="en-GB"/>
        </w:rPr>
        <w:t xml:space="preserve"> (2020) explains that in the early years, questioning can be used as an assessment for learning strategy if the questions are open ended. He explains that this gives the children the opportunity to explore in depth what they are learning and gives them chance to figure out things independently. </w:t>
      </w:r>
      <w:proofErr w:type="spellStart"/>
      <w:r w:rsidRPr="0046401E">
        <w:rPr>
          <w:rFonts w:ascii="Calibri" w:eastAsia="Calibri" w:hAnsi="Calibri"/>
          <w:sz w:val="28"/>
          <w:szCs w:val="28"/>
          <w:bdr w:val="none" w:sz="0" w:space="0" w:color="auto"/>
          <w:lang w:val="en-GB"/>
        </w:rPr>
        <w:t>Arnerich</w:t>
      </w:r>
      <w:proofErr w:type="spellEnd"/>
      <w:r w:rsidRPr="0046401E">
        <w:rPr>
          <w:rFonts w:ascii="Calibri" w:eastAsia="Calibri" w:hAnsi="Calibri"/>
          <w:sz w:val="28"/>
          <w:szCs w:val="28"/>
          <w:bdr w:val="none" w:sz="0" w:space="0" w:color="auto"/>
          <w:lang w:val="en-GB"/>
        </w:rPr>
        <w:t xml:space="preserve"> (2020) explains however, that some children in the early years may not be ready for the use of questions in this way, so ensuring you know your children is a key factor when using this technique. Keeping this in mind during my placement, I tried to continuously question the children throughout their lessons but using open ended questions, for example, during one of my lessons I decided to create a feely bag using objects which related to our topic of doctors and nurses. I </w:t>
      </w:r>
      <w:r w:rsidRPr="0046401E">
        <w:rPr>
          <w:rFonts w:ascii="Calibri" w:eastAsia="Calibri" w:hAnsi="Calibri"/>
          <w:sz w:val="28"/>
          <w:szCs w:val="28"/>
          <w:bdr w:val="none" w:sz="0" w:space="0" w:color="auto"/>
          <w:lang w:val="en-GB"/>
        </w:rPr>
        <w:lastRenderedPageBreak/>
        <w:t>would pull out the objects and ask them questions like ‘what is this object?’ ‘</w:t>
      </w:r>
      <w:proofErr w:type="gramStart"/>
      <w:r w:rsidRPr="0046401E">
        <w:rPr>
          <w:rFonts w:ascii="Calibri" w:eastAsia="Calibri" w:hAnsi="Calibri"/>
          <w:sz w:val="28"/>
          <w:szCs w:val="28"/>
          <w:bdr w:val="none" w:sz="0" w:space="0" w:color="auto"/>
          <w:lang w:val="en-GB"/>
        </w:rPr>
        <w:t>what</w:t>
      </w:r>
      <w:proofErr w:type="gramEnd"/>
      <w:r w:rsidRPr="0046401E">
        <w:rPr>
          <w:rFonts w:ascii="Calibri" w:eastAsia="Calibri" w:hAnsi="Calibri"/>
          <w:sz w:val="28"/>
          <w:szCs w:val="28"/>
          <w:bdr w:val="none" w:sz="0" w:space="0" w:color="auto"/>
          <w:lang w:val="en-GB"/>
        </w:rPr>
        <w:t xml:space="preserve"> is the object used for?’ ‘</w:t>
      </w:r>
      <w:proofErr w:type="gramStart"/>
      <w:r w:rsidRPr="0046401E">
        <w:rPr>
          <w:rFonts w:ascii="Calibri" w:eastAsia="Calibri" w:hAnsi="Calibri"/>
          <w:sz w:val="28"/>
          <w:szCs w:val="28"/>
          <w:bdr w:val="none" w:sz="0" w:space="0" w:color="auto"/>
          <w:lang w:val="en-GB"/>
        </w:rPr>
        <w:t>who</w:t>
      </w:r>
      <w:proofErr w:type="gramEnd"/>
      <w:r w:rsidRPr="0046401E">
        <w:rPr>
          <w:rFonts w:ascii="Calibri" w:eastAsia="Calibri" w:hAnsi="Calibri"/>
          <w:sz w:val="28"/>
          <w:szCs w:val="28"/>
          <w:bdr w:val="none" w:sz="0" w:space="0" w:color="auto"/>
          <w:lang w:val="en-GB"/>
        </w:rPr>
        <w:t xml:space="preserve"> uses this object?’ etc to ensure they were fully engaged with the activity and had an opportunity to discuss what they thought the topic/objects represented. </w:t>
      </w:r>
    </w:p>
    <w:p w14:paraId="7AFFC5E8"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Another assessment for learning strategy which Black et al (2004) talk about is that of peer and self-assessment. Black et al explains that children can only achieve a specific learning goal if they understand what they need to do to achieve the goal therefor, </w:t>
      </w:r>
      <w:r w:rsidRPr="0046401E">
        <w:rPr>
          <w:rFonts w:ascii="Calibri" w:eastAsia="Calibri" w:hAnsi="Calibri"/>
          <w:i/>
          <w:iCs/>
          <w:sz w:val="28"/>
          <w:szCs w:val="28"/>
          <w:bdr w:val="none" w:sz="0" w:space="0" w:color="auto"/>
          <w:lang w:val="en-GB"/>
        </w:rPr>
        <w:t xml:space="preserve">‘…self-assessment is essential to learning.’ </w:t>
      </w:r>
      <w:r w:rsidRPr="0046401E">
        <w:rPr>
          <w:rFonts w:ascii="Calibri" w:eastAsia="Calibri" w:hAnsi="Calibri"/>
          <w:sz w:val="28"/>
          <w:szCs w:val="28"/>
          <w:bdr w:val="none" w:sz="0" w:space="0" w:color="auto"/>
          <w:lang w:val="en-GB"/>
        </w:rPr>
        <w:t xml:space="preserve">(Black et al, 2004). Black et al (2004) explain that the use of self-assessment can be quite difficult for students to understand if their teachers are not willing to help them, especially students at a lower ability. </w:t>
      </w:r>
      <w:r w:rsidRPr="0046401E">
        <w:rPr>
          <w:rFonts w:ascii="Calibri" w:eastAsia="Calibri" w:hAnsi="Calibri"/>
          <w:i/>
          <w:iCs/>
          <w:sz w:val="28"/>
          <w:szCs w:val="28"/>
          <w:bdr w:val="none" w:sz="0" w:space="0" w:color="auto"/>
          <w:lang w:val="en-GB"/>
        </w:rPr>
        <w:t>‘I think the process is more effective long term. If you invest time in it, it will pay off…’</w:t>
      </w:r>
      <w:r w:rsidRPr="0046401E">
        <w:rPr>
          <w:rFonts w:ascii="Calibri" w:eastAsia="Calibri" w:hAnsi="Calibri"/>
          <w:sz w:val="28"/>
          <w:szCs w:val="28"/>
          <w:bdr w:val="none" w:sz="0" w:space="0" w:color="auto"/>
          <w:lang w:val="en-GB"/>
        </w:rPr>
        <w:t xml:space="preserve"> (Tom, Riverside School as cited in Black et al 2004). This opinion shown by a </w:t>
      </w:r>
      <w:proofErr w:type="gramStart"/>
      <w:r w:rsidRPr="0046401E">
        <w:rPr>
          <w:rFonts w:ascii="Calibri" w:eastAsia="Calibri" w:hAnsi="Calibri"/>
          <w:sz w:val="28"/>
          <w:szCs w:val="28"/>
          <w:bdr w:val="none" w:sz="0" w:space="0" w:color="auto"/>
          <w:lang w:val="en-GB"/>
        </w:rPr>
        <w:t>school teacher</w:t>
      </w:r>
      <w:proofErr w:type="gramEnd"/>
      <w:r w:rsidRPr="0046401E">
        <w:rPr>
          <w:rFonts w:ascii="Calibri" w:eastAsia="Calibri" w:hAnsi="Calibri"/>
          <w:sz w:val="28"/>
          <w:szCs w:val="28"/>
          <w:bdr w:val="none" w:sz="0" w:space="0" w:color="auto"/>
          <w:lang w:val="en-GB"/>
        </w:rPr>
        <w:t xml:space="preserve"> demonstrates some of the opinions on self-assessment and how it is used within the classroom. If the assessment for learning strategy is not used correctly, then the benefits from it will not be fully seen. If teachers are not engaged in showing their pupils how to self-assess affectively, then them self-assessing their own work will not gain the progress and benefits expected when using self-assessment. Some of these benefits according to the University of Reading (N.D) include consolidating the learning that they have already done ensuring they fully understand what they have previously learned. Another benefit also includes improving student engagement. The University of Reading (N.D) that the discussion which can occur when conducting self-assessment can encourage pupils to discuss in depth with each other and their teachers about what they have learned and what they may need to do to further progress this learning. </w:t>
      </w:r>
    </w:p>
    <w:p w14:paraId="41585350"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lastRenderedPageBreak/>
        <w:t xml:space="preserve">Black et al (2004) suggest a simple self-assessment strategy to use within the classroom which is to use a ‘traffic light system’. This strategy makes the children label their work in terms of colours e.g., if they labelled their work green then the fully understood what they have learned. If they labelled their work amber, then they believe they may understand the majority but need to go over the topic in a bit more detail to fully grasp the concept. If they labelled their work red, then they believe they do not understand what they have learned and will need to reiterate the learning again. </w:t>
      </w:r>
    </w:p>
    <w:p w14:paraId="7480EB9E"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i/>
          <w:iCs/>
          <w:sz w:val="28"/>
          <w:szCs w:val="28"/>
          <w:bdr w:val="none" w:sz="0" w:space="0" w:color="auto"/>
          <w:lang w:val="en-GB"/>
        </w:rPr>
        <w:t>‘Students’ reflection about their understanding can also be used to inform future teaching, and their feedback can indicate in which areas a teacher needs to spend more time.’</w:t>
      </w:r>
      <w:r w:rsidRPr="0046401E">
        <w:rPr>
          <w:rFonts w:ascii="Calibri" w:eastAsia="Calibri" w:hAnsi="Calibri"/>
          <w:sz w:val="28"/>
          <w:szCs w:val="28"/>
          <w:bdr w:val="none" w:sz="0" w:space="0" w:color="auto"/>
          <w:lang w:val="en-GB"/>
        </w:rPr>
        <w:t xml:space="preserve"> (Black et al, 2004). Using a self-assessment strategy like the ‘traffic light system’ can help the progression of a child’s learning as the feedback they give can guide a teacher into future learning and what a specific child may need to do to fully understand and engage in their learning. this quote from Black et al also links with another one of the twelve pedagogical principles which is, </w:t>
      </w:r>
      <w:r w:rsidRPr="0046401E">
        <w:rPr>
          <w:rFonts w:ascii="Calibri" w:eastAsia="Calibri" w:hAnsi="Calibri"/>
          <w:i/>
          <w:iCs/>
          <w:sz w:val="28"/>
          <w:szCs w:val="28"/>
          <w:bdr w:val="none" w:sz="0" w:space="0" w:color="auto"/>
          <w:lang w:val="en-GB"/>
        </w:rPr>
        <w:t xml:space="preserve">‘Good teaching and learning sets tasks and selects resources that build on previous knowledge and experience and engage interest.’ </w:t>
      </w:r>
      <w:r w:rsidRPr="0046401E">
        <w:rPr>
          <w:rFonts w:ascii="Calibri" w:eastAsia="Calibri" w:hAnsi="Calibri"/>
          <w:sz w:val="28"/>
          <w:szCs w:val="28"/>
          <w:bdr w:val="none" w:sz="0" w:space="0" w:color="auto"/>
          <w:lang w:val="en-GB"/>
        </w:rPr>
        <w:t xml:space="preserve"> (Professor Graham Donaldson, 2015). These two pedagogical principles link together as using self-assessment as an assessment for learning strategy ensures that a teacher knows where the child is at in terms of their understanding and knowledge of a subject and what needs to be done to push that child further in their progression and learning.</w:t>
      </w:r>
    </w:p>
    <w:p w14:paraId="10DBF826"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Taking into consideration Black et </w:t>
      </w:r>
      <w:proofErr w:type="spellStart"/>
      <w:r w:rsidRPr="0046401E">
        <w:rPr>
          <w:rFonts w:ascii="Calibri" w:eastAsia="Calibri" w:hAnsi="Calibri"/>
          <w:sz w:val="28"/>
          <w:szCs w:val="28"/>
          <w:bdr w:val="none" w:sz="0" w:space="0" w:color="auto"/>
          <w:lang w:val="en-GB"/>
        </w:rPr>
        <w:t>al’s</w:t>
      </w:r>
      <w:proofErr w:type="spellEnd"/>
      <w:r w:rsidRPr="0046401E">
        <w:rPr>
          <w:rFonts w:ascii="Calibri" w:eastAsia="Calibri" w:hAnsi="Calibri"/>
          <w:sz w:val="28"/>
          <w:szCs w:val="28"/>
          <w:bdr w:val="none" w:sz="0" w:space="0" w:color="auto"/>
          <w:lang w:val="en-GB"/>
        </w:rPr>
        <w:t xml:space="preserve"> (2004) suggestion of using a ‘traffic light system’ in class </w:t>
      </w:r>
      <w:proofErr w:type="gramStart"/>
      <w:r w:rsidRPr="0046401E">
        <w:rPr>
          <w:rFonts w:ascii="Calibri" w:eastAsia="Calibri" w:hAnsi="Calibri"/>
          <w:sz w:val="28"/>
          <w:szCs w:val="28"/>
          <w:bdr w:val="none" w:sz="0" w:space="0" w:color="auto"/>
          <w:lang w:val="en-GB"/>
        </w:rPr>
        <w:t>in order for</w:t>
      </w:r>
      <w:proofErr w:type="gramEnd"/>
      <w:r w:rsidRPr="0046401E">
        <w:rPr>
          <w:rFonts w:ascii="Calibri" w:eastAsia="Calibri" w:hAnsi="Calibri"/>
          <w:sz w:val="28"/>
          <w:szCs w:val="28"/>
          <w:bdr w:val="none" w:sz="0" w:space="0" w:color="auto"/>
          <w:lang w:val="en-GB"/>
        </w:rPr>
        <w:t xml:space="preserve"> pupils to self-assess, I decided to use this during my time at my third placement school. I planned a PE/ English lesson based on their topic which was Valentine’s Day. I hid letters around the hall which when </w:t>
      </w:r>
      <w:r w:rsidRPr="0046401E">
        <w:rPr>
          <w:rFonts w:ascii="Calibri" w:eastAsia="Calibri" w:hAnsi="Calibri"/>
          <w:sz w:val="28"/>
          <w:szCs w:val="28"/>
          <w:bdr w:val="none" w:sz="0" w:space="0" w:color="auto"/>
          <w:lang w:val="en-GB"/>
        </w:rPr>
        <w:lastRenderedPageBreak/>
        <w:t xml:space="preserve">put together spelled ‘love’. The children then had to find the letters around the room together and bring them back to the circle to create the word together. After the lesson was over, I placed three faces on the floor one which was green, one amber and one red. This was based on the concept Black et al (2004) mentioned. I then explained what the faces and colours meant and asked the children to walk to whichever colour/face they felt they wanted to or should go too. I did it this way as I tried to keep in mind that the children in my class were only three to four years old and, most of the children in my class were at a lower ability. My teacher also made it aware to me that usually in her nursery classroom, she does try and include self-assessment in some aspects of the children’s learning however, she feels the children are not at a level yet to fully understand what and why they are doing it. Angela Cameron (2010) claims in her research on self-assessment in the early years that young children do have the ability to self-assess, however, it is only possible if the adults and the environment around them are there to support and encourage them to do this. Cameron (2010) also explains that the continual use of positive language and modelling is what will help give the children the right skills and tools to be able to self-evaluate their own work effectively. If it is introduced to them at a young age, it will become a part of their day-to-day routine. </w:t>
      </w:r>
    </w:p>
    <w:p w14:paraId="61CB8512"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During my lesson using the ‘traffic light system’ as a form of self-assessment, I found the children enjoyed rating how they felt the lesson went for them and how much they understood and learned. However, from my observation of the lesson, I did find that most of the children did rate how they understood the lesson at the same level as what I would have rated their understanding. For example, a child at quite a lower ability could not spell out the word ‘love’ when all the letters were brought back to the circle, however, when asked to </w:t>
      </w:r>
      <w:r w:rsidRPr="0046401E">
        <w:rPr>
          <w:rFonts w:ascii="Calibri" w:eastAsia="Calibri" w:hAnsi="Calibri"/>
          <w:sz w:val="28"/>
          <w:szCs w:val="28"/>
          <w:bdr w:val="none" w:sz="0" w:space="0" w:color="auto"/>
          <w:lang w:val="en-GB"/>
        </w:rPr>
        <w:lastRenderedPageBreak/>
        <w:t xml:space="preserve">walk to the colour/face they felt matched their understanding, they walked to the green face. This indicates to me that the child did not fully understand the concept of what I had asked them to do and probably went to that colour/face because they liked the look of it, or their friend went there. This showed me that the concept of using the ‘traffic light system’ and using this assessment for learning strategy in the early years could be used effectively if it was continually used throughout the children’s everyday routine within school. </w:t>
      </w:r>
    </w:p>
    <w:p w14:paraId="57BCF761" w14:textId="4CA9CAC4"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When on my placement, the importance of planning the lessons I would teach was carefully considered throughout. </w:t>
      </w:r>
      <w:r w:rsidRPr="0046401E">
        <w:rPr>
          <w:rFonts w:ascii="Calibri" w:eastAsia="Calibri" w:hAnsi="Calibri"/>
          <w:i/>
          <w:iCs/>
          <w:sz w:val="28"/>
          <w:szCs w:val="28"/>
          <w:bdr w:val="none" w:sz="0" w:space="0" w:color="auto"/>
          <w:lang w:val="en-GB"/>
        </w:rPr>
        <w:t>‘Lesson planning is at the heart of being an effective teacher. It is a creative process that allows us to synthesize our understanding of second language acquisition and language teaching pedagogy with our knowledge of our learners, the curriculum, and the teaching context.’</w:t>
      </w:r>
      <w:r w:rsidRPr="0046401E">
        <w:rPr>
          <w:rFonts w:ascii="Calibri" w:eastAsia="Calibri" w:hAnsi="Calibri"/>
          <w:sz w:val="28"/>
          <w:szCs w:val="28"/>
          <w:bdr w:val="none" w:sz="0" w:space="0" w:color="auto"/>
          <w:lang w:val="en-GB"/>
        </w:rPr>
        <w:t xml:space="preserve"> (The </w:t>
      </w:r>
      <w:proofErr w:type="spellStart"/>
      <w:r w:rsidRPr="0046401E">
        <w:rPr>
          <w:rFonts w:ascii="Calibri" w:eastAsia="Calibri" w:hAnsi="Calibri"/>
          <w:sz w:val="28"/>
          <w:szCs w:val="28"/>
          <w:bdr w:val="none" w:sz="0" w:space="0" w:color="auto"/>
          <w:lang w:val="en-GB"/>
        </w:rPr>
        <w:t>Importacne</w:t>
      </w:r>
      <w:proofErr w:type="spellEnd"/>
      <w:r w:rsidRPr="0046401E">
        <w:rPr>
          <w:rFonts w:ascii="Calibri" w:eastAsia="Calibri" w:hAnsi="Calibri"/>
          <w:sz w:val="28"/>
          <w:szCs w:val="28"/>
          <w:bdr w:val="none" w:sz="0" w:space="0" w:color="auto"/>
          <w:lang w:val="en-GB"/>
        </w:rPr>
        <w:t xml:space="preserve"> </w:t>
      </w:r>
      <w:proofErr w:type="gramStart"/>
      <w:r w:rsidRPr="0046401E">
        <w:rPr>
          <w:rFonts w:ascii="Calibri" w:eastAsia="Calibri" w:hAnsi="Calibri"/>
          <w:sz w:val="28"/>
          <w:szCs w:val="28"/>
          <w:bdr w:val="none" w:sz="0" w:space="0" w:color="auto"/>
          <w:lang w:val="en-GB"/>
        </w:rPr>
        <w:t>Of</w:t>
      </w:r>
      <w:proofErr w:type="gramEnd"/>
      <w:r w:rsidRPr="0046401E">
        <w:rPr>
          <w:rFonts w:ascii="Calibri" w:eastAsia="Calibri" w:hAnsi="Calibri"/>
          <w:sz w:val="28"/>
          <w:szCs w:val="28"/>
          <w:bdr w:val="none" w:sz="0" w:space="0" w:color="auto"/>
          <w:lang w:val="en-GB"/>
        </w:rPr>
        <w:t xml:space="preserve"> Planning, n.d.) This quote shows the significance of planning each lesson effectively to ensure each pupil </w:t>
      </w:r>
      <w:proofErr w:type="gramStart"/>
      <w:r w:rsidRPr="0046401E">
        <w:rPr>
          <w:rFonts w:ascii="Calibri" w:eastAsia="Calibri" w:hAnsi="Calibri"/>
          <w:sz w:val="28"/>
          <w:szCs w:val="28"/>
          <w:bdr w:val="none" w:sz="0" w:space="0" w:color="auto"/>
          <w:lang w:val="en-GB"/>
        </w:rPr>
        <w:t>has the opportunity to</w:t>
      </w:r>
      <w:proofErr w:type="gramEnd"/>
      <w:r w:rsidRPr="0046401E">
        <w:rPr>
          <w:rFonts w:ascii="Calibri" w:eastAsia="Calibri" w:hAnsi="Calibri"/>
          <w:sz w:val="28"/>
          <w:szCs w:val="28"/>
          <w:bdr w:val="none" w:sz="0" w:space="0" w:color="auto"/>
          <w:lang w:val="en-GB"/>
        </w:rPr>
        <w:t xml:space="preserve"> progress further in their education. The University of Wales Trinity Saint David (UWTSD) (2022) explain that the decisions made about the lessons being planned should be based upon the individuality of each child in the classroom and what the teacher already knows </w:t>
      </w:r>
      <w:r w:rsidR="008612DA">
        <w:rPr>
          <w:rFonts w:ascii="Calibri" w:eastAsia="Calibri" w:hAnsi="Calibri"/>
          <w:sz w:val="28"/>
          <w:szCs w:val="28"/>
          <w:bdr w:val="none" w:sz="0" w:space="0" w:color="auto"/>
          <w:lang w:val="en-GB"/>
        </w:rPr>
        <w:t xml:space="preserve">that </w:t>
      </w:r>
      <w:r w:rsidRPr="0046401E">
        <w:rPr>
          <w:rFonts w:ascii="Calibri" w:eastAsia="Calibri" w:hAnsi="Calibri"/>
          <w:sz w:val="28"/>
          <w:szCs w:val="28"/>
          <w:bdr w:val="none" w:sz="0" w:space="0" w:color="auto"/>
          <w:lang w:val="en-GB"/>
        </w:rPr>
        <w:t xml:space="preserve">they have learned and what they understand about a certain topic, and what they need to learn to progress further. </w:t>
      </w:r>
    </w:p>
    <w:p w14:paraId="73131822" w14:textId="77777777" w:rsidR="005A3FB1"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Throughout my time on placement, I decided to plan my lessons based on Doug </w:t>
      </w:r>
      <w:proofErr w:type="spellStart"/>
      <w:r w:rsidRPr="0046401E">
        <w:rPr>
          <w:rFonts w:ascii="Calibri" w:eastAsia="Calibri" w:hAnsi="Calibri"/>
          <w:sz w:val="28"/>
          <w:szCs w:val="28"/>
          <w:bdr w:val="none" w:sz="0" w:space="0" w:color="auto"/>
          <w:lang w:val="en-GB"/>
        </w:rPr>
        <w:t>Lemov’s</w:t>
      </w:r>
      <w:proofErr w:type="spellEnd"/>
      <w:r w:rsidRPr="0046401E">
        <w:rPr>
          <w:rFonts w:ascii="Calibri" w:eastAsia="Calibri" w:hAnsi="Calibri"/>
          <w:sz w:val="28"/>
          <w:szCs w:val="28"/>
          <w:bdr w:val="none" w:sz="0" w:space="0" w:color="auto"/>
          <w:lang w:val="en-GB"/>
        </w:rPr>
        <w:t xml:space="preserve"> (2010) theory of ‘start with the end.’ </w:t>
      </w:r>
      <w:proofErr w:type="spellStart"/>
      <w:r w:rsidRPr="0046401E">
        <w:rPr>
          <w:rFonts w:ascii="Calibri" w:eastAsia="Calibri" w:hAnsi="Calibri"/>
          <w:sz w:val="28"/>
          <w:szCs w:val="28"/>
          <w:bdr w:val="none" w:sz="0" w:space="0" w:color="auto"/>
          <w:lang w:val="en-GB"/>
        </w:rPr>
        <w:t>Lemov</w:t>
      </w:r>
      <w:proofErr w:type="spellEnd"/>
      <w:r w:rsidRPr="0046401E">
        <w:rPr>
          <w:rFonts w:ascii="Calibri" w:eastAsia="Calibri" w:hAnsi="Calibri"/>
          <w:sz w:val="28"/>
          <w:szCs w:val="28"/>
          <w:bdr w:val="none" w:sz="0" w:space="0" w:color="auto"/>
          <w:lang w:val="en-GB"/>
        </w:rPr>
        <w:t xml:space="preserve"> suggests beginning planning by creating a unit plan and deciding the objects within that unit for their children to reach the intended goal at the end and what they ultimately want the children to learn. Once the objectives and goals have been decided, teachers should then think about when the children do achieve these goals, </w:t>
      </w:r>
      <w:r w:rsidRPr="0046401E">
        <w:rPr>
          <w:rFonts w:ascii="Calibri" w:eastAsia="Calibri" w:hAnsi="Calibri"/>
          <w:sz w:val="28"/>
          <w:szCs w:val="28"/>
          <w:bdr w:val="none" w:sz="0" w:space="0" w:color="auto"/>
          <w:lang w:val="en-GB"/>
        </w:rPr>
        <w:lastRenderedPageBreak/>
        <w:t xml:space="preserve">how they will be assessed. Finally, once all the objectives and assessments are thought of, teachers are then able to think about individual activities and lessons </w:t>
      </w:r>
      <w:r w:rsidR="008612DA">
        <w:rPr>
          <w:rFonts w:ascii="Calibri" w:eastAsia="Calibri" w:hAnsi="Calibri"/>
          <w:sz w:val="28"/>
          <w:szCs w:val="28"/>
          <w:bdr w:val="none" w:sz="0" w:space="0" w:color="auto"/>
          <w:lang w:val="en-GB"/>
        </w:rPr>
        <w:t>to ensure</w:t>
      </w:r>
      <w:r w:rsidRPr="0046401E">
        <w:rPr>
          <w:rFonts w:ascii="Calibri" w:eastAsia="Calibri" w:hAnsi="Calibri"/>
          <w:sz w:val="28"/>
          <w:szCs w:val="28"/>
          <w:bdr w:val="none" w:sz="0" w:space="0" w:color="auto"/>
          <w:lang w:val="en-GB"/>
        </w:rPr>
        <w:t xml:space="preserve"> their pupils reach the desired goals. UWTSD (2022) synthesis these steps and explain that </w:t>
      </w:r>
      <w:proofErr w:type="gramStart"/>
      <w:r w:rsidRPr="0046401E">
        <w:rPr>
          <w:rFonts w:ascii="Calibri" w:eastAsia="Calibri" w:hAnsi="Calibri"/>
          <w:sz w:val="28"/>
          <w:szCs w:val="28"/>
          <w:bdr w:val="none" w:sz="0" w:space="0" w:color="auto"/>
          <w:lang w:val="en-GB"/>
        </w:rPr>
        <w:t>in order for</w:t>
      </w:r>
      <w:proofErr w:type="gramEnd"/>
      <w:r w:rsidRPr="0046401E">
        <w:rPr>
          <w:rFonts w:ascii="Calibri" w:eastAsia="Calibri" w:hAnsi="Calibri"/>
          <w:sz w:val="28"/>
          <w:szCs w:val="28"/>
          <w:bdr w:val="none" w:sz="0" w:space="0" w:color="auto"/>
          <w:lang w:val="en-GB"/>
        </w:rPr>
        <w:t xml:space="preserve"> teachers to plan effectively using </w:t>
      </w:r>
      <w:proofErr w:type="spellStart"/>
      <w:r w:rsidRPr="0046401E">
        <w:rPr>
          <w:rFonts w:ascii="Calibri" w:eastAsia="Calibri" w:hAnsi="Calibri"/>
          <w:sz w:val="28"/>
          <w:szCs w:val="28"/>
          <w:bdr w:val="none" w:sz="0" w:space="0" w:color="auto"/>
          <w:lang w:val="en-GB"/>
        </w:rPr>
        <w:t>Lemov’s</w:t>
      </w:r>
      <w:proofErr w:type="spellEnd"/>
      <w:r w:rsidRPr="0046401E">
        <w:rPr>
          <w:rFonts w:ascii="Calibri" w:eastAsia="Calibri" w:hAnsi="Calibri"/>
          <w:sz w:val="28"/>
          <w:szCs w:val="28"/>
          <w:bdr w:val="none" w:sz="0" w:space="0" w:color="auto"/>
          <w:lang w:val="en-GB"/>
        </w:rPr>
        <w:t xml:space="preserve"> idea, teachers should focus on the following aspects: the lessons learning objective, the success criteria, assessment and differentiation. UTWSD (2022) suggest that if these steps are followed correctly, then teachers should be able to plan effectively. </w:t>
      </w:r>
    </w:p>
    <w:p w14:paraId="076B170A" w14:textId="244B2D3C"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During my time on my third placement, I did try and follow these steps to plan my lessons. I believe the last two points, assessment and differentiation were continuously thought about throughout my lessons. I was in a class full of mixed ability children therefor when planning my lessons, I had to ensure all pupils were considered and if I thought certain activities or topics were at too high of a level for some pupils, I would ensure easier options were available to those children. I also continuously ensured assessment for learning strategies were involved in my lessons throughout my placement like the example above of using the ‘traffic light system’ to measure pupils understanding and progression. The lessons learning objectives and success criteria were always planned before my lessons as this made it easier for me to know what I was going to teach and the lessons/resources I would need </w:t>
      </w:r>
      <w:proofErr w:type="gramStart"/>
      <w:r w:rsidRPr="0046401E">
        <w:rPr>
          <w:rFonts w:ascii="Calibri" w:eastAsia="Calibri" w:hAnsi="Calibri"/>
          <w:sz w:val="28"/>
          <w:szCs w:val="28"/>
          <w:bdr w:val="none" w:sz="0" w:space="0" w:color="auto"/>
          <w:lang w:val="en-GB"/>
        </w:rPr>
        <w:t>in order to</w:t>
      </w:r>
      <w:proofErr w:type="gramEnd"/>
      <w:r w:rsidRPr="0046401E">
        <w:rPr>
          <w:rFonts w:ascii="Calibri" w:eastAsia="Calibri" w:hAnsi="Calibri"/>
          <w:sz w:val="28"/>
          <w:szCs w:val="28"/>
          <w:bdr w:val="none" w:sz="0" w:space="0" w:color="auto"/>
          <w:lang w:val="en-GB"/>
        </w:rPr>
        <w:t xml:space="preserve"> achieve the objectives. </w:t>
      </w:r>
      <w:r w:rsidRPr="0046401E">
        <w:rPr>
          <w:rFonts w:ascii="Calibri" w:eastAsia="Calibri" w:hAnsi="Calibri"/>
          <w:i/>
          <w:iCs/>
          <w:sz w:val="28"/>
          <w:szCs w:val="28"/>
          <w:bdr w:val="none" w:sz="0" w:space="0" w:color="auto"/>
          <w:lang w:val="en-GB"/>
        </w:rPr>
        <w:t>‘The aims and objectives of any assignment must be clearly understood by both the teacher and the learner. You can help by providing ‘success criteria’ before your learners start work.’</w:t>
      </w:r>
      <w:r w:rsidRPr="0046401E">
        <w:rPr>
          <w:rFonts w:ascii="Calibri" w:eastAsia="Calibri" w:hAnsi="Calibri"/>
          <w:sz w:val="28"/>
          <w:szCs w:val="28"/>
          <w:bdr w:val="none" w:sz="0" w:space="0" w:color="auto"/>
          <w:lang w:val="en-GB"/>
        </w:rPr>
        <w:t xml:space="preserve"> (Getting started with Assessment for Learning, n.d.) This quote shows that although it is paramount for teachers to know the learning objectives and success criteria of the lessons, it is also important for the children to know and understand what they need to be achieving. Keeping this in mind throughout my placement, each lesson I </w:t>
      </w:r>
      <w:r w:rsidRPr="0046401E">
        <w:rPr>
          <w:rFonts w:ascii="Calibri" w:eastAsia="Calibri" w:hAnsi="Calibri"/>
          <w:sz w:val="28"/>
          <w:szCs w:val="28"/>
          <w:bdr w:val="none" w:sz="0" w:space="0" w:color="auto"/>
          <w:lang w:val="en-GB"/>
        </w:rPr>
        <w:lastRenderedPageBreak/>
        <w:t xml:space="preserve">ensured I verbally told the children what we would be doing in class that day. Even though they were only of a young age, I believed it was important for them to understand why they were participating in certain activities and lessons and what they were trying to achieve from it. </w:t>
      </w:r>
    </w:p>
    <w:p w14:paraId="325F8318"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In conclusion, as a student teacher, it is apparent that understanding and following Donaldson’s twelve pedagogical principles is important when trying to be a great teacher. Throughout my placement, I did focus on only one of the twelve pedagogical principles in depth however, I believe that throughout my time there, most if not all the principles were touched upon, thought about or used within my lessons and learning. Assessment seems to be embedded throughout a teacher’s role and whatever aspect is focused on, assessment and assessment for learning is continuously thought about and used. Whilst focusing on the pedagogical principle, </w:t>
      </w:r>
      <w:r w:rsidRPr="0046401E">
        <w:rPr>
          <w:rFonts w:ascii="Calibri" w:eastAsia="Calibri" w:hAnsi="Calibri"/>
          <w:i/>
          <w:iCs/>
          <w:sz w:val="28"/>
          <w:szCs w:val="28"/>
          <w:bdr w:val="none" w:sz="0" w:space="0" w:color="auto"/>
          <w:lang w:val="en-GB"/>
        </w:rPr>
        <w:t>‘Good teaching and learning means employing assessment for learning principles.’</w:t>
      </w:r>
      <w:r w:rsidRPr="0046401E">
        <w:rPr>
          <w:rFonts w:ascii="Calibri" w:eastAsia="Calibri" w:hAnsi="Calibri"/>
          <w:sz w:val="28"/>
          <w:szCs w:val="28"/>
          <w:bdr w:val="none" w:sz="0" w:space="0" w:color="auto"/>
          <w:lang w:val="en-GB"/>
        </w:rPr>
        <w:t xml:space="preserve"> (Professor Graham Donaldson, 2015), my knowledge and experience of the QTS standard of pedagogy has improved as I gained more understanding of assessment and how it is used throughout school life </w:t>
      </w:r>
      <w:proofErr w:type="gramStart"/>
      <w:r w:rsidRPr="0046401E">
        <w:rPr>
          <w:rFonts w:ascii="Calibri" w:eastAsia="Calibri" w:hAnsi="Calibri"/>
          <w:sz w:val="28"/>
          <w:szCs w:val="28"/>
          <w:bdr w:val="none" w:sz="0" w:space="0" w:color="auto"/>
          <w:lang w:val="en-GB"/>
        </w:rPr>
        <w:t>in order to</w:t>
      </w:r>
      <w:proofErr w:type="gramEnd"/>
      <w:r w:rsidRPr="0046401E">
        <w:rPr>
          <w:rFonts w:ascii="Calibri" w:eastAsia="Calibri" w:hAnsi="Calibri"/>
          <w:sz w:val="28"/>
          <w:szCs w:val="28"/>
          <w:bdr w:val="none" w:sz="0" w:space="0" w:color="auto"/>
          <w:lang w:val="en-GB"/>
        </w:rPr>
        <w:t xml:space="preserve"> understand the learning needs of all learners (Welsh Government, 2019). </w:t>
      </w:r>
    </w:p>
    <w:p w14:paraId="15350CDC"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8"/>
          <w:bdr w:val="none" w:sz="0" w:space="0" w:color="auto"/>
          <w:lang w:val="en-GB"/>
        </w:rPr>
      </w:pPr>
    </w:p>
    <w:p w14:paraId="2F3AFEEF"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8"/>
          <w:bdr w:val="none" w:sz="0" w:space="0" w:color="auto"/>
          <w:lang w:val="en-GB"/>
        </w:rPr>
      </w:pPr>
    </w:p>
    <w:p w14:paraId="0552D458"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8"/>
          <w:bdr w:val="none" w:sz="0" w:space="0" w:color="auto"/>
          <w:lang w:val="en-GB"/>
        </w:rPr>
      </w:pPr>
    </w:p>
    <w:p w14:paraId="55A8EC50"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8"/>
          <w:bdr w:val="none" w:sz="0" w:space="0" w:color="auto"/>
          <w:lang w:val="en-GB"/>
        </w:rPr>
      </w:pPr>
    </w:p>
    <w:p w14:paraId="4C7EA9AE"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8"/>
          <w:bdr w:val="none" w:sz="0" w:space="0" w:color="auto"/>
          <w:lang w:val="en-GB"/>
        </w:rPr>
      </w:pPr>
    </w:p>
    <w:p w14:paraId="32405247"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8"/>
          <w:bdr w:val="none" w:sz="0" w:space="0" w:color="auto"/>
          <w:lang w:val="en-GB"/>
        </w:rPr>
      </w:pPr>
    </w:p>
    <w:p w14:paraId="68A12E01"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8"/>
          <w:bdr w:val="none" w:sz="0" w:space="0" w:color="auto"/>
          <w:lang w:val="en-GB"/>
        </w:rPr>
      </w:pPr>
    </w:p>
    <w:p w14:paraId="0A6ECFC2"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8"/>
          <w:szCs w:val="28"/>
          <w:bdr w:val="none" w:sz="0" w:space="0" w:color="auto"/>
          <w:lang w:val="en-GB"/>
        </w:rPr>
      </w:pPr>
    </w:p>
    <w:p w14:paraId="5824EE76"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p>
    <w:p w14:paraId="1BDD0C6C"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References </w:t>
      </w:r>
    </w:p>
    <w:p w14:paraId="0A323FC3"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Armour-Thomas, E. and Gordon, E., n.d. </w:t>
      </w:r>
      <w:r w:rsidRPr="0046401E">
        <w:rPr>
          <w:rFonts w:ascii="Calibri" w:eastAsia="Calibri" w:hAnsi="Calibri"/>
          <w:i/>
          <w:iCs/>
          <w:sz w:val="28"/>
          <w:szCs w:val="28"/>
          <w:bdr w:val="none" w:sz="0" w:space="0" w:color="auto"/>
          <w:lang w:val="en-GB"/>
        </w:rPr>
        <w:t>Toward an Understanding of Assessment as a Dynamic Component of Pedagogy</w:t>
      </w:r>
      <w:r w:rsidRPr="0046401E">
        <w:rPr>
          <w:rFonts w:ascii="Calibri" w:eastAsia="Calibri" w:hAnsi="Calibri"/>
          <w:sz w:val="28"/>
          <w:szCs w:val="28"/>
          <w:bdr w:val="none" w:sz="0" w:space="0" w:color="auto"/>
          <w:lang w:val="en-GB"/>
        </w:rPr>
        <w:t>. [</w:t>
      </w:r>
      <w:proofErr w:type="spellStart"/>
      <w:r w:rsidRPr="0046401E">
        <w:rPr>
          <w:rFonts w:ascii="Calibri" w:eastAsia="Calibri" w:hAnsi="Calibri"/>
          <w:sz w:val="28"/>
          <w:szCs w:val="28"/>
          <w:bdr w:val="none" w:sz="0" w:space="0" w:color="auto"/>
          <w:lang w:val="en-GB"/>
        </w:rPr>
        <w:t>ebook</w:t>
      </w:r>
      <w:proofErr w:type="spellEnd"/>
      <w:r w:rsidRPr="0046401E">
        <w:rPr>
          <w:rFonts w:ascii="Calibri" w:eastAsia="Calibri" w:hAnsi="Calibri"/>
          <w:sz w:val="28"/>
          <w:szCs w:val="28"/>
          <w:bdr w:val="none" w:sz="0" w:space="0" w:color="auto"/>
          <w:lang w:val="en-GB"/>
        </w:rPr>
        <w:t xml:space="preserve">] The Gordon </w:t>
      </w:r>
      <w:proofErr w:type="spellStart"/>
      <w:r w:rsidRPr="0046401E">
        <w:rPr>
          <w:rFonts w:ascii="Calibri" w:eastAsia="Calibri" w:hAnsi="Calibri"/>
          <w:sz w:val="28"/>
          <w:szCs w:val="28"/>
          <w:bdr w:val="none" w:sz="0" w:space="0" w:color="auto"/>
          <w:lang w:val="en-GB"/>
        </w:rPr>
        <w:t>Comission</w:t>
      </w:r>
      <w:proofErr w:type="spellEnd"/>
      <w:r w:rsidRPr="0046401E">
        <w:rPr>
          <w:rFonts w:ascii="Calibri" w:eastAsia="Calibri" w:hAnsi="Calibri"/>
          <w:sz w:val="28"/>
          <w:szCs w:val="28"/>
          <w:bdr w:val="none" w:sz="0" w:space="0" w:color="auto"/>
          <w:lang w:val="en-GB"/>
        </w:rPr>
        <w:t xml:space="preserve"> on the Future of Assessment in Education. Available at: &lt;https://www.ets.org/Media/Research/pdf/armour_thomas_gordon_understanding_assessment.pdf&gt; [Accessed 5 April 2022]. </w:t>
      </w:r>
    </w:p>
    <w:p w14:paraId="44C4DBFA"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proofErr w:type="spellStart"/>
      <w:r w:rsidRPr="0046401E">
        <w:rPr>
          <w:rFonts w:ascii="Calibri" w:eastAsia="Calibri" w:hAnsi="Calibri"/>
          <w:sz w:val="28"/>
          <w:szCs w:val="28"/>
          <w:bdr w:val="none" w:sz="0" w:space="0" w:color="auto"/>
          <w:lang w:val="en-GB"/>
        </w:rPr>
        <w:t>Arnerich</w:t>
      </w:r>
      <w:proofErr w:type="spellEnd"/>
      <w:r w:rsidRPr="0046401E">
        <w:rPr>
          <w:rFonts w:ascii="Calibri" w:eastAsia="Calibri" w:hAnsi="Calibri"/>
          <w:sz w:val="28"/>
          <w:szCs w:val="28"/>
          <w:bdr w:val="none" w:sz="0" w:space="0" w:color="auto"/>
          <w:lang w:val="en-GB"/>
        </w:rPr>
        <w:t>, M., 2020. </w:t>
      </w:r>
      <w:r w:rsidRPr="0046401E">
        <w:rPr>
          <w:rFonts w:ascii="Calibri" w:eastAsia="Calibri" w:hAnsi="Calibri"/>
          <w:i/>
          <w:iCs/>
          <w:sz w:val="28"/>
          <w:szCs w:val="28"/>
          <w:bdr w:val="none" w:sz="0" w:space="0" w:color="auto"/>
          <w:lang w:val="en-GB"/>
        </w:rPr>
        <w:t xml:space="preserve">How to use open-ended questions in the Early Years | </w:t>
      </w:r>
      <w:proofErr w:type="spellStart"/>
      <w:r w:rsidRPr="0046401E">
        <w:rPr>
          <w:rFonts w:ascii="Calibri" w:eastAsia="Calibri" w:hAnsi="Calibri"/>
          <w:i/>
          <w:iCs/>
          <w:sz w:val="28"/>
          <w:szCs w:val="28"/>
          <w:bdr w:val="none" w:sz="0" w:space="0" w:color="auto"/>
          <w:lang w:val="en-GB"/>
        </w:rPr>
        <w:t>Famly</w:t>
      </w:r>
      <w:proofErr w:type="spellEnd"/>
      <w:r w:rsidRPr="0046401E">
        <w:rPr>
          <w:rFonts w:ascii="Calibri" w:eastAsia="Calibri" w:hAnsi="Calibri"/>
          <w:sz w:val="28"/>
          <w:szCs w:val="28"/>
          <w:bdr w:val="none" w:sz="0" w:space="0" w:color="auto"/>
          <w:lang w:val="en-GB"/>
        </w:rPr>
        <w:t>. [online] Famly.co. Available at: &lt;https://www.famly.co/blog/open-ended-questions-early-years&gt; [Accessed 6 April 2022].</w:t>
      </w:r>
    </w:p>
    <w:p w14:paraId="4F37F23E"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Black, P. and </w:t>
      </w:r>
      <w:proofErr w:type="spellStart"/>
      <w:r w:rsidRPr="0046401E">
        <w:rPr>
          <w:rFonts w:ascii="Calibri" w:eastAsia="Calibri" w:hAnsi="Calibri"/>
          <w:sz w:val="28"/>
          <w:szCs w:val="28"/>
          <w:bdr w:val="none" w:sz="0" w:space="0" w:color="auto"/>
          <w:lang w:val="en-GB"/>
        </w:rPr>
        <w:t>Wiliam</w:t>
      </w:r>
      <w:proofErr w:type="spellEnd"/>
      <w:r w:rsidRPr="0046401E">
        <w:rPr>
          <w:rFonts w:ascii="Calibri" w:eastAsia="Calibri" w:hAnsi="Calibri"/>
          <w:sz w:val="28"/>
          <w:szCs w:val="28"/>
          <w:bdr w:val="none" w:sz="0" w:space="0" w:color="auto"/>
          <w:lang w:val="en-GB"/>
        </w:rPr>
        <w:t>, D., 2010. </w:t>
      </w:r>
      <w:r w:rsidRPr="0046401E">
        <w:rPr>
          <w:rFonts w:ascii="Calibri" w:eastAsia="Calibri" w:hAnsi="Calibri"/>
          <w:i/>
          <w:iCs/>
          <w:sz w:val="28"/>
          <w:szCs w:val="28"/>
          <w:bdr w:val="none" w:sz="0" w:space="0" w:color="auto"/>
          <w:lang w:val="en-GB"/>
        </w:rPr>
        <w:t>Inside The Black Box Raising Standards Through Classroom Assessment</w:t>
      </w:r>
      <w:r w:rsidRPr="0046401E">
        <w:rPr>
          <w:rFonts w:ascii="Calibri" w:eastAsia="Calibri" w:hAnsi="Calibri"/>
          <w:sz w:val="28"/>
          <w:szCs w:val="28"/>
          <w:bdr w:val="none" w:sz="0" w:space="0" w:color="auto"/>
          <w:lang w:val="en-GB"/>
        </w:rPr>
        <w:t>. [</w:t>
      </w:r>
      <w:proofErr w:type="spellStart"/>
      <w:r w:rsidRPr="0046401E">
        <w:rPr>
          <w:rFonts w:ascii="Calibri" w:eastAsia="Calibri" w:hAnsi="Calibri"/>
          <w:sz w:val="28"/>
          <w:szCs w:val="28"/>
          <w:bdr w:val="none" w:sz="0" w:space="0" w:color="auto"/>
          <w:lang w:val="en-GB"/>
        </w:rPr>
        <w:t>ebook</w:t>
      </w:r>
      <w:proofErr w:type="spellEnd"/>
      <w:r w:rsidRPr="0046401E">
        <w:rPr>
          <w:rFonts w:ascii="Calibri" w:eastAsia="Calibri" w:hAnsi="Calibri"/>
          <w:sz w:val="28"/>
          <w:szCs w:val="28"/>
          <w:bdr w:val="none" w:sz="0" w:space="0" w:color="auto"/>
          <w:lang w:val="en-GB"/>
        </w:rPr>
        <w:t xml:space="preserve">] ResearchGate. Available at: &lt;http://file:///C:/Users/legen/Downloads/Inside_the_Black_Box_Raising_Standards_Through_Cla.pdf&gt; [Accessed 5 April 2022]. </w:t>
      </w:r>
    </w:p>
    <w:p w14:paraId="305507FF"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Cambridge-community.org.uk. n.d. </w:t>
      </w:r>
      <w:r w:rsidRPr="0046401E">
        <w:rPr>
          <w:rFonts w:ascii="Calibri" w:eastAsia="Calibri" w:hAnsi="Calibri"/>
          <w:i/>
          <w:iCs/>
          <w:sz w:val="28"/>
          <w:szCs w:val="28"/>
          <w:bdr w:val="none" w:sz="0" w:space="0" w:color="auto"/>
          <w:lang w:val="en-GB"/>
        </w:rPr>
        <w:t>Getting started with Assessment for Learning</w:t>
      </w:r>
      <w:r w:rsidRPr="0046401E">
        <w:rPr>
          <w:rFonts w:ascii="Calibri" w:eastAsia="Calibri" w:hAnsi="Calibri"/>
          <w:sz w:val="28"/>
          <w:szCs w:val="28"/>
          <w:bdr w:val="none" w:sz="0" w:space="0" w:color="auto"/>
          <w:lang w:val="en-GB"/>
        </w:rPr>
        <w:t>. [online] Available at: &lt;https://www.cambridge-community.org.uk/professional-development/gswafl/index.html&gt; [Accessed 7 April 2022].</w:t>
      </w:r>
    </w:p>
    <w:p w14:paraId="49208273"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Cameron, A., 2010. </w:t>
      </w:r>
      <w:r w:rsidRPr="0046401E">
        <w:rPr>
          <w:rFonts w:ascii="Calibri" w:eastAsia="Calibri" w:hAnsi="Calibri"/>
          <w:i/>
          <w:iCs/>
          <w:sz w:val="28"/>
          <w:szCs w:val="28"/>
          <w:bdr w:val="none" w:sz="0" w:space="0" w:color="auto"/>
          <w:lang w:val="en-GB"/>
        </w:rPr>
        <w:t>Self-Assessment in the Early Years: an action research project</w:t>
      </w:r>
      <w:r w:rsidRPr="0046401E">
        <w:rPr>
          <w:rFonts w:ascii="Calibri" w:eastAsia="Calibri" w:hAnsi="Calibri"/>
          <w:sz w:val="28"/>
          <w:szCs w:val="28"/>
          <w:bdr w:val="none" w:sz="0" w:space="0" w:color="auto"/>
          <w:lang w:val="en-GB"/>
        </w:rPr>
        <w:t>. [</w:t>
      </w:r>
      <w:proofErr w:type="spellStart"/>
      <w:r w:rsidRPr="0046401E">
        <w:rPr>
          <w:rFonts w:ascii="Calibri" w:eastAsia="Calibri" w:hAnsi="Calibri"/>
          <w:sz w:val="28"/>
          <w:szCs w:val="28"/>
          <w:bdr w:val="none" w:sz="0" w:space="0" w:color="auto"/>
          <w:lang w:val="en-GB"/>
        </w:rPr>
        <w:t>ebook</w:t>
      </w:r>
      <w:proofErr w:type="spellEnd"/>
      <w:r w:rsidRPr="0046401E">
        <w:rPr>
          <w:rFonts w:ascii="Calibri" w:eastAsia="Calibri" w:hAnsi="Calibri"/>
          <w:sz w:val="28"/>
          <w:szCs w:val="28"/>
          <w:bdr w:val="none" w:sz="0" w:space="0" w:color="auto"/>
          <w:lang w:val="en-GB"/>
        </w:rPr>
        <w:t>] Available at: &lt;http://workforcesolutions.sssc.uk.com/new/docs/research/Self_Assessment_in_the_Early_Yars_Final_.pdf&gt; [Accessed 7 April 2022].</w:t>
      </w:r>
    </w:p>
    <w:p w14:paraId="7F39542F"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Coe R, </w:t>
      </w:r>
      <w:proofErr w:type="spellStart"/>
      <w:r w:rsidRPr="0046401E">
        <w:rPr>
          <w:rFonts w:ascii="Calibri" w:eastAsia="Calibri" w:hAnsi="Calibri"/>
          <w:sz w:val="28"/>
          <w:szCs w:val="28"/>
          <w:bdr w:val="none" w:sz="0" w:space="0" w:color="auto"/>
          <w:lang w:val="en-GB"/>
        </w:rPr>
        <w:t>Aloisi</w:t>
      </w:r>
      <w:proofErr w:type="spellEnd"/>
      <w:r w:rsidRPr="0046401E">
        <w:rPr>
          <w:rFonts w:ascii="Calibri" w:eastAsia="Calibri" w:hAnsi="Calibri"/>
          <w:sz w:val="28"/>
          <w:szCs w:val="28"/>
          <w:bdr w:val="none" w:sz="0" w:space="0" w:color="auto"/>
          <w:lang w:val="en-GB"/>
        </w:rPr>
        <w:t xml:space="preserve"> C, Higgins S, Elliot Major L. (2014) What Makes Great Teaching? Review of the Underpinning Research. Durham: Centre for Evaluation and Monitoring/The Sutton Trust. Available at: </w:t>
      </w:r>
      <w:hyperlink r:id="rId9" w:history="1">
        <w:r w:rsidRPr="0046401E">
          <w:rPr>
            <w:rFonts w:ascii="Calibri" w:eastAsia="Calibri" w:hAnsi="Calibri"/>
            <w:color w:val="0563C1"/>
            <w:sz w:val="28"/>
            <w:szCs w:val="28"/>
            <w:u w:val="single"/>
            <w:bdr w:val="none" w:sz="0" w:space="0" w:color="auto"/>
            <w:lang w:val="en-GB"/>
          </w:rPr>
          <w:t>https://www.suttontrust.com/wp-content/uploads/2014/10/What-Makes-Great-Teaching-REPORT.pdf</w:t>
        </w:r>
      </w:hyperlink>
      <w:r w:rsidRPr="0046401E">
        <w:rPr>
          <w:rFonts w:ascii="Calibri" w:eastAsia="Calibri" w:hAnsi="Calibri"/>
          <w:sz w:val="28"/>
          <w:szCs w:val="28"/>
          <w:bdr w:val="none" w:sz="0" w:space="0" w:color="auto"/>
          <w:lang w:val="en-GB"/>
        </w:rPr>
        <w:t xml:space="preserve"> [Accessed 4 April 2022].</w:t>
      </w:r>
    </w:p>
    <w:p w14:paraId="555F8A2E"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Coe, R. </w:t>
      </w:r>
      <w:proofErr w:type="spellStart"/>
      <w:r w:rsidRPr="0046401E">
        <w:rPr>
          <w:rFonts w:ascii="Calibri" w:eastAsia="Calibri" w:hAnsi="Calibri"/>
          <w:sz w:val="28"/>
          <w:szCs w:val="28"/>
          <w:bdr w:val="none" w:sz="0" w:space="0" w:color="auto"/>
          <w:lang w:val="en-GB"/>
        </w:rPr>
        <w:t>Rouch</w:t>
      </w:r>
      <w:proofErr w:type="spellEnd"/>
      <w:r w:rsidRPr="0046401E">
        <w:rPr>
          <w:rFonts w:ascii="Calibri" w:eastAsia="Calibri" w:hAnsi="Calibri"/>
          <w:sz w:val="28"/>
          <w:szCs w:val="28"/>
          <w:bdr w:val="none" w:sz="0" w:space="0" w:color="auto"/>
          <w:lang w:val="en-GB"/>
        </w:rPr>
        <w:t xml:space="preserve">, C.J., </w:t>
      </w:r>
      <w:proofErr w:type="spellStart"/>
      <w:r w:rsidRPr="0046401E">
        <w:rPr>
          <w:rFonts w:ascii="Calibri" w:eastAsia="Calibri" w:hAnsi="Calibri"/>
          <w:sz w:val="28"/>
          <w:szCs w:val="28"/>
          <w:bdr w:val="none" w:sz="0" w:space="0" w:color="auto"/>
          <w:lang w:val="en-GB"/>
        </w:rPr>
        <w:t>Kime</w:t>
      </w:r>
      <w:proofErr w:type="spellEnd"/>
      <w:r w:rsidRPr="0046401E">
        <w:rPr>
          <w:rFonts w:ascii="Calibri" w:eastAsia="Calibri" w:hAnsi="Calibri"/>
          <w:sz w:val="28"/>
          <w:szCs w:val="28"/>
          <w:bdr w:val="none" w:sz="0" w:space="0" w:color="auto"/>
          <w:lang w:val="en-GB"/>
        </w:rPr>
        <w:t xml:space="preserve">, S., Singleton, D. (2020) Great Teaching Toolkit: Evidence Review Evidence Based Education. Available at: </w:t>
      </w:r>
      <w:hyperlink r:id="rId10" w:history="1">
        <w:r w:rsidRPr="0046401E">
          <w:rPr>
            <w:rFonts w:ascii="Calibri" w:eastAsia="Calibri" w:hAnsi="Calibri"/>
            <w:color w:val="0563C1"/>
            <w:sz w:val="28"/>
            <w:szCs w:val="28"/>
            <w:u w:val="single"/>
            <w:bdr w:val="none" w:sz="0" w:space="0" w:color="auto"/>
            <w:lang w:val="en-GB"/>
          </w:rPr>
          <w:t>https://www.cambridgeinternational.org/Images/584543-great-teaching-toolkit-evidence-review.pdf</w:t>
        </w:r>
      </w:hyperlink>
      <w:r w:rsidRPr="0046401E">
        <w:rPr>
          <w:rFonts w:ascii="Calibri" w:eastAsia="Calibri" w:hAnsi="Calibri"/>
          <w:sz w:val="28"/>
          <w:szCs w:val="28"/>
          <w:bdr w:val="none" w:sz="0" w:space="0" w:color="auto"/>
          <w:lang w:val="en-GB"/>
        </w:rPr>
        <w:t xml:space="preserve"> [Accessed 4 April 2022]. </w:t>
      </w:r>
    </w:p>
    <w:p w14:paraId="4D44F155"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Donaldson, P., 2015. </w:t>
      </w:r>
      <w:r w:rsidRPr="0046401E">
        <w:rPr>
          <w:rFonts w:ascii="Calibri" w:eastAsia="Calibri" w:hAnsi="Calibri"/>
          <w:i/>
          <w:iCs/>
          <w:sz w:val="28"/>
          <w:szCs w:val="28"/>
          <w:bdr w:val="none" w:sz="0" w:space="0" w:color="auto"/>
          <w:lang w:val="en-GB"/>
        </w:rPr>
        <w:t>Successful Futures</w:t>
      </w:r>
      <w:r w:rsidRPr="0046401E">
        <w:rPr>
          <w:rFonts w:ascii="Calibri" w:eastAsia="Calibri" w:hAnsi="Calibri"/>
          <w:sz w:val="28"/>
          <w:szCs w:val="28"/>
          <w:bdr w:val="none" w:sz="0" w:space="0" w:color="auto"/>
          <w:lang w:val="en-GB"/>
        </w:rPr>
        <w:t>. [</w:t>
      </w:r>
      <w:proofErr w:type="spellStart"/>
      <w:r w:rsidRPr="0046401E">
        <w:rPr>
          <w:rFonts w:ascii="Calibri" w:eastAsia="Calibri" w:hAnsi="Calibri"/>
          <w:sz w:val="28"/>
          <w:szCs w:val="28"/>
          <w:bdr w:val="none" w:sz="0" w:space="0" w:color="auto"/>
          <w:lang w:val="en-GB"/>
        </w:rPr>
        <w:t>ebook</w:t>
      </w:r>
      <w:proofErr w:type="spellEnd"/>
      <w:r w:rsidRPr="0046401E">
        <w:rPr>
          <w:rFonts w:ascii="Calibri" w:eastAsia="Calibri" w:hAnsi="Calibri"/>
          <w:sz w:val="28"/>
          <w:szCs w:val="28"/>
          <w:bdr w:val="none" w:sz="0" w:space="0" w:color="auto"/>
          <w:lang w:val="en-GB"/>
        </w:rPr>
        <w:t xml:space="preserve">] Crown copyright. Available at: &lt;https://gov.wales/sites/default/files/publications/2018-03/successful-futures.pdf&gt; [Accessed 4 April 2022]. </w:t>
      </w:r>
    </w:p>
    <w:p w14:paraId="68EB35EC"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proofErr w:type="spellStart"/>
      <w:r w:rsidRPr="0046401E">
        <w:rPr>
          <w:rFonts w:ascii="Calibri" w:eastAsia="Calibri" w:hAnsi="Calibri"/>
          <w:sz w:val="28"/>
          <w:szCs w:val="28"/>
          <w:bdr w:val="none" w:sz="0" w:space="0" w:color="auto"/>
          <w:lang w:val="en-GB"/>
        </w:rPr>
        <w:lastRenderedPageBreak/>
        <w:t>Lemov</w:t>
      </w:r>
      <w:proofErr w:type="spellEnd"/>
      <w:r w:rsidRPr="0046401E">
        <w:rPr>
          <w:rFonts w:ascii="Calibri" w:eastAsia="Calibri" w:hAnsi="Calibri"/>
          <w:sz w:val="28"/>
          <w:szCs w:val="28"/>
          <w:bdr w:val="none" w:sz="0" w:space="0" w:color="auto"/>
          <w:lang w:val="en-GB"/>
        </w:rPr>
        <w:t xml:space="preserve"> (2010). Teach Like a Champion - 49 Techniques that Put Students on the Path to College. John Wiley &amp; Sons. </w:t>
      </w:r>
    </w:p>
    <w:p w14:paraId="22809C17"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n.d. </w:t>
      </w:r>
      <w:r w:rsidRPr="0046401E">
        <w:rPr>
          <w:rFonts w:ascii="Calibri" w:eastAsia="Calibri" w:hAnsi="Calibri"/>
          <w:i/>
          <w:iCs/>
          <w:sz w:val="28"/>
          <w:szCs w:val="28"/>
          <w:bdr w:val="none" w:sz="0" w:space="0" w:color="auto"/>
          <w:lang w:val="en-GB"/>
        </w:rPr>
        <w:t xml:space="preserve">The </w:t>
      </w:r>
      <w:proofErr w:type="spellStart"/>
      <w:r w:rsidRPr="0046401E">
        <w:rPr>
          <w:rFonts w:ascii="Calibri" w:eastAsia="Calibri" w:hAnsi="Calibri"/>
          <w:i/>
          <w:iCs/>
          <w:sz w:val="28"/>
          <w:szCs w:val="28"/>
          <w:bdr w:val="none" w:sz="0" w:space="0" w:color="auto"/>
          <w:lang w:val="en-GB"/>
        </w:rPr>
        <w:t>Importacne</w:t>
      </w:r>
      <w:proofErr w:type="spellEnd"/>
      <w:r w:rsidRPr="0046401E">
        <w:rPr>
          <w:rFonts w:ascii="Calibri" w:eastAsia="Calibri" w:hAnsi="Calibri"/>
          <w:i/>
          <w:iCs/>
          <w:sz w:val="28"/>
          <w:szCs w:val="28"/>
          <w:bdr w:val="none" w:sz="0" w:space="0" w:color="auto"/>
          <w:lang w:val="en-GB"/>
        </w:rPr>
        <w:t xml:space="preserve"> </w:t>
      </w:r>
      <w:proofErr w:type="gramStart"/>
      <w:r w:rsidRPr="0046401E">
        <w:rPr>
          <w:rFonts w:ascii="Calibri" w:eastAsia="Calibri" w:hAnsi="Calibri"/>
          <w:i/>
          <w:iCs/>
          <w:sz w:val="28"/>
          <w:szCs w:val="28"/>
          <w:bdr w:val="none" w:sz="0" w:space="0" w:color="auto"/>
          <w:lang w:val="en-GB"/>
        </w:rPr>
        <w:t>Of</w:t>
      </w:r>
      <w:proofErr w:type="gramEnd"/>
      <w:r w:rsidRPr="0046401E">
        <w:rPr>
          <w:rFonts w:ascii="Calibri" w:eastAsia="Calibri" w:hAnsi="Calibri"/>
          <w:i/>
          <w:iCs/>
          <w:sz w:val="28"/>
          <w:szCs w:val="28"/>
          <w:bdr w:val="none" w:sz="0" w:space="0" w:color="auto"/>
          <w:lang w:val="en-GB"/>
        </w:rPr>
        <w:t xml:space="preserve"> Planning</w:t>
      </w:r>
      <w:r w:rsidRPr="0046401E">
        <w:rPr>
          <w:rFonts w:ascii="Calibri" w:eastAsia="Calibri" w:hAnsi="Calibri"/>
          <w:sz w:val="28"/>
          <w:szCs w:val="28"/>
          <w:bdr w:val="none" w:sz="0" w:space="0" w:color="auto"/>
          <w:lang w:val="en-GB"/>
        </w:rPr>
        <w:t>. [</w:t>
      </w:r>
      <w:proofErr w:type="spellStart"/>
      <w:r w:rsidRPr="0046401E">
        <w:rPr>
          <w:rFonts w:ascii="Calibri" w:eastAsia="Calibri" w:hAnsi="Calibri"/>
          <w:sz w:val="28"/>
          <w:szCs w:val="28"/>
          <w:bdr w:val="none" w:sz="0" w:space="0" w:color="auto"/>
          <w:lang w:val="en-GB"/>
        </w:rPr>
        <w:t>ebook</w:t>
      </w:r>
      <w:proofErr w:type="spellEnd"/>
      <w:r w:rsidRPr="0046401E">
        <w:rPr>
          <w:rFonts w:ascii="Calibri" w:eastAsia="Calibri" w:hAnsi="Calibri"/>
          <w:sz w:val="28"/>
          <w:szCs w:val="28"/>
          <w:bdr w:val="none" w:sz="0" w:space="0" w:color="auto"/>
          <w:lang w:val="en-GB"/>
        </w:rPr>
        <w:t>] Available at: &lt;https://www.tesol.org/docs/default-source/books/14002_lesson-planning_ch-1&gt; [Accessed 7 April 2022].</w:t>
      </w:r>
    </w:p>
    <w:p w14:paraId="3AF0F3C6"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 xml:space="preserve">Paul Black, Christine Harrison, Clare Lee, Bethan Marshall, and Dylan </w:t>
      </w:r>
      <w:proofErr w:type="spellStart"/>
      <w:r w:rsidRPr="0046401E">
        <w:rPr>
          <w:rFonts w:ascii="Calibri" w:eastAsia="Calibri" w:hAnsi="Calibri"/>
          <w:sz w:val="28"/>
          <w:szCs w:val="28"/>
          <w:bdr w:val="none" w:sz="0" w:space="0" w:color="auto"/>
          <w:lang w:val="en-GB"/>
        </w:rPr>
        <w:t>Wiliam</w:t>
      </w:r>
      <w:proofErr w:type="spellEnd"/>
      <w:r w:rsidRPr="0046401E">
        <w:rPr>
          <w:rFonts w:ascii="Calibri" w:eastAsia="Calibri" w:hAnsi="Calibri"/>
          <w:sz w:val="28"/>
          <w:szCs w:val="28"/>
          <w:bdr w:val="none" w:sz="0" w:space="0" w:color="auto"/>
          <w:lang w:val="en-GB"/>
        </w:rPr>
        <w:t xml:space="preserve">, “Working Inside the Black Box: Assessment for Learning in the Classroom,” Phi Delta </w:t>
      </w:r>
      <w:proofErr w:type="spellStart"/>
      <w:r w:rsidRPr="0046401E">
        <w:rPr>
          <w:rFonts w:ascii="Calibri" w:eastAsia="Calibri" w:hAnsi="Calibri"/>
          <w:sz w:val="28"/>
          <w:szCs w:val="28"/>
          <w:bdr w:val="none" w:sz="0" w:space="0" w:color="auto"/>
          <w:lang w:val="en-GB"/>
        </w:rPr>
        <w:t>Kappan</w:t>
      </w:r>
      <w:proofErr w:type="spellEnd"/>
      <w:r w:rsidRPr="0046401E">
        <w:rPr>
          <w:rFonts w:ascii="Calibri" w:eastAsia="Calibri" w:hAnsi="Calibri"/>
          <w:sz w:val="28"/>
          <w:szCs w:val="28"/>
          <w:bdr w:val="none" w:sz="0" w:space="0" w:color="auto"/>
          <w:lang w:val="en-GB"/>
        </w:rPr>
        <w:t xml:space="preserve">, Vol. 86, No. 1, September 2004, pp. 9-21. Available at: </w:t>
      </w:r>
      <w:hyperlink r:id="rId11" w:history="1">
        <w:r w:rsidRPr="0046401E">
          <w:rPr>
            <w:rFonts w:ascii="Calibri" w:eastAsia="Calibri" w:hAnsi="Calibri"/>
            <w:color w:val="0563C1"/>
            <w:sz w:val="28"/>
            <w:szCs w:val="28"/>
            <w:u w:val="single"/>
            <w:bdr w:val="none" w:sz="0" w:space="0" w:color="auto"/>
            <w:lang w:val="en-GB"/>
          </w:rPr>
          <w:t>https://www.researchgate.net/profile/Dylan-Wiliam/publication/44835745_Working_Inside_the_Black_Box_Assessment_for_Learning_in_the_Classroom/links/0c9605262f88548687000000/Working-Inside-the-Black-Box-Assessment-for-Learning-in-the-Classroom.pdf</w:t>
        </w:r>
      </w:hyperlink>
      <w:r w:rsidRPr="0046401E">
        <w:rPr>
          <w:rFonts w:ascii="Calibri" w:eastAsia="Calibri" w:hAnsi="Calibri"/>
          <w:sz w:val="28"/>
          <w:szCs w:val="28"/>
          <w:bdr w:val="none" w:sz="0" w:space="0" w:color="auto"/>
          <w:lang w:val="en-GB"/>
        </w:rPr>
        <w:t xml:space="preserve"> [Accessed 6 </w:t>
      </w:r>
      <w:proofErr w:type="spellStart"/>
      <w:r w:rsidRPr="0046401E">
        <w:rPr>
          <w:rFonts w:ascii="Calibri" w:eastAsia="Calibri" w:hAnsi="Calibri"/>
          <w:sz w:val="28"/>
          <w:szCs w:val="28"/>
          <w:bdr w:val="none" w:sz="0" w:space="0" w:color="auto"/>
          <w:lang w:val="en-GB"/>
        </w:rPr>
        <w:t>Aprl</w:t>
      </w:r>
      <w:proofErr w:type="spellEnd"/>
      <w:r w:rsidRPr="0046401E">
        <w:rPr>
          <w:rFonts w:ascii="Calibri" w:eastAsia="Calibri" w:hAnsi="Calibri"/>
          <w:sz w:val="28"/>
          <w:szCs w:val="28"/>
          <w:bdr w:val="none" w:sz="0" w:space="0" w:color="auto"/>
          <w:lang w:val="en-GB"/>
        </w:rPr>
        <w:t xml:space="preserve"> 2022].</w:t>
      </w:r>
    </w:p>
    <w:p w14:paraId="48C4CF77"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i/>
          <w:iCs/>
          <w:sz w:val="28"/>
          <w:szCs w:val="28"/>
          <w:bdr w:val="none" w:sz="0" w:space="0" w:color="auto"/>
          <w:lang w:val="en-GB"/>
        </w:rPr>
        <w:t>Professional standards for teaching and leadership</w:t>
      </w:r>
      <w:r w:rsidRPr="0046401E">
        <w:rPr>
          <w:rFonts w:ascii="Calibri" w:eastAsia="Calibri" w:hAnsi="Calibri"/>
          <w:sz w:val="28"/>
          <w:szCs w:val="28"/>
          <w:bdr w:val="none" w:sz="0" w:space="0" w:color="auto"/>
          <w:lang w:val="en-GB"/>
        </w:rPr>
        <w:t>. 2019. [</w:t>
      </w:r>
      <w:proofErr w:type="spellStart"/>
      <w:r w:rsidRPr="0046401E">
        <w:rPr>
          <w:rFonts w:ascii="Calibri" w:eastAsia="Calibri" w:hAnsi="Calibri"/>
          <w:sz w:val="28"/>
          <w:szCs w:val="28"/>
          <w:bdr w:val="none" w:sz="0" w:space="0" w:color="auto"/>
          <w:lang w:val="en-GB"/>
        </w:rPr>
        <w:t>ebook</w:t>
      </w:r>
      <w:proofErr w:type="spellEnd"/>
      <w:r w:rsidRPr="0046401E">
        <w:rPr>
          <w:rFonts w:ascii="Calibri" w:eastAsia="Calibri" w:hAnsi="Calibri"/>
          <w:sz w:val="28"/>
          <w:szCs w:val="28"/>
          <w:bdr w:val="none" w:sz="0" w:space="0" w:color="auto"/>
          <w:lang w:val="en-GB"/>
        </w:rPr>
        <w:t>] Welsh Government. Available at: &lt;https://hwb.gov.wales/api/storage/19bc948b-8a3f-41e0-944a-7bf2cadf7d18/professional-standards-for-teaching-and-leadership-interactive-pdf-for-pc.pdf&gt; [Accessed 7 April 2022].</w:t>
      </w:r>
    </w:p>
    <w:p w14:paraId="4157EE95"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Calibri" w:eastAsia="Calibri" w:hAnsi="Calibri"/>
          <w:sz w:val="28"/>
          <w:szCs w:val="28"/>
          <w:bdr w:val="none" w:sz="0" w:space="0" w:color="auto"/>
          <w:lang w:val="en-GB"/>
        </w:rPr>
      </w:pPr>
      <w:r w:rsidRPr="0046401E">
        <w:rPr>
          <w:rFonts w:ascii="Calibri" w:eastAsia="Calibri" w:hAnsi="Calibri"/>
          <w:sz w:val="28"/>
          <w:szCs w:val="28"/>
          <w:bdr w:val="none" w:sz="0" w:space="0" w:color="auto"/>
          <w:lang w:val="en-GB"/>
        </w:rPr>
        <w:t>Reading.ac.uk. n.d. </w:t>
      </w:r>
      <w:r w:rsidRPr="0046401E">
        <w:rPr>
          <w:rFonts w:ascii="Calibri" w:eastAsia="Calibri" w:hAnsi="Calibri"/>
          <w:i/>
          <w:iCs/>
          <w:sz w:val="28"/>
          <w:szCs w:val="28"/>
          <w:bdr w:val="none" w:sz="0" w:space="0" w:color="auto"/>
          <w:lang w:val="en-GB"/>
        </w:rPr>
        <w:t>Why should I use self-assessment? - Self-assessment - Engage in Assessment - University of Reading</w:t>
      </w:r>
      <w:r w:rsidRPr="0046401E">
        <w:rPr>
          <w:rFonts w:ascii="Calibri" w:eastAsia="Calibri" w:hAnsi="Calibri"/>
          <w:sz w:val="28"/>
          <w:szCs w:val="28"/>
          <w:bdr w:val="none" w:sz="0" w:space="0" w:color="auto"/>
          <w:lang w:val="en-GB"/>
        </w:rPr>
        <w:t>. [online] Available at: &lt;https://www.reading.ac.uk/engageinassessment/peer-and-self-assessment/self-assessment/eia-why-use-self-assessment.aspx&gt; [Accessed 7 April 2022].</w:t>
      </w:r>
    </w:p>
    <w:p w14:paraId="6568A89D" w14:textId="77777777" w:rsidR="0046401E" w:rsidRPr="0046401E" w:rsidRDefault="0046401E" w:rsidP="0046401E">
      <w:pPr>
        <w:pBdr>
          <w:top w:val="none" w:sz="0" w:space="0" w:color="auto"/>
          <w:left w:val="none" w:sz="0" w:space="0" w:color="auto"/>
          <w:bottom w:val="none" w:sz="0" w:space="0" w:color="auto"/>
          <w:right w:val="none" w:sz="0" w:space="0" w:color="auto"/>
          <w:between w:val="none" w:sz="0" w:space="0" w:color="auto"/>
          <w:bar w:val="none" w:sz="0" w:color="auto"/>
        </w:pBdr>
        <w:tabs>
          <w:tab w:val="left" w:pos="1170"/>
        </w:tabs>
        <w:spacing w:after="160" w:line="259" w:lineRule="auto"/>
        <w:rPr>
          <w:rFonts w:ascii="Open Sans" w:eastAsia="Calibri" w:hAnsi="Open Sans" w:cs="Open Sans"/>
          <w:color w:val="000000"/>
          <w:sz w:val="20"/>
          <w:szCs w:val="20"/>
          <w:bdr w:val="none" w:sz="0" w:space="0" w:color="auto"/>
          <w:shd w:val="clear" w:color="auto" w:fill="FFFFFF"/>
          <w:lang w:val="en-GB"/>
        </w:rPr>
      </w:pPr>
      <w:r w:rsidRPr="0046401E">
        <w:rPr>
          <w:rFonts w:ascii="Calibri" w:eastAsia="Calibri" w:hAnsi="Calibri"/>
          <w:sz w:val="28"/>
          <w:szCs w:val="28"/>
          <w:bdr w:val="none" w:sz="0" w:space="0" w:color="auto"/>
          <w:lang w:val="en-GB"/>
        </w:rPr>
        <w:t>University of Wales Trinity Saint David. 2022. </w:t>
      </w:r>
      <w:r w:rsidRPr="0046401E">
        <w:rPr>
          <w:rFonts w:ascii="Calibri" w:eastAsia="Calibri" w:hAnsi="Calibri"/>
          <w:i/>
          <w:iCs/>
          <w:sz w:val="28"/>
          <w:szCs w:val="28"/>
          <w:bdr w:val="none" w:sz="0" w:space="0" w:color="auto"/>
          <w:lang w:val="en-GB"/>
        </w:rPr>
        <w:t>Planning guide</w:t>
      </w:r>
      <w:r w:rsidRPr="0046401E">
        <w:rPr>
          <w:rFonts w:ascii="Calibri" w:eastAsia="Calibri" w:hAnsi="Calibri"/>
          <w:sz w:val="28"/>
          <w:szCs w:val="28"/>
          <w:bdr w:val="none" w:sz="0" w:space="0" w:color="auto"/>
          <w:lang w:val="en-GB"/>
        </w:rPr>
        <w:t>. Available at:</w:t>
      </w:r>
      <w:r w:rsidRPr="0046401E">
        <w:rPr>
          <w:rFonts w:ascii="Open Sans" w:eastAsia="Calibri" w:hAnsi="Open Sans" w:cs="Open Sans"/>
          <w:color w:val="000000"/>
          <w:sz w:val="20"/>
          <w:szCs w:val="20"/>
          <w:bdr w:val="none" w:sz="0" w:space="0" w:color="auto"/>
          <w:shd w:val="clear" w:color="auto" w:fill="FFFFFF"/>
          <w:lang w:val="en-GB"/>
        </w:rPr>
        <w:t xml:space="preserve"> </w:t>
      </w:r>
      <w:hyperlink r:id="rId12" w:history="1">
        <w:r w:rsidRPr="0046401E">
          <w:rPr>
            <w:rFonts w:ascii="Open Sans" w:eastAsia="Calibri" w:hAnsi="Open Sans" w:cs="Open Sans"/>
            <w:color w:val="0563C1"/>
            <w:sz w:val="20"/>
            <w:szCs w:val="20"/>
            <w:u w:val="single"/>
            <w:bdr w:val="none" w:sz="0" w:space="0" w:color="auto"/>
            <w:shd w:val="clear" w:color="auto" w:fill="FFFFFF"/>
            <w:lang w:val="en-GB"/>
          </w:rPr>
          <w:t>https://moodle.uwtsd.ac.uk/course/view.php?id=8434</w:t>
        </w:r>
      </w:hyperlink>
      <w:r w:rsidRPr="0046401E">
        <w:rPr>
          <w:rFonts w:ascii="Open Sans" w:eastAsia="Calibri" w:hAnsi="Open Sans" w:cs="Open Sans"/>
          <w:color w:val="000000"/>
          <w:sz w:val="20"/>
          <w:szCs w:val="20"/>
          <w:bdr w:val="none" w:sz="0" w:space="0" w:color="auto"/>
          <w:shd w:val="clear" w:color="auto" w:fill="FFFFFF"/>
          <w:lang w:val="en-GB"/>
        </w:rPr>
        <w:t xml:space="preserve"> </w:t>
      </w:r>
    </w:p>
    <w:p w14:paraId="51DCD57A" w14:textId="77777777" w:rsidR="0046401E" w:rsidRDefault="0046401E">
      <w:pPr>
        <w:pStyle w:val="Body"/>
      </w:pPr>
    </w:p>
    <w:sectPr w:rsidR="0046401E" w:rsidSect="007D761E">
      <w:headerReference w:type="default" r:id="rId13"/>
      <w:footerReference w:type="default" r:id="rId14"/>
      <w:pgSz w:w="11900" w:h="16840"/>
      <w:pgMar w:top="1440" w:right="1440" w:bottom="1440" w:left="1440"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CA8AA" w14:textId="77777777" w:rsidR="00535491" w:rsidRDefault="00535491">
      <w:r>
        <w:separator/>
      </w:r>
    </w:p>
  </w:endnote>
  <w:endnote w:type="continuationSeparator" w:id="0">
    <w:p w14:paraId="19B6CD47" w14:textId="77777777" w:rsidR="00535491" w:rsidRDefault="00535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rlito">
    <w:altName w:val="Cambria"/>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156637"/>
      <w:docPartObj>
        <w:docPartGallery w:val="Page Numbers (Bottom of Page)"/>
        <w:docPartUnique/>
      </w:docPartObj>
    </w:sdtPr>
    <w:sdtEndPr>
      <w:rPr>
        <w:noProof/>
      </w:rPr>
    </w:sdtEndPr>
    <w:sdtContent>
      <w:p w14:paraId="1AB32C8E" w14:textId="171A4CB9" w:rsidR="007D761E" w:rsidRDefault="007D76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EB3B6B" w14:textId="77777777" w:rsidR="007D761E" w:rsidRDefault="007D76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4390E" w14:textId="77777777" w:rsidR="00535491" w:rsidRDefault="00535491">
      <w:r>
        <w:separator/>
      </w:r>
    </w:p>
  </w:footnote>
  <w:footnote w:type="continuationSeparator" w:id="0">
    <w:p w14:paraId="2297E9D7" w14:textId="77777777" w:rsidR="00535491" w:rsidRDefault="005354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75D88" w14:textId="4BAFD87B" w:rsidR="003252AD" w:rsidRDefault="003252AD">
    <w:pPr>
      <w:pStyle w:val="Header"/>
    </w:pPr>
    <w:r>
      <w:t>ECAD</w:t>
    </w:r>
    <w:r w:rsidR="007D761E">
      <w:t>-6008</w:t>
    </w:r>
    <w:r>
      <w:ptab w:relativeTo="margin" w:alignment="center" w:leader="none"/>
    </w:r>
    <w:r w:rsidR="007D761E">
      <w:t>1900747</w:t>
    </w:r>
    <w:r>
      <w:ptab w:relativeTo="margin" w:alignment="right" w:leader="none"/>
    </w:r>
    <w:r w:rsidR="007D761E">
      <w:t>Lainey Gallo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2D4"/>
    <w:rsid w:val="00040168"/>
    <w:rsid w:val="0004680B"/>
    <w:rsid w:val="000754AE"/>
    <w:rsid w:val="0009481B"/>
    <w:rsid w:val="000A0477"/>
    <w:rsid w:val="000A1AF7"/>
    <w:rsid w:val="000A7579"/>
    <w:rsid w:val="00111F01"/>
    <w:rsid w:val="001359C6"/>
    <w:rsid w:val="00177FE5"/>
    <w:rsid w:val="00186AF5"/>
    <w:rsid w:val="001E2336"/>
    <w:rsid w:val="001E49AB"/>
    <w:rsid w:val="00283C82"/>
    <w:rsid w:val="002932CC"/>
    <w:rsid w:val="002A3DC3"/>
    <w:rsid w:val="002C044D"/>
    <w:rsid w:val="002D3867"/>
    <w:rsid w:val="002F569E"/>
    <w:rsid w:val="003252AD"/>
    <w:rsid w:val="00341689"/>
    <w:rsid w:val="00357047"/>
    <w:rsid w:val="003B2E85"/>
    <w:rsid w:val="003C2D84"/>
    <w:rsid w:val="003E600E"/>
    <w:rsid w:val="003F3628"/>
    <w:rsid w:val="0042382C"/>
    <w:rsid w:val="0044230D"/>
    <w:rsid w:val="004450A9"/>
    <w:rsid w:val="0046401E"/>
    <w:rsid w:val="00476457"/>
    <w:rsid w:val="005313D1"/>
    <w:rsid w:val="00535491"/>
    <w:rsid w:val="00550D9A"/>
    <w:rsid w:val="0056141F"/>
    <w:rsid w:val="0057000E"/>
    <w:rsid w:val="005A3FB1"/>
    <w:rsid w:val="00613788"/>
    <w:rsid w:val="00617733"/>
    <w:rsid w:val="006C1AD3"/>
    <w:rsid w:val="00715495"/>
    <w:rsid w:val="00724068"/>
    <w:rsid w:val="00734EAE"/>
    <w:rsid w:val="00752120"/>
    <w:rsid w:val="0078775B"/>
    <w:rsid w:val="00794A6F"/>
    <w:rsid w:val="007D761E"/>
    <w:rsid w:val="007E3447"/>
    <w:rsid w:val="00803EA2"/>
    <w:rsid w:val="00851AF8"/>
    <w:rsid w:val="00856BC7"/>
    <w:rsid w:val="008612DA"/>
    <w:rsid w:val="008B3288"/>
    <w:rsid w:val="008B4C63"/>
    <w:rsid w:val="00905984"/>
    <w:rsid w:val="00974731"/>
    <w:rsid w:val="009D48D5"/>
    <w:rsid w:val="009F525C"/>
    <w:rsid w:val="00A00ED6"/>
    <w:rsid w:val="00A01E4C"/>
    <w:rsid w:val="00A348E8"/>
    <w:rsid w:val="00A74187"/>
    <w:rsid w:val="00AE1C13"/>
    <w:rsid w:val="00B53C16"/>
    <w:rsid w:val="00B769F6"/>
    <w:rsid w:val="00B852D4"/>
    <w:rsid w:val="00BA3C8E"/>
    <w:rsid w:val="00BA3D73"/>
    <w:rsid w:val="00BB6E99"/>
    <w:rsid w:val="00BF2B9E"/>
    <w:rsid w:val="00C24B8D"/>
    <w:rsid w:val="00C27CC1"/>
    <w:rsid w:val="00C944D3"/>
    <w:rsid w:val="00CB551F"/>
    <w:rsid w:val="00D171D5"/>
    <w:rsid w:val="00D25199"/>
    <w:rsid w:val="00E256E4"/>
    <w:rsid w:val="00E532B9"/>
    <w:rsid w:val="00E956D3"/>
    <w:rsid w:val="00EA3805"/>
    <w:rsid w:val="00EB3C75"/>
    <w:rsid w:val="00F950BD"/>
    <w:rsid w:val="00FD5952"/>
    <w:rsid w:val="00FE7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899B3"/>
  <w15:docId w15:val="{AA1E9E0C-DFD0-482B-BB0C-7CCE9B70E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360" w:lineRule="auto"/>
      <w:outlineLvl w:val="1"/>
    </w:pPr>
    <w:rPr>
      <w:rFonts w:ascii="Carlito" w:hAnsi="Carlito" w:cs="Arial Unicode MS"/>
      <w:b/>
      <w:bCs/>
      <w:color w:val="1F4E79"/>
      <w:sz w:val="28"/>
      <w:szCs w:val="28"/>
      <w:u w:color="1F4E79"/>
      <w:lang w:val="en-US"/>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line="360" w:lineRule="auto"/>
      <w:outlineLvl w:val="2"/>
    </w:pPr>
    <w:rPr>
      <w:rFonts w:ascii="Carlito" w:hAnsi="Carlito" w:cs="Arial Unicode MS"/>
      <w:b/>
      <w:bCs/>
      <w:color w:val="1F4D78"/>
      <w:sz w:val="24"/>
      <w:szCs w:val="24"/>
      <w:u w:color="1F4D78"/>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styleId="NoSpacing">
    <w:name w:val="No Spacing"/>
    <w:link w:val="NoSpacingChar"/>
    <w:uiPriority w:val="1"/>
    <w:qFormat/>
    <w:rsid w:val="009F525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US" w:eastAsia="en-US"/>
    </w:rPr>
  </w:style>
  <w:style w:type="character" w:customStyle="1" w:styleId="NoSpacingChar">
    <w:name w:val="No Spacing Char"/>
    <w:basedOn w:val="DefaultParagraphFont"/>
    <w:link w:val="NoSpacing"/>
    <w:uiPriority w:val="1"/>
    <w:rsid w:val="009F525C"/>
    <w:rPr>
      <w:rFonts w:asciiTheme="minorHAnsi" w:eastAsiaTheme="minorEastAsia" w:hAnsiTheme="minorHAnsi" w:cstheme="minorBidi"/>
      <w:sz w:val="22"/>
      <w:szCs w:val="22"/>
      <w:bdr w:val="none" w:sz="0" w:space="0" w:color="auto"/>
      <w:lang w:val="en-US" w:eastAsia="en-US"/>
    </w:rPr>
  </w:style>
  <w:style w:type="paragraph" w:styleId="Header">
    <w:name w:val="header"/>
    <w:basedOn w:val="Normal"/>
    <w:link w:val="HeaderChar"/>
    <w:uiPriority w:val="99"/>
    <w:unhideWhenUsed/>
    <w:rsid w:val="003252AD"/>
    <w:pPr>
      <w:tabs>
        <w:tab w:val="center" w:pos="4513"/>
        <w:tab w:val="right" w:pos="9026"/>
      </w:tabs>
    </w:pPr>
  </w:style>
  <w:style w:type="character" w:customStyle="1" w:styleId="HeaderChar">
    <w:name w:val="Header Char"/>
    <w:basedOn w:val="DefaultParagraphFont"/>
    <w:link w:val="Header"/>
    <w:uiPriority w:val="99"/>
    <w:rsid w:val="003252AD"/>
    <w:rPr>
      <w:sz w:val="24"/>
      <w:szCs w:val="24"/>
      <w:lang w:val="en-US" w:eastAsia="en-US"/>
    </w:rPr>
  </w:style>
  <w:style w:type="paragraph" w:styleId="Footer">
    <w:name w:val="footer"/>
    <w:basedOn w:val="Normal"/>
    <w:link w:val="FooterChar"/>
    <w:uiPriority w:val="99"/>
    <w:unhideWhenUsed/>
    <w:rsid w:val="003252AD"/>
    <w:pPr>
      <w:tabs>
        <w:tab w:val="center" w:pos="4513"/>
        <w:tab w:val="right" w:pos="9026"/>
      </w:tabs>
    </w:pPr>
  </w:style>
  <w:style w:type="character" w:customStyle="1" w:styleId="FooterChar">
    <w:name w:val="Footer Char"/>
    <w:basedOn w:val="DefaultParagraphFont"/>
    <w:link w:val="Footer"/>
    <w:uiPriority w:val="99"/>
    <w:rsid w:val="003252A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moodle.uwtsd.ac.uk/course/view.php?id=843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rofile/Dylan-Wiliam/publication/44835745_Working_Inside_the_Black_Box_Assessment_for_Learning_in_the_Classroom/links/0c9605262f88548687000000/Working-Inside-the-Black-Box-Assessment-for-Learning-in-the-Classroom.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ambridgeinternational.org/Images/584543-great-teaching-toolkit-evidence-review.pdf" TargetMode="External"/><Relationship Id="rId4" Type="http://schemas.openxmlformats.org/officeDocument/2006/relationships/styles" Target="styles.xml"/><Relationship Id="rId9" Type="http://schemas.openxmlformats.org/officeDocument/2006/relationships/hyperlink" Target="https://www.suttontrust.com/wp-content/uploads/2014/10/What-Makes-Great-Teaching-REPORT.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9a508eca77da8ea20daea9a1cfe68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b0cbb2030b3023d4054375e64829c7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7DFEAA-6C05-42D7-A60D-ED319B7D7E4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276A2D-BB61-4AF2-9FA5-6743FA973405}">
  <ds:schemaRefs>
    <ds:schemaRef ds:uri="http://schemas.microsoft.com/sharepoint/v3/contenttype/forms"/>
  </ds:schemaRefs>
</ds:datastoreItem>
</file>

<file path=customXml/itemProps3.xml><?xml version="1.0" encoding="utf-8"?>
<ds:datastoreItem xmlns:ds="http://schemas.openxmlformats.org/officeDocument/2006/customXml" ds:itemID="{0F525844-31B9-48A9-AAF3-FC063CFDCE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18</Pages>
  <Words>4628</Words>
  <Characters>26383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ECAD6008-PROFESSIONAL AND PEDAGOGIC STUDIES: LEADING THE LEARNING: WHAT, HOW AND WHY AM I TEACHING?</dc:title>
  <cp:lastModifiedBy>Lainey Gallo (1900747)</cp:lastModifiedBy>
  <cp:revision>78</cp:revision>
  <dcterms:created xsi:type="dcterms:W3CDTF">2022-04-05T15:52:00Z</dcterms:created>
  <dcterms:modified xsi:type="dcterms:W3CDTF">2022-04-08T19:15:00Z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