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49D5F" w14:textId="2B7549C1" w:rsidR="00C857E6" w:rsidRPr="00E41B92" w:rsidRDefault="00C857E6">
      <w:pPr>
        <w:rPr>
          <w:rFonts w:ascii="Amasis MT Pro Light" w:hAnsi="Amasis MT Pro Light"/>
          <w:sz w:val="28"/>
          <w:szCs w:val="28"/>
          <w:u w:val="single"/>
        </w:rPr>
      </w:pPr>
      <w:r w:rsidRPr="00E41B92">
        <w:rPr>
          <w:rFonts w:ascii="Amasis MT Pro Light" w:hAnsi="Amasis MT Pro Light"/>
          <w:sz w:val="28"/>
          <w:szCs w:val="28"/>
          <w:u w:val="single"/>
        </w:rPr>
        <w:t>Introduction</w:t>
      </w:r>
    </w:p>
    <w:p w14:paraId="68545EBA" w14:textId="27924817" w:rsidR="00ED2FB6" w:rsidRPr="00CE561C" w:rsidRDefault="000D2D48">
      <w:pPr>
        <w:rPr>
          <w:rFonts w:ascii="Amasis MT Pro Light" w:hAnsi="Amasis MT Pro Light"/>
        </w:rPr>
      </w:pPr>
      <w:r w:rsidRPr="00CE561C">
        <w:rPr>
          <w:rFonts w:ascii="Amasis MT Pro Light" w:hAnsi="Amasis MT Pro Light"/>
        </w:rPr>
        <w:t>I</w:t>
      </w:r>
      <w:r w:rsidR="00ED2FB6" w:rsidRPr="00CE561C">
        <w:rPr>
          <w:rFonts w:ascii="Amasis MT Pro Light" w:hAnsi="Amasis MT Pro Light"/>
        </w:rPr>
        <w:t>n our relentless pursuit of affordable and effective food production, we have inadvertently disregarded the significance of other essential non-food support and natural assets, also known as organic capital, that are necessary to sustain them.</w:t>
      </w:r>
    </w:p>
    <w:p w14:paraId="5D5D0A25" w14:textId="6A51443D" w:rsidR="00ED2FB6" w:rsidRPr="00CE561C" w:rsidRDefault="00ED2FB6">
      <w:pPr>
        <w:rPr>
          <w:rFonts w:ascii="Amasis MT Pro Light" w:hAnsi="Amasis MT Pro Light"/>
        </w:rPr>
      </w:pPr>
      <w:r w:rsidRPr="00CE561C">
        <w:rPr>
          <w:rFonts w:ascii="Amasis MT Pro Light" w:hAnsi="Amasis MT Pro Light"/>
        </w:rPr>
        <w:t>However Agricultural landscapes are incredibly significant ecosystems on our planet, covering a substantial portion of the ice-free land area and a significant percentage of potentially productive land (Ramankutty et al., 2008). This investigative research paper aims to explore the coexistence of Ecosystem Service Delivery and Agricultural Landscape Resilience.</w:t>
      </w:r>
    </w:p>
    <w:p w14:paraId="7218C8C2" w14:textId="77777777" w:rsidR="007E553B" w:rsidRPr="00CE561C" w:rsidRDefault="00C22178" w:rsidP="00C22178">
      <w:pPr>
        <w:rPr>
          <w:rFonts w:ascii="Amasis MT Pro Light" w:hAnsi="Amasis MT Pro Light"/>
        </w:rPr>
      </w:pPr>
      <w:r w:rsidRPr="00CE561C">
        <w:rPr>
          <w:rFonts w:ascii="Amasis MT Pro Light" w:hAnsi="Amasis MT Pro Light"/>
        </w:rPr>
        <w:t>The current state of Earth is heavily shaped by human activities, with our significant impact on the biosphere leading to the emergence of various new social-ecological phenomena (Ellis, 2011). Despite the rapid changes occurring in the planet's ecosystems, it is crucial to recognise that human wellbeing is fundamentally reliant on the environmental sustaining mechanisms provided by these natural settings (</w:t>
      </w:r>
      <w:proofErr w:type="spellStart"/>
      <w:r w:rsidRPr="00CE561C">
        <w:rPr>
          <w:rFonts w:ascii="Amasis MT Pro Light" w:hAnsi="Amasis MT Pro Light"/>
        </w:rPr>
        <w:t>Vitousek</w:t>
      </w:r>
      <w:proofErr w:type="spellEnd"/>
      <w:r w:rsidRPr="00CE561C">
        <w:rPr>
          <w:rFonts w:ascii="Amasis MT Pro Light" w:hAnsi="Amasis MT Pro Light"/>
        </w:rPr>
        <w:t xml:space="preserve"> et al., 1986). </w:t>
      </w:r>
    </w:p>
    <w:p w14:paraId="51CDF03B" w14:textId="77777777" w:rsidR="007E553B" w:rsidRPr="00CE561C" w:rsidRDefault="00C22178" w:rsidP="00C22178">
      <w:pPr>
        <w:rPr>
          <w:rFonts w:ascii="Amasis MT Pro Light" w:hAnsi="Amasis MT Pro Light"/>
        </w:rPr>
      </w:pPr>
      <w:r w:rsidRPr="00CE561C">
        <w:rPr>
          <w:rFonts w:ascii="Amasis MT Pro Light" w:hAnsi="Amasis MT Pro Light"/>
        </w:rPr>
        <w:t>In addition, it is worth noting that despite the growing body of evidence highlighting our reliance on natural capital, the crucial ecosystem services that provide us with life support are often overlooked</w:t>
      </w:r>
      <w:r w:rsidR="00C94CBA" w:rsidRPr="00CE561C">
        <w:rPr>
          <w:rFonts w:ascii="Amasis MT Pro Light" w:hAnsi="Amasis MT Pro Light"/>
        </w:rPr>
        <w:t xml:space="preserve"> and </w:t>
      </w:r>
      <w:r w:rsidRPr="00CE561C">
        <w:rPr>
          <w:rFonts w:ascii="Amasis MT Pro Light" w:hAnsi="Amasis MT Pro Light"/>
        </w:rPr>
        <w:t>or undervalued (Daily, 1997; Folke, 1991; Rockstrom et al., 1999).</w:t>
      </w:r>
    </w:p>
    <w:p w14:paraId="68F8D754" w14:textId="3BDABE93" w:rsidR="0024353F" w:rsidRPr="00CE561C" w:rsidRDefault="00C22178" w:rsidP="00C22178">
      <w:pPr>
        <w:rPr>
          <w:rFonts w:ascii="Amasis MT Pro Light" w:hAnsi="Amasis MT Pro Light"/>
        </w:rPr>
      </w:pPr>
      <w:r w:rsidRPr="00CE561C">
        <w:rPr>
          <w:rFonts w:ascii="Amasis MT Pro Light" w:hAnsi="Amasis MT Pro Light"/>
        </w:rPr>
        <w:t xml:space="preserve">likewise, it should be noteworthy that regardless of the growing body of evidence highlighting our reliance on natural capital, the crucial ecosystem services that it provides are often overlooked or undervalued (Daily, 1997; Folke, 1991; Rockstrom et al., 1999). </w:t>
      </w:r>
      <w:r w:rsidR="00332960" w:rsidRPr="00CE561C">
        <w:rPr>
          <w:rFonts w:ascii="Amasis MT Pro Light" w:hAnsi="Amasis MT Pro Light"/>
        </w:rPr>
        <w:t>Agricultural areas serve as a clear example of this phenomenon, providing significant advantages to society.</w:t>
      </w:r>
    </w:p>
    <w:p w14:paraId="752AECDA" w14:textId="5D88955A" w:rsidR="00A77CC1" w:rsidRPr="00CE561C" w:rsidRDefault="00E558D8">
      <w:pPr>
        <w:rPr>
          <w:rFonts w:ascii="Amasis MT Pro Light" w:hAnsi="Amasis MT Pro Light"/>
          <w:sz w:val="32"/>
          <w:szCs w:val="32"/>
        </w:rPr>
      </w:pPr>
      <w:r w:rsidRPr="00CE561C">
        <w:rPr>
          <w:rFonts w:ascii="Amasis MT Pro Light" w:hAnsi="Amasis MT Pro Light"/>
          <w:sz w:val="32"/>
          <w:szCs w:val="32"/>
        </w:rPr>
        <w:t>Literature review</w:t>
      </w:r>
    </w:p>
    <w:p w14:paraId="70DD88D4" w14:textId="77777777" w:rsidR="005467FF" w:rsidRPr="00CE561C" w:rsidRDefault="005467FF" w:rsidP="005F6EFD">
      <w:pPr>
        <w:rPr>
          <w:rFonts w:ascii="Amasis MT Pro Light" w:hAnsi="Amasis MT Pro Light"/>
          <w:sz w:val="22"/>
          <w:szCs w:val="22"/>
        </w:rPr>
      </w:pPr>
      <w:bookmarkStart w:id="0" w:name="_Hlk158368728"/>
    </w:p>
    <w:p w14:paraId="41538182" w14:textId="77777777" w:rsidR="005467FF" w:rsidRPr="00CE561C" w:rsidRDefault="005467FF" w:rsidP="005F6EFD">
      <w:pPr>
        <w:rPr>
          <w:rFonts w:ascii="Amasis MT Pro Light" w:hAnsi="Amasis MT Pro Light"/>
          <w:sz w:val="22"/>
          <w:szCs w:val="22"/>
        </w:rPr>
      </w:pPr>
    </w:p>
    <w:p w14:paraId="743EF091" w14:textId="77777777" w:rsidR="005467FF" w:rsidRPr="00CE561C" w:rsidRDefault="005467FF" w:rsidP="005F6EFD">
      <w:pPr>
        <w:rPr>
          <w:rFonts w:ascii="Amasis MT Pro Light" w:hAnsi="Amasis MT Pro Light"/>
          <w:sz w:val="22"/>
          <w:szCs w:val="22"/>
        </w:rPr>
      </w:pPr>
    </w:p>
    <w:p w14:paraId="6902E281" w14:textId="77777777" w:rsidR="005467FF" w:rsidRPr="00CE561C" w:rsidRDefault="005467FF" w:rsidP="005F6EFD">
      <w:pPr>
        <w:rPr>
          <w:rFonts w:ascii="Amasis MT Pro Light" w:hAnsi="Amasis MT Pro Light"/>
          <w:sz w:val="22"/>
          <w:szCs w:val="22"/>
        </w:rPr>
      </w:pPr>
    </w:p>
    <w:p w14:paraId="70763FCA" w14:textId="77777777" w:rsidR="005467FF" w:rsidRPr="00CE561C" w:rsidRDefault="005467FF" w:rsidP="005F6EFD">
      <w:pPr>
        <w:rPr>
          <w:rFonts w:ascii="Amasis MT Pro Light" w:hAnsi="Amasis MT Pro Light"/>
          <w:sz w:val="22"/>
          <w:szCs w:val="22"/>
        </w:rPr>
      </w:pPr>
    </w:p>
    <w:p w14:paraId="0059F57B" w14:textId="77777777" w:rsidR="005467FF" w:rsidRPr="00CE561C" w:rsidRDefault="005467FF" w:rsidP="005F6EFD">
      <w:pPr>
        <w:rPr>
          <w:rFonts w:ascii="Amasis MT Pro Light" w:hAnsi="Amasis MT Pro Light"/>
          <w:sz w:val="22"/>
          <w:szCs w:val="22"/>
        </w:rPr>
      </w:pPr>
    </w:p>
    <w:p w14:paraId="11C5387E" w14:textId="77777777" w:rsidR="005467FF" w:rsidRPr="00CE561C" w:rsidRDefault="005467FF" w:rsidP="005F6EFD">
      <w:pPr>
        <w:rPr>
          <w:rFonts w:ascii="Amasis MT Pro Light" w:hAnsi="Amasis MT Pro Light"/>
          <w:sz w:val="22"/>
          <w:szCs w:val="22"/>
        </w:rPr>
      </w:pPr>
    </w:p>
    <w:p w14:paraId="7B0633A6" w14:textId="77777777" w:rsidR="005467FF" w:rsidRPr="00CE561C" w:rsidRDefault="005467FF" w:rsidP="005F6EFD">
      <w:pPr>
        <w:rPr>
          <w:rFonts w:ascii="Amasis MT Pro Light" w:hAnsi="Amasis MT Pro Light"/>
          <w:sz w:val="22"/>
          <w:szCs w:val="22"/>
        </w:rPr>
      </w:pPr>
    </w:p>
    <w:p w14:paraId="5182028F" w14:textId="77777777" w:rsidR="005467FF" w:rsidRPr="00CE561C" w:rsidRDefault="005467FF" w:rsidP="005F6EFD">
      <w:pPr>
        <w:rPr>
          <w:rFonts w:ascii="Amasis MT Pro Light" w:hAnsi="Amasis MT Pro Light"/>
          <w:sz w:val="22"/>
          <w:szCs w:val="22"/>
        </w:rPr>
      </w:pPr>
    </w:p>
    <w:p w14:paraId="073A8299" w14:textId="77777777" w:rsidR="005467FF" w:rsidRPr="00CE561C" w:rsidRDefault="005467FF" w:rsidP="005F6EFD">
      <w:pPr>
        <w:rPr>
          <w:rFonts w:ascii="Amasis MT Pro Light" w:hAnsi="Amasis MT Pro Light"/>
          <w:sz w:val="22"/>
          <w:szCs w:val="22"/>
        </w:rPr>
      </w:pPr>
    </w:p>
    <w:p w14:paraId="209C5FEC" w14:textId="77777777" w:rsidR="005467FF" w:rsidRPr="00CE561C" w:rsidRDefault="005467FF" w:rsidP="005F6EFD">
      <w:pPr>
        <w:rPr>
          <w:rFonts w:ascii="Amasis MT Pro Light" w:hAnsi="Amasis MT Pro Light"/>
          <w:sz w:val="22"/>
          <w:szCs w:val="22"/>
        </w:rPr>
      </w:pPr>
    </w:p>
    <w:p w14:paraId="052A1125" w14:textId="0FE0DF0D" w:rsidR="005F6EFD" w:rsidRPr="00CE561C" w:rsidRDefault="005F6EFD" w:rsidP="0044192F">
      <w:pPr>
        <w:pStyle w:val="ListParagraph"/>
        <w:numPr>
          <w:ilvl w:val="0"/>
          <w:numId w:val="10"/>
        </w:numPr>
        <w:rPr>
          <w:rFonts w:ascii="Amasis MT Pro Light" w:hAnsi="Amasis MT Pro Light"/>
          <w:sz w:val="28"/>
          <w:szCs w:val="28"/>
        </w:rPr>
      </w:pPr>
      <w:r w:rsidRPr="00CE561C">
        <w:rPr>
          <w:rFonts w:ascii="Amasis MT Pro Light" w:hAnsi="Amasis MT Pro Light"/>
          <w:sz w:val="28"/>
          <w:szCs w:val="28"/>
        </w:rPr>
        <w:lastRenderedPageBreak/>
        <w:t>Ecological indicators for A resilient landscape.</w:t>
      </w:r>
    </w:p>
    <w:p w14:paraId="3E119458" w14:textId="4AD2B317" w:rsidR="005467FF" w:rsidRPr="00CE561C" w:rsidRDefault="005F6EFD" w:rsidP="0044192F">
      <w:pPr>
        <w:pStyle w:val="ListParagraph"/>
        <w:numPr>
          <w:ilvl w:val="1"/>
          <w:numId w:val="9"/>
        </w:numPr>
        <w:rPr>
          <w:rFonts w:ascii="Amasis MT Pro Light" w:hAnsi="Amasis MT Pro Light"/>
          <w:sz w:val="28"/>
          <w:szCs w:val="28"/>
        </w:rPr>
      </w:pPr>
      <w:r w:rsidRPr="00CE561C">
        <w:rPr>
          <w:rFonts w:ascii="Amasis MT Pro Light" w:hAnsi="Amasis MT Pro Light"/>
          <w:sz w:val="28"/>
          <w:szCs w:val="28"/>
        </w:rPr>
        <w:t>“</w:t>
      </w:r>
      <w:bookmarkStart w:id="1" w:name="_Hlk158301439"/>
      <w:r w:rsidRPr="00CE561C">
        <w:rPr>
          <w:rFonts w:ascii="Amasis MT Pro Light" w:hAnsi="Amasis MT Pro Light"/>
          <w:sz w:val="28"/>
          <w:szCs w:val="28"/>
        </w:rPr>
        <w:t xml:space="preserve">Measures of the effects of agricultural practices on ecosystem services </w:t>
      </w:r>
      <w:bookmarkEnd w:id="1"/>
      <w:r w:rsidRPr="00CE561C">
        <w:rPr>
          <w:rFonts w:ascii="Amasis MT Pro Light" w:hAnsi="Amasis MT Pro Light"/>
          <w:sz w:val="28"/>
          <w:szCs w:val="28"/>
        </w:rPr>
        <w:t>by Virginia H. Dalea,</w:t>
      </w:r>
      <w:r w:rsidRPr="00CE561C">
        <w:rPr>
          <w:rFonts w:ascii="Times New Roman" w:hAnsi="Times New Roman" w:cs="Times New Roman"/>
          <w:sz w:val="28"/>
          <w:szCs w:val="28"/>
        </w:rPr>
        <w:t xml:space="preserve"> ⁎</w:t>
      </w:r>
      <w:r w:rsidRPr="00CE561C">
        <w:rPr>
          <w:rFonts w:ascii="Amasis MT Pro Light" w:hAnsi="Amasis MT Pro Light"/>
          <w:sz w:val="28"/>
          <w:szCs w:val="28"/>
        </w:rPr>
        <w:t>, Stephen Polaskyb”.</w:t>
      </w:r>
    </w:p>
    <w:p w14:paraId="7DFD4649" w14:textId="1F997BA7" w:rsidR="008F25CA" w:rsidRPr="00CE561C" w:rsidRDefault="008B0394" w:rsidP="005F6EFD">
      <w:pPr>
        <w:rPr>
          <w:rFonts w:ascii="Amasis MT Pro Light" w:hAnsi="Amasis MT Pro Light"/>
        </w:rPr>
      </w:pPr>
      <w:r w:rsidRPr="00CE561C">
        <w:rPr>
          <w:rFonts w:ascii="Amasis MT Pro Light" w:hAnsi="Amasis MT Pro Light"/>
        </w:rPr>
        <w:t>Abstract</w:t>
      </w:r>
      <w:r w:rsidR="008F25CA" w:rsidRPr="00CE561C">
        <w:rPr>
          <w:rFonts w:ascii="Amasis MT Pro Light" w:hAnsi="Amasis MT Pro Light"/>
        </w:rPr>
        <w:t xml:space="preserve">: There are numerous advantages to consider, encompassing not only the cultivation of food but also a range of non-food benefits to the environment. In addition, there are multiple benefits to consider, including erosion and flood control, the establishment of habitats for pollinators, carbon capture and storage, the enhancement of scenic views, and a profound connection to the natural environment experienced by many individuals (Malinga et al., 2018).  Yet, there is ample opportunity for analysis and a possibility of ambiguity when it comes to comprehending landscape resilience and the services offered by ecosystems. </w:t>
      </w:r>
      <w:r w:rsidR="005467FF" w:rsidRPr="00CE561C">
        <w:rPr>
          <w:rFonts w:ascii="Amasis MT Pro Light" w:hAnsi="Amasis MT Pro Light"/>
        </w:rPr>
        <w:t>However, there remains a few essentials to consider.</w:t>
      </w:r>
    </w:p>
    <w:p w14:paraId="6F03C5C9" w14:textId="7E13FD82" w:rsidR="005F6EFD" w:rsidRPr="00CE561C" w:rsidRDefault="000D72A7" w:rsidP="005F6EFD">
      <w:pPr>
        <w:rPr>
          <w:rFonts w:ascii="Amasis MT Pro Light" w:hAnsi="Amasis MT Pro Light"/>
        </w:rPr>
      </w:pPr>
      <w:r w:rsidRPr="00CE561C">
        <w:rPr>
          <w:rFonts w:ascii="Amasis MT Pro Light" w:hAnsi="Amasis MT Pro Light"/>
          <w:sz w:val="32"/>
          <w:szCs w:val="32"/>
        </w:rPr>
        <w:t xml:space="preserve">1.2 </w:t>
      </w:r>
      <w:r w:rsidRPr="00CE561C">
        <w:rPr>
          <w:rFonts w:ascii="Amasis MT Pro Light" w:hAnsi="Amasis MT Pro Light"/>
        </w:rPr>
        <w:t>Attributes</w:t>
      </w:r>
      <w:r w:rsidR="005F6EFD" w:rsidRPr="00CE561C">
        <w:rPr>
          <w:rFonts w:ascii="Amasis MT Pro Light" w:hAnsi="Amasis MT Pro Light"/>
        </w:rPr>
        <w:t xml:space="preserve"> possessed by an indicator: Resilience through the selection of indicators is shaped by the trade-offs among different attributes, expenses, and practicality (Dale and Beyeler, 2001). Given the complex nature of ecological systems, it is essential to consider multiple indicators to capture the important attributes of interest (</w:t>
      </w:r>
      <w:proofErr w:type="spellStart"/>
      <w:r w:rsidR="005F6EFD" w:rsidRPr="00CE561C">
        <w:rPr>
          <w:rFonts w:ascii="Amasis MT Pro Light" w:hAnsi="Amasis MT Pro Light"/>
        </w:rPr>
        <w:t>Bockstaller</w:t>
      </w:r>
      <w:proofErr w:type="spellEnd"/>
      <w:r w:rsidR="005F6EFD" w:rsidRPr="00CE561C">
        <w:rPr>
          <w:rFonts w:ascii="Amasis MT Pro Light" w:hAnsi="Amasis MT Pro Light"/>
        </w:rPr>
        <w:t xml:space="preserve"> et al., 1997; Dale et al., 2004). However, the analysis of interrelated ecosystem-related products and principles poses several empirical and theoretical challenges (Turner et al., 2003) Ecological indicators serve multiple purposes, such as evaluating the state of the environment, tracking changes over time, detecting early signs of ecological shifts, and identifying the root causes of environmental issues (Cairns et al., 1993).</w:t>
      </w:r>
    </w:p>
    <w:p w14:paraId="7EC7A488" w14:textId="3A103E6F" w:rsidR="005F6EFD" w:rsidRPr="00CE561C" w:rsidRDefault="005F6EFD" w:rsidP="005F6EFD">
      <w:pPr>
        <w:rPr>
          <w:rFonts w:ascii="Amasis MT Pro Light" w:hAnsi="Amasis MT Pro Light"/>
        </w:rPr>
      </w:pPr>
      <w:r w:rsidRPr="00CE561C">
        <w:rPr>
          <w:rFonts w:ascii="Amasis MT Pro Light" w:hAnsi="Amasis MT Pro Light"/>
        </w:rPr>
        <w:t>What can an indicator do: The physical makeup of an environment is shaped by a multitude of factors, including the placement of different components, the shape and size of patches, the level of fragmentation and connectivity, in addition to the state of the substrates and soil, the permeability of the canopy, and the characteristics of gaps. In addition, the distribution, bandwidth, and morphological ones such fluctuations of species and populations also contribute to shaping the whole structure.</w:t>
      </w:r>
      <w:r w:rsidR="00BA04F0" w:rsidRPr="00CE561C">
        <w:t xml:space="preserve"> </w:t>
      </w:r>
      <w:r w:rsidR="00BA04F0" w:rsidRPr="00CE561C">
        <w:rPr>
          <w:rFonts w:ascii="Amasis MT Pro Light" w:hAnsi="Amasis MT Pro Light"/>
        </w:rPr>
        <w:t>(Noon et al., 1999)</w:t>
      </w:r>
      <w:r w:rsidRPr="00CE561C">
        <w:rPr>
          <w:rFonts w:ascii="Amasis MT Pro Light" w:hAnsi="Amasis MT Pro Light"/>
        </w:rPr>
        <w:t xml:space="preserve"> </w:t>
      </w:r>
    </w:p>
    <w:p w14:paraId="4BFFE0A1" w14:textId="55445DBA" w:rsidR="005F6EFD" w:rsidRPr="00CE561C" w:rsidRDefault="00507484" w:rsidP="005F6EFD">
      <w:pPr>
        <w:rPr>
          <w:rFonts w:ascii="Amasis MT Pro Light" w:hAnsi="Amasis MT Pro Light"/>
        </w:rPr>
      </w:pPr>
      <w:r w:rsidRPr="00CE561C">
        <w:rPr>
          <w:rFonts w:ascii="Amasis MT Pro Light" w:hAnsi="Amasis MT Pro Light"/>
        </w:rPr>
        <w:t>But</w:t>
      </w:r>
      <w:r w:rsidR="005F6EFD" w:rsidRPr="00CE561C">
        <w:rPr>
          <w:rFonts w:ascii="Amasis MT Pro Light" w:hAnsi="Amasis MT Pro Light"/>
        </w:rPr>
        <w:t xml:space="preserve"> the idea of A function</w:t>
      </w:r>
      <w:r w:rsidR="001E10E2" w:rsidRPr="00CE561C">
        <w:rPr>
          <w:rFonts w:ascii="Amasis MT Pro Light" w:hAnsi="Amasis MT Pro Light"/>
        </w:rPr>
        <w:t xml:space="preserve"> indicator </w:t>
      </w:r>
      <w:r w:rsidR="005F6EFD" w:rsidRPr="00CE561C">
        <w:rPr>
          <w:rFonts w:ascii="Amasis MT Pro Light" w:hAnsi="Amasis MT Pro Light"/>
        </w:rPr>
        <w:t xml:space="preserve">encompasses different aspects of ecological structures, covering the ongoing existence of patches and cycling of nutrients to erosion and disruption regimes at the geographic or region level. When examining the ecosystem and community level, various factors come into play such as productivity, break down, trophic interactions, and succession. Lastly, it covers aspects related to population and species, including demographics physiological research, life expectancy patterns, and </w:t>
      </w:r>
      <w:r w:rsidR="00502450" w:rsidRPr="00CE561C">
        <w:rPr>
          <w:rFonts w:ascii="Amasis MT Pro Light" w:hAnsi="Amasis MT Pro Light"/>
        </w:rPr>
        <w:t>adaptation. (Noon et al., 1999)</w:t>
      </w:r>
    </w:p>
    <w:p w14:paraId="325957A2" w14:textId="46EF550B" w:rsidR="005F6EFD" w:rsidRPr="00CE561C" w:rsidRDefault="005F6EFD" w:rsidP="00372AC6">
      <w:pPr>
        <w:pStyle w:val="ListParagraph"/>
        <w:numPr>
          <w:ilvl w:val="1"/>
          <w:numId w:val="10"/>
        </w:numPr>
        <w:rPr>
          <w:rFonts w:ascii="Amasis MT Pro Light" w:hAnsi="Amasis MT Pro Light"/>
          <w:sz w:val="28"/>
          <w:szCs w:val="28"/>
        </w:rPr>
      </w:pPr>
      <w:bookmarkStart w:id="2" w:name="_Hlk158568724"/>
      <w:r w:rsidRPr="00CE561C">
        <w:rPr>
          <w:rFonts w:ascii="Amasis MT Pro Light" w:hAnsi="Amasis MT Pro Light"/>
          <w:sz w:val="28"/>
          <w:szCs w:val="28"/>
        </w:rPr>
        <w:t xml:space="preserve">“Challenges in the development and use of ecological indicators Virginia H. Dale </w:t>
      </w:r>
      <w:proofErr w:type="gramStart"/>
      <w:r w:rsidRPr="00CE561C">
        <w:rPr>
          <w:rFonts w:ascii="Amasis MT Pro Light" w:hAnsi="Amasis MT Pro Light"/>
          <w:sz w:val="28"/>
          <w:szCs w:val="28"/>
        </w:rPr>
        <w:t>a,</w:t>
      </w:r>
      <w:r w:rsidRPr="00CE561C">
        <w:rPr>
          <w:rFonts w:ascii="Cambria Math" w:hAnsi="Cambria Math" w:cs="Cambria Math"/>
          <w:sz w:val="28"/>
          <w:szCs w:val="28"/>
        </w:rPr>
        <w:t>∗</w:t>
      </w:r>
      <w:proofErr w:type="gramEnd"/>
      <w:r w:rsidRPr="00CE561C">
        <w:rPr>
          <w:rFonts w:ascii="Amasis MT Pro Light" w:hAnsi="Amasis MT Pro Light"/>
          <w:sz w:val="28"/>
          <w:szCs w:val="28"/>
        </w:rPr>
        <w:t>, Suzanne C. Beyeler b,1”</w:t>
      </w:r>
    </w:p>
    <w:p w14:paraId="5C7198C3" w14:textId="4CA2149C" w:rsidR="005F6EFD" w:rsidRPr="00CE561C" w:rsidRDefault="00302837" w:rsidP="005F6EFD">
      <w:pPr>
        <w:rPr>
          <w:rFonts w:ascii="Amasis MT Pro Light" w:hAnsi="Amasis MT Pro Light"/>
        </w:rPr>
      </w:pPr>
      <w:r w:rsidRPr="00CE561C">
        <w:rPr>
          <w:rFonts w:ascii="Amasis MT Pro Light" w:hAnsi="Amasis MT Pro Light"/>
        </w:rPr>
        <w:t>Yet</w:t>
      </w:r>
      <w:r w:rsidR="005F6EFD" w:rsidRPr="00CE561C">
        <w:rPr>
          <w:rFonts w:ascii="Amasis MT Pro Light" w:hAnsi="Amasis MT Pro Light"/>
        </w:rPr>
        <w:t xml:space="preserve">, an ecological indicator can only go so far as to make the landscape so Resistant the challenges </w:t>
      </w:r>
      <w:r w:rsidRPr="00CE561C">
        <w:rPr>
          <w:rFonts w:ascii="Amasis MT Pro Light" w:hAnsi="Amasis MT Pro Light"/>
        </w:rPr>
        <w:t>implementing.</w:t>
      </w:r>
      <w:r w:rsidR="005F6EFD" w:rsidRPr="00CE561C">
        <w:rPr>
          <w:rFonts w:ascii="Amasis MT Pro Light" w:hAnsi="Amasis MT Pro Light"/>
        </w:rPr>
        <w:t xml:space="preserve">  </w:t>
      </w:r>
    </w:p>
    <w:p w14:paraId="5C3A9641" w14:textId="7CDB5F71" w:rsidR="002E7310" w:rsidRPr="00CE561C" w:rsidRDefault="005F6EFD" w:rsidP="005455BC">
      <w:pPr>
        <w:rPr>
          <w:rFonts w:ascii="Amasis MT Pro Light" w:hAnsi="Amasis MT Pro Light"/>
        </w:rPr>
      </w:pPr>
      <w:r w:rsidRPr="00CE561C">
        <w:rPr>
          <w:rFonts w:ascii="Amasis MT Pro Light" w:hAnsi="Amasis MT Pro Light"/>
        </w:rPr>
        <w:lastRenderedPageBreak/>
        <w:t>Indicator challenges and the need for solutions:  Keeping track of programmes frequently rely on a limited set of variables and, as a result, overlook the intricate nature of the natural environment. Selection of ecological indicators can be complicated in management programmes with unclear targets and goals for the future.  Many oversight and evaluation programmes suffer from a lack of scientific rigour due to their inability to utilise a well-defined procedure to recognise environmental indications.</w:t>
      </w:r>
      <w:bookmarkEnd w:id="2"/>
      <w:r w:rsidR="007422C5" w:rsidRPr="00CE561C">
        <w:rPr>
          <w:rFonts w:ascii="Amasis MT Pro Light" w:hAnsi="Amasis MT Pro Light"/>
        </w:rPr>
        <w:t xml:space="preserve"> (Landres et al., 1998)</w:t>
      </w:r>
    </w:p>
    <w:p w14:paraId="63A4E507" w14:textId="02AC9CA2" w:rsidR="00CD250E" w:rsidRPr="00CE561C" w:rsidRDefault="0044192F" w:rsidP="005455BC">
      <w:pPr>
        <w:rPr>
          <w:rFonts w:ascii="Amasis MT Pro Light" w:hAnsi="Amasis MT Pro Light"/>
          <w:sz w:val="28"/>
          <w:szCs w:val="28"/>
        </w:rPr>
      </w:pPr>
      <w:r w:rsidRPr="00CE561C">
        <w:rPr>
          <w:rFonts w:ascii="Amasis MT Pro Light" w:hAnsi="Amasis MT Pro Light"/>
          <w:sz w:val="28"/>
          <w:szCs w:val="28"/>
        </w:rPr>
        <w:t xml:space="preserve">2 </w:t>
      </w:r>
      <w:r w:rsidR="00F65AC6" w:rsidRPr="00CE561C">
        <w:rPr>
          <w:rFonts w:ascii="Amasis MT Pro Light" w:hAnsi="Amasis MT Pro Light"/>
          <w:sz w:val="28"/>
          <w:szCs w:val="28"/>
        </w:rPr>
        <w:t>The trade-offs</w:t>
      </w:r>
      <w:r w:rsidR="003B0705" w:rsidRPr="00CE561C">
        <w:rPr>
          <w:rFonts w:ascii="Amasis MT Pro Light" w:hAnsi="Amasis MT Pro Light"/>
          <w:sz w:val="28"/>
          <w:szCs w:val="28"/>
        </w:rPr>
        <w:t>.</w:t>
      </w:r>
      <w:r w:rsidR="00F65AC6" w:rsidRPr="00CE561C">
        <w:rPr>
          <w:rFonts w:ascii="Amasis MT Pro Light" w:hAnsi="Amasis MT Pro Light"/>
          <w:sz w:val="28"/>
          <w:szCs w:val="28"/>
        </w:rPr>
        <w:t xml:space="preserve"> </w:t>
      </w:r>
    </w:p>
    <w:p w14:paraId="54DC3D34" w14:textId="4A583812" w:rsidR="00B705D8" w:rsidRPr="00CE561C" w:rsidRDefault="005455BC" w:rsidP="0044192F">
      <w:pPr>
        <w:pStyle w:val="ListParagraph"/>
        <w:numPr>
          <w:ilvl w:val="1"/>
          <w:numId w:val="11"/>
        </w:numPr>
        <w:rPr>
          <w:rFonts w:ascii="Amasis MT Pro Light" w:hAnsi="Amasis MT Pro Light"/>
          <w:sz w:val="32"/>
          <w:szCs w:val="32"/>
        </w:rPr>
      </w:pPr>
      <w:r w:rsidRPr="00CE561C">
        <w:rPr>
          <w:rFonts w:ascii="Amasis MT Pro Light" w:hAnsi="Amasis MT Pro Light"/>
          <w:sz w:val="32"/>
          <w:szCs w:val="32"/>
        </w:rPr>
        <w:t xml:space="preserve">“Ecosystem services and agriculture: </w:t>
      </w:r>
      <w:r w:rsidR="005C213B" w:rsidRPr="00CE561C">
        <w:rPr>
          <w:rFonts w:ascii="Amasis MT Pro Light" w:hAnsi="Amasis MT Pro Light"/>
          <w:sz w:val="32"/>
          <w:szCs w:val="32"/>
        </w:rPr>
        <w:t>trade-offs</w:t>
      </w:r>
      <w:r w:rsidRPr="00CE561C">
        <w:rPr>
          <w:rFonts w:ascii="Amasis MT Pro Light" w:hAnsi="Amasis MT Pro Light"/>
          <w:sz w:val="32"/>
          <w:szCs w:val="32"/>
        </w:rPr>
        <w:t xml:space="preserve"> and synergies Alison G. Power”.</w:t>
      </w:r>
    </w:p>
    <w:p w14:paraId="0C1DCA67" w14:textId="77777777" w:rsidR="00622621" w:rsidRPr="00CE561C" w:rsidRDefault="00622621" w:rsidP="005455BC">
      <w:pPr>
        <w:rPr>
          <w:rFonts w:ascii="Amasis MT Pro Light" w:hAnsi="Amasis MT Pro Light"/>
        </w:rPr>
      </w:pPr>
    </w:p>
    <w:p w14:paraId="4E1B9AE4" w14:textId="690F1E58" w:rsidR="005207ED" w:rsidRPr="00CE561C" w:rsidRDefault="005C1C5D" w:rsidP="005455BC">
      <w:pPr>
        <w:rPr>
          <w:rFonts w:ascii="Amasis MT Pro Light" w:hAnsi="Amasis MT Pro Light"/>
        </w:rPr>
      </w:pPr>
      <w:r w:rsidRPr="00CE561C">
        <w:rPr>
          <w:rFonts w:ascii="Amasis MT Pro Light" w:hAnsi="Amasis MT Pro Light"/>
        </w:rPr>
        <w:t>Abstract</w:t>
      </w:r>
      <w:r w:rsidR="00F44514" w:rsidRPr="00CE561C">
        <w:rPr>
          <w:rFonts w:ascii="Amasis MT Pro Light" w:hAnsi="Amasis MT Pro Light"/>
        </w:rPr>
        <w:t xml:space="preserve"> According to the paper By </w:t>
      </w:r>
      <w:r w:rsidR="009830B7" w:rsidRPr="00CE561C">
        <w:rPr>
          <w:rFonts w:ascii="Amasis MT Pro Light" w:hAnsi="Amasis MT Pro Light"/>
        </w:rPr>
        <w:t>Alison G. Power</w:t>
      </w:r>
      <w:r w:rsidR="00CE561C" w:rsidRPr="00CE561C">
        <w:rPr>
          <w:rFonts w:ascii="Amasis MT Pro Light" w:hAnsi="Amasis MT Pro Light"/>
        </w:rPr>
        <w:t xml:space="preserve"> (2010)</w:t>
      </w:r>
      <w:r w:rsidR="009830B7" w:rsidRPr="00CE561C">
        <w:rPr>
          <w:rFonts w:ascii="Amasis MT Pro Light" w:hAnsi="Amasis MT Pro Light"/>
        </w:rPr>
        <w:t xml:space="preserve"> b</w:t>
      </w:r>
      <w:r w:rsidR="00622621" w:rsidRPr="00CE561C">
        <w:rPr>
          <w:rFonts w:ascii="Amasis MT Pro Light" w:hAnsi="Amasis MT Pro Light"/>
        </w:rPr>
        <w:t xml:space="preserve">ased on distinct management techniques, agriculture can also lead to various negative impacts, such as the destruction of wildlife habitats, the pollution of waterways through nutrient runoff and sedimentation, the release of greenhouse gases, and the harm caused to humans and species that are not targeted by pesticides. It is important to assess the potential trade-offs between providing amenities and other ecosystem-based services and disservices, </w:t>
      </w:r>
      <w:r w:rsidR="00BA6B7B" w:rsidRPr="00CE561C">
        <w:rPr>
          <w:rFonts w:ascii="Amasis MT Pro Light" w:hAnsi="Amasis MT Pro Light"/>
        </w:rPr>
        <w:t>considering</w:t>
      </w:r>
      <w:r w:rsidR="00622621" w:rsidRPr="00CE561C">
        <w:rPr>
          <w:rFonts w:ascii="Amasis MT Pro Light" w:hAnsi="Amasis MT Pro Light"/>
        </w:rPr>
        <w:t xml:space="preserve"> factors such as geographic scale, spatial scale, and reversibility.</w:t>
      </w:r>
      <w:r w:rsidR="009830B7" w:rsidRPr="00CE561C">
        <w:rPr>
          <w:rFonts w:ascii="Amasis MT Pro Light" w:hAnsi="Amasis MT Pro Light"/>
        </w:rPr>
        <w:t xml:space="preserve"> </w:t>
      </w:r>
      <w:bookmarkStart w:id="3" w:name="_Hlk158635139"/>
      <w:r w:rsidR="00E405BE" w:rsidRPr="00CE561C">
        <w:rPr>
          <w:rFonts w:ascii="Amasis MT Pro Light" w:hAnsi="Amasis MT Pro Light"/>
        </w:rPr>
        <w:t xml:space="preserve">However, there remains </w:t>
      </w:r>
      <w:r w:rsidR="00A2588F" w:rsidRPr="00CE561C">
        <w:rPr>
          <w:rFonts w:ascii="Amasis MT Pro Light" w:hAnsi="Amasis MT Pro Light"/>
        </w:rPr>
        <w:t>more essential</w:t>
      </w:r>
      <w:r w:rsidR="007A20D4" w:rsidRPr="00CE561C">
        <w:rPr>
          <w:rFonts w:ascii="Amasis MT Pro Light" w:hAnsi="Amasis MT Pro Light"/>
        </w:rPr>
        <w:t xml:space="preserve"> ideas</w:t>
      </w:r>
      <w:r w:rsidR="00E405BE" w:rsidRPr="00CE561C">
        <w:rPr>
          <w:rFonts w:ascii="Amasis MT Pro Light" w:hAnsi="Amasis MT Pro Light"/>
        </w:rPr>
        <w:t xml:space="preserve"> to consider.</w:t>
      </w:r>
    </w:p>
    <w:bookmarkEnd w:id="3"/>
    <w:p w14:paraId="0C057286" w14:textId="514103BA" w:rsidR="00372B88" w:rsidRPr="00CE561C" w:rsidRDefault="00372AC6" w:rsidP="005455BC">
      <w:pPr>
        <w:rPr>
          <w:rFonts w:ascii="Amasis MT Pro Light" w:hAnsi="Amasis MT Pro Light"/>
        </w:rPr>
      </w:pPr>
      <w:r w:rsidRPr="00CE561C">
        <w:rPr>
          <w:rFonts w:ascii="Amasis MT Pro Light" w:hAnsi="Amasis MT Pro Light"/>
        </w:rPr>
        <w:t xml:space="preserve">2.2 </w:t>
      </w:r>
      <w:r w:rsidR="002E7310" w:rsidRPr="00CE561C">
        <w:rPr>
          <w:rFonts w:ascii="Amasis MT Pro Light" w:hAnsi="Amasis MT Pro Light"/>
        </w:rPr>
        <w:t>Valid trade</w:t>
      </w:r>
      <w:r w:rsidR="00622621" w:rsidRPr="00CE561C">
        <w:rPr>
          <w:rFonts w:ascii="Amasis MT Pro Light" w:hAnsi="Amasis MT Pro Light"/>
        </w:rPr>
        <w:t>-offs</w:t>
      </w:r>
      <w:r w:rsidR="00CA104B" w:rsidRPr="00CE561C">
        <w:rPr>
          <w:rFonts w:ascii="Amasis MT Pro Light" w:hAnsi="Amasis MT Pro Light"/>
        </w:rPr>
        <w:t xml:space="preserve">: </w:t>
      </w:r>
      <w:r w:rsidR="00372B88" w:rsidRPr="00CE561C">
        <w:rPr>
          <w:rFonts w:ascii="Amasis MT Pro Light" w:hAnsi="Amasis MT Pro Light"/>
        </w:rPr>
        <w:t>There is a common misconception that productivity and biodiversity conservation are at odds with cultural services. Another misconception is productivity and preservation of biodiversity are at odds with cultural services. A common belief that cultural amenities and biodiversity conservation are at odds with production.</w:t>
      </w:r>
    </w:p>
    <w:bookmarkEnd w:id="0"/>
    <w:p w14:paraId="51296DB7" w14:textId="4C8CFD74" w:rsidR="00C1310F" w:rsidRPr="00CE561C" w:rsidRDefault="00BF4C2D" w:rsidP="002C6F55">
      <w:pPr>
        <w:rPr>
          <w:rFonts w:ascii="Amasis MT Pro Light" w:hAnsi="Amasis MT Pro Light"/>
        </w:rPr>
      </w:pPr>
      <w:r w:rsidRPr="00CE561C">
        <w:rPr>
          <w:rFonts w:ascii="Amasis MT Pro Light" w:hAnsi="Amasis MT Pro Light"/>
        </w:rPr>
        <w:t>Numerous</w:t>
      </w:r>
      <w:r w:rsidR="002C6F55" w:rsidRPr="00CE561C">
        <w:rPr>
          <w:rFonts w:ascii="Amasis MT Pro Light" w:hAnsi="Amasis MT Pro Light"/>
        </w:rPr>
        <w:t xml:space="preserve"> studies have extensively investigated the potential choices associated with ensuring the availability of multiple ecological services in cropping systems (Power, A.G., 2010). Usually, ecosystem services are linked together, and the connections between them tend to be complicated and nonlinear.</w:t>
      </w:r>
    </w:p>
    <w:p w14:paraId="7F209661" w14:textId="330C4270" w:rsidR="00CD250E" w:rsidRPr="00CE561C" w:rsidRDefault="00C1310F" w:rsidP="002C6F55">
      <w:pPr>
        <w:rPr>
          <w:rFonts w:ascii="Amasis MT Pro Light" w:hAnsi="Amasis MT Pro Light"/>
        </w:rPr>
      </w:pPr>
      <w:r w:rsidRPr="00CE561C">
        <w:rPr>
          <w:rFonts w:ascii="Amasis MT Pro Light" w:hAnsi="Amasis MT Pro Light"/>
        </w:rPr>
        <w:t>A</w:t>
      </w:r>
      <w:r w:rsidR="00BF4C2D" w:rsidRPr="00CE561C">
        <w:rPr>
          <w:rFonts w:ascii="Amasis MT Pro Light" w:hAnsi="Amasis MT Pro Light"/>
        </w:rPr>
        <w:t>n exemplar</w:t>
      </w:r>
      <w:r w:rsidRPr="00CE561C">
        <w:rPr>
          <w:rFonts w:ascii="Amasis MT Pro Light" w:hAnsi="Amasis MT Pro Light"/>
        </w:rPr>
        <w:t xml:space="preserve"> study carried out by Badgley et al. (2007) emphasised the efficacy of these methods in producing positive outcomes. An exploration of these procedures in agroecosystems with limited resources in 57 developing nations resulted in a significant increase in compared yield that was greater than 79 per cent (Pretty et al. 2006).</w:t>
      </w:r>
      <w:r w:rsidR="001E0E3B" w:rsidRPr="00CE561C">
        <w:rPr>
          <w:rFonts w:ascii="Amasis MT Pro Light" w:hAnsi="Amasis MT Pro Light"/>
        </w:rPr>
        <w:t xml:space="preserve"> </w:t>
      </w:r>
      <w:r w:rsidR="002C6F55" w:rsidRPr="00CE561C">
        <w:rPr>
          <w:rFonts w:ascii="Amasis MT Pro Light" w:hAnsi="Amasis MT Pro Light"/>
        </w:rPr>
        <w:t xml:space="preserve">This </w:t>
      </w:r>
      <w:r w:rsidR="00165F39" w:rsidRPr="00CE561C">
        <w:rPr>
          <w:rFonts w:ascii="Amasis MT Pro Light" w:hAnsi="Amasis MT Pro Light"/>
        </w:rPr>
        <w:t>can</w:t>
      </w:r>
      <w:r w:rsidR="00687E8D" w:rsidRPr="00CE561C">
        <w:rPr>
          <w:rFonts w:ascii="Amasis MT Pro Light" w:hAnsi="Amasis MT Pro Light"/>
        </w:rPr>
        <w:t xml:space="preserve"> </w:t>
      </w:r>
      <w:r w:rsidR="001E0E3B" w:rsidRPr="00CE561C">
        <w:rPr>
          <w:rFonts w:ascii="Amasis MT Pro Light" w:hAnsi="Amasis MT Pro Light"/>
        </w:rPr>
        <w:t xml:space="preserve">be </w:t>
      </w:r>
      <w:r w:rsidR="002C6F55" w:rsidRPr="00CE561C">
        <w:rPr>
          <w:rFonts w:ascii="Amasis MT Pro Light" w:hAnsi="Amasis MT Pro Light"/>
        </w:rPr>
        <w:t>accomplished by putting conservation tillage, crop diversity, legume growth, and biological management into practice. putting conservation tillage, crop diversity, legume intensification, and biological control into practice</w:t>
      </w:r>
      <w:r w:rsidR="00CB23DE" w:rsidRPr="00CE561C">
        <w:rPr>
          <w:rFonts w:ascii="Amasis MT Pro Light" w:hAnsi="Amasis MT Pro Light"/>
        </w:rPr>
        <w:t xml:space="preserve"> is a gap least </w:t>
      </w:r>
      <w:r w:rsidR="00023D84" w:rsidRPr="00CE561C">
        <w:rPr>
          <w:rFonts w:ascii="Amasis MT Pro Light" w:hAnsi="Amasis MT Pro Light"/>
        </w:rPr>
        <w:t>practised.</w:t>
      </w:r>
      <w:r w:rsidR="002C6F55" w:rsidRPr="00CE561C">
        <w:rPr>
          <w:rFonts w:ascii="Amasis MT Pro Light" w:hAnsi="Amasis MT Pro Light"/>
        </w:rPr>
        <w:t xml:space="preserve"> </w:t>
      </w:r>
    </w:p>
    <w:p w14:paraId="53FC5F6A" w14:textId="60C001E1" w:rsidR="003D3CE3" w:rsidRPr="00CE561C" w:rsidRDefault="00E405BE" w:rsidP="002C6F55">
      <w:pPr>
        <w:rPr>
          <w:rFonts w:ascii="Amasis MT Pro Light" w:hAnsi="Amasis MT Pro Light"/>
        </w:rPr>
      </w:pPr>
      <w:r w:rsidRPr="00CE561C">
        <w:rPr>
          <w:rFonts w:ascii="Amasis MT Pro Light" w:hAnsi="Amasis MT Pro Light"/>
        </w:rPr>
        <w:t>Still</w:t>
      </w:r>
      <w:r w:rsidR="003D3CE3" w:rsidRPr="00CE561C">
        <w:rPr>
          <w:rFonts w:ascii="Amasis MT Pro Light" w:hAnsi="Amasis MT Pro Light"/>
        </w:rPr>
        <w:t>, the effectiveness for environmentally friendly intensification depends on a thorough examination of ecosystem functions, rather than solely relying on the addition of fossil fuels (</w:t>
      </w:r>
      <w:proofErr w:type="spellStart"/>
      <w:r w:rsidR="003D3CE3" w:rsidRPr="00CE561C">
        <w:rPr>
          <w:rFonts w:ascii="Amasis MT Pro Light" w:hAnsi="Amasis MT Pro Light"/>
        </w:rPr>
        <w:t>Baulcombe</w:t>
      </w:r>
      <w:proofErr w:type="spellEnd"/>
      <w:r w:rsidR="003D3CE3" w:rsidRPr="00CE561C">
        <w:rPr>
          <w:rFonts w:ascii="Amasis MT Pro Light" w:hAnsi="Amasis MT Pro Light"/>
        </w:rPr>
        <w:t xml:space="preserve"> et al. 2009). </w:t>
      </w:r>
      <w:r w:rsidR="007A7605" w:rsidRPr="00CE561C">
        <w:rPr>
          <w:rFonts w:ascii="Amasis MT Pro Light" w:hAnsi="Amasis MT Pro Light"/>
        </w:rPr>
        <w:t>C</w:t>
      </w:r>
      <w:r w:rsidR="003D3CE3" w:rsidRPr="00CE561C">
        <w:rPr>
          <w:rFonts w:ascii="Amasis MT Pro Light" w:hAnsi="Amasis MT Pro Light"/>
        </w:rPr>
        <w:t>ould include conservation agriculture, diversification of crops, legumes increase, and biological control</w:t>
      </w:r>
      <w:r w:rsidR="007A7605" w:rsidRPr="00CE561C">
        <w:rPr>
          <w:rFonts w:ascii="Amasis MT Pro Light" w:hAnsi="Amasis MT Pro Light"/>
        </w:rPr>
        <w:t>?</w:t>
      </w:r>
    </w:p>
    <w:p w14:paraId="5F318EAE" w14:textId="77777777" w:rsidR="003D3CE3" w:rsidRPr="00CE561C" w:rsidRDefault="003D3CE3" w:rsidP="002C6F55">
      <w:pPr>
        <w:rPr>
          <w:rFonts w:ascii="Amasis MT Pro Light" w:hAnsi="Amasis MT Pro Light"/>
        </w:rPr>
      </w:pPr>
    </w:p>
    <w:p w14:paraId="5183F602" w14:textId="41B48FCD" w:rsidR="00DA1E23" w:rsidRPr="00CE561C" w:rsidRDefault="00DA1E23" w:rsidP="00B81D52">
      <w:pPr>
        <w:rPr>
          <w:rFonts w:ascii="Amasis MT Pro Light" w:hAnsi="Amasis MT Pro Light"/>
        </w:rPr>
      </w:pPr>
    </w:p>
    <w:p w14:paraId="74D3C64E" w14:textId="16CFDE5C" w:rsidR="005F158D" w:rsidRPr="00CE561C" w:rsidRDefault="0051710D" w:rsidP="00B81D52">
      <w:pPr>
        <w:rPr>
          <w:rFonts w:ascii="Amasis MT Pro Light" w:hAnsi="Amasis MT Pro Light"/>
        </w:rPr>
      </w:pPr>
      <w:r w:rsidRPr="00CE561C">
        <w:rPr>
          <w:rFonts w:ascii="Amasis MT Pro Light" w:hAnsi="Amasis MT Pro Light"/>
          <w:sz w:val="36"/>
          <w:szCs w:val="36"/>
        </w:rPr>
        <w:t>3</w:t>
      </w:r>
      <w:r w:rsidRPr="00CE561C">
        <w:rPr>
          <w:rFonts w:ascii="Amasis MT Pro Light" w:hAnsi="Amasis MT Pro Light"/>
        </w:rPr>
        <w:t xml:space="preserve"> </w:t>
      </w:r>
      <w:r w:rsidR="005F158D" w:rsidRPr="00CE561C">
        <w:rPr>
          <w:rFonts w:ascii="Amasis MT Pro Light" w:hAnsi="Amasis MT Pro Light"/>
        </w:rPr>
        <w:t xml:space="preserve">Green agriculture performance </w:t>
      </w:r>
    </w:p>
    <w:p w14:paraId="07BE1537" w14:textId="611D1B87" w:rsidR="00D253A3" w:rsidRPr="00CE561C" w:rsidRDefault="008F6AD8" w:rsidP="00147017">
      <w:pPr>
        <w:pStyle w:val="ListParagraph"/>
        <w:numPr>
          <w:ilvl w:val="1"/>
          <w:numId w:val="12"/>
        </w:numPr>
        <w:rPr>
          <w:rFonts w:ascii="Amasis MT Pro Light" w:hAnsi="Amasis MT Pro Light"/>
          <w:sz w:val="28"/>
          <w:szCs w:val="28"/>
        </w:rPr>
      </w:pPr>
      <w:r w:rsidRPr="00CE561C">
        <w:rPr>
          <w:rFonts w:ascii="Amasis MT Pro Light" w:hAnsi="Amasis MT Pro Light"/>
          <w:sz w:val="28"/>
          <w:szCs w:val="28"/>
        </w:rPr>
        <w:t xml:space="preserve">“Green Agriculture: foundations for biodiverse, resilient and productive agricultural systems Parviz </w:t>
      </w:r>
      <w:proofErr w:type="spellStart"/>
      <w:r w:rsidRPr="00CE561C">
        <w:rPr>
          <w:rFonts w:ascii="Amasis MT Pro Light" w:hAnsi="Amasis MT Pro Light"/>
          <w:sz w:val="28"/>
          <w:szCs w:val="28"/>
        </w:rPr>
        <w:t>Koohafkan</w:t>
      </w:r>
      <w:proofErr w:type="spellEnd"/>
      <w:r w:rsidRPr="00CE561C">
        <w:rPr>
          <w:rFonts w:ascii="Amasis MT Pro Light" w:hAnsi="Amasis MT Pro Light"/>
          <w:sz w:val="28"/>
          <w:szCs w:val="28"/>
        </w:rPr>
        <w:t>, Miguel A. Altieri &amp; Eric Holt Gimenez”</w:t>
      </w:r>
    </w:p>
    <w:p w14:paraId="4127E0B5" w14:textId="27F8A570" w:rsidR="00B57BC7" w:rsidRPr="00CE561C" w:rsidRDefault="00B57BC7" w:rsidP="00B57BC7">
      <w:pPr>
        <w:rPr>
          <w:rFonts w:ascii="Amasis MT Pro Light" w:hAnsi="Amasis MT Pro Light"/>
          <w:sz w:val="22"/>
          <w:szCs w:val="22"/>
        </w:rPr>
      </w:pPr>
      <w:r w:rsidRPr="00CE561C">
        <w:rPr>
          <w:rFonts w:ascii="Amasis MT Pro Light" w:hAnsi="Amasis MT Pro Light"/>
          <w:sz w:val="22"/>
          <w:szCs w:val="22"/>
        </w:rPr>
        <w:t>Abstract: What factors need to be considered? Does commerce primarily affect local communities? Do these investigations focus solely on on-farm locations, or do they also encompass more remote areas? What is the rate whereby the trade-off occurs? Is it possible to reverse the impacts and, if therefore, how quickly can it be done? These are the questions to ask still to be resilient.</w:t>
      </w:r>
    </w:p>
    <w:p w14:paraId="03B850A8" w14:textId="77777777" w:rsidR="00B57BC7" w:rsidRPr="00CE561C" w:rsidRDefault="00B57BC7" w:rsidP="00B57BC7">
      <w:pPr>
        <w:rPr>
          <w:rFonts w:ascii="Amasis MT Pro Light" w:hAnsi="Amasis MT Pro Light"/>
          <w:sz w:val="28"/>
          <w:szCs w:val="28"/>
        </w:rPr>
      </w:pPr>
    </w:p>
    <w:p w14:paraId="6A3066A5" w14:textId="0B3FCBF6" w:rsidR="00850FD7" w:rsidRPr="00CE561C" w:rsidRDefault="004052D6" w:rsidP="00850FD7">
      <w:pPr>
        <w:rPr>
          <w:rFonts w:ascii="Amasis MT Pro Light" w:hAnsi="Amasis MT Pro Light"/>
        </w:rPr>
      </w:pPr>
      <w:r w:rsidRPr="00CE561C">
        <w:rPr>
          <w:rFonts w:ascii="Amasis MT Pro Light" w:hAnsi="Amasis MT Pro Light"/>
        </w:rPr>
        <w:t xml:space="preserve">There is </w:t>
      </w:r>
      <w:r w:rsidR="003615AD" w:rsidRPr="00CE561C">
        <w:rPr>
          <w:rFonts w:ascii="Amasis MT Pro Light" w:hAnsi="Amasis MT Pro Light"/>
        </w:rPr>
        <w:t>a consensus</w:t>
      </w:r>
      <w:r w:rsidRPr="00CE561C">
        <w:rPr>
          <w:rFonts w:ascii="Amasis MT Pro Light" w:hAnsi="Amasis MT Pro Light"/>
        </w:rPr>
        <w:t xml:space="preserve"> among agricultural developers regarding the importance of creating a farming sector that </w:t>
      </w:r>
      <w:r w:rsidR="003615AD" w:rsidRPr="00CE561C">
        <w:rPr>
          <w:rFonts w:ascii="Amasis MT Pro Light" w:hAnsi="Amasis MT Pro Light"/>
        </w:rPr>
        <w:t>considers</w:t>
      </w:r>
      <w:r w:rsidRPr="00CE561C">
        <w:rPr>
          <w:rFonts w:ascii="Amasis MT Pro Light" w:hAnsi="Amasis MT Pro Light"/>
        </w:rPr>
        <w:t xml:space="preserve"> the limitations of nearby and local natural assets, as well as their ability to supply ecological amenities (Pretty et al. 2011).</w:t>
      </w:r>
    </w:p>
    <w:p w14:paraId="4281BE19" w14:textId="6860A91C" w:rsidR="00850FD7" w:rsidRPr="00CE561C" w:rsidRDefault="00850FD7" w:rsidP="00850FD7">
      <w:pPr>
        <w:rPr>
          <w:rFonts w:ascii="Amasis MT Pro Light" w:hAnsi="Amasis MT Pro Light"/>
        </w:rPr>
      </w:pPr>
      <w:r w:rsidRPr="00CE561C">
        <w:rPr>
          <w:rFonts w:ascii="Amasis MT Pro Light" w:hAnsi="Amasis MT Pro Light"/>
          <w:noProof/>
        </w:rPr>
        <w:drawing>
          <wp:inline distT="0" distB="0" distL="0" distR="0" wp14:anchorId="5F448697" wp14:editId="2A21030F">
            <wp:extent cx="4938188" cy="4328535"/>
            <wp:effectExtent l="0" t="0" r="0" b="0"/>
            <wp:docPr id="1983539108" name="Picture 1" descr="A diagram of 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39108" name="Picture 1" descr="A diagram of a diagram of a diagram&#10;&#10;Description automatically generated"/>
                    <pic:cNvPicPr/>
                  </pic:nvPicPr>
                  <pic:blipFill>
                    <a:blip r:embed="rId8"/>
                    <a:stretch>
                      <a:fillRect/>
                    </a:stretch>
                  </pic:blipFill>
                  <pic:spPr>
                    <a:xfrm>
                      <a:off x="0" y="0"/>
                      <a:ext cx="4938188" cy="4328535"/>
                    </a:xfrm>
                    <a:prstGeom prst="rect">
                      <a:avLst/>
                    </a:prstGeom>
                  </pic:spPr>
                </pic:pic>
              </a:graphicData>
            </a:graphic>
          </wp:inline>
        </w:drawing>
      </w:r>
    </w:p>
    <w:p w14:paraId="2847E84A" w14:textId="1DEB7329" w:rsidR="00850FD7" w:rsidRPr="00CE561C" w:rsidRDefault="004C3263" w:rsidP="004C3263">
      <w:pPr>
        <w:rPr>
          <w:rFonts w:ascii="Amasis MT Pro Light" w:hAnsi="Amasis MT Pro Light"/>
          <w:sz w:val="20"/>
          <w:szCs w:val="20"/>
        </w:rPr>
      </w:pPr>
      <w:r w:rsidRPr="00CE561C">
        <w:rPr>
          <w:rFonts w:ascii="Amasis MT Pro Light" w:hAnsi="Amasis MT Pro Light"/>
          <w:sz w:val="20"/>
          <w:szCs w:val="20"/>
        </w:rPr>
        <w:t xml:space="preserve">Figure 1 A comparative analysis of two </w:t>
      </w:r>
      <w:r w:rsidR="00037E6A" w:rsidRPr="00CE561C">
        <w:rPr>
          <w:rFonts w:ascii="Amasis MT Pro Light" w:hAnsi="Amasis MT Pro Light"/>
          <w:sz w:val="20"/>
          <w:szCs w:val="20"/>
        </w:rPr>
        <w:t xml:space="preserve">Agro </w:t>
      </w:r>
      <w:r w:rsidRPr="00CE561C">
        <w:rPr>
          <w:rFonts w:ascii="Amasis MT Pro Light" w:hAnsi="Amasis MT Pro Light"/>
          <w:sz w:val="20"/>
          <w:szCs w:val="20"/>
        </w:rPr>
        <w:t>silvopastoral frameworks</w:t>
      </w:r>
      <w:r w:rsidR="0022044A" w:rsidRPr="00CE561C">
        <w:rPr>
          <w:rFonts w:ascii="Amasis MT Pro Light" w:hAnsi="Amasis MT Pro Light"/>
          <w:sz w:val="20"/>
          <w:szCs w:val="20"/>
        </w:rPr>
        <w:t xml:space="preserve"> Radar chart. </w:t>
      </w:r>
      <w:r w:rsidRPr="00CE561C">
        <w:rPr>
          <w:rFonts w:ascii="Amasis MT Pro Light" w:hAnsi="Amasis MT Pro Light"/>
          <w:sz w:val="20"/>
          <w:szCs w:val="20"/>
        </w:rPr>
        <w:t>Reference: Lopez-</w:t>
      </w:r>
      <w:proofErr w:type="spellStart"/>
      <w:r w:rsidRPr="00CE561C">
        <w:rPr>
          <w:rFonts w:ascii="Amasis MT Pro Light" w:hAnsi="Amasis MT Pro Light"/>
          <w:sz w:val="20"/>
          <w:szCs w:val="20"/>
        </w:rPr>
        <w:t>Ridaura</w:t>
      </w:r>
      <w:proofErr w:type="spellEnd"/>
      <w:r w:rsidRPr="00CE561C">
        <w:rPr>
          <w:rFonts w:ascii="Amasis MT Pro Light" w:hAnsi="Amasis MT Pro Light"/>
          <w:sz w:val="20"/>
          <w:szCs w:val="20"/>
        </w:rPr>
        <w:t xml:space="preserve"> et al. (2002).</w:t>
      </w:r>
    </w:p>
    <w:p w14:paraId="4D54F89B" w14:textId="77777777" w:rsidR="00850FD7" w:rsidRPr="00CE561C" w:rsidRDefault="00850FD7" w:rsidP="00850FD7">
      <w:pPr>
        <w:rPr>
          <w:rFonts w:ascii="Amasis MT Pro Light" w:hAnsi="Amasis MT Pro Light"/>
          <w:sz w:val="20"/>
          <w:szCs w:val="20"/>
        </w:rPr>
      </w:pPr>
    </w:p>
    <w:p w14:paraId="4D283D26" w14:textId="5680F576" w:rsidR="00850FD7" w:rsidRPr="00CE561C" w:rsidRDefault="00370C50" w:rsidP="00850FD7">
      <w:pPr>
        <w:rPr>
          <w:rFonts w:ascii="Amasis MT Pro Light" w:hAnsi="Amasis MT Pro Light"/>
        </w:rPr>
      </w:pPr>
      <w:r w:rsidRPr="00CE561C">
        <w:rPr>
          <w:rFonts w:ascii="Amasis MT Pro Light" w:hAnsi="Amasis MT Pro Light"/>
        </w:rPr>
        <w:t>Although there are many measures of long-term viability only a small number of them effectively measure and track threshold occurrences. Limits are characterised by abrupt shifts in the behaviour of human-managed systems. An example of this is the occurrence of crop illness sickness in extensive areas due to human interventions, such as the cultivation of large-scale monocultures with limited genetic diversity (Carpenter et al. 2001).</w:t>
      </w:r>
    </w:p>
    <w:p w14:paraId="5A5F7093" w14:textId="56CB2906" w:rsidR="00850FD7" w:rsidRPr="00CE561C" w:rsidRDefault="00511053" w:rsidP="00850FD7">
      <w:pPr>
        <w:rPr>
          <w:rFonts w:ascii="Amasis MT Pro Light" w:hAnsi="Amasis MT Pro Light"/>
        </w:rPr>
      </w:pPr>
      <w:r w:rsidRPr="00CE561C">
        <w:rPr>
          <w:rFonts w:ascii="Amasis MT Pro Light" w:hAnsi="Amasis MT Pro Light"/>
        </w:rPr>
        <w:t xml:space="preserve">A methodology that specifies threshold levels for chosen indicators has been laid out by Gomez et al. (1996). The investigators utilised threshold values to determine the starting point for sustainability trends. They considered various indicators such as yields, profit, and stability (frequency of disaster) to gauge farmer satisfaction. Additionally, indicators like soil depth, ability to hold water, nutritional equilibrium, vegetative matter content, vegetation cover, and ecological variety were used to assess conserving resources. Based on the findings of these researchers, it is considered that an indicator is deemed to be at a sustainable level if it surpasses a specified trigger or threshold reached level. These limits are provisionally established, </w:t>
      </w:r>
      <w:proofErr w:type="gramStart"/>
      <w:r w:rsidRPr="00CE561C">
        <w:rPr>
          <w:rFonts w:ascii="Amasis MT Pro Light" w:hAnsi="Amasis MT Pro Light"/>
        </w:rPr>
        <w:t>taking into account</w:t>
      </w:r>
      <w:proofErr w:type="gramEnd"/>
      <w:r w:rsidRPr="00CE561C">
        <w:rPr>
          <w:rFonts w:ascii="Amasis MT Pro Light" w:hAnsi="Amasis MT Pro Light"/>
        </w:rPr>
        <w:t xml:space="preserve"> the prevailing local conditions.</w:t>
      </w:r>
    </w:p>
    <w:p w14:paraId="53484BAE" w14:textId="647FA0A2" w:rsidR="00260121" w:rsidRPr="00CE561C" w:rsidRDefault="00665A6B" w:rsidP="00147017">
      <w:pPr>
        <w:pStyle w:val="ListParagraph"/>
        <w:numPr>
          <w:ilvl w:val="0"/>
          <w:numId w:val="12"/>
        </w:numPr>
        <w:rPr>
          <w:rFonts w:ascii="Amasis MT Pro Light" w:hAnsi="Amasis MT Pro Light"/>
          <w:sz w:val="32"/>
          <w:szCs w:val="32"/>
        </w:rPr>
      </w:pPr>
      <w:r w:rsidRPr="00CE561C">
        <w:rPr>
          <w:rFonts w:ascii="Amasis MT Pro Light" w:hAnsi="Amasis MT Pro Light"/>
          <w:sz w:val="32"/>
          <w:szCs w:val="32"/>
        </w:rPr>
        <w:t>“Resilience in a concentrated and consolidated food system Mary K. Hendrickson</w:t>
      </w:r>
      <w:r w:rsidR="009428A9" w:rsidRPr="00CE561C">
        <w:rPr>
          <w:rFonts w:ascii="Amasis MT Pro Light" w:hAnsi="Amasis MT Pro Light"/>
          <w:sz w:val="32"/>
          <w:szCs w:val="32"/>
        </w:rPr>
        <w:t>.</w:t>
      </w:r>
      <w:r w:rsidR="003E4710" w:rsidRPr="00CE561C">
        <w:rPr>
          <w:rFonts w:ascii="Amasis MT Pro Light" w:hAnsi="Amasis MT Pro Light"/>
          <w:sz w:val="32"/>
          <w:szCs w:val="32"/>
        </w:rPr>
        <w:t>”</w:t>
      </w:r>
    </w:p>
    <w:p w14:paraId="117F55A5" w14:textId="15FCB1AD" w:rsidR="000135B0" w:rsidRPr="00CE561C" w:rsidRDefault="003C6EAC" w:rsidP="00B81D52">
      <w:pPr>
        <w:rPr>
          <w:rFonts w:ascii="Amasis MT Pro Light" w:hAnsi="Amasis MT Pro Light"/>
        </w:rPr>
      </w:pPr>
      <w:r w:rsidRPr="00CE561C">
        <w:rPr>
          <w:rFonts w:ascii="Amasis MT Pro Light" w:hAnsi="Amasis MT Pro Light"/>
        </w:rPr>
        <w:t>4.1 The</w:t>
      </w:r>
      <w:r w:rsidR="00F33CA3" w:rsidRPr="00CE561C">
        <w:rPr>
          <w:rFonts w:ascii="Amasis MT Pro Light" w:hAnsi="Amasis MT Pro Light"/>
        </w:rPr>
        <w:t xml:space="preserve"> need for better organisation forms: </w:t>
      </w:r>
      <w:r w:rsidR="00BB2692" w:rsidRPr="00CE561C">
        <w:rPr>
          <w:rFonts w:ascii="Amasis MT Pro Light" w:hAnsi="Amasis MT Pro Light"/>
        </w:rPr>
        <w:t xml:space="preserve">The prevailing Agri-food structure has experienced a decline in organisational diversity and scale due to its emphasis on efficiency, specialisation, and standardisation. The exclusion of small and under-resourced agricultural enterprises and companies from national alongside international supply networks in the agrifood system is primarily due to their inability to meet the required scale for participation. Minor players in the industry tend to be more agile when it comes to adapting to rapid changes, while larger and more intricate entities often struggle with slower response </w:t>
      </w:r>
      <w:r w:rsidR="00C7444C" w:rsidRPr="00CE561C">
        <w:rPr>
          <w:rFonts w:ascii="Amasis MT Pro Light" w:hAnsi="Amasis MT Pro Light"/>
        </w:rPr>
        <w:t>pattern</w:t>
      </w:r>
      <w:r w:rsidR="003763AD" w:rsidRPr="00CE561C">
        <w:rPr>
          <w:rFonts w:ascii="Amasis MT Pro Light" w:hAnsi="Amasis MT Pro Light"/>
        </w:rPr>
        <w:t xml:space="preserve"> (Howard</w:t>
      </w:r>
      <w:r w:rsidR="00A12C76" w:rsidRPr="00CE561C">
        <w:rPr>
          <w:rFonts w:ascii="Amasis MT Pro Light" w:hAnsi="Amasis MT Pro Light"/>
        </w:rPr>
        <w:t xml:space="preserve"> 2009b).</w:t>
      </w:r>
    </w:p>
    <w:p w14:paraId="2F2855D9" w14:textId="77777777" w:rsidR="000135B0" w:rsidRPr="00CE561C" w:rsidRDefault="000135B0" w:rsidP="00B81D52">
      <w:pPr>
        <w:rPr>
          <w:rFonts w:ascii="Amasis MT Pro Light" w:hAnsi="Amasis MT Pro Light"/>
          <w:sz w:val="32"/>
          <w:szCs w:val="32"/>
        </w:rPr>
      </w:pPr>
    </w:p>
    <w:p w14:paraId="157C94BF" w14:textId="0B5A8D70" w:rsidR="001B6095" w:rsidRPr="00CE561C" w:rsidRDefault="004A4F07" w:rsidP="00B81D52">
      <w:pPr>
        <w:rPr>
          <w:rFonts w:ascii="Amasis MT Pro Light" w:hAnsi="Amasis MT Pro Light"/>
          <w:sz w:val="32"/>
          <w:szCs w:val="32"/>
          <w:u w:val="single"/>
        </w:rPr>
      </w:pPr>
      <w:r w:rsidRPr="00CE561C">
        <w:rPr>
          <w:rFonts w:ascii="Amasis MT Pro Light" w:hAnsi="Amasis MT Pro Light"/>
          <w:sz w:val="32"/>
          <w:szCs w:val="32"/>
          <w:u w:val="single"/>
        </w:rPr>
        <w:t>Methodolog</w:t>
      </w:r>
      <w:r w:rsidR="00CE561C">
        <w:rPr>
          <w:rFonts w:ascii="Amasis MT Pro Light" w:hAnsi="Amasis MT Pro Light"/>
          <w:sz w:val="32"/>
          <w:szCs w:val="32"/>
          <w:u w:val="single"/>
        </w:rPr>
        <w:t>y.</w:t>
      </w:r>
    </w:p>
    <w:p w14:paraId="704B59C7" w14:textId="0E1B1634" w:rsidR="00B81D52" w:rsidRPr="00CE561C" w:rsidRDefault="001B6095" w:rsidP="00B81D52">
      <w:pPr>
        <w:rPr>
          <w:rFonts w:ascii="Amasis MT Pro Light" w:hAnsi="Amasis MT Pro Light"/>
        </w:rPr>
      </w:pPr>
      <w:r w:rsidRPr="00CE561C">
        <w:rPr>
          <w:rFonts w:ascii="Amasis MT Pro Light" w:hAnsi="Amasis MT Pro Light"/>
        </w:rPr>
        <w:t xml:space="preserve">What you aim to accomplish: </w:t>
      </w:r>
      <w:r w:rsidR="003647CD" w:rsidRPr="00CE561C">
        <w:rPr>
          <w:rFonts w:ascii="Amasis MT Pro Light" w:hAnsi="Amasis MT Pro Light"/>
        </w:rPr>
        <w:t>To</w:t>
      </w:r>
      <w:r w:rsidR="00B81D52" w:rsidRPr="00CE561C">
        <w:rPr>
          <w:rFonts w:ascii="Amasis MT Pro Light" w:hAnsi="Amasis MT Pro Light"/>
        </w:rPr>
        <w:t xml:space="preserve"> achieve an adaptive agriculture and maintain a balance </w:t>
      </w:r>
      <w:r w:rsidR="00404089" w:rsidRPr="00CE561C">
        <w:rPr>
          <w:rFonts w:ascii="Amasis MT Pro Light" w:hAnsi="Amasis MT Pro Light"/>
        </w:rPr>
        <w:t>d</w:t>
      </w:r>
      <w:r w:rsidR="00B81D52" w:rsidRPr="00CE561C">
        <w:rPr>
          <w:rFonts w:ascii="Amasis MT Pro Light" w:hAnsi="Amasis MT Pro Light"/>
        </w:rPr>
        <w:t xml:space="preserve">eveloping ecologically resilient systems that can effectively absorb global changes is crucial for preserving the key processes and functions of ecological systems. This is essential </w:t>
      </w:r>
      <w:r w:rsidR="008337B6" w:rsidRPr="00CE561C">
        <w:rPr>
          <w:rFonts w:ascii="Amasis MT Pro Light" w:hAnsi="Amasis MT Pro Light"/>
        </w:rPr>
        <w:t>to</w:t>
      </w:r>
      <w:r w:rsidR="00B81D52" w:rsidRPr="00CE561C">
        <w:rPr>
          <w:rFonts w:ascii="Amasis MT Pro Light" w:hAnsi="Amasis MT Pro Light"/>
        </w:rPr>
        <w:t xml:space="preserve"> ensure sustainable farming practices for future generations.</w:t>
      </w:r>
    </w:p>
    <w:p w14:paraId="15C029BF" w14:textId="4E6985FA" w:rsidR="00B81D52" w:rsidRPr="00CE561C" w:rsidRDefault="00471EE1" w:rsidP="00B81D52">
      <w:pPr>
        <w:rPr>
          <w:rFonts w:ascii="Amasis MT Pro Light" w:hAnsi="Amasis MT Pro Light"/>
        </w:rPr>
      </w:pPr>
      <w:r w:rsidRPr="00CE561C">
        <w:rPr>
          <w:rFonts w:ascii="Amasis MT Pro Light" w:hAnsi="Amasis MT Pro Light"/>
        </w:rPr>
        <w:t>Why you want to do it:</w:t>
      </w:r>
      <w:r w:rsidR="00301A83" w:rsidRPr="00CE561C">
        <w:rPr>
          <w:rFonts w:ascii="Amasis MT Pro Light" w:hAnsi="Amasis MT Pro Light"/>
        </w:rPr>
        <w:t xml:space="preserve"> </w:t>
      </w:r>
      <w:r w:rsidR="00B81D52" w:rsidRPr="00CE561C">
        <w:rPr>
          <w:rFonts w:ascii="Amasis MT Pro Light" w:hAnsi="Amasis MT Pro Light"/>
        </w:rPr>
        <w:t xml:space="preserve">Developing environmentally adaptive structures that can effectively absorb global changes is imperative for preserving the fundamental processes and functions that comprise ecological systems. This is essential </w:t>
      </w:r>
      <w:r w:rsidRPr="00CE561C">
        <w:rPr>
          <w:rFonts w:ascii="Amasis MT Pro Light" w:hAnsi="Amasis MT Pro Light"/>
        </w:rPr>
        <w:t>to</w:t>
      </w:r>
      <w:r w:rsidR="00B81D52" w:rsidRPr="00CE561C">
        <w:rPr>
          <w:rFonts w:ascii="Amasis MT Pro Light" w:hAnsi="Amasis MT Pro Light"/>
        </w:rPr>
        <w:t xml:space="preserve"> ensure sustainable farming practices for future generations.</w:t>
      </w:r>
    </w:p>
    <w:p w14:paraId="4BF30CDD" w14:textId="77777777" w:rsidR="00A2588F" w:rsidRPr="00CE561C" w:rsidRDefault="008337B6" w:rsidP="00B678B7">
      <w:pPr>
        <w:rPr>
          <w:rFonts w:ascii="Amasis MT Pro Light" w:hAnsi="Amasis MT Pro Light"/>
        </w:rPr>
      </w:pPr>
      <w:r w:rsidRPr="00CE561C">
        <w:rPr>
          <w:rFonts w:ascii="Amasis MT Pro Light" w:hAnsi="Amasis MT Pro Light"/>
        </w:rPr>
        <w:lastRenderedPageBreak/>
        <w:t xml:space="preserve">For example, </w:t>
      </w:r>
      <w:r w:rsidR="00404089" w:rsidRPr="00CE561C">
        <w:rPr>
          <w:rFonts w:ascii="Amasis MT Pro Light" w:hAnsi="Amasis MT Pro Light"/>
        </w:rPr>
        <w:t>e</w:t>
      </w:r>
      <w:r w:rsidR="00B81D52" w:rsidRPr="00CE561C">
        <w:rPr>
          <w:rFonts w:ascii="Amasis MT Pro Light" w:hAnsi="Amasis MT Pro Light"/>
        </w:rPr>
        <w:t xml:space="preserve">nsuring the long-term provision of various ecosystem services and the valuable ecological and </w:t>
      </w:r>
      <w:r w:rsidR="00301A83" w:rsidRPr="00CE561C">
        <w:rPr>
          <w:rFonts w:ascii="Amasis MT Pro Light" w:hAnsi="Amasis MT Pro Light"/>
        </w:rPr>
        <w:t>social capital</w:t>
      </w:r>
      <w:r w:rsidR="00B81D52" w:rsidRPr="00CE561C">
        <w:rPr>
          <w:rFonts w:ascii="Amasis MT Pro Light" w:hAnsi="Amasis MT Pro Light"/>
        </w:rPr>
        <w:t xml:space="preserve"> they rely on requires agricultural resilience. </w:t>
      </w:r>
      <w:r w:rsidR="00207EA8" w:rsidRPr="00CE561C">
        <w:rPr>
          <w:rFonts w:ascii="Amasis MT Pro Light" w:hAnsi="Amasis MT Pro Light"/>
        </w:rPr>
        <w:t xml:space="preserve">Therefore, </w:t>
      </w:r>
      <w:r w:rsidR="00827748" w:rsidRPr="00CE561C">
        <w:rPr>
          <w:rFonts w:ascii="Amasis MT Pro Light" w:hAnsi="Amasis MT Pro Light"/>
        </w:rPr>
        <w:t>for</w:t>
      </w:r>
      <w:r w:rsidR="00B81D52" w:rsidRPr="00CE561C">
        <w:rPr>
          <w:rFonts w:ascii="Amasis MT Pro Light" w:hAnsi="Amasis MT Pro Light"/>
        </w:rPr>
        <w:t xml:space="preserve"> a sustainable agriculture to endure and continue providing essential services, it must be resilient and capable of adapting to the ever-changing global landscape. </w:t>
      </w:r>
    </w:p>
    <w:p w14:paraId="4ED4248B" w14:textId="77777777" w:rsidR="00E33AFE" w:rsidRDefault="006053CC" w:rsidP="00B678B7">
      <w:pPr>
        <w:rPr>
          <w:rFonts w:ascii="Amasis MT Pro Light" w:hAnsi="Amasis MT Pro Light"/>
          <w:b/>
          <w:bCs/>
          <w:u w:val="single"/>
        </w:rPr>
      </w:pPr>
      <w:r>
        <w:rPr>
          <w:rFonts w:ascii="Amasis MT Pro Light" w:hAnsi="Amasis MT Pro Light"/>
          <w:noProof/>
        </w:rPr>
        <w:drawing>
          <wp:anchor distT="0" distB="0" distL="114300" distR="114300" simplePos="0" relativeHeight="251656704" behindDoc="1" locked="0" layoutInCell="1" allowOverlap="1" wp14:anchorId="729ECD72" wp14:editId="6E75B3BF">
            <wp:simplePos x="0" y="0"/>
            <wp:positionH relativeFrom="column">
              <wp:posOffset>4084320</wp:posOffset>
            </wp:positionH>
            <wp:positionV relativeFrom="paragraph">
              <wp:posOffset>441960</wp:posOffset>
            </wp:positionV>
            <wp:extent cx="2227580" cy="2240280"/>
            <wp:effectExtent l="0" t="0" r="0" b="0"/>
            <wp:wrapTight wrapText="bothSides">
              <wp:wrapPolygon edited="0">
                <wp:start x="0" y="0"/>
                <wp:lineTo x="0" y="21490"/>
                <wp:lineTo x="21428" y="21490"/>
                <wp:lineTo x="21428" y="0"/>
                <wp:lineTo x="0" y="0"/>
              </wp:wrapPolygon>
            </wp:wrapTight>
            <wp:docPr id="15939632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27580" cy="2240280"/>
                    </a:xfrm>
                    <a:prstGeom prst="rect">
                      <a:avLst/>
                    </a:prstGeom>
                    <a:noFill/>
                  </pic:spPr>
                </pic:pic>
              </a:graphicData>
            </a:graphic>
            <wp14:sizeRelH relativeFrom="page">
              <wp14:pctWidth>0</wp14:pctWidth>
            </wp14:sizeRelH>
            <wp14:sizeRelV relativeFrom="page">
              <wp14:pctHeight>0</wp14:pctHeight>
            </wp14:sizeRelV>
          </wp:anchor>
        </w:drawing>
      </w:r>
      <w:r w:rsidR="00D75D59">
        <w:rPr>
          <w:rFonts w:ascii="Amasis MT Pro Light" w:hAnsi="Amasis MT Pro Light"/>
          <w:noProof/>
        </w:rPr>
        <w:drawing>
          <wp:anchor distT="0" distB="0" distL="114300" distR="114300" simplePos="0" relativeHeight="251643392" behindDoc="1" locked="0" layoutInCell="1" allowOverlap="1" wp14:anchorId="41A070C0" wp14:editId="0941980F">
            <wp:simplePos x="0" y="0"/>
            <wp:positionH relativeFrom="column">
              <wp:posOffset>-800100</wp:posOffset>
            </wp:positionH>
            <wp:positionV relativeFrom="paragraph">
              <wp:posOffset>289560</wp:posOffset>
            </wp:positionV>
            <wp:extent cx="2567940" cy="2567940"/>
            <wp:effectExtent l="0" t="0" r="0" b="0"/>
            <wp:wrapTight wrapText="bothSides">
              <wp:wrapPolygon edited="0">
                <wp:start x="0" y="0"/>
                <wp:lineTo x="0" y="21472"/>
                <wp:lineTo x="21472" y="21472"/>
                <wp:lineTo x="21472" y="0"/>
                <wp:lineTo x="0" y="0"/>
              </wp:wrapPolygon>
            </wp:wrapTight>
            <wp:docPr id="112618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67940" cy="2567940"/>
                    </a:xfrm>
                    <a:prstGeom prst="rect">
                      <a:avLst/>
                    </a:prstGeom>
                    <a:noFill/>
                  </pic:spPr>
                </pic:pic>
              </a:graphicData>
            </a:graphic>
            <wp14:sizeRelH relativeFrom="page">
              <wp14:pctWidth>0</wp14:pctWidth>
            </wp14:sizeRelH>
            <wp14:sizeRelV relativeFrom="page">
              <wp14:pctHeight>0</wp14:pctHeight>
            </wp14:sizeRelV>
          </wp:anchor>
        </w:drawing>
      </w:r>
      <w:r w:rsidR="00C5550D" w:rsidRPr="00C5550D">
        <w:rPr>
          <w:rFonts w:ascii="Amasis MT Pro Light" w:hAnsi="Amasis MT Pro Light"/>
          <w:b/>
          <w:bCs/>
          <w:u w:val="single"/>
        </w:rPr>
        <w:t>Results</w:t>
      </w:r>
      <w:r w:rsidR="00334F8E">
        <w:rPr>
          <w:rFonts w:ascii="Amasis MT Pro Light" w:hAnsi="Amasis MT Pro Light"/>
          <w:b/>
          <w:bCs/>
          <w:u w:val="single"/>
        </w:rPr>
        <w:t xml:space="preserve"> I would have</w:t>
      </w:r>
      <w:r w:rsidR="00C7444C">
        <w:rPr>
          <w:rFonts w:ascii="Amasis MT Pro Light" w:hAnsi="Amasis MT Pro Light"/>
          <w:b/>
          <w:bCs/>
          <w:u w:val="single"/>
        </w:rPr>
        <w:t xml:space="preserve"> based on accuracy</w:t>
      </w:r>
      <w:r w:rsidR="00EC7152">
        <w:rPr>
          <w:rFonts w:ascii="Amasis MT Pro Light" w:hAnsi="Amasis MT Pro Light"/>
          <w:b/>
          <w:bCs/>
          <w:u w:val="single"/>
        </w:rPr>
        <w:t xml:space="preserve"> </w:t>
      </w:r>
      <w:r w:rsidR="002F61DC">
        <w:rPr>
          <w:rFonts w:ascii="Amasis MT Pro Light" w:hAnsi="Amasis MT Pro Light"/>
          <w:b/>
          <w:bCs/>
          <w:u w:val="single"/>
        </w:rPr>
        <w:t>basis:</w:t>
      </w:r>
      <w:r w:rsidR="006B1B95">
        <w:rPr>
          <w:rFonts w:ascii="Amasis MT Pro Light" w:hAnsi="Amasis MT Pro Light"/>
          <w:b/>
          <w:bCs/>
          <w:u w:val="single"/>
        </w:rPr>
        <w:t xml:space="preserve"> Radar</w:t>
      </w:r>
      <w:r w:rsidR="00F63203">
        <w:rPr>
          <w:rFonts w:ascii="Amasis MT Pro Light" w:hAnsi="Amasis MT Pro Light"/>
          <w:b/>
          <w:bCs/>
          <w:u w:val="single"/>
        </w:rPr>
        <w:t>, pie chart</w:t>
      </w:r>
      <w:r w:rsidR="00DB793F">
        <w:rPr>
          <w:rFonts w:ascii="Amasis MT Pro Light" w:hAnsi="Amasis MT Pro Light"/>
          <w:b/>
          <w:bCs/>
          <w:u w:val="single"/>
        </w:rPr>
        <w:t xml:space="preserve"> and </w:t>
      </w:r>
      <w:r w:rsidR="00406F49">
        <w:rPr>
          <w:rFonts w:ascii="Amasis MT Pro Light" w:hAnsi="Amasis MT Pro Light"/>
          <w:b/>
          <w:bCs/>
          <w:u w:val="single"/>
        </w:rPr>
        <w:t>a scatter</w:t>
      </w:r>
      <w:r w:rsidR="00DB793F">
        <w:rPr>
          <w:rFonts w:ascii="Amasis MT Pro Light" w:hAnsi="Amasis MT Pro Light"/>
          <w:b/>
          <w:bCs/>
          <w:u w:val="single"/>
        </w:rPr>
        <w:t xml:space="preserve"> graph</w:t>
      </w:r>
      <w:r w:rsidR="00406F49">
        <w:rPr>
          <w:rFonts w:ascii="Amasis MT Pro Light" w:hAnsi="Amasis MT Pro Light"/>
          <w:b/>
          <w:bCs/>
          <w:u w:val="single"/>
        </w:rPr>
        <w:t>.</w:t>
      </w:r>
    </w:p>
    <w:p w14:paraId="51ADC194" w14:textId="3B8ACABA" w:rsidR="00156D03" w:rsidRPr="00E33AFE" w:rsidRDefault="006053CC" w:rsidP="00B678B7">
      <w:pPr>
        <w:rPr>
          <w:rFonts w:ascii="Amasis MT Pro Light" w:hAnsi="Amasis MT Pro Light"/>
          <w:b/>
          <w:bCs/>
          <w:u w:val="single"/>
        </w:rPr>
      </w:pPr>
      <w:r>
        <w:rPr>
          <w:rFonts w:ascii="Amasis MT Pro Light" w:hAnsi="Amasis MT Pro Light"/>
          <w:noProof/>
        </w:rPr>
        <w:drawing>
          <wp:anchor distT="0" distB="0" distL="114300" distR="114300" simplePos="0" relativeHeight="251672064" behindDoc="0" locked="0" layoutInCell="1" allowOverlap="1" wp14:anchorId="58C299B5" wp14:editId="45BDD3C9">
            <wp:simplePos x="0" y="0"/>
            <wp:positionH relativeFrom="column">
              <wp:posOffset>137160</wp:posOffset>
            </wp:positionH>
            <wp:positionV relativeFrom="paragraph">
              <wp:posOffset>21590</wp:posOffset>
            </wp:positionV>
            <wp:extent cx="1933575" cy="2560320"/>
            <wp:effectExtent l="0" t="0" r="0" b="0"/>
            <wp:wrapThrough wrapText="bothSides">
              <wp:wrapPolygon edited="0">
                <wp:start x="0" y="0"/>
                <wp:lineTo x="0" y="21375"/>
                <wp:lineTo x="21494" y="21375"/>
                <wp:lineTo x="21494" y="0"/>
                <wp:lineTo x="0" y="0"/>
              </wp:wrapPolygon>
            </wp:wrapThrough>
            <wp:docPr id="1659562044" name="Picture 4" descr="A graph with black dots and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562044" name="Picture 4" descr="A graph with black dots and red line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33575" cy="2560320"/>
                    </a:xfrm>
                    <a:prstGeom prst="rect">
                      <a:avLst/>
                    </a:prstGeom>
                    <a:noFill/>
                  </pic:spPr>
                </pic:pic>
              </a:graphicData>
            </a:graphic>
            <wp14:sizeRelH relativeFrom="page">
              <wp14:pctWidth>0</wp14:pctWidth>
            </wp14:sizeRelH>
            <wp14:sizeRelV relativeFrom="page">
              <wp14:pctHeight>0</wp14:pctHeight>
            </wp14:sizeRelV>
          </wp:anchor>
        </w:drawing>
      </w:r>
    </w:p>
    <w:p w14:paraId="3CA9396C" w14:textId="1948A09D" w:rsidR="00390FD3" w:rsidRPr="0067721C" w:rsidRDefault="00FF7938" w:rsidP="00B678B7">
      <w:pPr>
        <w:rPr>
          <w:rFonts w:ascii="Amasis MT Pro Light" w:hAnsi="Amasis MT Pro Light"/>
        </w:rPr>
      </w:pPr>
      <w:r>
        <w:rPr>
          <w:rFonts w:ascii="Amasis MT Pro Light" w:hAnsi="Amasis MT Pro Light"/>
        </w:rPr>
        <w:t xml:space="preserve">The </w:t>
      </w:r>
      <w:r w:rsidR="0083311A">
        <w:rPr>
          <w:rFonts w:ascii="Amasis MT Pro Light" w:hAnsi="Amasis MT Pro Light"/>
        </w:rPr>
        <w:t xml:space="preserve">Result </w:t>
      </w:r>
      <w:r>
        <w:rPr>
          <w:rFonts w:ascii="Amasis MT Pro Light" w:hAnsi="Amasis MT Pro Light"/>
        </w:rPr>
        <w:t>data</w:t>
      </w:r>
      <w:r w:rsidR="00383F3C">
        <w:rPr>
          <w:rFonts w:ascii="Amasis MT Pro Light" w:hAnsi="Amasis MT Pro Light"/>
        </w:rPr>
        <w:t xml:space="preserve"> </w:t>
      </w:r>
      <w:proofErr w:type="gramStart"/>
      <w:r w:rsidR="00383F3C">
        <w:rPr>
          <w:rFonts w:ascii="Amasis MT Pro Light" w:hAnsi="Amasis MT Pro Light"/>
        </w:rPr>
        <w:t xml:space="preserve">processes </w:t>
      </w:r>
      <w:r>
        <w:rPr>
          <w:rFonts w:ascii="Amasis MT Pro Light" w:hAnsi="Amasis MT Pro Light"/>
        </w:rPr>
        <w:t xml:space="preserve"> would</w:t>
      </w:r>
      <w:proofErr w:type="gramEnd"/>
      <w:r w:rsidR="0083311A">
        <w:rPr>
          <w:rFonts w:ascii="Amasis MT Pro Light" w:hAnsi="Amasis MT Pro Light"/>
        </w:rPr>
        <w:t xml:space="preserve"> go in the form of A Radar ,scatter graph of best fit an pie chart.</w:t>
      </w:r>
    </w:p>
    <w:p w14:paraId="52515D1B" w14:textId="1BC7BF52" w:rsidR="00301A83" w:rsidRPr="0067721C" w:rsidRDefault="00301A83" w:rsidP="002C341B">
      <w:pPr>
        <w:rPr>
          <w:rFonts w:ascii="Amasis MT Pro Light" w:hAnsi="Amasis MT Pro Light"/>
          <w:b/>
          <w:bCs/>
          <w:u w:val="single"/>
        </w:rPr>
      </w:pPr>
      <w:r w:rsidRPr="0067721C">
        <w:rPr>
          <w:rFonts w:ascii="Amasis MT Pro Light" w:hAnsi="Amasis MT Pro Light"/>
          <w:b/>
          <w:bCs/>
          <w:u w:val="single"/>
        </w:rPr>
        <w:t>How are you going to do it</w:t>
      </w:r>
      <w:r w:rsidR="00C16149" w:rsidRPr="0067721C">
        <w:rPr>
          <w:rFonts w:ascii="Amasis MT Pro Light" w:hAnsi="Amasis MT Pro Light"/>
          <w:b/>
          <w:bCs/>
          <w:u w:val="single"/>
        </w:rPr>
        <w:t>:</w:t>
      </w:r>
    </w:p>
    <w:p w14:paraId="3315EEB2" w14:textId="0C103919" w:rsidR="00814010" w:rsidRPr="0067721C" w:rsidRDefault="00814010" w:rsidP="00814010">
      <w:pPr>
        <w:pStyle w:val="ListParagraph"/>
        <w:numPr>
          <w:ilvl w:val="0"/>
          <w:numId w:val="4"/>
        </w:numPr>
        <w:rPr>
          <w:rFonts w:ascii="Amasis MT Pro Light" w:hAnsi="Amasis MT Pro Light"/>
        </w:rPr>
      </w:pPr>
      <w:r w:rsidRPr="0067721C">
        <w:rPr>
          <w:rFonts w:ascii="Amasis MT Pro Light" w:hAnsi="Amasis MT Pro Light"/>
        </w:rPr>
        <w:t xml:space="preserve">Guarantee the framework's stability and resilience by implementing strategies like intercropping, biodiverse field margins, and preserving native habitats. This will promote diversity and heterogeneity in the landscape, reducing the system's vulnerability. </w:t>
      </w:r>
    </w:p>
    <w:p w14:paraId="6B73003F" w14:textId="77777777" w:rsidR="00814010" w:rsidRPr="0067721C" w:rsidRDefault="00814010" w:rsidP="00814010">
      <w:pPr>
        <w:pStyle w:val="ListParagraph"/>
        <w:ind w:left="360"/>
        <w:rPr>
          <w:rFonts w:ascii="Amasis MT Pro Light" w:hAnsi="Amasis MT Pro Light"/>
        </w:rPr>
      </w:pPr>
    </w:p>
    <w:p w14:paraId="35DD6C12" w14:textId="60A7E6F2" w:rsidR="00814010" w:rsidRPr="0067721C" w:rsidRDefault="00814010" w:rsidP="00814010">
      <w:pPr>
        <w:pStyle w:val="ListParagraph"/>
        <w:numPr>
          <w:ilvl w:val="0"/>
          <w:numId w:val="4"/>
        </w:numPr>
        <w:rPr>
          <w:rFonts w:ascii="Amasis MT Pro Light" w:hAnsi="Amasis MT Pro Light"/>
        </w:rPr>
      </w:pPr>
      <w:r w:rsidRPr="0067721C">
        <w:rPr>
          <w:rFonts w:ascii="Amasis MT Pro Light" w:hAnsi="Amasis MT Pro Light"/>
        </w:rPr>
        <w:t xml:space="preserve">Maintain links between scenery and individuals, such as through species activity and agricultural trade, </w:t>
      </w:r>
      <w:r w:rsidR="00D43424" w:rsidRPr="0067721C">
        <w:rPr>
          <w:rFonts w:ascii="Amasis MT Pro Light" w:hAnsi="Amasis MT Pro Light"/>
        </w:rPr>
        <w:t>to</w:t>
      </w:r>
      <w:r w:rsidRPr="0067721C">
        <w:rPr>
          <w:rFonts w:ascii="Amasis MT Pro Light" w:hAnsi="Amasis MT Pro Light"/>
        </w:rPr>
        <w:t xml:space="preserve"> maintain a balance between </w:t>
      </w:r>
      <w:r w:rsidR="00207EA8" w:rsidRPr="0067721C">
        <w:rPr>
          <w:rFonts w:ascii="Amasis MT Pro Light" w:hAnsi="Amasis MT Pro Light"/>
        </w:rPr>
        <w:t>connectedness.</w:t>
      </w:r>
      <w:r w:rsidR="00845207" w:rsidRPr="0067721C">
        <w:rPr>
          <w:rFonts w:ascii="Amasis MT Pro Light" w:hAnsi="Amasis MT Pro Light"/>
        </w:rPr>
        <w:t xml:space="preserve"> </w:t>
      </w:r>
      <w:r w:rsidRPr="0067721C">
        <w:rPr>
          <w:rFonts w:ascii="Amasis MT Pro Light" w:hAnsi="Amasis MT Pro Light"/>
        </w:rPr>
        <w:t> </w:t>
      </w:r>
    </w:p>
    <w:p w14:paraId="0A87B9B2" w14:textId="77777777" w:rsidR="00814010" w:rsidRPr="0067721C" w:rsidRDefault="00814010" w:rsidP="00814010">
      <w:pPr>
        <w:pStyle w:val="ListParagraph"/>
        <w:ind w:left="360"/>
        <w:rPr>
          <w:rFonts w:ascii="Amasis MT Pro Light" w:hAnsi="Amasis MT Pro Light"/>
        </w:rPr>
      </w:pPr>
      <w:r w:rsidRPr="0067721C">
        <w:rPr>
          <w:rFonts w:ascii="Amasis MT Pro Light" w:hAnsi="Amasis MT Pro Light"/>
        </w:rPr>
        <w:t>and modularity at multiple scales</w:t>
      </w:r>
    </w:p>
    <w:p w14:paraId="13EB9C43" w14:textId="77777777" w:rsidR="00814010" w:rsidRPr="0067721C" w:rsidRDefault="00814010" w:rsidP="00814010">
      <w:pPr>
        <w:pStyle w:val="ListParagraph"/>
        <w:ind w:left="360"/>
        <w:rPr>
          <w:rFonts w:ascii="Amasis MT Pro Light" w:hAnsi="Amasis MT Pro Light"/>
        </w:rPr>
      </w:pPr>
    </w:p>
    <w:p w14:paraId="50D66B77" w14:textId="54121C47" w:rsidR="00814010" w:rsidRPr="0067721C" w:rsidRDefault="00814010" w:rsidP="00814010">
      <w:pPr>
        <w:pStyle w:val="ListParagraph"/>
        <w:numPr>
          <w:ilvl w:val="0"/>
          <w:numId w:val="4"/>
        </w:numPr>
        <w:rPr>
          <w:rFonts w:ascii="Amasis MT Pro Light" w:hAnsi="Amasis MT Pro Light"/>
        </w:rPr>
      </w:pPr>
      <w:r w:rsidRPr="0067721C">
        <w:rPr>
          <w:rFonts w:ascii="Amasis MT Pro Light" w:hAnsi="Amasis MT Pro Light"/>
        </w:rPr>
        <w:t>Effectively handle variables that change gradually and feedback loops, such as the connection between increased agricultural output and the demand for more intensification, as they play a crucial role in understanding how applications react to disruptions.</w:t>
      </w:r>
    </w:p>
    <w:p w14:paraId="4CE585C1" w14:textId="77777777" w:rsidR="00814010" w:rsidRPr="0067721C" w:rsidRDefault="00814010" w:rsidP="00814010">
      <w:pPr>
        <w:pStyle w:val="ListParagraph"/>
        <w:ind w:left="360"/>
        <w:rPr>
          <w:rFonts w:ascii="Amasis MT Pro Light" w:hAnsi="Amasis MT Pro Light"/>
        </w:rPr>
      </w:pPr>
    </w:p>
    <w:p w14:paraId="1C490892" w14:textId="73297BE7" w:rsidR="00814010" w:rsidRPr="0067721C" w:rsidRDefault="00814010" w:rsidP="00814010">
      <w:pPr>
        <w:pStyle w:val="ListParagraph"/>
        <w:numPr>
          <w:ilvl w:val="0"/>
          <w:numId w:val="4"/>
        </w:numPr>
        <w:rPr>
          <w:rFonts w:ascii="Amasis MT Pro Light" w:hAnsi="Amasis MT Pro Light"/>
        </w:rPr>
      </w:pPr>
      <w:r w:rsidRPr="0067721C">
        <w:rPr>
          <w:rFonts w:ascii="Amasis MT Pro Light" w:hAnsi="Amasis MT Pro Light"/>
        </w:rPr>
        <w:t xml:space="preserve">Encourage a comprehension of social-ecological systems like farms, and communities of </w:t>
      </w:r>
      <w:r w:rsidR="00845207" w:rsidRPr="0067721C">
        <w:rPr>
          <w:rFonts w:ascii="Amasis MT Pro Light" w:hAnsi="Amasis MT Pro Light"/>
        </w:rPr>
        <w:t>farmers,</w:t>
      </w:r>
      <w:r w:rsidRPr="0067721C">
        <w:rPr>
          <w:rFonts w:ascii="Amasis MT Pro Light" w:hAnsi="Amasis MT Pro Light"/>
        </w:rPr>
        <w:t xml:space="preserve"> </w:t>
      </w:r>
      <w:r w:rsidR="00B03043">
        <w:rPr>
          <w:rFonts w:ascii="Amasis MT Pro Light" w:hAnsi="Amasis MT Pro Light"/>
        </w:rPr>
        <w:t>t</w:t>
      </w:r>
      <w:r w:rsidRPr="0067721C">
        <w:rPr>
          <w:rFonts w:ascii="Amasis MT Pro Light" w:hAnsi="Amasis MT Pro Light"/>
        </w:rPr>
        <w:t>hi</w:t>
      </w:r>
      <w:r w:rsidR="00B03043">
        <w:rPr>
          <w:rFonts w:ascii="Amasis MT Pro Light" w:hAnsi="Amasis MT Pro Light"/>
        </w:rPr>
        <w:t xml:space="preserve">s </w:t>
      </w:r>
      <w:r w:rsidR="005D7331">
        <w:rPr>
          <w:rFonts w:ascii="Amasis MT Pro Light" w:hAnsi="Amasis MT Pro Light"/>
        </w:rPr>
        <w:t xml:space="preserve">understanding </w:t>
      </w:r>
      <w:r w:rsidR="005D7331" w:rsidRPr="0067721C">
        <w:rPr>
          <w:rFonts w:ascii="Amasis MT Pro Light" w:hAnsi="Amasis MT Pro Light"/>
        </w:rPr>
        <w:t>will</w:t>
      </w:r>
      <w:r w:rsidRPr="0067721C">
        <w:rPr>
          <w:rFonts w:ascii="Amasis MT Pro Light" w:hAnsi="Amasis MT Pro Light"/>
        </w:rPr>
        <w:t xml:space="preserve"> impact the range of possible actions and decisions </w:t>
      </w:r>
      <w:proofErr w:type="gramStart"/>
      <w:r w:rsidRPr="0067721C">
        <w:rPr>
          <w:rFonts w:ascii="Amasis MT Pro Light" w:hAnsi="Amasis MT Pro Light"/>
        </w:rPr>
        <w:t>taken into account</w:t>
      </w:r>
      <w:proofErr w:type="gramEnd"/>
      <w:r w:rsidRPr="0067721C">
        <w:rPr>
          <w:rFonts w:ascii="Amasis MT Pro Light" w:hAnsi="Amasis MT Pro Light"/>
        </w:rPr>
        <w:t>.</w:t>
      </w:r>
    </w:p>
    <w:p w14:paraId="38DA7925" w14:textId="77777777" w:rsidR="00814010" w:rsidRPr="0067721C" w:rsidRDefault="00814010" w:rsidP="00814010">
      <w:pPr>
        <w:pStyle w:val="ListParagraph"/>
        <w:ind w:left="360"/>
        <w:rPr>
          <w:rFonts w:ascii="Amasis MT Pro Light" w:hAnsi="Amasis MT Pro Light"/>
        </w:rPr>
      </w:pPr>
    </w:p>
    <w:p w14:paraId="0CCB3CB6" w14:textId="3A984B02" w:rsidR="005A3DBA" w:rsidRDefault="00814010" w:rsidP="005A3DBA">
      <w:pPr>
        <w:pStyle w:val="ListParagraph"/>
        <w:numPr>
          <w:ilvl w:val="0"/>
          <w:numId w:val="4"/>
        </w:numPr>
        <w:rPr>
          <w:rFonts w:ascii="Amasis MT Pro Light" w:hAnsi="Amasis MT Pro Light"/>
        </w:rPr>
      </w:pPr>
      <w:r w:rsidRPr="0067721C">
        <w:rPr>
          <w:rFonts w:ascii="Amasis MT Pro Light" w:hAnsi="Amasis MT Pro Light"/>
        </w:rPr>
        <w:t>Promote an education and testing approach driven by farmers, as complex systems are constantly evolving and necessitate ongoing learning for effective adaptive leadership.</w:t>
      </w:r>
    </w:p>
    <w:p w14:paraId="31B6173D" w14:textId="77777777" w:rsidR="00BE4319" w:rsidRPr="00BE4319" w:rsidRDefault="00BE4319" w:rsidP="00BE4319">
      <w:pPr>
        <w:rPr>
          <w:rFonts w:ascii="Amasis MT Pro Light" w:hAnsi="Amasis MT Pro Light"/>
        </w:rPr>
      </w:pPr>
    </w:p>
    <w:p w14:paraId="78BE8CA0" w14:textId="77777777" w:rsidR="00127508" w:rsidRDefault="00814010" w:rsidP="00A365D5">
      <w:pPr>
        <w:pStyle w:val="ListParagraph"/>
        <w:numPr>
          <w:ilvl w:val="0"/>
          <w:numId w:val="4"/>
        </w:numPr>
        <w:rPr>
          <w:rFonts w:ascii="Amasis MT Pro Light" w:hAnsi="Amasis MT Pro Light"/>
        </w:rPr>
      </w:pPr>
      <w:r w:rsidRPr="00A365D5">
        <w:rPr>
          <w:rFonts w:ascii="Amasis MT Pro Light" w:hAnsi="Amasis MT Pro Light"/>
        </w:rPr>
        <w:t xml:space="preserve">Encourage the involvement of all stakeholders, including farmers, in multiscale administration to ensure a wide range of perspectives can shape decisions. This will enhance our comprehension of the system and increase the credibility of making decisions and flexible </w:t>
      </w:r>
      <w:proofErr w:type="gramStart"/>
      <w:r w:rsidRPr="00A365D5">
        <w:rPr>
          <w:rFonts w:ascii="Amasis MT Pro Light" w:hAnsi="Amasis MT Pro Light"/>
        </w:rPr>
        <w:t>governance</w:t>
      </w:r>
      <w:proofErr w:type="gramEnd"/>
    </w:p>
    <w:p w14:paraId="4125DE6C" w14:textId="77777777" w:rsidR="00127508" w:rsidRPr="00127508" w:rsidRDefault="00127508" w:rsidP="00127508">
      <w:pPr>
        <w:pStyle w:val="ListParagraph"/>
        <w:rPr>
          <w:rFonts w:ascii="Amasis MT Pro Light" w:hAnsi="Amasis MT Pro Light"/>
          <w:b/>
          <w:bCs/>
          <w:sz w:val="22"/>
          <w:szCs w:val="22"/>
          <w:u w:val="single"/>
        </w:rPr>
      </w:pPr>
    </w:p>
    <w:p w14:paraId="73C62747" w14:textId="027FB7E5" w:rsidR="00CF101C" w:rsidRPr="00127508" w:rsidRDefault="00A365D5" w:rsidP="00127508">
      <w:pPr>
        <w:rPr>
          <w:rFonts w:ascii="Amasis MT Pro Light" w:hAnsi="Amasis MT Pro Light"/>
        </w:rPr>
      </w:pPr>
      <w:r w:rsidRPr="00127508">
        <w:rPr>
          <w:rFonts w:ascii="Amasis MT Pro Light" w:hAnsi="Amasis MT Pro Light"/>
          <w:b/>
          <w:bCs/>
          <w:sz w:val="22"/>
          <w:szCs w:val="22"/>
          <w:u w:val="single"/>
        </w:rPr>
        <w:t>Evaluation</w:t>
      </w:r>
    </w:p>
    <w:p w14:paraId="10643C54" w14:textId="77777777" w:rsidR="003862D1" w:rsidRPr="005D0A17" w:rsidRDefault="003862D1" w:rsidP="003862D1">
      <w:pPr>
        <w:rPr>
          <w:rFonts w:ascii="Amasis MT Pro Light" w:hAnsi="Amasis MT Pro Light"/>
        </w:rPr>
      </w:pPr>
      <w:r w:rsidRPr="005D0A17">
        <w:rPr>
          <w:rFonts w:ascii="Amasis MT Pro Light" w:hAnsi="Amasis MT Pro Light"/>
        </w:rPr>
        <w:t>It is becoming more and more clear that agricultural environments are vital for supplying humans with food, forage, bioenergy, pharmaceuticals, and ultimately contributing greatly to human wellbeing. These structures rely on the services provided by ecosystems in nature, including pollination, natural pest control, soil preservation, nutrient recycling, and hydrological processes. There is a need to focus on enhancing the resilience of agriculture landscapes.</w:t>
      </w:r>
    </w:p>
    <w:p w14:paraId="3EF61E18" w14:textId="60EA02C7" w:rsidR="00A25C62" w:rsidRPr="005D0A17" w:rsidRDefault="003862D1" w:rsidP="003862D1">
      <w:pPr>
        <w:rPr>
          <w:rFonts w:ascii="Amasis MT Pro Light" w:hAnsi="Amasis MT Pro Light"/>
        </w:rPr>
      </w:pPr>
      <w:r w:rsidRPr="005D0A17">
        <w:rPr>
          <w:rFonts w:ascii="Amasis MT Pro Light" w:hAnsi="Amasis MT Pro Light"/>
        </w:rPr>
        <w:t>This can be accomplished by the creation of agricultural systems that possess the capacity to provide an extensive spectrum of ecosystem services. These services encompass the control of both soil and water quality, the retention of carbon, and the promotion of biodiversity. However, management methods used in agriculture can result in a range of negative consequences. These include the loss of wildlife habitat, the release of nutrients into water sources, the degradation of waterways, the production and release of emissions of greenhouse gases, and the potential harm to both human beings and non-target organisms due to pesticide use.</w:t>
      </w:r>
    </w:p>
    <w:p w14:paraId="7B73598B" w14:textId="21662C4B" w:rsidR="00242C63" w:rsidRPr="00B4573E" w:rsidRDefault="0083311A" w:rsidP="00242C63">
      <w:pPr>
        <w:rPr>
          <w:rFonts w:ascii="Amasis MT Pro Light" w:hAnsi="Amasis MT Pro Light"/>
          <w:b/>
          <w:bCs/>
          <w:u w:val="single"/>
        </w:rPr>
      </w:pPr>
      <w:r w:rsidRPr="0083311A">
        <w:rPr>
          <w:rFonts w:ascii="Amasis MT Pro Light" w:hAnsi="Amasis MT Pro Light"/>
          <w:b/>
          <w:bCs/>
          <w:u w:val="single"/>
        </w:rPr>
        <w:t xml:space="preserve">Bibliography </w:t>
      </w:r>
    </w:p>
    <w:p w14:paraId="38FADA3F" w14:textId="77777777" w:rsidR="00DF1D10" w:rsidRDefault="00DF1D10" w:rsidP="00DF1D10">
      <w:r>
        <w:t xml:space="preserve">Badgley, C., </w:t>
      </w:r>
      <w:proofErr w:type="spellStart"/>
      <w:r>
        <w:t>Moghtader</w:t>
      </w:r>
      <w:proofErr w:type="spellEnd"/>
      <w:r>
        <w:t xml:space="preserve">, J., Quintero, E., Zakem, E., Chappell, M.J., Avilés-Vázquez, K., </w:t>
      </w:r>
      <w:proofErr w:type="spellStart"/>
      <w:r>
        <w:t>Samulon</w:t>
      </w:r>
      <w:proofErr w:type="spellEnd"/>
      <w:r>
        <w:t xml:space="preserve">, A. and Perfecto, I. (2007). Organic agriculture and the global food supply. Renewable Agriculture and Food Systems, 22(2), pp.86–108. </w:t>
      </w:r>
      <w:proofErr w:type="spellStart"/>
      <w:proofErr w:type="gramStart"/>
      <w:r>
        <w:t>doi:https</w:t>
      </w:r>
      <w:proofErr w:type="spellEnd"/>
      <w:r>
        <w:t>://doi.org/10.1017/s1742170507001640</w:t>
      </w:r>
      <w:proofErr w:type="gramEnd"/>
      <w:r>
        <w:t>.</w:t>
      </w:r>
    </w:p>
    <w:p w14:paraId="0A936D25" w14:textId="77777777" w:rsidR="00DF1D10" w:rsidRDefault="00DF1D10" w:rsidP="00DF1D10"/>
    <w:p w14:paraId="54CED824" w14:textId="77777777" w:rsidR="00DF1D10" w:rsidRDefault="00DF1D10" w:rsidP="00DF1D10">
      <w:r>
        <w:t xml:space="preserve">Cairns, J., McCormick, P.V. and </w:t>
      </w:r>
      <w:proofErr w:type="spellStart"/>
      <w:r>
        <w:t>Niederlehner</w:t>
      </w:r>
      <w:proofErr w:type="spellEnd"/>
      <w:r>
        <w:t xml:space="preserve">, B.R. (1993). A proposed framework for developing indicators of ecosystem health. Hydrobiologia, 263(1), pp.1–44. </w:t>
      </w:r>
      <w:proofErr w:type="spellStart"/>
      <w:proofErr w:type="gramStart"/>
      <w:r>
        <w:t>doi:https</w:t>
      </w:r>
      <w:proofErr w:type="spellEnd"/>
      <w:r>
        <w:t>://doi.org/10.1007/bf00006084</w:t>
      </w:r>
      <w:proofErr w:type="gramEnd"/>
      <w:r>
        <w:t>.</w:t>
      </w:r>
    </w:p>
    <w:p w14:paraId="1E46C3A8" w14:textId="77777777" w:rsidR="00DF1D10" w:rsidRDefault="00DF1D10" w:rsidP="00DF1D10"/>
    <w:p w14:paraId="1BCCD10F" w14:textId="77777777" w:rsidR="00DF1D10" w:rsidRDefault="00DF1D10" w:rsidP="00DF1D10">
      <w:r>
        <w:t xml:space="preserve">Carpenter, S., Walker, B., Anderies, J.M. and Abel, N. (2001). From Metaphor to Measurement: Resilience of What to What? Ecosystems, 4(8), pp.765–781. </w:t>
      </w:r>
      <w:proofErr w:type="spellStart"/>
      <w:proofErr w:type="gramStart"/>
      <w:r>
        <w:t>doi:https</w:t>
      </w:r>
      <w:proofErr w:type="spellEnd"/>
      <w:r>
        <w:t>://doi.org/10.1007/s10021-001-0045-9</w:t>
      </w:r>
      <w:proofErr w:type="gramEnd"/>
      <w:r>
        <w:t>.</w:t>
      </w:r>
    </w:p>
    <w:p w14:paraId="1B7CFBCD" w14:textId="77777777" w:rsidR="00DF1D10" w:rsidRDefault="00DF1D10" w:rsidP="00DF1D10"/>
    <w:p w14:paraId="24D4A8AA" w14:textId="77777777" w:rsidR="00DF1D10" w:rsidRDefault="00DF1D10" w:rsidP="00DF1D10">
      <w:r>
        <w:lastRenderedPageBreak/>
        <w:t xml:space="preserve">Council, N.R. (2010). Toward Sustainable Agricultural Systems in the 21st Century. [online] nap.nationalacademies.org. National </w:t>
      </w:r>
      <w:proofErr w:type="gramStart"/>
      <w:r>
        <w:t>Academies .</w:t>
      </w:r>
      <w:proofErr w:type="gramEnd"/>
      <w:r>
        <w:t xml:space="preserve"> Available at: https://nap.nationalacademies.org/catalog/12832/toward-sustainable-agricultural-systems-in-the-21st-century.</w:t>
      </w:r>
    </w:p>
    <w:p w14:paraId="0D573649" w14:textId="77777777" w:rsidR="00DF1D10" w:rsidRDefault="00DF1D10" w:rsidP="00DF1D10"/>
    <w:p w14:paraId="65CA4EA8" w14:textId="77777777" w:rsidR="00DF1D10" w:rsidRDefault="00DF1D10" w:rsidP="00DF1D10">
      <w:r>
        <w:t>Dale, V. (2004). Selecting a suite of ecological indicators for resource management.</w:t>
      </w:r>
    </w:p>
    <w:p w14:paraId="1D386F74" w14:textId="77777777" w:rsidR="00DF1D10" w:rsidRDefault="00DF1D10" w:rsidP="00DF1D10"/>
    <w:p w14:paraId="1918889D" w14:textId="77777777" w:rsidR="00DF1D10" w:rsidRDefault="00DF1D10" w:rsidP="00DF1D10">
      <w:r>
        <w:t xml:space="preserve">Dale, V.H. and Beyeler, S.C. (2001). Challenges in the development and use of ecological indicators. Ecological Indicators, 1(1), pp.3–10. </w:t>
      </w:r>
      <w:proofErr w:type="spellStart"/>
      <w:proofErr w:type="gramStart"/>
      <w:r>
        <w:t>doi:https</w:t>
      </w:r>
      <w:proofErr w:type="spellEnd"/>
      <w:r>
        <w:t>://doi.org/10.1016/s1470-160x(01)00003-6</w:t>
      </w:r>
      <w:proofErr w:type="gramEnd"/>
      <w:r>
        <w:t>.</w:t>
      </w:r>
    </w:p>
    <w:p w14:paraId="5D3DAFD9" w14:textId="77777777" w:rsidR="00DF1D10" w:rsidRDefault="00DF1D10" w:rsidP="00DF1D10"/>
    <w:p w14:paraId="228FF63E" w14:textId="77777777" w:rsidR="00DF1D10" w:rsidRDefault="00DF1D10" w:rsidP="00DF1D10">
      <w:r>
        <w:t xml:space="preserve">Dale, V.H. and Polasky, S. (2007). Measures of the effects of agricultural practices on ecosystem services. Ecological Economics, 64(2), pp.286–296. </w:t>
      </w:r>
      <w:proofErr w:type="spellStart"/>
      <w:proofErr w:type="gramStart"/>
      <w:r>
        <w:t>doi:https</w:t>
      </w:r>
      <w:proofErr w:type="spellEnd"/>
      <w:r>
        <w:t>://doi.org/10.1016/j.ecolecon.2007.05.009</w:t>
      </w:r>
      <w:proofErr w:type="gramEnd"/>
      <w:r>
        <w:t>.</w:t>
      </w:r>
    </w:p>
    <w:p w14:paraId="07E67D45" w14:textId="77777777" w:rsidR="00DF1D10" w:rsidRDefault="00DF1D10" w:rsidP="00DF1D10"/>
    <w:p w14:paraId="30608441" w14:textId="77777777" w:rsidR="00DF1D10" w:rsidRDefault="00DF1D10" w:rsidP="00DF1D10">
      <w:r>
        <w:t xml:space="preserve">Ellis, E.C. (2011). Anthropogenic transformation of the terrestrial biosphere. Philosophical Transactions of the Royal Society A: Mathematical, Physical and Engineering Sciences, 369(1938), pp.1010–1035. </w:t>
      </w:r>
      <w:proofErr w:type="spellStart"/>
      <w:proofErr w:type="gramStart"/>
      <w:r>
        <w:t>doi:https</w:t>
      </w:r>
      <w:proofErr w:type="spellEnd"/>
      <w:r>
        <w:t>://doi.org/10.1098/rsta.2010.0331</w:t>
      </w:r>
      <w:proofErr w:type="gramEnd"/>
      <w:r>
        <w:t>.</w:t>
      </w:r>
    </w:p>
    <w:p w14:paraId="01BE7055" w14:textId="77777777" w:rsidR="00DF1D10" w:rsidRDefault="00DF1D10" w:rsidP="00DF1D10"/>
    <w:p w14:paraId="01E821A2" w14:textId="77777777" w:rsidR="00DF1D10" w:rsidRDefault="00DF1D10" w:rsidP="00DF1D10">
      <w:r>
        <w:t xml:space="preserve">Folke, C. (1991). Socio-Economic Dependence on the Life-Supporting Environment. Springer eBooks, pp.77–94. </w:t>
      </w:r>
      <w:proofErr w:type="spellStart"/>
      <w:proofErr w:type="gramStart"/>
      <w:r>
        <w:t>doi:https</w:t>
      </w:r>
      <w:proofErr w:type="spellEnd"/>
      <w:r>
        <w:t>://doi.org/10.1007/978-94-017-6406-3_5</w:t>
      </w:r>
      <w:proofErr w:type="gramEnd"/>
      <w:r>
        <w:t>.</w:t>
      </w:r>
    </w:p>
    <w:p w14:paraId="415EF289" w14:textId="77777777" w:rsidR="00DF1D10" w:rsidRDefault="00DF1D10" w:rsidP="00DF1D10"/>
    <w:p w14:paraId="728B4276" w14:textId="77777777" w:rsidR="00DF1D10" w:rsidRDefault="00DF1D10" w:rsidP="00DF1D10">
      <w:r>
        <w:t xml:space="preserve">Hendrickson, M.K. (2015). Resilience in a concentrated and consolidated food system. Journal of Environmental Studies and Sciences, 5(3), pp.418–431. </w:t>
      </w:r>
      <w:proofErr w:type="spellStart"/>
      <w:proofErr w:type="gramStart"/>
      <w:r>
        <w:t>doi:https</w:t>
      </w:r>
      <w:proofErr w:type="spellEnd"/>
      <w:r>
        <w:t>://doi.org/10.1007/s13412-015-0292-2</w:t>
      </w:r>
      <w:proofErr w:type="gramEnd"/>
      <w:r>
        <w:t>.</w:t>
      </w:r>
    </w:p>
    <w:p w14:paraId="6381931D" w14:textId="77777777" w:rsidR="00DF1D10" w:rsidRDefault="00DF1D10" w:rsidP="00DF1D10"/>
    <w:p w14:paraId="7CF5AF40" w14:textId="77777777" w:rsidR="00DF1D10" w:rsidRDefault="00DF1D10" w:rsidP="00DF1D10">
      <w:r>
        <w:t xml:space="preserve">Henriksson Malinga, R., Jewitt, G.P.W.J., Lindborg, R., Andersson, </w:t>
      </w:r>
      <w:proofErr w:type="gramStart"/>
      <w:r>
        <w:t>E.</w:t>
      </w:r>
      <w:proofErr w:type="gramEnd"/>
      <w:r>
        <w:t xml:space="preserve"> and Gordon, L.J.G. (2018). Accept Terms and Conditions on JSTOR. [online] www.jstor.org. Available at: https://www.jstor.org/stable/pdf/26796856.pdf [Accessed 13 Feb. 2024].</w:t>
      </w:r>
    </w:p>
    <w:p w14:paraId="785123C8" w14:textId="77777777" w:rsidR="00DF1D10" w:rsidRDefault="00DF1D10" w:rsidP="00DF1D10"/>
    <w:p w14:paraId="5BD6A179" w14:textId="77777777" w:rsidR="00DF1D10" w:rsidRDefault="00DF1D10" w:rsidP="00DF1D10">
      <w:r>
        <w:t xml:space="preserve">Howard, P. (2009). Consolidation in the North American Organic Food Processing Sector, 1997 to 2007. </w:t>
      </w:r>
      <w:proofErr w:type="spellStart"/>
      <w:r>
        <w:t>Jrnl</w:t>
      </w:r>
      <w:proofErr w:type="spellEnd"/>
      <w:r>
        <w:t xml:space="preserve">. of Soc. of </w:t>
      </w:r>
      <w:proofErr w:type="spellStart"/>
      <w:r>
        <w:t>Agr</w:t>
      </w:r>
      <w:proofErr w:type="spellEnd"/>
      <w:r>
        <w:t xml:space="preserve">. &amp; Food, [online] 16(1), pp.13–30. Available at: </w:t>
      </w:r>
      <w:r>
        <w:lastRenderedPageBreak/>
        <w:t>https://nemosine.files.wordpress.com/2013/08/consolidationof-organic-processiong.pdf [Accessed 13 Feb. 2024].</w:t>
      </w:r>
    </w:p>
    <w:p w14:paraId="53FD7580" w14:textId="77777777" w:rsidR="00DF1D10" w:rsidRDefault="00DF1D10" w:rsidP="00DF1D10"/>
    <w:p w14:paraId="3D918179" w14:textId="77777777" w:rsidR="00DF1D10" w:rsidRDefault="00DF1D10" w:rsidP="00DF1D10">
      <w:proofErr w:type="spellStart"/>
      <w:r>
        <w:t>Koohafkan</w:t>
      </w:r>
      <w:proofErr w:type="spellEnd"/>
      <w:r>
        <w:t xml:space="preserve">, P., Altieri, M.A. and Gimenez, E.H. (2011). Green Agriculture: foundations for biodiverse, </w:t>
      </w:r>
      <w:proofErr w:type="gramStart"/>
      <w:r>
        <w:t>resilient</w:t>
      </w:r>
      <w:proofErr w:type="gramEnd"/>
      <w:r>
        <w:t xml:space="preserve"> and productive agricultural systems. International Journal of Agricultural Sustainability, 10(1), pp.61–75. </w:t>
      </w:r>
      <w:proofErr w:type="spellStart"/>
      <w:proofErr w:type="gramStart"/>
      <w:r>
        <w:t>doi:https</w:t>
      </w:r>
      <w:proofErr w:type="spellEnd"/>
      <w:r>
        <w:t>://doi.org/10.1080/14735903.2011.610206</w:t>
      </w:r>
      <w:proofErr w:type="gramEnd"/>
      <w:r>
        <w:t>.</w:t>
      </w:r>
    </w:p>
    <w:p w14:paraId="1220CDDC" w14:textId="77777777" w:rsidR="00DF1D10" w:rsidRDefault="00DF1D10" w:rsidP="00DF1D10"/>
    <w:p w14:paraId="0F862EAB" w14:textId="77777777" w:rsidR="00DF1D10" w:rsidRDefault="00DF1D10" w:rsidP="00DF1D10">
      <w:r>
        <w:t xml:space="preserve">LANDRES, P.B., VERNER, </w:t>
      </w:r>
      <w:proofErr w:type="gramStart"/>
      <w:r>
        <w:t>J.</w:t>
      </w:r>
      <w:proofErr w:type="gramEnd"/>
      <w:r>
        <w:t xml:space="preserve"> and THOMAS, J.W. (1988). Ecological Uses of Vertebrate Indicator Species: A Critique. Conservation Biology, 2(4), pp.316–328. </w:t>
      </w:r>
      <w:proofErr w:type="spellStart"/>
      <w:proofErr w:type="gramStart"/>
      <w:r>
        <w:t>doi:https</w:t>
      </w:r>
      <w:proofErr w:type="spellEnd"/>
      <w:r>
        <w:t>://doi.org/10.1111/j.1523-1739.1988.tb00195.x</w:t>
      </w:r>
      <w:proofErr w:type="gramEnd"/>
      <w:r>
        <w:t>.</w:t>
      </w:r>
    </w:p>
    <w:p w14:paraId="29B8FD03" w14:textId="77777777" w:rsidR="00DF1D10" w:rsidRDefault="00DF1D10" w:rsidP="00DF1D10"/>
    <w:p w14:paraId="38CF19FB" w14:textId="77777777" w:rsidR="00DF1D10" w:rsidRDefault="00DF1D10" w:rsidP="00DF1D10">
      <w:r>
        <w:t xml:space="preserve">Mulder, B.S., Noon, B.R., Spies, T.A., Raphael, M.G., Palmer, C.J., Olsen, A.R., Reeves, G.H. and </w:t>
      </w:r>
      <w:proofErr w:type="spellStart"/>
      <w:r>
        <w:t>Jr..Welsh</w:t>
      </w:r>
      <w:proofErr w:type="spellEnd"/>
      <w:r>
        <w:t xml:space="preserve">, H.H. (1999). The strategy and design of the effectiveness monitoring program for the Northwest Forest Plan. Gen. Tech. Rep. PNW-GTR-437. Portland, OR: U.S. Department of Agriculture, Forest Service, Pacific Northwest Research Station. 138 p, [online] 437. </w:t>
      </w:r>
      <w:proofErr w:type="spellStart"/>
      <w:proofErr w:type="gramStart"/>
      <w:r>
        <w:t>doi:https</w:t>
      </w:r>
      <w:proofErr w:type="spellEnd"/>
      <w:r>
        <w:t>://doi.org/10.2737/PNW-GTR-437</w:t>
      </w:r>
      <w:proofErr w:type="gramEnd"/>
      <w:r>
        <w:t>.</w:t>
      </w:r>
    </w:p>
    <w:p w14:paraId="7C248D5E" w14:textId="77777777" w:rsidR="00DF1D10" w:rsidRDefault="00DF1D10" w:rsidP="00DF1D10"/>
    <w:p w14:paraId="21505187" w14:textId="77777777" w:rsidR="00DF1D10" w:rsidRDefault="00DF1D10" w:rsidP="00DF1D10">
      <w:r>
        <w:t xml:space="preserve">Postel, S., S Bawa, K. and Kaufman, L. (1997). (PDF) Nature’s Services: Societal Dependence </w:t>
      </w:r>
      <w:proofErr w:type="gramStart"/>
      <w:r>
        <w:t>On</w:t>
      </w:r>
      <w:proofErr w:type="gramEnd"/>
      <w:r>
        <w:t xml:space="preserve"> Natural Ecosystems. [online] ResearchGate. Available at: https://www.researchgate.net/publication/37717461_Nature.</w:t>
      </w:r>
    </w:p>
    <w:p w14:paraId="21545D9E" w14:textId="77777777" w:rsidR="00DF1D10" w:rsidRDefault="00DF1D10" w:rsidP="00DF1D10"/>
    <w:p w14:paraId="3C984B5E" w14:textId="77777777" w:rsidR="00DF1D10" w:rsidRDefault="00DF1D10" w:rsidP="00DF1D10">
      <w:r>
        <w:t xml:space="preserve">Power, A.G. (2010). Ecosystem services and agriculture: </w:t>
      </w:r>
      <w:proofErr w:type="spellStart"/>
      <w:r>
        <w:t>tradeoffs</w:t>
      </w:r>
      <w:proofErr w:type="spellEnd"/>
      <w:r>
        <w:t xml:space="preserve"> and synergies. Philosophical Transactions of the Royal Society B: Biological Sciences, 365(1554), pp.2959–2971. </w:t>
      </w:r>
      <w:proofErr w:type="spellStart"/>
      <w:proofErr w:type="gramStart"/>
      <w:r>
        <w:t>doi:https</w:t>
      </w:r>
      <w:proofErr w:type="spellEnd"/>
      <w:r>
        <w:t>://doi.org/10.1098/rstb.2010.0143</w:t>
      </w:r>
      <w:proofErr w:type="gramEnd"/>
      <w:r>
        <w:t>.</w:t>
      </w:r>
    </w:p>
    <w:p w14:paraId="39902E3D" w14:textId="77777777" w:rsidR="00DF1D10" w:rsidRDefault="00DF1D10" w:rsidP="00DF1D10"/>
    <w:p w14:paraId="6B4AB2DF" w14:textId="77777777" w:rsidR="00DF1D10" w:rsidRDefault="00DF1D10" w:rsidP="00DF1D10">
      <w:r>
        <w:t xml:space="preserve">Pretty, J., Sutherland, W.J., Ashby, J., Auburn, J., </w:t>
      </w:r>
      <w:proofErr w:type="spellStart"/>
      <w:r>
        <w:t>Baulcombe</w:t>
      </w:r>
      <w:proofErr w:type="spellEnd"/>
      <w:r>
        <w:t>, D., Bell, M., Bentley, J., Bickersteth, S., Brown, K., Burke, J., Campbell, H., Chen, K., Crowley, E., Crute, I., Dobbelaere, D., Edwards-Jones, G., Funes-</w:t>
      </w:r>
      <w:proofErr w:type="spellStart"/>
      <w:r>
        <w:t>Monzote</w:t>
      </w:r>
      <w:proofErr w:type="spellEnd"/>
      <w:r>
        <w:t xml:space="preserve">, F., Godfray, H.C.J., Griffon, M. and </w:t>
      </w:r>
      <w:proofErr w:type="spellStart"/>
      <w:r>
        <w:t>Gypmantisiri</w:t>
      </w:r>
      <w:proofErr w:type="spellEnd"/>
      <w:r>
        <w:t xml:space="preserve">, P. (2010). The top 100 questions of importance to the future of global agriculture. International Journal of Agricultural Sustainability, 8(4), pp.219–236. </w:t>
      </w:r>
      <w:proofErr w:type="spellStart"/>
      <w:proofErr w:type="gramStart"/>
      <w:r>
        <w:t>doi:https</w:t>
      </w:r>
      <w:proofErr w:type="spellEnd"/>
      <w:r>
        <w:t>://doi.org/10.3763/ijas.2010.0534</w:t>
      </w:r>
      <w:proofErr w:type="gramEnd"/>
      <w:r>
        <w:t>.</w:t>
      </w:r>
    </w:p>
    <w:p w14:paraId="2BBD179D" w14:textId="77777777" w:rsidR="00DF1D10" w:rsidRDefault="00DF1D10" w:rsidP="00DF1D10"/>
    <w:p w14:paraId="103FAC98" w14:textId="77777777" w:rsidR="00DF1D10" w:rsidRDefault="00DF1D10" w:rsidP="00DF1D10">
      <w:r>
        <w:lastRenderedPageBreak/>
        <w:t xml:space="preserve">Pretty, J.N., Noble, A.D., Bossio, D., Dixon, J., Hine, R.E., Penning de Vries, F.W.T. and Morison, J.I.L. (2006). Resource-Conserving Agriculture Increases Yields in Developing Countries. Environmental Science &amp; Technology, 40(4), pp.1114–1119. </w:t>
      </w:r>
      <w:proofErr w:type="spellStart"/>
      <w:proofErr w:type="gramStart"/>
      <w:r>
        <w:t>doi:https</w:t>
      </w:r>
      <w:proofErr w:type="spellEnd"/>
      <w:r>
        <w:t>://doi.org/10.1021/es051670d</w:t>
      </w:r>
      <w:proofErr w:type="gramEnd"/>
      <w:r>
        <w:t>.</w:t>
      </w:r>
    </w:p>
    <w:p w14:paraId="75CCEC6D" w14:textId="77777777" w:rsidR="00DF1D10" w:rsidRDefault="00DF1D10" w:rsidP="00DF1D10"/>
    <w:p w14:paraId="51970E0E" w14:textId="77777777" w:rsidR="00DF1D10" w:rsidRDefault="00DF1D10" w:rsidP="00DF1D10">
      <w:r>
        <w:t xml:space="preserve">Ramankutty, N., Evan, A.T., Monfreda, C. and Foley, J.A. (2008). Farming the planet: 1. Geographic distribution of global agricultural lands in the year 2000. Global Biogeochemical Cycles, 22(1), </w:t>
      </w:r>
      <w:proofErr w:type="spellStart"/>
      <w:r>
        <w:t>p.n</w:t>
      </w:r>
      <w:proofErr w:type="spellEnd"/>
      <w:r>
        <w:t xml:space="preserve">/a-n/a. </w:t>
      </w:r>
      <w:proofErr w:type="spellStart"/>
      <w:proofErr w:type="gramStart"/>
      <w:r>
        <w:t>doi:https</w:t>
      </w:r>
      <w:proofErr w:type="spellEnd"/>
      <w:r>
        <w:t>://doi.org/10.1029/2007gb002952</w:t>
      </w:r>
      <w:proofErr w:type="gramEnd"/>
      <w:r>
        <w:t>.</w:t>
      </w:r>
    </w:p>
    <w:p w14:paraId="2B02FDB0" w14:textId="77777777" w:rsidR="00DF1D10" w:rsidRDefault="00DF1D10" w:rsidP="00DF1D10"/>
    <w:p w14:paraId="2CCB112B" w14:textId="77777777" w:rsidR="00DF1D10" w:rsidRDefault="00DF1D10" w:rsidP="00DF1D10">
      <w:proofErr w:type="spellStart"/>
      <w:r>
        <w:t>Rockström</w:t>
      </w:r>
      <w:proofErr w:type="spellEnd"/>
      <w:r>
        <w:t xml:space="preserve">, J., Gordon, L., Folke, C., </w:t>
      </w:r>
      <w:proofErr w:type="spellStart"/>
      <w:r>
        <w:t>Falkenmark</w:t>
      </w:r>
      <w:proofErr w:type="spellEnd"/>
      <w:r>
        <w:t>, M. and Engwall, M. (1999). Linkages Among Water Vapor Flows, Food Production, and Terrestrial Ecosystem Services. Conservation Ecology, [online] 3(2). Available at: https://www.jstor.org/stable/26271715 [Accessed 13 Feb. 2024].</w:t>
      </w:r>
    </w:p>
    <w:p w14:paraId="055E7C5C" w14:textId="77777777" w:rsidR="00DF1D10" w:rsidRDefault="00DF1D10" w:rsidP="00DF1D10"/>
    <w:p w14:paraId="14D591D1" w14:textId="77777777" w:rsidR="00DF1D10" w:rsidRDefault="00DF1D10" w:rsidP="00DF1D10">
      <w:r>
        <w:t>royalsociety.org. (2009). Reaping the benefits: Science and the sustainable intensification of global agriculture | Royal Society. [online] Available at: https://royalsociety.org/topics-policy/publications/2009/reaping-benefits/.</w:t>
      </w:r>
    </w:p>
    <w:p w14:paraId="6047C1D6" w14:textId="77777777" w:rsidR="00DF1D10" w:rsidRDefault="00DF1D10" w:rsidP="00DF1D10"/>
    <w:p w14:paraId="3BE41073" w14:textId="77777777" w:rsidR="00DF1D10" w:rsidRDefault="00DF1D10" w:rsidP="00DF1D10">
      <w:r>
        <w:t xml:space="preserve">Turner, </w:t>
      </w:r>
      <w:proofErr w:type="spellStart"/>
      <w:proofErr w:type="gramStart"/>
      <w:r>
        <w:t>R.Kerry</w:t>
      </w:r>
      <w:proofErr w:type="spellEnd"/>
      <w:proofErr w:type="gramEnd"/>
      <w:r>
        <w:t xml:space="preserve">., Paavola, J., Cooper, P., Farber, S., Jessamy, V. and Georgiou, S. (2003). Valuing nature: lessons learned and future research directions. Ecological Economics, 46(3), pp.493–510. </w:t>
      </w:r>
      <w:proofErr w:type="spellStart"/>
      <w:proofErr w:type="gramStart"/>
      <w:r>
        <w:t>doi:https</w:t>
      </w:r>
      <w:proofErr w:type="spellEnd"/>
      <w:r>
        <w:t>://doi.org/10.1016/s0921-8009(03)00189-7</w:t>
      </w:r>
      <w:proofErr w:type="gramEnd"/>
      <w:r>
        <w:t>.</w:t>
      </w:r>
    </w:p>
    <w:p w14:paraId="3757E039" w14:textId="77777777" w:rsidR="00DF1D10" w:rsidRDefault="00DF1D10" w:rsidP="00DF1D10"/>
    <w:p w14:paraId="6E48DA19" w14:textId="4141B962" w:rsidR="00A25C62" w:rsidRDefault="00DF1D10" w:rsidP="00DF1D10">
      <w:proofErr w:type="spellStart"/>
      <w:r>
        <w:t>Vitousek</w:t>
      </w:r>
      <w:proofErr w:type="spellEnd"/>
      <w:r>
        <w:t xml:space="preserve">, P.M., Ehrlich, P.R., Ehrlich, A.H. and Matson, P.A. (1986). Human Appropriation of the Products of Photosynthesis. </w:t>
      </w:r>
      <w:proofErr w:type="spellStart"/>
      <w:r>
        <w:t>BioScience</w:t>
      </w:r>
      <w:proofErr w:type="spellEnd"/>
      <w:r>
        <w:t xml:space="preserve">, 36(6), pp.368–373. </w:t>
      </w:r>
      <w:proofErr w:type="spellStart"/>
      <w:r>
        <w:t>doi:https</w:t>
      </w:r>
      <w:proofErr w:type="spellEnd"/>
      <w:r>
        <w:t>://doi.org/10.2307/1310258.</w:t>
      </w:r>
    </w:p>
    <w:p w14:paraId="4EDFC7DA" w14:textId="77777777" w:rsidR="0009676D" w:rsidRDefault="0009676D"/>
    <w:p w14:paraId="5808058C" w14:textId="77777777" w:rsidR="0009676D" w:rsidRDefault="0009676D"/>
    <w:p w14:paraId="3FBBA326" w14:textId="77777777" w:rsidR="0009676D" w:rsidRDefault="0009676D"/>
    <w:p w14:paraId="6119BB02" w14:textId="77777777" w:rsidR="0009676D" w:rsidRDefault="0009676D"/>
    <w:p w14:paraId="24D8A174" w14:textId="77777777" w:rsidR="0009676D" w:rsidRDefault="0009676D"/>
    <w:p w14:paraId="7C446A98" w14:textId="77777777" w:rsidR="0011092B" w:rsidRDefault="0011092B"/>
    <w:p w14:paraId="68BEC216" w14:textId="77777777" w:rsidR="0009676D" w:rsidRDefault="0009676D"/>
    <w:p w14:paraId="279C73A3" w14:textId="77777777" w:rsidR="0009676D" w:rsidRDefault="0009676D"/>
    <w:p w14:paraId="660995F7" w14:textId="77777777" w:rsidR="0009676D" w:rsidRDefault="0009676D"/>
    <w:p w14:paraId="4210109F" w14:textId="77777777" w:rsidR="0009676D" w:rsidRDefault="0009676D"/>
    <w:p w14:paraId="11C56350" w14:textId="77777777" w:rsidR="0009676D" w:rsidRDefault="0009676D"/>
    <w:p w14:paraId="29539EE9" w14:textId="77777777" w:rsidR="0009676D" w:rsidRDefault="0009676D"/>
    <w:p w14:paraId="1DBA23F4" w14:textId="77777777" w:rsidR="0009676D" w:rsidRDefault="0009676D"/>
    <w:p w14:paraId="2D1F7328" w14:textId="77777777" w:rsidR="0009676D" w:rsidRDefault="0009676D"/>
    <w:p w14:paraId="2DBEA6A7" w14:textId="77777777" w:rsidR="0009676D" w:rsidRDefault="0009676D"/>
    <w:p w14:paraId="1B588ECD" w14:textId="77777777" w:rsidR="0009676D" w:rsidRDefault="0009676D"/>
    <w:p w14:paraId="3678E17C" w14:textId="77777777" w:rsidR="0009676D" w:rsidRDefault="0009676D"/>
    <w:p w14:paraId="02666FF8" w14:textId="77777777" w:rsidR="0009676D" w:rsidRDefault="0009676D"/>
    <w:p w14:paraId="34A7F726" w14:textId="77777777" w:rsidR="0009676D" w:rsidRDefault="0009676D"/>
    <w:p w14:paraId="513936B6" w14:textId="77777777" w:rsidR="0009676D" w:rsidRDefault="0009676D"/>
    <w:p w14:paraId="3B110733" w14:textId="77777777" w:rsidR="0009676D" w:rsidRDefault="0009676D"/>
    <w:p w14:paraId="2970B9D0" w14:textId="77777777" w:rsidR="0009676D" w:rsidRDefault="0009676D"/>
    <w:p w14:paraId="4750E83E" w14:textId="77777777" w:rsidR="0009676D" w:rsidRDefault="0009676D"/>
    <w:p w14:paraId="0E181447" w14:textId="77777777" w:rsidR="0009676D" w:rsidRDefault="0009676D"/>
    <w:p w14:paraId="2F3B3FD0" w14:textId="77777777" w:rsidR="0009676D" w:rsidRDefault="0009676D"/>
    <w:p w14:paraId="57892175" w14:textId="77777777" w:rsidR="0009676D" w:rsidRDefault="0009676D"/>
    <w:p w14:paraId="1274B994" w14:textId="77777777" w:rsidR="0009676D" w:rsidRDefault="0009676D"/>
    <w:p w14:paraId="56A12BD7" w14:textId="77777777" w:rsidR="0009676D" w:rsidRDefault="0009676D"/>
    <w:p w14:paraId="41BEE152" w14:textId="77777777" w:rsidR="0009676D" w:rsidRDefault="0009676D"/>
    <w:p w14:paraId="15412568" w14:textId="77777777" w:rsidR="0009676D" w:rsidRDefault="0009676D"/>
    <w:p w14:paraId="0D6A87F8" w14:textId="77777777" w:rsidR="0009676D" w:rsidRDefault="0009676D"/>
    <w:p w14:paraId="487A1070" w14:textId="77777777" w:rsidR="0009676D" w:rsidRDefault="0009676D"/>
    <w:p w14:paraId="50CB3463" w14:textId="77777777" w:rsidR="0009676D" w:rsidRDefault="0009676D"/>
    <w:p w14:paraId="517493E3" w14:textId="77777777" w:rsidR="0009676D" w:rsidRDefault="0009676D"/>
    <w:p w14:paraId="2204D44E" w14:textId="77777777" w:rsidR="0009676D" w:rsidRDefault="0009676D"/>
    <w:p w14:paraId="0464727C" w14:textId="77777777" w:rsidR="0009676D" w:rsidRDefault="0009676D"/>
    <w:p w14:paraId="52713810" w14:textId="6FBA0F2B" w:rsidR="00F22880" w:rsidRDefault="00F22880"/>
    <w:sectPr w:rsidR="00F22880" w:rsidSect="00702CE8">
      <w:head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F0F64" w14:textId="77777777" w:rsidR="00702CE8" w:rsidRDefault="00702CE8" w:rsidP="00F22880">
      <w:pPr>
        <w:spacing w:after="0" w:line="240" w:lineRule="auto"/>
      </w:pPr>
      <w:r>
        <w:separator/>
      </w:r>
    </w:p>
  </w:endnote>
  <w:endnote w:type="continuationSeparator" w:id="0">
    <w:p w14:paraId="3197182F" w14:textId="77777777" w:rsidR="00702CE8" w:rsidRDefault="00702CE8" w:rsidP="00F228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Light">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65892" w14:textId="77777777" w:rsidR="00702CE8" w:rsidRDefault="00702CE8" w:rsidP="00F22880">
      <w:pPr>
        <w:spacing w:after="0" w:line="240" w:lineRule="auto"/>
      </w:pPr>
      <w:r>
        <w:separator/>
      </w:r>
    </w:p>
  </w:footnote>
  <w:footnote w:type="continuationSeparator" w:id="0">
    <w:p w14:paraId="1FE196CB" w14:textId="77777777" w:rsidR="00702CE8" w:rsidRDefault="00702CE8" w:rsidP="00F228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07C0C" w14:textId="5937B89F" w:rsidR="00AD6E88" w:rsidRPr="003F39F2" w:rsidRDefault="008C7A12" w:rsidP="00DB3B53">
    <w:pPr>
      <w:pStyle w:val="Header"/>
      <w:jc w:val="center"/>
      <w:rPr>
        <w:rFonts w:ascii="Amasis MT Pro Light" w:hAnsi="Amasis MT Pro Light"/>
        <w:sz w:val="32"/>
        <w:szCs w:val="32"/>
        <w:u w:val="single"/>
      </w:rPr>
    </w:pPr>
    <w:r w:rsidRPr="003F39F2">
      <w:rPr>
        <w:rFonts w:ascii="Amasis MT Pro Light" w:hAnsi="Amasis MT Pro Light"/>
        <w:sz w:val="32"/>
        <w:szCs w:val="32"/>
        <w:u w:val="single"/>
      </w:rPr>
      <w:t>Investigating the</w:t>
    </w:r>
    <w:r w:rsidR="000823B9" w:rsidRPr="003F39F2">
      <w:rPr>
        <w:rFonts w:ascii="Amasis MT Pro Light" w:hAnsi="Amasis MT Pro Light"/>
        <w:sz w:val="32"/>
        <w:szCs w:val="32"/>
        <w:u w:val="single"/>
      </w:rPr>
      <w:t xml:space="preserve"> </w:t>
    </w:r>
    <w:bookmarkStart w:id="4" w:name="_Hlk158568551"/>
    <w:bookmarkStart w:id="5" w:name="_Hlk158568552"/>
    <w:r w:rsidR="000823B9" w:rsidRPr="003F39F2">
      <w:rPr>
        <w:rFonts w:ascii="Amasis MT Pro Light" w:hAnsi="Amasis MT Pro Light"/>
        <w:sz w:val="32"/>
        <w:szCs w:val="32"/>
        <w:u w:val="single"/>
      </w:rPr>
      <w:t xml:space="preserve">Relationship Between </w:t>
    </w:r>
    <w:bookmarkStart w:id="6" w:name="_Hlk158285857"/>
    <w:bookmarkStart w:id="7" w:name="_Hlk158285858"/>
    <w:r w:rsidR="000823B9" w:rsidRPr="003F39F2">
      <w:rPr>
        <w:rFonts w:ascii="Amasis MT Pro Light" w:hAnsi="Amasis MT Pro Light"/>
        <w:sz w:val="32"/>
        <w:szCs w:val="32"/>
        <w:u w:val="single"/>
      </w:rPr>
      <w:t>Ecosystem Service Delivery and Agricultural Landscape Resilience</w:t>
    </w:r>
    <w:r w:rsidR="000A6E07" w:rsidRPr="003F39F2">
      <w:rPr>
        <w:rFonts w:ascii="Amasis MT Pro Light" w:hAnsi="Amasis MT Pro Light"/>
        <w:sz w:val="32"/>
        <w:szCs w:val="32"/>
        <w:u w:val="single"/>
      </w:rPr>
      <w:t>.</w:t>
    </w:r>
    <w:bookmarkEnd w:id="4"/>
    <w:bookmarkEnd w:id="5"/>
    <w:bookmarkEnd w:id="6"/>
    <w:bookmarkEnd w:id="7"/>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23D42"/>
    <w:multiLevelType w:val="hybridMultilevel"/>
    <w:tmpl w:val="49B64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B4699"/>
    <w:multiLevelType w:val="hybridMultilevel"/>
    <w:tmpl w:val="ACE45B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A7E65F8"/>
    <w:multiLevelType w:val="hybridMultilevel"/>
    <w:tmpl w:val="34228C6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D3622E3"/>
    <w:multiLevelType w:val="hybridMultilevel"/>
    <w:tmpl w:val="24961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C22211"/>
    <w:multiLevelType w:val="multilevel"/>
    <w:tmpl w:val="4E76644E"/>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5" w15:restartNumberingAfterBreak="0">
    <w:nsid w:val="44F8300C"/>
    <w:multiLevelType w:val="hybridMultilevel"/>
    <w:tmpl w:val="EE781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AD258B"/>
    <w:multiLevelType w:val="multilevel"/>
    <w:tmpl w:val="EA50BBE0"/>
    <w:lvl w:ilvl="0">
      <w:start w:val="1"/>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57D95741"/>
    <w:multiLevelType w:val="hybridMultilevel"/>
    <w:tmpl w:val="2B664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E663E4"/>
    <w:multiLevelType w:val="hybridMultilevel"/>
    <w:tmpl w:val="2A1619D6"/>
    <w:lvl w:ilvl="0" w:tplc="8E049BDE">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12756AE"/>
    <w:multiLevelType w:val="multilevel"/>
    <w:tmpl w:val="4CE2DDE0"/>
    <w:lvl w:ilvl="0">
      <w:start w:val="3"/>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6D1A3E67"/>
    <w:multiLevelType w:val="hybridMultilevel"/>
    <w:tmpl w:val="9A46E1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9A03120"/>
    <w:multiLevelType w:val="multilevel"/>
    <w:tmpl w:val="43B620E6"/>
    <w:lvl w:ilvl="0">
      <w:start w:val="1"/>
      <w:numFmt w:val="decimal"/>
      <w:lvlText w:val="%1."/>
      <w:lvlJc w:val="left"/>
      <w:pPr>
        <w:ind w:left="720" w:hanging="360"/>
      </w:pPr>
      <w:rPr>
        <w:rFonts w:hint="default"/>
      </w:rPr>
    </w:lvl>
    <w:lvl w:ilvl="1">
      <w:start w:val="4"/>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806191121">
    <w:abstractNumId w:val="3"/>
  </w:num>
  <w:num w:numId="2" w16cid:durableId="607390132">
    <w:abstractNumId w:val="10"/>
  </w:num>
  <w:num w:numId="3" w16cid:durableId="1929776596">
    <w:abstractNumId w:val="2"/>
  </w:num>
  <w:num w:numId="4" w16cid:durableId="809326991">
    <w:abstractNumId w:val="1"/>
  </w:num>
  <w:num w:numId="5" w16cid:durableId="1861620106">
    <w:abstractNumId w:val="0"/>
  </w:num>
  <w:num w:numId="6" w16cid:durableId="1247961099">
    <w:abstractNumId w:val="8"/>
  </w:num>
  <w:num w:numId="7" w16cid:durableId="1686058869">
    <w:abstractNumId w:val="5"/>
  </w:num>
  <w:num w:numId="8" w16cid:durableId="678193507">
    <w:abstractNumId w:val="7"/>
  </w:num>
  <w:num w:numId="9" w16cid:durableId="497305471">
    <w:abstractNumId w:val="6"/>
  </w:num>
  <w:num w:numId="10" w16cid:durableId="799373885">
    <w:abstractNumId w:val="11"/>
  </w:num>
  <w:num w:numId="11" w16cid:durableId="876041099">
    <w:abstractNumId w:val="4"/>
  </w:num>
  <w:num w:numId="12" w16cid:durableId="7728267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880"/>
    <w:rsid w:val="000000BB"/>
    <w:rsid w:val="000135B0"/>
    <w:rsid w:val="00013F44"/>
    <w:rsid w:val="00014E21"/>
    <w:rsid w:val="00023D84"/>
    <w:rsid w:val="000328E6"/>
    <w:rsid w:val="00032E78"/>
    <w:rsid w:val="00036FAF"/>
    <w:rsid w:val="00037E6A"/>
    <w:rsid w:val="0004533D"/>
    <w:rsid w:val="00062836"/>
    <w:rsid w:val="00075536"/>
    <w:rsid w:val="00080349"/>
    <w:rsid w:val="00082382"/>
    <w:rsid w:val="000823B9"/>
    <w:rsid w:val="00093D19"/>
    <w:rsid w:val="0009416E"/>
    <w:rsid w:val="0009421C"/>
    <w:rsid w:val="0009676D"/>
    <w:rsid w:val="000A63EA"/>
    <w:rsid w:val="000A6E07"/>
    <w:rsid w:val="000A7161"/>
    <w:rsid w:val="000A7673"/>
    <w:rsid w:val="000A79BA"/>
    <w:rsid w:val="000B0068"/>
    <w:rsid w:val="000B052C"/>
    <w:rsid w:val="000B0DFF"/>
    <w:rsid w:val="000B3766"/>
    <w:rsid w:val="000B4E39"/>
    <w:rsid w:val="000B66D4"/>
    <w:rsid w:val="000B6E49"/>
    <w:rsid w:val="000C2918"/>
    <w:rsid w:val="000D07E7"/>
    <w:rsid w:val="000D0AB6"/>
    <w:rsid w:val="000D2D48"/>
    <w:rsid w:val="000D72A7"/>
    <w:rsid w:val="000E25B1"/>
    <w:rsid w:val="000F1FBC"/>
    <w:rsid w:val="000F461D"/>
    <w:rsid w:val="00102BB0"/>
    <w:rsid w:val="00103153"/>
    <w:rsid w:val="001055FD"/>
    <w:rsid w:val="00105FA1"/>
    <w:rsid w:val="0011092B"/>
    <w:rsid w:val="00113173"/>
    <w:rsid w:val="001245CF"/>
    <w:rsid w:val="0012477C"/>
    <w:rsid w:val="00127508"/>
    <w:rsid w:val="0013705E"/>
    <w:rsid w:val="00147017"/>
    <w:rsid w:val="00156D03"/>
    <w:rsid w:val="00160CCA"/>
    <w:rsid w:val="001629E5"/>
    <w:rsid w:val="00162F2F"/>
    <w:rsid w:val="00165F39"/>
    <w:rsid w:val="00175670"/>
    <w:rsid w:val="00176128"/>
    <w:rsid w:val="0019462D"/>
    <w:rsid w:val="001951B8"/>
    <w:rsid w:val="00195398"/>
    <w:rsid w:val="001A29DC"/>
    <w:rsid w:val="001A5169"/>
    <w:rsid w:val="001B07A1"/>
    <w:rsid w:val="001B478A"/>
    <w:rsid w:val="001B47AA"/>
    <w:rsid w:val="001B6095"/>
    <w:rsid w:val="001B627F"/>
    <w:rsid w:val="001B7E6D"/>
    <w:rsid w:val="001C70AB"/>
    <w:rsid w:val="001D648A"/>
    <w:rsid w:val="001D72EC"/>
    <w:rsid w:val="001E0E3B"/>
    <w:rsid w:val="001E10E2"/>
    <w:rsid w:val="001E63F8"/>
    <w:rsid w:val="001F050C"/>
    <w:rsid w:val="001F093E"/>
    <w:rsid w:val="001F1014"/>
    <w:rsid w:val="001F2D8F"/>
    <w:rsid w:val="001F600D"/>
    <w:rsid w:val="001F7722"/>
    <w:rsid w:val="00204B58"/>
    <w:rsid w:val="002075C1"/>
    <w:rsid w:val="00207EA8"/>
    <w:rsid w:val="0021190F"/>
    <w:rsid w:val="00212ADE"/>
    <w:rsid w:val="00215562"/>
    <w:rsid w:val="0022044A"/>
    <w:rsid w:val="00220DBD"/>
    <w:rsid w:val="00227938"/>
    <w:rsid w:val="0023314E"/>
    <w:rsid w:val="00234AFF"/>
    <w:rsid w:val="00236151"/>
    <w:rsid w:val="002420E7"/>
    <w:rsid w:val="00242C63"/>
    <w:rsid w:val="0024353F"/>
    <w:rsid w:val="00246CE1"/>
    <w:rsid w:val="00247B50"/>
    <w:rsid w:val="00254A0F"/>
    <w:rsid w:val="002564BC"/>
    <w:rsid w:val="00260121"/>
    <w:rsid w:val="00280495"/>
    <w:rsid w:val="00286D40"/>
    <w:rsid w:val="00287338"/>
    <w:rsid w:val="00294D57"/>
    <w:rsid w:val="002A15A1"/>
    <w:rsid w:val="002A168A"/>
    <w:rsid w:val="002A4FC3"/>
    <w:rsid w:val="002C341B"/>
    <w:rsid w:val="002C6F55"/>
    <w:rsid w:val="002D3ABC"/>
    <w:rsid w:val="002D7682"/>
    <w:rsid w:val="002E3847"/>
    <w:rsid w:val="002E4586"/>
    <w:rsid w:val="002E4713"/>
    <w:rsid w:val="002E54FC"/>
    <w:rsid w:val="002E5545"/>
    <w:rsid w:val="002E7310"/>
    <w:rsid w:val="002F15F0"/>
    <w:rsid w:val="002F5A89"/>
    <w:rsid w:val="002F61DC"/>
    <w:rsid w:val="002F691C"/>
    <w:rsid w:val="00301A83"/>
    <w:rsid w:val="00302837"/>
    <w:rsid w:val="003029A6"/>
    <w:rsid w:val="003051F3"/>
    <w:rsid w:val="003073F7"/>
    <w:rsid w:val="00313F31"/>
    <w:rsid w:val="00316423"/>
    <w:rsid w:val="0031737F"/>
    <w:rsid w:val="003227AF"/>
    <w:rsid w:val="00323D57"/>
    <w:rsid w:val="00326D51"/>
    <w:rsid w:val="00332960"/>
    <w:rsid w:val="00332D17"/>
    <w:rsid w:val="00334F8E"/>
    <w:rsid w:val="00336D38"/>
    <w:rsid w:val="0034113A"/>
    <w:rsid w:val="00347FC6"/>
    <w:rsid w:val="00351387"/>
    <w:rsid w:val="00356F36"/>
    <w:rsid w:val="0036059C"/>
    <w:rsid w:val="00361531"/>
    <w:rsid w:val="003615AD"/>
    <w:rsid w:val="003647CD"/>
    <w:rsid w:val="00370C50"/>
    <w:rsid w:val="00372AC6"/>
    <w:rsid w:val="00372B88"/>
    <w:rsid w:val="00374625"/>
    <w:rsid w:val="003763AD"/>
    <w:rsid w:val="003832E6"/>
    <w:rsid w:val="00383F3C"/>
    <w:rsid w:val="00384333"/>
    <w:rsid w:val="003851E5"/>
    <w:rsid w:val="003862D1"/>
    <w:rsid w:val="00386B95"/>
    <w:rsid w:val="00387963"/>
    <w:rsid w:val="00390FD3"/>
    <w:rsid w:val="00391911"/>
    <w:rsid w:val="003923A8"/>
    <w:rsid w:val="003B03A7"/>
    <w:rsid w:val="003B0705"/>
    <w:rsid w:val="003B556B"/>
    <w:rsid w:val="003C0044"/>
    <w:rsid w:val="003C3C46"/>
    <w:rsid w:val="003C6EAC"/>
    <w:rsid w:val="003C7550"/>
    <w:rsid w:val="003D31F9"/>
    <w:rsid w:val="003D3CE3"/>
    <w:rsid w:val="003E4710"/>
    <w:rsid w:val="003E72E5"/>
    <w:rsid w:val="003F0C4B"/>
    <w:rsid w:val="003F1BFA"/>
    <w:rsid w:val="003F39F2"/>
    <w:rsid w:val="003F663D"/>
    <w:rsid w:val="003F6B91"/>
    <w:rsid w:val="003F7337"/>
    <w:rsid w:val="00404089"/>
    <w:rsid w:val="004052D6"/>
    <w:rsid w:val="00405894"/>
    <w:rsid w:val="00406525"/>
    <w:rsid w:val="00406F49"/>
    <w:rsid w:val="004076CD"/>
    <w:rsid w:val="00414A53"/>
    <w:rsid w:val="00415BEA"/>
    <w:rsid w:val="00422A70"/>
    <w:rsid w:val="00425779"/>
    <w:rsid w:val="004364A3"/>
    <w:rsid w:val="00437B5C"/>
    <w:rsid w:val="0044192F"/>
    <w:rsid w:val="00443881"/>
    <w:rsid w:val="00444E56"/>
    <w:rsid w:val="00447FD5"/>
    <w:rsid w:val="00450885"/>
    <w:rsid w:val="00451304"/>
    <w:rsid w:val="00452D7C"/>
    <w:rsid w:val="00457F09"/>
    <w:rsid w:val="00460DE1"/>
    <w:rsid w:val="00464645"/>
    <w:rsid w:val="00471B6C"/>
    <w:rsid w:val="00471EE1"/>
    <w:rsid w:val="00476EA5"/>
    <w:rsid w:val="0048202D"/>
    <w:rsid w:val="00491160"/>
    <w:rsid w:val="00492EDE"/>
    <w:rsid w:val="004A3972"/>
    <w:rsid w:val="004A4F07"/>
    <w:rsid w:val="004B5005"/>
    <w:rsid w:val="004B62C3"/>
    <w:rsid w:val="004C2180"/>
    <w:rsid w:val="004C3263"/>
    <w:rsid w:val="004C5BB5"/>
    <w:rsid w:val="004D23F8"/>
    <w:rsid w:val="004E4E06"/>
    <w:rsid w:val="004F0B9E"/>
    <w:rsid w:val="00500DAE"/>
    <w:rsid w:val="00502450"/>
    <w:rsid w:val="00504B7A"/>
    <w:rsid w:val="00507484"/>
    <w:rsid w:val="00507E72"/>
    <w:rsid w:val="005103B7"/>
    <w:rsid w:val="00511053"/>
    <w:rsid w:val="0051710D"/>
    <w:rsid w:val="005207ED"/>
    <w:rsid w:val="0052209F"/>
    <w:rsid w:val="00537EDB"/>
    <w:rsid w:val="005445D5"/>
    <w:rsid w:val="005455BC"/>
    <w:rsid w:val="00545D93"/>
    <w:rsid w:val="005467FF"/>
    <w:rsid w:val="00562014"/>
    <w:rsid w:val="00563453"/>
    <w:rsid w:val="00567334"/>
    <w:rsid w:val="00570BB4"/>
    <w:rsid w:val="00571F60"/>
    <w:rsid w:val="005A3DBA"/>
    <w:rsid w:val="005B3C4E"/>
    <w:rsid w:val="005B442A"/>
    <w:rsid w:val="005B59AF"/>
    <w:rsid w:val="005B75D5"/>
    <w:rsid w:val="005C1C5D"/>
    <w:rsid w:val="005C213B"/>
    <w:rsid w:val="005C2923"/>
    <w:rsid w:val="005C326E"/>
    <w:rsid w:val="005D0655"/>
    <w:rsid w:val="005D0A17"/>
    <w:rsid w:val="005D1765"/>
    <w:rsid w:val="005D7331"/>
    <w:rsid w:val="005E00D0"/>
    <w:rsid w:val="005E6477"/>
    <w:rsid w:val="005F0B3C"/>
    <w:rsid w:val="005F158D"/>
    <w:rsid w:val="005F5699"/>
    <w:rsid w:val="005F6EFD"/>
    <w:rsid w:val="006053CC"/>
    <w:rsid w:val="00622621"/>
    <w:rsid w:val="00622B23"/>
    <w:rsid w:val="006473D2"/>
    <w:rsid w:val="0065488E"/>
    <w:rsid w:val="00654A4F"/>
    <w:rsid w:val="00664106"/>
    <w:rsid w:val="00665A6B"/>
    <w:rsid w:val="00666A08"/>
    <w:rsid w:val="006709B0"/>
    <w:rsid w:val="006711D1"/>
    <w:rsid w:val="00672C63"/>
    <w:rsid w:val="00672FBE"/>
    <w:rsid w:val="006764B8"/>
    <w:rsid w:val="0067721C"/>
    <w:rsid w:val="006821EF"/>
    <w:rsid w:val="0068631E"/>
    <w:rsid w:val="00686461"/>
    <w:rsid w:val="00687E8D"/>
    <w:rsid w:val="00696421"/>
    <w:rsid w:val="006A2FC0"/>
    <w:rsid w:val="006A48BC"/>
    <w:rsid w:val="006A7828"/>
    <w:rsid w:val="006B0475"/>
    <w:rsid w:val="006B1B95"/>
    <w:rsid w:val="006B3BEE"/>
    <w:rsid w:val="006B7FDF"/>
    <w:rsid w:val="006C0562"/>
    <w:rsid w:val="006C25ED"/>
    <w:rsid w:val="006C3445"/>
    <w:rsid w:val="006C3A29"/>
    <w:rsid w:val="006D30F9"/>
    <w:rsid w:val="006D51F5"/>
    <w:rsid w:val="006E33E2"/>
    <w:rsid w:val="006E4A6E"/>
    <w:rsid w:val="006E4BC4"/>
    <w:rsid w:val="006F4215"/>
    <w:rsid w:val="006F45A2"/>
    <w:rsid w:val="006F4C19"/>
    <w:rsid w:val="00702CE8"/>
    <w:rsid w:val="00706279"/>
    <w:rsid w:val="00706F46"/>
    <w:rsid w:val="00717940"/>
    <w:rsid w:val="00731A07"/>
    <w:rsid w:val="00733DD2"/>
    <w:rsid w:val="00736748"/>
    <w:rsid w:val="007368A0"/>
    <w:rsid w:val="00737DB3"/>
    <w:rsid w:val="007422C5"/>
    <w:rsid w:val="007552EC"/>
    <w:rsid w:val="00761223"/>
    <w:rsid w:val="007617BC"/>
    <w:rsid w:val="007763B7"/>
    <w:rsid w:val="00777E89"/>
    <w:rsid w:val="007837E4"/>
    <w:rsid w:val="00793A41"/>
    <w:rsid w:val="00797001"/>
    <w:rsid w:val="007A20D4"/>
    <w:rsid w:val="007A401D"/>
    <w:rsid w:val="007A5E0D"/>
    <w:rsid w:val="007A7605"/>
    <w:rsid w:val="007B2028"/>
    <w:rsid w:val="007B7CDE"/>
    <w:rsid w:val="007C0F88"/>
    <w:rsid w:val="007C2654"/>
    <w:rsid w:val="007C3B5D"/>
    <w:rsid w:val="007C43E4"/>
    <w:rsid w:val="007C6CD9"/>
    <w:rsid w:val="007D277C"/>
    <w:rsid w:val="007D6E05"/>
    <w:rsid w:val="007E0979"/>
    <w:rsid w:val="007E0E02"/>
    <w:rsid w:val="007E553B"/>
    <w:rsid w:val="007E63E5"/>
    <w:rsid w:val="007F08FD"/>
    <w:rsid w:val="007F5E20"/>
    <w:rsid w:val="008041F0"/>
    <w:rsid w:val="00812FC9"/>
    <w:rsid w:val="00814010"/>
    <w:rsid w:val="00815CEE"/>
    <w:rsid w:val="00816427"/>
    <w:rsid w:val="00820FB8"/>
    <w:rsid w:val="00827748"/>
    <w:rsid w:val="0083311A"/>
    <w:rsid w:val="008337B6"/>
    <w:rsid w:val="008426D6"/>
    <w:rsid w:val="008448E6"/>
    <w:rsid w:val="00845207"/>
    <w:rsid w:val="00847394"/>
    <w:rsid w:val="00850FD7"/>
    <w:rsid w:val="00853CBD"/>
    <w:rsid w:val="008564B1"/>
    <w:rsid w:val="00856BA7"/>
    <w:rsid w:val="008804D8"/>
    <w:rsid w:val="00895D2C"/>
    <w:rsid w:val="008A0593"/>
    <w:rsid w:val="008A1304"/>
    <w:rsid w:val="008A2599"/>
    <w:rsid w:val="008A3AC4"/>
    <w:rsid w:val="008A6957"/>
    <w:rsid w:val="008B0394"/>
    <w:rsid w:val="008B0FF0"/>
    <w:rsid w:val="008B5D83"/>
    <w:rsid w:val="008C1E52"/>
    <w:rsid w:val="008C23E2"/>
    <w:rsid w:val="008C7581"/>
    <w:rsid w:val="008C7A12"/>
    <w:rsid w:val="008D22B8"/>
    <w:rsid w:val="008D3292"/>
    <w:rsid w:val="008D6C78"/>
    <w:rsid w:val="008D777C"/>
    <w:rsid w:val="008F25CA"/>
    <w:rsid w:val="008F322D"/>
    <w:rsid w:val="008F6AD8"/>
    <w:rsid w:val="008F75AE"/>
    <w:rsid w:val="00900444"/>
    <w:rsid w:val="00905682"/>
    <w:rsid w:val="009067B7"/>
    <w:rsid w:val="00922D8B"/>
    <w:rsid w:val="00933D93"/>
    <w:rsid w:val="009428A9"/>
    <w:rsid w:val="00943BB9"/>
    <w:rsid w:val="009460AB"/>
    <w:rsid w:val="009568A3"/>
    <w:rsid w:val="00970469"/>
    <w:rsid w:val="009719BB"/>
    <w:rsid w:val="00972379"/>
    <w:rsid w:val="009758EC"/>
    <w:rsid w:val="00976723"/>
    <w:rsid w:val="009830B7"/>
    <w:rsid w:val="009840DC"/>
    <w:rsid w:val="00985F6A"/>
    <w:rsid w:val="009A4A2E"/>
    <w:rsid w:val="009B3D29"/>
    <w:rsid w:val="009B580B"/>
    <w:rsid w:val="009C1C51"/>
    <w:rsid w:val="009D0CDC"/>
    <w:rsid w:val="009D2839"/>
    <w:rsid w:val="009D620D"/>
    <w:rsid w:val="009D6B77"/>
    <w:rsid w:val="009E2FEC"/>
    <w:rsid w:val="009F0B41"/>
    <w:rsid w:val="009F4F95"/>
    <w:rsid w:val="00A00740"/>
    <w:rsid w:val="00A12C76"/>
    <w:rsid w:val="00A15259"/>
    <w:rsid w:val="00A2588F"/>
    <w:rsid w:val="00A25C62"/>
    <w:rsid w:val="00A32F05"/>
    <w:rsid w:val="00A3463C"/>
    <w:rsid w:val="00A365D5"/>
    <w:rsid w:val="00A366A7"/>
    <w:rsid w:val="00A51159"/>
    <w:rsid w:val="00A54E14"/>
    <w:rsid w:val="00A56295"/>
    <w:rsid w:val="00A57F5A"/>
    <w:rsid w:val="00A60B09"/>
    <w:rsid w:val="00A65219"/>
    <w:rsid w:val="00A6562E"/>
    <w:rsid w:val="00A66B8B"/>
    <w:rsid w:val="00A705B2"/>
    <w:rsid w:val="00A72D30"/>
    <w:rsid w:val="00A73737"/>
    <w:rsid w:val="00A739B6"/>
    <w:rsid w:val="00A75B6F"/>
    <w:rsid w:val="00A77CC1"/>
    <w:rsid w:val="00A82FC6"/>
    <w:rsid w:val="00A90ADB"/>
    <w:rsid w:val="00AA1E4C"/>
    <w:rsid w:val="00AC46BB"/>
    <w:rsid w:val="00AD5855"/>
    <w:rsid w:val="00AD6E88"/>
    <w:rsid w:val="00AE3104"/>
    <w:rsid w:val="00AE5774"/>
    <w:rsid w:val="00AE745E"/>
    <w:rsid w:val="00AF6182"/>
    <w:rsid w:val="00AF7ACA"/>
    <w:rsid w:val="00B03043"/>
    <w:rsid w:val="00B17A84"/>
    <w:rsid w:val="00B17AD0"/>
    <w:rsid w:val="00B24BEF"/>
    <w:rsid w:val="00B25C36"/>
    <w:rsid w:val="00B269BC"/>
    <w:rsid w:val="00B2756A"/>
    <w:rsid w:val="00B3365B"/>
    <w:rsid w:val="00B342AD"/>
    <w:rsid w:val="00B34DC0"/>
    <w:rsid w:val="00B377E2"/>
    <w:rsid w:val="00B4573E"/>
    <w:rsid w:val="00B5527A"/>
    <w:rsid w:val="00B57BC7"/>
    <w:rsid w:val="00B601A3"/>
    <w:rsid w:val="00B62394"/>
    <w:rsid w:val="00B678B7"/>
    <w:rsid w:val="00B67F24"/>
    <w:rsid w:val="00B705D8"/>
    <w:rsid w:val="00B70CC7"/>
    <w:rsid w:val="00B73229"/>
    <w:rsid w:val="00B73A17"/>
    <w:rsid w:val="00B81D52"/>
    <w:rsid w:val="00BA04F0"/>
    <w:rsid w:val="00BA634D"/>
    <w:rsid w:val="00BA6B27"/>
    <w:rsid w:val="00BA6B7B"/>
    <w:rsid w:val="00BB2692"/>
    <w:rsid w:val="00BB2C2D"/>
    <w:rsid w:val="00BB584C"/>
    <w:rsid w:val="00BB63C0"/>
    <w:rsid w:val="00BC21E5"/>
    <w:rsid w:val="00BC3205"/>
    <w:rsid w:val="00BC73BF"/>
    <w:rsid w:val="00BE122F"/>
    <w:rsid w:val="00BE3D04"/>
    <w:rsid w:val="00BE4319"/>
    <w:rsid w:val="00BF4C2D"/>
    <w:rsid w:val="00BF4CFB"/>
    <w:rsid w:val="00C049F1"/>
    <w:rsid w:val="00C1310F"/>
    <w:rsid w:val="00C16149"/>
    <w:rsid w:val="00C22178"/>
    <w:rsid w:val="00C37251"/>
    <w:rsid w:val="00C43045"/>
    <w:rsid w:val="00C43630"/>
    <w:rsid w:val="00C4587A"/>
    <w:rsid w:val="00C4653C"/>
    <w:rsid w:val="00C4701F"/>
    <w:rsid w:val="00C51F48"/>
    <w:rsid w:val="00C53278"/>
    <w:rsid w:val="00C5550D"/>
    <w:rsid w:val="00C606A4"/>
    <w:rsid w:val="00C72CDE"/>
    <w:rsid w:val="00C74266"/>
    <w:rsid w:val="00C7444C"/>
    <w:rsid w:val="00C810C5"/>
    <w:rsid w:val="00C857E6"/>
    <w:rsid w:val="00C94CBA"/>
    <w:rsid w:val="00CA104B"/>
    <w:rsid w:val="00CA348A"/>
    <w:rsid w:val="00CA690D"/>
    <w:rsid w:val="00CA6DB1"/>
    <w:rsid w:val="00CB07F1"/>
    <w:rsid w:val="00CB23DE"/>
    <w:rsid w:val="00CB2697"/>
    <w:rsid w:val="00CB5863"/>
    <w:rsid w:val="00CB73CD"/>
    <w:rsid w:val="00CC147E"/>
    <w:rsid w:val="00CD1394"/>
    <w:rsid w:val="00CD250E"/>
    <w:rsid w:val="00CD53A2"/>
    <w:rsid w:val="00CD6970"/>
    <w:rsid w:val="00CE15F6"/>
    <w:rsid w:val="00CE561C"/>
    <w:rsid w:val="00CE5A1C"/>
    <w:rsid w:val="00CF101C"/>
    <w:rsid w:val="00CF12B5"/>
    <w:rsid w:val="00CF224E"/>
    <w:rsid w:val="00CF2A80"/>
    <w:rsid w:val="00D0181C"/>
    <w:rsid w:val="00D056DC"/>
    <w:rsid w:val="00D13929"/>
    <w:rsid w:val="00D162D6"/>
    <w:rsid w:val="00D22FB5"/>
    <w:rsid w:val="00D253A3"/>
    <w:rsid w:val="00D2694B"/>
    <w:rsid w:val="00D33FE8"/>
    <w:rsid w:val="00D36461"/>
    <w:rsid w:val="00D37579"/>
    <w:rsid w:val="00D419FA"/>
    <w:rsid w:val="00D43424"/>
    <w:rsid w:val="00D46A8D"/>
    <w:rsid w:val="00D52A8F"/>
    <w:rsid w:val="00D61772"/>
    <w:rsid w:val="00D627B0"/>
    <w:rsid w:val="00D7101C"/>
    <w:rsid w:val="00D75D59"/>
    <w:rsid w:val="00D85631"/>
    <w:rsid w:val="00D8625E"/>
    <w:rsid w:val="00D868D1"/>
    <w:rsid w:val="00D86B2C"/>
    <w:rsid w:val="00D87135"/>
    <w:rsid w:val="00DA1E23"/>
    <w:rsid w:val="00DB3B53"/>
    <w:rsid w:val="00DB793F"/>
    <w:rsid w:val="00DB7C8E"/>
    <w:rsid w:val="00DC5EDA"/>
    <w:rsid w:val="00DD314C"/>
    <w:rsid w:val="00DE250E"/>
    <w:rsid w:val="00DE3CF2"/>
    <w:rsid w:val="00DF1D10"/>
    <w:rsid w:val="00E00368"/>
    <w:rsid w:val="00E01011"/>
    <w:rsid w:val="00E05A71"/>
    <w:rsid w:val="00E127F8"/>
    <w:rsid w:val="00E20EE5"/>
    <w:rsid w:val="00E24F56"/>
    <w:rsid w:val="00E33AFE"/>
    <w:rsid w:val="00E36F4F"/>
    <w:rsid w:val="00E405BE"/>
    <w:rsid w:val="00E41B92"/>
    <w:rsid w:val="00E5182D"/>
    <w:rsid w:val="00E53FB0"/>
    <w:rsid w:val="00E558D8"/>
    <w:rsid w:val="00E60A98"/>
    <w:rsid w:val="00E65802"/>
    <w:rsid w:val="00E77E3D"/>
    <w:rsid w:val="00E800D6"/>
    <w:rsid w:val="00E81737"/>
    <w:rsid w:val="00E92229"/>
    <w:rsid w:val="00EA30A9"/>
    <w:rsid w:val="00EA3100"/>
    <w:rsid w:val="00EA3B16"/>
    <w:rsid w:val="00EA7AB5"/>
    <w:rsid w:val="00EB0687"/>
    <w:rsid w:val="00EB48A5"/>
    <w:rsid w:val="00EB6C31"/>
    <w:rsid w:val="00EC3290"/>
    <w:rsid w:val="00EC7152"/>
    <w:rsid w:val="00ED2FB6"/>
    <w:rsid w:val="00ED70AC"/>
    <w:rsid w:val="00EE4DC0"/>
    <w:rsid w:val="00EE73D6"/>
    <w:rsid w:val="00EF7937"/>
    <w:rsid w:val="00F038F3"/>
    <w:rsid w:val="00F04899"/>
    <w:rsid w:val="00F07779"/>
    <w:rsid w:val="00F17504"/>
    <w:rsid w:val="00F22880"/>
    <w:rsid w:val="00F30122"/>
    <w:rsid w:val="00F30F6F"/>
    <w:rsid w:val="00F33CA3"/>
    <w:rsid w:val="00F4160F"/>
    <w:rsid w:val="00F42647"/>
    <w:rsid w:val="00F44514"/>
    <w:rsid w:val="00F44A29"/>
    <w:rsid w:val="00F51C9E"/>
    <w:rsid w:val="00F57763"/>
    <w:rsid w:val="00F62446"/>
    <w:rsid w:val="00F63203"/>
    <w:rsid w:val="00F65AC6"/>
    <w:rsid w:val="00F746D2"/>
    <w:rsid w:val="00F95B77"/>
    <w:rsid w:val="00F96241"/>
    <w:rsid w:val="00F96259"/>
    <w:rsid w:val="00F967B0"/>
    <w:rsid w:val="00F97D65"/>
    <w:rsid w:val="00FA4535"/>
    <w:rsid w:val="00FA6148"/>
    <w:rsid w:val="00FC057A"/>
    <w:rsid w:val="00FC4BF5"/>
    <w:rsid w:val="00FC54E3"/>
    <w:rsid w:val="00FC7EE6"/>
    <w:rsid w:val="00FD083C"/>
    <w:rsid w:val="00FD0E2C"/>
    <w:rsid w:val="00FD1B78"/>
    <w:rsid w:val="00FE0827"/>
    <w:rsid w:val="00FE4B2E"/>
    <w:rsid w:val="00FF0FBC"/>
    <w:rsid w:val="00FF684A"/>
    <w:rsid w:val="00FF6C20"/>
    <w:rsid w:val="00FF7938"/>
    <w:rsid w:val="00FF7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30E1CD"/>
  <w15:docId w15:val="{87D6F193-1045-40DF-B423-227A0CFA0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8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28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28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28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28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28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8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8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8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8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28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28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28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28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28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8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8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880"/>
    <w:rPr>
      <w:rFonts w:eastAsiaTheme="majorEastAsia" w:cstheme="majorBidi"/>
      <w:color w:val="272727" w:themeColor="text1" w:themeTint="D8"/>
    </w:rPr>
  </w:style>
  <w:style w:type="paragraph" w:styleId="Title">
    <w:name w:val="Title"/>
    <w:basedOn w:val="Normal"/>
    <w:next w:val="Normal"/>
    <w:link w:val="TitleChar"/>
    <w:uiPriority w:val="10"/>
    <w:qFormat/>
    <w:rsid w:val="00F228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8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8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8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880"/>
    <w:pPr>
      <w:spacing w:before="160"/>
      <w:jc w:val="center"/>
    </w:pPr>
    <w:rPr>
      <w:i/>
      <w:iCs/>
      <w:color w:val="404040" w:themeColor="text1" w:themeTint="BF"/>
    </w:rPr>
  </w:style>
  <w:style w:type="character" w:customStyle="1" w:styleId="QuoteChar">
    <w:name w:val="Quote Char"/>
    <w:basedOn w:val="DefaultParagraphFont"/>
    <w:link w:val="Quote"/>
    <w:uiPriority w:val="29"/>
    <w:rsid w:val="00F22880"/>
    <w:rPr>
      <w:i/>
      <w:iCs/>
      <w:color w:val="404040" w:themeColor="text1" w:themeTint="BF"/>
    </w:rPr>
  </w:style>
  <w:style w:type="paragraph" w:styleId="ListParagraph">
    <w:name w:val="List Paragraph"/>
    <w:basedOn w:val="Normal"/>
    <w:uiPriority w:val="34"/>
    <w:qFormat/>
    <w:rsid w:val="00F22880"/>
    <w:pPr>
      <w:ind w:left="720"/>
      <w:contextualSpacing/>
    </w:pPr>
  </w:style>
  <w:style w:type="character" w:styleId="IntenseEmphasis">
    <w:name w:val="Intense Emphasis"/>
    <w:basedOn w:val="DefaultParagraphFont"/>
    <w:uiPriority w:val="21"/>
    <w:qFormat/>
    <w:rsid w:val="00F22880"/>
    <w:rPr>
      <w:i/>
      <w:iCs/>
      <w:color w:val="0F4761" w:themeColor="accent1" w:themeShade="BF"/>
    </w:rPr>
  </w:style>
  <w:style w:type="paragraph" w:styleId="IntenseQuote">
    <w:name w:val="Intense Quote"/>
    <w:basedOn w:val="Normal"/>
    <w:next w:val="Normal"/>
    <w:link w:val="IntenseQuoteChar"/>
    <w:uiPriority w:val="30"/>
    <w:qFormat/>
    <w:rsid w:val="00F228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2880"/>
    <w:rPr>
      <w:i/>
      <w:iCs/>
      <w:color w:val="0F4761" w:themeColor="accent1" w:themeShade="BF"/>
    </w:rPr>
  </w:style>
  <w:style w:type="character" w:styleId="IntenseReference">
    <w:name w:val="Intense Reference"/>
    <w:basedOn w:val="DefaultParagraphFont"/>
    <w:uiPriority w:val="32"/>
    <w:qFormat/>
    <w:rsid w:val="00F22880"/>
    <w:rPr>
      <w:b/>
      <w:bCs/>
      <w:smallCaps/>
      <w:color w:val="0F4761" w:themeColor="accent1" w:themeShade="BF"/>
      <w:spacing w:val="5"/>
    </w:rPr>
  </w:style>
  <w:style w:type="paragraph" w:styleId="Header">
    <w:name w:val="header"/>
    <w:basedOn w:val="Normal"/>
    <w:link w:val="HeaderChar"/>
    <w:uiPriority w:val="99"/>
    <w:unhideWhenUsed/>
    <w:rsid w:val="00F22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880"/>
  </w:style>
  <w:style w:type="paragraph" w:styleId="Footer">
    <w:name w:val="footer"/>
    <w:basedOn w:val="Normal"/>
    <w:link w:val="FooterChar"/>
    <w:uiPriority w:val="99"/>
    <w:unhideWhenUsed/>
    <w:rsid w:val="00F22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880"/>
  </w:style>
  <w:style w:type="character" w:customStyle="1" w:styleId="topic-highlight">
    <w:name w:val="topic-highlight"/>
    <w:basedOn w:val="DefaultParagraphFont"/>
    <w:rsid w:val="0009676D"/>
  </w:style>
  <w:style w:type="paragraph" w:styleId="TOCHeading">
    <w:name w:val="TOC Heading"/>
    <w:basedOn w:val="Heading1"/>
    <w:next w:val="Normal"/>
    <w:uiPriority w:val="39"/>
    <w:unhideWhenUsed/>
    <w:qFormat/>
    <w:rsid w:val="00B2756A"/>
    <w:pPr>
      <w:spacing w:before="240" w:after="0" w:line="259" w:lineRule="auto"/>
      <w:outlineLvl w:val="9"/>
    </w:pPr>
    <w:rPr>
      <w:kern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909214">
      <w:bodyDiv w:val="1"/>
      <w:marLeft w:val="0"/>
      <w:marRight w:val="0"/>
      <w:marTop w:val="0"/>
      <w:marBottom w:val="0"/>
      <w:divBdr>
        <w:top w:val="none" w:sz="0" w:space="0" w:color="auto"/>
        <w:left w:val="none" w:sz="0" w:space="0" w:color="auto"/>
        <w:bottom w:val="none" w:sz="0" w:space="0" w:color="auto"/>
        <w:right w:val="none" w:sz="0" w:space="0" w:color="auto"/>
      </w:divBdr>
    </w:div>
    <w:div w:id="19765701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4FDA8EA-189D-4596-9F63-DAA8F94C6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2990</Words>
  <Characters>17049</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Strutt</dc:creator>
  <cp:keywords/>
  <dc:description/>
  <cp:lastModifiedBy>Will Strutt</cp:lastModifiedBy>
  <cp:revision>2</cp:revision>
  <dcterms:created xsi:type="dcterms:W3CDTF">2024-02-13T21:20:00Z</dcterms:created>
  <dcterms:modified xsi:type="dcterms:W3CDTF">2024-02-13T21:20:00Z</dcterms:modified>
</cp:coreProperties>
</file>