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1D05" w:rsidRDefault="008240CA">
      <w:pPr>
        <w:pStyle w:val="Heading1"/>
        <w:spacing w:before="200"/>
        <w:jc w:val="center"/>
        <w:rPr>
          <w:sz w:val="26"/>
          <w:szCs w:val="26"/>
        </w:rPr>
      </w:pPr>
      <w:bookmarkStart w:id="0" w:name="_heading=h.3b34vizawzxx" w:colFirst="0" w:colLast="0"/>
      <w:bookmarkEnd w:id="0"/>
      <w:r>
        <w:rPr>
          <w:noProof/>
        </w:rPr>
        <w:drawing>
          <wp:anchor distT="0" distB="0" distL="114300" distR="114300" simplePos="0" relativeHeight="251658240" behindDoc="0" locked="0" layoutInCell="1" allowOverlap="1">
            <wp:simplePos x="0" y="0"/>
            <wp:positionH relativeFrom="column">
              <wp:posOffset>2066925</wp:posOffset>
            </wp:positionH>
            <wp:positionV relativeFrom="paragraph">
              <wp:posOffset>179147</wp:posOffset>
            </wp:positionV>
            <wp:extent cx="1816608" cy="728472"/>
            <wp:effectExtent l="0" t="0" r="0" b="0"/>
            <wp:wrapNone/>
            <wp:docPr id="128"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8"/>
                    <a:srcRect/>
                    <a:stretch>
                      <a:fillRect/>
                    </a:stretch>
                  </pic:blipFill>
                  <pic:spPr>
                    <a:xfrm>
                      <a:off x="0" y="0"/>
                      <a:ext cx="1816608" cy="728472"/>
                    </a:xfrm>
                    <a:prstGeom prst="rect">
                      <a:avLst/>
                    </a:prstGeom>
                    <a:ln/>
                  </pic:spPr>
                </pic:pic>
              </a:graphicData>
            </a:graphic>
          </wp:anchor>
        </w:drawing>
      </w:r>
    </w:p>
    <w:p w:rsidR="00621D05" w:rsidRDefault="00621D05">
      <w:pPr>
        <w:pStyle w:val="normal2"/>
      </w:pPr>
    </w:p>
    <w:p w:rsidR="009A471F" w:rsidRDefault="009A471F">
      <w:pPr>
        <w:pStyle w:val="normal2"/>
        <w:jc w:val="center"/>
        <w:rPr>
          <w:b/>
          <w:bCs/>
          <w:sz w:val="32"/>
          <w:szCs w:val="32"/>
        </w:rPr>
      </w:pPr>
    </w:p>
    <w:p w:rsidR="009A471F" w:rsidRDefault="009A471F">
      <w:pPr>
        <w:pStyle w:val="normal2"/>
        <w:jc w:val="center"/>
        <w:rPr>
          <w:b/>
          <w:bCs/>
          <w:sz w:val="32"/>
          <w:szCs w:val="32"/>
        </w:rPr>
      </w:pPr>
    </w:p>
    <w:p w:rsidR="00621D05" w:rsidRDefault="008240CA">
      <w:pPr>
        <w:pStyle w:val="normal2"/>
        <w:jc w:val="center"/>
        <w:rPr>
          <w:b/>
          <w:bCs/>
          <w:sz w:val="32"/>
          <w:szCs w:val="32"/>
        </w:rPr>
      </w:pPr>
      <w:r>
        <w:rPr>
          <w:b/>
          <w:bCs/>
          <w:sz w:val="32"/>
          <w:szCs w:val="32"/>
        </w:rPr>
        <w:t>Programme name: Master of Business Administration</w:t>
      </w:r>
    </w:p>
    <w:p w:rsidR="00621D05" w:rsidRDefault="008240CA">
      <w:pPr>
        <w:pStyle w:val="normal2"/>
        <w:jc w:val="center"/>
        <w:rPr>
          <w:b/>
          <w:bCs/>
          <w:sz w:val="32"/>
          <w:szCs w:val="32"/>
        </w:rPr>
      </w:pPr>
      <w:r>
        <w:rPr>
          <w:b/>
          <w:bCs/>
          <w:sz w:val="32"/>
          <w:szCs w:val="32"/>
        </w:rPr>
        <w:t>Module name: Business Development Proposal</w:t>
      </w:r>
    </w:p>
    <w:p w:rsidR="00621D05" w:rsidRDefault="008240CA">
      <w:pPr>
        <w:pStyle w:val="normal2"/>
        <w:jc w:val="center"/>
        <w:rPr>
          <w:b/>
          <w:bCs/>
          <w:sz w:val="32"/>
          <w:szCs w:val="32"/>
        </w:rPr>
      </w:pPr>
      <w:r>
        <w:rPr>
          <w:b/>
          <w:bCs/>
          <w:sz w:val="32"/>
          <w:szCs w:val="32"/>
        </w:rPr>
        <w:t>Module code: LCMB7037</w:t>
      </w:r>
    </w:p>
    <w:p w:rsidR="00621D05" w:rsidRDefault="008240CA">
      <w:pPr>
        <w:pStyle w:val="normal2"/>
        <w:jc w:val="center"/>
        <w:rPr>
          <w:b/>
          <w:bCs/>
          <w:sz w:val="32"/>
          <w:szCs w:val="32"/>
        </w:rPr>
      </w:pPr>
      <w:r>
        <w:rPr>
          <w:b/>
          <w:bCs/>
          <w:sz w:val="32"/>
          <w:szCs w:val="32"/>
        </w:rPr>
        <w:t>Assignment title: Business development proposal on EcoLoop Office</w:t>
      </w:r>
    </w:p>
    <w:p w:rsidR="00621D05" w:rsidRDefault="00491531">
      <w:pPr>
        <w:pStyle w:val="normal2"/>
        <w:jc w:val="center"/>
        <w:rPr>
          <w:b/>
          <w:bCs/>
          <w:sz w:val="32"/>
          <w:szCs w:val="32"/>
        </w:rPr>
      </w:pPr>
      <w:r>
        <w:rPr>
          <w:b/>
          <w:bCs/>
          <w:sz w:val="32"/>
          <w:szCs w:val="32"/>
        </w:rPr>
        <w:t>Supervisor’s name: Balendran Kandasamy</w:t>
      </w:r>
    </w:p>
    <w:p w:rsidR="00621D05" w:rsidRDefault="008240CA">
      <w:pPr>
        <w:pStyle w:val="normal2"/>
        <w:jc w:val="center"/>
        <w:rPr>
          <w:b/>
          <w:bCs/>
          <w:sz w:val="32"/>
          <w:szCs w:val="32"/>
        </w:rPr>
      </w:pPr>
      <w:r>
        <w:rPr>
          <w:b/>
          <w:bCs/>
          <w:sz w:val="32"/>
          <w:szCs w:val="32"/>
        </w:rPr>
        <w:t>Student ID &amp; Name:</w:t>
      </w:r>
      <w:r w:rsidR="00491531">
        <w:rPr>
          <w:b/>
          <w:bCs/>
          <w:sz w:val="32"/>
          <w:szCs w:val="32"/>
        </w:rPr>
        <w:t xml:space="preserve"> Deep Jitubhai Viththani - 2508635</w:t>
      </w:r>
    </w:p>
    <w:p w:rsidR="00621D05" w:rsidRDefault="008240CA">
      <w:pPr>
        <w:pStyle w:val="normal2"/>
        <w:jc w:val="center"/>
        <w:rPr>
          <w:b/>
          <w:bCs/>
          <w:sz w:val="32"/>
          <w:szCs w:val="32"/>
        </w:rPr>
      </w:pPr>
      <w:bookmarkStart w:id="1" w:name="_heading=h.92zqwb9080fz" w:colFirst="0" w:colLast="0"/>
      <w:bookmarkEnd w:id="1"/>
      <w:r>
        <w:rPr>
          <w:b/>
          <w:bCs/>
          <w:sz w:val="32"/>
          <w:szCs w:val="32"/>
        </w:rPr>
        <w:t>Word Count: 16342</w:t>
      </w:r>
    </w:p>
    <w:p w:rsidR="00621D05" w:rsidRDefault="008240CA">
      <w:pPr>
        <w:pStyle w:val="normal2"/>
        <w:jc w:val="center"/>
        <w:rPr>
          <w:b/>
          <w:bCs/>
          <w:sz w:val="32"/>
          <w:szCs w:val="32"/>
        </w:rPr>
      </w:pPr>
      <w:r>
        <w:rPr>
          <w:b/>
          <w:bCs/>
          <w:sz w:val="32"/>
          <w:szCs w:val="32"/>
        </w:rPr>
        <w:t>Submission date:</w:t>
      </w:r>
      <w:r w:rsidR="00491531">
        <w:rPr>
          <w:b/>
          <w:bCs/>
          <w:sz w:val="32"/>
          <w:szCs w:val="32"/>
        </w:rPr>
        <w:t xml:space="preserve"> 25</w:t>
      </w:r>
      <w:r w:rsidR="00491531" w:rsidRPr="00491531">
        <w:rPr>
          <w:b/>
          <w:bCs/>
          <w:sz w:val="32"/>
          <w:szCs w:val="32"/>
          <w:vertAlign w:val="superscript"/>
        </w:rPr>
        <w:t>th</w:t>
      </w:r>
      <w:r w:rsidR="00491531">
        <w:rPr>
          <w:b/>
          <w:bCs/>
          <w:sz w:val="32"/>
          <w:szCs w:val="32"/>
        </w:rPr>
        <w:t xml:space="preserve"> September 2026</w:t>
      </w:r>
      <w:r>
        <w:br w:type="page"/>
      </w:r>
    </w:p>
    <w:p w:rsidR="00621D05" w:rsidRDefault="008240CA">
      <w:pPr>
        <w:pStyle w:val="Heading1"/>
        <w:keepNext w:val="0"/>
        <w:keepLines w:val="0"/>
        <w:spacing w:before="200"/>
        <w:jc w:val="center"/>
      </w:pPr>
      <w:bookmarkStart w:id="2" w:name="_Toc241233866"/>
      <w:r>
        <w:lastRenderedPageBreak/>
        <w:t>Executive Summary</w:t>
      </w:r>
      <w:bookmarkEnd w:id="2"/>
      <w:r>
        <w:t xml:space="preserve"> </w:t>
      </w:r>
    </w:p>
    <w:p w:rsidR="00621D05" w:rsidRDefault="008240CA">
      <w:pPr>
        <w:pStyle w:val="normal2"/>
      </w:pPr>
      <w:r>
        <w:t>EcoLoop Office is a proposed UK B2B circular-furniture initiative that meets evolving working environments and establishes a new model of furniture usage from ownership to subscription, maintenance &amp; refurbishment, swap-out, take-back, resale and ESG reporting. The study adopts secondary research and thematic and comparative analysis with academic, government and industry evidence. This is a way to carry out a structured feasibility assessment, but it lacks primary research, so there is no confirmation of customer willingness to pay.</w:t>
      </w:r>
    </w:p>
    <w:p w:rsidR="00621D05" w:rsidRDefault="008240CA">
      <w:pPr>
        <w:pStyle w:val="normal2"/>
      </w:pPr>
      <w:r>
        <w:t>The analysis combines Circular Economy Theory and Sustainable Business Model Innovation (SBMI) to evaluate the potential of bringing furniture from ownership to access to generate environmental and economic value. Jobs-to-be-Done (JTBD) identifies customer requirements associated with furnishing, relocation, expansion, downsizing and ownership problems. The Value Proposition Canvas (VPC) evaluates if flexibility, convenience, refurbishment and ESG reporting will solve customer pains and deliver customer gains. The proposition is then targeted at SMEs, medium-sized organisations and flexible-workspace operators, as part of the process of Segmentation, Targeting and Positioning (STP).</w:t>
      </w:r>
    </w:p>
    <w:p w:rsidR="00621D05" w:rsidRDefault="008240CA">
      <w:pPr>
        <w:pStyle w:val="normal2"/>
      </w:pPr>
      <w:r>
        <w:t>PESTLE highlights the favourable political, social and environmental factors, including the pressures for circular procurement, hybrid working and resource-efficiency; however, the uncertainty of the economy and compliance pressures limit pricing and operational flexibility. Porter’s Five Forces provides a more critical assessment, highlighting buyer power, substitutes, competitive rivalry and supplier dependencies. Thus, market need does not necessarily equate to commercial demand.</w:t>
      </w:r>
    </w:p>
    <w:p w:rsidR="00621D05" w:rsidRDefault="008240CA">
      <w:pPr>
        <w:pStyle w:val="normal2"/>
      </w:pPr>
      <w:r>
        <w:t xml:space="preserve">VRIO suggests the resources are valuable, but not rare or hard to imitate, except for the case of EcoLoop. Therefore, to achieve sustainable competitive advantage, digitisation and sustainability reporting will be able to support differentiation but cannot do that alone. SWOT brings all of these elements together – circularity, digital transparency and recurring revenue are strengths, and limited resources, weak brand recognition and </w:t>
      </w:r>
      <w:r>
        <w:lastRenderedPageBreak/>
        <w:t>partner dependence are weaknesses. It's about focus differentiation and competing on convenience, on reliable service, on measurable results and credible reporting, not on price or on generic sustainability claims.</w:t>
      </w:r>
    </w:p>
    <w:p w:rsidR="00621D05" w:rsidRDefault="008240CA">
      <w:pPr>
        <w:pStyle w:val="normal2"/>
      </w:pPr>
      <w:r>
        <w:t>The Business Model Canvas (BMC) transforms this strategy into an integrated approach in the areas of customer segments, value proposition, channels, relationships, activities, resources, partnerships, revenues and costs. Financial analysis shows potential monthly packages of between £199 and £799+; a start-up cost of £75,000 and an operating profit of £35,000 in Year 1; with pro</w:t>
      </w:r>
      <w:r w:rsidR="004001B1">
        <w:t>jected revenue of £27</w:t>
      </w:r>
      <w:r>
        <w:t>0,000 in Year 1. However, the break-even of this operation occurs after about 60 customers, and the sensitivity analysis shows that customer acquisition, customer retention, and revenue and logistics costs are important factors for profitability.</w:t>
      </w:r>
    </w:p>
    <w:p w:rsidR="00621D05" w:rsidRDefault="008240CA">
      <w:pPr>
        <w:pStyle w:val="normal2"/>
      </w:pPr>
      <w:r>
        <w:t>Overall, feasibility is a Conditional Go. Prior to significant capital investment, EcoLoop should carry out a carefully managed pilot of the system, first with small and medium enterprises and organisations. This relies on reliable logistics, refurbishment capacity, technology and authorised waste handling, and transparent, evidence-based environmental reporting is crucial for ethical viability. The implementation should be done through preparation, pilot, commercial launch and growth, monitored by acquisition, retention, margin KPIs, collection reliability and sustainability KPIs. The integrated frameworks then lend themselves to a measured approach to commercial progress, rather than to a blanket approach to market entry.</w:t>
      </w:r>
      <w:r>
        <w:br w:type="page"/>
      </w:r>
    </w:p>
    <w:p w:rsidR="00621D05" w:rsidRDefault="008240CA">
      <w:pPr>
        <w:pStyle w:val="Heading1"/>
        <w:spacing w:before="200"/>
        <w:jc w:val="center"/>
      </w:pPr>
      <w:bookmarkStart w:id="3" w:name="_Toc241233867"/>
      <w:r>
        <w:lastRenderedPageBreak/>
        <w:t>AI Declaration</w:t>
      </w:r>
      <w:bookmarkEnd w:id="3"/>
    </w:p>
    <w:p w:rsidR="00621D05" w:rsidRDefault="008240CA">
      <w:pPr>
        <w:pStyle w:val="normal2"/>
      </w:pPr>
      <w:r>
        <w:t>I declare that I have used Artificial Intelligence (AI) tools during the preparation of this dissertation. AI was used primarily to brainstorm and develop initial ideas, support the organisation and structure of the dissertation, and assist with proofreading and language refinement. The use of AI was limited to these supporting activities and was not relied upon as a substitute for my own academic judgement, critical analysis or decision-making.</w:t>
      </w:r>
    </w:p>
    <w:p w:rsidR="00621D05" w:rsidRDefault="008240CA">
      <w:pPr>
        <w:pStyle w:val="normal2"/>
      </w:pPr>
      <w:r>
        <w:t>I remained responsible for the research, selection and evaluation of sources, interpretation of evidence, analysis, arguments, findings and conclusions presented in this dissertation. I reviewed and critically assessed any AI-assisted suggestions before incorporating them into the work and ensured that the final dissertation reflects my own understanding and academic judgement. All academic sources and ideas originating from external sources have been appropriately referenced in accordance with the university's academic requirements.</w:t>
      </w:r>
      <w:r>
        <w:br w:type="page"/>
      </w:r>
    </w:p>
    <w:p w:rsidR="00621D05" w:rsidRDefault="008240CA">
      <w:pPr>
        <w:pStyle w:val="Heading1"/>
        <w:spacing w:before="200"/>
        <w:jc w:val="center"/>
      </w:pPr>
      <w:bookmarkStart w:id="4" w:name="_Toc241233868"/>
      <w:r>
        <w:lastRenderedPageBreak/>
        <w:t>Acknowledgement</w:t>
      </w:r>
      <w:bookmarkEnd w:id="4"/>
    </w:p>
    <w:p w:rsidR="00621D05" w:rsidRDefault="008240CA">
      <w:pPr>
        <w:pStyle w:val="normal2"/>
      </w:pPr>
      <w:r>
        <w:t>I would sincerely like to thank my Lecturers</w:t>
      </w:r>
      <w:r w:rsidR="00491531">
        <w:t xml:space="preserve"> Balendran Kandasamy</w:t>
      </w:r>
      <w:r>
        <w:t xml:space="preserve"> for their valuable guidance, constructive feedback and overall support during the development of this Business Development Proposal. They encouraged me to enhance my business development, market analysis, strategic planning and feasibility assessment skills. I would like to express my gratitude also to my university for supplying the academic support and learning opportunities I needed to undertake this work. I would like to thank my family and friends for their encouragement, patience and support throughout my studies. Lastly, thanks to all who contributed to this proposal based on their expertise and published works.</w:t>
      </w:r>
      <w:r>
        <w:br w:type="page"/>
      </w:r>
    </w:p>
    <w:p w:rsidR="00621D05" w:rsidRDefault="008240CA">
      <w:pPr>
        <w:pStyle w:val="Heading1"/>
        <w:keepNext w:val="0"/>
        <w:keepLines w:val="0"/>
        <w:spacing w:before="200"/>
        <w:jc w:val="center"/>
      </w:pPr>
      <w:bookmarkStart w:id="5" w:name="_Toc241233869"/>
      <w:r>
        <w:lastRenderedPageBreak/>
        <w:t>Table of Contents</w:t>
      </w:r>
      <w:bookmarkEnd w:id="5"/>
    </w:p>
    <w:bookmarkStart w:id="6" w:name="_heading=h.mfzkv0cu6b2j" w:colFirst="0" w:colLast="0" w:displacedByCustomXml="next"/>
    <w:bookmarkEnd w:id="6" w:displacedByCustomXml="next"/>
    <w:sdt>
      <w:sdtPr>
        <w:id w:val="463309"/>
        <w:docPartObj>
          <w:docPartGallery w:val="Table of Contents"/>
          <w:docPartUnique/>
        </w:docPartObj>
      </w:sdtPr>
      <w:sdtEndPr>
        <w:rPr>
          <w:rFonts w:ascii="Arial" w:eastAsia="Arial" w:hAnsi="Arial" w:cs="Arial"/>
          <w:b w:val="0"/>
          <w:bCs w:val="0"/>
          <w:color w:val="auto"/>
          <w:sz w:val="24"/>
          <w:szCs w:val="24"/>
        </w:rPr>
      </w:sdtEndPr>
      <w:sdtContent>
        <w:p w:rsidR="009A471F" w:rsidRDefault="009A471F">
          <w:pPr>
            <w:pStyle w:val="TOCHeading"/>
          </w:pPr>
          <w:r>
            <w:t>Contents</w:t>
          </w:r>
        </w:p>
        <w:p w:rsidR="00CF4073" w:rsidRDefault="009A471F">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41233866" w:history="1">
            <w:r w:rsidR="00CF4073" w:rsidRPr="00D655D9">
              <w:rPr>
                <w:rStyle w:val="Hyperlink"/>
                <w:noProof/>
              </w:rPr>
              <w:t>Executive Summary</w:t>
            </w:r>
            <w:r w:rsidR="00CF4073">
              <w:rPr>
                <w:noProof/>
                <w:webHidden/>
              </w:rPr>
              <w:tab/>
            </w:r>
            <w:r w:rsidR="00CF4073">
              <w:rPr>
                <w:noProof/>
                <w:webHidden/>
              </w:rPr>
              <w:fldChar w:fldCharType="begin"/>
            </w:r>
            <w:r w:rsidR="00CF4073">
              <w:rPr>
                <w:noProof/>
                <w:webHidden/>
              </w:rPr>
              <w:instrText xml:space="preserve"> PAGEREF _Toc241233866 \h </w:instrText>
            </w:r>
            <w:r w:rsidR="00CF4073">
              <w:rPr>
                <w:noProof/>
                <w:webHidden/>
              </w:rPr>
            </w:r>
            <w:r w:rsidR="00CF4073">
              <w:rPr>
                <w:noProof/>
                <w:webHidden/>
              </w:rPr>
              <w:fldChar w:fldCharType="separate"/>
            </w:r>
            <w:r w:rsidR="00CF4073">
              <w:rPr>
                <w:noProof/>
                <w:webHidden/>
              </w:rPr>
              <w:t>1</w:t>
            </w:r>
            <w:r w:rsidR="00CF4073">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867" w:history="1">
            <w:r w:rsidRPr="00D655D9">
              <w:rPr>
                <w:rStyle w:val="Hyperlink"/>
                <w:noProof/>
              </w:rPr>
              <w:t>AI Declaration</w:t>
            </w:r>
            <w:r>
              <w:rPr>
                <w:noProof/>
                <w:webHidden/>
              </w:rPr>
              <w:tab/>
            </w:r>
            <w:r>
              <w:rPr>
                <w:noProof/>
                <w:webHidden/>
              </w:rPr>
              <w:fldChar w:fldCharType="begin"/>
            </w:r>
            <w:r>
              <w:rPr>
                <w:noProof/>
                <w:webHidden/>
              </w:rPr>
              <w:instrText xml:space="preserve"> PAGEREF _Toc241233867 \h </w:instrText>
            </w:r>
            <w:r>
              <w:rPr>
                <w:noProof/>
                <w:webHidden/>
              </w:rPr>
            </w:r>
            <w:r>
              <w:rPr>
                <w:noProof/>
                <w:webHidden/>
              </w:rPr>
              <w:fldChar w:fldCharType="separate"/>
            </w:r>
            <w:r>
              <w:rPr>
                <w:noProof/>
                <w:webHidden/>
              </w:rPr>
              <w:t>3</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868" w:history="1">
            <w:r w:rsidRPr="00D655D9">
              <w:rPr>
                <w:rStyle w:val="Hyperlink"/>
                <w:noProof/>
              </w:rPr>
              <w:t>Acknowledgement</w:t>
            </w:r>
            <w:r>
              <w:rPr>
                <w:noProof/>
                <w:webHidden/>
              </w:rPr>
              <w:tab/>
            </w:r>
            <w:r>
              <w:rPr>
                <w:noProof/>
                <w:webHidden/>
              </w:rPr>
              <w:fldChar w:fldCharType="begin"/>
            </w:r>
            <w:r>
              <w:rPr>
                <w:noProof/>
                <w:webHidden/>
              </w:rPr>
              <w:instrText xml:space="preserve"> PAGEREF _Toc241233868 \h </w:instrText>
            </w:r>
            <w:r>
              <w:rPr>
                <w:noProof/>
                <w:webHidden/>
              </w:rPr>
            </w:r>
            <w:r>
              <w:rPr>
                <w:noProof/>
                <w:webHidden/>
              </w:rPr>
              <w:fldChar w:fldCharType="separate"/>
            </w:r>
            <w:r>
              <w:rPr>
                <w:noProof/>
                <w:webHidden/>
              </w:rPr>
              <w:t>4</w:t>
            </w:r>
            <w:r>
              <w:rPr>
                <w:noProof/>
                <w:webHidden/>
              </w:rPr>
              <w:fldChar w:fldCharType="end"/>
            </w:r>
          </w:hyperlink>
        </w:p>
        <w:p w:rsidR="00CF4073" w:rsidRDefault="00CF4073">
          <w:pPr>
            <w:pStyle w:val="TOC1"/>
            <w:tabs>
              <w:tab w:val="right" w:leader="dot" w:pos="9350"/>
            </w:tabs>
            <w:rPr>
              <w:rStyle w:val="Hyperlink"/>
              <w:noProof/>
            </w:rPr>
          </w:pPr>
          <w:hyperlink w:anchor="_Toc241233869" w:history="1">
            <w:r w:rsidRPr="00D655D9">
              <w:rPr>
                <w:rStyle w:val="Hyperlink"/>
                <w:noProof/>
              </w:rPr>
              <w:t>Table of Contents</w:t>
            </w:r>
            <w:r>
              <w:rPr>
                <w:noProof/>
                <w:webHidden/>
              </w:rPr>
              <w:tab/>
            </w:r>
            <w:r>
              <w:rPr>
                <w:noProof/>
                <w:webHidden/>
              </w:rPr>
              <w:fldChar w:fldCharType="begin"/>
            </w:r>
            <w:r>
              <w:rPr>
                <w:noProof/>
                <w:webHidden/>
              </w:rPr>
              <w:instrText xml:space="preserve"> PAGEREF _Toc241233869 \h </w:instrText>
            </w:r>
            <w:r>
              <w:rPr>
                <w:noProof/>
                <w:webHidden/>
              </w:rPr>
            </w:r>
            <w:r>
              <w:rPr>
                <w:noProof/>
                <w:webHidden/>
              </w:rPr>
              <w:fldChar w:fldCharType="separate"/>
            </w:r>
            <w:r>
              <w:rPr>
                <w:noProof/>
                <w:webHidden/>
              </w:rPr>
              <w:t>5</w:t>
            </w:r>
            <w:r>
              <w:rPr>
                <w:noProof/>
                <w:webHidden/>
              </w:rPr>
              <w:fldChar w:fldCharType="end"/>
            </w:r>
          </w:hyperlink>
        </w:p>
        <w:p w:rsidR="006E7DFD" w:rsidRDefault="006E7DFD" w:rsidP="006E7DFD">
          <w:pPr>
            <w:pStyle w:val="normal2"/>
          </w:pPr>
          <w:r>
            <w:t>Chapter 1:  Introduction……………………………………………………………………….12</w:t>
          </w:r>
        </w:p>
        <w:p w:rsidR="006E7DFD" w:rsidRPr="006E7DFD" w:rsidRDefault="006E7DFD" w:rsidP="006E7DFD">
          <w:pPr>
            <w:pStyle w:val="normal2"/>
          </w:pPr>
          <w:r>
            <w:t xml:space="preserve">    </w:t>
          </w:r>
          <w:r w:rsidRPr="006E7DFD">
            <w:t>1.1 Background and Context</w:t>
          </w:r>
          <w:r>
            <w:t>………………………………………………………………12</w:t>
          </w:r>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70" w:history="1">
            <w:r w:rsidRPr="00D655D9">
              <w:rPr>
                <w:rStyle w:val="Hyperlink"/>
                <w:noProof/>
              </w:rPr>
              <w:t>1.2 Problem / Opportunity Statement</w:t>
            </w:r>
            <w:r>
              <w:rPr>
                <w:noProof/>
                <w:webHidden/>
              </w:rPr>
              <w:tab/>
            </w:r>
            <w:r>
              <w:rPr>
                <w:noProof/>
                <w:webHidden/>
              </w:rPr>
              <w:fldChar w:fldCharType="begin"/>
            </w:r>
            <w:r>
              <w:rPr>
                <w:noProof/>
                <w:webHidden/>
              </w:rPr>
              <w:instrText xml:space="preserve"> PAGEREF _Toc241233870 \h </w:instrText>
            </w:r>
            <w:r>
              <w:rPr>
                <w:noProof/>
                <w:webHidden/>
              </w:rPr>
            </w:r>
            <w:r>
              <w:rPr>
                <w:noProof/>
                <w:webHidden/>
              </w:rPr>
              <w:fldChar w:fldCharType="separate"/>
            </w:r>
            <w:r>
              <w:rPr>
                <w:noProof/>
                <w:webHidden/>
              </w:rPr>
              <w:t>13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71" w:history="1">
            <w:r w:rsidRPr="00D655D9">
              <w:rPr>
                <w:rStyle w:val="Hyperlink"/>
                <w:noProof/>
              </w:rPr>
              <w:t>1.3 Initial Observation of Demand</w:t>
            </w:r>
            <w:r>
              <w:rPr>
                <w:noProof/>
                <w:webHidden/>
              </w:rPr>
              <w:tab/>
            </w:r>
            <w:r>
              <w:rPr>
                <w:noProof/>
                <w:webHidden/>
              </w:rPr>
              <w:fldChar w:fldCharType="begin"/>
            </w:r>
            <w:r>
              <w:rPr>
                <w:noProof/>
                <w:webHidden/>
              </w:rPr>
              <w:instrText xml:space="preserve"> PAGEREF _Toc241233871 \h </w:instrText>
            </w:r>
            <w:r>
              <w:rPr>
                <w:noProof/>
                <w:webHidden/>
              </w:rPr>
            </w:r>
            <w:r>
              <w:rPr>
                <w:noProof/>
                <w:webHidden/>
              </w:rPr>
              <w:fldChar w:fldCharType="separate"/>
            </w:r>
            <w:r>
              <w:rPr>
                <w:noProof/>
                <w:webHidden/>
              </w:rPr>
              <w:t>14</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72" w:history="1">
            <w:r w:rsidRPr="00D655D9">
              <w:rPr>
                <w:rStyle w:val="Hyperlink"/>
                <w:noProof/>
              </w:rPr>
              <w:t>1.4 Aim, Objectives and Research Questions</w:t>
            </w:r>
            <w:r>
              <w:rPr>
                <w:noProof/>
                <w:webHidden/>
              </w:rPr>
              <w:tab/>
            </w:r>
            <w:r>
              <w:rPr>
                <w:noProof/>
                <w:webHidden/>
              </w:rPr>
              <w:fldChar w:fldCharType="begin"/>
            </w:r>
            <w:r>
              <w:rPr>
                <w:noProof/>
                <w:webHidden/>
              </w:rPr>
              <w:instrText xml:space="preserve"> PAGEREF _Toc241233872 \h </w:instrText>
            </w:r>
            <w:r>
              <w:rPr>
                <w:noProof/>
                <w:webHidden/>
              </w:rPr>
            </w:r>
            <w:r>
              <w:rPr>
                <w:noProof/>
                <w:webHidden/>
              </w:rPr>
              <w:fldChar w:fldCharType="separate"/>
            </w:r>
            <w:r>
              <w:rPr>
                <w:noProof/>
                <w:webHidden/>
              </w:rPr>
              <w:t>14</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873" w:history="1">
            <w:r w:rsidRPr="00D655D9">
              <w:rPr>
                <w:rStyle w:val="Hyperlink"/>
                <w:noProof/>
              </w:rPr>
              <w:t>1.4.1 Research Aim</w:t>
            </w:r>
            <w:r>
              <w:rPr>
                <w:noProof/>
                <w:webHidden/>
              </w:rPr>
              <w:tab/>
            </w:r>
            <w:r>
              <w:rPr>
                <w:noProof/>
                <w:webHidden/>
              </w:rPr>
              <w:fldChar w:fldCharType="begin"/>
            </w:r>
            <w:r>
              <w:rPr>
                <w:noProof/>
                <w:webHidden/>
              </w:rPr>
              <w:instrText xml:space="preserve"> PAGEREF _Toc241233873 \h </w:instrText>
            </w:r>
            <w:r>
              <w:rPr>
                <w:noProof/>
                <w:webHidden/>
              </w:rPr>
            </w:r>
            <w:r>
              <w:rPr>
                <w:noProof/>
                <w:webHidden/>
              </w:rPr>
              <w:fldChar w:fldCharType="separate"/>
            </w:r>
            <w:r>
              <w:rPr>
                <w:noProof/>
                <w:webHidden/>
              </w:rPr>
              <w:t>14</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874" w:history="1">
            <w:r w:rsidRPr="00D655D9">
              <w:rPr>
                <w:rStyle w:val="Hyperlink"/>
                <w:noProof/>
              </w:rPr>
              <w:t>1.4.2 Research Objectives</w:t>
            </w:r>
            <w:r>
              <w:rPr>
                <w:noProof/>
                <w:webHidden/>
              </w:rPr>
              <w:tab/>
            </w:r>
            <w:r>
              <w:rPr>
                <w:noProof/>
                <w:webHidden/>
              </w:rPr>
              <w:fldChar w:fldCharType="begin"/>
            </w:r>
            <w:r>
              <w:rPr>
                <w:noProof/>
                <w:webHidden/>
              </w:rPr>
              <w:instrText xml:space="preserve"> PAGEREF _Toc241233874 \h </w:instrText>
            </w:r>
            <w:r>
              <w:rPr>
                <w:noProof/>
                <w:webHidden/>
              </w:rPr>
            </w:r>
            <w:r>
              <w:rPr>
                <w:noProof/>
                <w:webHidden/>
              </w:rPr>
              <w:fldChar w:fldCharType="separate"/>
            </w:r>
            <w:r>
              <w:rPr>
                <w:noProof/>
                <w:webHidden/>
              </w:rPr>
              <w:t>15</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875" w:history="1">
            <w:r w:rsidRPr="00D655D9">
              <w:rPr>
                <w:rStyle w:val="Hyperlink"/>
                <w:noProof/>
              </w:rPr>
              <w:t>1.4.3 Research Questions</w:t>
            </w:r>
            <w:r>
              <w:rPr>
                <w:noProof/>
                <w:webHidden/>
              </w:rPr>
              <w:tab/>
            </w:r>
            <w:r>
              <w:rPr>
                <w:noProof/>
                <w:webHidden/>
              </w:rPr>
              <w:fldChar w:fldCharType="begin"/>
            </w:r>
            <w:r>
              <w:rPr>
                <w:noProof/>
                <w:webHidden/>
              </w:rPr>
              <w:instrText xml:space="preserve"> PAGEREF _Toc241233875 \h </w:instrText>
            </w:r>
            <w:r>
              <w:rPr>
                <w:noProof/>
                <w:webHidden/>
              </w:rPr>
            </w:r>
            <w:r>
              <w:rPr>
                <w:noProof/>
                <w:webHidden/>
              </w:rPr>
              <w:fldChar w:fldCharType="separate"/>
            </w:r>
            <w:r>
              <w:rPr>
                <w:noProof/>
                <w:webHidden/>
              </w:rPr>
              <w:t>15</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76" w:history="1">
            <w:r w:rsidRPr="00D655D9">
              <w:rPr>
                <w:rStyle w:val="Hyperlink"/>
                <w:noProof/>
              </w:rPr>
              <w:t>1.5 Scope of Analysis</w:t>
            </w:r>
            <w:r>
              <w:rPr>
                <w:noProof/>
                <w:webHidden/>
              </w:rPr>
              <w:tab/>
            </w:r>
            <w:r>
              <w:rPr>
                <w:noProof/>
                <w:webHidden/>
              </w:rPr>
              <w:fldChar w:fldCharType="begin"/>
            </w:r>
            <w:r>
              <w:rPr>
                <w:noProof/>
                <w:webHidden/>
              </w:rPr>
              <w:instrText xml:space="preserve"> PAGEREF _Toc241233876 \h </w:instrText>
            </w:r>
            <w:r>
              <w:rPr>
                <w:noProof/>
                <w:webHidden/>
              </w:rPr>
            </w:r>
            <w:r>
              <w:rPr>
                <w:noProof/>
                <w:webHidden/>
              </w:rPr>
              <w:fldChar w:fldCharType="separate"/>
            </w:r>
            <w:r>
              <w:rPr>
                <w:noProof/>
                <w:webHidden/>
              </w:rPr>
              <w:t>15</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77" w:history="1">
            <w:r w:rsidRPr="00D655D9">
              <w:rPr>
                <w:rStyle w:val="Hyperlink"/>
                <w:noProof/>
              </w:rPr>
              <w:t>1.6 Structure of the Report</w:t>
            </w:r>
            <w:r>
              <w:rPr>
                <w:noProof/>
                <w:webHidden/>
              </w:rPr>
              <w:tab/>
            </w:r>
            <w:r>
              <w:rPr>
                <w:noProof/>
                <w:webHidden/>
              </w:rPr>
              <w:fldChar w:fldCharType="begin"/>
            </w:r>
            <w:r>
              <w:rPr>
                <w:noProof/>
                <w:webHidden/>
              </w:rPr>
              <w:instrText xml:space="preserve"> PAGEREF _Toc241233877 \h </w:instrText>
            </w:r>
            <w:r>
              <w:rPr>
                <w:noProof/>
                <w:webHidden/>
              </w:rPr>
            </w:r>
            <w:r>
              <w:rPr>
                <w:noProof/>
                <w:webHidden/>
              </w:rPr>
              <w:fldChar w:fldCharType="separate"/>
            </w:r>
            <w:r>
              <w:rPr>
                <w:noProof/>
                <w:webHidden/>
              </w:rPr>
              <w:t>16</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878" w:history="1">
            <w:r w:rsidRPr="00D655D9">
              <w:rPr>
                <w:rStyle w:val="Hyperlink"/>
                <w:noProof/>
              </w:rPr>
              <w:t>Chapter 2: Company Description</w:t>
            </w:r>
            <w:r>
              <w:rPr>
                <w:noProof/>
                <w:webHidden/>
              </w:rPr>
              <w:tab/>
            </w:r>
            <w:r>
              <w:rPr>
                <w:noProof/>
                <w:webHidden/>
              </w:rPr>
              <w:fldChar w:fldCharType="begin"/>
            </w:r>
            <w:r>
              <w:rPr>
                <w:noProof/>
                <w:webHidden/>
              </w:rPr>
              <w:instrText xml:space="preserve"> PAGEREF _Toc241233878 \h </w:instrText>
            </w:r>
            <w:r>
              <w:rPr>
                <w:noProof/>
                <w:webHidden/>
              </w:rPr>
            </w:r>
            <w:r>
              <w:rPr>
                <w:noProof/>
                <w:webHidden/>
              </w:rPr>
              <w:fldChar w:fldCharType="separate"/>
            </w:r>
            <w:r>
              <w:rPr>
                <w:noProof/>
                <w:webHidden/>
              </w:rPr>
              <w:t>17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79" w:history="1">
            <w:r w:rsidRPr="00D655D9">
              <w:rPr>
                <w:rStyle w:val="Hyperlink"/>
                <w:noProof/>
              </w:rPr>
              <w:t>2.1 Business Identity and Legal Structure</w:t>
            </w:r>
            <w:r>
              <w:rPr>
                <w:noProof/>
                <w:webHidden/>
              </w:rPr>
              <w:tab/>
            </w:r>
            <w:r>
              <w:rPr>
                <w:noProof/>
                <w:webHidden/>
              </w:rPr>
              <w:fldChar w:fldCharType="begin"/>
            </w:r>
            <w:r>
              <w:rPr>
                <w:noProof/>
                <w:webHidden/>
              </w:rPr>
              <w:instrText xml:space="preserve"> PAGEREF _Toc241233879 \h </w:instrText>
            </w:r>
            <w:r>
              <w:rPr>
                <w:noProof/>
                <w:webHidden/>
              </w:rPr>
            </w:r>
            <w:r>
              <w:rPr>
                <w:noProof/>
                <w:webHidden/>
              </w:rPr>
              <w:fldChar w:fldCharType="separate"/>
            </w:r>
            <w:r>
              <w:rPr>
                <w:noProof/>
                <w:webHidden/>
              </w:rPr>
              <w:t>17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80" w:history="1">
            <w:r w:rsidRPr="00D655D9">
              <w:rPr>
                <w:rStyle w:val="Hyperlink"/>
                <w:noProof/>
              </w:rPr>
              <w:t>2.2 Product/Service and Problem Solved</w:t>
            </w:r>
            <w:r>
              <w:rPr>
                <w:noProof/>
                <w:webHidden/>
              </w:rPr>
              <w:tab/>
            </w:r>
            <w:r>
              <w:rPr>
                <w:noProof/>
                <w:webHidden/>
              </w:rPr>
              <w:fldChar w:fldCharType="begin"/>
            </w:r>
            <w:r>
              <w:rPr>
                <w:noProof/>
                <w:webHidden/>
              </w:rPr>
              <w:instrText xml:space="preserve"> PAGEREF _Toc241233880 \h </w:instrText>
            </w:r>
            <w:r>
              <w:rPr>
                <w:noProof/>
                <w:webHidden/>
              </w:rPr>
            </w:r>
            <w:r>
              <w:rPr>
                <w:noProof/>
                <w:webHidden/>
              </w:rPr>
              <w:fldChar w:fldCharType="separate"/>
            </w:r>
            <w:r>
              <w:rPr>
                <w:noProof/>
                <w:webHidden/>
              </w:rPr>
              <w:t>18</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81" w:history="1">
            <w:r w:rsidRPr="00D655D9">
              <w:rPr>
                <w:rStyle w:val="Hyperlink"/>
                <w:noProof/>
              </w:rPr>
              <w:t>2.3 Founding Idea and History</w:t>
            </w:r>
            <w:r>
              <w:rPr>
                <w:noProof/>
                <w:webHidden/>
              </w:rPr>
              <w:tab/>
            </w:r>
            <w:r>
              <w:rPr>
                <w:noProof/>
                <w:webHidden/>
              </w:rPr>
              <w:fldChar w:fldCharType="begin"/>
            </w:r>
            <w:r>
              <w:rPr>
                <w:noProof/>
                <w:webHidden/>
              </w:rPr>
              <w:instrText xml:space="preserve"> PAGEREF _Toc241233881 \h </w:instrText>
            </w:r>
            <w:r>
              <w:rPr>
                <w:noProof/>
                <w:webHidden/>
              </w:rPr>
            </w:r>
            <w:r>
              <w:rPr>
                <w:noProof/>
                <w:webHidden/>
              </w:rPr>
              <w:fldChar w:fldCharType="separate"/>
            </w:r>
            <w:r>
              <w:rPr>
                <w:noProof/>
                <w:webHidden/>
              </w:rPr>
              <w:t>18</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82" w:history="1">
            <w:r w:rsidRPr="00D655D9">
              <w:rPr>
                <w:rStyle w:val="Hyperlink"/>
                <w:noProof/>
              </w:rPr>
              <w:t>2.4 SMART Business Objectives and Goals</w:t>
            </w:r>
            <w:r>
              <w:rPr>
                <w:noProof/>
                <w:webHidden/>
              </w:rPr>
              <w:tab/>
            </w:r>
            <w:r>
              <w:rPr>
                <w:noProof/>
                <w:webHidden/>
              </w:rPr>
              <w:fldChar w:fldCharType="begin"/>
            </w:r>
            <w:r>
              <w:rPr>
                <w:noProof/>
                <w:webHidden/>
              </w:rPr>
              <w:instrText xml:space="preserve"> PAGEREF _Toc241233882 \h </w:instrText>
            </w:r>
            <w:r>
              <w:rPr>
                <w:noProof/>
                <w:webHidden/>
              </w:rPr>
            </w:r>
            <w:r>
              <w:rPr>
                <w:noProof/>
                <w:webHidden/>
              </w:rPr>
              <w:fldChar w:fldCharType="separate"/>
            </w:r>
            <w:r>
              <w:rPr>
                <w:noProof/>
                <w:webHidden/>
              </w:rPr>
              <w:t>19</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83" w:history="1">
            <w:r w:rsidRPr="00D655D9">
              <w:rPr>
                <w:rStyle w:val="Hyperlink"/>
                <w:noProof/>
              </w:rPr>
              <w:t>2.5 Core Values and Trend Alignment</w:t>
            </w:r>
            <w:r>
              <w:rPr>
                <w:noProof/>
                <w:webHidden/>
              </w:rPr>
              <w:tab/>
            </w:r>
            <w:r>
              <w:rPr>
                <w:noProof/>
                <w:webHidden/>
              </w:rPr>
              <w:fldChar w:fldCharType="begin"/>
            </w:r>
            <w:r>
              <w:rPr>
                <w:noProof/>
                <w:webHidden/>
              </w:rPr>
              <w:instrText xml:space="preserve"> PAGEREF _Toc241233883 \h </w:instrText>
            </w:r>
            <w:r>
              <w:rPr>
                <w:noProof/>
                <w:webHidden/>
              </w:rPr>
            </w:r>
            <w:r>
              <w:rPr>
                <w:noProof/>
                <w:webHidden/>
              </w:rPr>
              <w:fldChar w:fldCharType="separate"/>
            </w:r>
            <w:r>
              <w:rPr>
                <w:noProof/>
                <w:webHidden/>
              </w:rPr>
              <w:t>20</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884" w:history="1">
            <w:r w:rsidRPr="00D655D9">
              <w:rPr>
                <w:rStyle w:val="Hyperlink"/>
                <w:noProof/>
              </w:rPr>
              <w:t>Chapter 3: Literature Review</w:t>
            </w:r>
            <w:r>
              <w:rPr>
                <w:noProof/>
                <w:webHidden/>
              </w:rPr>
              <w:tab/>
            </w:r>
            <w:r>
              <w:rPr>
                <w:noProof/>
                <w:webHidden/>
              </w:rPr>
              <w:fldChar w:fldCharType="begin"/>
            </w:r>
            <w:r>
              <w:rPr>
                <w:noProof/>
                <w:webHidden/>
              </w:rPr>
              <w:instrText xml:space="preserve"> PAGEREF _Toc241233884 \h </w:instrText>
            </w:r>
            <w:r>
              <w:rPr>
                <w:noProof/>
                <w:webHidden/>
              </w:rPr>
            </w:r>
            <w:r>
              <w:rPr>
                <w:noProof/>
                <w:webHidden/>
              </w:rPr>
              <w:fldChar w:fldCharType="separate"/>
            </w:r>
            <w:r>
              <w:rPr>
                <w:noProof/>
                <w:webHidden/>
              </w:rPr>
              <w:t>21</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85" w:history="1">
            <w:r w:rsidRPr="00D655D9">
              <w:rPr>
                <w:rStyle w:val="Hyperlink"/>
                <w:noProof/>
              </w:rPr>
              <w:t>3.1 UK Office Fit-Out and Furniture Market</w:t>
            </w:r>
            <w:r>
              <w:rPr>
                <w:noProof/>
                <w:webHidden/>
              </w:rPr>
              <w:tab/>
            </w:r>
            <w:r>
              <w:rPr>
                <w:noProof/>
                <w:webHidden/>
              </w:rPr>
              <w:fldChar w:fldCharType="begin"/>
            </w:r>
            <w:r>
              <w:rPr>
                <w:noProof/>
                <w:webHidden/>
              </w:rPr>
              <w:instrText xml:space="preserve"> PAGEREF _Toc241233885 \h </w:instrText>
            </w:r>
            <w:r>
              <w:rPr>
                <w:noProof/>
                <w:webHidden/>
              </w:rPr>
            </w:r>
            <w:r>
              <w:rPr>
                <w:noProof/>
                <w:webHidden/>
              </w:rPr>
              <w:fldChar w:fldCharType="separate"/>
            </w:r>
            <w:r>
              <w:rPr>
                <w:noProof/>
                <w:webHidden/>
              </w:rPr>
              <w:t>21</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86" w:history="1">
            <w:r w:rsidRPr="00D655D9">
              <w:rPr>
                <w:rStyle w:val="Hyperlink"/>
                <w:noProof/>
              </w:rPr>
              <w:t>3.2 Circular Economy Theory</w:t>
            </w:r>
            <w:r>
              <w:rPr>
                <w:noProof/>
                <w:webHidden/>
              </w:rPr>
              <w:tab/>
            </w:r>
            <w:r>
              <w:rPr>
                <w:noProof/>
                <w:webHidden/>
              </w:rPr>
              <w:fldChar w:fldCharType="begin"/>
            </w:r>
            <w:r>
              <w:rPr>
                <w:noProof/>
                <w:webHidden/>
              </w:rPr>
              <w:instrText xml:space="preserve"> PAGEREF _Toc241233886 \h </w:instrText>
            </w:r>
            <w:r>
              <w:rPr>
                <w:noProof/>
                <w:webHidden/>
              </w:rPr>
            </w:r>
            <w:r>
              <w:rPr>
                <w:noProof/>
                <w:webHidden/>
              </w:rPr>
              <w:fldChar w:fldCharType="separate"/>
            </w:r>
            <w:r>
              <w:rPr>
                <w:noProof/>
                <w:webHidden/>
              </w:rPr>
              <w:t>21</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87" w:history="1">
            <w:r w:rsidRPr="00D655D9">
              <w:rPr>
                <w:rStyle w:val="Hyperlink"/>
                <w:noProof/>
              </w:rPr>
              <w:t>3.3 Sustainable Business Model Innovation</w:t>
            </w:r>
            <w:r>
              <w:rPr>
                <w:noProof/>
                <w:webHidden/>
              </w:rPr>
              <w:tab/>
            </w:r>
            <w:r>
              <w:rPr>
                <w:noProof/>
                <w:webHidden/>
              </w:rPr>
              <w:fldChar w:fldCharType="begin"/>
            </w:r>
            <w:r>
              <w:rPr>
                <w:noProof/>
                <w:webHidden/>
              </w:rPr>
              <w:instrText xml:space="preserve"> PAGEREF _Toc241233887 \h </w:instrText>
            </w:r>
            <w:r>
              <w:rPr>
                <w:noProof/>
                <w:webHidden/>
              </w:rPr>
            </w:r>
            <w:r>
              <w:rPr>
                <w:noProof/>
                <w:webHidden/>
              </w:rPr>
              <w:fldChar w:fldCharType="separate"/>
            </w:r>
            <w:r>
              <w:rPr>
                <w:noProof/>
                <w:webHidden/>
              </w:rPr>
              <w:t>23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88" w:history="1">
            <w:r w:rsidRPr="00D655D9">
              <w:rPr>
                <w:rStyle w:val="Hyperlink"/>
                <w:noProof/>
              </w:rPr>
              <w:t>3.4 Strategic Frameworks for Business Development</w:t>
            </w:r>
            <w:r>
              <w:rPr>
                <w:noProof/>
                <w:webHidden/>
              </w:rPr>
              <w:tab/>
            </w:r>
            <w:r>
              <w:rPr>
                <w:noProof/>
                <w:webHidden/>
              </w:rPr>
              <w:fldChar w:fldCharType="begin"/>
            </w:r>
            <w:r>
              <w:rPr>
                <w:noProof/>
                <w:webHidden/>
              </w:rPr>
              <w:instrText xml:space="preserve"> PAGEREF _Toc241233888 \h </w:instrText>
            </w:r>
            <w:r>
              <w:rPr>
                <w:noProof/>
                <w:webHidden/>
              </w:rPr>
            </w:r>
            <w:r>
              <w:rPr>
                <w:noProof/>
                <w:webHidden/>
              </w:rPr>
              <w:fldChar w:fldCharType="separate"/>
            </w:r>
            <w:r>
              <w:rPr>
                <w:noProof/>
                <w:webHidden/>
              </w:rPr>
              <w:t>24</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89" w:history="1">
            <w:r w:rsidRPr="00D655D9">
              <w:rPr>
                <w:rStyle w:val="Hyperlink"/>
                <w:noProof/>
              </w:rPr>
              <w:t>3.5 Synthesis and Research Gap</w:t>
            </w:r>
            <w:r>
              <w:rPr>
                <w:noProof/>
                <w:webHidden/>
              </w:rPr>
              <w:tab/>
            </w:r>
            <w:r>
              <w:rPr>
                <w:noProof/>
                <w:webHidden/>
              </w:rPr>
              <w:fldChar w:fldCharType="begin"/>
            </w:r>
            <w:r>
              <w:rPr>
                <w:noProof/>
                <w:webHidden/>
              </w:rPr>
              <w:instrText xml:space="preserve"> PAGEREF _Toc241233889 \h </w:instrText>
            </w:r>
            <w:r>
              <w:rPr>
                <w:noProof/>
                <w:webHidden/>
              </w:rPr>
            </w:r>
            <w:r>
              <w:rPr>
                <w:noProof/>
                <w:webHidden/>
              </w:rPr>
              <w:fldChar w:fldCharType="separate"/>
            </w:r>
            <w:r>
              <w:rPr>
                <w:noProof/>
                <w:webHidden/>
              </w:rPr>
              <w:t>25</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890" w:history="1">
            <w:r w:rsidRPr="00D655D9">
              <w:rPr>
                <w:rStyle w:val="Hyperlink"/>
                <w:noProof/>
              </w:rPr>
              <w:t>Chapter 4: Methodology</w:t>
            </w:r>
            <w:r>
              <w:rPr>
                <w:noProof/>
                <w:webHidden/>
              </w:rPr>
              <w:tab/>
            </w:r>
            <w:r>
              <w:rPr>
                <w:noProof/>
                <w:webHidden/>
              </w:rPr>
              <w:fldChar w:fldCharType="begin"/>
            </w:r>
            <w:r>
              <w:rPr>
                <w:noProof/>
                <w:webHidden/>
              </w:rPr>
              <w:instrText xml:space="preserve"> PAGEREF _Toc241233890 \h </w:instrText>
            </w:r>
            <w:r>
              <w:rPr>
                <w:noProof/>
                <w:webHidden/>
              </w:rPr>
            </w:r>
            <w:r>
              <w:rPr>
                <w:noProof/>
                <w:webHidden/>
              </w:rPr>
              <w:fldChar w:fldCharType="separate"/>
            </w:r>
            <w:r>
              <w:rPr>
                <w:noProof/>
                <w:webHidden/>
              </w:rPr>
              <w:t>26</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91" w:history="1">
            <w:r w:rsidRPr="00D655D9">
              <w:rPr>
                <w:rStyle w:val="Hyperlink"/>
                <w:noProof/>
              </w:rPr>
              <w:t>4.1 Methodological Approach to Opportunity Identification</w:t>
            </w:r>
            <w:r>
              <w:rPr>
                <w:noProof/>
                <w:webHidden/>
              </w:rPr>
              <w:tab/>
            </w:r>
            <w:r>
              <w:rPr>
                <w:noProof/>
                <w:webHidden/>
              </w:rPr>
              <w:fldChar w:fldCharType="begin"/>
            </w:r>
            <w:r>
              <w:rPr>
                <w:noProof/>
                <w:webHidden/>
              </w:rPr>
              <w:instrText xml:space="preserve"> PAGEREF _Toc241233891 \h </w:instrText>
            </w:r>
            <w:r>
              <w:rPr>
                <w:noProof/>
                <w:webHidden/>
              </w:rPr>
            </w:r>
            <w:r>
              <w:rPr>
                <w:noProof/>
                <w:webHidden/>
              </w:rPr>
              <w:fldChar w:fldCharType="separate"/>
            </w:r>
            <w:r>
              <w:rPr>
                <w:noProof/>
                <w:webHidden/>
              </w:rPr>
              <w:t>26</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92" w:history="1">
            <w:r w:rsidRPr="00D655D9">
              <w:rPr>
                <w:rStyle w:val="Hyperlink"/>
                <w:noProof/>
              </w:rPr>
              <w:t>4.2 Market Insight Collection</w:t>
            </w:r>
            <w:r>
              <w:rPr>
                <w:noProof/>
                <w:webHidden/>
              </w:rPr>
              <w:tab/>
            </w:r>
            <w:r>
              <w:rPr>
                <w:noProof/>
                <w:webHidden/>
              </w:rPr>
              <w:fldChar w:fldCharType="begin"/>
            </w:r>
            <w:r>
              <w:rPr>
                <w:noProof/>
                <w:webHidden/>
              </w:rPr>
              <w:instrText xml:space="preserve"> PAGEREF _Toc241233892 \h </w:instrText>
            </w:r>
            <w:r>
              <w:rPr>
                <w:noProof/>
                <w:webHidden/>
              </w:rPr>
            </w:r>
            <w:r>
              <w:rPr>
                <w:noProof/>
                <w:webHidden/>
              </w:rPr>
              <w:fldChar w:fldCharType="separate"/>
            </w:r>
            <w:r>
              <w:rPr>
                <w:noProof/>
                <w:webHidden/>
              </w:rPr>
              <w:t>26</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93" w:history="1">
            <w:r w:rsidRPr="00D655D9">
              <w:rPr>
                <w:rStyle w:val="Hyperlink"/>
                <w:noProof/>
              </w:rPr>
              <w:t>4.3 Market Data Gathering</w:t>
            </w:r>
            <w:r>
              <w:rPr>
                <w:noProof/>
                <w:webHidden/>
              </w:rPr>
              <w:tab/>
            </w:r>
            <w:r>
              <w:rPr>
                <w:noProof/>
                <w:webHidden/>
              </w:rPr>
              <w:fldChar w:fldCharType="begin"/>
            </w:r>
            <w:r>
              <w:rPr>
                <w:noProof/>
                <w:webHidden/>
              </w:rPr>
              <w:instrText xml:space="preserve"> PAGEREF _Toc241233893 \h </w:instrText>
            </w:r>
            <w:r>
              <w:rPr>
                <w:noProof/>
                <w:webHidden/>
              </w:rPr>
            </w:r>
            <w:r>
              <w:rPr>
                <w:noProof/>
                <w:webHidden/>
              </w:rPr>
              <w:fldChar w:fldCharType="separate"/>
            </w:r>
            <w:r>
              <w:rPr>
                <w:noProof/>
                <w:webHidden/>
              </w:rPr>
              <w:t>27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94" w:history="1">
            <w:r w:rsidRPr="00D655D9">
              <w:rPr>
                <w:rStyle w:val="Hyperlink"/>
                <w:noProof/>
              </w:rPr>
              <w:t>4.4 Search Strategy and Search Terms</w:t>
            </w:r>
            <w:r>
              <w:rPr>
                <w:noProof/>
                <w:webHidden/>
              </w:rPr>
              <w:tab/>
            </w:r>
            <w:r>
              <w:rPr>
                <w:noProof/>
                <w:webHidden/>
              </w:rPr>
              <w:fldChar w:fldCharType="begin"/>
            </w:r>
            <w:r>
              <w:rPr>
                <w:noProof/>
                <w:webHidden/>
              </w:rPr>
              <w:instrText xml:space="preserve"> PAGEREF _Toc241233894 \h </w:instrText>
            </w:r>
            <w:r>
              <w:rPr>
                <w:noProof/>
                <w:webHidden/>
              </w:rPr>
            </w:r>
            <w:r>
              <w:rPr>
                <w:noProof/>
                <w:webHidden/>
              </w:rPr>
              <w:fldChar w:fldCharType="separate"/>
            </w:r>
            <w:r>
              <w:rPr>
                <w:noProof/>
                <w:webHidden/>
              </w:rPr>
              <w:t>27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95" w:history="1">
            <w:r w:rsidRPr="00D655D9">
              <w:rPr>
                <w:rStyle w:val="Hyperlink"/>
                <w:noProof/>
              </w:rPr>
              <w:t>4.5 Data Analysis</w:t>
            </w:r>
            <w:r>
              <w:rPr>
                <w:noProof/>
                <w:webHidden/>
              </w:rPr>
              <w:tab/>
            </w:r>
            <w:r>
              <w:rPr>
                <w:noProof/>
                <w:webHidden/>
              </w:rPr>
              <w:fldChar w:fldCharType="begin"/>
            </w:r>
            <w:r>
              <w:rPr>
                <w:noProof/>
                <w:webHidden/>
              </w:rPr>
              <w:instrText xml:space="preserve"> PAGEREF _Toc241233895 \h </w:instrText>
            </w:r>
            <w:r>
              <w:rPr>
                <w:noProof/>
                <w:webHidden/>
              </w:rPr>
            </w:r>
            <w:r>
              <w:rPr>
                <w:noProof/>
                <w:webHidden/>
              </w:rPr>
              <w:fldChar w:fldCharType="separate"/>
            </w:r>
            <w:r>
              <w:rPr>
                <w:noProof/>
                <w:webHidden/>
              </w:rPr>
              <w:t>28</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96" w:history="1">
            <w:r w:rsidRPr="00D655D9">
              <w:rPr>
                <w:rStyle w:val="Hyperlink"/>
                <w:noProof/>
              </w:rPr>
              <w:t>4.6 Models and Frameworks</w:t>
            </w:r>
            <w:r>
              <w:rPr>
                <w:noProof/>
                <w:webHidden/>
              </w:rPr>
              <w:tab/>
            </w:r>
            <w:r>
              <w:rPr>
                <w:noProof/>
                <w:webHidden/>
              </w:rPr>
              <w:fldChar w:fldCharType="begin"/>
            </w:r>
            <w:r>
              <w:rPr>
                <w:noProof/>
                <w:webHidden/>
              </w:rPr>
              <w:instrText xml:space="preserve"> PAGEREF _Toc241233896 \h </w:instrText>
            </w:r>
            <w:r>
              <w:rPr>
                <w:noProof/>
                <w:webHidden/>
              </w:rPr>
            </w:r>
            <w:r>
              <w:rPr>
                <w:noProof/>
                <w:webHidden/>
              </w:rPr>
              <w:fldChar w:fldCharType="separate"/>
            </w:r>
            <w:r>
              <w:rPr>
                <w:noProof/>
                <w:webHidden/>
              </w:rPr>
              <w:t>28</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97" w:history="1">
            <w:r w:rsidRPr="00D655D9">
              <w:rPr>
                <w:rStyle w:val="Hyperlink"/>
                <w:noProof/>
              </w:rPr>
              <w:t>4.7 Limitations and Ethical Considerations</w:t>
            </w:r>
            <w:r>
              <w:rPr>
                <w:noProof/>
                <w:webHidden/>
              </w:rPr>
              <w:tab/>
            </w:r>
            <w:r>
              <w:rPr>
                <w:noProof/>
                <w:webHidden/>
              </w:rPr>
              <w:fldChar w:fldCharType="begin"/>
            </w:r>
            <w:r>
              <w:rPr>
                <w:noProof/>
                <w:webHidden/>
              </w:rPr>
              <w:instrText xml:space="preserve"> PAGEREF _Toc241233897 \h </w:instrText>
            </w:r>
            <w:r>
              <w:rPr>
                <w:noProof/>
                <w:webHidden/>
              </w:rPr>
            </w:r>
            <w:r>
              <w:rPr>
                <w:noProof/>
                <w:webHidden/>
              </w:rPr>
              <w:fldChar w:fldCharType="separate"/>
            </w:r>
            <w:r>
              <w:rPr>
                <w:noProof/>
                <w:webHidden/>
              </w:rPr>
              <w:t>29</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898" w:history="1">
            <w:r w:rsidRPr="00D655D9">
              <w:rPr>
                <w:rStyle w:val="Hyperlink"/>
                <w:noProof/>
              </w:rPr>
              <w:t>Chapter 5: Market Opportunity Analysis</w:t>
            </w:r>
            <w:r>
              <w:rPr>
                <w:noProof/>
                <w:webHidden/>
              </w:rPr>
              <w:tab/>
            </w:r>
            <w:r>
              <w:rPr>
                <w:noProof/>
                <w:webHidden/>
              </w:rPr>
              <w:fldChar w:fldCharType="begin"/>
            </w:r>
            <w:r>
              <w:rPr>
                <w:noProof/>
                <w:webHidden/>
              </w:rPr>
              <w:instrText xml:space="preserve"> PAGEREF _Toc241233898 \h </w:instrText>
            </w:r>
            <w:r>
              <w:rPr>
                <w:noProof/>
                <w:webHidden/>
              </w:rPr>
            </w:r>
            <w:r>
              <w:rPr>
                <w:noProof/>
                <w:webHidden/>
              </w:rPr>
              <w:fldChar w:fldCharType="separate"/>
            </w:r>
            <w:r>
              <w:rPr>
                <w:noProof/>
                <w:webHidden/>
              </w:rPr>
              <w:t>30</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899" w:history="1">
            <w:r w:rsidRPr="00D655D9">
              <w:rPr>
                <w:rStyle w:val="Hyperlink"/>
                <w:noProof/>
              </w:rPr>
              <w:t>5.1 Scope and Market Definition</w:t>
            </w:r>
            <w:r>
              <w:rPr>
                <w:noProof/>
                <w:webHidden/>
              </w:rPr>
              <w:tab/>
            </w:r>
            <w:r>
              <w:rPr>
                <w:noProof/>
                <w:webHidden/>
              </w:rPr>
              <w:fldChar w:fldCharType="begin"/>
            </w:r>
            <w:r>
              <w:rPr>
                <w:noProof/>
                <w:webHidden/>
              </w:rPr>
              <w:instrText xml:space="preserve"> PAGEREF _Toc241233899 \h </w:instrText>
            </w:r>
            <w:r>
              <w:rPr>
                <w:noProof/>
                <w:webHidden/>
              </w:rPr>
            </w:r>
            <w:r>
              <w:rPr>
                <w:noProof/>
                <w:webHidden/>
              </w:rPr>
              <w:fldChar w:fldCharType="separate"/>
            </w:r>
            <w:r>
              <w:rPr>
                <w:noProof/>
                <w:webHidden/>
              </w:rPr>
              <w:t>30</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00" w:history="1">
            <w:r w:rsidRPr="00D655D9">
              <w:rPr>
                <w:rStyle w:val="Hyperlink"/>
                <w:noProof/>
              </w:rPr>
              <w:t>5.2 Market Size and TAM–SAM–SOM</w:t>
            </w:r>
            <w:r>
              <w:rPr>
                <w:noProof/>
                <w:webHidden/>
              </w:rPr>
              <w:tab/>
            </w:r>
            <w:r>
              <w:rPr>
                <w:noProof/>
                <w:webHidden/>
              </w:rPr>
              <w:fldChar w:fldCharType="begin"/>
            </w:r>
            <w:r>
              <w:rPr>
                <w:noProof/>
                <w:webHidden/>
              </w:rPr>
              <w:instrText xml:space="preserve"> PAGEREF _Toc241233900 \h </w:instrText>
            </w:r>
            <w:r>
              <w:rPr>
                <w:noProof/>
                <w:webHidden/>
              </w:rPr>
            </w:r>
            <w:r>
              <w:rPr>
                <w:noProof/>
                <w:webHidden/>
              </w:rPr>
              <w:fldChar w:fldCharType="separate"/>
            </w:r>
            <w:r>
              <w:rPr>
                <w:noProof/>
                <w:webHidden/>
              </w:rPr>
              <w:t>30</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01" w:history="1">
            <w:r w:rsidRPr="00D655D9">
              <w:rPr>
                <w:rStyle w:val="Hyperlink"/>
                <w:noProof/>
              </w:rPr>
              <w:t>5.3 Segmentation and Target Customer</w:t>
            </w:r>
            <w:r>
              <w:rPr>
                <w:noProof/>
                <w:webHidden/>
              </w:rPr>
              <w:tab/>
            </w:r>
            <w:r>
              <w:rPr>
                <w:noProof/>
                <w:webHidden/>
              </w:rPr>
              <w:fldChar w:fldCharType="begin"/>
            </w:r>
            <w:r>
              <w:rPr>
                <w:noProof/>
                <w:webHidden/>
              </w:rPr>
              <w:instrText xml:space="preserve"> PAGEREF _Toc241233901 \h </w:instrText>
            </w:r>
            <w:r>
              <w:rPr>
                <w:noProof/>
                <w:webHidden/>
              </w:rPr>
            </w:r>
            <w:r>
              <w:rPr>
                <w:noProof/>
                <w:webHidden/>
              </w:rPr>
              <w:fldChar w:fldCharType="separate"/>
            </w:r>
            <w:r>
              <w:rPr>
                <w:noProof/>
                <w:webHidden/>
              </w:rPr>
              <w:t>32</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02" w:history="1">
            <w:r w:rsidRPr="00D655D9">
              <w:rPr>
                <w:rStyle w:val="Hyperlink"/>
                <w:noProof/>
              </w:rPr>
              <w:t>5.3.1 Segmentation</w:t>
            </w:r>
            <w:r>
              <w:rPr>
                <w:noProof/>
                <w:webHidden/>
              </w:rPr>
              <w:tab/>
            </w:r>
            <w:r>
              <w:rPr>
                <w:noProof/>
                <w:webHidden/>
              </w:rPr>
              <w:fldChar w:fldCharType="begin"/>
            </w:r>
            <w:r>
              <w:rPr>
                <w:noProof/>
                <w:webHidden/>
              </w:rPr>
              <w:instrText xml:space="preserve"> PAGEREF _Toc241233902 \h </w:instrText>
            </w:r>
            <w:r>
              <w:rPr>
                <w:noProof/>
                <w:webHidden/>
              </w:rPr>
            </w:r>
            <w:r>
              <w:rPr>
                <w:noProof/>
                <w:webHidden/>
              </w:rPr>
              <w:fldChar w:fldCharType="separate"/>
            </w:r>
            <w:r>
              <w:rPr>
                <w:noProof/>
                <w:webHidden/>
              </w:rPr>
              <w:t>32</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03" w:history="1">
            <w:r w:rsidRPr="00D655D9">
              <w:rPr>
                <w:rStyle w:val="Hyperlink"/>
                <w:noProof/>
              </w:rPr>
              <w:t>5.3.2 Targeting: Hypothetical Customer Personas Based on Secondary Research</w:t>
            </w:r>
            <w:r>
              <w:rPr>
                <w:noProof/>
                <w:webHidden/>
              </w:rPr>
              <w:tab/>
            </w:r>
            <w:r>
              <w:rPr>
                <w:noProof/>
                <w:webHidden/>
              </w:rPr>
              <w:fldChar w:fldCharType="begin"/>
            </w:r>
            <w:r>
              <w:rPr>
                <w:noProof/>
                <w:webHidden/>
              </w:rPr>
              <w:instrText xml:space="preserve"> PAGEREF _Toc241233903 \h </w:instrText>
            </w:r>
            <w:r>
              <w:rPr>
                <w:noProof/>
                <w:webHidden/>
              </w:rPr>
            </w:r>
            <w:r>
              <w:rPr>
                <w:noProof/>
                <w:webHidden/>
              </w:rPr>
              <w:fldChar w:fldCharType="separate"/>
            </w:r>
            <w:r>
              <w:rPr>
                <w:noProof/>
                <w:webHidden/>
              </w:rPr>
              <w:t>33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04" w:history="1">
            <w:r w:rsidRPr="00D655D9">
              <w:rPr>
                <w:rStyle w:val="Hyperlink"/>
                <w:noProof/>
              </w:rPr>
              <w:t>5.4 Pain Points, Unmet Needs and Demand</w:t>
            </w:r>
            <w:r>
              <w:rPr>
                <w:noProof/>
                <w:webHidden/>
              </w:rPr>
              <w:tab/>
            </w:r>
            <w:r>
              <w:rPr>
                <w:noProof/>
                <w:webHidden/>
              </w:rPr>
              <w:fldChar w:fldCharType="begin"/>
            </w:r>
            <w:r>
              <w:rPr>
                <w:noProof/>
                <w:webHidden/>
              </w:rPr>
              <w:instrText xml:space="preserve"> PAGEREF _Toc241233904 \h </w:instrText>
            </w:r>
            <w:r>
              <w:rPr>
                <w:noProof/>
                <w:webHidden/>
              </w:rPr>
            </w:r>
            <w:r>
              <w:rPr>
                <w:noProof/>
                <w:webHidden/>
              </w:rPr>
              <w:fldChar w:fldCharType="separate"/>
            </w:r>
            <w:r>
              <w:rPr>
                <w:noProof/>
                <w:webHidden/>
              </w:rPr>
              <w:t>33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05" w:history="1">
            <w:r w:rsidRPr="00D655D9">
              <w:rPr>
                <w:rStyle w:val="Hyperlink"/>
                <w:noProof/>
              </w:rPr>
              <w:t>5.5 Economic and Geographic Conditions</w:t>
            </w:r>
            <w:r>
              <w:rPr>
                <w:noProof/>
                <w:webHidden/>
              </w:rPr>
              <w:tab/>
            </w:r>
            <w:r>
              <w:rPr>
                <w:noProof/>
                <w:webHidden/>
              </w:rPr>
              <w:fldChar w:fldCharType="begin"/>
            </w:r>
            <w:r>
              <w:rPr>
                <w:noProof/>
                <w:webHidden/>
              </w:rPr>
              <w:instrText xml:space="preserve"> PAGEREF _Toc241233905 \h </w:instrText>
            </w:r>
            <w:r>
              <w:rPr>
                <w:noProof/>
                <w:webHidden/>
              </w:rPr>
            </w:r>
            <w:r>
              <w:rPr>
                <w:noProof/>
                <w:webHidden/>
              </w:rPr>
              <w:fldChar w:fldCharType="separate"/>
            </w:r>
            <w:r>
              <w:rPr>
                <w:noProof/>
                <w:webHidden/>
              </w:rPr>
              <w:t>34</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06" w:history="1">
            <w:r w:rsidRPr="00D655D9">
              <w:rPr>
                <w:rStyle w:val="Hyperlink"/>
                <w:noProof/>
              </w:rPr>
              <w:t>5.6 Research Findings and Opportunity Synthesis</w:t>
            </w:r>
            <w:r>
              <w:rPr>
                <w:noProof/>
                <w:webHidden/>
              </w:rPr>
              <w:tab/>
            </w:r>
            <w:r>
              <w:rPr>
                <w:noProof/>
                <w:webHidden/>
              </w:rPr>
              <w:fldChar w:fldCharType="begin"/>
            </w:r>
            <w:r>
              <w:rPr>
                <w:noProof/>
                <w:webHidden/>
              </w:rPr>
              <w:instrText xml:space="preserve"> PAGEREF _Toc241233906 \h </w:instrText>
            </w:r>
            <w:r>
              <w:rPr>
                <w:noProof/>
                <w:webHidden/>
              </w:rPr>
            </w:r>
            <w:r>
              <w:rPr>
                <w:noProof/>
                <w:webHidden/>
              </w:rPr>
              <w:fldChar w:fldCharType="separate"/>
            </w:r>
            <w:r>
              <w:rPr>
                <w:noProof/>
                <w:webHidden/>
              </w:rPr>
              <w:t>36</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907" w:history="1">
            <w:r w:rsidRPr="00D655D9">
              <w:rPr>
                <w:rStyle w:val="Hyperlink"/>
                <w:noProof/>
              </w:rPr>
              <w:t>Chapter 6: Competitive Environment Analysis</w:t>
            </w:r>
            <w:r>
              <w:rPr>
                <w:noProof/>
                <w:webHidden/>
              </w:rPr>
              <w:tab/>
            </w:r>
            <w:r>
              <w:rPr>
                <w:noProof/>
                <w:webHidden/>
              </w:rPr>
              <w:fldChar w:fldCharType="begin"/>
            </w:r>
            <w:r>
              <w:rPr>
                <w:noProof/>
                <w:webHidden/>
              </w:rPr>
              <w:instrText xml:space="preserve"> PAGEREF _Toc241233907 \h </w:instrText>
            </w:r>
            <w:r>
              <w:rPr>
                <w:noProof/>
                <w:webHidden/>
              </w:rPr>
            </w:r>
            <w:r>
              <w:rPr>
                <w:noProof/>
                <w:webHidden/>
              </w:rPr>
              <w:fldChar w:fldCharType="separate"/>
            </w:r>
            <w:r>
              <w:rPr>
                <w:noProof/>
                <w:webHidden/>
              </w:rPr>
              <w:t>38</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08" w:history="1">
            <w:r w:rsidRPr="00D655D9">
              <w:rPr>
                <w:rStyle w:val="Hyperlink"/>
                <w:noProof/>
              </w:rPr>
              <w:t>6.1 Scope, Frameworks and Competitive Set</w:t>
            </w:r>
            <w:r>
              <w:rPr>
                <w:noProof/>
                <w:webHidden/>
              </w:rPr>
              <w:tab/>
            </w:r>
            <w:r>
              <w:rPr>
                <w:noProof/>
                <w:webHidden/>
              </w:rPr>
              <w:fldChar w:fldCharType="begin"/>
            </w:r>
            <w:r>
              <w:rPr>
                <w:noProof/>
                <w:webHidden/>
              </w:rPr>
              <w:instrText xml:space="preserve"> PAGEREF _Toc241233908 \h </w:instrText>
            </w:r>
            <w:r>
              <w:rPr>
                <w:noProof/>
                <w:webHidden/>
              </w:rPr>
            </w:r>
            <w:r>
              <w:rPr>
                <w:noProof/>
                <w:webHidden/>
              </w:rPr>
              <w:fldChar w:fldCharType="separate"/>
            </w:r>
            <w:r>
              <w:rPr>
                <w:noProof/>
                <w:webHidden/>
              </w:rPr>
              <w:t>38</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09" w:history="1">
            <w:r w:rsidRPr="00D655D9">
              <w:rPr>
                <w:rStyle w:val="Hyperlink"/>
                <w:noProof/>
              </w:rPr>
              <w:t>6.2 Key Success Factors</w:t>
            </w:r>
            <w:r>
              <w:rPr>
                <w:noProof/>
                <w:webHidden/>
              </w:rPr>
              <w:tab/>
            </w:r>
            <w:r>
              <w:rPr>
                <w:noProof/>
                <w:webHidden/>
              </w:rPr>
              <w:fldChar w:fldCharType="begin"/>
            </w:r>
            <w:r>
              <w:rPr>
                <w:noProof/>
                <w:webHidden/>
              </w:rPr>
              <w:instrText xml:space="preserve"> PAGEREF _Toc241233909 \h </w:instrText>
            </w:r>
            <w:r>
              <w:rPr>
                <w:noProof/>
                <w:webHidden/>
              </w:rPr>
            </w:r>
            <w:r>
              <w:rPr>
                <w:noProof/>
                <w:webHidden/>
              </w:rPr>
              <w:fldChar w:fldCharType="separate"/>
            </w:r>
            <w:r>
              <w:rPr>
                <w:noProof/>
                <w:webHidden/>
              </w:rPr>
              <w:t>38</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10" w:history="1">
            <w:r w:rsidRPr="00D655D9">
              <w:rPr>
                <w:rStyle w:val="Hyperlink"/>
                <w:noProof/>
              </w:rPr>
              <w:t>6.3 Main Competitors and Positioning</w:t>
            </w:r>
            <w:r>
              <w:rPr>
                <w:noProof/>
                <w:webHidden/>
              </w:rPr>
              <w:tab/>
            </w:r>
            <w:r>
              <w:rPr>
                <w:noProof/>
                <w:webHidden/>
              </w:rPr>
              <w:fldChar w:fldCharType="begin"/>
            </w:r>
            <w:r>
              <w:rPr>
                <w:noProof/>
                <w:webHidden/>
              </w:rPr>
              <w:instrText xml:space="preserve"> PAGEREF _Toc241233910 \h </w:instrText>
            </w:r>
            <w:r>
              <w:rPr>
                <w:noProof/>
                <w:webHidden/>
              </w:rPr>
            </w:r>
            <w:r>
              <w:rPr>
                <w:noProof/>
                <w:webHidden/>
              </w:rPr>
              <w:fldChar w:fldCharType="separate"/>
            </w:r>
            <w:r>
              <w:rPr>
                <w:noProof/>
                <w:webHidden/>
              </w:rPr>
              <w:t>39</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11" w:history="1">
            <w:r w:rsidRPr="00D655D9">
              <w:rPr>
                <w:rStyle w:val="Hyperlink"/>
                <w:noProof/>
              </w:rPr>
              <w:t>6.3.1 Competitor Analysis</w:t>
            </w:r>
            <w:r>
              <w:rPr>
                <w:noProof/>
                <w:webHidden/>
              </w:rPr>
              <w:tab/>
            </w:r>
            <w:r>
              <w:rPr>
                <w:noProof/>
                <w:webHidden/>
              </w:rPr>
              <w:fldChar w:fldCharType="begin"/>
            </w:r>
            <w:r>
              <w:rPr>
                <w:noProof/>
                <w:webHidden/>
              </w:rPr>
              <w:instrText xml:space="preserve"> PAGEREF _Toc241233911 \h </w:instrText>
            </w:r>
            <w:r>
              <w:rPr>
                <w:noProof/>
                <w:webHidden/>
              </w:rPr>
            </w:r>
            <w:r>
              <w:rPr>
                <w:noProof/>
                <w:webHidden/>
              </w:rPr>
              <w:fldChar w:fldCharType="separate"/>
            </w:r>
            <w:r>
              <w:rPr>
                <w:noProof/>
                <w:webHidden/>
              </w:rPr>
              <w:t>39</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12" w:history="1">
            <w:r w:rsidRPr="00D655D9">
              <w:rPr>
                <w:rStyle w:val="Hyperlink"/>
                <w:noProof/>
              </w:rPr>
              <w:t>6.3.2 Positioning Map</w:t>
            </w:r>
            <w:r>
              <w:rPr>
                <w:noProof/>
                <w:webHidden/>
              </w:rPr>
              <w:tab/>
            </w:r>
            <w:r>
              <w:rPr>
                <w:noProof/>
                <w:webHidden/>
              </w:rPr>
              <w:fldChar w:fldCharType="begin"/>
            </w:r>
            <w:r>
              <w:rPr>
                <w:noProof/>
                <w:webHidden/>
              </w:rPr>
              <w:instrText xml:space="preserve"> PAGEREF _Toc241233912 \h </w:instrText>
            </w:r>
            <w:r>
              <w:rPr>
                <w:noProof/>
                <w:webHidden/>
              </w:rPr>
            </w:r>
            <w:r>
              <w:rPr>
                <w:noProof/>
                <w:webHidden/>
              </w:rPr>
              <w:fldChar w:fldCharType="separate"/>
            </w:r>
            <w:r>
              <w:rPr>
                <w:noProof/>
                <w:webHidden/>
              </w:rPr>
              <w:t>42</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13" w:history="1">
            <w:r w:rsidRPr="00D655D9">
              <w:rPr>
                <w:rStyle w:val="Hyperlink"/>
                <w:noProof/>
              </w:rPr>
              <w:t>6.4 Porter’s Five Forces</w:t>
            </w:r>
            <w:r>
              <w:rPr>
                <w:noProof/>
                <w:webHidden/>
              </w:rPr>
              <w:tab/>
            </w:r>
            <w:r>
              <w:rPr>
                <w:noProof/>
                <w:webHidden/>
              </w:rPr>
              <w:fldChar w:fldCharType="begin"/>
            </w:r>
            <w:r>
              <w:rPr>
                <w:noProof/>
                <w:webHidden/>
              </w:rPr>
              <w:instrText xml:space="preserve"> PAGEREF _Toc241233913 \h </w:instrText>
            </w:r>
            <w:r>
              <w:rPr>
                <w:noProof/>
                <w:webHidden/>
              </w:rPr>
            </w:r>
            <w:r>
              <w:rPr>
                <w:noProof/>
                <w:webHidden/>
              </w:rPr>
              <w:fldChar w:fldCharType="separate"/>
            </w:r>
            <w:r>
              <w:rPr>
                <w:noProof/>
                <w:webHidden/>
              </w:rPr>
              <w:t>43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14" w:history="1">
            <w:r w:rsidRPr="00D655D9">
              <w:rPr>
                <w:rStyle w:val="Hyperlink"/>
                <w:noProof/>
              </w:rPr>
              <w:t>6.5 PESTLE and External Change</w:t>
            </w:r>
            <w:r>
              <w:rPr>
                <w:noProof/>
                <w:webHidden/>
              </w:rPr>
              <w:tab/>
            </w:r>
            <w:r>
              <w:rPr>
                <w:noProof/>
                <w:webHidden/>
              </w:rPr>
              <w:fldChar w:fldCharType="begin"/>
            </w:r>
            <w:r>
              <w:rPr>
                <w:noProof/>
                <w:webHidden/>
              </w:rPr>
              <w:instrText xml:space="preserve"> PAGEREF _Toc241233914 \h </w:instrText>
            </w:r>
            <w:r>
              <w:rPr>
                <w:noProof/>
                <w:webHidden/>
              </w:rPr>
            </w:r>
            <w:r>
              <w:rPr>
                <w:noProof/>
                <w:webHidden/>
              </w:rPr>
              <w:fldChar w:fldCharType="separate"/>
            </w:r>
            <w:r>
              <w:rPr>
                <w:noProof/>
                <w:webHidden/>
              </w:rPr>
              <w:t>44</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15" w:history="1">
            <w:r w:rsidRPr="00D655D9">
              <w:rPr>
                <w:rStyle w:val="Hyperlink"/>
                <w:noProof/>
              </w:rPr>
              <w:t>6.6 Industry Attractiveness, Market Gaps and Synthesis</w:t>
            </w:r>
            <w:r>
              <w:rPr>
                <w:noProof/>
                <w:webHidden/>
              </w:rPr>
              <w:tab/>
            </w:r>
            <w:r>
              <w:rPr>
                <w:noProof/>
                <w:webHidden/>
              </w:rPr>
              <w:fldChar w:fldCharType="begin"/>
            </w:r>
            <w:r>
              <w:rPr>
                <w:noProof/>
                <w:webHidden/>
              </w:rPr>
              <w:instrText xml:space="preserve"> PAGEREF _Toc241233915 \h </w:instrText>
            </w:r>
            <w:r>
              <w:rPr>
                <w:noProof/>
                <w:webHidden/>
              </w:rPr>
            </w:r>
            <w:r>
              <w:rPr>
                <w:noProof/>
                <w:webHidden/>
              </w:rPr>
              <w:fldChar w:fldCharType="separate"/>
            </w:r>
            <w:r>
              <w:rPr>
                <w:noProof/>
                <w:webHidden/>
              </w:rPr>
              <w:t>45</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16" w:history="1">
            <w:r w:rsidRPr="00D655D9">
              <w:rPr>
                <w:rStyle w:val="Hyperlink"/>
                <w:noProof/>
              </w:rPr>
              <w:t>6.7 Chapter Summary</w:t>
            </w:r>
            <w:r>
              <w:rPr>
                <w:noProof/>
                <w:webHidden/>
              </w:rPr>
              <w:tab/>
            </w:r>
            <w:r>
              <w:rPr>
                <w:noProof/>
                <w:webHidden/>
              </w:rPr>
              <w:fldChar w:fldCharType="begin"/>
            </w:r>
            <w:r>
              <w:rPr>
                <w:noProof/>
                <w:webHidden/>
              </w:rPr>
              <w:instrText xml:space="preserve"> PAGEREF _Toc241233916 \h </w:instrText>
            </w:r>
            <w:r>
              <w:rPr>
                <w:noProof/>
                <w:webHidden/>
              </w:rPr>
            </w:r>
            <w:r>
              <w:rPr>
                <w:noProof/>
                <w:webHidden/>
              </w:rPr>
              <w:fldChar w:fldCharType="separate"/>
            </w:r>
            <w:r>
              <w:rPr>
                <w:noProof/>
                <w:webHidden/>
              </w:rPr>
              <w:t>46</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917" w:history="1">
            <w:r w:rsidRPr="00D655D9">
              <w:rPr>
                <w:rStyle w:val="Hyperlink"/>
                <w:noProof/>
              </w:rPr>
              <w:t>Chapter 7. Business Strategy</w:t>
            </w:r>
            <w:r>
              <w:rPr>
                <w:noProof/>
                <w:webHidden/>
              </w:rPr>
              <w:tab/>
            </w:r>
            <w:r>
              <w:rPr>
                <w:noProof/>
                <w:webHidden/>
              </w:rPr>
              <w:fldChar w:fldCharType="begin"/>
            </w:r>
            <w:r>
              <w:rPr>
                <w:noProof/>
                <w:webHidden/>
              </w:rPr>
              <w:instrText xml:space="preserve"> PAGEREF _Toc241233917 \h </w:instrText>
            </w:r>
            <w:r>
              <w:rPr>
                <w:noProof/>
                <w:webHidden/>
              </w:rPr>
            </w:r>
            <w:r>
              <w:rPr>
                <w:noProof/>
                <w:webHidden/>
              </w:rPr>
              <w:fldChar w:fldCharType="separate"/>
            </w:r>
            <w:r>
              <w:rPr>
                <w:noProof/>
                <w:webHidden/>
              </w:rPr>
              <w:t>47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18" w:history="1">
            <w:r w:rsidRPr="00D655D9">
              <w:rPr>
                <w:rStyle w:val="Hyperlink"/>
                <w:noProof/>
              </w:rPr>
              <w:t>7.1 Strategic Introduction</w:t>
            </w:r>
            <w:r>
              <w:rPr>
                <w:noProof/>
                <w:webHidden/>
              </w:rPr>
              <w:tab/>
            </w:r>
            <w:r>
              <w:rPr>
                <w:noProof/>
                <w:webHidden/>
              </w:rPr>
              <w:fldChar w:fldCharType="begin"/>
            </w:r>
            <w:r>
              <w:rPr>
                <w:noProof/>
                <w:webHidden/>
              </w:rPr>
              <w:instrText xml:space="preserve"> PAGEREF _Toc241233918 \h </w:instrText>
            </w:r>
            <w:r>
              <w:rPr>
                <w:noProof/>
                <w:webHidden/>
              </w:rPr>
            </w:r>
            <w:r>
              <w:rPr>
                <w:noProof/>
                <w:webHidden/>
              </w:rPr>
              <w:fldChar w:fldCharType="separate"/>
            </w:r>
            <w:r>
              <w:rPr>
                <w:noProof/>
                <w:webHidden/>
              </w:rPr>
              <w:t>47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19" w:history="1">
            <w:r w:rsidRPr="00D655D9">
              <w:rPr>
                <w:rStyle w:val="Hyperlink"/>
                <w:noProof/>
              </w:rPr>
              <w:t>7.2 External Strategic Analysis</w:t>
            </w:r>
            <w:r>
              <w:rPr>
                <w:noProof/>
                <w:webHidden/>
              </w:rPr>
              <w:tab/>
            </w:r>
            <w:r>
              <w:rPr>
                <w:noProof/>
                <w:webHidden/>
              </w:rPr>
              <w:fldChar w:fldCharType="begin"/>
            </w:r>
            <w:r>
              <w:rPr>
                <w:noProof/>
                <w:webHidden/>
              </w:rPr>
              <w:instrText xml:space="preserve"> PAGEREF _Toc241233919 \h </w:instrText>
            </w:r>
            <w:r>
              <w:rPr>
                <w:noProof/>
                <w:webHidden/>
              </w:rPr>
            </w:r>
            <w:r>
              <w:rPr>
                <w:noProof/>
                <w:webHidden/>
              </w:rPr>
              <w:fldChar w:fldCharType="separate"/>
            </w:r>
            <w:r>
              <w:rPr>
                <w:noProof/>
                <w:webHidden/>
              </w:rPr>
              <w:t>47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20" w:history="1">
            <w:r w:rsidRPr="00D655D9">
              <w:rPr>
                <w:rStyle w:val="Hyperlink"/>
                <w:noProof/>
              </w:rPr>
              <w:t>7.3 Internal Analysis: VRIO</w:t>
            </w:r>
            <w:r>
              <w:rPr>
                <w:noProof/>
                <w:webHidden/>
              </w:rPr>
              <w:tab/>
            </w:r>
            <w:r>
              <w:rPr>
                <w:noProof/>
                <w:webHidden/>
              </w:rPr>
              <w:fldChar w:fldCharType="begin"/>
            </w:r>
            <w:r>
              <w:rPr>
                <w:noProof/>
                <w:webHidden/>
              </w:rPr>
              <w:instrText xml:space="preserve"> PAGEREF _Toc241233920 \h </w:instrText>
            </w:r>
            <w:r>
              <w:rPr>
                <w:noProof/>
                <w:webHidden/>
              </w:rPr>
            </w:r>
            <w:r>
              <w:rPr>
                <w:noProof/>
                <w:webHidden/>
              </w:rPr>
              <w:fldChar w:fldCharType="separate"/>
            </w:r>
            <w:r>
              <w:rPr>
                <w:noProof/>
                <w:webHidden/>
              </w:rPr>
              <w:t>49</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21" w:history="1">
            <w:r w:rsidRPr="00D655D9">
              <w:rPr>
                <w:rStyle w:val="Hyperlink"/>
                <w:noProof/>
              </w:rPr>
              <w:t>7.4 SWOT and Strategic Implications</w:t>
            </w:r>
            <w:r>
              <w:rPr>
                <w:noProof/>
                <w:webHidden/>
              </w:rPr>
              <w:tab/>
            </w:r>
            <w:r>
              <w:rPr>
                <w:noProof/>
                <w:webHidden/>
              </w:rPr>
              <w:fldChar w:fldCharType="begin"/>
            </w:r>
            <w:r>
              <w:rPr>
                <w:noProof/>
                <w:webHidden/>
              </w:rPr>
              <w:instrText xml:space="preserve"> PAGEREF _Toc241233921 \h </w:instrText>
            </w:r>
            <w:r>
              <w:rPr>
                <w:noProof/>
                <w:webHidden/>
              </w:rPr>
            </w:r>
            <w:r>
              <w:rPr>
                <w:noProof/>
                <w:webHidden/>
              </w:rPr>
              <w:fldChar w:fldCharType="separate"/>
            </w:r>
            <w:r>
              <w:rPr>
                <w:noProof/>
                <w:webHidden/>
              </w:rPr>
              <w:t>50</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22" w:history="1">
            <w:r w:rsidRPr="00D655D9">
              <w:rPr>
                <w:rStyle w:val="Hyperlink"/>
                <w:noProof/>
              </w:rPr>
              <w:t>7.5 Strategic Choice</w:t>
            </w:r>
            <w:r>
              <w:rPr>
                <w:noProof/>
                <w:webHidden/>
              </w:rPr>
              <w:tab/>
            </w:r>
            <w:r>
              <w:rPr>
                <w:noProof/>
                <w:webHidden/>
              </w:rPr>
              <w:fldChar w:fldCharType="begin"/>
            </w:r>
            <w:r>
              <w:rPr>
                <w:noProof/>
                <w:webHidden/>
              </w:rPr>
              <w:instrText xml:space="preserve"> PAGEREF _Toc241233922 \h </w:instrText>
            </w:r>
            <w:r>
              <w:rPr>
                <w:noProof/>
                <w:webHidden/>
              </w:rPr>
            </w:r>
            <w:r>
              <w:rPr>
                <w:noProof/>
                <w:webHidden/>
              </w:rPr>
              <w:fldChar w:fldCharType="separate"/>
            </w:r>
            <w:r>
              <w:rPr>
                <w:noProof/>
                <w:webHidden/>
              </w:rPr>
              <w:t>52</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23" w:history="1">
            <w:r w:rsidRPr="00D655D9">
              <w:rPr>
                <w:rStyle w:val="Hyperlink"/>
                <w:noProof/>
              </w:rPr>
              <w:t>7.6 USP and Value Proposition</w:t>
            </w:r>
            <w:r>
              <w:rPr>
                <w:noProof/>
                <w:webHidden/>
              </w:rPr>
              <w:tab/>
            </w:r>
            <w:r>
              <w:rPr>
                <w:noProof/>
                <w:webHidden/>
              </w:rPr>
              <w:fldChar w:fldCharType="begin"/>
            </w:r>
            <w:r>
              <w:rPr>
                <w:noProof/>
                <w:webHidden/>
              </w:rPr>
              <w:instrText xml:space="preserve"> PAGEREF _Toc241233923 \h </w:instrText>
            </w:r>
            <w:r>
              <w:rPr>
                <w:noProof/>
                <w:webHidden/>
              </w:rPr>
            </w:r>
            <w:r>
              <w:rPr>
                <w:noProof/>
                <w:webHidden/>
              </w:rPr>
              <w:fldChar w:fldCharType="separate"/>
            </w:r>
            <w:r>
              <w:rPr>
                <w:noProof/>
                <w:webHidden/>
              </w:rPr>
              <w:t>52</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24" w:history="1">
            <w:r w:rsidRPr="00D655D9">
              <w:rPr>
                <w:rStyle w:val="Hyperlink"/>
                <w:noProof/>
              </w:rPr>
              <w:t>7.7 Competitive Advantage</w:t>
            </w:r>
            <w:r>
              <w:rPr>
                <w:noProof/>
                <w:webHidden/>
              </w:rPr>
              <w:tab/>
            </w:r>
            <w:r>
              <w:rPr>
                <w:noProof/>
                <w:webHidden/>
              </w:rPr>
              <w:fldChar w:fldCharType="begin"/>
            </w:r>
            <w:r>
              <w:rPr>
                <w:noProof/>
                <w:webHidden/>
              </w:rPr>
              <w:instrText xml:space="preserve"> PAGEREF _Toc241233924 \h </w:instrText>
            </w:r>
            <w:r>
              <w:rPr>
                <w:noProof/>
                <w:webHidden/>
              </w:rPr>
            </w:r>
            <w:r>
              <w:rPr>
                <w:noProof/>
                <w:webHidden/>
              </w:rPr>
              <w:fldChar w:fldCharType="separate"/>
            </w:r>
            <w:r>
              <w:rPr>
                <w:noProof/>
                <w:webHidden/>
              </w:rPr>
              <w:t>53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25" w:history="1">
            <w:r w:rsidRPr="00D655D9">
              <w:rPr>
                <w:rStyle w:val="Hyperlink"/>
                <w:noProof/>
              </w:rPr>
              <w:t>7.8 Key Success Factors</w:t>
            </w:r>
            <w:r>
              <w:rPr>
                <w:noProof/>
                <w:webHidden/>
              </w:rPr>
              <w:tab/>
            </w:r>
            <w:r>
              <w:rPr>
                <w:noProof/>
                <w:webHidden/>
              </w:rPr>
              <w:fldChar w:fldCharType="begin"/>
            </w:r>
            <w:r>
              <w:rPr>
                <w:noProof/>
                <w:webHidden/>
              </w:rPr>
              <w:instrText xml:space="preserve"> PAGEREF _Toc241233925 \h </w:instrText>
            </w:r>
            <w:r>
              <w:rPr>
                <w:noProof/>
                <w:webHidden/>
              </w:rPr>
            </w:r>
            <w:r>
              <w:rPr>
                <w:noProof/>
                <w:webHidden/>
              </w:rPr>
              <w:fldChar w:fldCharType="separate"/>
            </w:r>
            <w:r>
              <w:rPr>
                <w:noProof/>
                <w:webHidden/>
              </w:rPr>
              <w:t>54</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926" w:history="1">
            <w:r w:rsidRPr="00D655D9">
              <w:rPr>
                <w:rStyle w:val="Hyperlink"/>
                <w:noProof/>
              </w:rPr>
              <w:t>Chapter 8. Business Model Canvas</w:t>
            </w:r>
            <w:r>
              <w:rPr>
                <w:noProof/>
                <w:webHidden/>
              </w:rPr>
              <w:tab/>
            </w:r>
            <w:r>
              <w:rPr>
                <w:noProof/>
                <w:webHidden/>
              </w:rPr>
              <w:fldChar w:fldCharType="begin"/>
            </w:r>
            <w:r>
              <w:rPr>
                <w:noProof/>
                <w:webHidden/>
              </w:rPr>
              <w:instrText xml:space="preserve"> PAGEREF _Toc241233926 \h </w:instrText>
            </w:r>
            <w:r>
              <w:rPr>
                <w:noProof/>
                <w:webHidden/>
              </w:rPr>
            </w:r>
            <w:r>
              <w:rPr>
                <w:noProof/>
                <w:webHidden/>
              </w:rPr>
              <w:fldChar w:fldCharType="separate"/>
            </w:r>
            <w:r>
              <w:rPr>
                <w:noProof/>
                <w:webHidden/>
              </w:rPr>
              <w:t>55</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27" w:history="1">
            <w:r w:rsidRPr="00D655D9">
              <w:rPr>
                <w:rStyle w:val="Hyperlink"/>
                <w:noProof/>
              </w:rPr>
              <w:t>8.1 BMC Introduction</w:t>
            </w:r>
            <w:r>
              <w:rPr>
                <w:noProof/>
                <w:webHidden/>
              </w:rPr>
              <w:tab/>
            </w:r>
            <w:r>
              <w:rPr>
                <w:noProof/>
                <w:webHidden/>
              </w:rPr>
              <w:fldChar w:fldCharType="begin"/>
            </w:r>
            <w:r>
              <w:rPr>
                <w:noProof/>
                <w:webHidden/>
              </w:rPr>
              <w:instrText xml:space="preserve"> PAGEREF _Toc241233927 \h </w:instrText>
            </w:r>
            <w:r>
              <w:rPr>
                <w:noProof/>
                <w:webHidden/>
              </w:rPr>
            </w:r>
            <w:r>
              <w:rPr>
                <w:noProof/>
                <w:webHidden/>
              </w:rPr>
              <w:fldChar w:fldCharType="separate"/>
            </w:r>
            <w:r>
              <w:rPr>
                <w:noProof/>
                <w:webHidden/>
              </w:rPr>
              <w:t>55</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28" w:history="1">
            <w:r w:rsidRPr="00D655D9">
              <w:rPr>
                <w:rStyle w:val="Hyperlink"/>
                <w:noProof/>
              </w:rPr>
              <w:t>8.2 Customer Segments</w:t>
            </w:r>
            <w:r>
              <w:rPr>
                <w:noProof/>
                <w:webHidden/>
              </w:rPr>
              <w:tab/>
            </w:r>
            <w:r>
              <w:rPr>
                <w:noProof/>
                <w:webHidden/>
              </w:rPr>
              <w:fldChar w:fldCharType="begin"/>
            </w:r>
            <w:r>
              <w:rPr>
                <w:noProof/>
                <w:webHidden/>
              </w:rPr>
              <w:instrText xml:space="preserve"> PAGEREF _Toc241233928 \h </w:instrText>
            </w:r>
            <w:r>
              <w:rPr>
                <w:noProof/>
                <w:webHidden/>
              </w:rPr>
            </w:r>
            <w:r>
              <w:rPr>
                <w:noProof/>
                <w:webHidden/>
              </w:rPr>
              <w:fldChar w:fldCharType="separate"/>
            </w:r>
            <w:r>
              <w:rPr>
                <w:noProof/>
                <w:webHidden/>
              </w:rPr>
              <w:t>55</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29" w:history="1">
            <w:r w:rsidRPr="00D655D9">
              <w:rPr>
                <w:rStyle w:val="Hyperlink"/>
                <w:noProof/>
              </w:rPr>
              <w:t>8.3 Value Proposition</w:t>
            </w:r>
            <w:r>
              <w:rPr>
                <w:noProof/>
                <w:webHidden/>
              </w:rPr>
              <w:tab/>
            </w:r>
            <w:r>
              <w:rPr>
                <w:noProof/>
                <w:webHidden/>
              </w:rPr>
              <w:fldChar w:fldCharType="begin"/>
            </w:r>
            <w:r>
              <w:rPr>
                <w:noProof/>
                <w:webHidden/>
              </w:rPr>
              <w:instrText xml:space="preserve"> PAGEREF _Toc241233929 \h </w:instrText>
            </w:r>
            <w:r>
              <w:rPr>
                <w:noProof/>
                <w:webHidden/>
              </w:rPr>
            </w:r>
            <w:r>
              <w:rPr>
                <w:noProof/>
                <w:webHidden/>
              </w:rPr>
              <w:fldChar w:fldCharType="separate"/>
            </w:r>
            <w:r>
              <w:rPr>
                <w:noProof/>
                <w:webHidden/>
              </w:rPr>
              <w:t>55</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30" w:history="1">
            <w:r w:rsidRPr="00D655D9">
              <w:rPr>
                <w:rStyle w:val="Hyperlink"/>
                <w:noProof/>
              </w:rPr>
              <w:t>8.4 Channels</w:t>
            </w:r>
            <w:r>
              <w:rPr>
                <w:noProof/>
                <w:webHidden/>
              </w:rPr>
              <w:tab/>
            </w:r>
            <w:r>
              <w:rPr>
                <w:noProof/>
                <w:webHidden/>
              </w:rPr>
              <w:fldChar w:fldCharType="begin"/>
            </w:r>
            <w:r>
              <w:rPr>
                <w:noProof/>
                <w:webHidden/>
              </w:rPr>
              <w:instrText xml:space="preserve"> PAGEREF _Toc241233930 \h </w:instrText>
            </w:r>
            <w:r>
              <w:rPr>
                <w:noProof/>
                <w:webHidden/>
              </w:rPr>
            </w:r>
            <w:r>
              <w:rPr>
                <w:noProof/>
                <w:webHidden/>
              </w:rPr>
              <w:fldChar w:fldCharType="separate"/>
            </w:r>
            <w:r>
              <w:rPr>
                <w:noProof/>
                <w:webHidden/>
              </w:rPr>
              <w:t>56</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31" w:history="1">
            <w:r w:rsidRPr="00D655D9">
              <w:rPr>
                <w:rStyle w:val="Hyperlink"/>
                <w:noProof/>
              </w:rPr>
              <w:t>8.5 Customer Relationships</w:t>
            </w:r>
            <w:r>
              <w:rPr>
                <w:noProof/>
                <w:webHidden/>
              </w:rPr>
              <w:tab/>
            </w:r>
            <w:r>
              <w:rPr>
                <w:noProof/>
                <w:webHidden/>
              </w:rPr>
              <w:fldChar w:fldCharType="begin"/>
            </w:r>
            <w:r>
              <w:rPr>
                <w:noProof/>
                <w:webHidden/>
              </w:rPr>
              <w:instrText xml:space="preserve"> PAGEREF _Toc241233931 \h </w:instrText>
            </w:r>
            <w:r>
              <w:rPr>
                <w:noProof/>
                <w:webHidden/>
              </w:rPr>
            </w:r>
            <w:r>
              <w:rPr>
                <w:noProof/>
                <w:webHidden/>
              </w:rPr>
              <w:fldChar w:fldCharType="separate"/>
            </w:r>
            <w:r>
              <w:rPr>
                <w:noProof/>
                <w:webHidden/>
              </w:rPr>
              <w:t>56</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32" w:history="1">
            <w:r w:rsidRPr="00D655D9">
              <w:rPr>
                <w:rStyle w:val="Hyperlink"/>
                <w:noProof/>
              </w:rPr>
              <w:t>8.6 Revenue Streams</w:t>
            </w:r>
            <w:r>
              <w:rPr>
                <w:noProof/>
                <w:webHidden/>
              </w:rPr>
              <w:tab/>
            </w:r>
            <w:r>
              <w:rPr>
                <w:noProof/>
                <w:webHidden/>
              </w:rPr>
              <w:fldChar w:fldCharType="begin"/>
            </w:r>
            <w:r>
              <w:rPr>
                <w:noProof/>
                <w:webHidden/>
              </w:rPr>
              <w:instrText xml:space="preserve"> PAGEREF _Toc241233932 \h </w:instrText>
            </w:r>
            <w:r>
              <w:rPr>
                <w:noProof/>
                <w:webHidden/>
              </w:rPr>
            </w:r>
            <w:r>
              <w:rPr>
                <w:noProof/>
                <w:webHidden/>
              </w:rPr>
              <w:fldChar w:fldCharType="separate"/>
            </w:r>
            <w:r>
              <w:rPr>
                <w:noProof/>
                <w:webHidden/>
              </w:rPr>
              <w:t>56</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33" w:history="1">
            <w:r w:rsidRPr="00D655D9">
              <w:rPr>
                <w:rStyle w:val="Hyperlink"/>
                <w:noProof/>
              </w:rPr>
              <w:t>8.7 Key Resources</w:t>
            </w:r>
            <w:r>
              <w:rPr>
                <w:noProof/>
                <w:webHidden/>
              </w:rPr>
              <w:tab/>
            </w:r>
            <w:r>
              <w:rPr>
                <w:noProof/>
                <w:webHidden/>
              </w:rPr>
              <w:fldChar w:fldCharType="begin"/>
            </w:r>
            <w:r>
              <w:rPr>
                <w:noProof/>
                <w:webHidden/>
              </w:rPr>
              <w:instrText xml:space="preserve"> PAGEREF _Toc241233933 \h </w:instrText>
            </w:r>
            <w:r>
              <w:rPr>
                <w:noProof/>
                <w:webHidden/>
              </w:rPr>
            </w:r>
            <w:r>
              <w:rPr>
                <w:noProof/>
                <w:webHidden/>
              </w:rPr>
              <w:fldChar w:fldCharType="separate"/>
            </w:r>
            <w:r>
              <w:rPr>
                <w:noProof/>
                <w:webHidden/>
              </w:rPr>
              <w:t>57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34" w:history="1">
            <w:r w:rsidRPr="00D655D9">
              <w:rPr>
                <w:rStyle w:val="Hyperlink"/>
                <w:noProof/>
              </w:rPr>
              <w:t>8.8 Key Activities</w:t>
            </w:r>
            <w:r>
              <w:rPr>
                <w:noProof/>
                <w:webHidden/>
              </w:rPr>
              <w:tab/>
            </w:r>
            <w:r>
              <w:rPr>
                <w:noProof/>
                <w:webHidden/>
              </w:rPr>
              <w:fldChar w:fldCharType="begin"/>
            </w:r>
            <w:r>
              <w:rPr>
                <w:noProof/>
                <w:webHidden/>
              </w:rPr>
              <w:instrText xml:space="preserve"> PAGEREF _Toc241233934 \h </w:instrText>
            </w:r>
            <w:r>
              <w:rPr>
                <w:noProof/>
                <w:webHidden/>
              </w:rPr>
            </w:r>
            <w:r>
              <w:rPr>
                <w:noProof/>
                <w:webHidden/>
              </w:rPr>
              <w:fldChar w:fldCharType="separate"/>
            </w:r>
            <w:r>
              <w:rPr>
                <w:noProof/>
                <w:webHidden/>
              </w:rPr>
              <w:t>57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35" w:history="1">
            <w:r w:rsidRPr="00D655D9">
              <w:rPr>
                <w:rStyle w:val="Hyperlink"/>
                <w:noProof/>
              </w:rPr>
              <w:t>8.9 Key Partnerships</w:t>
            </w:r>
            <w:r>
              <w:rPr>
                <w:noProof/>
                <w:webHidden/>
              </w:rPr>
              <w:tab/>
            </w:r>
            <w:r>
              <w:rPr>
                <w:noProof/>
                <w:webHidden/>
              </w:rPr>
              <w:fldChar w:fldCharType="begin"/>
            </w:r>
            <w:r>
              <w:rPr>
                <w:noProof/>
                <w:webHidden/>
              </w:rPr>
              <w:instrText xml:space="preserve"> PAGEREF _Toc241233935 \h </w:instrText>
            </w:r>
            <w:r>
              <w:rPr>
                <w:noProof/>
                <w:webHidden/>
              </w:rPr>
            </w:r>
            <w:r>
              <w:rPr>
                <w:noProof/>
                <w:webHidden/>
              </w:rPr>
              <w:fldChar w:fldCharType="separate"/>
            </w:r>
            <w:r>
              <w:rPr>
                <w:noProof/>
                <w:webHidden/>
              </w:rPr>
              <w:t>57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36" w:history="1">
            <w:r w:rsidRPr="00D655D9">
              <w:rPr>
                <w:rStyle w:val="Hyperlink"/>
                <w:noProof/>
              </w:rPr>
              <w:t>8.10 Cost Structure</w:t>
            </w:r>
            <w:r>
              <w:rPr>
                <w:noProof/>
                <w:webHidden/>
              </w:rPr>
              <w:tab/>
            </w:r>
            <w:r>
              <w:rPr>
                <w:noProof/>
                <w:webHidden/>
              </w:rPr>
              <w:fldChar w:fldCharType="begin"/>
            </w:r>
            <w:r>
              <w:rPr>
                <w:noProof/>
                <w:webHidden/>
              </w:rPr>
              <w:instrText xml:space="preserve"> PAGEREF _Toc241233936 \h </w:instrText>
            </w:r>
            <w:r>
              <w:rPr>
                <w:noProof/>
                <w:webHidden/>
              </w:rPr>
            </w:r>
            <w:r>
              <w:rPr>
                <w:noProof/>
                <w:webHidden/>
              </w:rPr>
              <w:fldChar w:fldCharType="separate"/>
            </w:r>
            <w:r>
              <w:rPr>
                <w:noProof/>
                <w:webHidden/>
              </w:rPr>
              <w:t>58</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937" w:history="1">
            <w:r w:rsidRPr="00D655D9">
              <w:rPr>
                <w:rStyle w:val="Hyperlink"/>
                <w:noProof/>
              </w:rPr>
              <w:t>Chapter 9. Financial, Marketing &amp; Human Capital Management Plan</w:t>
            </w:r>
            <w:r>
              <w:rPr>
                <w:noProof/>
                <w:webHidden/>
              </w:rPr>
              <w:tab/>
            </w:r>
            <w:r>
              <w:rPr>
                <w:noProof/>
                <w:webHidden/>
              </w:rPr>
              <w:fldChar w:fldCharType="begin"/>
            </w:r>
            <w:r>
              <w:rPr>
                <w:noProof/>
                <w:webHidden/>
              </w:rPr>
              <w:instrText xml:space="preserve"> PAGEREF _Toc241233937 \h </w:instrText>
            </w:r>
            <w:r>
              <w:rPr>
                <w:noProof/>
                <w:webHidden/>
              </w:rPr>
            </w:r>
            <w:r>
              <w:rPr>
                <w:noProof/>
                <w:webHidden/>
              </w:rPr>
              <w:fldChar w:fldCharType="separate"/>
            </w:r>
            <w:r>
              <w:rPr>
                <w:noProof/>
                <w:webHidden/>
              </w:rPr>
              <w:t>59</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38" w:history="1">
            <w:r w:rsidRPr="00D655D9">
              <w:rPr>
                <w:rStyle w:val="Hyperlink"/>
                <w:noProof/>
              </w:rPr>
              <w:t>9.1 Financial Plan</w:t>
            </w:r>
            <w:r>
              <w:rPr>
                <w:noProof/>
                <w:webHidden/>
              </w:rPr>
              <w:tab/>
            </w:r>
            <w:r>
              <w:rPr>
                <w:noProof/>
                <w:webHidden/>
              </w:rPr>
              <w:fldChar w:fldCharType="begin"/>
            </w:r>
            <w:r>
              <w:rPr>
                <w:noProof/>
                <w:webHidden/>
              </w:rPr>
              <w:instrText xml:space="preserve"> PAGEREF _Toc241233938 \h </w:instrText>
            </w:r>
            <w:r>
              <w:rPr>
                <w:noProof/>
                <w:webHidden/>
              </w:rPr>
            </w:r>
            <w:r>
              <w:rPr>
                <w:noProof/>
                <w:webHidden/>
              </w:rPr>
              <w:fldChar w:fldCharType="separate"/>
            </w:r>
            <w:r>
              <w:rPr>
                <w:noProof/>
                <w:webHidden/>
              </w:rPr>
              <w:t>59</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39" w:history="1">
            <w:r w:rsidRPr="00D655D9">
              <w:rPr>
                <w:rStyle w:val="Hyperlink"/>
                <w:noProof/>
              </w:rPr>
              <w:t>9.1.1 Financial Strategy</w:t>
            </w:r>
            <w:r>
              <w:rPr>
                <w:noProof/>
                <w:webHidden/>
              </w:rPr>
              <w:tab/>
            </w:r>
            <w:r>
              <w:rPr>
                <w:noProof/>
                <w:webHidden/>
              </w:rPr>
              <w:fldChar w:fldCharType="begin"/>
            </w:r>
            <w:r>
              <w:rPr>
                <w:noProof/>
                <w:webHidden/>
              </w:rPr>
              <w:instrText xml:space="preserve"> PAGEREF _Toc241233939 \h </w:instrText>
            </w:r>
            <w:r>
              <w:rPr>
                <w:noProof/>
                <w:webHidden/>
              </w:rPr>
            </w:r>
            <w:r>
              <w:rPr>
                <w:noProof/>
                <w:webHidden/>
              </w:rPr>
              <w:fldChar w:fldCharType="separate"/>
            </w:r>
            <w:r>
              <w:rPr>
                <w:noProof/>
                <w:webHidden/>
              </w:rPr>
              <w:t>59</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40" w:history="1">
            <w:r w:rsidRPr="00D655D9">
              <w:rPr>
                <w:rStyle w:val="Hyperlink"/>
                <w:noProof/>
              </w:rPr>
              <w:t>9.1.2 Start-Up Costs</w:t>
            </w:r>
            <w:r>
              <w:rPr>
                <w:noProof/>
                <w:webHidden/>
              </w:rPr>
              <w:tab/>
            </w:r>
            <w:r>
              <w:rPr>
                <w:noProof/>
                <w:webHidden/>
              </w:rPr>
              <w:fldChar w:fldCharType="begin"/>
            </w:r>
            <w:r>
              <w:rPr>
                <w:noProof/>
                <w:webHidden/>
              </w:rPr>
              <w:instrText xml:space="preserve"> PAGEREF _Toc241233940 \h </w:instrText>
            </w:r>
            <w:r>
              <w:rPr>
                <w:noProof/>
                <w:webHidden/>
              </w:rPr>
            </w:r>
            <w:r>
              <w:rPr>
                <w:noProof/>
                <w:webHidden/>
              </w:rPr>
              <w:fldChar w:fldCharType="separate"/>
            </w:r>
            <w:r>
              <w:rPr>
                <w:noProof/>
                <w:webHidden/>
              </w:rPr>
              <w:t>59</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41" w:history="1">
            <w:r w:rsidRPr="00D655D9">
              <w:rPr>
                <w:rStyle w:val="Hyperlink"/>
                <w:noProof/>
              </w:rPr>
              <w:t>9.1.3 Revenue Model</w:t>
            </w:r>
            <w:r>
              <w:rPr>
                <w:noProof/>
                <w:webHidden/>
              </w:rPr>
              <w:tab/>
            </w:r>
            <w:r>
              <w:rPr>
                <w:noProof/>
                <w:webHidden/>
              </w:rPr>
              <w:fldChar w:fldCharType="begin"/>
            </w:r>
            <w:r>
              <w:rPr>
                <w:noProof/>
                <w:webHidden/>
              </w:rPr>
              <w:instrText xml:space="preserve"> PAGEREF _Toc241233941 \h </w:instrText>
            </w:r>
            <w:r>
              <w:rPr>
                <w:noProof/>
                <w:webHidden/>
              </w:rPr>
            </w:r>
            <w:r>
              <w:rPr>
                <w:noProof/>
                <w:webHidden/>
              </w:rPr>
              <w:fldChar w:fldCharType="separate"/>
            </w:r>
            <w:r>
              <w:rPr>
                <w:noProof/>
                <w:webHidden/>
              </w:rPr>
              <w:t>60</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42" w:history="1">
            <w:r w:rsidRPr="00D655D9">
              <w:rPr>
                <w:rStyle w:val="Hyperlink"/>
                <w:noProof/>
              </w:rPr>
              <w:t>9.1.4 Pricing Strategy</w:t>
            </w:r>
            <w:r>
              <w:rPr>
                <w:noProof/>
                <w:webHidden/>
              </w:rPr>
              <w:tab/>
            </w:r>
            <w:r>
              <w:rPr>
                <w:noProof/>
                <w:webHidden/>
              </w:rPr>
              <w:fldChar w:fldCharType="begin"/>
            </w:r>
            <w:r>
              <w:rPr>
                <w:noProof/>
                <w:webHidden/>
              </w:rPr>
              <w:instrText xml:space="preserve"> PAGEREF _Toc241233942 \h </w:instrText>
            </w:r>
            <w:r>
              <w:rPr>
                <w:noProof/>
                <w:webHidden/>
              </w:rPr>
            </w:r>
            <w:r>
              <w:rPr>
                <w:noProof/>
                <w:webHidden/>
              </w:rPr>
              <w:fldChar w:fldCharType="separate"/>
            </w:r>
            <w:r>
              <w:rPr>
                <w:noProof/>
                <w:webHidden/>
              </w:rPr>
              <w:t>61</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43" w:history="1">
            <w:r w:rsidRPr="00D655D9">
              <w:rPr>
                <w:rStyle w:val="Hyperlink"/>
                <w:noProof/>
              </w:rPr>
              <w:t>9.1.5 Three-to-Five-Year Financial Forecast</w:t>
            </w:r>
            <w:r>
              <w:rPr>
                <w:noProof/>
                <w:webHidden/>
              </w:rPr>
              <w:tab/>
            </w:r>
            <w:r>
              <w:rPr>
                <w:noProof/>
                <w:webHidden/>
              </w:rPr>
              <w:fldChar w:fldCharType="begin"/>
            </w:r>
            <w:r>
              <w:rPr>
                <w:noProof/>
                <w:webHidden/>
              </w:rPr>
              <w:instrText xml:space="preserve"> PAGEREF _Toc241233943 \h </w:instrText>
            </w:r>
            <w:r>
              <w:rPr>
                <w:noProof/>
                <w:webHidden/>
              </w:rPr>
            </w:r>
            <w:r>
              <w:rPr>
                <w:noProof/>
                <w:webHidden/>
              </w:rPr>
              <w:fldChar w:fldCharType="separate"/>
            </w:r>
            <w:r>
              <w:rPr>
                <w:noProof/>
                <w:webHidden/>
              </w:rPr>
              <w:t>61</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44" w:history="1">
            <w:r w:rsidRPr="00D655D9">
              <w:rPr>
                <w:rStyle w:val="Hyperlink"/>
                <w:noProof/>
              </w:rPr>
              <w:t>9.1.6 Break-Even Analysis</w:t>
            </w:r>
            <w:r>
              <w:rPr>
                <w:noProof/>
                <w:webHidden/>
              </w:rPr>
              <w:tab/>
            </w:r>
            <w:r>
              <w:rPr>
                <w:noProof/>
                <w:webHidden/>
              </w:rPr>
              <w:fldChar w:fldCharType="begin"/>
            </w:r>
            <w:r>
              <w:rPr>
                <w:noProof/>
                <w:webHidden/>
              </w:rPr>
              <w:instrText xml:space="preserve"> PAGEREF _Toc241233944 \h </w:instrText>
            </w:r>
            <w:r>
              <w:rPr>
                <w:noProof/>
                <w:webHidden/>
              </w:rPr>
            </w:r>
            <w:r>
              <w:rPr>
                <w:noProof/>
                <w:webHidden/>
              </w:rPr>
              <w:fldChar w:fldCharType="separate"/>
            </w:r>
            <w:r>
              <w:rPr>
                <w:noProof/>
                <w:webHidden/>
              </w:rPr>
              <w:t>63</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45" w:history="1">
            <w:r w:rsidRPr="00D655D9">
              <w:rPr>
                <w:rStyle w:val="Hyperlink"/>
                <w:noProof/>
              </w:rPr>
              <w:t>9.1.7 Sensitivity Analysis</w:t>
            </w:r>
            <w:r>
              <w:rPr>
                <w:noProof/>
                <w:webHidden/>
              </w:rPr>
              <w:tab/>
            </w:r>
            <w:r>
              <w:rPr>
                <w:noProof/>
                <w:webHidden/>
              </w:rPr>
              <w:fldChar w:fldCharType="begin"/>
            </w:r>
            <w:r>
              <w:rPr>
                <w:noProof/>
                <w:webHidden/>
              </w:rPr>
              <w:instrText xml:space="preserve"> PAGEREF _Toc241233945 \h </w:instrText>
            </w:r>
            <w:r>
              <w:rPr>
                <w:noProof/>
                <w:webHidden/>
              </w:rPr>
            </w:r>
            <w:r>
              <w:rPr>
                <w:noProof/>
                <w:webHidden/>
              </w:rPr>
              <w:fldChar w:fldCharType="separate"/>
            </w:r>
            <w:r>
              <w:rPr>
                <w:noProof/>
                <w:webHidden/>
              </w:rPr>
              <w:t>63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46" w:history="1">
            <w:r w:rsidRPr="00D655D9">
              <w:rPr>
                <w:rStyle w:val="Hyperlink"/>
                <w:noProof/>
              </w:rPr>
              <w:t>9.2 Marketing Plan</w:t>
            </w:r>
            <w:r>
              <w:rPr>
                <w:noProof/>
                <w:webHidden/>
              </w:rPr>
              <w:tab/>
            </w:r>
            <w:r>
              <w:rPr>
                <w:noProof/>
                <w:webHidden/>
              </w:rPr>
              <w:fldChar w:fldCharType="begin"/>
            </w:r>
            <w:r>
              <w:rPr>
                <w:noProof/>
                <w:webHidden/>
              </w:rPr>
              <w:instrText xml:space="preserve"> PAGEREF _Toc241233946 \h </w:instrText>
            </w:r>
            <w:r>
              <w:rPr>
                <w:noProof/>
                <w:webHidden/>
              </w:rPr>
            </w:r>
            <w:r>
              <w:rPr>
                <w:noProof/>
                <w:webHidden/>
              </w:rPr>
              <w:fldChar w:fldCharType="separate"/>
            </w:r>
            <w:r>
              <w:rPr>
                <w:noProof/>
                <w:webHidden/>
              </w:rPr>
              <w:t>64</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47" w:history="1">
            <w:r w:rsidRPr="00D655D9">
              <w:rPr>
                <w:rStyle w:val="Hyperlink"/>
                <w:noProof/>
              </w:rPr>
              <w:t>9.2.1 SMART Marketing Objectives</w:t>
            </w:r>
            <w:r>
              <w:rPr>
                <w:noProof/>
                <w:webHidden/>
              </w:rPr>
              <w:tab/>
            </w:r>
            <w:r>
              <w:rPr>
                <w:noProof/>
                <w:webHidden/>
              </w:rPr>
              <w:fldChar w:fldCharType="begin"/>
            </w:r>
            <w:r>
              <w:rPr>
                <w:noProof/>
                <w:webHidden/>
              </w:rPr>
              <w:instrText xml:space="preserve"> PAGEREF _Toc241233947 \h </w:instrText>
            </w:r>
            <w:r>
              <w:rPr>
                <w:noProof/>
                <w:webHidden/>
              </w:rPr>
            </w:r>
            <w:r>
              <w:rPr>
                <w:noProof/>
                <w:webHidden/>
              </w:rPr>
              <w:fldChar w:fldCharType="separate"/>
            </w:r>
            <w:r>
              <w:rPr>
                <w:noProof/>
                <w:webHidden/>
              </w:rPr>
              <w:t>64</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48" w:history="1">
            <w:r w:rsidRPr="00D655D9">
              <w:rPr>
                <w:rStyle w:val="Hyperlink"/>
                <w:noProof/>
              </w:rPr>
              <w:t>9.2.2 Segmentation, Targeting and Positioning</w:t>
            </w:r>
            <w:r>
              <w:rPr>
                <w:noProof/>
                <w:webHidden/>
              </w:rPr>
              <w:tab/>
            </w:r>
            <w:r>
              <w:rPr>
                <w:noProof/>
                <w:webHidden/>
              </w:rPr>
              <w:fldChar w:fldCharType="begin"/>
            </w:r>
            <w:r>
              <w:rPr>
                <w:noProof/>
                <w:webHidden/>
              </w:rPr>
              <w:instrText xml:space="preserve"> PAGEREF _Toc241233948 \h </w:instrText>
            </w:r>
            <w:r>
              <w:rPr>
                <w:noProof/>
                <w:webHidden/>
              </w:rPr>
            </w:r>
            <w:r>
              <w:rPr>
                <w:noProof/>
                <w:webHidden/>
              </w:rPr>
              <w:fldChar w:fldCharType="separate"/>
            </w:r>
            <w:r>
              <w:rPr>
                <w:noProof/>
                <w:webHidden/>
              </w:rPr>
              <w:t>64</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49" w:history="1">
            <w:r w:rsidRPr="00D655D9">
              <w:rPr>
                <w:rStyle w:val="Hyperlink"/>
                <w:noProof/>
              </w:rPr>
              <w:t>9.2.3 Marketing Mix</w:t>
            </w:r>
            <w:r>
              <w:rPr>
                <w:noProof/>
                <w:webHidden/>
              </w:rPr>
              <w:tab/>
            </w:r>
            <w:r>
              <w:rPr>
                <w:noProof/>
                <w:webHidden/>
              </w:rPr>
              <w:fldChar w:fldCharType="begin"/>
            </w:r>
            <w:r>
              <w:rPr>
                <w:noProof/>
                <w:webHidden/>
              </w:rPr>
              <w:instrText xml:space="preserve"> PAGEREF _Toc241233949 \h </w:instrText>
            </w:r>
            <w:r>
              <w:rPr>
                <w:noProof/>
                <w:webHidden/>
              </w:rPr>
            </w:r>
            <w:r>
              <w:rPr>
                <w:noProof/>
                <w:webHidden/>
              </w:rPr>
              <w:fldChar w:fldCharType="separate"/>
            </w:r>
            <w:r>
              <w:rPr>
                <w:noProof/>
                <w:webHidden/>
              </w:rPr>
              <w:t>67</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50" w:history="1">
            <w:r w:rsidRPr="00D655D9">
              <w:rPr>
                <w:rStyle w:val="Hyperlink"/>
                <w:noProof/>
              </w:rPr>
              <w:t>9.2.4 Customer Acquisition Funnel</w:t>
            </w:r>
            <w:r>
              <w:rPr>
                <w:noProof/>
                <w:webHidden/>
              </w:rPr>
              <w:tab/>
            </w:r>
            <w:r>
              <w:rPr>
                <w:noProof/>
                <w:webHidden/>
              </w:rPr>
              <w:fldChar w:fldCharType="begin"/>
            </w:r>
            <w:r>
              <w:rPr>
                <w:noProof/>
                <w:webHidden/>
              </w:rPr>
              <w:instrText xml:space="preserve"> PAGEREF _Toc241233950 \h </w:instrText>
            </w:r>
            <w:r>
              <w:rPr>
                <w:noProof/>
                <w:webHidden/>
              </w:rPr>
            </w:r>
            <w:r>
              <w:rPr>
                <w:noProof/>
                <w:webHidden/>
              </w:rPr>
              <w:fldChar w:fldCharType="separate"/>
            </w:r>
            <w:r>
              <w:rPr>
                <w:noProof/>
                <w:webHidden/>
              </w:rPr>
              <w:t>68</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51" w:history="1">
            <w:r w:rsidRPr="00D655D9">
              <w:rPr>
                <w:rStyle w:val="Hyperlink"/>
                <w:noProof/>
              </w:rPr>
              <w:t>9.2.5 Marketing Budget and KPIs</w:t>
            </w:r>
            <w:r>
              <w:rPr>
                <w:noProof/>
                <w:webHidden/>
              </w:rPr>
              <w:tab/>
            </w:r>
            <w:r>
              <w:rPr>
                <w:noProof/>
                <w:webHidden/>
              </w:rPr>
              <w:fldChar w:fldCharType="begin"/>
            </w:r>
            <w:r>
              <w:rPr>
                <w:noProof/>
                <w:webHidden/>
              </w:rPr>
              <w:instrText xml:space="preserve"> PAGEREF _Toc241233951 \h </w:instrText>
            </w:r>
            <w:r>
              <w:rPr>
                <w:noProof/>
                <w:webHidden/>
              </w:rPr>
            </w:r>
            <w:r>
              <w:rPr>
                <w:noProof/>
                <w:webHidden/>
              </w:rPr>
              <w:fldChar w:fldCharType="separate"/>
            </w:r>
            <w:r>
              <w:rPr>
                <w:noProof/>
                <w:webHidden/>
              </w:rPr>
              <w:t>69</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52" w:history="1">
            <w:r w:rsidRPr="00D655D9">
              <w:rPr>
                <w:rStyle w:val="Hyperlink"/>
                <w:noProof/>
              </w:rPr>
              <w:t>9.3 Human Capital Management Plan</w:t>
            </w:r>
            <w:r>
              <w:rPr>
                <w:noProof/>
                <w:webHidden/>
              </w:rPr>
              <w:tab/>
            </w:r>
            <w:r>
              <w:rPr>
                <w:noProof/>
                <w:webHidden/>
              </w:rPr>
              <w:fldChar w:fldCharType="begin"/>
            </w:r>
            <w:r>
              <w:rPr>
                <w:noProof/>
                <w:webHidden/>
              </w:rPr>
              <w:instrText xml:space="preserve"> PAGEREF _Toc241233952 \h </w:instrText>
            </w:r>
            <w:r>
              <w:rPr>
                <w:noProof/>
                <w:webHidden/>
              </w:rPr>
            </w:r>
            <w:r>
              <w:rPr>
                <w:noProof/>
                <w:webHidden/>
              </w:rPr>
              <w:fldChar w:fldCharType="separate"/>
            </w:r>
            <w:r>
              <w:rPr>
                <w:noProof/>
                <w:webHidden/>
              </w:rPr>
              <w:t>70</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53" w:history="1">
            <w:r w:rsidRPr="00D655D9">
              <w:rPr>
                <w:rStyle w:val="Hyperlink"/>
                <w:noProof/>
              </w:rPr>
              <w:t>9.3.1 Organisational Structure</w:t>
            </w:r>
            <w:r>
              <w:rPr>
                <w:noProof/>
                <w:webHidden/>
              </w:rPr>
              <w:tab/>
            </w:r>
            <w:r>
              <w:rPr>
                <w:noProof/>
                <w:webHidden/>
              </w:rPr>
              <w:fldChar w:fldCharType="begin"/>
            </w:r>
            <w:r>
              <w:rPr>
                <w:noProof/>
                <w:webHidden/>
              </w:rPr>
              <w:instrText xml:space="preserve"> PAGEREF _Toc241233953 \h </w:instrText>
            </w:r>
            <w:r>
              <w:rPr>
                <w:noProof/>
                <w:webHidden/>
              </w:rPr>
            </w:r>
            <w:r>
              <w:rPr>
                <w:noProof/>
                <w:webHidden/>
              </w:rPr>
              <w:fldChar w:fldCharType="separate"/>
            </w:r>
            <w:r>
              <w:rPr>
                <w:noProof/>
                <w:webHidden/>
              </w:rPr>
              <w:t>70</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54" w:history="1">
            <w:r w:rsidRPr="00D655D9">
              <w:rPr>
                <w:rStyle w:val="Hyperlink"/>
                <w:noProof/>
              </w:rPr>
              <w:t>9.3.2 Staffing Requirements</w:t>
            </w:r>
            <w:r>
              <w:rPr>
                <w:noProof/>
                <w:webHidden/>
              </w:rPr>
              <w:tab/>
            </w:r>
            <w:r>
              <w:rPr>
                <w:noProof/>
                <w:webHidden/>
              </w:rPr>
              <w:fldChar w:fldCharType="begin"/>
            </w:r>
            <w:r>
              <w:rPr>
                <w:noProof/>
                <w:webHidden/>
              </w:rPr>
              <w:instrText xml:space="preserve"> PAGEREF _Toc241233954 \h </w:instrText>
            </w:r>
            <w:r>
              <w:rPr>
                <w:noProof/>
                <w:webHidden/>
              </w:rPr>
            </w:r>
            <w:r>
              <w:rPr>
                <w:noProof/>
                <w:webHidden/>
              </w:rPr>
              <w:fldChar w:fldCharType="separate"/>
            </w:r>
            <w:r>
              <w:rPr>
                <w:noProof/>
                <w:webHidden/>
              </w:rPr>
              <w:t>70</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55" w:history="1">
            <w:r w:rsidRPr="00D655D9">
              <w:rPr>
                <w:rStyle w:val="Hyperlink"/>
                <w:noProof/>
              </w:rPr>
              <w:t>9.3.3 Recruitment and Selection</w:t>
            </w:r>
            <w:r>
              <w:rPr>
                <w:noProof/>
                <w:webHidden/>
              </w:rPr>
              <w:tab/>
            </w:r>
            <w:r>
              <w:rPr>
                <w:noProof/>
                <w:webHidden/>
              </w:rPr>
              <w:fldChar w:fldCharType="begin"/>
            </w:r>
            <w:r>
              <w:rPr>
                <w:noProof/>
                <w:webHidden/>
              </w:rPr>
              <w:instrText xml:space="preserve"> PAGEREF _Toc241233955 \h </w:instrText>
            </w:r>
            <w:r>
              <w:rPr>
                <w:noProof/>
                <w:webHidden/>
              </w:rPr>
            </w:r>
            <w:r>
              <w:rPr>
                <w:noProof/>
                <w:webHidden/>
              </w:rPr>
              <w:fldChar w:fldCharType="separate"/>
            </w:r>
            <w:r>
              <w:rPr>
                <w:noProof/>
                <w:webHidden/>
              </w:rPr>
              <w:t>70</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56" w:history="1">
            <w:r w:rsidRPr="00D655D9">
              <w:rPr>
                <w:rStyle w:val="Hyperlink"/>
                <w:noProof/>
              </w:rPr>
              <w:t>9.3.4 Training and Development</w:t>
            </w:r>
            <w:r>
              <w:rPr>
                <w:noProof/>
                <w:webHidden/>
              </w:rPr>
              <w:tab/>
            </w:r>
            <w:r>
              <w:rPr>
                <w:noProof/>
                <w:webHidden/>
              </w:rPr>
              <w:fldChar w:fldCharType="begin"/>
            </w:r>
            <w:r>
              <w:rPr>
                <w:noProof/>
                <w:webHidden/>
              </w:rPr>
              <w:instrText xml:space="preserve"> PAGEREF _Toc241233956 \h </w:instrText>
            </w:r>
            <w:r>
              <w:rPr>
                <w:noProof/>
                <w:webHidden/>
              </w:rPr>
            </w:r>
            <w:r>
              <w:rPr>
                <w:noProof/>
                <w:webHidden/>
              </w:rPr>
              <w:fldChar w:fldCharType="separate"/>
            </w:r>
            <w:r>
              <w:rPr>
                <w:noProof/>
                <w:webHidden/>
              </w:rPr>
              <w:t>70</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57" w:history="1">
            <w:r w:rsidRPr="00D655D9">
              <w:rPr>
                <w:rStyle w:val="Hyperlink"/>
                <w:noProof/>
              </w:rPr>
              <w:t>9.3.5 Compensation and Labour Costs</w:t>
            </w:r>
            <w:r>
              <w:rPr>
                <w:noProof/>
                <w:webHidden/>
              </w:rPr>
              <w:tab/>
            </w:r>
            <w:r>
              <w:rPr>
                <w:noProof/>
                <w:webHidden/>
              </w:rPr>
              <w:fldChar w:fldCharType="begin"/>
            </w:r>
            <w:r>
              <w:rPr>
                <w:noProof/>
                <w:webHidden/>
              </w:rPr>
              <w:instrText xml:space="preserve"> PAGEREF _Toc241233957 \h </w:instrText>
            </w:r>
            <w:r>
              <w:rPr>
                <w:noProof/>
                <w:webHidden/>
              </w:rPr>
            </w:r>
            <w:r>
              <w:rPr>
                <w:noProof/>
                <w:webHidden/>
              </w:rPr>
              <w:fldChar w:fldCharType="separate"/>
            </w:r>
            <w:r>
              <w:rPr>
                <w:noProof/>
                <w:webHidden/>
              </w:rPr>
              <w:t>71</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58" w:history="1">
            <w:r w:rsidRPr="00D655D9">
              <w:rPr>
                <w:rStyle w:val="Hyperlink"/>
                <w:noProof/>
              </w:rPr>
              <w:t>9.3.6 HR Policies and Compliance</w:t>
            </w:r>
            <w:r>
              <w:rPr>
                <w:noProof/>
                <w:webHidden/>
              </w:rPr>
              <w:tab/>
            </w:r>
            <w:r>
              <w:rPr>
                <w:noProof/>
                <w:webHidden/>
              </w:rPr>
              <w:fldChar w:fldCharType="begin"/>
            </w:r>
            <w:r>
              <w:rPr>
                <w:noProof/>
                <w:webHidden/>
              </w:rPr>
              <w:instrText xml:space="preserve"> PAGEREF _Toc241233958 \h </w:instrText>
            </w:r>
            <w:r>
              <w:rPr>
                <w:noProof/>
                <w:webHidden/>
              </w:rPr>
            </w:r>
            <w:r>
              <w:rPr>
                <w:noProof/>
                <w:webHidden/>
              </w:rPr>
              <w:fldChar w:fldCharType="separate"/>
            </w:r>
            <w:r>
              <w:rPr>
                <w:noProof/>
                <w:webHidden/>
              </w:rPr>
              <w:t>71</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959" w:history="1">
            <w:r w:rsidRPr="00D655D9">
              <w:rPr>
                <w:rStyle w:val="Hyperlink"/>
                <w:noProof/>
              </w:rPr>
              <w:t>Chapter 10. Operations Plan</w:t>
            </w:r>
            <w:r>
              <w:rPr>
                <w:noProof/>
                <w:webHidden/>
              </w:rPr>
              <w:tab/>
            </w:r>
            <w:r>
              <w:rPr>
                <w:noProof/>
                <w:webHidden/>
              </w:rPr>
              <w:fldChar w:fldCharType="begin"/>
            </w:r>
            <w:r>
              <w:rPr>
                <w:noProof/>
                <w:webHidden/>
              </w:rPr>
              <w:instrText xml:space="preserve"> PAGEREF _Toc241233959 \h </w:instrText>
            </w:r>
            <w:r>
              <w:rPr>
                <w:noProof/>
                <w:webHidden/>
              </w:rPr>
            </w:r>
            <w:r>
              <w:rPr>
                <w:noProof/>
                <w:webHidden/>
              </w:rPr>
              <w:fldChar w:fldCharType="separate"/>
            </w:r>
            <w:r>
              <w:rPr>
                <w:noProof/>
                <w:webHidden/>
              </w:rPr>
              <w:t>72</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60" w:history="1">
            <w:r w:rsidRPr="00D655D9">
              <w:rPr>
                <w:rStyle w:val="Hyperlink"/>
                <w:noProof/>
              </w:rPr>
              <w:t>10.1 Operations Strategy</w:t>
            </w:r>
            <w:r>
              <w:rPr>
                <w:noProof/>
                <w:webHidden/>
              </w:rPr>
              <w:tab/>
            </w:r>
            <w:r>
              <w:rPr>
                <w:noProof/>
                <w:webHidden/>
              </w:rPr>
              <w:fldChar w:fldCharType="begin"/>
            </w:r>
            <w:r>
              <w:rPr>
                <w:noProof/>
                <w:webHidden/>
              </w:rPr>
              <w:instrText xml:space="preserve"> PAGEREF _Toc241233960 \h </w:instrText>
            </w:r>
            <w:r>
              <w:rPr>
                <w:noProof/>
                <w:webHidden/>
              </w:rPr>
            </w:r>
            <w:r>
              <w:rPr>
                <w:noProof/>
                <w:webHidden/>
              </w:rPr>
              <w:fldChar w:fldCharType="separate"/>
            </w:r>
            <w:r>
              <w:rPr>
                <w:noProof/>
                <w:webHidden/>
              </w:rPr>
              <w:t>72</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61" w:history="1">
            <w:r w:rsidRPr="00D655D9">
              <w:rPr>
                <w:rStyle w:val="Hyperlink"/>
                <w:noProof/>
              </w:rPr>
              <w:t>10.2 End-to-End Operational Workflow</w:t>
            </w:r>
            <w:r>
              <w:rPr>
                <w:noProof/>
                <w:webHidden/>
              </w:rPr>
              <w:tab/>
            </w:r>
            <w:r>
              <w:rPr>
                <w:noProof/>
                <w:webHidden/>
              </w:rPr>
              <w:fldChar w:fldCharType="begin"/>
            </w:r>
            <w:r>
              <w:rPr>
                <w:noProof/>
                <w:webHidden/>
              </w:rPr>
              <w:instrText xml:space="preserve"> PAGEREF _Toc241233961 \h </w:instrText>
            </w:r>
            <w:r>
              <w:rPr>
                <w:noProof/>
                <w:webHidden/>
              </w:rPr>
            </w:r>
            <w:r>
              <w:rPr>
                <w:noProof/>
                <w:webHidden/>
              </w:rPr>
              <w:fldChar w:fldCharType="separate"/>
            </w:r>
            <w:r>
              <w:rPr>
                <w:noProof/>
                <w:webHidden/>
              </w:rPr>
              <w:t>72</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62" w:history="1">
            <w:r w:rsidRPr="00D655D9">
              <w:rPr>
                <w:rStyle w:val="Hyperlink"/>
                <w:noProof/>
              </w:rPr>
              <w:t>10.3 Location Strategy</w:t>
            </w:r>
            <w:r>
              <w:rPr>
                <w:noProof/>
                <w:webHidden/>
              </w:rPr>
              <w:tab/>
            </w:r>
            <w:r>
              <w:rPr>
                <w:noProof/>
                <w:webHidden/>
              </w:rPr>
              <w:fldChar w:fldCharType="begin"/>
            </w:r>
            <w:r>
              <w:rPr>
                <w:noProof/>
                <w:webHidden/>
              </w:rPr>
              <w:instrText xml:space="preserve"> PAGEREF _Toc241233962 \h </w:instrText>
            </w:r>
            <w:r>
              <w:rPr>
                <w:noProof/>
                <w:webHidden/>
              </w:rPr>
            </w:r>
            <w:r>
              <w:rPr>
                <w:noProof/>
                <w:webHidden/>
              </w:rPr>
              <w:fldChar w:fldCharType="separate"/>
            </w:r>
            <w:r>
              <w:rPr>
                <w:noProof/>
                <w:webHidden/>
              </w:rPr>
              <w:t>73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63" w:history="1">
            <w:r w:rsidRPr="00D655D9">
              <w:rPr>
                <w:rStyle w:val="Hyperlink"/>
                <w:noProof/>
              </w:rPr>
              <w:t>10.4 Supply Chain and Procurement</w:t>
            </w:r>
            <w:r>
              <w:rPr>
                <w:noProof/>
                <w:webHidden/>
              </w:rPr>
              <w:tab/>
            </w:r>
            <w:r>
              <w:rPr>
                <w:noProof/>
                <w:webHidden/>
              </w:rPr>
              <w:fldChar w:fldCharType="begin"/>
            </w:r>
            <w:r>
              <w:rPr>
                <w:noProof/>
                <w:webHidden/>
              </w:rPr>
              <w:instrText xml:space="preserve"> PAGEREF _Toc241233963 \h </w:instrText>
            </w:r>
            <w:r>
              <w:rPr>
                <w:noProof/>
                <w:webHidden/>
              </w:rPr>
            </w:r>
            <w:r>
              <w:rPr>
                <w:noProof/>
                <w:webHidden/>
              </w:rPr>
              <w:fldChar w:fldCharType="separate"/>
            </w:r>
            <w:r>
              <w:rPr>
                <w:noProof/>
                <w:webHidden/>
              </w:rPr>
              <w:t>74</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64" w:history="1">
            <w:r w:rsidRPr="00D655D9">
              <w:rPr>
                <w:rStyle w:val="Hyperlink"/>
                <w:noProof/>
              </w:rPr>
              <w:t>10.5 Inventory Management</w:t>
            </w:r>
            <w:r>
              <w:rPr>
                <w:noProof/>
                <w:webHidden/>
              </w:rPr>
              <w:tab/>
            </w:r>
            <w:r>
              <w:rPr>
                <w:noProof/>
                <w:webHidden/>
              </w:rPr>
              <w:fldChar w:fldCharType="begin"/>
            </w:r>
            <w:r>
              <w:rPr>
                <w:noProof/>
                <w:webHidden/>
              </w:rPr>
              <w:instrText xml:space="preserve"> PAGEREF _Toc241233964 \h </w:instrText>
            </w:r>
            <w:r>
              <w:rPr>
                <w:noProof/>
                <w:webHidden/>
              </w:rPr>
            </w:r>
            <w:r>
              <w:rPr>
                <w:noProof/>
                <w:webHidden/>
              </w:rPr>
              <w:fldChar w:fldCharType="separate"/>
            </w:r>
            <w:r>
              <w:rPr>
                <w:noProof/>
                <w:webHidden/>
              </w:rPr>
              <w:t>74</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65" w:history="1">
            <w:r w:rsidRPr="00D655D9">
              <w:rPr>
                <w:rStyle w:val="Hyperlink"/>
                <w:noProof/>
              </w:rPr>
              <w:t>10.6 Technology Systems</w:t>
            </w:r>
            <w:r>
              <w:rPr>
                <w:noProof/>
                <w:webHidden/>
              </w:rPr>
              <w:tab/>
            </w:r>
            <w:r>
              <w:rPr>
                <w:noProof/>
                <w:webHidden/>
              </w:rPr>
              <w:fldChar w:fldCharType="begin"/>
            </w:r>
            <w:r>
              <w:rPr>
                <w:noProof/>
                <w:webHidden/>
              </w:rPr>
              <w:instrText xml:space="preserve"> PAGEREF _Toc241233965 \h </w:instrText>
            </w:r>
            <w:r>
              <w:rPr>
                <w:noProof/>
                <w:webHidden/>
              </w:rPr>
            </w:r>
            <w:r>
              <w:rPr>
                <w:noProof/>
                <w:webHidden/>
              </w:rPr>
              <w:fldChar w:fldCharType="separate"/>
            </w:r>
            <w:r>
              <w:rPr>
                <w:noProof/>
                <w:webHidden/>
              </w:rPr>
              <w:t>74</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66" w:history="1">
            <w:r w:rsidRPr="00D655D9">
              <w:rPr>
                <w:rStyle w:val="Hyperlink"/>
                <w:noProof/>
              </w:rPr>
              <w:t>10.7 Quality Control</w:t>
            </w:r>
            <w:r>
              <w:rPr>
                <w:noProof/>
                <w:webHidden/>
              </w:rPr>
              <w:tab/>
            </w:r>
            <w:r>
              <w:rPr>
                <w:noProof/>
                <w:webHidden/>
              </w:rPr>
              <w:fldChar w:fldCharType="begin"/>
            </w:r>
            <w:r>
              <w:rPr>
                <w:noProof/>
                <w:webHidden/>
              </w:rPr>
              <w:instrText xml:space="preserve"> PAGEREF _Toc241233966 \h </w:instrText>
            </w:r>
            <w:r>
              <w:rPr>
                <w:noProof/>
                <w:webHidden/>
              </w:rPr>
            </w:r>
            <w:r>
              <w:rPr>
                <w:noProof/>
                <w:webHidden/>
              </w:rPr>
              <w:fldChar w:fldCharType="separate"/>
            </w:r>
            <w:r>
              <w:rPr>
                <w:noProof/>
                <w:webHidden/>
              </w:rPr>
              <w:t>75</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67" w:history="1">
            <w:r w:rsidRPr="00D655D9">
              <w:rPr>
                <w:rStyle w:val="Hyperlink"/>
                <w:noProof/>
              </w:rPr>
              <w:t>10.8 Logistics and Distribution</w:t>
            </w:r>
            <w:r>
              <w:rPr>
                <w:noProof/>
                <w:webHidden/>
              </w:rPr>
              <w:tab/>
            </w:r>
            <w:r>
              <w:rPr>
                <w:noProof/>
                <w:webHidden/>
              </w:rPr>
              <w:fldChar w:fldCharType="begin"/>
            </w:r>
            <w:r>
              <w:rPr>
                <w:noProof/>
                <w:webHidden/>
              </w:rPr>
              <w:instrText xml:space="preserve"> PAGEREF _Toc241233967 \h </w:instrText>
            </w:r>
            <w:r>
              <w:rPr>
                <w:noProof/>
                <w:webHidden/>
              </w:rPr>
            </w:r>
            <w:r>
              <w:rPr>
                <w:noProof/>
                <w:webHidden/>
              </w:rPr>
              <w:fldChar w:fldCharType="separate"/>
            </w:r>
            <w:r>
              <w:rPr>
                <w:noProof/>
                <w:webHidden/>
              </w:rPr>
              <w:t>75</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68" w:history="1">
            <w:r w:rsidRPr="00D655D9">
              <w:rPr>
                <w:rStyle w:val="Hyperlink"/>
                <w:noProof/>
              </w:rPr>
              <w:t>10.9 Legal and Regulatory Considerations</w:t>
            </w:r>
            <w:r>
              <w:rPr>
                <w:noProof/>
                <w:webHidden/>
              </w:rPr>
              <w:tab/>
            </w:r>
            <w:r>
              <w:rPr>
                <w:noProof/>
                <w:webHidden/>
              </w:rPr>
              <w:fldChar w:fldCharType="begin"/>
            </w:r>
            <w:r>
              <w:rPr>
                <w:noProof/>
                <w:webHidden/>
              </w:rPr>
              <w:instrText xml:space="preserve"> PAGEREF _Toc241233968 \h </w:instrText>
            </w:r>
            <w:r>
              <w:rPr>
                <w:noProof/>
                <w:webHidden/>
              </w:rPr>
            </w:r>
            <w:r>
              <w:rPr>
                <w:noProof/>
                <w:webHidden/>
              </w:rPr>
              <w:fldChar w:fldCharType="separate"/>
            </w:r>
            <w:r>
              <w:rPr>
                <w:noProof/>
                <w:webHidden/>
              </w:rPr>
              <w:t>76</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969" w:history="1">
            <w:r w:rsidRPr="00D655D9">
              <w:rPr>
                <w:rStyle w:val="Hyperlink"/>
                <w:noProof/>
              </w:rPr>
              <w:t>Chapter 11. Feasibility Analysis</w:t>
            </w:r>
            <w:r>
              <w:rPr>
                <w:noProof/>
                <w:webHidden/>
              </w:rPr>
              <w:tab/>
            </w:r>
            <w:r>
              <w:rPr>
                <w:noProof/>
                <w:webHidden/>
              </w:rPr>
              <w:fldChar w:fldCharType="begin"/>
            </w:r>
            <w:r>
              <w:rPr>
                <w:noProof/>
                <w:webHidden/>
              </w:rPr>
              <w:instrText xml:space="preserve"> PAGEREF _Toc241233969 \h </w:instrText>
            </w:r>
            <w:r>
              <w:rPr>
                <w:noProof/>
                <w:webHidden/>
              </w:rPr>
            </w:r>
            <w:r>
              <w:rPr>
                <w:noProof/>
                <w:webHidden/>
              </w:rPr>
              <w:fldChar w:fldCharType="separate"/>
            </w:r>
            <w:r>
              <w:rPr>
                <w:noProof/>
                <w:webHidden/>
              </w:rPr>
              <w:t>77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70" w:history="1">
            <w:r w:rsidRPr="00D655D9">
              <w:rPr>
                <w:rStyle w:val="Hyperlink"/>
                <w:noProof/>
              </w:rPr>
              <w:t>11.1 Market Feasibility Based on Decision Criteria</w:t>
            </w:r>
            <w:r>
              <w:rPr>
                <w:noProof/>
                <w:webHidden/>
              </w:rPr>
              <w:tab/>
            </w:r>
            <w:r>
              <w:rPr>
                <w:noProof/>
                <w:webHidden/>
              </w:rPr>
              <w:fldChar w:fldCharType="begin"/>
            </w:r>
            <w:r>
              <w:rPr>
                <w:noProof/>
                <w:webHidden/>
              </w:rPr>
              <w:instrText xml:space="preserve"> PAGEREF _Toc241233970 \h </w:instrText>
            </w:r>
            <w:r>
              <w:rPr>
                <w:noProof/>
                <w:webHidden/>
              </w:rPr>
            </w:r>
            <w:r>
              <w:rPr>
                <w:noProof/>
                <w:webHidden/>
              </w:rPr>
              <w:fldChar w:fldCharType="separate"/>
            </w:r>
            <w:r>
              <w:rPr>
                <w:noProof/>
                <w:webHidden/>
              </w:rPr>
              <w:t>77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71" w:history="1">
            <w:r w:rsidRPr="00D655D9">
              <w:rPr>
                <w:rStyle w:val="Hyperlink"/>
                <w:noProof/>
              </w:rPr>
              <w:t>11.2 Ethical and Market Feasibility</w:t>
            </w:r>
            <w:r>
              <w:rPr>
                <w:noProof/>
                <w:webHidden/>
              </w:rPr>
              <w:tab/>
            </w:r>
            <w:r>
              <w:rPr>
                <w:noProof/>
                <w:webHidden/>
              </w:rPr>
              <w:fldChar w:fldCharType="begin"/>
            </w:r>
            <w:r>
              <w:rPr>
                <w:noProof/>
                <w:webHidden/>
              </w:rPr>
              <w:instrText xml:space="preserve"> PAGEREF _Toc241233971 \h </w:instrText>
            </w:r>
            <w:r>
              <w:rPr>
                <w:noProof/>
                <w:webHidden/>
              </w:rPr>
            </w:r>
            <w:r>
              <w:rPr>
                <w:noProof/>
                <w:webHidden/>
              </w:rPr>
              <w:fldChar w:fldCharType="separate"/>
            </w:r>
            <w:r>
              <w:rPr>
                <w:noProof/>
                <w:webHidden/>
              </w:rPr>
              <w:t>77</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72" w:history="1">
            <w:r w:rsidRPr="00D655D9">
              <w:rPr>
                <w:rStyle w:val="Hyperlink"/>
                <w:noProof/>
              </w:rPr>
              <w:t>11.2.1 Market Feasibility</w:t>
            </w:r>
            <w:r>
              <w:rPr>
                <w:noProof/>
                <w:webHidden/>
              </w:rPr>
              <w:tab/>
            </w:r>
            <w:r>
              <w:rPr>
                <w:noProof/>
                <w:webHidden/>
              </w:rPr>
              <w:fldChar w:fldCharType="begin"/>
            </w:r>
            <w:r>
              <w:rPr>
                <w:noProof/>
                <w:webHidden/>
              </w:rPr>
              <w:instrText xml:space="preserve"> PAGEREF _Toc241233972 \h </w:instrText>
            </w:r>
            <w:r>
              <w:rPr>
                <w:noProof/>
                <w:webHidden/>
              </w:rPr>
            </w:r>
            <w:r>
              <w:rPr>
                <w:noProof/>
                <w:webHidden/>
              </w:rPr>
              <w:fldChar w:fldCharType="separate"/>
            </w:r>
            <w:r>
              <w:rPr>
                <w:noProof/>
                <w:webHidden/>
              </w:rPr>
              <w:t>77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73" w:history="1">
            <w:r w:rsidRPr="00D655D9">
              <w:rPr>
                <w:rStyle w:val="Hyperlink"/>
                <w:noProof/>
              </w:rPr>
              <w:t>11.2.2 Ethical Feasibility</w:t>
            </w:r>
            <w:r>
              <w:rPr>
                <w:noProof/>
                <w:webHidden/>
              </w:rPr>
              <w:tab/>
            </w:r>
            <w:r>
              <w:rPr>
                <w:noProof/>
                <w:webHidden/>
              </w:rPr>
              <w:fldChar w:fldCharType="begin"/>
            </w:r>
            <w:r>
              <w:rPr>
                <w:noProof/>
                <w:webHidden/>
              </w:rPr>
              <w:instrText xml:space="preserve"> PAGEREF _Toc241233973 \h </w:instrText>
            </w:r>
            <w:r>
              <w:rPr>
                <w:noProof/>
                <w:webHidden/>
              </w:rPr>
            </w:r>
            <w:r>
              <w:rPr>
                <w:noProof/>
                <w:webHidden/>
              </w:rPr>
              <w:fldChar w:fldCharType="separate"/>
            </w:r>
            <w:r>
              <w:rPr>
                <w:noProof/>
                <w:webHidden/>
              </w:rPr>
              <w:t>77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74" w:history="1">
            <w:r w:rsidRPr="00D655D9">
              <w:rPr>
                <w:rStyle w:val="Hyperlink"/>
                <w:noProof/>
              </w:rPr>
              <w:t>11.3 Operational and Technical Feasibility</w:t>
            </w:r>
            <w:r>
              <w:rPr>
                <w:noProof/>
                <w:webHidden/>
              </w:rPr>
              <w:tab/>
            </w:r>
            <w:r>
              <w:rPr>
                <w:noProof/>
                <w:webHidden/>
              </w:rPr>
              <w:fldChar w:fldCharType="begin"/>
            </w:r>
            <w:r>
              <w:rPr>
                <w:noProof/>
                <w:webHidden/>
              </w:rPr>
              <w:instrText xml:space="preserve"> PAGEREF _Toc241233974 \h </w:instrText>
            </w:r>
            <w:r>
              <w:rPr>
                <w:noProof/>
                <w:webHidden/>
              </w:rPr>
            </w:r>
            <w:r>
              <w:rPr>
                <w:noProof/>
                <w:webHidden/>
              </w:rPr>
              <w:fldChar w:fldCharType="separate"/>
            </w:r>
            <w:r>
              <w:rPr>
                <w:noProof/>
                <w:webHidden/>
              </w:rPr>
              <w:t>78</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75" w:history="1">
            <w:r w:rsidRPr="00D655D9">
              <w:rPr>
                <w:rStyle w:val="Hyperlink"/>
                <w:noProof/>
              </w:rPr>
              <w:t>11.4 Financial Feasibility</w:t>
            </w:r>
            <w:r>
              <w:rPr>
                <w:noProof/>
                <w:webHidden/>
              </w:rPr>
              <w:tab/>
            </w:r>
            <w:r>
              <w:rPr>
                <w:noProof/>
                <w:webHidden/>
              </w:rPr>
              <w:fldChar w:fldCharType="begin"/>
            </w:r>
            <w:r>
              <w:rPr>
                <w:noProof/>
                <w:webHidden/>
              </w:rPr>
              <w:instrText xml:space="preserve"> PAGEREF _Toc241233975 \h </w:instrText>
            </w:r>
            <w:r>
              <w:rPr>
                <w:noProof/>
                <w:webHidden/>
              </w:rPr>
            </w:r>
            <w:r>
              <w:rPr>
                <w:noProof/>
                <w:webHidden/>
              </w:rPr>
              <w:fldChar w:fldCharType="separate"/>
            </w:r>
            <w:r>
              <w:rPr>
                <w:noProof/>
                <w:webHidden/>
              </w:rPr>
              <w:t>78</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76" w:history="1">
            <w:r w:rsidRPr="00D655D9">
              <w:rPr>
                <w:rStyle w:val="Hyperlink"/>
                <w:noProof/>
              </w:rPr>
              <w:t>11.5 Strategic Fit, Risks and Mitigation</w:t>
            </w:r>
            <w:r>
              <w:rPr>
                <w:noProof/>
                <w:webHidden/>
              </w:rPr>
              <w:tab/>
            </w:r>
            <w:r>
              <w:rPr>
                <w:noProof/>
                <w:webHidden/>
              </w:rPr>
              <w:fldChar w:fldCharType="begin"/>
            </w:r>
            <w:r>
              <w:rPr>
                <w:noProof/>
                <w:webHidden/>
              </w:rPr>
              <w:instrText xml:space="preserve"> PAGEREF _Toc241233976 \h </w:instrText>
            </w:r>
            <w:r>
              <w:rPr>
                <w:noProof/>
                <w:webHidden/>
              </w:rPr>
            </w:r>
            <w:r>
              <w:rPr>
                <w:noProof/>
                <w:webHidden/>
              </w:rPr>
              <w:fldChar w:fldCharType="separate"/>
            </w:r>
            <w:r>
              <w:rPr>
                <w:noProof/>
                <w:webHidden/>
              </w:rPr>
              <w:t>80</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77" w:history="1">
            <w:r w:rsidRPr="00D655D9">
              <w:rPr>
                <w:rStyle w:val="Hyperlink"/>
                <w:noProof/>
              </w:rPr>
              <w:t>11.6 Integrated Viability Judgement</w:t>
            </w:r>
            <w:r>
              <w:rPr>
                <w:noProof/>
                <w:webHidden/>
              </w:rPr>
              <w:tab/>
            </w:r>
            <w:r>
              <w:rPr>
                <w:noProof/>
                <w:webHidden/>
              </w:rPr>
              <w:fldChar w:fldCharType="begin"/>
            </w:r>
            <w:r>
              <w:rPr>
                <w:noProof/>
                <w:webHidden/>
              </w:rPr>
              <w:instrText xml:space="preserve"> PAGEREF _Toc241233977 \h </w:instrText>
            </w:r>
            <w:r>
              <w:rPr>
                <w:noProof/>
                <w:webHidden/>
              </w:rPr>
            </w:r>
            <w:r>
              <w:rPr>
                <w:noProof/>
                <w:webHidden/>
              </w:rPr>
              <w:fldChar w:fldCharType="separate"/>
            </w:r>
            <w:r>
              <w:rPr>
                <w:noProof/>
                <w:webHidden/>
              </w:rPr>
              <w:t>81</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978" w:history="1">
            <w:r w:rsidRPr="00D655D9">
              <w:rPr>
                <w:rStyle w:val="Hyperlink"/>
                <w:noProof/>
              </w:rPr>
              <w:t>Chapter 12. Implementation Plan</w:t>
            </w:r>
            <w:r>
              <w:rPr>
                <w:noProof/>
                <w:webHidden/>
              </w:rPr>
              <w:tab/>
            </w:r>
            <w:r>
              <w:rPr>
                <w:noProof/>
                <w:webHidden/>
              </w:rPr>
              <w:fldChar w:fldCharType="begin"/>
            </w:r>
            <w:r>
              <w:rPr>
                <w:noProof/>
                <w:webHidden/>
              </w:rPr>
              <w:instrText xml:space="preserve"> PAGEREF _Toc241233978 \h </w:instrText>
            </w:r>
            <w:r>
              <w:rPr>
                <w:noProof/>
                <w:webHidden/>
              </w:rPr>
            </w:r>
            <w:r>
              <w:rPr>
                <w:noProof/>
                <w:webHidden/>
              </w:rPr>
              <w:fldChar w:fldCharType="separate"/>
            </w:r>
            <w:r>
              <w:rPr>
                <w:noProof/>
                <w:webHidden/>
              </w:rPr>
              <w:t>82</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79" w:history="1">
            <w:r w:rsidRPr="00D655D9">
              <w:rPr>
                <w:rStyle w:val="Hyperlink"/>
                <w:noProof/>
              </w:rPr>
              <w:t>12.1 Implementation Approach and Launch Phases</w:t>
            </w:r>
            <w:r>
              <w:rPr>
                <w:noProof/>
                <w:webHidden/>
              </w:rPr>
              <w:tab/>
            </w:r>
            <w:r>
              <w:rPr>
                <w:noProof/>
                <w:webHidden/>
              </w:rPr>
              <w:fldChar w:fldCharType="begin"/>
            </w:r>
            <w:r>
              <w:rPr>
                <w:noProof/>
                <w:webHidden/>
              </w:rPr>
              <w:instrText xml:space="preserve"> PAGEREF _Toc241233979 \h </w:instrText>
            </w:r>
            <w:r>
              <w:rPr>
                <w:noProof/>
                <w:webHidden/>
              </w:rPr>
            </w:r>
            <w:r>
              <w:rPr>
                <w:noProof/>
                <w:webHidden/>
              </w:rPr>
              <w:fldChar w:fldCharType="separate"/>
            </w:r>
            <w:r>
              <w:rPr>
                <w:noProof/>
                <w:webHidden/>
              </w:rPr>
              <w:t>82</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80" w:history="1">
            <w:r w:rsidRPr="00D655D9">
              <w:rPr>
                <w:rStyle w:val="Hyperlink"/>
                <w:noProof/>
              </w:rPr>
              <w:t>12.1.1 Phase 1: Market Validation — Months 1–2</w:t>
            </w:r>
            <w:r>
              <w:rPr>
                <w:noProof/>
                <w:webHidden/>
              </w:rPr>
              <w:tab/>
            </w:r>
            <w:r>
              <w:rPr>
                <w:noProof/>
                <w:webHidden/>
              </w:rPr>
              <w:fldChar w:fldCharType="begin"/>
            </w:r>
            <w:r>
              <w:rPr>
                <w:noProof/>
                <w:webHidden/>
              </w:rPr>
              <w:instrText xml:space="preserve"> PAGEREF _Toc241233980 \h </w:instrText>
            </w:r>
            <w:r>
              <w:rPr>
                <w:noProof/>
                <w:webHidden/>
              </w:rPr>
            </w:r>
            <w:r>
              <w:rPr>
                <w:noProof/>
                <w:webHidden/>
              </w:rPr>
              <w:fldChar w:fldCharType="separate"/>
            </w:r>
            <w:r>
              <w:rPr>
                <w:noProof/>
                <w:webHidden/>
              </w:rPr>
              <w:t>82</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81" w:history="1">
            <w:r w:rsidRPr="00D655D9">
              <w:rPr>
                <w:rStyle w:val="Hyperlink"/>
                <w:noProof/>
              </w:rPr>
              <w:t>12.1.2 Phase 2: Supplier and Refurbishment Partnerships — Months 2–3</w:t>
            </w:r>
            <w:r>
              <w:rPr>
                <w:noProof/>
                <w:webHidden/>
              </w:rPr>
              <w:tab/>
            </w:r>
            <w:r>
              <w:rPr>
                <w:noProof/>
                <w:webHidden/>
              </w:rPr>
              <w:fldChar w:fldCharType="begin"/>
            </w:r>
            <w:r>
              <w:rPr>
                <w:noProof/>
                <w:webHidden/>
              </w:rPr>
              <w:instrText xml:space="preserve"> PAGEREF _Toc241233981 \h </w:instrText>
            </w:r>
            <w:r>
              <w:rPr>
                <w:noProof/>
                <w:webHidden/>
              </w:rPr>
            </w:r>
            <w:r>
              <w:rPr>
                <w:noProof/>
                <w:webHidden/>
              </w:rPr>
              <w:fldChar w:fldCharType="separate"/>
            </w:r>
            <w:r>
              <w:rPr>
                <w:noProof/>
                <w:webHidden/>
              </w:rPr>
              <w:t>82</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82" w:history="1">
            <w:r w:rsidRPr="00D655D9">
              <w:rPr>
                <w:rStyle w:val="Hyperlink"/>
                <w:noProof/>
              </w:rPr>
              <w:t>12.1.3 Phase 3: Furniture Inventory Acquisition — Months 3–4</w:t>
            </w:r>
            <w:r>
              <w:rPr>
                <w:noProof/>
                <w:webHidden/>
              </w:rPr>
              <w:tab/>
            </w:r>
            <w:r>
              <w:rPr>
                <w:noProof/>
                <w:webHidden/>
              </w:rPr>
              <w:fldChar w:fldCharType="begin"/>
            </w:r>
            <w:r>
              <w:rPr>
                <w:noProof/>
                <w:webHidden/>
              </w:rPr>
              <w:instrText xml:space="preserve"> PAGEREF _Toc241233982 \h </w:instrText>
            </w:r>
            <w:r>
              <w:rPr>
                <w:noProof/>
                <w:webHidden/>
              </w:rPr>
            </w:r>
            <w:r>
              <w:rPr>
                <w:noProof/>
                <w:webHidden/>
              </w:rPr>
              <w:fldChar w:fldCharType="separate"/>
            </w:r>
            <w:r>
              <w:rPr>
                <w:noProof/>
                <w:webHidden/>
              </w:rPr>
              <w:t>82</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83" w:history="1">
            <w:r w:rsidRPr="00D655D9">
              <w:rPr>
                <w:rStyle w:val="Hyperlink"/>
                <w:noProof/>
              </w:rPr>
              <w:t>12.1.4 Phase 4: Pilot Customers — Months 4–6</w:t>
            </w:r>
            <w:r>
              <w:rPr>
                <w:noProof/>
                <w:webHidden/>
              </w:rPr>
              <w:tab/>
            </w:r>
            <w:r>
              <w:rPr>
                <w:noProof/>
                <w:webHidden/>
              </w:rPr>
              <w:fldChar w:fldCharType="begin"/>
            </w:r>
            <w:r>
              <w:rPr>
                <w:noProof/>
                <w:webHidden/>
              </w:rPr>
              <w:instrText xml:space="preserve"> PAGEREF _Toc241233983 \h </w:instrText>
            </w:r>
            <w:r>
              <w:rPr>
                <w:noProof/>
                <w:webHidden/>
              </w:rPr>
            </w:r>
            <w:r>
              <w:rPr>
                <w:noProof/>
                <w:webHidden/>
              </w:rPr>
              <w:fldChar w:fldCharType="separate"/>
            </w:r>
            <w:r>
              <w:rPr>
                <w:noProof/>
                <w:webHidden/>
              </w:rPr>
              <w:t>82</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84" w:history="1">
            <w:r w:rsidRPr="00D655D9">
              <w:rPr>
                <w:rStyle w:val="Hyperlink"/>
                <w:noProof/>
              </w:rPr>
              <w:t>12.1.5 Phase 5: Performance Measurement — Months 6–9</w:t>
            </w:r>
            <w:r>
              <w:rPr>
                <w:noProof/>
                <w:webHidden/>
              </w:rPr>
              <w:tab/>
            </w:r>
            <w:r>
              <w:rPr>
                <w:noProof/>
                <w:webHidden/>
              </w:rPr>
              <w:fldChar w:fldCharType="begin"/>
            </w:r>
            <w:r>
              <w:rPr>
                <w:noProof/>
                <w:webHidden/>
              </w:rPr>
              <w:instrText xml:space="preserve"> PAGEREF _Toc241233984 \h </w:instrText>
            </w:r>
            <w:r>
              <w:rPr>
                <w:noProof/>
                <w:webHidden/>
              </w:rPr>
            </w:r>
            <w:r>
              <w:rPr>
                <w:noProof/>
                <w:webHidden/>
              </w:rPr>
              <w:fldChar w:fldCharType="separate"/>
            </w:r>
            <w:r>
              <w:rPr>
                <w:noProof/>
                <w:webHidden/>
              </w:rPr>
              <w:t>82</w:t>
            </w:r>
            <w:r>
              <w:rPr>
                <w:noProof/>
                <w:webHidden/>
              </w:rPr>
              <w:fldChar w:fldCharType="end"/>
            </w:r>
          </w:hyperlink>
        </w:p>
        <w:p w:rsidR="00CF4073" w:rsidRDefault="00CF4073">
          <w:pPr>
            <w:pStyle w:val="TOC3"/>
            <w:tabs>
              <w:tab w:val="right" w:leader="dot" w:pos="9350"/>
            </w:tabs>
            <w:rPr>
              <w:rFonts w:asciiTheme="minorHAnsi" w:eastAsiaTheme="minorEastAsia" w:hAnsiTheme="minorHAnsi" w:cstheme="minorBidi"/>
              <w:noProof/>
              <w:sz w:val="22"/>
              <w:szCs w:val="22"/>
            </w:rPr>
          </w:pPr>
          <w:hyperlink w:anchor="_Toc241233985" w:history="1">
            <w:r w:rsidRPr="00D655D9">
              <w:rPr>
                <w:rStyle w:val="Hyperlink"/>
                <w:noProof/>
              </w:rPr>
              <w:t>12.1.6 Phase 6: Controlled Scale — Months 10–12</w:t>
            </w:r>
            <w:r>
              <w:rPr>
                <w:noProof/>
                <w:webHidden/>
              </w:rPr>
              <w:tab/>
            </w:r>
            <w:r>
              <w:rPr>
                <w:noProof/>
                <w:webHidden/>
              </w:rPr>
              <w:fldChar w:fldCharType="begin"/>
            </w:r>
            <w:r>
              <w:rPr>
                <w:noProof/>
                <w:webHidden/>
              </w:rPr>
              <w:instrText xml:space="preserve"> PAGEREF _Toc241233985 \h </w:instrText>
            </w:r>
            <w:r>
              <w:rPr>
                <w:noProof/>
                <w:webHidden/>
              </w:rPr>
            </w:r>
            <w:r>
              <w:rPr>
                <w:noProof/>
                <w:webHidden/>
              </w:rPr>
              <w:fldChar w:fldCharType="separate"/>
            </w:r>
            <w:r>
              <w:rPr>
                <w:noProof/>
                <w:webHidden/>
              </w:rPr>
              <w:t>83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86" w:history="1">
            <w:r w:rsidRPr="00D655D9">
              <w:rPr>
                <w:rStyle w:val="Hyperlink"/>
                <w:noProof/>
              </w:rPr>
              <w:t>12.2 Milestones and Timeline</w:t>
            </w:r>
            <w:r>
              <w:rPr>
                <w:noProof/>
                <w:webHidden/>
              </w:rPr>
              <w:tab/>
            </w:r>
            <w:r>
              <w:rPr>
                <w:noProof/>
                <w:webHidden/>
              </w:rPr>
              <w:fldChar w:fldCharType="begin"/>
            </w:r>
            <w:r>
              <w:rPr>
                <w:noProof/>
                <w:webHidden/>
              </w:rPr>
              <w:instrText xml:space="preserve"> PAGEREF _Toc241233986 \h </w:instrText>
            </w:r>
            <w:r>
              <w:rPr>
                <w:noProof/>
                <w:webHidden/>
              </w:rPr>
            </w:r>
            <w:r>
              <w:rPr>
                <w:noProof/>
                <w:webHidden/>
              </w:rPr>
              <w:fldChar w:fldCharType="separate"/>
            </w:r>
            <w:r>
              <w:rPr>
                <w:noProof/>
                <w:webHidden/>
              </w:rPr>
              <w:t>83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87" w:history="1">
            <w:r w:rsidRPr="00D655D9">
              <w:rPr>
                <w:rStyle w:val="Hyperlink"/>
                <w:noProof/>
              </w:rPr>
              <w:t>12.3 Resource Allocation and Priorities</w:t>
            </w:r>
            <w:r>
              <w:rPr>
                <w:noProof/>
                <w:webHidden/>
              </w:rPr>
              <w:tab/>
            </w:r>
            <w:r>
              <w:rPr>
                <w:noProof/>
                <w:webHidden/>
              </w:rPr>
              <w:fldChar w:fldCharType="begin"/>
            </w:r>
            <w:r>
              <w:rPr>
                <w:noProof/>
                <w:webHidden/>
              </w:rPr>
              <w:instrText xml:space="preserve"> PAGEREF _Toc241233987 \h </w:instrText>
            </w:r>
            <w:r>
              <w:rPr>
                <w:noProof/>
                <w:webHidden/>
              </w:rPr>
            </w:r>
            <w:r>
              <w:rPr>
                <w:noProof/>
                <w:webHidden/>
              </w:rPr>
              <w:fldChar w:fldCharType="separate"/>
            </w:r>
            <w:r>
              <w:rPr>
                <w:noProof/>
                <w:webHidden/>
              </w:rPr>
              <w:t>86</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88" w:history="1">
            <w:r w:rsidRPr="00D655D9">
              <w:rPr>
                <w:rStyle w:val="Hyperlink"/>
                <w:noProof/>
              </w:rPr>
              <w:t>12.4 KPIs and Control</w:t>
            </w:r>
            <w:r>
              <w:rPr>
                <w:noProof/>
                <w:webHidden/>
              </w:rPr>
              <w:tab/>
            </w:r>
            <w:r>
              <w:rPr>
                <w:noProof/>
                <w:webHidden/>
              </w:rPr>
              <w:fldChar w:fldCharType="begin"/>
            </w:r>
            <w:r>
              <w:rPr>
                <w:noProof/>
                <w:webHidden/>
              </w:rPr>
              <w:instrText xml:space="preserve"> PAGEREF _Toc241233988 \h </w:instrText>
            </w:r>
            <w:r>
              <w:rPr>
                <w:noProof/>
                <w:webHidden/>
              </w:rPr>
            </w:r>
            <w:r>
              <w:rPr>
                <w:noProof/>
                <w:webHidden/>
              </w:rPr>
              <w:fldChar w:fldCharType="separate"/>
            </w:r>
            <w:r>
              <w:rPr>
                <w:noProof/>
                <w:webHidden/>
              </w:rPr>
              <w:t>87</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89" w:history="1">
            <w:r w:rsidRPr="00D655D9">
              <w:rPr>
                <w:rStyle w:val="Hyperlink"/>
                <w:noProof/>
              </w:rPr>
              <w:t>12.5 Change Management and Implementation Risks</w:t>
            </w:r>
            <w:r>
              <w:rPr>
                <w:noProof/>
                <w:webHidden/>
              </w:rPr>
              <w:tab/>
            </w:r>
            <w:r>
              <w:rPr>
                <w:noProof/>
                <w:webHidden/>
              </w:rPr>
              <w:fldChar w:fldCharType="begin"/>
            </w:r>
            <w:r>
              <w:rPr>
                <w:noProof/>
                <w:webHidden/>
              </w:rPr>
              <w:instrText xml:space="preserve"> PAGEREF _Toc241233989 \h </w:instrText>
            </w:r>
            <w:r>
              <w:rPr>
                <w:noProof/>
                <w:webHidden/>
              </w:rPr>
            </w:r>
            <w:r>
              <w:rPr>
                <w:noProof/>
                <w:webHidden/>
              </w:rPr>
              <w:fldChar w:fldCharType="separate"/>
            </w:r>
            <w:r>
              <w:rPr>
                <w:noProof/>
                <w:webHidden/>
              </w:rPr>
              <w:t>88</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90" w:history="1">
            <w:r w:rsidRPr="00D655D9">
              <w:rPr>
                <w:rStyle w:val="Hyperlink"/>
                <w:noProof/>
              </w:rPr>
              <w:t>12.6 Implementation Readiness Summary</w:t>
            </w:r>
            <w:r>
              <w:rPr>
                <w:noProof/>
                <w:webHidden/>
              </w:rPr>
              <w:tab/>
            </w:r>
            <w:r>
              <w:rPr>
                <w:noProof/>
                <w:webHidden/>
              </w:rPr>
              <w:fldChar w:fldCharType="begin"/>
            </w:r>
            <w:r>
              <w:rPr>
                <w:noProof/>
                <w:webHidden/>
              </w:rPr>
              <w:instrText xml:space="preserve"> PAGEREF _Toc241233990 \h </w:instrText>
            </w:r>
            <w:r>
              <w:rPr>
                <w:noProof/>
                <w:webHidden/>
              </w:rPr>
            </w:r>
            <w:r>
              <w:rPr>
                <w:noProof/>
                <w:webHidden/>
              </w:rPr>
              <w:fldChar w:fldCharType="separate"/>
            </w:r>
            <w:r>
              <w:rPr>
                <w:noProof/>
                <w:webHidden/>
              </w:rPr>
              <w:t>89</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991" w:history="1">
            <w:r w:rsidRPr="00D655D9">
              <w:rPr>
                <w:rStyle w:val="Hyperlink"/>
                <w:noProof/>
              </w:rPr>
              <w:t>Chapter 13: Conclusion &amp; Recommendations</w:t>
            </w:r>
            <w:r>
              <w:rPr>
                <w:noProof/>
                <w:webHidden/>
              </w:rPr>
              <w:tab/>
            </w:r>
            <w:r>
              <w:rPr>
                <w:noProof/>
                <w:webHidden/>
              </w:rPr>
              <w:fldChar w:fldCharType="begin"/>
            </w:r>
            <w:r>
              <w:rPr>
                <w:noProof/>
                <w:webHidden/>
              </w:rPr>
              <w:instrText xml:space="preserve"> PAGEREF _Toc241233991 \h </w:instrText>
            </w:r>
            <w:r>
              <w:rPr>
                <w:noProof/>
                <w:webHidden/>
              </w:rPr>
            </w:r>
            <w:r>
              <w:rPr>
                <w:noProof/>
                <w:webHidden/>
              </w:rPr>
              <w:fldChar w:fldCharType="separate"/>
            </w:r>
            <w:r>
              <w:rPr>
                <w:noProof/>
                <w:webHidden/>
              </w:rPr>
              <w:t>90</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92" w:history="1">
            <w:r w:rsidRPr="00D655D9">
              <w:rPr>
                <w:rStyle w:val="Hyperlink"/>
                <w:noProof/>
              </w:rPr>
              <w:t>13.1 Evaluation of Frameworks</w:t>
            </w:r>
            <w:r>
              <w:rPr>
                <w:noProof/>
                <w:webHidden/>
              </w:rPr>
              <w:tab/>
            </w:r>
            <w:r>
              <w:rPr>
                <w:noProof/>
                <w:webHidden/>
              </w:rPr>
              <w:fldChar w:fldCharType="begin"/>
            </w:r>
            <w:r>
              <w:rPr>
                <w:noProof/>
                <w:webHidden/>
              </w:rPr>
              <w:instrText xml:space="preserve"> PAGEREF _Toc241233992 \h </w:instrText>
            </w:r>
            <w:r>
              <w:rPr>
                <w:noProof/>
                <w:webHidden/>
              </w:rPr>
            </w:r>
            <w:r>
              <w:rPr>
                <w:noProof/>
                <w:webHidden/>
              </w:rPr>
              <w:fldChar w:fldCharType="separate"/>
            </w:r>
            <w:r>
              <w:rPr>
                <w:noProof/>
                <w:webHidden/>
              </w:rPr>
              <w:t>90</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93" w:history="1">
            <w:r w:rsidRPr="00D655D9">
              <w:rPr>
                <w:rStyle w:val="Hyperlink"/>
                <w:noProof/>
              </w:rPr>
              <w:t>13.2 Market Opportunity</w:t>
            </w:r>
            <w:r>
              <w:rPr>
                <w:noProof/>
                <w:webHidden/>
              </w:rPr>
              <w:tab/>
            </w:r>
            <w:r>
              <w:rPr>
                <w:noProof/>
                <w:webHidden/>
              </w:rPr>
              <w:fldChar w:fldCharType="begin"/>
            </w:r>
            <w:r>
              <w:rPr>
                <w:noProof/>
                <w:webHidden/>
              </w:rPr>
              <w:instrText xml:space="preserve"> PAGEREF _Toc241233993 \h </w:instrText>
            </w:r>
            <w:r>
              <w:rPr>
                <w:noProof/>
                <w:webHidden/>
              </w:rPr>
            </w:r>
            <w:r>
              <w:rPr>
                <w:noProof/>
                <w:webHidden/>
              </w:rPr>
              <w:fldChar w:fldCharType="separate"/>
            </w:r>
            <w:r>
              <w:rPr>
                <w:noProof/>
                <w:webHidden/>
              </w:rPr>
              <w:t>90</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94" w:history="1">
            <w:r w:rsidRPr="00D655D9">
              <w:rPr>
                <w:rStyle w:val="Hyperlink"/>
                <w:noProof/>
              </w:rPr>
              <w:t>13.3 Strategic Viability</w:t>
            </w:r>
            <w:r>
              <w:rPr>
                <w:noProof/>
                <w:webHidden/>
              </w:rPr>
              <w:tab/>
            </w:r>
            <w:r>
              <w:rPr>
                <w:noProof/>
                <w:webHidden/>
              </w:rPr>
              <w:fldChar w:fldCharType="begin"/>
            </w:r>
            <w:r>
              <w:rPr>
                <w:noProof/>
                <w:webHidden/>
              </w:rPr>
              <w:instrText xml:space="preserve"> PAGEREF _Toc241233994 \h </w:instrText>
            </w:r>
            <w:r>
              <w:rPr>
                <w:noProof/>
                <w:webHidden/>
              </w:rPr>
            </w:r>
            <w:r>
              <w:rPr>
                <w:noProof/>
                <w:webHidden/>
              </w:rPr>
              <w:fldChar w:fldCharType="separate"/>
            </w:r>
            <w:r>
              <w:rPr>
                <w:noProof/>
                <w:webHidden/>
              </w:rPr>
              <w:t>90</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95" w:history="1">
            <w:r w:rsidRPr="00D655D9">
              <w:rPr>
                <w:rStyle w:val="Hyperlink"/>
                <w:noProof/>
              </w:rPr>
              <w:t>13.4 Financial and Operational Viability</w:t>
            </w:r>
            <w:r>
              <w:rPr>
                <w:noProof/>
                <w:webHidden/>
              </w:rPr>
              <w:tab/>
            </w:r>
            <w:r>
              <w:rPr>
                <w:noProof/>
                <w:webHidden/>
              </w:rPr>
              <w:fldChar w:fldCharType="begin"/>
            </w:r>
            <w:r>
              <w:rPr>
                <w:noProof/>
                <w:webHidden/>
              </w:rPr>
              <w:instrText xml:space="preserve"> PAGEREF _Toc241233995 \h </w:instrText>
            </w:r>
            <w:r>
              <w:rPr>
                <w:noProof/>
                <w:webHidden/>
              </w:rPr>
            </w:r>
            <w:r>
              <w:rPr>
                <w:noProof/>
                <w:webHidden/>
              </w:rPr>
              <w:fldChar w:fldCharType="separate"/>
            </w:r>
            <w:r>
              <w:rPr>
                <w:noProof/>
                <w:webHidden/>
              </w:rPr>
              <w:t>91</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96" w:history="1">
            <w:r w:rsidRPr="00D655D9">
              <w:rPr>
                <w:rStyle w:val="Hyperlink"/>
                <w:noProof/>
              </w:rPr>
              <w:t>13.5 Recommendations</w:t>
            </w:r>
            <w:r>
              <w:rPr>
                <w:noProof/>
                <w:webHidden/>
              </w:rPr>
              <w:tab/>
            </w:r>
            <w:r>
              <w:rPr>
                <w:noProof/>
                <w:webHidden/>
              </w:rPr>
              <w:fldChar w:fldCharType="begin"/>
            </w:r>
            <w:r>
              <w:rPr>
                <w:noProof/>
                <w:webHidden/>
              </w:rPr>
              <w:instrText xml:space="preserve"> PAGEREF _Toc241233996 \h </w:instrText>
            </w:r>
            <w:r>
              <w:rPr>
                <w:noProof/>
                <w:webHidden/>
              </w:rPr>
            </w:r>
            <w:r>
              <w:rPr>
                <w:noProof/>
                <w:webHidden/>
              </w:rPr>
              <w:fldChar w:fldCharType="separate"/>
            </w:r>
            <w:r>
              <w:rPr>
                <w:noProof/>
                <w:webHidden/>
              </w:rPr>
              <w:t>91</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97" w:history="1">
            <w:r w:rsidRPr="00D655D9">
              <w:rPr>
                <w:rStyle w:val="Hyperlink"/>
                <w:noProof/>
              </w:rPr>
              <w:t>13.6 Future Development</w:t>
            </w:r>
            <w:r>
              <w:rPr>
                <w:noProof/>
                <w:webHidden/>
              </w:rPr>
              <w:tab/>
            </w:r>
            <w:r>
              <w:rPr>
                <w:noProof/>
                <w:webHidden/>
              </w:rPr>
              <w:fldChar w:fldCharType="begin"/>
            </w:r>
            <w:r>
              <w:rPr>
                <w:noProof/>
                <w:webHidden/>
              </w:rPr>
              <w:instrText xml:space="preserve"> PAGEREF _Toc241233997 \h </w:instrText>
            </w:r>
            <w:r>
              <w:rPr>
                <w:noProof/>
                <w:webHidden/>
              </w:rPr>
            </w:r>
            <w:r>
              <w:rPr>
                <w:noProof/>
                <w:webHidden/>
              </w:rPr>
              <w:fldChar w:fldCharType="separate"/>
            </w:r>
            <w:r>
              <w:rPr>
                <w:noProof/>
                <w:webHidden/>
              </w:rPr>
              <w:t>92</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3998" w:history="1">
            <w:r w:rsidRPr="00D655D9">
              <w:rPr>
                <w:rStyle w:val="Hyperlink"/>
                <w:noProof/>
              </w:rPr>
              <w:t>Chapter 14. Reflection</w:t>
            </w:r>
            <w:r>
              <w:rPr>
                <w:noProof/>
                <w:webHidden/>
              </w:rPr>
              <w:tab/>
            </w:r>
            <w:r>
              <w:rPr>
                <w:noProof/>
                <w:webHidden/>
              </w:rPr>
              <w:fldChar w:fldCharType="begin"/>
            </w:r>
            <w:r>
              <w:rPr>
                <w:noProof/>
                <w:webHidden/>
              </w:rPr>
              <w:instrText xml:space="preserve"> PAGEREF _Toc241233998 \h </w:instrText>
            </w:r>
            <w:r>
              <w:rPr>
                <w:noProof/>
                <w:webHidden/>
              </w:rPr>
            </w:r>
            <w:r>
              <w:rPr>
                <w:noProof/>
                <w:webHidden/>
              </w:rPr>
              <w:fldChar w:fldCharType="separate"/>
            </w:r>
            <w:r>
              <w:rPr>
                <w:noProof/>
                <w:webHidden/>
              </w:rPr>
              <w:t>93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3999" w:history="1">
            <w:r w:rsidRPr="00D655D9">
              <w:rPr>
                <w:rStyle w:val="Hyperlink"/>
                <w:noProof/>
              </w:rPr>
              <w:t>14.1 Experience of Developing EcoLoop Office</w:t>
            </w:r>
            <w:r>
              <w:rPr>
                <w:noProof/>
                <w:webHidden/>
              </w:rPr>
              <w:tab/>
            </w:r>
            <w:r>
              <w:rPr>
                <w:noProof/>
                <w:webHidden/>
              </w:rPr>
              <w:fldChar w:fldCharType="begin"/>
            </w:r>
            <w:r>
              <w:rPr>
                <w:noProof/>
                <w:webHidden/>
              </w:rPr>
              <w:instrText xml:space="preserve"> PAGEREF _Toc241233999 \h </w:instrText>
            </w:r>
            <w:r>
              <w:rPr>
                <w:noProof/>
                <w:webHidden/>
              </w:rPr>
            </w:r>
            <w:r>
              <w:rPr>
                <w:noProof/>
                <w:webHidden/>
              </w:rPr>
              <w:fldChar w:fldCharType="separate"/>
            </w:r>
            <w:r>
              <w:rPr>
                <w:noProof/>
                <w:webHidden/>
              </w:rPr>
              <w:t>93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4000" w:history="1">
            <w:r w:rsidRPr="00D655D9">
              <w:rPr>
                <w:rStyle w:val="Hyperlink"/>
                <w:noProof/>
              </w:rPr>
              <w:t>14.2 Learning from Market Research</w:t>
            </w:r>
            <w:r>
              <w:rPr>
                <w:noProof/>
                <w:webHidden/>
              </w:rPr>
              <w:tab/>
            </w:r>
            <w:r>
              <w:rPr>
                <w:noProof/>
                <w:webHidden/>
              </w:rPr>
              <w:fldChar w:fldCharType="begin"/>
            </w:r>
            <w:r>
              <w:rPr>
                <w:noProof/>
                <w:webHidden/>
              </w:rPr>
              <w:instrText xml:space="preserve"> PAGEREF _Toc241234000 \h </w:instrText>
            </w:r>
            <w:r>
              <w:rPr>
                <w:noProof/>
                <w:webHidden/>
              </w:rPr>
            </w:r>
            <w:r>
              <w:rPr>
                <w:noProof/>
                <w:webHidden/>
              </w:rPr>
              <w:fldChar w:fldCharType="separate"/>
            </w:r>
            <w:r>
              <w:rPr>
                <w:noProof/>
                <w:webHidden/>
              </w:rPr>
              <w:t>93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4001" w:history="1">
            <w:r w:rsidRPr="00D655D9">
              <w:rPr>
                <w:rStyle w:val="Hyperlink"/>
                <w:noProof/>
              </w:rPr>
              <w:t>14.3 Learning from Strategic Analysis</w:t>
            </w:r>
            <w:r>
              <w:rPr>
                <w:noProof/>
                <w:webHidden/>
              </w:rPr>
              <w:tab/>
            </w:r>
            <w:r>
              <w:rPr>
                <w:noProof/>
                <w:webHidden/>
              </w:rPr>
              <w:fldChar w:fldCharType="begin"/>
            </w:r>
            <w:r>
              <w:rPr>
                <w:noProof/>
                <w:webHidden/>
              </w:rPr>
              <w:instrText xml:space="preserve"> PAGEREF _Toc241234001 \h </w:instrText>
            </w:r>
            <w:r>
              <w:rPr>
                <w:noProof/>
                <w:webHidden/>
              </w:rPr>
            </w:r>
            <w:r>
              <w:rPr>
                <w:noProof/>
                <w:webHidden/>
              </w:rPr>
              <w:fldChar w:fldCharType="separate"/>
            </w:r>
            <w:r>
              <w:rPr>
                <w:noProof/>
                <w:webHidden/>
              </w:rPr>
              <w:t>93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4002" w:history="1">
            <w:r w:rsidRPr="00D655D9">
              <w:rPr>
                <w:rStyle w:val="Hyperlink"/>
                <w:noProof/>
              </w:rPr>
              <w:t>14.4 Learning from Financial and Business Model Development</w:t>
            </w:r>
            <w:r>
              <w:rPr>
                <w:noProof/>
                <w:webHidden/>
              </w:rPr>
              <w:tab/>
            </w:r>
            <w:r>
              <w:rPr>
                <w:noProof/>
                <w:webHidden/>
              </w:rPr>
              <w:fldChar w:fldCharType="begin"/>
            </w:r>
            <w:r>
              <w:rPr>
                <w:noProof/>
                <w:webHidden/>
              </w:rPr>
              <w:instrText xml:space="preserve"> PAGEREF _Toc241234002 \h </w:instrText>
            </w:r>
            <w:r>
              <w:rPr>
                <w:noProof/>
                <w:webHidden/>
              </w:rPr>
            </w:r>
            <w:r>
              <w:rPr>
                <w:noProof/>
                <w:webHidden/>
              </w:rPr>
              <w:fldChar w:fldCharType="separate"/>
            </w:r>
            <w:r>
              <w:rPr>
                <w:noProof/>
                <w:webHidden/>
              </w:rPr>
              <w:t>93</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4003" w:history="1">
            <w:r w:rsidRPr="00D655D9">
              <w:rPr>
                <w:rStyle w:val="Hyperlink"/>
                <w:noProof/>
              </w:rPr>
              <w:t>15.5 Operational and Practical Learning</w:t>
            </w:r>
            <w:r>
              <w:rPr>
                <w:noProof/>
                <w:webHidden/>
              </w:rPr>
              <w:tab/>
            </w:r>
            <w:r>
              <w:rPr>
                <w:noProof/>
                <w:webHidden/>
              </w:rPr>
              <w:fldChar w:fldCharType="begin"/>
            </w:r>
            <w:r>
              <w:rPr>
                <w:noProof/>
                <w:webHidden/>
              </w:rPr>
              <w:instrText xml:space="preserve"> PAGEREF _Toc241234003 \h </w:instrText>
            </w:r>
            <w:r>
              <w:rPr>
                <w:noProof/>
                <w:webHidden/>
              </w:rPr>
            </w:r>
            <w:r>
              <w:rPr>
                <w:noProof/>
                <w:webHidden/>
              </w:rPr>
              <w:fldChar w:fldCharType="separate"/>
            </w:r>
            <w:r>
              <w:rPr>
                <w:noProof/>
                <w:webHidden/>
              </w:rPr>
              <w:t>94</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4004" w:history="1">
            <w:r w:rsidRPr="00D655D9">
              <w:rPr>
                <w:rStyle w:val="Hyperlink"/>
                <w:noProof/>
              </w:rPr>
              <w:t>14.6 What I Would Do Differently</w:t>
            </w:r>
            <w:r>
              <w:rPr>
                <w:noProof/>
                <w:webHidden/>
              </w:rPr>
              <w:tab/>
            </w:r>
            <w:r>
              <w:rPr>
                <w:noProof/>
                <w:webHidden/>
              </w:rPr>
              <w:fldChar w:fldCharType="begin"/>
            </w:r>
            <w:r>
              <w:rPr>
                <w:noProof/>
                <w:webHidden/>
              </w:rPr>
              <w:instrText xml:space="preserve"> PAGEREF _Toc241234004 \h </w:instrText>
            </w:r>
            <w:r>
              <w:rPr>
                <w:noProof/>
                <w:webHidden/>
              </w:rPr>
            </w:r>
            <w:r>
              <w:rPr>
                <w:noProof/>
                <w:webHidden/>
              </w:rPr>
              <w:fldChar w:fldCharType="separate"/>
            </w:r>
            <w:r>
              <w:rPr>
                <w:noProof/>
                <w:webHidden/>
              </w:rPr>
              <w:t>94</w:t>
            </w:r>
            <w:r>
              <w:rPr>
                <w:noProof/>
                <w:webHidden/>
              </w:rPr>
              <w:fldChar w:fldCharType="end"/>
            </w:r>
          </w:hyperlink>
        </w:p>
        <w:p w:rsidR="00CF4073" w:rsidRDefault="00CF4073">
          <w:pPr>
            <w:pStyle w:val="TOC2"/>
            <w:tabs>
              <w:tab w:val="right" w:leader="dot" w:pos="9350"/>
            </w:tabs>
            <w:rPr>
              <w:rFonts w:asciiTheme="minorHAnsi" w:eastAsiaTheme="minorEastAsia" w:hAnsiTheme="minorHAnsi" w:cstheme="minorBidi"/>
              <w:noProof/>
              <w:sz w:val="22"/>
              <w:szCs w:val="22"/>
            </w:rPr>
          </w:pPr>
          <w:hyperlink w:anchor="_Toc241234005" w:history="1">
            <w:r w:rsidRPr="00D655D9">
              <w:rPr>
                <w:rStyle w:val="Hyperlink"/>
                <w:noProof/>
              </w:rPr>
              <w:t>14.7 Professional Development</w:t>
            </w:r>
            <w:r>
              <w:rPr>
                <w:noProof/>
                <w:webHidden/>
              </w:rPr>
              <w:tab/>
            </w:r>
            <w:r>
              <w:rPr>
                <w:noProof/>
                <w:webHidden/>
              </w:rPr>
              <w:fldChar w:fldCharType="begin"/>
            </w:r>
            <w:r>
              <w:rPr>
                <w:noProof/>
                <w:webHidden/>
              </w:rPr>
              <w:instrText xml:space="preserve"> PAGEREF _Toc241234005 \h </w:instrText>
            </w:r>
            <w:r>
              <w:rPr>
                <w:noProof/>
                <w:webHidden/>
              </w:rPr>
            </w:r>
            <w:r>
              <w:rPr>
                <w:noProof/>
                <w:webHidden/>
              </w:rPr>
              <w:fldChar w:fldCharType="separate"/>
            </w:r>
            <w:r>
              <w:rPr>
                <w:noProof/>
                <w:webHidden/>
              </w:rPr>
              <w:t>94</w:t>
            </w:r>
            <w:r>
              <w:rPr>
                <w:noProof/>
                <w:webHidden/>
              </w:rPr>
              <w:fldChar w:fldCharType="end"/>
            </w:r>
          </w:hyperlink>
        </w:p>
        <w:p w:rsidR="00CF4073" w:rsidRDefault="00CF4073">
          <w:pPr>
            <w:pStyle w:val="TOC1"/>
            <w:tabs>
              <w:tab w:val="right" w:leader="dot" w:pos="9350"/>
            </w:tabs>
            <w:rPr>
              <w:rFonts w:asciiTheme="minorHAnsi" w:eastAsiaTheme="minorEastAsia" w:hAnsiTheme="minorHAnsi" w:cstheme="minorBidi"/>
              <w:noProof/>
              <w:sz w:val="22"/>
              <w:szCs w:val="22"/>
            </w:rPr>
          </w:pPr>
          <w:hyperlink w:anchor="_Toc241234006" w:history="1">
            <w:r w:rsidRPr="00D655D9">
              <w:rPr>
                <w:rStyle w:val="Hyperlink"/>
                <w:noProof/>
              </w:rPr>
              <w:t>References</w:t>
            </w:r>
            <w:r>
              <w:rPr>
                <w:noProof/>
                <w:webHidden/>
              </w:rPr>
              <w:tab/>
            </w:r>
            <w:r>
              <w:rPr>
                <w:noProof/>
                <w:webHidden/>
              </w:rPr>
              <w:fldChar w:fldCharType="begin"/>
            </w:r>
            <w:r>
              <w:rPr>
                <w:noProof/>
                <w:webHidden/>
              </w:rPr>
              <w:instrText xml:space="preserve"> PAGEREF _Toc241234006 \h </w:instrText>
            </w:r>
            <w:r>
              <w:rPr>
                <w:noProof/>
                <w:webHidden/>
              </w:rPr>
            </w:r>
            <w:r>
              <w:rPr>
                <w:noProof/>
                <w:webHidden/>
              </w:rPr>
              <w:fldChar w:fldCharType="separate"/>
            </w:r>
            <w:r>
              <w:rPr>
                <w:noProof/>
                <w:webHidden/>
              </w:rPr>
              <w:t>95</w:t>
            </w:r>
            <w:r>
              <w:rPr>
                <w:noProof/>
                <w:webHidden/>
              </w:rPr>
              <w:fldChar w:fldCharType="end"/>
            </w:r>
          </w:hyperlink>
        </w:p>
        <w:p w:rsidR="00491531" w:rsidRDefault="009A471F" w:rsidP="00491531">
          <w:r>
            <w:lastRenderedPageBreak/>
            <w:fldChar w:fldCharType="end"/>
          </w:r>
        </w:p>
      </w:sdtContent>
    </w:sdt>
    <w:bookmarkStart w:id="7" w:name="_heading=h.sgphu611uu83" w:colFirst="0" w:colLast="0" w:displacedByCustomXml="prev"/>
    <w:bookmarkEnd w:id="7" w:displacedByCustomXml="prev"/>
    <w:p w:rsidR="00491531" w:rsidRDefault="00491531" w:rsidP="00491531"/>
    <w:p w:rsidR="00621D05" w:rsidRPr="000A11B6" w:rsidRDefault="008240CA" w:rsidP="00491531">
      <w:pPr>
        <w:rPr>
          <w:b/>
          <w:sz w:val="28"/>
          <w:szCs w:val="28"/>
        </w:rPr>
      </w:pPr>
      <w:r w:rsidRPr="000A11B6">
        <w:rPr>
          <w:b/>
          <w:sz w:val="28"/>
          <w:szCs w:val="28"/>
        </w:rPr>
        <w:t>Chapter 1: Introduction</w:t>
      </w:r>
    </w:p>
    <w:p w:rsidR="00621D05" w:rsidRDefault="008240CA">
      <w:pPr>
        <w:pStyle w:val="normal2"/>
      </w:pPr>
      <w:r>
        <w:rPr>
          <w:b/>
          <w:bCs/>
          <w:sz w:val="28"/>
          <w:szCs w:val="28"/>
        </w:rPr>
        <w:t>1.1 Background and Context</w:t>
      </w:r>
    </w:p>
    <w:p w:rsidR="00621D05" w:rsidRDefault="008240CA">
      <w:pPr>
        <w:pStyle w:val="normal2"/>
      </w:pPr>
      <w:r>
        <w:t>Hybrid working, pressure on costs and sustainability demands are changing the face of the UK's workplace. The original blended working at 28% January to March 2025, should be kept but the reference to this should be changed from ONS (2023) to the correct ONS source (2025). The latter quote - 2 in every 3 working adult’s hybrid worked - should have been stripped out, as it is inconsistent with the 28% figure.</w:t>
      </w:r>
    </w:p>
    <w:p w:rsidR="00621D05" w:rsidRDefault="008240CA">
      <w:pPr>
        <w:pStyle w:val="normal2"/>
        <w:jc w:val="center"/>
        <w:rPr>
          <w:b/>
          <w:bCs/>
          <w:i/>
          <w:iCs/>
        </w:rPr>
      </w:pPr>
      <w:r>
        <w:rPr>
          <w:b/>
          <w:bCs/>
          <w:i/>
          <w:iCs/>
          <w:noProof/>
        </w:rPr>
        <w:drawing>
          <wp:inline distT="114300" distB="114300" distL="114300" distR="114300">
            <wp:extent cx="4829175" cy="2878931"/>
            <wp:effectExtent l="12700" t="12700" r="12700" b="12700"/>
            <wp:docPr id="12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4829175" cy="2878931"/>
                    </a:xfrm>
                    <a:prstGeom prst="rect">
                      <a:avLst/>
                    </a:prstGeom>
                    <a:ln w="12700">
                      <a:solidFill>
                        <a:srgbClr val="000000"/>
                      </a:solidFill>
                      <a:prstDash val="solid"/>
                    </a:ln>
                  </pic:spPr>
                </pic:pic>
              </a:graphicData>
            </a:graphic>
          </wp:inline>
        </w:drawing>
      </w:r>
    </w:p>
    <w:p w:rsidR="00621D05" w:rsidRDefault="008240CA">
      <w:pPr>
        <w:pStyle w:val="normal2"/>
        <w:jc w:val="center"/>
        <w:rPr>
          <w:b/>
          <w:bCs/>
          <w:i/>
          <w:iCs/>
        </w:rPr>
      </w:pPr>
      <w:r>
        <w:rPr>
          <w:b/>
          <w:bCs/>
          <w:i/>
          <w:iCs/>
        </w:rPr>
        <w:t>Figure 1: Working from Home Statistics UK (2025)</w:t>
      </w:r>
    </w:p>
    <w:p w:rsidR="00621D05" w:rsidRDefault="008240CA">
      <w:pPr>
        <w:pStyle w:val="normal2"/>
        <w:jc w:val="center"/>
        <w:rPr>
          <w:b/>
          <w:bCs/>
          <w:i/>
          <w:iCs/>
        </w:rPr>
      </w:pPr>
      <w:r>
        <w:rPr>
          <w:b/>
          <w:bCs/>
          <w:i/>
          <w:iCs/>
        </w:rPr>
        <w:t>Source:(Dalton, 2025)</w:t>
      </w:r>
    </w:p>
    <w:p w:rsidR="00621D05" w:rsidRDefault="008240CA">
      <w:pPr>
        <w:pStyle w:val="normal2"/>
      </w:pPr>
      <w:r>
        <w:t xml:space="preserve">Technology has the potential to enhance the opportunity by aligning subscriptions, inventory, maintenance, replacement and ESG reporting. Policy is another motivator. There is clear evidence that sustainability is becoming part of the standards for furniture </w:t>
      </w:r>
      <w:r>
        <w:lastRenderedPageBreak/>
        <w:t>and textiles procurement, with UK government guidelines covering both materials. Furniture and textiles are both covered by UK government procurement standards, making sustainability an ever-increasing part of the purchasing criteria. However, regulation can make things more complicated for the operators without necessarily creating demand.</w:t>
      </w:r>
    </w:p>
    <w:p w:rsidR="00621D05" w:rsidRDefault="008240CA">
      <w:pPr>
        <w:pStyle w:val="Heading2"/>
        <w:keepNext w:val="0"/>
        <w:keepLines w:val="0"/>
        <w:spacing w:before="200"/>
      </w:pPr>
      <w:bookmarkStart w:id="8" w:name="_Toc241233870"/>
      <w:r>
        <w:t>1.2 Problem / Opportunity Statement</w:t>
      </w:r>
      <w:bookmarkEnd w:id="8"/>
    </w:p>
    <w:p w:rsidR="00621D05" w:rsidRDefault="008240CA">
      <w:pPr>
        <w:pStyle w:val="normal2"/>
      </w:pPr>
      <w:r>
        <w:t xml:space="preserve">Businesses in the UK are increasingly facing fluctuating office needs, but the furniture business model doesn't match these needs, as furniture purchases are usually made as a fixed asset. EcoLoop Office is a response to a gap in the UK corporate furniture industry, as businesses often buy furniture as a fixed asset in the face of ever-changing work environments. Furniture that may still be useful, but has been left under-used or thrown out due to relocation, downsizing, refurbishment and redesign. This is important as London is cited as the world's second highest office fit-out cost market, with a focus on reducing head-investment (Consultancy UK, 2026). </w:t>
      </w:r>
    </w:p>
    <w:p w:rsidR="00621D05" w:rsidRDefault="008240CA">
      <w:pPr>
        <w:pStyle w:val="normal2"/>
        <w:jc w:val="center"/>
        <w:rPr>
          <w:b/>
          <w:bCs/>
          <w:i/>
          <w:iCs/>
        </w:rPr>
      </w:pPr>
      <w:r>
        <w:rPr>
          <w:b/>
          <w:bCs/>
          <w:i/>
          <w:iCs/>
          <w:noProof/>
        </w:rPr>
        <w:drawing>
          <wp:inline distT="114300" distB="114300" distL="114300" distR="114300">
            <wp:extent cx="4041775" cy="3523599"/>
            <wp:effectExtent l="12700" t="12700" r="12700" b="12700"/>
            <wp:docPr id="12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t="11086" b="17705"/>
                    <a:stretch>
                      <a:fillRect/>
                    </a:stretch>
                  </pic:blipFill>
                  <pic:spPr>
                    <a:xfrm>
                      <a:off x="0" y="0"/>
                      <a:ext cx="4041775" cy="3523599"/>
                    </a:xfrm>
                    <a:prstGeom prst="rect">
                      <a:avLst/>
                    </a:prstGeom>
                    <a:ln w="12700">
                      <a:solidFill>
                        <a:srgbClr val="000000"/>
                      </a:solidFill>
                      <a:prstDash val="solid"/>
                    </a:ln>
                  </pic:spPr>
                </pic:pic>
              </a:graphicData>
            </a:graphic>
          </wp:inline>
        </w:drawing>
      </w:r>
    </w:p>
    <w:p w:rsidR="00621D05" w:rsidRDefault="008240CA">
      <w:pPr>
        <w:pStyle w:val="normal2"/>
        <w:jc w:val="center"/>
        <w:rPr>
          <w:b/>
          <w:bCs/>
          <w:i/>
          <w:iCs/>
        </w:rPr>
      </w:pPr>
      <w:r>
        <w:rPr>
          <w:b/>
          <w:bCs/>
          <w:i/>
          <w:iCs/>
        </w:rPr>
        <w:lastRenderedPageBreak/>
        <w:t>Figure 2: The number of VAT and/or PAYE businesses in the UK increased by 0.4% in the past year</w:t>
      </w:r>
    </w:p>
    <w:p w:rsidR="00621D05" w:rsidRDefault="008240CA">
      <w:pPr>
        <w:pStyle w:val="normal2"/>
        <w:jc w:val="center"/>
        <w:rPr>
          <w:b/>
          <w:bCs/>
          <w:i/>
          <w:iCs/>
        </w:rPr>
      </w:pPr>
      <w:r>
        <w:rPr>
          <w:b/>
          <w:bCs/>
          <w:i/>
          <w:iCs/>
        </w:rPr>
        <w:t>Source: (Business Registers Strategy and Outputs team, 2025)</w:t>
      </w:r>
    </w:p>
    <w:p w:rsidR="00621D05" w:rsidRDefault="008240CA">
      <w:pPr>
        <w:pStyle w:val="normal2"/>
      </w:pPr>
      <w:r>
        <w:t xml:space="preserve">UK businesses are increasingly undergoing a requirement to adapt their offices, so furniture is often being bought as a fixed asset. </w:t>
      </w:r>
      <w:r w:rsidRPr="008F2BD3">
        <w:t>Flexible working and expansion or relocation of offices drive the changing office requirements for businesses in the UK. The purchase of conventional furniture results in a large investment, and in surplus of furnishings. EcoLoop Office does this by implementing a circular subscription service that includes delivery, maintenance, refurbishment, swap out, take back, as well as resale and ESG reporting. A flexible furniture provision for office fit-out in London is assisted by the high costs of office fit-outs (Consultancy UK, 2026).</w:t>
      </w:r>
      <w:r>
        <w:rPr>
          <w:color w:val="FF0000"/>
        </w:rPr>
        <w:t xml:space="preserve"> </w:t>
      </w:r>
      <w:r>
        <w:t>The UK comprises a wide range of businesses, in particular, within the VAT and/or PAYE sector, with 2.73 million businesses recorded in March 2025, as opposed to EcoLoop's addressable market (ONS, 2025). Thus, there is a need to differentiate between demand and market size.</w:t>
      </w:r>
    </w:p>
    <w:p w:rsidR="00621D05" w:rsidRDefault="008240CA">
      <w:pPr>
        <w:pStyle w:val="Heading2"/>
        <w:keepNext w:val="0"/>
        <w:keepLines w:val="0"/>
        <w:spacing w:before="200"/>
      </w:pPr>
      <w:bookmarkStart w:id="9" w:name="_Toc241233871"/>
      <w:r>
        <w:t>1.3 Initial Observation of Demand</w:t>
      </w:r>
      <w:bookmarkEnd w:id="9"/>
    </w:p>
    <w:p w:rsidR="00621D05" w:rsidRDefault="008240CA">
      <w:pPr>
        <w:pStyle w:val="normal2"/>
      </w:pPr>
      <w:r>
        <w:t>Homes England (2025) evidence shows there has been practical reuse with 21 tonnes of office furniture diverted from disposal in 2024/25, and 543 furniture and office-asset items redistributed. This does not mean that they will be willing to pay for a subscription, however. The revised goal is to evaluate the potential for the commercialisation and scale of EcoLoop's circular furniture model for furniture subscription and refurbishment. Objectives should evaluate aspects such as customer adoption, financial/ESG implications, competitive/operational/regulatory aspects and the attractiveness of the target markets, with research questions directly linked to these objectives.</w:t>
      </w:r>
    </w:p>
    <w:p w:rsidR="00621D05" w:rsidRDefault="008240CA">
      <w:pPr>
        <w:pStyle w:val="Heading2"/>
        <w:keepNext w:val="0"/>
        <w:keepLines w:val="0"/>
        <w:spacing w:before="200"/>
      </w:pPr>
      <w:bookmarkStart w:id="10" w:name="_Toc241233872"/>
      <w:r>
        <w:t>1.4 Aim, Objectives and Research Questions</w:t>
      </w:r>
      <w:bookmarkEnd w:id="10"/>
    </w:p>
    <w:p w:rsidR="00621D05" w:rsidRDefault="008240CA">
      <w:pPr>
        <w:pStyle w:val="Heading3"/>
        <w:keepNext w:val="0"/>
        <w:keepLines w:val="0"/>
      </w:pPr>
      <w:bookmarkStart w:id="11" w:name="_Toc241233873"/>
      <w:r>
        <w:t>1.4.1 Research Aim</w:t>
      </w:r>
      <w:bookmarkEnd w:id="11"/>
    </w:p>
    <w:p w:rsidR="00621D05" w:rsidRDefault="008240CA">
      <w:pPr>
        <w:pStyle w:val="normal2"/>
      </w:pPr>
      <w:r>
        <w:lastRenderedPageBreak/>
        <w:t>This research will be used to determine the market viability and commercial feasibility of EcoLoop Office as a viable circular furniture subscription and refurbishment platform for the UK.</w:t>
      </w:r>
    </w:p>
    <w:p w:rsidR="00106A7A" w:rsidRDefault="00106A7A">
      <w:pPr>
        <w:pStyle w:val="Heading3"/>
        <w:keepNext w:val="0"/>
        <w:keepLines w:val="0"/>
      </w:pPr>
    </w:p>
    <w:p w:rsidR="00621D05" w:rsidRDefault="008240CA">
      <w:pPr>
        <w:pStyle w:val="Heading3"/>
        <w:keepNext w:val="0"/>
        <w:keepLines w:val="0"/>
        <w:rPr>
          <w:sz w:val="26"/>
          <w:szCs w:val="26"/>
        </w:rPr>
      </w:pPr>
      <w:bookmarkStart w:id="12" w:name="_Toc241233874"/>
      <w:r>
        <w:t>1.4.2 Research Objectives</w:t>
      </w:r>
      <w:bookmarkEnd w:id="12"/>
    </w:p>
    <w:p w:rsidR="00621D05" w:rsidRPr="00C80F14" w:rsidRDefault="008240CA">
      <w:pPr>
        <w:pStyle w:val="normal2"/>
        <w:numPr>
          <w:ilvl w:val="0"/>
          <w:numId w:val="1"/>
        </w:numPr>
        <w:spacing w:before="240" w:after="0"/>
      </w:pPr>
      <w:r w:rsidRPr="00C80F14">
        <w:t>To assess market demand and market conditions for circular office-furniture subscription services in the UK.</w:t>
      </w:r>
      <w:r w:rsidR="00C80F14" w:rsidRPr="00C80F14">
        <w:t xml:space="preserve"> </w:t>
      </w:r>
    </w:p>
    <w:p w:rsidR="00621D05" w:rsidRPr="00C80F14" w:rsidRDefault="008240CA">
      <w:pPr>
        <w:pStyle w:val="normal2"/>
        <w:numPr>
          <w:ilvl w:val="0"/>
          <w:numId w:val="1"/>
        </w:numPr>
        <w:spacing w:before="0" w:after="0"/>
      </w:pPr>
      <w:r w:rsidRPr="00C80F14">
        <w:t>To evaluate customer adoption factors influencing businesses’ willingness to use office-furniture subscription, rental, refurbishment and take-back services, including cost flexibility and ESG considerations.</w:t>
      </w:r>
    </w:p>
    <w:p w:rsidR="00621D05" w:rsidRPr="00C80F14" w:rsidRDefault="008240CA">
      <w:pPr>
        <w:pStyle w:val="normal2"/>
        <w:numPr>
          <w:ilvl w:val="0"/>
          <w:numId w:val="1"/>
        </w:numPr>
        <w:spacing w:before="0" w:after="0"/>
      </w:pPr>
      <w:r w:rsidRPr="00C80F14">
        <w:t>To assess the financial feasibility of EcoLoop Office by examining its revenue model, costs, pricing, customer targets and potential commercial viability.</w:t>
      </w:r>
    </w:p>
    <w:p w:rsidR="00621D05" w:rsidRPr="00C80F14" w:rsidRDefault="008240CA">
      <w:pPr>
        <w:pStyle w:val="normal2"/>
        <w:numPr>
          <w:ilvl w:val="0"/>
          <w:numId w:val="1"/>
        </w:numPr>
        <w:spacing w:before="0" w:after="0"/>
      </w:pPr>
      <w:r w:rsidRPr="00C80F14">
        <w:t>To evaluate the operational and refurbishment feasibility of EcoLoop Office, including furniture acquisition, delivery, maintenance, refurbishment, swap-out, take-back, resale and lifecycle management.</w:t>
      </w:r>
    </w:p>
    <w:p w:rsidR="00621D05" w:rsidRPr="00C80F14" w:rsidRDefault="008240CA">
      <w:pPr>
        <w:pStyle w:val="normal2"/>
        <w:numPr>
          <w:ilvl w:val="0"/>
          <w:numId w:val="1"/>
        </w:numPr>
        <w:spacing w:before="0"/>
      </w:pPr>
      <w:r w:rsidRPr="00C80F14">
        <w:t>To identify competitive pressures, regulatory factors and market barriers affecting the development and operation of circular office-furniture platforms in the UK.</w:t>
      </w:r>
    </w:p>
    <w:p w:rsidR="00621D05" w:rsidRDefault="008240CA">
      <w:pPr>
        <w:pStyle w:val="Heading3"/>
        <w:keepNext w:val="0"/>
        <w:keepLines w:val="0"/>
      </w:pPr>
      <w:bookmarkStart w:id="13" w:name="_Toc241233875"/>
      <w:r>
        <w:t>1.4.3 Research Questions</w:t>
      </w:r>
      <w:bookmarkEnd w:id="13"/>
    </w:p>
    <w:p w:rsidR="00621D05" w:rsidRDefault="008240CA">
      <w:pPr>
        <w:pStyle w:val="normal2"/>
        <w:numPr>
          <w:ilvl w:val="0"/>
          <w:numId w:val="2"/>
        </w:numPr>
        <w:spacing w:after="0"/>
        <w:jc w:val="left"/>
      </w:pPr>
      <w:r>
        <w:t>How much of a market exists for subscription furniture in the UK Office Fit-out Industry?</w:t>
      </w:r>
    </w:p>
    <w:p w:rsidR="00621D05" w:rsidRDefault="008240CA">
      <w:pPr>
        <w:pStyle w:val="normal2"/>
        <w:numPr>
          <w:ilvl w:val="0"/>
          <w:numId w:val="2"/>
        </w:numPr>
        <w:spacing w:after="0"/>
        <w:jc w:val="left"/>
      </w:pPr>
      <w:r>
        <w:t>What is the business case for furniture subscription and refurbishment, offering cost and value flexibility for UK businesses in terms of ESG value?</w:t>
      </w:r>
    </w:p>
    <w:p w:rsidR="00621D05" w:rsidRDefault="008240CA">
      <w:pPr>
        <w:pStyle w:val="Heading2"/>
        <w:keepNext w:val="0"/>
        <w:keepLines w:val="0"/>
        <w:spacing w:before="200"/>
      </w:pPr>
      <w:bookmarkStart w:id="14" w:name="_Toc241233876"/>
      <w:r>
        <w:t>1.5 Scope of Analysis</w:t>
      </w:r>
      <w:bookmarkEnd w:id="14"/>
    </w:p>
    <w:p w:rsidR="00621D05" w:rsidRPr="00C80F14" w:rsidRDefault="008240CA">
      <w:pPr>
        <w:pStyle w:val="normal2"/>
        <w:spacing w:before="240"/>
      </w:pPr>
      <w:r w:rsidRPr="00C80F14">
        <w:t xml:space="preserve">The study spans the corporate office fit-out and refurbishment market in the UK and addresses two key drivers of the market namely, demand, customers value, competition and cost flexibility, ESG value, regulation, commercial viability. Consumer/Residential </w:t>
      </w:r>
      <w:r w:rsidRPr="00C80F14">
        <w:lastRenderedPageBreak/>
        <w:t>markets are additional exclusions along with interviews/surveys. This analysis excludes general office waste management, waste-collection services, and covers only that of ‘ Circular Office-Furniture services: subscription, refurbishment, life cycle'.</w:t>
      </w:r>
    </w:p>
    <w:p w:rsidR="00106A7A" w:rsidRDefault="00106A7A">
      <w:pPr>
        <w:pStyle w:val="Heading2"/>
        <w:keepNext w:val="0"/>
        <w:keepLines w:val="0"/>
        <w:spacing w:before="200"/>
      </w:pPr>
    </w:p>
    <w:p w:rsidR="00621D05" w:rsidRDefault="008240CA">
      <w:pPr>
        <w:pStyle w:val="Heading2"/>
        <w:keepNext w:val="0"/>
        <w:keepLines w:val="0"/>
        <w:spacing w:before="200"/>
      </w:pPr>
      <w:bookmarkStart w:id="15" w:name="_Toc241233877"/>
      <w:r>
        <w:t>1.6 Structure of the Report</w:t>
      </w:r>
      <w:bookmarkEnd w:id="15"/>
    </w:p>
    <w:p w:rsidR="00621D05" w:rsidRDefault="008240CA">
      <w:pPr>
        <w:pStyle w:val="normal2"/>
      </w:pPr>
      <w:r>
        <w:t>This introduction is followed by a critical review of relevant literature and theories, an explanation of the secondary research method, an assessment of market opportunity and assessment of the external environment, findings analysis, business model and commercial feasibility analysis, all leading to evidence-based recommendations.</w:t>
      </w:r>
    </w:p>
    <w:p w:rsidR="00621D05" w:rsidRDefault="00621D05">
      <w:pPr>
        <w:pStyle w:val="Heading1"/>
        <w:keepNext w:val="0"/>
        <w:keepLines w:val="0"/>
        <w:spacing w:before="200"/>
      </w:pPr>
    </w:p>
    <w:p w:rsidR="00106A7A" w:rsidRDefault="00106A7A">
      <w:pPr>
        <w:pStyle w:val="Heading1"/>
        <w:keepNext w:val="0"/>
        <w:keepLines w:val="0"/>
        <w:spacing w:before="200"/>
      </w:pPr>
    </w:p>
    <w:p w:rsidR="00106A7A" w:rsidRDefault="00106A7A">
      <w:pPr>
        <w:pStyle w:val="Heading1"/>
        <w:keepNext w:val="0"/>
        <w:keepLines w:val="0"/>
        <w:spacing w:before="200"/>
      </w:pPr>
    </w:p>
    <w:p w:rsidR="00106A7A" w:rsidRDefault="00106A7A">
      <w:pPr>
        <w:pStyle w:val="Heading1"/>
        <w:keepNext w:val="0"/>
        <w:keepLines w:val="0"/>
        <w:spacing w:before="200"/>
      </w:pPr>
    </w:p>
    <w:p w:rsidR="00106A7A" w:rsidRDefault="00106A7A">
      <w:pPr>
        <w:pStyle w:val="Heading1"/>
        <w:keepNext w:val="0"/>
        <w:keepLines w:val="0"/>
        <w:spacing w:before="200"/>
      </w:pPr>
    </w:p>
    <w:p w:rsidR="00106A7A" w:rsidRDefault="00106A7A">
      <w:pPr>
        <w:pStyle w:val="Heading1"/>
        <w:keepNext w:val="0"/>
        <w:keepLines w:val="0"/>
        <w:spacing w:before="200"/>
      </w:pPr>
    </w:p>
    <w:p w:rsidR="00106A7A" w:rsidRDefault="00106A7A">
      <w:pPr>
        <w:pStyle w:val="Heading1"/>
        <w:keepNext w:val="0"/>
        <w:keepLines w:val="0"/>
        <w:spacing w:before="200"/>
      </w:pPr>
    </w:p>
    <w:p w:rsidR="00106A7A" w:rsidRDefault="00106A7A">
      <w:pPr>
        <w:pStyle w:val="Heading1"/>
        <w:keepNext w:val="0"/>
        <w:keepLines w:val="0"/>
        <w:spacing w:before="200"/>
      </w:pPr>
    </w:p>
    <w:p w:rsidR="00106A7A" w:rsidRDefault="00106A7A">
      <w:pPr>
        <w:pStyle w:val="Heading1"/>
        <w:keepNext w:val="0"/>
        <w:keepLines w:val="0"/>
        <w:spacing w:before="200"/>
      </w:pPr>
    </w:p>
    <w:p w:rsidR="00106A7A" w:rsidRDefault="00106A7A">
      <w:pPr>
        <w:pStyle w:val="Heading1"/>
        <w:keepNext w:val="0"/>
        <w:keepLines w:val="0"/>
        <w:spacing w:before="200"/>
      </w:pPr>
    </w:p>
    <w:p w:rsidR="00106A7A" w:rsidRDefault="00106A7A">
      <w:pPr>
        <w:pStyle w:val="Heading1"/>
        <w:keepNext w:val="0"/>
        <w:keepLines w:val="0"/>
        <w:spacing w:before="200"/>
      </w:pPr>
    </w:p>
    <w:p w:rsidR="00106A7A" w:rsidRDefault="00106A7A">
      <w:pPr>
        <w:pStyle w:val="Heading1"/>
        <w:keepNext w:val="0"/>
        <w:keepLines w:val="0"/>
        <w:spacing w:before="200"/>
      </w:pPr>
    </w:p>
    <w:p w:rsidR="00106A7A" w:rsidRDefault="00106A7A">
      <w:pPr>
        <w:pStyle w:val="Heading1"/>
        <w:keepNext w:val="0"/>
        <w:keepLines w:val="0"/>
        <w:spacing w:before="200"/>
      </w:pPr>
    </w:p>
    <w:p w:rsidR="00106A7A" w:rsidRDefault="00106A7A">
      <w:pPr>
        <w:pStyle w:val="Heading1"/>
        <w:keepNext w:val="0"/>
        <w:keepLines w:val="0"/>
        <w:spacing w:before="200"/>
      </w:pPr>
    </w:p>
    <w:p w:rsidR="00106A7A" w:rsidRDefault="00106A7A">
      <w:pPr>
        <w:pStyle w:val="Heading1"/>
        <w:keepNext w:val="0"/>
        <w:keepLines w:val="0"/>
        <w:spacing w:before="200"/>
      </w:pPr>
    </w:p>
    <w:p w:rsidR="00621D05" w:rsidRDefault="008240CA">
      <w:pPr>
        <w:pStyle w:val="Heading1"/>
        <w:keepNext w:val="0"/>
        <w:keepLines w:val="0"/>
        <w:spacing w:before="200"/>
      </w:pPr>
      <w:bookmarkStart w:id="16" w:name="_Toc241233878"/>
      <w:r>
        <w:t>Chapter 2: Company Description</w:t>
      </w:r>
      <w:bookmarkEnd w:id="16"/>
    </w:p>
    <w:p w:rsidR="00621D05" w:rsidRDefault="008240CA">
      <w:pPr>
        <w:pStyle w:val="Heading2"/>
        <w:keepNext w:val="0"/>
        <w:keepLines w:val="0"/>
        <w:spacing w:before="200"/>
      </w:pPr>
      <w:bookmarkStart w:id="17" w:name="_Toc241233879"/>
      <w:r>
        <w:t>2.1 Business Identity and Legal Structure</w:t>
      </w:r>
      <w:bookmarkEnd w:id="17"/>
      <w:r>
        <w:t xml:space="preserve"> </w:t>
      </w:r>
    </w:p>
    <w:p w:rsidR="00621D05" w:rsidRDefault="008240CA">
      <w:pPr>
        <w:pStyle w:val="normal2"/>
      </w:pPr>
      <w:r w:rsidRPr="00C80F14">
        <w:t>EcoLoop Office is a proposed B2B circular office-furniture-as-a-service venture providing subscription-based access to office furniture, supported by maintenance, refurbishment, swap-out, take-back, resale and ESG reporting.</w:t>
      </w:r>
      <w:r>
        <w:t xml:space="preserve"> The company structure is explanatory and unconfirmed, as is its London location, though it might be incorporated and have a history. No incorporated company or history is provided, suggesting that the company structure is illustrative and that the head office is in London. It has four central values: circularity, affordability, reliability, transparency and customer flexibility.</w:t>
      </w:r>
    </w:p>
    <w:p w:rsidR="00621D05" w:rsidRDefault="008240CA">
      <w:pPr>
        <w:pStyle w:val="normal2"/>
        <w:jc w:val="center"/>
        <w:rPr>
          <w:b/>
          <w:bCs/>
          <w:i/>
          <w:iCs/>
        </w:rPr>
      </w:pPr>
      <w:r>
        <w:rPr>
          <w:b/>
          <w:bCs/>
          <w:i/>
          <w:iCs/>
          <w:noProof/>
        </w:rPr>
        <w:drawing>
          <wp:inline distT="114300" distB="114300" distL="114300" distR="114300">
            <wp:extent cx="4929188" cy="3286125"/>
            <wp:effectExtent l="12700" t="12700" r="12700" b="12700"/>
            <wp:docPr id="12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4929188" cy="3286125"/>
                    </a:xfrm>
                    <a:prstGeom prst="rect">
                      <a:avLst/>
                    </a:prstGeom>
                    <a:ln w="12700">
                      <a:solidFill>
                        <a:srgbClr val="000000"/>
                      </a:solidFill>
                      <a:prstDash val="solid"/>
                    </a:ln>
                  </pic:spPr>
                </pic:pic>
              </a:graphicData>
            </a:graphic>
          </wp:inline>
        </w:drawing>
      </w:r>
    </w:p>
    <w:p w:rsidR="00621D05" w:rsidRDefault="008240CA">
      <w:pPr>
        <w:pStyle w:val="normal2"/>
        <w:jc w:val="center"/>
        <w:rPr>
          <w:b/>
          <w:bCs/>
          <w:i/>
          <w:iCs/>
        </w:rPr>
      </w:pPr>
      <w:r>
        <w:rPr>
          <w:b/>
          <w:bCs/>
          <w:i/>
          <w:iCs/>
        </w:rPr>
        <w:lastRenderedPageBreak/>
        <w:t>Figure 3: Ecoloop</w:t>
      </w:r>
    </w:p>
    <w:p w:rsidR="00621D05" w:rsidRDefault="008240CA">
      <w:pPr>
        <w:pStyle w:val="normal2"/>
        <w:jc w:val="center"/>
        <w:rPr>
          <w:b/>
          <w:bCs/>
          <w:i/>
          <w:iCs/>
        </w:rPr>
      </w:pPr>
      <w:r>
        <w:rPr>
          <w:b/>
          <w:bCs/>
          <w:i/>
          <w:iCs/>
        </w:rPr>
        <w:t>Source: Self-developed</w:t>
      </w:r>
    </w:p>
    <w:p w:rsidR="00621D05" w:rsidRDefault="008240CA">
      <w:pPr>
        <w:pStyle w:val="normal2"/>
      </w:pPr>
      <w:r>
        <w:t>This is an adequate structure to meet the needs of the model, which need investment in inventory, refurbishment costs, technology and working capital, and where founders also have limited personal liability. It aims to be more flexible, affordable and circular in the world of office furniture and aspires to be a scalable platform for furniture-as-a-service in the UK. Core values are circularity, affordability, reliability, transparency and customer flexibility.</w:t>
      </w:r>
    </w:p>
    <w:p w:rsidR="00621D05" w:rsidRDefault="008240CA">
      <w:pPr>
        <w:pStyle w:val="Heading2"/>
        <w:keepNext w:val="0"/>
        <w:keepLines w:val="0"/>
        <w:spacing w:before="200"/>
      </w:pPr>
      <w:bookmarkStart w:id="18" w:name="_Toc241233880"/>
      <w:r>
        <w:t>2.2 Product/Service and Problem Solved</w:t>
      </w:r>
      <w:bookmarkEnd w:id="18"/>
    </w:p>
    <w:p w:rsidR="00621D05" w:rsidRDefault="008240CA">
      <w:pPr>
        <w:pStyle w:val="normal2"/>
      </w:pPr>
      <w:r>
        <w:t>This service includes delivery &amp; installation, maintenance &amp; refurbishment, flexible swap-out, take-back, resale and ESG impact reporting. This counters high initial purchase expenditures, excess desk furnishings resulting from relocating and downsizing and disposal needs. There is some evidence that around 1.2 million desks and 1.8 million chairs are discarded each year and that 17% of desks can be recycled, so there is some evidence of the resource problem (WRAP, 2025), but it does not prove the customer demand problem. Hence, the quality, hygiene, availability and pricing should be evaluated.</w:t>
      </w:r>
    </w:p>
    <w:p w:rsidR="00621D05" w:rsidRDefault="008240CA">
      <w:pPr>
        <w:pStyle w:val="Heading2"/>
        <w:keepNext w:val="0"/>
        <w:keepLines w:val="0"/>
        <w:spacing w:before="200"/>
      </w:pPr>
      <w:bookmarkStart w:id="19" w:name="_Toc241233881"/>
      <w:r>
        <w:t>2.3 Founding Idea and History</w:t>
      </w:r>
      <w:bookmarkEnd w:id="19"/>
    </w:p>
    <w:p w:rsidR="00621D05" w:rsidRDefault="008240CA">
      <w:pPr>
        <w:pStyle w:val="normal2"/>
      </w:pPr>
      <w:r>
        <w:t xml:space="preserve">EcoLoop Office is not a company; it is a proposed new venture and a founder biography and operating history is not provided. The founding concept is based on the identified gap of the conventional furniture purchase-use-dispose cycle and furniture circular management. The idea is a mix of subscription model and refurbishment, re-use, replacement and lifecycle reporting. </w:t>
      </w:r>
    </w:p>
    <w:p w:rsidR="00621D05" w:rsidRDefault="008240CA">
      <w:pPr>
        <w:pStyle w:val="normal2"/>
        <w:jc w:val="center"/>
        <w:rPr>
          <w:b/>
          <w:bCs/>
          <w:i/>
          <w:iCs/>
        </w:rPr>
      </w:pPr>
      <w:r>
        <w:rPr>
          <w:b/>
          <w:bCs/>
          <w:i/>
          <w:iCs/>
          <w:noProof/>
        </w:rPr>
        <w:lastRenderedPageBreak/>
        <w:drawing>
          <wp:inline distT="114300" distB="114300" distL="114300" distR="114300">
            <wp:extent cx="5943600" cy="2765310"/>
            <wp:effectExtent l="12700" t="12700" r="12700" b="12700"/>
            <wp:docPr id="12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t="8639" b="8732"/>
                    <a:stretch>
                      <a:fillRect/>
                    </a:stretch>
                  </pic:blipFill>
                  <pic:spPr>
                    <a:xfrm>
                      <a:off x="0" y="0"/>
                      <a:ext cx="5943600" cy="2765310"/>
                    </a:xfrm>
                    <a:prstGeom prst="rect">
                      <a:avLst/>
                    </a:prstGeom>
                    <a:ln w="12700">
                      <a:solidFill>
                        <a:srgbClr val="000000"/>
                      </a:solidFill>
                      <a:prstDash val="solid"/>
                    </a:ln>
                  </pic:spPr>
                </pic:pic>
              </a:graphicData>
            </a:graphic>
          </wp:inline>
        </w:drawing>
      </w:r>
    </w:p>
    <w:p w:rsidR="00621D05" w:rsidRDefault="008240CA">
      <w:pPr>
        <w:pStyle w:val="normal2"/>
        <w:jc w:val="center"/>
        <w:rPr>
          <w:b/>
          <w:bCs/>
          <w:i/>
          <w:iCs/>
        </w:rPr>
      </w:pPr>
      <w:r>
        <w:rPr>
          <w:b/>
          <w:bCs/>
          <w:i/>
          <w:iCs/>
        </w:rPr>
        <w:t>Figure 4: UK Eco-friendly Furniture Market Size &amp; Outlook, 2033</w:t>
      </w:r>
    </w:p>
    <w:p w:rsidR="00621D05" w:rsidRDefault="008240CA">
      <w:pPr>
        <w:pStyle w:val="normal2"/>
        <w:jc w:val="center"/>
        <w:rPr>
          <w:b/>
          <w:bCs/>
          <w:i/>
          <w:iCs/>
        </w:rPr>
      </w:pPr>
      <w:r>
        <w:rPr>
          <w:b/>
          <w:bCs/>
          <w:i/>
          <w:iCs/>
        </w:rPr>
        <w:t>Source: (Grand View Research, 2024)</w:t>
      </w:r>
    </w:p>
    <w:p w:rsidR="00621D05" w:rsidRDefault="008240CA">
      <w:pPr>
        <w:pStyle w:val="normal2"/>
      </w:pPr>
      <w:r>
        <w:t>For office furniture, refurbishment/repair and redistribution/re-use are estimated to be worth £250 million (excluding VAT) as part of the 2025 sustainable furniture framework (Find a Tender, 2025). This is procrastination and not the level of absolute subscription demand. As indicated in the evidence, circular procurement has taken place at the institutions, but not necessarily on a scale that will enable commercial success of a subscription model.</w:t>
      </w:r>
    </w:p>
    <w:p w:rsidR="00621D05" w:rsidRDefault="008240CA">
      <w:pPr>
        <w:pStyle w:val="Heading2"/>
        <w:keepNext w:val="0"/>
        <w:keepLines w:val="0"/>
        <w:spacing w:before="200"/>
      </w:pPr>
      <w:bookmarkStart w:id="20" w:name="_Toc241233882"/>
      <w:r>
        <w:t>2.4 SMART Business Objectives and Goals</w:t>
      </w:r>
      <w:bookmarkEnd w:id="20"/>
    </w:p>
    <w:p w:rsidR="00621D05" w:rsidRDefault="000A11B6">
      <w:pPr>
        <w:pStyle w:val="normal2"/>
        <w:rPr>
          <w:b/>
          <w:bCs/>
        </w:rPr>
      </w:pPr>
      <w:r>
        <w:rPr>
          <w:b/>
          <w:bCs/>
        </w:rPr>
        <w:t>Table 1.</w:t>
      </w:r>
      <w:r w:rsidR="008240CA">
        <w:rPr>
          <w:b/>
          <w:bCs/>
        </w:rPr>
        <w:t xml:space="preserve"> SMART Objectives</w:t>
      </w:r>
    </w:p>
    <w:tbl>
      <w:tblPr>
        <w:tblStyle w:val="affffffffffffff2"/>
        <w:tblW w:w="9360" w:type="dxa"/>
        <w:tblBorders>
          <w:top w:val="nil"/>
          <w:left w:val="nil"/>
          <w:bottom w:val="nil"/>
          <w:right w:val="nil"/>
          <w:insideH w:val="nil"/>
          <w:insideV w:val="nil"/>
        </w:tblBorders>
        <w:tblLayout w:type="fixed"/>
        <w:tblLook w:val="0600"/>
      </w:tblPr>
      <w:tblGrid>
        <w:gridCol w:w="2385"/>
        <w:gridCol w:w="1454"/>
        <w:gridCol w:w="1384"/>
        <w:gridCol w:w="1891"/>
        <w:gridCol w:w="1313"/>
        <w:gridCol w:w="933"/>
      </w:tblGrid>
      <w:tr w:rsidR="00621D05">
        <w:trPr>
          <w:cantSplit/>
          <w:trHeight w:val="800"/>
          <w:tblHeader/>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Objective</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Specific</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Measurable</w:t>
            </w:r>
          </w:p>
        </w:tc>
        <w:tc>
          <w:tcPr>
            <w:tcW w:w="18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Achievable</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Relevant</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Time-bound</w:t>
            </w:r>
          </w:p>
        </w:tc>
      </w:tr>
      <w:tr w:rsidR="00621D05">
        <w:trPr>
          <w:cantSplit/>
          <w:trHeight w:val="1370"/>
          <w:tblHeader/>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lastRenderedPageBreak/>
              <w:t>Lead over 50 UK customers through direct sales and partnerships.</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UK businesses</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50 or 60 customers</w:t>
            </w:r>
          </w:p>
        </w:tc>
        <w:tc>
          <w:tcPr>
            <w:tcW w:w="18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Sales/partnerships</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Builds customer base</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12 months</w:t>
            </w:r>
          </w:p>
        </w:tc>
      </w:tr>
      <w:tr w:rsidR="00621D05">
        <w:trPr>
          <w:cantSplit/>
          <w:trHeight w:val="1640"/>
          <w:tblHeader/>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To reach the 70% average inventory utilisation with minimum idle inventory and storage expenses.</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Subscription furniture</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70% utilisation</w:t>
            </w:r>
          </w:p>
        </w:tc>
        <w:tc>
          <w:tcPr>
            <w:tcW w:w="18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Reduce idle assets</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Improves efficiency</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Month 18</w:t>
            </w:r>
          </w:p>
        </w:tc>
      </w:tr>
      <w:tr w:rsidR="00621D05">
        <w:trPr>
          <w:cantSplit/>
          <w:trHeight w:val="1085"/>
          <w:tblHeader/>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To return at least 80% of furniture for re-use/refurbishment.</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Returned furniture</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80%</w:t>
            </w:r>
          </w:p>
        </w:tc>
        <w:tc>
          <w:tcPr>
            <w:tcW w:w="18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Reduce disposal</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Supports circularity</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24 months</w:t>
            </w:r>
          </w:p>
        </w:tc>
      </w:tr>
      <w:tr w:rsidR="00621D05">
        <w:trPr>
          <w:cantSplit/>
          <w:trHeight w:val="1085"/>
          <w:tblHeader/>
        </w:trPr>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To achieve 75% customer retention.</w:t>
            </w:r>
          </w:p>
        </w:tc>
        <w:tc>
          <w:tcPr>
            <w:tcW w:w="14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Existing customers</w:t>
            </w:r>
          </w:p>
        </w:tc>
        <w:tc>
          <w:tcPr>
            <w:tcW w:w="13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75% retention</w:t>
            </w:r>
          </w:p>
        </w:tc>
        <w:tc>
          <w:tcPr>
            <w:tcW w:w="18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Maintain relationships</w:t>
            </w:r>
          </w:p>
        </w:tc>
        <w:tc>
          <w:tcPr>
            <w:tcW w:w="1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Supports recurring revenue</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Year 2</w:t>
            </w:r>
          </w:p>
        </w:tc>
      </w:tr>
    </w:tbl>
    <w:p w:rsidR="00621D05" w:rsidRDefault="008240CA">
      <w:pPr>
        <w:pStyle w:val="Heading2"/>
        <w:keepNext w:val="0"/>
        <w:keepLines w:val="0"/>
        <w:spacing w:before="200"/>
      </w:pPr>
      <w:bookmarkStart w:id="21" w:name="_Toc241233883"/>
      <w:r>
        <w:t>2.5 Core Values and Trend Alignment</w:t>
      </w:r>
      <w:bookmarkEnd w:id="21"/>
    </w:p>
    <w:p w:rsidR="00621D05" w:rsidRDefault="008240CA">
      <w:pPr>
        <w:pStyle w:val="normal2"/>
      </w:pPr>
      <w:r>
        <w:t>EcoLoop philosophy resonates well with the concept of the circular economy and flexibility of workplaces. Two in every three working adults</w:t>
      </w:r>
      <w:r>
        <w:rPr>
          <w:rFonts w:ascii="Times New Roman" w:eastAsia="Times New Roman" w:hAnsi="Times New Roman" w:cs="Times New Roman"/>
        </w:rPr>
        <w:t>The search should include ONS, GOV.UK</w:t>
      </w:r>
      <w:r>
        <w:t xml:space="preserve"> hybrid worked throughout January to March 2025, further supporting the argument for the need of flexible workplace resources (ONS 2025). Government modelling also suggests the policies for furniture resource-efficiency could result in a reduction of territorial greenhouse-gas emissions in the UK of 4 MtCO2e from 2021 to 2050 (Department for Environment, Food and Rural Affairs, 2023). EcoLoop therefore combines value for the environment with operational flexibility. Its differentiation, however, has to be proven through measurable cost savings, utilisation, re-use, and reliability of service, and not just the sustainability claims. As such, operational measurement becomes a key element of credibility and a successful long-term commercial positioning.</w:t>
      </w:r>
    </w:p>
    <w:p w:rsidR="00621D05" w:rsidRDefault="008240CA">
      <w:pPr>
        <w:pStyle w:val="Heading1"/>
        <w:keepNext w:val="0"/>
        <w:keepLines w:val="0"/>
        <w:spacing w:before="200"/>
      </w:pPr>
      <w:bookmarkStart w:id="22" w:name="_heading=h.o6vikpjznuvp" w:colFirst="0" w:colLast="0"/>
      <w:bookmarkEnd w:id="22"/>
      <w:r>
        <w:br w:type="page"/>
      </w:r>
    </w:p>
    <w:p w:rsidR="00621D05" w:rsidRDefault="008240CA">
      <w:pPr>
        <w:pStyle w:val="Heading1"/>
        <w:keepNext w:val="0"/>
        <w:keepLines w:val="0"/>
        <w:spacing w:before="200"/>
      </w:pPr>
      <w:bookmarkStart w:id="23" w:name="_Toc241233884"/>
      <w:r>
        <w:lastRenderedPageBreak/>
        <w:t>Chapter 3: Literature Review</w:t>
      </w:r>
      <w:bookmarkEnd w:id="23"/>
    </w:p>
    <w:p w:rsidR="00621D05" w:rsidRDefault="008240CA">
      <w:pPr>
        <w:pStyle w:val="Heading2"/>
        <w:keepNext w:val="0"/>
        <w:keepLines w:val="0"/>
        <w:spacing w:before="200"/>
      </w:pPr>
      <w:bookmarkStart w:id="24" w:name="_Toc241233885"/>
      <w:r>
        <w:t>3.1 UK Office Fit-Out and Furniture Market</w:t>
      </w:r>
      <w:bookmarkEnd w:id="24"/>
    </w:p>
    <w:p w:rsidR="00621D05" w:rsidRDefault="008240CA">
      <w:pPr>
        <w:pStyle w:val="normal2"/>
      </w:pPr>
      <w:r>
        <w:t xml:space="preserve">In the UK, flexible working and the shifting shapes of offices, cost constraints and sustainability demands are transforming fit-outs and furniture. Two areas that have been pointed out by McAllister and Nase (2023) are sustainable refurbishment, while Surma </w:t>
      </w:r>
      <w:r>
        <w:rPr>
          <w:i/>
          <w:iCs/>
        </w:rPr>
        <w:t>et al</w:t>
      </w:r>
      <w:r>
        <w:t>. (2021) connect flexibility with new working post-COVID. Extending the furniture lifecycle with circular design (Pei, Italia and Melazzini 2024) and procurement reliability during organisational change (Njølstad Slotsvik, Gould and Hayes 2025) are both critical to better connecting furniture with organisations. But these results don't necessarily indicate that subscribers were needed for these. Having</w:t>
      </w:r>
      <w:r>
        <w:rPr>
          <w:i/>
          <w:iCs/>
        </w:rPr>
        <w:t xml:space="preserve"> et al.</w:t>
      </w:r>
      <w:r>
        <w:t xml:space="preserve"> (2019) and Bennett and Mayouf (2021) agree that whole-life value management is a solution, and flexible design is a solution, according to Daglio </w:t>
      </w:r>
      <w:r>
        <w:rPr>
          <w:i/>
          <w:iCs/>
        </w:rPr>
        <w:t>et al.</w:t>
      </w:r>
      <w:r>
        <w:t xml:space="preserve"> (2023). Measurable outcomes are also becoming a growing element of ESG pressures, as noted by Halat </w:t>
      </w:r>
      <w:r>
        <w:rPr>
          <w:i/>
          <w:iCs/>
        </w:rPr>
        <w:t>et al</w:t>
      </w:r>
      <w:r>
        <w:t>. (2026) in their consideration of Scope 3 pressures. EcoLoop's opportunity is therefore based on measurable value to the community that is financial, operational and environmental.</w:t>
      </w:r>
    </w:p>
    <w:p w:rsidR="00621D05" w:rsidRDefault="008240CA">
      <w:pPr>
        <w:pStyle w:val="Heading2"/>
        <w:keepNext w:val="0"/>
        <w:keepLines w:val="0"/>
        <w:spacing w:before="200"/>
      </w:pPr>
      <w:bookmarkStart w:id="25" w:name="_Toc241233886"/>
      <w:r>
        <w:t>3.2 Circular Economy Theory</w:t>
      </w:r>
      <w:bookmarkEnd w:id="25"/>
    </w:p>
    <w:p w:rsidR="00621D05" w:rsidRDefault="008240CA">
      <w:pPr>
        <w:pStyle w:val="normal2"/>
      </w:pPr>
      <w:r>
        <w:t xml:space="preserve">Circular Economy Theory encourages to extend the life of products and materials. Morseletto (2023) considers circularity to be a transition and Milios (2021) at the other end of the spectrum defines product-life extension as an “intervention into business”. EcoLoop embraces these principles in terms of re-using, refurbishing, maintenance, swapping and resale. Kans and Hetti Arachchige and Paulin (2024) highlight durability, collection systems, refurbishment quality and customer acceptance, while Kusumo </w:t>
      </w:r>
      <w:r>
        <w:rPr>
          <w:i/>
          <w:iCs/>
        </w:rPr>
        <w:t>et al</w:t>
      </w:r>
      <w:r>
        <w:t>. (2022) focus on measurable indicators of the circularity.</w:t>
      </w:r>
    </w:p>
    <w:p w:rsidR="00621D05" w:rsidRDefault="008240CA">
      <w:pPr>
        <w:pStyle w:val="normal2"/>
        <w:jc w:val="center"/>
        <w:rPr>
          <w:b/>
          <w:bCs/>
          <w:i/>
          <w:iCs/>
        </w:rPr>
      </w:pPr>
      <w:r>
        <w:rPr>
          <w:b/>
          <w:bCs/>
          <w:i/>
          <w:iCs/>
          <w:noProof/>
        </w:rPr>
        <w:lastRenderedPageBreak/>
        <w:drawing>
          <wp:inline distT="114300" distB="114300" distL="114300" distR="114300">
            <wp:extent cx="4711700" cy="3981450"/>
            <wp:effectExtent l="12700" t="12700" r="12700" b="12700"/>
            <wp:docPr id="12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l="6197" t="14573" r="4513" b="9921"/>
                    <a:stretch>
                      <a:fillRect/>
                    </a:stretch>
                  </pic:blipFill>
                  <pic:spPr>
                    <a:xfrm>
                      <a:off x="0" y="0"/>
                      <a:ext cx="4711700" cy="3981450"/>
                    </a:xfrm>
                    <a:prstGeom prst="rect">
                      <a:avLst/>
                    </a:prstGeom>
                    <a:ln w="12700">
                      <a:solidFill>
                        <a:srgbClr val="000000"/>
                      </a:solidFill>
                      <a:prstDash val="solid"/>
                    </a:ln>
                  </pic:spPr>
                </pic:pic>
              </a:graphicData>
            </a:graphic>
          </wp:inline>
        </w:drawing>
      </w:r>
    </w:p>
    <w:p w:rsidR="00621D05" w:rsidRDefault="008240CA">
      <w:pPr>
        <w:pStyle w:val="normal2"/>
        <w:jc w:val="center"/>
        <w:rPr>
          <w:b/>
          <w:bCs/>
          <w:i/>
          <w:iCs/>
        </w:rPr>
      </w:pPr>
      <w:r>
        <w:rPr>
          <w:b/>
          <w:bCs/>
          <w:i/>
          <w:iCs/>
        </w:rPr>
        <w:t>Figure 5: The Circular Economy</w:t>
      </w:r>
    </w:p>
    <w:p w:rsidR="00621D05" w:rsidRDefault="008240CA">
      <w:pPr>
        <w:pStyle w:val="normal2"/>
        <w:jc w:val="center"/>
        <w:rPr>
          <w:b/>
          <w:bCs/>
          <w:i/>
          <w:iCs/>
        </w:rPr>
      </w:pPr>
      <w:r>
        <w:rPr>
          <w:b/>
          <w:bCs/>
          <w:i/>
          <w:iCs/>
        </w:rPr>
        <w:t>Source: (Bio-powder.com, 2023)</w:t>
      </w:r>
    </w:p>
    <w:p w:rsidR="00621D05" w:rsidRDefault="008240CA">
      <w:pPr>
        <w:pStyle w:val="normal2"/>
      </w:pPr>
      <w:r>
        <w:t xml:space="preserve">There are ample examples that others argue product-as-a-service models could help pave the way toward a shift from ownership to access, such as Hidalgo-Crespo </w:t>
      </w:r>
      <w:r>
        <w:rPr>
          <w:i/>
          <w:iCs/>
        </w:rPr>
        <w:t>et al.</w:t>
      </w:r>
      <w:r>
        <w:t xml:space="preserve"> (2024) and Baden and Frei (2021). However, Bressanelli, Saccani and Perona (2022) demonstrate that adoption may be limited by user acceptance and business potential. In addition, coordinated activities within a circular service model are highlighted by Alcayaga and Hansen (2025). CE thus carries environmental reasoning as a driver behind EcoLoop, but without evidence on pricing, utilisation and logistics, CE does not have the ability to create commercial viability.</w:t>
      </w:r>
    </w:p>
    <w:p w:rsidR="00621D05" w:rsidRDefault="00621D05">
      <w:pPr>
        <w:pStyle w:val="Heading2"/>
        <w:spacing w:before="200"/>
      </w:pPr>
      <w:bookmarkStart w:id="26" w:name="_heading=h.l4laawf7z8m3" w:colFirst="0" w:colLast="0"/>
      <w:bookmarkEnd w:id="26"/>
    </w:p>
    <w:p w:rsidR="00621D05" w:rsidRDefault="008240CA">
      <w:pPr>
        <w:pStyle w:val="Heading2"/>
        <w:spacing w:before="200"/>
      </w:pPr>
      <w:bookmarkStart w:id="27" w:name="_Toc241233887"/>
      <w:r>
        <w:t>3.3 Sustainable Business Model Innovation</w:t>
      </w:r>
      <w:bookmarkEnd w:id="27"/>
    </w:p>
    <w:p w:rsidR="00621D05" w:rsidRDefault="008240CA">
      <w:pPr>
        <w:pStyle w:val="normal2"/>
      </w:pPr>
      <w:r>
        <w:t xml:space="preserve">Sustainable Business Model Innovation (SBMI) takes sustainable development into value creation, delivery and capture </w:t>
      </w:r>
      <w:r>
        <w:rPr>
          <w:b/>
          <w:bCs/>
          <w:i/>
          <w:iCs/>
        </w:rPr>
        <w:t>(Refer to Figure 6)</w:t>
      </w:r>
      <w:r>
        <w:t xml:space="preserve">. The authors of the two papers cited above, as well as the authors of the articles, are convinced that companies need to rethink their business logic, and that other business models can include sustainability. Böttcher </w:t>
      </w:r>
      <w:r>
        <w:rPr>
          <w:i/>
          <w:iCs/>
        </w:rPr>
        <w:t>et al.</w:t>
      </w:r>
      <w:r>
        <w:t xml:space="preserve"> (2024) point to digital technology as a facilitator of sustainable business models. </w:t>
      </w:r>
    </w:p>
    <w:p w:rsidR="00621D05" w:rsidRDefault="008240CA">
      <w:pPr>
        <w:pStyle w:val="normal2"/>
        <w:jc w:val="center"/>
        <w:rPr>
          <w:b/>
          <w:bCs/>
          <w:i/>
          <w:iCs/>
        </w:rPr>
      </w:pPr>
      <w:r>
        <w:rPr>
          <w:b/>
          <w:bCs/>
          <w:i/>
          <w:iCs/>
          <w:noProof/>
        </w:rPr>
        <w:drawing>
          <wp:inline distT="114300" distB="114300" distL="114300" distR="114300">
            <wp:extent cx="5943600" cy="3987800"/>
            <wp:effectExtent l="12700" t="12700" r="12700" b="12700"/>
            <wp:docPr id="12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3987800"/>
                    </a:xfrm>
                    <a:prstGeom prst="rect">
                      <a:avLst/>
                    </a:prstGeom>
                    <a:ln w="12700">
                      <a:solidFill>
                        <a:srgbClr val="000000"/>
                      </a:solidFill>
                      <a:prstDash val="solid"/>
                    </a:ln>
                  </pic:spPr>
                </pic:pic>
              </a:graphicData>
            </a:graphic>
          </wp:inline>
        </w:drawing>
      </w:r>
    </w:p>
    <w:p w:rsidR="00621D05" w:rsidRDefault="008240CA">
      <w:pPr>
        <w:pStyle w:val="normal2"/>
        <w:jc w:val="center"/>
        <w:rPr>
          <w:b/>
          <w:bCs/>
          <w:i/>
          <w:iCs/>
        </w:rPr>
      </w:pPr>
      <w:r>
        <w:rPr>
          <w:b/>
          <w:bCs/>
          <w:i/>
          <w:iCs/>
        </w:rPr>
        <w:t>Figure 6: A Sustainable Business Model</w:t>
      </w:r>
    </w:p>
    <w:p w:rsidR="00621D05" w:rsidRDefault="008240CA">
      <w:pPr>
        <w:pStyle w:val="normal2"/>
        <w:jc w:val="center"/>
        <w:rPr>
          <w:b/>
          <w:bCs/>
          <w:i/>
          <w:iCs/>
        </w:rPr>
      </w:pPr>
      <w:r>
        <w:rPr>
          <w:b/>
          <w:bCs/>
          <w:i/>
          <w:iCs/>
        </w:rPr>
        <w:t>Source: (Briggs, 2023)</w:t>
      </w:r>
    </w:p>
    <w:p w:rsidR="00621D05" w:rsidRDefault="008240CA">
      <w:pPr>
        <w:pStyle w:val="normal2"/>
      </w:pPr>
      <w:r>
        <w:lastRenderedPageBreak/>
        <w:t xml:space="preserve">For EcoLoop, SBMI translates to a furniture subscription replacing the one-off furniture sale, maintenance, refurbishment, swapping out, and resale. Poldner, Overdiek and Evangelista (2022), and Su </w:t>
      </w:r>
      <w:r>
        <w:rPr>
          <w:i/>
          <w:iCs/>
        </w:rPr>
        <w:t xml:space="preserve">et al. </w:t>
      </w:r>
      <w:r>
        <w:t>(2025) provide examples of how product-service models can drive the change in consumption from ownership to access. However, there could be a rise in the expenses incurred in warehousing, refurbishment, reverse logistics, and maintenance, as in the case of sustainable innovation. Smiley and Bocken (2022) thus suggest that the ecosystem effects should be taken into account. EcoLoop will be testing the viability of recurring revenue and lifecycle control to overcome the operational complexity.</w:t>
      </w:r>
    </w:p>
    <w:p w:rsidR="00621D05" w:rsidRDefault="008240CA">
      <w:pPr>
        <w:pStyle w:val="Heading2"/>
        <w:keepNext w:val="0"/>
        <w:keepLines w:val="0"/>
        <w:spacing w:before="200"/>
      </w:pPr>
      <w:bookmarkStart w:id="28" w:name="_Toc241233888"/>
      <w:r>
        <w:t>3.4 Strategic Frameworks for Business Development</w:t>
      </w:r>
      <w:bookmarkEnd w:id="28"/>
    </w:p>
    <w:p w:rsidR="00621D05" w:rsidRDefault="008240CA">
      <w:pPr>
        <w:pStyle w:val="normal2"/>
      </w:pPr>
      <w:r>
        <w:t>Jobs to be done (JTBD) uncovers customer needs for furnishing, moving in and out, growing and shrinking, and reveals issues with ownership, cleanliness and remanufactured quality. But it is not able to evaluate broader market conditions. PESTLE therefore looks at the external factors which are likely to affect the business and not at competitive strength.</w:t>
      </w:r>
    </w:p>
    <w:p w:rsidR="00621D05" w:rsidRDefault="008240CA">
      <w:pPr>
        <w:pStyle w:val="normal2"/>
      </w:pPr>
      <w:r>
        <w:t xml:space="preserve">Porter's Five Forces are concerned with competitive feasibility, considering competition, buyer power, supplier power, new entrants and substitutes. The price and flexibility expectations are emphasized by Andersen and Kreye (2023) and the availability and warehousing costs are emphasized by Pratiwi </w:t>
      </w:r>
      <w:r>
        <w:rPr>
          <w:i/>
          <w:iCs/>
        </w:rPr>
        <w:t>et al.</w:t>
      </w:r>
      <w:r>
        <w:t xml:space="preserve"> (2025). Therefore, Porter is used to seeing if EcoLoop's customer proposition is going to be competitive.</w:t>
      </w:r>
    </w:p>
    <w:p w:rsidR="00621D05" w:rsidRDefault="008240CA">
      <w:pPr>
        <w:pStyle w:val="normal2"/>
      </w:pPr>
      <w:r>
        <w:t>The Business Model Canvas (BMC) looks at the operational and financial viability, including the mapping of the partners, activities, resources, costs and revenues. The Value Proposition Canvas (VPC) on the other hand verifies the fit of a value proposition: customer gains and pains, and flexibility, the cost of service and refurbishment, and the reporting of ESG benefits are assessed. Then STP looks at the market focus - priority segments and positioning EcoLoop against alternatives.</w:t>
      </w:r>
    </w:p>
    <w:p w:rsidR="00621D05" w:rsidRDefault="008240CA">
      <w:pPr>
        <w:pStyle w:val="normal2"/>
      </w:pPr>
      <w:r>
        <w:t xml:space="preserve">So, these frameworks are not duplicated analysis, but complementary. JTBD is used to find out what the customer needs, PESTLE is used to study external factors, Porter is </w:t>
      </w:r>
      <w:r>
        <w:lastRenderedPageBreak/>
        <w:t>used to study competition, VPC is used to assess value fit, BMC is used to study the business-model logic, and STP is used to determine positioning in the target market. When used in combination, these applications allow for a more comprehensive evaluation of EcoLoop across the customer demand, environmental conditions, competitive pressures, value creation, role in the operational design and market positioning, which strengthens the basis for evaluating the overall commercial feasibility.</w:t>
      </w:r>
    </w:p>
    <w:p w:rsidR="00621D05" w:rsidRDefault="008240CA">
      <w:pPr>
        <w:pStyle w:val="Heading2"/>
        <w:keepNext w:val="0"/>
        <w:keepLines w:val="0"/>
        <w:spacing w:before="200"/>
      </w:pPr>
      <w:bookmarkStart w:id="29" w:name="_Toc241233889"/>
      <w:r>
        <w:t>3.5 Synthesis and Research Gap</w:t>
      </w:r>
      <w:bookmarkEnd w:id="29"/>
    </w:p>
    <w:p w:rsidR="00621D05" w:rsidRDefault="008240CA">
      <w:pPr>
        <w:pStyle w:val="normal2"/>
      </w:pPr>
      <w:r>
        <w:t>Theories supporting circular furniture and sustainable service models are fragmented in the literature, ranging from CE to SBMI, acceptance and strategic analysis. The real question isn't if circularity is good or bad, it's whether subscription furniture can be commercially viable in the context of UK office fit-out. The existing evidence is not as well connected as it could be to include market demand, customer value, cost flexibility, refurbishment economics, ESG benefits, competition and regulation. EcoLoop fills this void by integrating CE Theory, SBMI with the principles of JTBD, PESTLE, Porter's Five Forces, BMC and VPC and STP. This holistic process is an analysis of customer issues, external factors, competition, value creation and revenue logic. Most importantly, the frameworks should stimulate, rather than dictate, the outcome: EcoLoop needs to prove that sustainability can be customer value and marketable processes.</w:t>
      </w:r>
    </w:p>
    <w:p w:rsidR="00621D05" w:rsidRDefault="008240CA">
      <w:pPr>
        <w:pStyle w:val="Heading1"/>
        <w:keepNext w:val="0"/>
        <w:keepLines w:val="0"/>
        <w:spacing w:before="200"/>
      </w:pPr>
      <w:bookmarkStart w:id="30" w:name="_heading=h.wgucovmd79ik" w:colFirst="0" w:colLast="0"/>
      <w:bookmarkEnd w:id="30"/>
      <w:r>
        <w:br w:type="page"/>
      </w:r>
    </w:p>
    <w:p w:rsidR="00621D05" w:rsidRDefault="008240CA">
      <w:pPr>
        <w:pStyle w:val="Heading1"/>
        <w:keepNext w:val="0"/>
        <w:keepLines w:val="0"/>
        <w:spacing w:before="200"/>
      </w:pPr>
      <w:bookmarkStart w:id="31" w:name="_Toc241233890"/>
      <w:r>
        <w:lastRenderedPageBreak/>
        <w:t>Chapter 4: Methodology</w:t>
      </w:r>
      <w:bookmarkEnd w:id="31"/>
    </w:p>
    <w:p w:rsidR="00621D05" w:rsidRDefault="008240CA">
      <w:pPr>
        <w:pStyle w:val="Heading2"/>
        <w:keepNext w:val="0"/>
        <w:keepLines w:val="0"/>
        <w:spacing w:before="200"/>
      </w:pPr>
      <w:bookmarkStart w:id="32" w:name="_Toc241233891"/>
      <w:r>
        <w:t>4.1 Methodological Approach to Opportunity Identification</w:t>
      </w:r>
      <w:bookmarkEnd w:id="32"/>
    </w:p>
    <w:p w:rsidR="00621D05" w:rsidRDefault="008240CA">
      <w:pPr>
        <w:pStyle w:val="normal2"/>
      </w:pPr>
      <w:r>
        <w:t>For the methodology, the study adopted a secondary research approach, but in accordance with the approved scope of the EcoLoop Office proposal. They are not conducting surveys, interviews or customer conversations or other research involving human participants, but rather systematically gathering, screening and comparing academic, government and industry evidence. It centres on the UK corporate office furniture, fit-out and refurbishment market and events from 2021 to 2026, with older seminal events kept if required. This is suitable since it is not the aim to obtain primary behavioural data but to evaluate if the product is commercially viable. The opportunity is defined by four related issues: Workplace needs are evolving, Furniture purchasing cost is on the rise, Furniture waste, and Rising ESG expectations.</w:t>
      </w:r>
    </w:p>
    <w:p w:rsidR="00621D05" w:rsidRDefault="008240CA">
      <w:pPr>
        <w:pStyle w:val="Heading2"/>
        <w:keepNext w:val="0"/>
        <w:keepLines w:val="0"/>
        <w:spacing w:before="200"/>
      </w:pPr>
      <w:bookmarkStart w:id="33" w:name="_Toc241233892"/>
      <w:r>
        <w:t>4.2 Market Insight Collection</w:t>
      </w:r>
      <w:bookmarkEnd w:id="33"/>
    </w:p>
    <w:p w:rsidR="00621D05" w:rsidRDefault="008240CA">
      <w:pPr>
        <w:pStyle w:val="normal2"/>
      </w:pPr>
      <w:r>
        <w:t xml:space="preserve">The information gathered from the market to create insights is not from the actual customers but from reputable secondary sources. The study consulted peer-reviewed journal articles, UK Government publications, ONS datasets, industry reports, procurement notices and relevant business sources (Liu </w:t>
      </w:r>
      <w:r>
        <w:rPr>
          <w:i/>
          <w:iCs/>
        </w:rPr>
        <w:t>et al.</w:t>
      </w:r>
      <w:r>
        <w:t>, 2026). The sources are chosen based on their relevance to the UK furniture market for offices, their approach to circular economy, refurbishment, flexible working, procurement, regulation, competition and sustainability. Evidence is documented by source, publication year, market relevance, and numerical evidence/implications for EcoLoop Office. This establishes a process that can be replicated to evaluate evidence that is in opposition to the proposal objectives.</w:t>
      </w:r>
    </w:p>
    <w:p w:rsidR="00621D05" w:rsidRDefault="008240CA">
      <w:pPr>
        <w:pStyle w:val="normal2"/>
      </w:pPr>
      <w:r>
        <w:t xml:space="preserve">Importantly, the proposal excludes activities like customer conversations, store visits and mystery shopping, as the design clearly calls for the collection of secondary data and there are no human subjects involved. Competitor benchmarking is therefore carried out on publicly available data on existing providers, such as their service propositions, positioning with regard to circularity, subscription or rental models and </w:t>
      </w:r>
      <w:r>
        <w:lastRenderedPageBreak/>
        <w:t xml:space="preserve">customer-facing offerings (Stabler </w:t>
      </w:r>
      <w:r>
        <w:rPr>
          <w:i/>
          <w:iCs/>
        </w:rPr>
        <w:t>et al.</w:t>
      </w:r>
      <w:r>
        <w:t>, 2024). This reduces the number of uninformed inferences about competitor performance.</w:t>
      </w:r>
    </w:p>
    <w:p w:rsidR="00621D05" w:rsidRDefault="008240CA">
      <w:pPr>
        <w:pStyle w:val="Heading2"/>
        <w:keepNext w:val="0"/>
        <w:keepLines w:val="0"/>
        <w:spacing w:before="200"/>
      </w:pPr>
      <w:bookmarkStart w:id="34" w:name="_Toc241233893"/>
      <w:r>
        <w:t>4.3 Market Data Gathering</w:t>
      </w:r>
      <w:bookmarkEnd w:id="34"/>
    </w:p>
    <w:p w:rsidR="00621D05" w:rsidRDefault="008240CA">
      <w:pPr>
        <w:pStyle w:val="normal2"/>
      </w:pPr>
      <w:r>
        <w:t>The study is based on secondary research within the scope of the EcoLoop Office and will not involve surveys, interviews or research involving human participants. Evidence emphasises the corporate office furniture fit-out and refurbishment market in the UK, mainly in 2021-2026, alongside the inclusion of some older seminal sources that are deemed necessary. Authoritative data sources (e.g. ONS and any publications from the UK government) are prioritised and then supported by peer-reviewed literature and/or industry evidence.</w:t>
      </w:r>
    </w:p>
    <w:p w:rsidR="00621D05" w:rsidRDefault="008240CA">
      <w:pPr>
        <w:pStyle w:val="normal2"/>
      </w:pPr>
      <w:r>
        <w:t>Data are obtained from searching academic, public, and industry sources. The evidence is then organised into the seven areas of market demand, customer value, cost, ESG, regulation, competition and operational feasibility (Dauerer, 2025). This classification directly reflects the research objectives, and it does not allow irrelevant evidence to affect the business decision.</w:t>
      </w:r>
    </w:p>
    <w:p w:rsidR="00621D05" w:rsidRDefault="008240CA">
      <w:pPr>
        <w:pStyle w:val="Heading2"/>
        <w:spacing w:before="200"/>
      </w:pPr>
      <w:bookmarkStart w:id="35" w:name="_Toc241233894"/>
      <w:r>
        <w:t>4.4 Search Strategy and Search Terms</w:t>
      </w:r>
      <w:bookmarkEnd w:id="35"/>
    </w:p>
    <w:p w:rsidR="00621D05" w:rsidRPr="00305112" w:rsidRDefault="008240CA">
      <w:pPr>
        <w:pStyle w:val="normal2"/>
        <w:spacing w:before="240"/>
      </w:pPr>
      <w:r w:rsidRPr="00305112">
        <w:t>During the research period the following sources of information has been used for the information search: ONS, GOV.UK, procuring bodies of the UK Government, Google Scholar and industry sources. Some of the keywords were ‘UK office furniture market', ‘office furniture refurbishment', ‘circular economy furniture', ‘furniture-as-a-service', ‘subscription furniture', ‘hybrid working UK', ‘sustainable procurement furniture', ‘reverse logistics' and ‘ESG reporting'. There were peer-reviewed studies and official statistics as well as credible evidence from the UK tender market and industry. Sources that were not related to or well documented were excluded. Relevant evidence was noted for each source, year, type of evidence, findings and implications and themed for critical analysis of selected evidence.</w:t>
      </w:r>
    </w:p>
    <w:p w:rsidR="00106A7A" w:rsidRDefault="00106A7A">
      <w:pPr>
        <w:pStyle w:val="Heading2"/>
        <w:keepNext w:val="0"/>
        <w:keepLines w:val="0"/>
        <w:spacing w:before="200"/>
      </w:pPr>
    </w:p>
    <w:p w:rsidR="00621D05" w:rsidRDefault="008240CA">
      <w:pPr>
        <w:pStyle w:val="Heading2"/>
        <w:keepNext w:val="0"/>
        <w:keepLines w:val="0"/>
        <w:spacing w:before="200"/>
      </w:pPr>
      <w:bookmarkStart w:id="36" w:name="_Toc241233895"/>
      <w:r>
        <w:lastRenderedPageBreak/>
        <w:t>4.5 Data Analysis</w:t>
      </w:r>
      <w:bookmarkEnd w:id="36"/>
    </w:p>
    <w:p w:rsidR="00621D05" w:rsidRDefault="008240CA">
      <w:pPr>
        <w:pStyle w:val="normal2"/>
      </w:pPr>
      <w:r>
        <w:t>Analysis is mostly in the thematic and comparative style and not in the statistical hypothesis testing style. Thematic analysis detects comparable themes/patterns in the secondary evidence, such as cost flexibility, adaptability in the workplace, refurbishment, reuse, ESG reporting, quality aspects, and operational issues. The comparison of ownership versus subscription, new furniture versus refurbished furniture and EcoLoop versus competing and comparable products. No regression analysis is performed as there is no primary respondent dataset in the study; numerical indications are used in a descriptive manner to establish market scale, signals of demand, cost pressure and environmental significance.</w:t>
      </w:r>
    </w:p>
    <w:p w:rsidR="00621D05" w:rsidRDefault="008240CA">
      <w:pPr>
        <w:pStyle w:val="normal2"/>
      </w:pPr>
      <w:r>
        <w:t>The evidence is assessed by weighing up the findings in favour of the evidence against it. This is important as sustainability benefits are not quantitative enough to ensure profitability. For instance, while furniture can last longer if it is reused, storage, refitting and maintenance can lead to higher operational costs. The assessment takes into account opportunity strength and risk.</w:t>
      </w:r>
    </w:p>
    <w:p w:rsidR="00621D05" w:rsidRDefault="008240CA">
      <w:pPr>
        <w:pStyle w:val="Heading2"/>
        <w:keepNext w:val="0"/>
        <w:keepLines w:val="0"/>
        <w:spacing w:before="200"/>
      </w:pPr>
      <w:bookmarkStart w:id="37" w:name="_Toc241233896"/>
      <w:r>
        <w:t>4.6 Models and Frameworks</w:t>
      </w:r>
      <w:bookmarkEnd w:id="37"/>
    </w:p>
    <w:p w:rsidR="00621D05" w:rsidRDefault="008240CA">
      <w:pPr>
        <w:pStyle w:val="normal2"/>
      </w:pPr>
      <w:r>
        <w:t xml:space="preserve">The frameworks used in the literature review are used as complementary analysis tools. Jobs-to-Be-Done focuses on real-world issues customers need to have addressed, like furniture and moving out, expansion and downsizing (Kalbach </w:t>
      </w:r>
      <w:r>
        <w:rPr>
          <w:i/>
          <w:iCs/>
        </w:rPr>
        <w:t>et al.,</w:t>
      </w:r>
      <w:r>
        <w:t xml:space="preserve"> 2024). PESTLE considers political, economic, social, technological, legal and environmental factors impacting the opportunity. Porter's 5 Forces analysis looks at buyer power, supplier power, rivalry, substitutes and entry barriers. The Business Model Canvas visualises the following elements: partners, activities, resources, value proposition, customer segments, channels, relationships, costs and revenues. The Value Proposition Canvas is used to check if the advantages EcoLoop offers customers meet their jobs, pains and gains. Then, STP transforms the evidence into segments, customer personas and positioning. The theoretical background for the interpretation of the proposed model that will create sustainability and business value is provided by Circular Economy Theory </w:t>
      </w:r>
      <w:r>
        <w:lastRenderedPageBreak/>
        <w:t>and Sustainable Business Model Innovation. These tools can be combined to allow for triangulation of market, customer, competitive and business-model evidence.</w:t>
      </w:r>
    </w:p>
    <w:p w:rsidR="00621D05" w:rsidRDefault="008240CA">
      <w:pPr>
        <w:pStyle w:val="Heading2"/>
        <w:keepNext w:val="0"/>
        <w:keepLines w:val="0"/>
        <w:spacing w:before="200"/>
      </w:pPr>
      <w:bookmarkStart w:id="38" w:name="_Toc241233897"/>
      <w:r>
        <w:t>4.7 Limitations and Ethical Considerations</w:t>
      </w:r>
      <w:bookmarkEnd w:id="38"/>
    </w:p>
    <w:p w:rsidR="00621D05" w:rsidRDefault="008240CA">
      <w:pPr>
        <w:pStyle w:val="normal2"/>
      </w:pPr>
      <w:r>
        <w:t>The primary constraint is reliance on secondary information, which can be incomplete, inconsistent and/or commercially sensitive. Commercial estimates may also be less accurate because public pricing and customers' demand data may be inadequate. Competitor claims may include promotion bias, and datasets may have varying definitions. It is therefore not based on a single data source, but rather findings are triangulated across multiple credible sources (Fu, Nicholson and Easton, 2024).</w:t>
      </w:r>
    </w:p>
    <w:p w:rsidR="00621D05" w:rsidRDefault="008240CA">
      <w:pPr>
        <w:pStyle w:val="normal2"/>
      </w:pPr>
      <w:r>
        <w:t>Ethically, the study does not involve human beings, personal information, or confidential organisational information. Sources are represented accurately, referenced and interpreted without manipulating evidence to support EcoLoop Office. The methodology is transparent and is repeatable and consistent with the secondary-research boundary of the proposal where commercially appropriate.</w:t>
      </w:r>
      <w:r>
        <w:br w:type="page"/>
      </w:r>
    </w:p>
    <w:p w:rsidR="00621D05" w:rsidRDefault="008240CA">
      <w:pPr>
        <w:pStyle w:val="Heading1"/>
        <w:spacing w:before="200"/>
      </w:pPr>
      <w:bookmarkStart w:id="39" w:name="_Toc241233898"/>
      <w:r>
        <w:lastRenderedPageBreak/>
        <w:t>Chapter 5: Market Opportunity Analysis</w:t>
      </w:r>
      <w:bookmarkEnd w:id="39"/>
    </w:p>
    <w:p w:rsidR="00621D05" w:rsidRDefault="008240CA">
      <w:pPr>
        <w:pStyle w:val="Heading2"/>
        <w:spacing w:before="200"/>
      </w:pPr>
      <w:bookmarkStart w:id="40" w:name="_Toc241233899"/>
      <w:r>
        <w:t>5.1 Scope and Market Definition</w:t>
      </w:r>
      <w:bookmarkEnd w:id="40"/>
    </w:p>
    <w:p w:rsidR="00621D05" w:rsidRDefault="008240CA">
      <w:pPr>
        <w:pStyle w:val="normal2"/>
      </w:pPr>
      <w:r>
        <w:t xml:space="preserve">EcoLoop Office is a component of the UK B2B office furniture circular economy market, providing furniture on a subscription basis instead of traditional ownership along with delivery services, furniture maintenance, swap-out, take back, refurbishment, re-sale and ESG reporting. The relevant customers are customers who have varying needs in their work area, particularly the customers of SMEs, scale-ups and flexible workspace operators (Zahari </w:t>
      </w:r>
      <w:r>
        <w:rPr>
          <w:i/>
          <w:iCs/>
        </w:rPr>
        <w:t>et al</w:t>
      </w:r>
      <w:r>
        <w:t>., 2023). Current evidence has been used for the analysis of the UK market, along with contractual direct distribution channels focusing on B2B distribution arrangements. This is relevant because the office-furniture industry is much bigger than a market that a subscription scheme would possibly be able to penetrate. Thus, this chapter reviews not just the demand for a product, but if the demand is great enough, accessible and commercially viable for the EcoLoop.</w:t>
      </w:r>
    </w:p>
    <w:p w:rsidR="00621D05" w:rsidRDefault="008240CA">
      <w:pPr>
        <w:pStyle w:val="Heading2"/>
        <w:spacing w:before="200"/>
      </w:pPr>
      <w:bookmarkStart w:id="41" w:name="_Toc241233900"/>
      <w:r>
        <w:t>5.2 Market Size and TAM–SAM–SOM</w:t>
      </w:r>
      <w:bookmarkEnd w:id="41"/>
    </w:p>
    <w:p w:rsidR="00621D05" w:rsidRPr="00106A7A" w:rsidRDefault="008240CA">
      <w:pPr>
        <w:pStyle w:val="normal2"/>
        <w:spacing w:before="240"/>
      </w:pPr>
      <w:r w:rsidRPr="00106A7A">
        <w:t>The UK offers a significant B2B market featuring approximately 2.73 million businesses registered for VAT and/or PAYE (Government of UK, 2025). This number is the general business population and doesn't include EcoLoop Office's addressable market. Ebstein and Lent, (2013) suggest that many businesses may only require office furniture on a sporadic basis; have settled workplace arrangements; have little interest in subscription-based procurement, etc. Hence it is necessary to limit the market to organisations with offices, changing space needs and possible need to provide access to furniture onsite flexibility.</w:t>
      </w:r>
    </w:p>
    <w:p w:rsidR="00106A7A" w:rsidRDefault="00106A7A">
      <w:pPr>
        <w:pStyle w:val="normal2"/>
        <w:spacing w:before="240"/>
        <w:rPr>
          <w:b/>
          <w:bCs/>
        </w:rPr>
      </w:pPr>
    </w:p>
    <w:p w:rsidR="00106A7A" w:rsidRDefault="00106A7A">
      <w:pPr>
        <w:pStyle w:val="normal2"/>
        <w:spacing w:before="240"/>
        <w:rPr>
          <w:b/>
          <w:bCs/>
        </w:rPr>
      </w:pPr>
    </w:p>
    <w:p w:rsidR="00106A7A" w:rsidRDefault="00106A7A">
      <w:pPr>
        <w:pStyle w:val="normal2"/>
        <w:spacing w:before="240"/>
        <w:rPr>
          <w:b/>
          <w:bCs/>
        </w:rPr>
      </w:pPr>
    </w:p>
    <w:p w:rsidR="00106A7A" w:rsidRDefault="00106A7A">
      <w:pPr>
        <w:pStyle w:val="normal2"/>
        <w:spacing w:before="240"/>
        <w:rPr>
          <w:b/>
          <w:bCs/>
        </w:rPr>
      </w:pPr>
    </w:p>
    <w:p w:rsidR="00621D05" w:rsidRPr="00106A7A" w:rsidRDefault="000A11B6">
      <w:pPr>
        <w:pStyle w:val="normal2"/>
        <w:spacing w:before="240"/>
        <w:rPr>
          <w:b/>
          <w:bCs/>
        </w:rPr>
      </w:pPr>
      <w:r>
        <w:rPr>
          <w:b/>
          <w:bCs/>
        </w:rPr>
        <w:lastRenderedPageBreak/>
        <w:t>Table 2</w:t>
      </w:r>
      <w:r w:rsidR="008240CA" w:rsidRPr="00106A7A">
        <w:rPr>
          <w:b/>
          <w:bCs/>
        </w:rPr>
        <w:t>. EcoLoop Office Relevance</w:t>
      </w:r>
    </w:p>
    <w:tbl>
      <w:tblPr>
        <w:tblStyle w:val="affffffffffffff3"/>
        <w:tblW w:w="9235" w:type="dxa"/>
        <w:tblBorders>
          <w:top w:val="nil"/>
          <w:left w:val="nil"/>
          <w:bottom w:val="nil"/>
          <w:right w:val="nil"/>
          <w:insideH w:val="nil"/>
          <w:insideV w:val="nil"/>
        </w:tblBorders>
        <w:tblLayout w:type="fixed"/>
        <w:tblLook w:val="0600"/>
      </w:tblPr>
      <w:tblGrid>
        <w:gridCol w:w="1295"/>
        <w:gridCol w:w="7940"/>
      </w:tblGrid>
      <w:tr w:rsidR="00621D05" w:rsidRPr="00106A7A">
        <w:trPr>
          <w:cantSplit/>
          <w:trHeight w:val="800"/>
          <w:tblHeader/>
        </w:trPr>
        <w:tc>
          <w:tcPr>
            <w:tcW w:w="1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106A7A" w:rsidRDefault="008240CA">
            <w:pPr>
              <w:pStyle w:val="normal2"/>
              <w:spacing w:before="0" w:after="0" w:line="240" w:lineRule="auto"/>
              <w:jc w:val="center"/>
            </w:pPr>
            <w:r w:rsidRPr="00106A7A">
              <w:rPr>
                <w:b/>
                <w:bCs/>
              </w:rPr>
              <w:t>Market level</w:t>
            </w:r>
          </w:p>
        </w:tc>
        <w:tc>
          <w:tcPr>
            <w:tcW w:w="7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106A7A" w:rsidRDefault="008240CA">
            <w:pPr>
              <w:pStyle w:val="normal2"/>
              <w:spacing w:before="0" w:after="0" w:line="240" w:lineRule="auto"/>
              <w:jc w:val="center"/>
            </w:pPr>
            <w:r w:rsidRPr="00106A7A">
              <w:rPr>
                <w:b/>
                <w:bCs/>
              </w:rPr>
              <w:t>EcoLoop Office relevance</w:t>
            </w:r>
          </w:p>
        </w:tc>
      </w:tr>
      <w:tr w:rsidR="00621D05" w:rsidRPr="00106A7A">
        <w:trPr>
          <w:cantSplit/>
          <w:trHeight w:val="800"/>
          <w:tblHeader/>
        </w:trPr>
        <w:tc>
          <w:tcPr>
            <w:tcW w:w="1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106A7A" w:rsidRDefault="008240CA">
            <w:pPr>
              <w:pStyle w:val="normal2"/>
              <w:spacing w:before="0" w:after="0" w:line="240" w:lineRule="auto"/>
              <w:jc w:val="center"/>
            </w:pPr>
            <w:r w:rsidRPr="00106A7A">
              <w:rPr>
                <w:b/>
                <w:bCs/>
              </w:rPr>
              <w:t>TAM</w:t>
            </w:r>
          </w:p>
        </w:tc>
        <w:tc>
          <w:tcPr>
            <w:tcW w:w="7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106A7A" w:rsidRDefault="008240CA">
            <w:pPr>
              <w:pStyle w:val="normal2"/>
              <w:spacing w:before="0" w:after="0" w:line="240" w:lineRule="auto"/>
              <w:jc w:val="center"/>
            </w:pPr>
            <w:r w:rsidRPr="00106A7A">
              <w:t>UK businesses potentially requiring office furniture and related lifecycle services</w:t>
            </w:r>
          </w:p>
        </w:tc>
      </w:tr>
      <w:tr w:rsidR="00621D05" w:rsidRPr="00106A7A">
        <w:trPr>
          <w:cantSplit/>
          <w:trHeight w:val="800"/>
          <w:tblHeader/>
        </w:trPr>
        <w:tc>
          <w:tcPr>
            <w:tcW w:w="1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106A7A" w:rsidRDefault="008240CA">
            <w:pPr>
              <w:pStyle w:val="normal2"/>
              <w:spacing w:before="0" w:after="0" w:line="240" w:lineRule="auto"/>
              <w:jc w:val="center"/>
            </w:pPr>
            <w:r w:rsidRPr="00106A7A">
              <w:rPr>
                <w:b/>
                <w:bCs/>
              </w:rPr>
              <w:t>SAM</w:t>
            </w:r>
          </w:p>
        </w:tc>
        <w:tc>
          <w:tcPr>
            <w:tcW w:w="7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106A7A" w:rsidRDefault="008240CA">
            <w:pPr>
              <w:pStyle w:val="normal2"/>
              <w:spacing w:before="0" w:after="0" w:line="240" w:lineRule="auto"/>
              <w:jc w:val="center"/>
            </w:pPr>
            <w:r w:rsidRPr="00106A7A">
              <w:t>Office-based businesses with changing workspace requirements and potential interest in flexible furniture access</w:t>
            </w:r>
          </w:p>
        </w:tc>
      </w:tr>
      <w:tr w:rsidR="00621D05" w:rsidRPr="00106A7A">
        <w:trPr>
          <w:cantSplit/>
          <w:trHeight w:val="800"/>
          <w:tblHeader/>
        </w:trPr>
        <w:tc>
          <w:tcPr>
            <w:tcW w:w="1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106A7A" w:rsidRDefault="008240CA">
            <w:pPr>
              <w:pStyle w:val="normal2"/>
              <w:spacing w:before="0" w:after="0" w:line="240" w:lineRule="auto"/>
              <w:jc w:val="center"/>
            </w:pPr>
            <w:r w:rsidRPr="00106A7A">
              <w:rPr>
                <w:b/>
                <w:bCs/>
              </w:rPr>
              <w:t>SOM</w:t>
            </w:r>
          </w:p>
        </w:tc>
        <w:tc>
          <w:tcPr>
            <w:tcW w:w="7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106A7A" w:rsidRDefault="008240CA">
            <w:pPr>
              <w:pStyle w:val="normal2"/>
              <w:spacing w:before="0" w:after="0" w:line="240" w:lineRule="auto"/>
              <w:jc w:val="center"/>
            </w:pPr>
            <w:r w:rsidRPr="00106A7A">
              <w:t>Customers EcoLoop can realistically acquire during its initial 1–3 years, considering resources, geography and operational capacity</w:t>
            </w:r>
          </w:p>
        </w:tc>
      </w:tr>
    </w:tbl>
    <w:p w:rsidR="00621D05" w:rsidRPr="00106A7A" w:rsidRDefault="008240CA">
      <w:pPr>
        <w:pStyle w:val="normal2"/>
        <w:spacing w:before="240"/>
      </w:pPr>
      <w:r w:rsidRPr="00106A7A">
        <w:t>Another of the circular supply opportunities comes in the area of furniture disposal. It is estimated that approximately 1.2 million desks and 1.8 million chairs are thrown out every year (Gorecka, 2025). But this means there is potentially reusable furniture out there, not a demand for it. Therefore furniture waste cannot be seen as genuine proof of consumers adopting.</w:t>
      </w:r>
    </w:p>
    <w:p w:rsidR="00621D05" w:rsidRPr="00106A7A" w:rsidRDefault="008240CA">
      <w:pPr>
        <w:pStyle w:val="normal2"/>
        <w:spacing w:before="240"/>
      </w:pPr>
      <w:r w:rsidRPr="00106A7A">
        <w:t>In a market assessment, then, if you follow the correct path you'll go from TAM to SAM, prospects, qualified leads, conversion, customers and finally revenue. This offers an increased platform for analyzing EcoLoop's commercial premises. Ideally, the year-1 figure of 60 customers should be backed up with realistic prospect and conversion figures and not just a single statement. Likewise, a customer base should be aligned to the annual revenue per customer averaged, predicted by the financial forecast.</w:t>
      </w:r>
    </w:p>
    <w:p w:rsidR="00621D05" w:rsidRPr="00106A7A" w:rsidRDefault="008240CA">
      <w:pPr>
        <w:pStyle w:val="normal2"/>
        <w:spacing w:before="240"/>
      </w:pPr>
      <w:r w:rsidRPr="00106A7A">
        <w:t>In conclusion, the evidence points to the possible presence of a relevant market and to a possible supply opportunity for circular office furniture value systems. Product commercial viability is thus dependent on having the customer, competition, capacity of the operations and financial viability.</w:t>
      </w:r>
    </w:p>
    <w:p w:rsidR="00621D05" w:rsidRDefault="008240CA">
      <w:pPr>
        <w:pStyle w:val="Heading2"/>
        <w:spacing w:before="200"/>
      </w:pPr>
      <w:bookmarkStart w:id="42" w:name="_Toc241233901"/>
      <w:r>
        <w:lastRenderedPageBreak/>
        <w:t>5.3 Segmentation and Target Customer</w:t>
      </w:r>
      <w:bookmarkEnd w:id="42"/>
    </w:p>
    <w:p w:rsidR="00621D05" w:rsidRPr="00106A7A" w:rsidRDefault="008240CA">
      <w:pPr>
        <w:pStyle w:val="normal2"/>
        <w:spacing w:before="240"/>
      </w:pPr>
      <w:r w:rsidRPr="00106A7A">
        <w:t>The segmentation is based on factors that affect the furniture need, affordability, exchange frequency and willingness to flexible procurement used in the EcoLoop Office. Firmographic factors, including business size and growth, and behavioral factors like relocation, expansion, downsizing, furniture turnover and ESG, in particular, are relevant factors to consider (Kaluvilla, Mulla and Zahidi, 2025). The main target audience are the UK SMEs and medium scale organisations undergoing relocation, growth, downsizing or refurbishment of their offices, where inflexibility may be caused by ownership. But, for some SMEs, purchasing may be more appealing than subscription due to cost issues (Amasino, Dolgin and Huettel, 2023). The secondary segment is Flexible-workspace operators, which are likely to require furniture reconfiguration, replacement and relocation, due to tenant changes and possible frequency of requirements. Some larger corporate organisations may have larger purchasing power and ESG opportunities, but can also be more complicated to work with in terms of procurement processes and supplier contracts. Where formal procurement requirements apply, public sector organisations are deemed to be less accessible.</w:t>
      </w:r>
    </w:p>
    <w:p w:rsidR="00621D05" w:rsidRDefault="008240CA">
      <w:pPr>
        <w:pStyle w:val="Heading3"/>
      </w:pPr>
      <w:bookmarkStart w:id="43" w:name="_Toc241233902"/>
      <w:r>
        <w:t>5.3.1 Segmentation</w:t>
      </w:r>
      <w:bookmarkEnd w:id="43"/>
    </w:p>
    <w:p w:rsidR="00621D05" w:rsidRDefault="000A11B6">
      <w:pPr>
        <w:pStyle w:val="normal2"/>
        <w:rPr>
          <w:b/>
          <w:bCs/>
        </w:rPr>
      </w:pPr>
      <w:r>
        <w:rPr>
          <w:b/>
          <w:bCs/>
        </w:rPr>
        <w:t>Table 3</w:t>
      </w:r>
      <w:r w:rsidR="008240CA">
        <w:rPr>
          <w:b/>
          <w:bCs/>
        </w:rPr>
        <w:t>. Segmentation</w:t>
      </w:r>
    </w:p>
    <w:tbl>
      <w:tblPr>
        <w:tblStyle w:val="affffffffffffff4"/>
        <w:tblW w:w="9235" w:type="dxa"/>
        <w:tblBorders>
          <w:top w:val="nil"/>
          <w:left w:val="nil"/>
          <w:bottom w:val="nil"/>
          <w:right w:val="nil"/>
          <w:insideH w:val="nil"/>
          <w:insideV w:val="nil"/>
        </w:tblBorders>
        <w:tblLayout w:type="fixed"/>
        <w:tblLook w:val="0600"/>
      </w:tblPr>
      <w:tblGrid>
        <w:gridCol w:w="2645"/>
        <w:gridCol w:w="6590"/>
      </w:tblGrid>
      <w:tr w:rsidR="00621D05">
        <w:trPr>
          <w:cantSplit/>
          <w:trHeight w:val="800"/>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Segmentation Dimension</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Analysis</w:t>
            </w:r>
          </w:p>
        </w:tc>
      </w:tr>
      <w:tr w:rsidR="00621D05">
        <w:trPr>
          <w:cantSplit/>
          <w:trHeight w:val="800"/>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Demographic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SMEs, corporates, flexible-workspace operators and public organisations.</w:t>
            </w:r>
          </w:p>
        </w:tc>
      </w:tr>
      <w:tr w:rsidR="00621D05">
        <w:trPr>
          <w:cantSplit/>
          <w:trHeight w:val="515"/>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Geographic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UK commercial centres with strong office activity.</w:t>
            </w:r>
          </w:p>
        </w:tc>
      </w:tr>
      <w:tr w:rsidR="00621D05">
        <w:trPr>
          <w:cantSplit/>
          <w:trHeight w:val="515"/>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Psychographic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Cost-conscious, flexibility- and sustainability-oriented.</w:t>
            </w:r>
          </w:p>
        </w:tc>
      </w:tr>
      <w:tr w:rsidR="00621D05">
        <w:trPr>
          <w:cantSplit/>
          <w:trHeight w:val="515"/>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lastRenderedPageBreak/>
              <w:t>Behavioural</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Relocation, expansion, downsizing and refurbishment.</w:t>
            </w:r>
          </w:p>
        </w:tc>
      </w:tr>
      <w:tr w:rsidR="00621D05">
        <w:trPr>
          <w:cantSplit/>
          <w:trHeight w:val="515"/>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Economic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Varying purchasing capacity and price sensitivity.</w:t>
            </w:r>
          </w:p>
        </w:tc>
      </w:tr>
      <w:tr w:rsidR="00621D05">
        <w:trPr>
          <w:cantSplit/>
          <w:trHeight w:val="515"/>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Overall</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Strongest fit: SMEs/scale-ups and flexible workspaces.</w:t>
            </w:r>
          </w:p>
        </w:tc>
      </w:tr>
    </w:tbl>
    <w:p w:rsidR="00621D05" w:rsidRDefault="008240CA">
      <w:pPr>
        <w:pStyle w:val="Heading3"/>
        <w:spacing w:after="80"/>
      </w:pPr>
      <w:bookmarkStart w:id="44" w:name="_Toc241233903"/>
      <w:r>
        <w:t>5.3.2 Targeting: Hypothetical Customer Personas Based on Secondary Research</w:t>
      </w:r>
      <w:bookmarkEnd w:id="44"/>
    </w:p>
    <w:p w:rsidR="00621D05" w:rsidRDefault="008240CA">
      <w:pPr>
        <w:pStyle w:val="normal2"/>
      </w:pPr>
      <w:r>
        <w:t>Based on secondary research, two hypothetical customer personas were developed to represent EcoLoop Office’s priority B2B segments. James Wilson, a 34-year-old Operations Manager in a growth-stage SME in London, represents rapidly expanding businesses with hybrid working arrangements. His priorities include reducing upfront furniture expenditure and accessing flexible furniture during expansion or relocation. His key pain points are storage requirements, disposal responsibilities and stranded furniture. Sarah Patel, a 41-year-old Workplace Manager, represents flexible-workspace operators managing multi-tenant environments. She requires rapid workspace reconfiguration, reliable furniture availability and replacement services. Her principal challenges include tenant turnover, storage and operational downtime. These personas reflect the segmentation findings, which identify SMEs, scale-ups and flexible-workspace operators as stronger potential fits because their furniture requirements may change more frequently. However, as the analysis is based solely on secondary evidence, these personas remain hypothetical and do not confirm actual customer preferences or willingness to pay.</w:t>
      </w:r>
    </w:p>
    <w:p w:rsidR="00621D05" w:rsidRDefault="008240CA">
      <w:pPr>
        <w:pStyle w:val="Heading2"/>
        <w:keepNext w:val="0"/>
        <w:keepLines w:val="0"/>
        <w:spacing w:before="200"/>
      </w:pPr>
      <w:bookmarkStart w:id="45" w:name="_Toc241233904"/>
      <w:r>
        <w:t>5.4 Pain Points, Unmet Needs and Demand</w:t>
      </w:r>
      <w:bookmarkEnd w:id="45"/>
    </w:p>
    <w:p w:rsidR="00621D05" w:rsidRDefault="008240CA">
      <w:pPr>
        <w:pStyle w:val="normal2"/>
      </w:pPr>
      <w:r>
        <w:t xml:space="preserve">The primary problem is that office furniture is costly, but office furniture that fits that office's needs is a problem that's inefficiently solved by ownership. In the event of relocation, expansion, downsizing and refurbishment, organisations may have surplus separation and disposal responsibilities, storage costs (Öngel, Gonçalves and da Silva, 2025) and assets to manage and maintain. One method of overcoming this rigidity with EcoLoop is by implementing a subscription service, second-life use and swapping out </w:t>
      </w:r>
      <w:r>
        <w:lastRenderedPageBreak/>
        <w:t>batteries, and take-back. All of these problems, though, do not create demand for EcoLoop's solution.</w:t>
      </w:r>
    </w:p>
    <w:p w:rsidR="00621D05" w:rsidRDefault="008240CA">
      <w:pPr>
        <w:pStyle w:val="normal2"/>
      </w:pPr>
      <w:r>
        <w:t>Customers are also provided with an option to buy assets (new or second-hand), rent assets, own existing assets or repair existing assets. This can be beneficial if these options appear more familiar, more controlled or have perceived less risk. Likewise, hybrid work might require more flexibility in the workplace, and correspondingly, companies may need to cut down on office space and not subscribe to furniture (Alfieri, Mariotti and Rossi 2025). The preferences for sustainability don't necessarily take precedence over issues of quality, ownership, and long-term cost.</w:t>
      </w:r>
    </w:p>
    <w:p w:rsidR="00621D05" w:rsidRDefault="008240CA">
      <w:pPr>
        <w:pStyle w:val="normal2"/>
      </w:pPr>
      <w:r>
        <w:t xml:space="preserve">Thus, there is likely to be a difference in demand depending on how often furniture is being changed, how price sensitive, the switching costs, and the perceived risk. The advantage of subscription is greater when organisations are required to frequently reconfigure their furniture arrangements, as well as have limited capital. On the other hand, owning furniture may be advantageous for organisations in which furniture is expected to last for a long time (Pourrahimian </w:t>
      </w:r>
      <w:r>
        <w:rPr>
          <w:i/>
          <w:iCs/>
        </w:rPr>
        <w:t>et al</w:t>
      </w:r>
      <w:r>
        <w:t>., 2026). The limiting factor is willingness to pay. Without primary evidence from the customers, they can only be potential customers; actual purchasing behaviour cannot be determined. Thus, EcoLoop has found a valid unmet opportunity, which has yet to be validated in terms of commercial need.</w:t>
      </w:r>
    </w:p>
    <w:p w:rsidR="00621D05" w:rsidRDefault="008240CA">
      <w:pPr>
        <w:pStyle w:val="Heading2"/>
        <w:spacing w:before="200"/>
      </w:pPr>
      <w:bookmarkStart w:id="46" w:name="_Toc241233905"/>
      <w:r>
        <w:t>5.5 Economic and Geographic Conditions</w:t>
      </w:r>
      <w:bookmarkEnd w:id="46"/>
    </w:p>
    <w:p w:rsidR="00621D05" w:rsidRDefault="008240CA">
      <w:pPr>
        <w:pStyle w:val="normal2"/>
      </w:pPr>
      <w:r>
        <w:t>Economic conditions are counterintuitive for EcoLoop. It can be favourable to avoid heavy initial investment as the cost of fit-out and procurement of office furniture can be high. Subscription can also help in terms of predictability of expenditures and lower financial risk of adaptive response to the changing needs in the work environment (Markiewicz and Ziobrowska-Sztuczka, 2026). However, regular repayments are an agreement which may cost more than owning in the long term.</w:t>
      </w:r>
    </w:p>
    <w:p w:rsidR="00621D05" w:rsidRDefault="008240CA">
      <w:pPr>
        <w:pStyle w:val="normal2"/>
      </w:pPr>
      <w:r>
        <w:t xml:space="preserve">This tension exists due to inflation too. This may lead to a higher awareness of furniture costs and procurement costs, which can enhance refurbishment and cost-flexible </w:t>
      </w:r>
      <w:r>
        <w:lastRenderedPageBreak/>
        <w:t>methods, but can also eat into businesses' budgets. SMEs might appreciate flexibility and may therefore delay the expenditure, or even make no expenses. Likewise, higher financing rates can make it less attractive to have a large investment, but it doesn't necessarily mean that people will opt for subscriptions (Elarabi and Khalifa, 2025).</w:t>
      </w:r>
    </w:p>
    <w:p w:rsidR="00106A7A" w:rsidRDefault="00106A7A">
      <w:pPr>
        <w:pStyle w:val="normal2"/>
        <w:rPr>
          <w:b/>
          <w:bCs/>
        </w:rPr>
      </w:pPr>
    </w:p>
    <w:p w:rsidR="00621D05" w:rsidRDefault="000A11B6">
      <w:pPr>
        <w:pStyle w:val="normal2"/>
        <w:rPr>
          <w:b/>
          <w:bCs/>
        </w:rPr>
      </w:pPr>
      <w:r>
        <w:rPr>
          <w:b/>
          <w:bCs/>
        </w:rPr>
        <w:t>Table 4</w:t>
      </w:r>
      <w:r w:rsidR="008240CA">
        <w:rPr>
          <w:b/>
          <w:bCs/>
        </w:rPr>
        <w:t>: Economic Condition and Related Opportunities</w:t>
      </w:r>
    </w:p>
    <w:tbl>
      <w:tblPr>
        <w:tblStyle w:val="affffffffffffff5"/>
        <w:tblW w:w="9210" w:type="dxa"/>
        <w:tblBorders>
          <w:top w:val="nil"/>
          <w:left w:val="nil"/>
          <w:bottom w:val="nil"/>
          <w:right w:val="nil"/>
          <w:insideH w:val="nil"/>
          <w:insideV w:val="nil"/>
        </w:tblBorders>
        <w:tblLayout w:type="fixed"/>
        <w:tblLook w:val="0600"/>
      </w:tblPr>
      <w:tblGrid>
        <w:gridCol w:w="2565"/>
        <w:gridCol w:w="3360"/>
        <w:gridCol w:w="3285"/>
      </w:tblGrid>
      <w:tr w:rsidR="00621D05">
        <w:trPr>
          <w:cantSplit/>
          <w:trHeight w:val="515"/>
          <w:tblHeader/>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Economic condition</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Potential opportunity</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Counter-effect</w:t>
            </w:r>
          </w:p>
        </w:tc>
      </w:tr>
      <w:tr w:rsidR="00621D05">
        <w:trPr>
          <w:cantSplit/>
          <w:trHeight w:val="515"/>
          <w:tblHeader/>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Inflation</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Greater interest in reuse</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Lower business budgets</w:t>
            </w:r>
          </w:p>
        </w:tc>
      </w:tr>
      <w:tr w:rsidR="00621D05">
        <w:trPr>
          <w:cantSplit/>
          <w:trHeight w:val="515"/>
          <w:tblHeader/>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High fit-out costs</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Lower upfront commitment</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Investment postponement</w:t>
            </w:r>
          </w:p>
        </w:tc>
      </w:tr>
      <w:tr w:rsidR="00621D05">
        <w:trPr>
          <w:cantSplit/>
          <w:trHeight w:val="515"/>
          <w:tblHeader/>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Financing pressure</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Access instead of ownership</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Recurring payments remain</w:t>
            </w:r>
          </w:p>
        </w:tc>
      </w:tr>
      <w:tr w:rsidR="00621D05">
        <w:trPr>
          <w:cantSplit/>
          <w:trHeight w:val="515"/>
          <w:tblHeader/>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Business uncertainty</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Greater value of flexibility</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Lower overall spending</w:t>
            </w:r>
          </w:p>
        </w:tc>
      </w:tr>
    </w:tbl>
    <w:p w:rsidR="00621D05" w:rsidRDefault="008240CA">
      <w:pPr>
        <w:pStyle w:val="normal2"/>
      </w:pPr>
      <w:r>
        <w:t xml:space="preserve">As a geographical viewpoint, EcoLoop should target geographical areas where there is a high density of businesses, which have a significant amount of office activities as well as practical facility access. Working out of the main commercial hubs and London might have more demand as the value of flexibility also rises due to workplace costs, and more organisations are complex. But the attribute of geographical attractiveness is to be balanced with delivery/collection costs, storage and refurbishment costs (Mohri </w:t>
      </w:r>
      <w:r>
        <w:rPr>
          <w:i/>
          <w:iCs/>
        </w:rPr>
        <w:t>et al</w:t>
      </w:r>
      <w:r>
        <w:t>., 2024) Although geographically dense markets may yield greater demand, poor margins can also result when there are high reverse logistics costs. As a result, in addition to influencing customer acquisition, geography plays a role in the economics of the circular model as well.</w:t>
      </w:r>
    </w:p>
    <w:p w:rsidR="00621D05" w:rsidRDefault="008240CA">
      <w:pPr>
        <w:pStyle w:val="Heading2"/>
        <w:spacing w:before="200"/>
      </w:pPr>
      <w:bookmarkStart w:id="47" w:name="_Toc241233906"/>
      <w:r>
        <w:lastRenderedPageBreak/>
        <w:t>5.6 Research Findings and Opportunity Synthesis</w:t>
      </w:r>
      <w:bookmarkEnd w:id="47"/>
    </w:p>
    <w:p w:rsidR="00621D05" w:rsidRDefault="008240CA">
      <w:pPr>
        <w:pStyle w:val="normal2"/>
      </w:pPr>
      <w:r>
        <w:t>There is evidence that there may be a commercially attractive market opportunity for Weben, although it is not an established high-growth market.</w:t>
      </w:r>
    </w:p>
    <w:p w:rsidR="00621D05" w:rsidRDefault="000A11B6">
      <w:pPr>
        <w:pStyle w:val="normal2"/>
        <w:rPr>
          <w:b/>
          <w:bCs/>
        </w:rPr>
      </w:pPr>
      <w:r>
        <w:rPr>
          <w:b/>
          <w:bCs/>
        </w:rPr>
        <w:t>Table 5</w:t>
      </w:r>
      <w:r w:rsidR="008240CA">
        <w:rPr>
          <w:b/>
          <w:bCs/>
        </w:rPr>
        <w:t>: Overall Assessment</w:t>
      </w:r>
    </w:p>
    <w:tbl>
      <w:tblPr>
        <w:tblStyle w:val="affffffffffffff6"/>
        <w:tblW w:w="9360" w:type="dxa"/>
        <w:tblBorders>
          <w:top w:val="nil"/>
          <w:left w:val="nil"/>
          <w:bottom w:val="nil"/>
          <w:right w:val="nil"/>
          <w:insideH w:val="nil"/>
          <w:insideV w:val="nil"/>
        </w:tblBorders>
        <w:tblLayout w:type="fixed"/>
        <w:tblLook w:val="0600"/>
      </w:tblPr>
      <w:tblGrid>
        <w:gridCol w:w="2103"/>
        <w:gridCol w:w="1775"/>
        <w:gridCol w:w="5482"/>
      </w:tblGrid>
      <w:tr w:rsidR="00621D05">
        <w:trPr>
          <w:cantSplit/>
          <w:trHeight w:val="515"/>
          <w:tblHeader/>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Criterion</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Assessment</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Critical judgement</w:t>
            </w:r>
          </w:p>
        </w:tc>
      </w:tr>
      <w:tr w:rsidR="00621D05">
        <w:trPr>
          <w:cantSplit/>
          <w:trHeight w:val="800"/>
          <w:tblHeader/>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Need strength</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Strong</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Change in the workplace and surplus furniture are real issues</w:t>
            </w:r>
          </w:p>
        </w:tc>
      </w:tr>
      <w:tr w:rsidR="00621D05">
        <w:trPr>
          <w:cantSplit/>
          <w:trHeight w:val="800"/>
          <w:tblHeader/>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Market scale</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Strong</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A lot of lines for B2B – but half of them are not realistic numbers that can be targeted.</w:t>
            </w:r>
          </w:p>
        </w:tc>
      </w:tr>
      <w:tr w:rsidR="00621D05">
        <w:trPr>
          <w:cantSplit/>
          <w:trHeight w:val="800"/>
          <w:tblHeader/>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Target accessibility</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Moderate–Strong</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It is beneficial to SMEs and flexible spaces, but needs to be validated.</w:t>
            </w:r>
          </w:p>
        </w:tc>
      </w:tr>
      <w:tr w:rsidR="00621D05">
        <w:trPr>
          <w:cantSplit/>
          <w:trHeight w:val="800"/>
          <w:tblHeader/>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Demand quality</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Moderate</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There is a need, but it is not clear if it will be adopted in a subscription.</w:t>
            </w:r>
          </w:p>
        </w:tc>
      </w:tr>
      <w:tr w:rsidR="00621D05">
        <w:trPr>
          <w:cantSplit/>
          <w:trHeight w:val="800"/>
          <w:tblHeader/>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Economic resilience</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Moderate</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Fewer will be able to afford as much flexibility as before, and budgets will shrink.</w:t>
            </w:r>
          </w:p>
        </w:tc>
      </w:tr>
      <w:tr w:rsidR="00621D05">
        <w:trPr>
          <w:cantSplit/>
          <w:trHeight w:val="800"/>
          <w:tblHeader/>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Evidence confidence</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Moderate</w:t>
            </w:r>
          </w:p>
        </w:tc>
        <w:tc>
          <w:tcPr>
            <w:tcW w:w="54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Customer willingness is untried and customer usefulness is helpful.</w:t>
            </w:r>
          </w:p>
        </w:tc>
      </w:tr>
    </w:tbl>
    <w:p w:rsidR="00621D05" w:rsidRDefault="008240CA">
      <w:pPr>
        <w:pStyle w:val="normal2"/>
      </w:pPr>
      <w:r>
        <w:t>Put simply, the synergy of hybrid working, evolving space needs, waste from office furniture, sustainability considerations and a need for multi-functionality and working capital freedom enhance EcoLoop's value. Those are elements which create retail conditions, but do not ensure sales. The biggest ambiguities are those of willingness to pay, customer switching, customer retention, acceptance of refurbished furniture, and reverse logistics costs.</w:t>
      </w:r>
    </w:p>
    <w:p w:rsidR="00621D05" w:rsidRDefault="008240CA">
      <w:pPr>
        <w:pStyle w:val="normal2"/>
      </w:pPr>
      <w:r>
        <w:lastRenderedPageBreak/>
        <w:t>This is because the opportunity is best realised when there are customers who undergo changes in their workplace/practice, or high furniture turnover, and SMEs/scale-ups as well as operators of flexible workspaces seem to be ideal first players (Hokmabadi, Rezvani and de Matos, 2024). A subscription pricing-controlled pilot needs to be performed before scaling out, assessing asset utilisation, customer retention and refurbishment costs, and evaluating collection economics (Kowalkowski and Ulaga, 2024). This would make the existing hypothesis on the opportunity hypothesis "evidence-based" into "commercial evidence. The final result on the other hand, is a conditional one, as EcoLoop also provides solutions to potentially valid market issues, and will need to be shown to deliver the value of flexibility to customers at a profitable price. But with no primary research sources, the willingness to pay is yet unknown and pricey forecasts for subscription and switching rates are accepted. This reduces the certainty in the ability of market attractiveness to be translated into commercial forecasts. It is also essential that the proposed circular model can be shown to increase the marginal costs of collection, storage, refurbishment, and re-distribution without causing the subscription revenues to decline.</w:t>
      </w:r>
    </w:p>
    <w:p w:rsidR="00621D05" w:rsidRDefault="008240CA">
      <w:pPr>
        <w:pStyle w:val="Heading1"/>
        <w:spacing w:before="200"/>
      </w:pPr>
      <w:bookmarkStart w:id="48" w:name="_heading=h.gj7w1hw8hmg" w:colFirst="0" w:colLast="0"/>
      <w:bookmarkEnd w:id="48"/>
      <w:r>
        <w:br w:type="page"/>
      </w:r>
    </w:p>
    <w:p w:rsidR="00621D05" w:rsidRDefault="008240CA">
      <w:pPr>
        <w:pStyle w:val="Heading1"/>
        <w:spacing w:before="200"/>
      </w:pPr>
      <w:bookmarkStart w:id="49" w:name="_Toc241233907"/>
      <w:r>
        <w:lastRenderedPageBreak/>
        <w:t>Chapter 6: Competitive Environment Analysis</w:t>
      </w:r>
      <w:bookmarkEnd w:id="49"/>
    </w:p>
    <w:p w:rsidR="00621D05" w:rsidRDefault="008240CA">
      <w:pPr>
        <w:pStyle w:val="Heading2"/>
        <w:keepNext w:val="0"/>
        <w:keepLines w:val="0"/>
        <w:spacing w:before="200"/>
      </w:pPr>
      <w:bookmarkStart w:id="50" w:name="_Toc241233908"/>
      <w:r>
        <w:t>6.1 Scope, Frameworks and Competitive Set</w:t>
      </w:r>
      <w:bookmarkEnd w:id="50"/>
    </w:p>
    <w:p w:rsidR="00621D05" w:rsidRDefault="008240CA">
      <w:pPr>
        <w:pStyle w:val="normal2"/>
      </w:pPr>
      <w:r>
        <w:t>While the UK-based EcoLoop is active in the corporate office furniture/workplace solutions market, the challenge it faces is not just from traditional office furniture suppliers. The requirements can be met in the same way by another party through ownership, refurbishment, letting, repairs, and retaining the assets (Dao, Cooper and Watkins, 2026). But it is not only on the product availability that a competition will be conducted; it also relies on price/value, flexibility, quality, reliability, ease of use and sustainability. Traditional furniture vendors are best known for furniture ownership-based requirements, whereas refurbished, hire and circular providers make better business model comparisons. The substitutes are existing furniture or those who fix/alter the old furniture, while established suppliers that are coming into the furniture-as-service model are potential entrants. As per the research methodology, analysis of the competitors is then done through positioning and key success factors and then through Porter's five forces and PESTLE.</w:t>
      </w:r>
    </w:p>
    <w:p w:rsidR="00621D05" w:rsidRDefault="008240CA">
      <w:pPr>
        <w:pStyle w:val="Heading2"/>
        <w:spacing w:before="200"/>
      </w:pPr>
      <w:bookmarkStart w:id="51" w:name="_Toc241233909"/>
      <w:r>
        <w:t>6.2 Key Success Factors</w:t>
      </w:r>
      <w:bookmarkEnd w:id="51"/>
    </w:p>
    <w:p w:rsidR="00621D05" w:rsidRDefault="008240CA">
      <w:pPr>
        <w:pStyle w:val="normal2"/>
      </w:pPr>
      <w:r>
        <w:t>Service reliability and availability are more important to EcoLoop than it is to traditional ownership models, as the customer relies on the service provider for delivery, installation, maintenance, and replacement. Traditional suppliers can provide more robust service structures while EcoLoop's service structure needs to be demonstrated as equally strong in a more complicated lifecycle model.</w:t>
      </w:r>
    </w:p>
    <w:p w:rsidR="00621D05" w:rsidRDefault="008240CA">
      <w:pPr>
        <w:pStyle w:val="normal2"/>
      </w:pPr>
      <w:r>
        <w:t xml:space="preserve">Another key consideration is price – value performance. Both conventional and EcoLoop buying have their advantages and disadvantages, with conventional putting in more money up front but yielding ownership, and EcoLoop saving money in the long run but committing to less ownership. Hence, subscription revenues need to exhibit an outstanding life cycle value, not just high upfront revenues (Liu </w:t>
      </w:r>
      <w:r>
        <w:rPr>
          <w:i/>
          <w:iCs/>
        </w:rPr>
        <w:t>et al</w:t>
      </w:r>
      <w:r>
        <w:t>., 2025).</w:t>
      </w:r>
    </w:p>
    <w:p w:rsidR="00621D05" w:rsidRDefault="008240CA">
      <w:pPr>
        <w:pStyle w:val="normal2"/>
      </w:pPr>
      <w:r>
        <w:lastRenderedPageBreak/>
        <w:t>Circular and refurbishment capability could be one of the indications of the difference between circular and linear providers. Take-back, reuse, refurbishment and resale increase the value of the asset; however, quality and hygiene as well as durability are expectations for refurbished furniture. Despite the fact that there are communication companies that achieve remarkable sustainability results, their weak product performance may not be enough to offset it (p. 410, Pérez-Sánchez, Velasco-Fernández and Giampietro, 2022).</w:t>
      </w:r>
    </w:p>
    <w:p w:rsidR="00621D05" w:rsidRDefault="008240CA">
      <w:pPr>
        <w:pStyle w:val="normal2"/>
      </w:pPr>
      <w:r>
        <w:t xml:space="preserve">Access to improved operating efficiency can make a profit. Storage, reverse logistics, maintenance and inventory can be potential threats to EcoLoop's recurring revenue. While conventional suppliers have an advantage in their one-way business, companies have an advantage in terms of reaching high asset utilisation values necessary to make circularity commercially viable (Kudrenko </w:t>
      </w:r>
      <w:r>
        <w:rPr>
          <w:i/>
          <w:iCs/>
        </w:rPr>
        <w:t>et al</w:t>
      </w:r>
      <w:r>
        <w:t>., 2025). The research specifies some key conditions such as logistics, utilisation quality and refurbishment quality.</w:t>
      </w:r>
    </w:p>
    <w:p w:rsidR="00621D05" w:rsidRDefault="008240CA">
      <w:pPr>
        <w:pStyle w:val="normal2"/>
      </w:pPr>
      <w:r>
        <w:t>Last but not least, trust and the credibility of ESG. EcoLoop has the potential to provide more than just potential systems; it can provide measurable reuse and ESG reporting, unlike suppliers that may not have as integrated sustainability information. However, the claims do only make the cut when backed up by clear-cut proof.</w:t>
      </w:r>
    </w:p>
    <w:p w:rsidR="00621D05" w:rsidRDefault="008240CA">
      <w:pPr>
        <w:pStyle w:val="Heading2"/>
        <w:keepNext w:val="0"/>
        <w:keepLines w:val="0"/>
        <w:spacing w:before="200"/>
      </w:pPr>
      <w:bookmarkStart w:id="52" w:name="_Toc241233910"/>
      <w:r>
        <w:t>6.3 Main Competitors and Positioning</w:t>
      </w:r>
      <w:bookmarkEnd w:id="52"/>
    </w:p>
    <w:p w:rsidR="00621D05" w:rsidRDefault="008240CA">
      <w:pPr>
        <w:pStyle w:val="Heading3"/>
      </w:pPr>
      <w:bookmarkStart w:id="53" w:name="_Toc241233911"/>
      <w:r>
        <w:t>6.3.1 Competitor Analysis</w:t>
      </w:r>
      <w:bookmarkEnd w:id="53"/>
    </w:p>
    <w:p w:rsidR="00621D05" w:rsidRDefault="000A11B6">
      <w:pPr>
        <w:pStyle w:val="normal2"/>
      </w:pPr>
      <w:r>
        <w:rPr>
          <w:b/>
          <w:bCs/>
        </w:rPr>
        <w:t>Table 6</w:t>
      </w:r>
      <w:r w:rsidR="008240CA">
        <w:rPr>
          <w:b/>
          <w:bCs/>
        </w:rPr>
        <w:t xml:space="preserve">. Key Competitors. </w:t>
      </w:r>
    </w:p>
    <w:tbl>
      <w:tblPr>
        <w:tblStyle w:val="affffffffffffff7"/>
        <w:tblW w:w="10380" w:type="dxa"/>
        <w:tblInd w:w="-570" w:type="dxa"/>
        <w:tblBorders>
          <w:top w:val="nil"/>
          <w:left w:val="nil"/>
          <w:bottom w:val="nil"/>
          <w:right w:val="nil"/>
          <w:insideH w:val="nil"/>
          <w:insideV w:val="nil"/>
        </w:tblBorders>
        <w:tblLayout w:type="fixed"/>
        <w:tblLook w:val="0600"/>
      </w:tblPr>
      <w:tblGrid>
        <w:gridCol w:w="1575"/>
        <w:gridCol w:w="1245"/>
        <w:gridCol w:w="1200"/>
        <w:gridCol w:w="1110"/>
        <w:gridCol w:w="1335"/>
        <w:gridCol w:w="1155"/>
        <w:gridCol w:w="1230"/>
        <w:gridCol w:w="1530"/>
      </w:tblGrid>
      <w:tr w:rsidR="00621D05" w:rsidRPr="008F2286">
        <w:trPr>
          <w:cantSplit/>
          <w:trHeight w:val="800"/>
          <w:tblHeader/>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rPr>
                <w:b/>
                <w:bCs/>
              </w:rPr>
              <w:t>Competitor</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rPr>
                <w:b/>
                <w:bCs/>
              </w:rPr>
              <w:t>Type</w:t>
            </w:r>
          </w:p>
        </w:tc>
        <w:tc>
          <w:tcPr>
            <w:tcW w:w="1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rPr>
                <w:b/>
                <w:bCs/>
              </w:rPr>
              <w:t>Services</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rPr>
                <w:b/>
                <w:bCs/>
              </w:rPr>
              <w:t>Pricing</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rPr>
                <w:b/>
                <w:bCs/>
              </w:rPr>
              <w:t>Target customers</w:t>
            </w:r>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rPr>
                <w:b/>
                <w:bCs/>
              </w:rPr>
              <w:t>Geography</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rPr>
                <w:b/>
                <w:bCs/>
              </w:rPr>
              <w:t>Strengths</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rPr>
                <w:b/>
                <w:bCs/>
              </w:rPr>
              <w:t>Weaknesses</w:t>
            </w:r>
          </w:p>
        </w:tc>
      </w:tr>
      <w:tr w:rsidR="00621D05" w:rsidRPr="008F2286">
        <w:trPr>
          <w:cantSplit/>
          <w:trHeight w:val="4475"/>
          <w:tblHeader/>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rPr>
                <w:b/>
                <w:bCs/>
              </w:rPr>
              <w:lastRenderedPageBreak/>
              <w:t>NORNORM</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Direct</w:t>
            </w:r>
          </w:p>
        </w:tc>
        <w:tc>
          <w:tcPr>
            <w:tcW w:w="1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Office furniture subscription, workspace design, delivery, installation, maintenance, repairs, replacements, furniture swaps and circular impact reporting</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 xml:space="preserve">From </w:t>
            </w:r>
            <w:r w:rsidRPr="008F2286">
              <w:rPr>
                <w:b/>
                <w:bCs/>
              </w:rPr>
              <w:t>£0.30/ft² per month</w:t>
            </w:r>
            <w:r w:rsidRPr="008F2286">
              <w:t>; £2/ft² start-up fee</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Businesses and corporate workplaces seeking flexible office furniture</w:t>
            </w:r>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UK and international markets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Highly developed subscription model; circular furniture; flexible scaling; maintenance and swap-outs included</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Established competitor with a proposition very similar to EcoLoop; six-month notice period</w:t>
            </w:r>
          </w:p>
        </w:tc>
      </w:tr>
      <w:tr w:rsidR="00621D05" w:rsidRPr="008F2286">
        <w:trPr>
          <w:cantSplit/>
          <w:trHeight w:val="3350"/>
          <w:tblHeader/>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rPr>
                <w:b/>
                <w:bCs/>
              </w:rPr>
              <w:t>Circular Office Group</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Direct</w:t>
            </w:r>
          </w:p>
        </w:tc>
        <w:tc>
          <w:tcPr>
            <w:tcW w:w="1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Furniture subscription, ergonomic furniture, delivery, installation, maintenance, upgrades, replacements, refurbishment and recycling</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Bespoke pricing; monthly subscription options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Businesses, corporate organisations and hybrid/remote workplaces</w:t>
            </w:r>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UK</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Strong sustainability positioning; subscription model; ESG alignment; flexible packages</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Bespoke pricing may reduce price transparency; relatively similar proposition creates direct competitive pressure</w:t>
            </w:r>
          </w:p>
        </w:tc>
      </w:tr>
      <w:tr w:rsidR="00621D05" w:rsidRPr="008F2286">
        <w:trPr>
          <w:cantSplit/>
          <w:trHeight w:val="3065"/>
          <w:tblHeader/>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rPr>
                <w:b/>
                <w:bCs/>
              </w:rPr>
              <w:lastRenderedPageBreak/>
              <w:t>Enky</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Direct</w:t>
            </w:r>
          </w:p>
        </w:tc>
        <w:tc>
          <w:tcPr>
            <w:tcW w:w="1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Furniture subscription, leaseback, circular purchase, maintenance, logistics, furniture swaps and upgrades</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 xml:space="preserve">Quote-based; subscriptions have a </w:t>
            </w:r>
            <w:r w:rsidRPr="008F2286">
              <w:rPr>
                <w:b/>
                <w:bCs/>
              </w:rPr>
              <w:t>12-month minimum</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Businesses and corporate workplaces</w:t>
            </w:r>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UK/European market</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Multiple circular financing models; buy-back and leaseback options; established furniture infrastructure</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Longer minimum commitment; proposition is broader than a simple flexible subscription</w:t>
            </w:r>
          </w:p>
        </w:tc>
      </w:tr>
      <w:tr w:rsidR="00621D05" w:rsidRPr="008F2286">
        <w:trPr>
          <w:cantSplit/>
          <w:trHeight w:val="3065"/>
          <w:tblHeader/>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rPr>
                <w:b/>
                <w:bCs/>
              </w:rPr>
              <w:t>Office Furniture Online</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Indirect</w:t>
            </w:r>
          </w:p>
        </w:tc>
        <w:tc>
          <w:tcPr>
            <w:tcW w:w="1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Office desks, chairs, storage, space planning, delivery, installation and warranties</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 xml:space="preserve">Product purchase; e.g. desks from approximately </w:t>
            </w:r>
            <w:r w:rsidRPr="008F2286">
              <w:rPr>
                <w:b/>
                <w:bCs/>
              </w:rPr>
              <w:t>£118–£214+</w:t>
            </w:r>
            <w:r w:rsidRPr="008F2286">
              <w:t xml:space="preserve"> depending on model</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SMEs, large companies and other workplace customers</w:t>
            </w:r>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UK-wide</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Large product range, established supplier relationships, competitive purchase prices and rapid delivery</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Primarily ownership/purchase-based rather than circular subscription; limited flexibility after purchase</w:t>
            </w:r>
          </w:p>
        </w:tc>
      </w:tr>
      <w:tr w:rsidR="00621D05" w:rsidRPr="008F2286">
        <w:trPr>
          <w:cantSplit/>
          <w:trHeight w:val="2780"/>
          <w:tblHeader/>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rPr>
                <w:b/>
                <w:bCs/>
              </w:rPr>
              <w:t>Refurbished Office Furniture</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Indirect</w:t>
            </w:r>
          </w:p>
        </w:tc>
        <w:tc>
          <w:tcPr>
            <w:tcW w:w="1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Office furniture refurbishment, repair, reupholstery, cleaning, restoration and reuse</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Quote-based</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Businesses, schools, universities, offices and landlords</w:t>
            </w:r>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UK</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Strong refurbishment capability; lower-cost reuse proposition; extends existing furniture life</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8F2286" w:rsidRDefault="008240CA">
            <w:pPr>
              <w:pStyle w:val="normal2"/>
              <w:spacing w:before="0" w:after="0" w:line="240" w:lineRule="auto"/>
              <w:jc w:val="center"/>
            </w:pPr>
            <w:r w:rsidRPr="008F2286">
              <w:t>Primarily refurbishes customer-owned furniture rather than providing an integrated subscription, swap-out and take-back model</w:t>
            </w:r>
          </w:p>
        </w:tc>
      </w:tr>
    </w:tbl>
    <w:p w:rsidR="00621D05" w:rsidRDefault="00621D05">
      <w:pPr>
        <w:pStyle w:val="normal2"/>
      </w:pPr>
    </w:p>
    <w:p w:rsidR="00621D05" w:rsidRDefault="008240CA">
      <w:pPr>
        <w:pStyle w:val="normal2"/>
      </w:pPr>
      <w:r>
        <w:t xml:space="preserve">This analysis reveals that in addition to not having a single competitor, EcoLoop actually competes with several different types of business models. Scale and reliability are the advantage of traditional suppliers, and affordability and circularity can be competitive options of refurbished suppliers. Flexibility is facilitated by rental providers and circular companies are increasingly executing reuse in combination with lifecycle services (Stabler </w:t>
      </w:r>
      <w:r>
        <w:rPr>
          <w:i/>
          <w:iCs/>
        </w:rPr>
        <w:t>et al</w:t>
      </w:r>
      <w:r>
        <w:t>., 2024). Namely, because of its newness, the complexity of logistics and the lack of validated acceptance by customers, the integrated subscription model has the potential to differentiate but cannot be defended. It's not merely positioning for sustainability that will win you competitive advantage, but also the execution of your operations.</w:t>
      </w:r>
    </w:p>
    <w:p w:rsidR="00621D05" w:rsidRDefault="008240CA">
      <w:pPr>
        <w:pStyle w:val="Heading3"/>
      </w:pPr>
      <w:bookmarkStart w:id="54" w:name="_Toc241233912"/>
      <w:r>
        <w:t>6.3.2 Positioning Map</w:t>
      </w:r>
      <w:bookmarkEnd w:id="54"/>
    </w:p>
    <w:p w:rsidR="00621D05" w:rsidRDefault="008240CA">
      <w:pPr>
        <w:pStyle w:val="normal2"/>
        <w:rPr>
          <w:b/>
          <w:bCs/>
        </w:rPr>
      </w:pPr>
      <w:r>
        <w:rPr>
          <w:b/>
          <w:bCs/>
        </w:rPr>
        <w:t>Figure 7. Positioning Map</w:t>
      </w:r>
    </w:p>
    <w:p w:rsidR="00621D05" w:rsidRDefault="008240CA">
      <w:pPr>
        <w:pStyle w:val="normal2"/>
      </w:pPr>
      <w:r>
        <w:rPr>
          <w:noProof/>
        </w:rPr>
        <w:drawing>
          <wp:inline distT="114300" distB="114300" distL="114300" distR="114300">
            <wp:extent cx="5943600" cy="3865178"/>
            <wp:effectExtent l="12700" t="12700" r="12700" b="12700"/>
            <wp:docPr id="13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t="13292"/>
                    <a:stretch>
                      <a:fillRect/>
                    </a:stretch>
                  </pic:blipFill>
                  <pic:spPr>
                    <a:xfrm>
                      <a:off x="0" y="0"/>
                      <a:ext cx="5943600" cy="3865178"/>
                    </a:xfrm>
                    <a:prstGeom prst="rect">
                      <a:avLst/>
                    </a:prstGeom>
                    <a:ln w="12700">
                      <a:solidFill>
                        <a:srgbClr val="000000"/>
                      </a:solidFill>
                      <a:prstDash val="solid"/>
                    </a:ln>
                  </pic:spPr>
                </pic:pic>
              </a:graphicData>
            </a:graphic>
          </wp:inline>
        </w:drawing>
      </w:r>
    </w:p>
    <w:p w:rsidR="00621D05" w:rsidRDefault="008240CA">
      <w:pPr>
        <w:pStyle w:val="normal2"/>
      </w:pPr>
      <w:r>
        <w:lastRenderedPageBreak/>
        <w:t>As identified through the positioning map, the position of EcoLoop is potentially attractive regarding 'high use of eligibility – high use of circularity' that is associated with 'subscription – lifecycle management'. Fluid is flexible religious and secular clothing is acceptable but doesn't look as round, and Coggin looks more round, although less flexible. While differentiated, not unique, Circular Office Group is the closest strategic competitor to EcoLoop. So, while positioning is important, it is only a matter of 'how' rather than 'where'. It is what counts are asset utilisation, quality of refurbishment and measured ESG performance, as well as reliability of the service itself.</w:t>
      </w:r>
    </w:p>
    <w:p w:rsidR="00621D05" w:rsidRDefault="008240CA">
      <w:pPr>
        <w:pStyle w:val="Heading2"/>
        <w:spacing w:before="200"/>
      </w:pPr>
      <w:bookmarkStart w:id="55" w:name="_Toc241233913"/>
      <w:r>
        <w:t>6.4 Porter’s Five Forces</w:t>
      </w:r>
      <w:bookmarkEnd w:id="55"/>
    </w:p>
    <w:p w:rsidR="00621D05" w:rsidRDefault="000A11B6">
      <w:pPr>
        <w:pStyle w:val="normal2"/>
      </w:pPr>
      <w:r>
        <w:rPr>
          <w:b/>
          <w:bCs/>
        </w:rPr>
        <w:t>Table 7</w:t>
      </w:r>
      <w:r w:rsidR="008240CA">
        <w:rPr>
          <w:b/>
          <w:bCs/>
        </w:rPr>
        <w:t>. Porter’s Five Forces Analysis</w:t>
      </w:r>
    </w:p>
    <w:tbl>
      <w:tblPr>
        <w:tblStyle w:val="affffffffffffff8"/>
        <w:tblW w:w="9360" w:type="dxa"/>
        <w:tblBorders>
          <w:top w:val="nil"/>
          <w:left w:val="nil"/>
          <w:bottom w:val="nil"/>
          <w:right w:val="nil"/>
          <w:insideH w:val="nil"/>
          <w:insideV w:val="nil"/>
        </w:tblBorders>
        <w:tblLayout w:type="fixed"/>
        <w:tblLook w:val="0600"/>
      </w:tblPr>
      <w:tblGrid>
        <w:gridCol w:w="1560"/>
        <w:gridCol w:w="6195"/>
        <w:gridCol w:w="1605"/>
      </w:tblGrid>
      <w:tr w:rsidR="00621D05">
        <w:trPr>
          <w:cantSplit/>
          <w:trHeight w:val="800"/>
          <w:tblHeader/>
        </w:trPr>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jc w:val="center"/>
            </w:pPr>
            <w:r w:rsidRPr="006715B0">
              <w:rPr>
                <w:b/>
                <w:bCs/>
              </w:rPr>
              <w:t>Force / Factor</w:t>
            </w:r>
          </w:p>
        </w:tc>
        <w:tc>
          <w:tcPr>
            <w:tcW w:w="6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jc w:val="center"/>
            </w:pPr>
            <w:r w:rsidRPr="006715B0">
              <w:rPr>
                <w:b/>
                <w:bCs/>
              </w:rPr>
              <w:t>Analysis</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jc w:val="center"/>
            </w:pPr>
            <w:r w:rsidRPr="006715B0">
              <w:rPr>
                <w:b/>
                <w:bCs/>
              </w:rPr>
              <w:t>Impact on EcoLoop</w:t>
            </w:r>
          </w:p>
        </w:tc>
      </w:tr>
      <w:tr w:rsidR="00621D05">
        <w:trPr>
          <w:cantSplit/>
          <w:trHeight w:val="2495"/>
          <w:tblHeader/>
        </w:trPr>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jc w:val="center"/>
            </w:pPr>
            <w:r w:rsidRPr="006715B0">
              <w:rPr>
                <w:b/>
                <w:bCs/>
              </w:rPr>
              <w:t>Competitive rivalry</w:t>
            </w:r>
          </w:p>
        </w:tc>
        <w:tc>
          <w:tcPr>
            <w:tcW w:w="6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pPr>
            <w:r w:rsidRPr="006715B0">
              <w:t>Competition is relatively strong because EcoLoop would compete with established office-furniture suppliers, refurbished-furniture providers, rental businesses and emerging circular-furniture platforms. Similar services, flexible procurement models and refurbishment capabilities can be imitated, increasing competitive pressure (Davis and Charter, 2025).</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jc w:val="center"/>
            </w:pPr>
            <w:r w:rsidRPr="006715B0">
              <w:rPr>
                <w:b/>
                <w:bCs/>
              </w:rPr>
              <w:t>High</w:t>
            </w:r>
          </w:p>
        </w:tc>
      </w:tr>
      <w:tr w:rsidR="00621D05">
        <w:trPr>
          <w:cantSplit/>
          <w:trHeight w:val="1370"/>
          <w:tblHeader/>
        </w:trPr>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jc w:val="center"/>
            </w:pPr>
            <w:r w:rsidRPr="006715B0">
              <w:rPr>
                <w:b/>
                <w:bCs/>
              </w:rPr>
              <w:t>Buyer power</w:t>
            </w:r>
          </w:p>
        </w:tc>
        <w:tc>
          <w:tcPr>
            <w:tcW w:w="6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pPr>
            <w:r w:rsidRPr="006715B0">
              <w:t>Corporate buyers can choose between several suppliers, negotiate contracts and switch between purchasing, renting, leasing and refurbishing furniture (Budler, Quiroga and Turkman, 2023).</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jc w:val="center"/>
            </w:pPr>
            <w:r w:rsidRPr="006715B0">
              <w:rPr>
                <w:b/>
                <w:bCs/>
              </w:rPr>
              <w:t>High</w:t>
            </w:r>
          </w:p>
        </w:tc>
      </w:tr>
      <w:tr w:rsidR="00621D05">
        <w:trPr>
          <w:cantSplit/>
          <w:trHeight w:val="1640"/>
          <w:tblHeader/>
        </w:trPr>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jc w:val="center"/>
            </w:pPr>
            <w:r w:rsidRPr="006715B0">
              <w:rPr>
                <w:b/>
                <w:bCs/>
              </w:rPr>
              <w:t>Supplier power</w:t>
            </w:r>
          </w:p>
        </w:tc>
        <w:tc>
          <w:tcPr>
            <w:tcW w:w="6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pPr>
            <w:r w:rsidRPr="006715B0">
              <w:t>EcoLoop depends on manufacturers, refurbishment partners, quality used furniture stock and logistics providers. Availability, quality and transportation costs can therefore affect service delivery and margins.</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jc w:val="center"/>
            </w:pPr>
            <w:r w:rsidRPr="006715B0">
              <w:rPr>
                <w:b/>
                <w:bCs/>
              </w:rPr>
              <w:t>Medium</w:t>
            </w:r>
          </w:p>
        </w:tc>
      </w:tr>
      <w:tr w:rsidR="00621D05">
        <w:trPr>
          <w:cantSplit/>
          <w:trHeight w:val="1640"/>
          <w:tblHeader/>
        </w:trPr>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jc w:val="center"/>
            </w:pPr>
            <w:r w:rsidRPr="006715B0">
              <w:rPr>
                <w:b/>
                <w:bCs/>
              </w:rPr>
              <w:lastRenderedPageBreak/>
              <w:t>Substitutes</w:t>
            </w:r>
          </w:p>
        </w:tc>
        <w:tc>
          <w:tcPr>
            <w:tcW w:w="6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pPr>
            <w:r w:rsidRPr="006715B0">
              <w:t>New furniture purchases, refurbished furniture, rental, leasing, repair and continued use of existing furniture can all satisfy customers’ workplace-furniture requirements.</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jc w:val="center"/>
            </w:pPr>
            <w:r w:rsidRPr="006715B0">
              <w:rPr>
                <w:b/>
                <w:bCs/>
              </w:rPr>
              <w:t>High</w:t>
            </w:r>
          </w:p>
        </w:tc>
      </w:tr>
      <w:tr w:rsidR="00621D05">
        <w:trPr>
          <w:cantSplit/>
          <w:trHeight w:val="1925"/>
          <w:tblHeader/>
        </w:trPr>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jc w:val="center"/>
            </w:pPr>
            <w:r w:rsidRPr="006715B0">
              <w:rPr>
                <w:b/>
                <w:bCs/>
              </w:rPr>
              <w:t>New entrants</w:t>
            </w:r>
          </w:p>
        </w:tc>
        <w:tc>
          <w:tcPr>
            <w:tcW w:w="6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pPr>
            <w:r w:rsidRPr="006715B0">
              <w:t>Trust, refurbishment capability, logistics infrastructure and access to suitable inventory create entry barriers. However, digital platforms and subscription models can reduce some barriers to entry (Connor-Crabb, Hemingray and Toms, 2026).</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715B0" w:rsidRDefault="008240CA">
            <w:pPr>
              <w:pStyle w:val="normal2"/>
              <w:spacing w:before="0" w:after="0" w:line="240" w:lineRule="auto"/>
              <w:jc w:val="center"/>
            </w:pPr>
            <w:r w:rsidRPr="006715B0">
              <w:rPr>
                <w:b/>
                <w:bCs/>
              </w:rPr>
              <w:t>Medium</w:t>
            </w:r>
          </w:p>
        </w:tc>
      </w:tr>
    </w:tbl>
    <w:p w:rsidR="00621D05" w:rsidRDefault="008240CA">
      <w:pPr>
        <w:pStyle w:val="normal2"/>
      </w:pPr>
      <w:r>
        <w:t>The Five Forces shows a moderately attractive, but highly competitive industry. Buyer power and substitutes place the most pressure since the consumer has a number of substitutes, and will negotiate for price and service. Then, rivalry becomes important as rivals merge flexibility and circularity in the hearts and minds of corporate buyers and contractors, according to Davis and Charter (2025). While supplier power and barriers to entry must be seen as being at a moderate level, issues related to logistics and inventory and refurbishment make scalability difficult. This means that margins of EcoLoop may come under pressure if it is unable to gain asset utilization and operational efficiencies. Therefore, its strategic freedom is restricted: If it is constrained to compete on price alone, it's more difficult, so the focus on the reliability of the service, its life value, and measurable circularity by that determinant could be more protected strategic elements.</w:t>
      </w:r>
    </w:p>
    <w:p w:rsidR="00621D05" w:rsidRDefault="008240CA">
      <w:pPr>
        <w:pStyle w:val="Heading2"/>
        <w:keepNext w:val="0"/>
        <w:keepLines w:val="0"/>
        <w:spacing w:before="200"/>
      </w:pPr>
      <w:bookmarkStart w:id="56" w:name="_Toc241233914"/>
      <w:r>
        <w:t>6.5 PESTLE and External Change</w:t>
      </w:r>
      <w:bookmarkEnd w:id="56"/>
    </w:p>
    <w:p w:rsidR="00621D05" w:rsidRDefault="000A11B6">
      <w:pPr>
        <w:pStyle w:val="normal2"/>
        <w:rPr>
          <w:b/>
          <w:bCs/>
        </w:rPr>
      </w:pPr>
      <w:r>
        <w:rPr>
          <w:b/>
          <w:bCs/>
        </w:rPr>
        <w:t>Table 8</w:t>
      </w:r>
      <w:r w:rsidR="008240CA">
        <w:rPr>
          <w:b/>
          <w:bCs/>
        </w:rPr>
        <w:t>: PESTLE Analysis</w:t>
      </w:r>
    </w:p>
    <w:tbl>
      <w:tblPr>
        <w:tblStyle w:val="affffffffffffff9"/>
        <w:tblW w:w="9525" w:type="dxa"/>
        <w:tblInd w:w="-165" w:type="dxa"/>
        <w:tblBorders>
          <w:top w:val="nil"/>
          <w:left w:val="nil"/>
          <w:bottom w:val="nil"/>
          <w:right w:val="nil"/>
          <w:insideH w:val="nil"/>
          <w:insideV w:val="nil"/>
        </w:tblBorders>
        <w:tblLayout w:type="fixed"/>
        <w:tblLook w:val="0600"/>
      </w:tblPr>
      <w:tblGrid>
        <w:gridCol w:w="1995"/>
        <w:gridCol w:w="4935"/>
        <w:gridCol w:w="2595"/>
      </w:tblGrid>
      <w:tr w:rsidR="00621D05">
        <w:trPr>
          <w:cantSplit/>
          <w:trHeight w:val="515"/>
          <w:tblHeader/>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Factor</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UK Market Analysis</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Impact</w:t>
            </w:r>
          </w:p>
        </w:tc>
      </w:tr>
      <w:tr w:rsidR="00621D05">
        <w:trPr>
          <w:cantSplit/>
          <w:trHeight w:val="800"/>
          <w:tblHeader/>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Political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Reuse and circularity are more common elements of sustainable public procurement (Torkki </w:t>
            </w:r>
            <w:r>
              <w:rPr>
                <w:i/>
                <w:iCs/>
              </w:rPr>
              <w:t>et al</w:t>
            </w:r>
            <w:r>
              <w:t>., 2024).</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High: Strong procurement support</w:t>
            </w:r>
          </w:p>
        </w:tc>
      </w:tr>
      <w:tr w:rsidR="00621D05">
        <w:trPr>
          <w:cantSplit/>
          <w:trHeight w:val="515"/>
          <w:tblHeader/>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lastRenderedPageBreak/>
              <w:t>Economic</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Business spending is affected by costs of inflation, financing and fit-out.</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High: Significant cost pressures</w:t>
            </w:r>
          </w:p>
        </w:tc>
      </w:tr>
      <w:tr w:rsidR="00621D05">
        <w:trPr>
          <w:cantSplit/>
          <w:trHeight w:val="800"/>
          <w:tblHeader/>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Social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Many factors can influence adoption, including hybrid working and attitudes to the refurbished furniture (Holman </w:t>
            </w:r>
            <w:r>
              <w:rPr>
                <w:i/>
                <w:iCs/>
              </w:rPr>
              <w:t>et al</w:t>
            </w:r>
            <w:r>
              <w:t>., 2026).</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High: Changing workplace behaviour</w:t>
            </w:r>
          </w:p>
        </w:tc>
      </w:tr>
      <w:tr w:rsidR="00621D05">
        <w:trPr>
          <w:cantSplit/>
          <w:trHeight w:val="800"/>
          <w:tblHeader/>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Technological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Digital inventory, tracking and ESG solutions aid lifecycle management (Chen and Perry, 2026).</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High: Improved operational efficiency</w:t>
            </w:r>
          </w:p>
        </w:tc>
      </w:tr>
      <w:tr w:rsidR="00621D05">
        <w:trPr>
          <w:cantSplit/>
          <w:trHeight w:val="800"/>
          <w:tblHeader/>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Legal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Market participation driven by procurement and contractual and environmental requirements.</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Low: Limited direct influence</w:t>
            </w:r>
          </w:p>
        </w:tc>
      </w:tr>
      <w:tr w:rsidR="00621D05">
        <w:trPr>
          <w:cantSplit/>
          <w:trHeight w:val="800"/>
          <w:tblHeader/>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Environmental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There is a potential for reuse and refurbishment based on furniture waste and pressure of circular economy (Das </w:t>
            </w:r>
            <w:r>
              <w:rPr>
                <w:i/>
                <w:iCs/>
              </w:rPr>
              <w:t>et al</w:t>
            </w:r>
            <w:r>
              <w:t>., 2025).</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High: Growing circular demand</w:t>
            </w:r>
          </w:p>
        </w:tc>
      </w:tr>
    </w:tbl>
    <w:p w:rsidR="00621D05" w:rsidRDefault="008240CA">
      <w:pPr>
        <w:pStyle w:val="normal2"/>
      </w:pPr>
      <w:r>
        <w:t>As shown by the PESTLE analysis, the factors of politics, economics, social, technology and environment are variously present with high impacts on EcoLoop. Circular procurement and re-use becomes strengthened by political and environmental pressures in favour of what EcoLoop proposes. Flexible models can be good in an economic uncertainty as cost pressure could lead to the use of flexible models, while high refurbishment and logistics costs could have a negative impact on margins. Social acceptance of areas where employees work of a blended (or used) nature is supportive of use but is somewhat uncertain. The technology brings advantages in stock management, subscription management and ESG reporting, but has the potential to open new possibilities for copycat clones of the EcoLoop business model. Legal is impactful, but with a low direct impact, and is a requirement for market participation.</w:t>
      </w:r>
    </w:p>
    <w:p w:rsidR="00621D05" w:rsidRDefault="008240CA">
      <w:pPr>
        <w:pStyle w:val="Heading2"/>
        <w:keepNext w:val="0"/>
        <w:keepLines w:val="0"/>
        <w:spacing w:before="200"/>
      </w:pPr>
      <w:bookmarkStart w:id="57" w:name="_Toc241233915"/>
      <w:r>
        <w:t>6.6 Industry Attractiveness, Market Gaps and Synthesis</w:t>
      </w:r>
      <w:bookmarkEnd w:id="57"/>
    </w:p>
    <w:p w:rsidR="00621D05" w:rsidRDefault="008240CA">
      <w:pPr>
        <w:pStyle w:val="normal2"/>
      </w:pPr>
      <w:r>
        <w:t xml:space="preserve">EcoLoop is going to be a moderately interesting and competitive market. Competition is high, and buyer power is high, while there are substitutes which make price elasticity and switching costs low. Subscription and circular features can be emulated by established competitors, which involves a high operational challenge due to inventory, </w:t>
      </w:r>
      <w:r>
        <w:lastRenderedPageBreak/>
        <w:t>logistics, refurbishment and entry restrictions. Thus, it is necessary to make assets used more efficiently and provide reliable services for profitability.</w:t>
      </w:r>
    </w:p>
    <w:p w:rsidR="00621D05" w:rsidRDefault="008240CA">
      <w:pPr>
        <w:pStyle w:val="normal2"/>
      </w:pPr>
      <w:r>
        <w:t>The potential market opportunity is "access at will" along with circular life-cycle management and measurable ESG reporting (Telukdarie and Nyathi, 2026). It is a way of adding value to the customer, flexibility, and sustainability –but it is not actually an area of difference, as there are other forms of existing rental, refurbishment and circular models from which to choose that aid in our vision and aims for a more sustainable future. Payability of the customer continues to be important.</w:t>
      </w:r>
    </w:p>
    <w:p w:rsidR="00621D05" w:rsidRDefault="008240CA">
      <w:pPr>
        <w:pStyle w:val="normal2"/>
      </w:pPr>
      <w:r>
        <w:t>Structural conditions generally are improving according to competitor evidence, Five Forces and PESTLE evidence, but there is a high level of competition. This means that EcoLoop's line of thinking is promising, not defensive. Not only the concept of the subscription, but the execution is superior, the measurable environmental impact, and the superior service and life cycle cost savings, that will form the basis of sustainable differentiation.</w:t>
      </w:r>
    </w:p>
    <w:p w:rsidR="00621D05" w:rsidRDefault="008240CA">
      <w:pPr>
        <w:pStyle w:val="Heading2"/>
        <w:keepNext w:val="0"/>
        <w:keepLines w:val="0"/>
        <w:spacing w:before="200"/>
      </w:pPr>
      <w:bookmarkStart w:id="58" w:name="_Toc241233916"/>
      <w:r>
        <w:t>6.7 Chapter Summary</w:t>
      </w:r>
      <w:bookmarkEnd w:id="58"/>
    </w:p>
    <w:p w:rsidR="00621D05" w:rsidRDefault="008240CA">
      <w:pPr>
        <w:pStyle w:val="normal2"/>
      </w:pPr>
      <w:r>
        <w:t>The environment of EcoLoop is moderately good, however, is still highly competitive, where low bargaining power and substitute products and rivalry pose the biggest pressures on the market. Maintaining a high level of reliability and efficiency of asset usage, competitive lifecycle value, refurbishment capability and credible evidence of environmental, social and governance (ESG) is essential for success. One might suggest a market opportunity that combines "flexible access" and 'circular lifecycle management' and also measures sustainability impact, though the competitors could be able to build the same sorts of features. For this EcoLoop thus has a conditionally competitive advantage which it has to demonstrate and validate with customers. These conclusions are then translated into a business strategy and market entry approach in the next chapter.</w:t>
      </w:r>
    </w:p>
    <w:p w:rsidR="00621D05" w:rsidRDefault="008240CA">
      <w:pPr>
        <w:pStyle w:val="Heading1"/>
        <w:spacing w:before="200"/>
      </w:pPr>
      <w:bookmarkStart w:id="59" w:name="_heading=h.fc4whaainei6" w:colFirst="0" w:colLast="0"/>
      <w:bookmarkEnd w:id="59"/>
      <w:r>
        <w:br w:type="page"/>
      </w:r>
    </w:p>
    <w:p w:rsidR="00621D05" w:rsidRDefault="008240CA">
      <w:pPr>
        <w:pStyle w:val="Heading1"/>
        <w:spacing w:before="200"/>
      </w:pPr>
      <w:bookmarkStart w:id="60" w:name="_Toc241233917"/>
      <w:r>
        <w:lastRenderedPageBreak/>
        <w:t>Chapter 7. Business Strategy</w:t>
      </w:r>
      <w:bookmarkEnd w:id="60"/>
      <w:r>
        <w:t xml:space="preserve"> </w:t>
      </w:r>
    </w:p>
    <w:p w:rsidR="00621D05" w:rsidRDefault="008240CA">
      <w:pPr>
        <w:pStyle w:val="Heading2"/>
        <w:spacing w:before="200"/>
      </w:pPr>
      <w:bookmarkStart w:id="61" w:name="_Toc241233918"/>
      <w:r>
        <w:t>7.1 Strategic Introduction</w:t>
      </w:r>
      <w:bookmarkEnd w:id="61"/>
    </w:p>
    <w:p w:rsidR="00621D05" w:rsidRDefault="008240CA">
      <w:pPr>
        <w:pStyle w:val="normal2"/>
      </w:pPr>
      <w:r>
        <w:t>EcoLoop Office's approach needs to be a viable, defensible commercial proposition that takes an achievable circular economy opportunity. In Chapter 6 and Chapter 7, I have set out the evidence that hybrid working, cost pressure, waste of resources and sustainability requirements are driving the transformation of UK office demand, but that at the same time – buyer power, multiple substitutes, operational complexity – are limiting profitability. The strategy then has a very clear 'golden thread', the external conditions are the opportunity, VRIO tests whether or not EcoLoop can come up with the strategy to exploit this, SWOT turns the evidence into strategic priorities, focused differentiation specifies the market position and the USP and capability system defines how the value will be defended. The goal is not sustainability for sustainability's sake, it is about customer value, reliability and economically viable circularity.</w:t>
      </w:r>
    </w:p>
    <w:p w:rsidR="00621D05" w:rsidRDefault="008240CA">
      <w:pPr>
        <w:pStyle w:val="Heading2"/>
        <w:spacing w:before="200"/>
      </w:pPr>
      <w:bookmarkStart w:id="62" w:name="_Toc241233919"/>
      <w:r>
        <w:t>7.2 External Strategic Analysis</w:t>
      </w:r>
      <w:bookmarkEnd w:id="62"/>
    </w:p>
    <w:p w:rsidR="00621D05" w:rsidRDefault="008240CA">
      <w:pPr>
        <w:pStyle w:val="normal2"/>
      </w:pPr>
      <w:r>
        <w:t>The evidence suggests that EcoLoop is making its way into a market in which sustainable expectations and flexible working are met, while economic expectations and compliance are limiting flexibility and strategic choices.</w:t>
      </w:r>
    </w:p>
    <w:p w:rsidR="00621D05" w:rsidRDefault="000A11B6">
      <w:pPr>
        <w:pStyle w:val="normal2"/>
        <w:rPr>
          <w:b/>
          <w:bCs/>
        </w:rPr>
      </w:pPr>
      <w:r>
        <w:rPr>
          <w:b/>
          <w:bCs/>
        </w:rPr>
        <w:t>Table 9</w:t>
      </w:r>
      <w:r w:rsidR="008240CA">
        <w:rPr>
          <w:b/>
          <w:bCs/>
        </w:rPr>
        <w:t>: External Strategic Analysis</w:t>
      </w:r>
    </w:p>
    <w:tbl>
      <w:tblPr>
        <w:tblStyle w:val="affffffffffffffa"/>
        <w:tblW w:w="11025" w:type="dxa"/>
        <w:tblInd w:w="-800" w:type="dxa"/>
        <w:tblBorders>
          <w:top w:val="nil"/>
          <w:left w:val="nil"/>
          <w:bottom w:val="nil"/>
          <w:right w:val="nil"/>
          <w:insideH w:val="nil"/>
          <w:insideV w:val="nil"/>
        </w:tblBorders>
        <w:tblLayout w:type="fixed"/>
        <w:tblLook w:val="0600"/>
      </w:tblPr>
      <w:tblGrid>
        <w:gridCol w:w="2610"/>
        <w:gridCol w:w="4575"/>
        <w:gridCol w:w="3840"/>
      </w:tblGrid>
      <w:tr w:rsidR="00621D05">
        <w:trPr>
          <w:cantSplit/>
          <w:trHeight w:val="50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Factor</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Numerical/strategic evidence</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Implication for EcoLoop</w:t>
            </w:r>
          </w:p>
        </w:tc>
      </w:tr>
      <w:tr w:rsidR="00621D05">
        <w:trPr>
          <w:cantSplit/>
          <w:trHeight w:val="131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Political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The 2025 Sustainable Furniture Solutions framework includes an office-furniture lot estimated at </w:t>
            </w:r>
            <w:r>
              <w:rPr>
                <w:b/>
                <w:bCs/>
              </w:rPr>
              <w:t>£250 million excluding VAT (Delta-esourcing.com, 2026)</w:t>
            </w:r>
            <w:r>
              <w:t>.</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Opportunity: circular procurement has institutional legitimacy.</w:t>
            </w:r>
          </w:p>
        </w:tc>
      </w:tr>
      <w:tr w:rsidR="00621D05">
        <w:trPr>
          <w:cantSplit/>
          <w:trHeight w:val="104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Economic</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UK CPI was </w:t>
            </w:r>
            <w:r>
              <w:rPr>
                <w:b/>
                <w:bCs/>
              </w:rPr>
              <w:t>2.6% in June 2026 (Bankofengland.co.uk, 2026)</w:t>
            </w:r>
            <w:r>
              <w:t>.</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Mixed: cost pressures may encourage flexibility but constrain SME budgets.</w:t>
            </w:r>
          </w:p>
        </w:tc>
      </w:tr>
      <w:tr w:rsidR="00621D05">
        <w:trPr>
          <w:cantSplit/>
          <w:trHeight w:val="104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lastRenderedPageBreak/>
              <w:t>Social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28%</w:t>
            </w:r>
            <w:r>
              <w:t xml:space="preserve"> of working adults in Great Britain hybrid-worked between January and March 2025 (Public Policy and Economic Insights team, 2025).</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Opportunity: changing workplace configurations strengthen demand for adaptability.</w:t>
            </w:r>
          </w:p>
        </w:tc>
      </w:tr>
      <w:tr w:rsidR="00621D05">
        <w:trPr>
          <w:cantSplit/>
          <w:trHeight w:val="104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Technological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Digital inventory, QR/barcode tracking, dashboards and analytics can support traceability (Udvaros </w:t>
            </w:r>
            <w:r>
              <w:rPr>
                <w:i/>
                <w:iCs/>
              </w:rPr>
              <w:t>et al</w:t>
            </w:r>
            <w:r>
              <w:t>., 2024).</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Opportunity: technology can improve transparency and reporting.</w:t>
            </w:r>
          </w:p>
        </w:tc>
      </w:tr>
      <w:tr w:rsidR="00621D05">
        <w:trPr>
          <w:cantSplit/>
          <w:trHeight w:val="131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Environmental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England generated </w:t>
            </w:r>
            <w:r>
              <w:rPr>
                <w:b/>
                <w:bCs/>
              </w:rPr>
              <w:t>32.6 million tonnes</w:t>
            </w:r>
            <w:r>
              <w:t xml:space="preserve"> of commercial and industrial waste in 2023 (Department for Environment, Food &amp; Rural Affairs, 2022).</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Opportunity: substantial resource-management problem, although waste volume does not prove subscription demand.</w:t>
            </w:r>
          </w:p>
        </w:tc>
      </w:tr>
      <w:tr w:rsidR="00621D05">
        <w:trPr>
          <w:cantSplit/>
          <w:trHeight w:val="104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Legal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Non-hazardous waste-transfer documentation must generally be retained for </w:t>
            </w:r>
            <w:r>
              <w:rPr>
                <w:b/>
                <w:bCs/>
              </w:rPr>
              <w:t>2 years</w:t>
            </w:r>
            <w:r>
              <w:t>.</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Threat: compliance increases process requirements and liability.</w:t>
            </w:r>
          </w:p>
        </w:tc>
      </w:tr>
    </w:tbl>
    <w:p w:rsidR="00621D05" w:rsidRDefault="008240CA">
      <w:pPr>
        <w:pStyle w:val="normal2"/>
        <w:rPr>
          <w:i/>
          <w:iCs/>
        </w:rPr>
      </w:pPr>
      <w:r>
        <w:rPr>
          <w:i/>
          <w:iCs/>
        </w:rPr>
        <w:t>Source: Self -developed</w:t>
      </w:r>
    </w:p>
    <w:p w:rsidR="00621D05" w:rsidRDefault="008240CA">
      <w:pPr>
        <w:pStyle w:val="normal2"/>
        <w:rPr>
          <w:b/>
          <w:bCs/>
        </w:rPr>
      </w:pPr>
      <w:r>
        <w:rPr>
          <w:b/>
          <w:bCs/>
        </w:rPr>
        <w:t xml:space="preserve">Critical analysis </w:t>
      </w:r>
    </w:p>
    <w:p w:rsidR="00621D05" w:rsidRDefault="008240CA">
      <w:pPr>
        <w:pStyle w:val="normal2"/>
      </w:pPr>
      <w:r>
        <w:t>EcoLoop's external environment is supportive, yet strategically ambivalent as indicated in the table. The NEUPC (2026) procurement notice also shows that circular and sustainable furniture purchasing is more and more becoming a formal procurement opportunity, in turn bolstering the political argument for EcoLoop! This should not be taken as a given demand, however. As for the economy, the Bank of England (2026) identifies ongoing inflationary and cost pressures, which means that EcoLoop will have to continue to have controlled pricing and route efficiency. In terms of social, the Public Policy and Economic Insights team (2025) states that 28% of working adult’s hybrid-worked in January – March 2025, which backs the demand for flexible working options. However, the Office for National Statistics (2025) count of 2.73 million VAT/PAYE businesses is much greater than EcoLoop's realistic "potential market". Political and environmental pressures create opportunity, but it is commercial viability that is determined by willingness to pay, compliance costs and operational efficiency.</w:t>
      </w:r>
    </w:p>
    <w:p w:rsidR="00621D05" w:rsidRDefault="008240CA">
      <w:pPr>
        <w:pStyle w:val="Heading2"/>
        <w:spacing w:before="200"/>
      </w:pPr>
      <w:bookmarkStart w:id="63" w:name="_Toc241233920"/>
      <w:r>
        <w:lastRenderedPageBreak/>
        <w:t>7.3 Internal Analysis: VRIO</w:t>
      </w:r>
      <w:bookmarkEnd w:id="63"/>
    </w:p>
    <w:p w:rsidR="00621D05" w:rsidRDefault="008240CA">
      <w:pPr>
        <w:pStyle w:val="normal2"/>
      </w:pPr>
      <w:r>
        <w:t>EcoLoop's resources and capabilities should be evaluated based on their value, rarity, inimitability and effectiveness in organization. The analysis is significant as the company will be a new business with limited resources and no reputation.</w:t>
      </w:r>
    </w:p>
    <w:p w:rsidR="00621D05" w:rsidRDefault="000A11B6">
      <w:pPr>
        <w:pStyle w:val="normal2"/>
        <w:rPr>
          <w:b/>
          <w:bCs/>
        </w:rPr>
      </w:pPr>
      <w:r>
        <w:rPr>
          <w:b/>
          <w:bCs/>
        </w:rPr>
        <w:t>Table 10</w:t>
      </w:r>
      <w:r w:rsidR="008240CA">
        <w:rPr>
          <w:b/>
          <w:bCs/>
        </w:rPr>
        <w:t>. VRIO Analysis</w:t>
      </w:r>
    </w:p>
    <w:tbl>
      <w:tblPr>
        <w:tblStyle w:val="affffffffffffffb"/>
        <w:tblW w:w="10635" w:type="dxa"/>
        <w:tblInd w:w="-639" w:type="dxa"/>
        <w:tblBorders>
          <w:top w:val="nil"/>
          <w:left w:val="nil"/>
          <w:bottom w:val="nil"/>
          <w:right w:val="nil"/>
          <w:insideH w:val="nil"/>
          <w:insideV w:val="nil"/>
        </w:tblBorders>
        <w:tblLayout w:type="fixed"/>
        <w:tblLook w:val="0600"/>
      </w:tblPr>
      <w:tblGrid>
        <w:gridCol w:w="2986"/>
        <w:gridCol w:w="975"/>
        <w:gridCol w:w="919"/>
        <w:gridCol w:w="895"/>
        <w:gridCol w:w="960"/>
        <w:gridCol w:w="3900"/>
      </w:tblGrid>
      <w:tr w:rsidR="00621D05">
        <w:trPr>
          <w:cantSplit/>
          <w:trHeight w:val="500"/>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Resource/Capability</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V</w:t>
            </w:r>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R</w:t>
            </w: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I</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O</w:t>
            </w: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Outcome</w:t>
            </w:r>
          </w:p>
        </w:tc>
      </w:tr>
      <w:tr w:rsidR="00621D05">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Circular office solution</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0"/>
                <w:id w:val="-1576784180"/>
              </w:sdtPr>
              <w:sdtContent>
                <w:r w:rsidR="008240CA">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1"/>
                <w:id w:val="-716591728"/>
              </w:sdtPr>
              <w:sdtContent>
                <w:r w:rsidR="008240CA">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Competitive parity/potential temporary advantage</w:t>
            </w:r>
          </w:p>
        </w:tc>
      </w:tr>
      <w:tr w:rsidR="00621D05">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Digital tracking</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2"/>
                <w:id w:val="-22647895"/>
              </w:sdtPr>
              <w:sdtContent>
                <w:r w:rsidR="008240CA">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3"/>
                <w:id w:val="1051199285"/>
              </w:sdtPr>
              <w:sdtContent>
                <w:r w:rsidR="008240CA">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Competitive parity</w:t>
            </w:r>
          </w:p>
        </w:tc>
      </w:tr>
      <w:tr w:rsidR="00621D05">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Sustainability reporting</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4"/>
                <w:id w:val="-1941925194"/>
              </w:sdtPr>
              <w:sdtContent>
                <w:r w:rsidR="008240CA">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5"/>
                <w:id w:val="147956422"/>
              </w:sdtPr>
              <w:sdtContent>
                <w:r w:rsidR="008240CA">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Competitive parity</w:t>
            </w:r>
          </w:p>
        </w:tc>
      </w:tr>
      <w:tr w:rsidR="00621D05">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Local collection network</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6"/>
                <w:id w:val="1714907735"/>
              </w:sdtPr>
              <w:sdtContent>
                <w:r w:rsidR="008240CA">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7"/>
                <w:id w:val="-999906242"/>
              </w:sdtPr>
              <w:sdtContent>
                <w:r w:rsidR="008240CA">
                  <w:rPr>
                    <w:rFonts w:ascii="Arial Unicode MS" w:eastAsia="Arial Unicode MS" w:hAnsi="Arial Unicode MS" w:cs="Arial Unicode MS"/>
                  </w:rPr>
                  <w:t>✓</w:t>
                </w:r>
              </w:sdtContent>
            </w:sdt>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Potential temporary advantage</w:t>
            </w:r>
          </w:p>
        </w:tc>
      </w:tr>
      <w:tr w:rsidR="00621D05">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Supplier relationships</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8"/>
                <w:id w:val="-1507371558"/>
              </w:sdtPr>
              <w:sdtContent>
                <w:r w:rsidR="008240CA">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9"/>
                <w:id w:val="65642672"/>
              </w:sdtPr>
              <w:sdtContent>
                <w:r w:rsidR="008240CA">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Competitive parity</w:t>
            </w:r>
          </w:p>
        </w:tc>
      </w:tr>
      <w:tr w:rsidR="00621D05">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Sustainability expertise</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10"/>
                <w:id w:val="701021327"/>
              </w:sdtPr>
              <w:sdtContent>
                <w:r w:rsidR="008240CA">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11"/>
                <w:id w:val="-1979770254"/>
              </w:sdtPr>
              <w:sdtContent>
                <w:r w:rsidR="008240CA">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Competitive parity</w:t>
            </w:r>
          </w:p>
        </w:tc>
      </w:tr>
      <w:tr w:rsidR="00621D05">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Customer relationships</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12"/>
                <w:id w:val="-1456840706"/>
              </w:sdtPr>
              <w:sdtContent>
                <w:r w:rsidR="008240CA">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Competitive parity</w:t>
            </w:r>
          </w:p>
        </w:tc>
      </w:tr>
      <w:tr w:rsidR="00621D05">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Brand reputation</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13"/>
                <w:id w:val="-1104165309"/>
              </w:sdtPr>
              <w:sdtContent>
                <w:r w:rsidR="008240CA">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New-entry weakness</w:t>
            </w:r>
          </w:p>
        </w:tc>
      </w:tr>
    </w:tbl>
    <w:p w:rsidR="00621D05" w:rsidRDefault="008240CA">
      <w:pPr>
        <w:pStyle w:val="normal2"/>
      </w:pPr>
      <w:r>
        <w:t xml:space="preserve">The proposed </w:t>
      </w:r>
      <w:r>
        <w:rPr>
          <w:b/>
          <w:bCs/>
        </w:rPr>
        <w:t>£75,000 start-up budget</w:t>
      </w:r>
      <w:r>
        <w:t xml:space="preserve"> further indicates that financial resources are constrained and must be allocated selectively.</w:t>
      </w:r>
    </w:p>
    <w:p w:rsidR="00621D05" w:rsidRDefault="008240CA">
      <w:pPr>
        <w:pStyle w:val="normal2"/>
        <w:rPr>
          <w:b/>
          <w:bCs/>
        </w:rPr>
      </w:pPr>
      <w:r>
        <w:rPr>
          <w:b/>
          <w:bCs/>
        </w:rPr>
        <w:t xml:space="preserve">Critical analysis </w:t>
      </w:r>
    </w:p>
    <w:p w:rsidR="00621D05" w:rsidRDefault="008240CA">
      <w:pPr>
        <w:pStyle w:val="normal2"/>
      </w:pPr>
      <w:r>
        <w:t xml:space="preserve">EcoLoop's internal resource base is currently greater than what is demonstrated. The £75,000 lean start-up budget is the limiting constraint on financial resources, which restricts the company's ability to build up the same level of assets, geographic reach or </w:t>
      </w:r>
      <w:r>
        <w:lastRenderedPageBreak/>
        <w:t xml:space="preserve">purchasing power as mature competitors. Human capital needs to meld together logistics, customer service, sustainability and digital skills – not be split amongst specialist departments. The use of technology is a useful tool for traceability but is not uncommon and easy to copy as other companies are able to acquire similar technology (Khan </w:t>
      </w:r>
      <w:r>
        <w:rPr>
          <w:i/>
          <w:iCs/>
        </w:rPr>
        <w:t>et al</w:t>
      </w:r>
      <w:r>
        <w:t>., 2022). Partnerships are an important strategic approach and will lower capital cost, and also expand refurbishment and recycling capacity. Customer relationships can be beneficial due to the knowledge gained and reporting experiences gained, but this only comes after contracts are won. Thus, the best way to get temporary advantage is to have local collection capability and to have integrated operational knowledge. Proprietary customer data and trusted networks, plus consistently better execution (Franzè, Paolucci and Pessot, 2024) would be needed for sustained advantage. An important strategic objective is, therefore, the structuring of resources into a stable operating system and not just resources that can be used for advantage.</w:t>
      </w:r>
    </w:p>
    <w:p w:rsidR="00621D05" w:rsidRDefault="008240CA">
      <w:pPr>
        <w:pStyle w:val="Heading2"/>
        <w:spacing w:before="200"/>
      </w:pPr>
      <w:bookmarkStart w:id="64" w:name="_Toc241233921"/>
      <w:r>
        <w:t>7.4 SWOT and Strategic Implications</w:t>
      </w:r>
      <w:bookmarkEnd w:id="64"/>
    </w:p>
    <w:p w:rsidR="00621D05" w:rsidRDefault="008240CA">
      <w:pPr>
        <w:pStyle w:val="normal2"/>
      </w:pPr>
      <w:r>
        <w:t>SWOT consolidates the preceding external and internal evidence. Its value lies not simply in listing factors but in identifying strategic combinations that can guide resource allocation and risk control.</w:t>
      </w:r>
    </w:p>
    <w:p w:rsidR="00621D05" w:rsidRDefault="000A11B6">
      <w:pPr>
        <w:pStyle w:val="normal2"/>
        <w:rPr>
          <w:b/>
          <w:bCs/>
        </w:rPr>
      </w:pPr>
      <w:r>
        <w:rPr>
          <w:b/>
          <w:bCs/>
        </w:rPr>
        <w:t>Table 11</w:t>
      </w:r>
      <w:r w:rsidR="008240CA">
        <w:rPr>
          <w:b/>
          <w:bCs/>
        </w:rPr>
        <w:t>. SWOT Analysis</w:t>
      </w:r>
    </w:p>
    <w:tbl>
      <w:tblPr>
        <w:tblStyle w:val="affffffffffffffc"/>
        <w:tblW w:w="10740" w:type="dxa"/>
        <w:tblInd w:w="-599" w:type="dxa"/>
        <w:tblBorders>
          <w:top w:val="nil"/>
          <w:left w:val="nil"/>
          <w:bottom w:val="nil"/>
          <w:right w:val="nil"/>
          <w:insideH w:val="nil"/>
          <w:insideV w:val="nil"/>
        </w:tblBorders>
        <w:tblLayout w:type="fixed"/>
        <w:tblLook w:val="0600"/>
      </w:tblPr>
      <w:tblGrid>
        <w:gridCol w:w="2430"/>
        <w:gridCol w:w="8310"/>
      </w:tblGrid>
      <w:tr w:rsidR="00621D05">
        <w:trPr>
          <w:cantSplit/>
          <w:trHeight w:val="50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Category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Key factors</w:t>
            </w:r>
          </w:p>
        </w:tc>
      </w:tr>
      <w:tr w:rsidR="00621D05">
        <w:trPr>
          <w:cantSplit/>
          <w:trHeight w:val="77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Strengths</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Proposition for sustainability; positioning as circular economy; potential for recurring revenues; digital tracking/reporting; flexible service model (Ogiemwonyi, 2025).</w:t>
            </w:r>
          </w:p>
        </w:tc>
      </w:tr>
      <w:tr w:rsidR="00621D05">
        <w:trPr>
          <w:cantSplit/>
          <w:trHeight w:val="104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Weaknesses</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New entrant; limited initial resources; limited brand recognition; dependence on external reuse/recycling partners; initial technology and logistics costs (Kanda </w:t>
            </w:r>
            <w:r>
              <w:rPr>
                <w:i/>
                <w:iCs/>
              </w:rPr>
              <w:t>et al</w:t>
            </w:r>
            <w:r>
              <w:t>., 2024).</w:t>
            </w:r>
          </w:p>
        </w:tc>
      </w:tr>
      <w:tr w:rsidR="00621D05">
        <w:trPr>
          <w:cantSplit/>
          <w:trHeight w:val="104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lastRenderedPageBreak/>
              <w:t>Opportunities</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Raising sustainability demands; SMEs' need to outsource sustainability solutions; circular procurement; corporate sustainability reporting; partnerships with offices and property managers (Cooper, 2024).</w:t>
            </w:r>
          </w:p>
        </w:tc>
      </w:tr>
      <w:tr w:rsidR="00621D05">
        <w:trPr>
          <w:cantSplit/>
          <w:trHeight w:val="104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Threats</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Established waste-management firms; price competition; customer switching; regulatory changes; operational disruption; greenwashing concerns (Xu </w:t>
            </w:r>
            <w:r>
              <w:rPr>
                <w:i/>
                <w:iCs/>
              </w:rPr>
              <w:t>et al</w:t>
            </w:r>
            <w:r>
              <w:t>., 2025).</w:t>
            </w:r>
          </w:p>
        </w:tc>
      </w:tr>
      <w:tr w:rsidR="00621D05">
        <w:trPr>
          <w:cantSplit/>
          <w:trHeight w:val="50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SO strategy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Combine sustainability expertise and technology to capture demand.</w:t>
            </w:r>
          </w:p>
        </w:tc>
      </w:tr>
      <w:tr w:rsidR="00621D05">
        <w:trPr>
          <w:cantSplit/>
          <w:trHeight w:val="50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CF4073">
            <w:pPr>
              <w:pStyle w:val="normal2"/>
              <w:spacing w:before="0" w:after="0" w:line="240" w:lineRule="auto"/>
            </w:pPr>
            <w:r>
              <w:rPr>
                <w:b/>
                <w:bCs/>
              </w:rPr>
              <w:t xml:space="preserve">     </w:t>
            </w:r>
            <w:r w:rsidR="008240CA">
              <w:rPr>
                <w:b/>
                <w:bCs/>
              </w:rPr>
              <w:t>WO strategy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Use partnerships to overcome limited financial and operational resources.</w:t>
            </w:r>
          </w:p>
        </w:tc>
      </w:tr>
      <w:tr w:rsidR="00621D05">
        <w:trPr>
          <w:cantSplit/>
          <w:trHeight w:val="50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CF4073">
            <w:pPr>
              <w:pStyle w:val="normal2"/>
              <w:spacing w:before="0" w:after="0" w:line="240" w:lineRule="auto"/>
            </w:pPr>
            <w:r>
              <w:rPr>
                <w:b/>
                <w:bCs/>
              </w:rPr>
              <w:t xml:space="preserve">     </w:t>
            </w:r>
            <w:r w:rsidR="008240CA">
              <w:rPr>
                <w:b/>
                <w:bCs/>
              </w:rPr>
              <w:t>ST strategy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Differentiate through service reliability and reporting rather than price.</w:t>
            </w:r>
          </w:p>
        </w:tc>
      </w:tr>
      <w:tr w:rsidR="00621D05">
        <w:trPr>
          <w:cantSplit/>
          <w:trHeight w:val="50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CF4073">
            <w:pPr>
              <w:pStyle w:val="normal2"/>
              <w:spacing w:before="0" w:after="0" w:line="240" w:lineRule="auto"/>
            </w:pPr>
            <w:r>
              <w:rPr>
                <w:b/>
                <w:bCs/>
              </w:rPr>
              <w:t xml:space="preserve">     </w:t>
            </w:r>
            <w:r w:rsidR="008240CA">
              <w:rPr>
                <w:b/>
                <w:bCs/>
              </w:rPr>
              <w:t>WT strategy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Use a phased pilot to minimise financial and operational exposure.</w:t>
            </w:r>
          </w:p>
        </w:tc>
      </w:tr>
    </w:tbl>
    <w:p w:rsidR="00621D05" w:rsidRDefault="008240CA">
      <w:pPr>
        <w:pStyle w:val="normal2"/>
        <w:rPr>
          <w:b/>
          <w:bCs/>
        </w:rPr>
      </w:pPr>
      <w:r>
        <w:rPr>
          <w:b/>
          <w:bCs/>
        </w:rPr>
        <w:t xml:space="preserve">Critical analysis </w:t>
      </w:r>
    </w:p>
    <w:p w:rsidR="00621D05" w:rsidRDefault="008240CA">
      <w:pPr>
        <w:pStyle w:val="normal2"/>
      </w:pPr>
      <w:r>
        <w:t xml:space="preserve">The SWOT evidence shows that the best strategic fit for EcoLoop is a circular approach combined with digital transparency, but that potential benefit is limited by the small scale of use and a lack of recognition and trust of the brand with customers. While positioning as a circular economy can be a differentiator, sustainability is not enough to add value to customers (Ogiemwonyi 2025). Cooper (2024) also shows that integrating sustainability into procurement can enhance strategic alignment, but that does not mean that procurement commitment turns into adoption. Based on 70 circular new ventures identified, Kanda </w:t>
      </w:r>
      <w:r>
        <w:rPr>
          <w:i/>
          <w:iCs/>
        </w:rPr>
        <w:t>et al</w:t>
      </w:r>
      <w:r>
        <w:t xml:space="preserve">. (2024) point out the operational and commercial challenges encountered in the development of viable circular business models. EcoLoop should thus refrain from making significant fixed investments until the demand is confirmed. Relations with partners can overcome resource constraints by offering logistics, refurbishment and recycling services; a good service and reporting system can enhance the differentiation. What's more, Xu </w:t>
      </w:r>
      <w:r>
        <w:rPr>
          <w:i/>
          <w:iCs/>
        </w:rPr>
        <w:t>et al</w:t>
      </w:r>
      <w:r>
        <w:t xml:space="preserve">. (2025) point out that greenwashing has market implications, which further underscores the importance of credible environmental </w:t>
      </w:r>
      <w:r>
        <w:lastRenderedPageBreak/>
        <w:t>evidence. The willingness to pay, retention, collection economics and operational reliability should therefore be tested through a phased pilot before scaling.</w:t>
      </w:r>
    </w:p>
    <w:p w:rsidR="00621D05" w:rsidRDefault="008240CA">
      <w:pPr>
        <w:pStyle w:val="Heading2"/>
      </w:pPr>
      <w:bookmarkStart w:id="65" w:name="_Toc241233922"/>
      <w:r>
        <w:t>7.5 Strategic Choice</w:t>
      </w:r>
      <w:bookmarkEnd w:id="65"/>
    </w:p>
    <w:p w:rsidR="00621D05" w:rsidRPr="00533B7E" w:rsidRDefault="008240CA">
      <w:pPr>
        <w:pStyle w:val="normal2"/>
        <w:spacing w:before="240"/>
      </w:pPr>
      <w:r w:rsidRPr="00533B7E">
        <w:t>EcoLoop Office needs to follow a focused differentiation strategy and target market segment of SMEs or medium sized organisations which have evolving office needs. There is no need to compete primarily on price, but instead offer a flexible circular furniture proposition that includes the various elements of subscription, maintenance, refurbishment, swap out, take back and resale/reuse. Recycling shouldn't be a primary service, but an afterthought.</w:t>
      </w:r>
    </w:p>
    <w:p w:rsidR="00621D05" w:rsidRPr="00533B7E" w:rsidRDefault="008240CA">
      <w:pPr>
        <w:pStyle w:val="normal2"/>
        <w:spacing w:before="240"/>
      </w:pPr>
      <w:r w:rsidRPr="00533B7E">
        <w:t>The first should be for businesses experiencing relocation, office refurbishment and/or downsizing or offices with flexible furniture access and lifecycle management. This targeted approach is better suited to the UK business sector, than the wider UK targeted approach, which is not necessarily a targeted approach for demand (Business Registers Strategy and Outputs team, 2025).</w:t>
      </w:r>
    </w:p>
    <w:p w:rsidR="00621D05" w:rsidRPr="00533B7E" w:rsidRDefault="008240CA">
      <w:pPr>
        <w:pStyle w:val="normal2"/>
        <w:spacing w:before="240"/>
      </w:pPr>
      <w:r w:rsidRPr="00533B7E">
        <w:t>A London-led pilot will allow the model to be tested in a small concentrated market and ensure the logistics and infrastructure needs are not too great for initial testing. In reverse logistics, though, as distance for services grows, margins could be cut due to storage and processing costs (Mullainathan, 2024). Therefore it is advisable that EcoLoop approach the pilot, validate, standardise and scale. Before committing large amounts of fixed investment, the pilot should consider grabbing customers, keeping them, ensuring contribution margins, collection reliability, and the use of resources. The strategy is to not just be the lowest price but to be convenient, reliable and to provide clear lifecycle management and customer-specific ESG reporting.</w:t>
      </w:r>
    </w:p>
    <w:p w:rsidR="00621D05" w:rsidRDefault="008240CA">
      <w:pPr>
        <w:pStyle w:val="Heading2"/>
        <w:spacing w:before="200"/>
      </w:pPr>
      <w:bookmarkStart w:id="66" w:name="_Toc241233923"/>
      <w:r>
        <w:t>7.6 USP and Value Proposition</w:t>
      </w:r>
      <w:bookmarkEnd w:id="66"/>
    </w:p>
    <w:p w:rsidR="00621D05" w:rsidRDefault="008240CA">
      <w:pPr>
        <w:pStyle w:val="normal2"/>
      </w:pPr>
      <w:r>
        <w:t xml:space="preserve">EcoLoop's proposed USP is: </w:t>
      </w:r>
      <w:r w:rsidRPr="00533B7E">
        <w:t>“Flexible office furniture without the traditional ownership burden, combining subscription access, maintenance, refurbishment, swap-out, take-back, resale and measurable sustainability reporting.</w:t>
      </w:r>
      <w:r>
        <w:t xml:space="preserve">” The proposition is a mixture of </w:t>
      </w:r>
      <w:r>
        <w:lastRenderedPageBreak/>
        <w:t xml:space="preserve">four types of value. The functional value is created by Collection, Sorting, Reuse, Recycling and Digital Monitoring. Economic value can be derived from better use of resources, potential savings on waste and sustainability management costs (outsourcing) (Sala-Garrido </w:t>
      </w:r>
      <w:r>
        <w:rPr>
          <w:i/>
          <w:iCs/>
        </w:rPr>
        <w:t>et al</w:t>
      </w:r>
      <w:r>
        <w:t>, 2024). Environmental value is related to the diversion of material from the disposal stream and to the increase of the lifespan of resources, reputational value is related to evidence-based sustainability reporting.</w:t>
      </w:r>
    </w:p>
    <w:p w:rsidR="00621D05" w:rsidRDefault="008240CA">
      <w:pPr>
        <w:pStyle w:val="normal2"/>
      </w:pPr>
      <w:r>
        <w:t>The proposition is a solution to a significant problem of resource management. The scale of the challenge is demonstrated by the amount of commercial and industrial waste that England produced in 2023, which was 32.6 million tonnes, but is not indicative of demand for EcoLoop (Government of UK, 2024). As of March 2025, there were 2.73 million VAT and/or PAYE businesses in the UK, which is not the UK's addressable market for EcoLoop (ONS, 2025). Thus the USP needs to be targeted at actual customer results instead of the general sustainability statements.</w:t>
      </w:r>
    </w:p>
    <w:p w:rsidR="00621D05" w:rsidRDefault="008240CA">
      <w:pPr>
        <w:pStyle w:val="normal2"/>
      </w:pPr>
      <w:r>
        <w:t xml:space="preserve">However, sustainability alone is not defensible since other people can copy circular services and customers can choose to buy goods instead of repair, rent or refurbish or to switch to incumbent waste-management contracts (Huis </w:t>
      </w:r>
      <w:r>
        <w:rPr>
          <w:i/>
          <w:iCs/>
        </w:rPr>
        <w:t>et al</w:t>
      </w:r>
      <w:r>
        <w:t>., 2026). Convenience, technology, and measurable data should be a part of EcoLoop. Customers should have the option to make collections, monitor the outcome of the usage of resources and receive credible impact reports. Collection reliability, reuse, satisfaction, retention, cost per collection should be used for validating the USP.</w:t>
      </w:r>
    </w:p>
    <w:p w:rsidR="00621D05" w:rsidRDefault="008240CA">
      <w:pPr>
        <w:pStyle w:val="Heading2"/>
        <w:spacing w:before="200"/>
      </w:pPr>
      <w:bookmarkStart w:id="67" w:name="_Toc241233924"/>
      <w:r>
        <w:t>7.7 Competitive Advantage</w:t>
      </w:r>
      <w:bookmarkEnd w:id="67"/>
    </w:p>
    <w:p w:rsidR="00621D05" w:rsidRPr="00907865" w:rsidRDefault="008240CA">
      <w:pPr>
        <w:pStyle w:val="normal2"/>
        <w:spacing w:before="240"/>
      </w:pPr>
      <w:r w:rsidRPr="00907865">
        <w:t xml:space="preserve">Today, there are six interconnected skills that are the point of difference for EcoLoop Office: furniture subscription management, asset take-back / refurbishment, flexibility for swap-out(s), asset tracking and ESG impact reporting. These capabilities may be common individually, since other firms are able to provide comparable services. But they can be differentiated with their incorporation in a single circular furniture service system. Asset tracking can help with transparent furniture lifecycle management, refurbishment, swap-out and take-back can help to prolong use of furniture and facilitate </w:t>
      </w:r>
      <w:r w:rsidRPr="00907865">
        <w:lastRenderedPageBreak/>
        <w:t>resale/reuse projects. Customer data can also provide further assistance with customized suggestions (Wang, Wang and Liu, 2025). Continuous functioning, customer information, productive processes, and proper cost management will be key to Sustainable Advantage.</w:t>
      </w:r>
    </w:p>
    <w:p w:rsidR="00621D05" w:rsidRDefault="008240CA">
      <w:pPr>
        <w:pStyle w:val="Heading2"/>
        <w:spacing w:before="200"/>
      </w:pPr>
      <w:bookmarkStart w:id="68" w:name="_Toc241233925"/>
      <w:r>
        <w:t>7.8 Key Success Factors</w:t>
      </w:r>
      <w:bookmarkEnd w:id="68"/>
    </w:p>
    <w:p w:rsidR="00621D05" w:rsidRDefault="008240CA">
      <w:pPr>
        <w:pStyle w:val="normal2"/>
      </w:pPr>
      <w:r>
        <w:t>The key to success is having reliable collections, competitive pricing, customer acquisition and retention, strong reuse/recycling partnerships, reliable technology, capable employees, measurable environmental outcomes, customer satisfaction, and positive cash flow. These should be made operational KPIs and linked directly to the Business Model Canvas, financial plan and operations plan and implementation programme. The test of the strategy is straightforward: EcoLoop has to prove that circularity enhances customer value while leaving the economics of logistics, processing and servicing intact.</w:t>
      </w:r>
    </w:p>
    <w:p w:rsidR="00621D05" w:rsidRDefault="00621D05">
      <w:pPr>
        <w:pStyle w:val="normal2"/>
      </w:pPr>
    </w:p>
    <w:p w:rsidR="00621D05" w:rsidRDefault="008240CA">
      <w:pPr>
        <w:pStyle w:val="Heading1"/>
        <w:spacing w:before="200"/>
      </w:pPr>
      <w:bookmarkStart w:id="69" w:name="_heading=h.ns8jfqojtidm" w:colFirst="0" w:colLast="0"/>
      <w:bookmarkEnd w:id="69"/>
      <w:r>
        <w:br w:type="page"/>
      </w:r>
    </w:p>
    <w:p w:rsidR="00621D05" w:rsidRDefault="008240CA">
      <w:pPr>
        <w:pStyle w:val="Heading1"/>
        <w:spacing w:before="200"/>
      </w:pPr>
      <w:bookmarkStart w:id="70" w:name="_Toc241233926"/>
      <w:r>
        <w:lastRenderedPageBreak/>
        <w:t>Chapter 8. Business Model Canvas</w:t>
      </w:r>
      <w:bookmarkEnd w:id="70"/>
    </w:p>
    <w:p w:rsidR="00621D05" w:rsidRDefault="008240CA">
      <w:pPr>
        <w:pStyle w:val="Heading2"/>
        <w:keepNext w:val="0"/>
        <w:keepLines w:val="0"/>
        <w:spacing w:before="200"/>
      </w:pPr>
      <w:bookmarkStart w:id="71" w:name="_Toc241233927"/>
      <w:r>
        <w:t>8.1 BMC Introduction</w:t>
      </w:r>
      <w:bookmarkEnd w:id="71"/>
    </w:p>
    <w:p w:rsidR="00621D05" w:rsidRDefault="008240CA">
      <w:pPr>
        <w:pStyle w:val="normal2"/>
      </w:pPr>
      <w:r>
        <w:t xml:space="preserve">The EcoLoop Office approach to focus-differentiation has been presented in the Business Model Canvas (BMC) which portrays the integrated creation, delivery and capture of value. It brings together the customer's problem </w:t>
      </w:r>
      <w:r w:rsidRPr="00907865">
        <w:t>(inefficient ownership and lifecycle management of office furniture) and subscription, delivery, installation, maintenance, refurbishment, swap-out, take-back, resale/reuse and ESG reporting.</w:t>
      </w:r>
      <w:r>
        <w:t xml:space="preserve"> In 2023, England produced approximately 32.6 million tonnes of commercial and industrial waste, which presents a significant challenge for the management of resources. (Government of UK, 2024c) The BMC thus establishes commercial viability for all the 9 components against environmental value.</w:t>
      </w:r>
    </w:p>
    <w:p w:rsidR="00621D05" w:rsidRDefault="008240CA">
      <w:pPr>
        <w:pStyle w:val="Heading2"/>
        <w:keepNext w:val="0"/>
        <w:keepLines w:val="0"/>
        <w:spacing w:before="200"/>
      </w:pPr>
      <w:bookmarkStart w:id="72" w:name="_Toc241233928"/>
      <w:r>
        <w:t>8.2 Customer Segments</w:t>
      </w:r>
      <w:bookmarkEnd w:id="72"/>
    </w:p>
    <w:p w:rsidR="00621D05" w:rsidRPr="00907865" w:rsidRDefault="008240CA">
      <w:pPr>
        <w:pStyle w:val="normal2"/>
        <w:spacing w:before="240"/>
      </w:pPr>
      <w:r w:rsidRPr="00907865">
        <w:t>The emphasis on EcoLoop Office should be on SMEs, growing companies, office change businesses, medium-sized businesses and businesses planning to relocate, expand, downsize or refurbish their offices. This resonates with what we've seen in Chapter 5 which focused on the changing furniture needs of businesses and suspected future furniture access needs. SMEs make up a significant part of businesses in the UK, with over 99.8% (Government of UK, 2024a) of both the UK's business sector working in the private sector. It is important to consider flexible workspace operators and some office/property managers in Secondary segments, as regular changes in furniture could provide further opportunities.</w:t>
      </w:r>
    </w:p>
    <w:p w:rsidR="00621D05" w:rsidRDefault="008240CA">
      <w:pPr>
        <w:pStyle w:val="Heading2"/>
        <w:keepNext w:val="0"/>
        <w:keepLines w:val="0"/>
        <w:spacing w:before="200"/>
      </w:pPr>
      <w:bookmarkStart w:id="73" w:name="_Toc241233929"/>
      <w:r>
        <w:t>8.3 Value Proposition</w:t>
      </w:r>
      <w:bookmarkEnd w:id="73"/>
    </w:p>
    <w:p w:rsidR="00621D05" w:rsidRDefault="008240CA">
      <w:pPr>
        <w:pStyle w:val="normal2"/>
      </w:pPr>
      <w:r>
        <w:t xml:space="preserve">The offer from EcoLoop need not be limited to “recycling,” but also integrated circular-office service. Customers enjoy convenient collection and reuse/recycling, digital tracking and sustainability reporting (Eslamipoor 2026). It will create functional value as it will decrease administrative burden and information value from collection activities by collecting them in measurable sustainability data. The UK recycling rate for household </w:t>
      </w:r>
      <w:r>
        <w:lastRenderedPageBreak/>
        <w:t>waste remains at 44.6% for 2023, and the commercial and institutional waste is still a significant amount (Green Space Innovations, 2025). By identifying what happens to resources after collection, EcoLoop can differentiate by demonstrating what is happening to the resources themselves after they leave the collection system. An environmental claim can however not be targeted, but substantiated with evidence, or else it risks becoming "green washed.</w:t>
      </w:r>
    </w:p>
    <w:p w:rsidR="00621D05" w:rsidRDefault="008240CA">
      <w:pPr>
        <w:pStyle w:val="Heading2"/>
        <w:keepNext w:val="0"/>
        <w:keepLines w:val="0"/>
        <w:spacing w:before="200"/>
      </w:pPr>
      <w:bookmarkStart w:id="74" w:name="_Toc241233930"/>
      <w:r>
        <w:t>8.4 Channels</w:t>
      </w:r>
      <w:bookmarkEnd w:id="74"/>
    </w:p>
    <w:p w:rsidR="00621D05" w:rsidRDefault="008240CA">
      <w:pPr>
        <w:pStyle w:val="normal2"/>
      </w:pPr>
      <w:r>
        <w:t>Selling major items through a digitized and a B2B route (Shonubi, 2025) should be favored for the adoption of EcoLoop. Direct sales will be able to recognize the position, which has an appropriate amount of waste, and the website will help answer questions, sustainability evaluation and offer quotations (Shonubi, 2025). Target Office Managers, Operations Managers, Sustainability Decision makers – with Linkedin and Email marketing. Credibility can be garnered from the hosting of sustainability events and networks of businesses. This is the better way to do things instead of digital advertising alone due to the need for trust during operational change.</w:t>
      </w:r>
    </w:p>
    <w:p w:rsidR="00621D05" w:rsidRDefault="008240CA">
      <w:pPr>
        <w:pStyle w:val="Heading2"/>
        <w:keepNext w:val="0"/>
        <w:keepLines w:val="0"/>
        <w:spacing w:before="200"/>
      </w:pPr>
      <w:bookmarkStart w:id="75" w:name="_Toc241233931"/>
      <w:r>
        <w:t>8.5 Customer Relationships</w:t>
      </w:r>
      <w:bookmarkEnd w:id="75"/>
    </w:p>
    <w:p w:rsidR="00621D05" w:rsidRDefault="008240CA">
      <w:pPr>
        <w:pStyle w:val="normal2"/>
      </w:pPr>
      <w:r>
        <w:t>Relationships should be consultative and not transactional. EcoLoop should start by conducting an office sustainability assessment, to be followed by on boarding, regular collections, ongoing account management and regular impact reporting to the European Commission (2026). Outcomes of collection volumes and re-use and re-cycling can be reported on a dashboard. This can help bolster retention via amassed service records and reports. What should be at the core of the renewal process is not the environmental message. It should be all about reliability and the actual value to the customer.</w:t>
      </w:r>
    </w:p>
    <w:p w:rsidR="00621D05" w:rsidRDefault="008240CA">
      <w:pPr>
        <w:pStyle w:val="Heading2"/>
        <w:keepNext w:val="0"/>
        <w:keepLines w:val="0"/>
        <w:spacing w:before="200"/>
      </w:pPr>
      <w:bookmarkStart w:id="76" w:name="_Toc241233932"/>
      <w:r>
        <w:t>8.6 Revenue Streams</w:t>
      </w:r>
      <w:bookmarkEnd w:id="76"/>
    </w:p>
    <w:p w:rsidR="00621D05" w:rsidRPr="0084148A" w:rsidRDefault="008240CA">
      <w:pPr>
        <w:pStyle w:val="normal2"/>
      </w:pPr>
      <w:r w:rsidRPr="0084148A">
        <w:t>Recurring reve</w:t>
      </w:r>
      <w:r w:rsidR="0084148A" w:rsidRPr="0084148A">
        <w:t>nues will be generated via Ecoloo</w:t>
      </w:r>
      <w:r w:rsidRPr="0084148A">
        <w:t xml:space="preserve">p Office subscription packages, growing from those that offer access to the core set of furniture, delivery and maintenance, through to those that include expanded capability for furniture provision, </w:t>
      </w:r>
      <w:r w:rsidRPr="0084148A">
        <w:lastRenderedPageBreak/>
        <w:t>installation, refurbishment and the flexibility to swap-out furniture, and ultimately those that cover more of a furniture Life Cycle from the basics, through to furniture maintenance and refurbi</w:t>
      </w:r>
      <w:r w:rsidR="0084148A" w:rsidRPr="0084148A">
        <w:t>shment, and culminating in Ecoloo</w:t>
      </w:r>
      <w:r w:rsidRPr="0084148A">
        <w:t>p Office's Ecosustainability Power reporting suite, which allows organizations to report on the Ecolo</w:t>
      </w:r>
      <w:r w:rsidR="0084148A" w:rsidRPr="0084148A">
        <w:t>o</w:t>
      </w:r>
      <w:r w:rsidRPr="0084148A">
        <w:t>p reportable Life Cycle. Collection-related charges can be different based on volume and frequency (Lamichhane, Lama and Lopchan, 2024), and detailed sustainability analytics and consultancy service is an additional value added revenue (PwC, 2025). These assumptions should adhere to that outlined in chapter 9, including the way people are being included in the subscription, customer numbers, average revenue per customer and reported revenue.</w:t>
      </w:r>
    </w:p>
    <w:p w:rsidR="00621D05" w:rsidRDefault="008240CA">
      <w:pPr>
        <w:pStyle w:val="Heading2"/>
        <w:keepNext w:val="0"/>
        <w:keepLines w:val="0"/>
        <w:spacing w:before="200"/>
      </w:pPr>
      <w:bookmarkStart w:id="77" w:name="_Toc241233933"/>
      <w:r>
        <w:t>8.7 Key Resources</w:t>
      </w:r>
      <w:bookmarkEnd w:id="77"/>
    </w:p>
    <w:p w:rsidR="00621D05" w:rsidRDefault="008240CA">
      <w:pPr>
        <w:pStyle w:val="normal2"/>
      </w:pPr>
      <w:r>
        <w:t xml:space="preserve">The human resources, Digital Platform, Collection Systems, Logistics Capacity, Customer Data, Brand Reputation, Supply Chain and Sustainability expertise are the key resources (Kam </w:t>
      </w:r>
      <w:r>
        <w:rPr>
          <w:i/>
          <w:iCs/>
        </w:rPr>
        <w:t>et al</w:t>
      </w:r>
      <w:r>
        <w:t>., 2026). A sustained competitive advantage won't necessarily be obtained through technology as similar technologies are possible to buy from a competitor. Therefore, EcoLoop needs to put technology together with business know-how, and together with the knowledge of customers and partnerships.</w:t>
      </w:r>
    </w:p>
    <w:p w:rsidR="00621D05" w:rsidRDefault="008240CA">
      <w:pPr>
        <w:pStyle w:val="Heading2"/>
        <w:keepNext w:val="0"/>
        <w:keepLines w:val="0"/>
        <w:spacing w:before="200"/>
      </w:pPr>
      <w:bookmarkStart w:id="78" w:name="_Toc241233934"/>
      <w:r>
        <w:t>8.8 Key Activities</w:t>
      </w:r>
      <w:bookmarkEnd w:id="78"/>
    </w:p>
    <w:p w:rsidR="00621D05" w:rsidRDefault="008240CA">
      <w:pPr>
        <w:pStyle w:val="normal2"/>
      </w:pPr>
      <w:r>
        <w:t xml:space="preserve">Core activities are: (i) Customer acquisition, (ii) Office and resource assessment, (iii) Collection, (iv) Sorting, (v) Coordination for reuse and recycling, (vi) Data management and (vii) Reporting of impacts and maintenance of good customer service (Petropoulos </w:t>
      </w:r>
      <w:r>
        <w:rPr>
          <w:i/>
          <w:iCs/>
        </w:rPr>
        <w:t>et al</w:t>
      </w:r>
      <w:r>
        <w:t>., 2025). If the activities are involved they need to be reinforcing the value proposition. Inaccurate data capture is especially significant since this impacts customer loyalty and segmentation if data is generated inaccurately.</w:t>
      </w:r>
    </w:p>
    <w:p w:rsidR="00621D05" w:rsidRDefault="008240CA">
      <w:pPr>
        <w:pStyle w:val="Heading2"/>
        <w:keepNext w:val="0"/>
        <w:keepLines w:val="0"/>
        <w:spacing w:before="200"/>
      </w:pPr>
      <w:bookmarkStart w:id="79" w:name="_Toc241233935"/>
      <w:r>
        <w:t>8.9 Key Partnerships</w:t>
      </w:r>
      <w:bookmarkEnd w:id="79"/>
    </w:p>
    <w:p w:rsidR="00621D05" w:rsidRDefault="008240CA">
      <w:pPr>
        <w:pStyle w:val="normal2"/>
      </w:pPr>
      <w:r>
        <w:t xml:space="preserve">By forming partnerships with recycling partners, reuse/refurbishment partners, logistics providers, technology suppliers, office landlords and sustainability specialists, EcoLoop </w:t>
      </w:r>
      <w:r>
        <w:lastRenderedPageBreak/>
        <w:t xml:space="preserve">enjoys access to capabilities without owning the entire value chain supply (Bals </w:t>
      </w:r>
      <w:r>
        <w:rPr>
          <w:i/>
          <w:iCs/>
        </w:rPr>
        <w:t>et al</w:t>
      </w:r>
      <w:r>
        <w:t>., 2024). Nigeria should therefore seek to assess its critical suppliers for reliability, compliance, environmental performance and cost, and find alternative suppliers if it can.</w:t>
      </w:r>
    </w:p>
    <w:p w:rsidR="00621D05" w:rsidRDefault="008240CA">
      <w:pPr>
        <w:pStyle w:val="Heading2"/>
        <w:keepNext w:val="0"/>
        <w:keepLines w:val="0"/>
        <w:spacing w:before="200"/>
      </w:pPr>
      <w:bookmarkStart w:id="80" w:name="_Toc241233936"/>
      <w:r>
        <w:t>8.10 Cost Structure</w:t>
      </w:r>
      <w:bookmarkEnd w:id="80"/>
    </w:p>
    <w:p w:rsidR="00621D05" w:rsidRDefault="008240CA">
      <w:pPr>
        <w:pStyle w:val="normal2"/>
      </w:pPr>
      <w:r>
        <w:t>The fixed costs should include the salaries, technology, insurance, administration and storage costs, while the variable costs should involve logistics, processing, packaging costs, and fees paid to partners and costs of acquiring customers (Mostafa, Moustafa and Elshaer, 2023). The pilot needs to keep a core, low fixed cost initial base and build up variable capacity based on customers. This will help keep your cash flow intact and remain scalable with a differentiated service.</w:t>
      </w:r>
    </w:p>
    <w:p w:rsidR="00621D05" w:rsidRDefault="00621D05">
      <w:pPr>
        <w:pStyle w:val="normal2"/>
      </w:pPr>
    </w:p>
    <w:p w:rsidR="00621D05" w:rsidRDefault="008240CA">
      <w:pPr>
        <w:pStyle w:val="Heading1"/>
        <w:spacing w:before="200"/>
      </w:pPr>
      <w:bookmarkStart w:id="81" w:name="_heading=h.rw7ms7nkwgep" w:colFirst="0" w:colLast="0"/>
      <w:bookmarkEnd w:id="81"/>
      <w:r>
        <w:br w:type="page"/>
      </w:r>
    </w:p>
    <w:p w:rsidR="00621D05" w:rsidRDefault="008240CA">
      <w:pPr>
        <w:pStyle w:val="Heading1"/>
        <w:spacing w:before="200"/>
      </w:pPr>
      <w:bookmarkStart w:id="82" w:name="_Toc241233937"/>
      <w:r>
        <w:lastRenderedPageBreak/>
        <w:t>Chapter 9. Financial, Marketing &amp; Human Capital Management Plan</w:t>
      </w:r>
      <w:bookmarkEnd w:id="82"/>
    </w:p>
    <w:p w:rsidR="00621D05" w:rsidRDefault="008240CA">
      <w:pPr>
        <w:pStyle w:val="Heading2"/>
        <w:spacing w:before="200"/>
      </w:pPr>
      <w:bookmarkStart w:id="83" w:name="_Toc241233938"/>
      <w:r>
        <w:t>9.1 Financial Plan</w:t>
      </w:r>
      <w:bookmarkEnd w:id="83"/>
    </w:p>
    <w:p w:rsidR="00621D05" w:rsidRDefault="008240CA">
      <w:pPr>
        <w:pStyle w:val="Heading3"/>
      </w:pPr>
      <w:bookmarkStart w:id="84" w:name="_Toc241233939"/>
      <w:r>
        <w:t>9.1.1 Financial Strategy</w:t>
      </w:r>
      <w:bookmarkEnd w:id="84"/>
    </w:p>
    <w:p w:rsidR="00621D05" w:rsidRPr="00907865" w:rsidRDefault="008240CA">
      <w:pPr>
        <w:pStyle w:val="normal2"/>
        <w:spacing w:before="240"/>
      </w:pPr>
      <w:r w:rsidRPr="00907865">
        <w:t>EcoLoop Office’s Financial approach is to grow but not take too much risk with large capital expenses in the opening up markets. As of the start of 2025, the UK is home to around 5.69 million private sector businesses of which SMEs make up 99.85% of businesses, and approximately 60% of employment (Buckley, 2023). But most of them are non-employer businesses – so clearly EcoLoop needs to target primary additional businesses that have similar office needs, and not all SMEs. The financial strategy therefore relies on a careful strategy of customer acquisitions and on the creation of subscription income through careful management of operating costs.</w:t>
      </w:r>
    </w:p>
    <w:p w:rsidR="00621D05" w:rsidRDefault="008240CA">
      <w:pPr>
        <w:pStyle w:val="Heading3"/>
      </w:pPr>
      <w:bookmarkStart w:id="85" w:name="_Toc241233940"/>
      <w:r>
        <w:t>9.1.2 Start-Up Costs</w:t>
      </w:r>
      <w:bookmarkEnd w:id="85"/>
    </w:p>
    <w:p w:rsidR="00621D05" w:rsidRPr="0046409F" w:rsidRDefault="008240CA">
      <w:pPr>
        <w:pStyle w:val="normal2"/>
        <w:spacing w:before="240"/>
      </w:pPr>
      <w:r w:rsidRPr="0046409F">
        <w:t xml:space="preserve">A lean launch budget of approximately </w:t>
      </w:r>
      <w:r w:rsidRPr="0046409F">
        <w:rPr>
          <w:b/>
          <w:bCs/>
        </w:rPr>
        <w:t>£75,000</w:t>
      </w:r>
      <w:r w:rsidRPr="0046409F">
        <w:t xml:space="preserve"> is proposed. These figures are planning assumptions rather than supplier quotations and should be validated during the pilot.</w:t>
      </w:r>
    </w:p>
    <w:p w:rsidR="00621D05" w:rsidRPr="0046409F" w:rsidRDefault="000A11B6">
      <w:pPr>
        <w:pStyle w:val="normal2"/>
        <w:spacing w:before="240"/>
        <w:rPr>
          <w:b/>
          <w:bCs/>
        </w:rPr>
      </w:pPr>
      <w:r>
        <w:rPr>
          <w:b/>
          <w:bCs/>
        </w:rPr>
        <w:t>Table 12</w:t>
      </w:r>
      <w:r w:rsidR="008240CA" w:rsidRPr="0046409F">
        <w:rPr>
          <w:b/>
          <w:bCs/>
        </w:rPr>
        <w:t>. Start-up Costs</w:t>
      </w:r>
    </w:p>
    <w:tbl>
      <w:tblPr>
        <w:tblStyle w:val="affffffffffffffd"/>
        <w:tblW w:w="4900" w:type="dxa"/>
        <w:tblBorders>
          <w:top w:val="nil"/>
          <w:left w:val="nil"/>
          <w:bottom w:val="nil"/>
          <w:right w:val="nil"/>
          <w:insideH w:val="nil"/>
          <w:insideV w:val="nil"/>
        </w:tblBorders>
        <w:tblLayout w:type="fixed"/>
        <w:tblLook w:val="0600"/>
      </w:tblPr>
      <w:tblGrid>
        <w:gridCol w:w="3170"/>
        <w:gridCol w:w="1730"/>
      </w:tblGrid>
      <w:tr w:rsidR="00621D05" w:rsidRPr="0046409F">
        <w:trPr>
          <w:cantSplit/>
          <w:trHeight w:val="515"/>
          <w:tblHeader/>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rPr>
                <w:b/>
                <w:bCs/>
              </w:rPr>
              <w:t>Item</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rPr>
                <w:b/>
                <w:bCs/>
              </w:rPr>
              <w:t>Estimated cost</w:t>
            </w:r>
          </w:p>
        </w:tc>
      </w:tr>
      <w:tr w:rsidR="00621D05" w:rsidRPr="0046409F">
        <w:trPr>
          <w:cantSplit/>
          <w:trHeight w:val="515"/>
          <w:tblHeader/>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Digital platform/CRM</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£12,000</w:t>
            </w:r>
          </w:p>
        </w:tc>
      </w:tr>
      <w:tr w:rsidR="00621D05" w:rsidRPr="0046409F">
        <w:trPr>
          <w:cantSplit/>
          <w:trHeight w:val="515"/>
          <w:tblHeader/>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Website/e-commerce</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£4,000</w:t>
            </w:r>
          </w:p>
        </w:tc>
      </w:tr>
      <w:tr w:rsidR="00621D05" w:rsidRPr="0046409F">
        <w:trPr>
          <w:cantSplit/>
          <w:trHeight w:val="515"/>
          <w:tblHeader/>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Collection equipment</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£8,000</w:t>
            </w:r>
          </w:p>
        </w:tc>
      </w:tr>
      <w:tr w:rsidR="00621D05" w:rsidRPr="0046409F">
        <w:trPr>
          <w:cantSplit/>
          <w:trHeight w:val="515"/>
          <w:tblHeader/>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Vehicle/logistics setup</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£18,000</w:t>
            </w:r>
          </w:p>
        </w:tc>
      </w:tr>
      <w:tr w:rsidR="00621D05" w:rsidRPr="0046409F">
        <w:trPr>
          <w:cantSplit/>
          <w:trHeight w:val="515"/>
          <w:tblHeader/>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Branding and launch materials</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£3,500</w:t>
            </w:r>
          </w:p>
        </w:tc>
      </w:tr>
      <w:tr w:rsidR="00621D05" w:rsidRPr="0046409F">
        <w:trPr>
          <w:cantSplit/>
          <w:trHeight w:val="515"/>
          <w:tblHeader/>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lastRenderedPageBreak/>
              <w:t>Insurance and compliance</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£4,500</w:t>
            </w:r>
          </w:p>
        </w:tc>
      </w:tr>
      <w:tr w:rsidR="00621D05" w:rsidRPr="0046409F">
        <w:trPr>
          <w:cantSplit/>
          <w:trHeight w:val="515"/>
          <w:tblHeader/>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Legal/accounting</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£3,000</w:t>
            </w:r>
          </w:p>
        </w:tc>
      </w:tr>
      <w:tr w:rsidR="00621D05" w:rsidRPr="0046409F">
        <w:trPr>
          <w:cantSplit/>
          <w:trHeight w:val="515"/>
          <w:tblHeader/>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Initial marketing</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£7,000</w:t>
            </w:r>
          </w:p>
        </w:tc>
      </w:tr>
      <w:tr w:rsidR="00621D05" w:rsidRPr="0046409F">
        <w:trPr>
          <w:cantSplit/>
          <w:trHeight w:val="515"/>
          <w:tblHeader/>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Working capital</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£15,000</w:t>
            </w:r>
          </w:p>
        </w:tc>
      </w:tr>
      <w:tr w:rsidR="00621D05" w:rsidRPr="0046409F">
        <w:trPr>
          <w:cantSplit/>
          <w:trHeight w:val="515"/>
          <w:tblHeader/>
        </w:trPr>
        <w:tc>
          <w:tcPr>
            <w:tcW w:w="3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rPr>
                <w:b/>
                <w:bCs/>
              </w:rPr>
              <w:t>Total</w:t>
            </w:r>
          </w:p>
        </w:tc>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rPr>
                <w:b/>
                <w:bCs/>
              </w:rPr>
              <w:t>£75,000</w:t>
            </w:r>
          </w:p>
        </w:tc>
      </w:tr>
    </w:tbl>
    <w:p w:rsidR="00621D05" w:rsidRPr="0046409F" w:rsidRDefault="008240CA">
      <w:pPr>
        <w:pStyle w:val="normal2"/>
        <w:spacing w:before="240"/>
        <w:rPr>
          <w:i/>
          <w:iCs/>
        </w:rPr>
      </w:pPr>
      <w:r w:rsidRPr="0046409F">
        <w:rPr>
          <w:i/>
          <w:iCs/>
        </w:rPr>
        <w:t>Source: Self-Created</w:t>
      </w:r>
    </w:p>
    <w:p w:rsidR="00621D05" w:rsidRPr="0046409F" w:rsidRDefault="008240CA">
      <w:pPr>
        <w:pStyle w:val="normal2"/>
        <w:spacing w:before="240"/>
      </w:pPr>
      <w:r w:rsidRPr="0046409F">
        <w:t>The logistics allocation refers to how much is invested in furniture delivery, installation, bottom-up and take-back under EcoLoop's circular furniture model. According to the report, working capital serves as a buffer against the unpredictable timing of B2B payments and fluctuations in subscriptions' receipts. UK inflation should also include contingency, as shifts in inflation conditions in the UK can impact operating costs (Office for National Statistics, 2026).</w:t>
      </w:r>
    </w:p>
    <w:p w:rsidR="00621D05" w:rsidRDefault="008240CA">
      <w:pPr>
        <w:pStyle w:val="Heading3"/>
      </w:pPr>
      <w:bookmarkStart w:id="86" w:name="_Toc241233941"/>
      <w:r>
        <w:t>9.1.3 Revenue Model</w:t>
      </w:r>
      <w:bookmarkEnd w:id="86"/>
    </w:p>
    <w:p w:rsidR="00621D05" w:rsidRPr="0046409F" w:rsidRDefault="008240CA">
      <w:pPr>
        <w:pStyle w:val="normal2"/>
        <w:spacing w:before="240"/>
      </w:pPr>
      <w:r w:rsidRPr="0046409F">
        <w:t>EcoLoop’s revenue model combines predictable subscription income with value-added services.</w:t>
      </w:r>
    </w:p>
    <w:p w:rsidR="00621D05" w:rsidRPr="0046409F" w:rsidRDefault="000A11B6">
      <w:pPr>
        <w:pStyle w:val="normal2"/>
        <w:spacing w:before="240"/>
        <w:rPr>
          <w:b/>
          <w:bCs/>
        </w:rPr>
      </w:pPr>
      <w:r>
        <w:rPr>
          <w:b/>
          <w:bCs/>
        </w:rPr>
        <w:t>Table 13</w:t>
      </w:r>
      <w:r w:rsidR="008240CA" w:rsidRPr="0046409F">
        <w:rPr>
          <w:b/>
          <w:bCs/>
        </w:rPr>
        <w:t>. Revenue Model</w:t>
      </w:r>
    </w:p>
    <w:tbl>
      <w:tblPr>
        <w:tblStyle w:val="affffffffffffffe"/>
        <w:tblW w:w="6645" w:type="dxa"/>
        <w:tblBorders>
          <w:top w:val="nil"/>
          <w:left w:val="nil"/>
          <w:bottom w:val="nil"/>
          <w:right w:val="nil"/>
          <w:insideH w:val="nil"/>
          <w:insideV w:val="nil"/>
        </w:tblBorders>
        <w:tblLayout w:type="fixed"/>
        <w:tblLook w:val="0600"/>
      </w:tblPr>
      <w:tblGrid>
        <w:gridCol w:w="1680"/>
        <w:gridCol w:w="2070"/>
        <w:gridCol w:w="2895"/>
      </w:tblGrid>
      <w:tr w:rsidR="00621D05" w:rsidRPr="0046409F">
        <w:trPr>
          <w:cantSplit/>
          <w:trHeight w:val="515"/>
          <w:tblHeader/>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rPr>
                <w:b/>
                <w:bCs/>
              </w:rPr>
              <w:t>Package</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rPr>
                <w:b/>
                <w:bCs/>
              </w:rPr>
              <w:t>Target</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rPr>
                <w:b/>
                <w:bCs/>
              </w:rPr>
              <w:t>Indicative price/month</w:t>
            </w:r>
          </w:p>
        </w:tc>
      </w:tr>
      <w:tr w:rsidR="00621D05" w:rsidRPr="0046409F">
        <w:trPr>
          <w:cantSplit/>
          <w:trHeight w:val="515"/>
          <w:tblHeader/>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rPr>
                <w:b/>
                <w:bCs/>
              </w:rPr>
              <w:t>EcoBasic</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Small offices</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£199</w:t>
            </w:r>
          </w:p>
        </w:tc>
      </w:tr>
      <w:tr w:rsidR="00621D05" w:rsidRPr="0046409F">
        <w:trPr>
          <w:cantSplit/>
          <w:trHeight w:val="515"/>
          <w:tblHeader/>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rPr>
                <w:b/>
                <w:bCs/>
              </w:rPr>
              <w:t>EcoPlus</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Medium offices</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£399</w:t>
            </w:r>
          </w:p>
        </w:tc>
      </w:tr>
      <w:tr w:rsidR="00621D05" w:rsidRPr="0046409F">
        <w:trPr>
          <w:cantSplit/>
          <w:trHeight w:val="515"/>
          <w:tblHeader/>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rPr>
                <w:b/>
                <w:bCs/>
              </w:rPr>
              <w:t>EcoPro</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Larger organisations</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6409F" w:rsidRDefault="008240CA">
            <w:pPr>
              <w:pStyle w:val="normal2"/>
              <w:spacing w:before="0" w:after="0" w:line="240" w:lineRule="auto"/>
              <w:jc w:val="center"/>
            </w:pPr>
            <w:r w:rsidRPr="0046409F">
              <w:t>£799+</w:t>
            </w:r>
          </w:p>
        </w:tc>
      </w:tr>
    </w:tbl>
    <w:p w:rsidR="00621D05" w:rsidRPr="0046409F" w:rsidRDefault="008240CA">
      <w:pPr>
        <w:pStyle w:val="normal2"/>
        <w:spacing w:before="240"/>
        <w:rPr>
          <w:i/>
          <w:iCs/>
        </w:rPr>
      </w:pPr>
      <w:r w:rsidRPr="0046409F">
        <w:rPr>
          <w:i/>
          <w:iCs/>
        </w:rPr>
        <w:lastRenderedPageBreak/>
        <w:t>Source: Self-Created</w:t>
      </w:r>
    </w:p>
    <w:p w:rsidR="00621D05" w:rsidRPr="0046409F" w:rsidRDefault="008240CA">
      <w:pPr>
        <w:pStyle w:val="normal2"/>
        <w:spacing w:before="240"/>
      </w:pPr>
      <w:r w:rsidRPr="0046409F">
        <w:t>EcoPlus offers a wider range of furniture provision and lifecycle support and EcoBasic offers core furniture subscription services. EcoPro is a solution for larger demands, and also contains advanced circularity and analytics. Prices are forward-looking estimates and not offers or bids. Use of recurring subscription revenues can be an investment in operational capacity; and serving value-added services can add to revenue.</w:t>
      </w:r>
    </w:p>
    <w:p w:rsidR="00621D05" w:rsidRDefault="008240CA">
      <w:pPr>
        <w:pStyle w:val="Heading3"/>
      </w:pPr>
      <w:bookmarkStart w:id="87" w:name="_Toc241233942"/>
      <w:r>
        <w:t>9.1.4 Pricing Strategy</w:t>
      </w:r>
      <w:bookmarkEnd w:id="87"/>
    </w:p>
    <w:p w:rsidR="00621D05" w:rsidRPr="0046409F" w:rsidRDefault="008240CA">
      <w:pPr>
        <w:pStyle w:val="normal2"/>
        <w:spacing w:before="240"/>
      </w:pPr>
      <w:r w:rsidRPr="0046409F">
        <w:t>EcoLoop needs to set a value based approach for pricing, use price floors and consider competitor prices. Cost-plus pricing is not always effective in capturing data, reporting, or sustainability value, but a premium that is not supported could also result in lower uptake of the product by customers (Guerreiro and Amaral, 2018). Volume and pilot discounts can then help facilitate initial adoption in the context of the focused-differentiation strategy.</w:t>
      </w:r>
    </w:p>
    <w:p w:rsidR="00621D05" w:rsidRDefault="008240CA">
      <w:pPr>
        <w:pStyle w:val="Heading3"/>
      </w:pPr>
      <w:bookmarkStart w:id="88" w:name="_Toc241233943"/>
      <w:r>
        <w:t>9.1.5 Three-to-Five-Year Financial Forecast</w:t>
      </w:r>
      <w:bookmarkEnd w:id="88"/>
    </w:p>
    <w:p w:rsidR="00621D05" w:rsidRPr="006A0E5B" w:rsidRDefault="008240CA">
      <w:pPr>
        <w:pStyle w:val="normal2"/>
        <w:spacing w:before="240"/>
        <w:rPr>
          <w:b/>
          <w:bCs/>
          <w:sz w:val="22"/>
          <w:szCs w:val="22"/>
        </w:rPr>
      </w:pPr>
      <w:r w:rsidRPr="006A0E5B">
        <w:rPr>
          <w:b/>
          <w:bCs/>
          <w:sz w:val="22"/>
          <w:szCs w:val="22"/>
        </w:rPr>
        <w:t>Tabl</w:t>
      </w:r>
      <w:r w:rsidR="000A11B6">
        <w:rPr>
          <w:b/>
          <w:bCs/>
          <w:sz w:val="22"/>
          <w:szCs w:val="22"/>
        </w:rPr>
        <w:t>e 14</w:t>
      </w:r>
      <w:r w:rsidRPr="006A0E5B">
        <w:rPr>
          <w:b/>
          <w:bCs/>
          <w:sz w:val="22"/>
          <w:szCs w:val="22"/>
        </w:rPr>
        <w:t>. Financial Forecast</w:t>
      </w:r>
    </w:p>
    <w:tbl>
      <w:tblPr>
        <w:tblStyle w:val="afffffffffffffff"/>
        <w:tblW w:w="9360" w:type="dxa"/>
        <w:tblBorders>
          <w:top w:val="nil"/>
          <w:left w:val="nil"/>
          <w:bottom w:val="nil"/>
          <w:right w:val="nil"/>
          <w:insideH w:val="nil"/>
          <w:insideV w:val="nil"/>
        </w:tblBorders>
        <w:tblLayout w:type="fixed"/>
        <w:tblLook w:val="0600"/>
      </w:tblPr>
      <w:tblGrid>
        <w:gridCol w:w="735"/>
        <w:gridCol w:w="1275"/>
        <w:gridCol w:w="2805"/>
        <w:gridCol w:w="1230"/>
        <w:gridCol w:w="1620"/>
        <w:gridCol w:w="1695"/>
      </w:tblGrid>
      <w:tr w:rsidR="00621D05" w:rsidRPr="006A0E5B">
        <w:trPr>
          <w:cantSplit/>
          <w:trHeight w:val="800"/>
          <w:tblHeader/>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rPr>
                <w:b/>
                <w:bCs/>
                <w:sz w:val="22"/>
                <w:szCs w:val="22"/>
              </w:rPr>
              <w:t>Year</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rPr>
                <w:b/>
                <w:bCs/>
              </w:rPr>
              <w:t>Customers</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rPr>
                <w:b/>
                <w:bCs/>
              </w:rPr>
              <w:t>Avg. annual revenue/customer</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rPr>
                <w:b/>
                <w:bCs/>
              </w:rPr>
              <w:t>Revenue</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rPr>
                <w:b/>
                <w:bCs/>
              </w:rPr>
              <w:t>Operating costs</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rPr>
                <w:b/>
                <w:bCs/>
              </w:rPr>
              <w:t>Operating profit</w:t>
            </w:r>
          </w:p>
        </w:tc>
      </w:tr>
      <w:tr w:rsidR="00621D05" w:rsidRPr="006A0E5B">
        <w:trPr>
          <w:cantSplit/>
          <w:trHeight w:val="515"/>
          <w:tblHeader/>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1</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60</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£4,500</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£270,000</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£235,000</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£35,000</w:t>
            </w:r>
          </w:p>
        </w:tc>
      </w:tr>
      <w:tr w:rsidR="00621D05" w:rsidRPr="006A0E5B">
        <w:trPr>
          <w:cantSplit/>
          <w:trHeight w:val="515"/>
          <w:tblHeader/>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2</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110</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£4,700</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£517,000</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£410,000</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£107,000</w:t>
            </w:r>
          </w:p>
        </w:tc>
      </w:tr>
      <w:tr w:rsidR="00621D05" w:rsidRPr="006A0E5B">
        <w:trPr>
          <w:cantSplit/>
          <w:trHeight w:val="515"/>
          <w:tblHeader/>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3</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175</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£4,900</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£857,500</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£650,000</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£207,500</w:t>
            </w:r>
          </w:p>
        </w:tc>
      </w:tr>
      <w:tr w:rsidR="00621D05" w:rsidRPr="006A0E5B">
        <w:trPr>
          <w:cantSplit/>
          <w:trHeight w:val="515"/>
          <w:tblHeader/>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4</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250</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£5,100</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£1,275,000</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£930,000</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£345,000</w:t>
            </w:r>
          </w:p>
        </w:tc>
      </w:tr>
      <w:tr w:rsidR="00621D05" w:rsidRPr="006A0E5B">
        <w:trPr>
          <w:cantSplit/>
          <w:trHeight w:val="515"/>
          <w:tblHeader/>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5</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340</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£5,300</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£1,802,000</w:t>
            </w:r>
          </w:p>
        </w:tc>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£1,270,000</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£532,000</w:t>
            </w:r>
          </w:p>
        </w:tc>
      </w:tr>
    </w:tbl>
    <w:p w:rsidR="00621D05" w:rsidRPr="006A0E5B" w:rsidRDefault="008240CA">
      <w:pPr>
        <w:pStyle w:val="normal2"/>
        <w:spacing w:before="240"/>
        <w:rPr>
          <w:i/>
          <w:iCs/>
        </w:rPr>
      </w:pPr>
      <w:r w:rsidRPr="006A0E5B">
        <w:rPr>
          <w:i/>
          <w:iCs/>
        </w:rPr>
        <w:lastRenderedPageBreak/>
        <w:t>Source: Self-Created</w:t>
      </w:r>
    </w:p>
    <w:p w:rsidR="00621D05" w:rsidRDefault="008240CA">
      <w:pPr>
        <w:pStyle w:val="normal2"/>
        <w:spacing w:before="240"/>
      </w:pPr>
      <w:r w:rsidRPr="006A0E5B">
        <w:t xml:space="preserve">The Year-1 calculation is </w:t>
      </w:r>
      <w:r w:rsidRPr="006A0E5B">
        <w:rPr>
          <w:b/>
          <w:bCs/>
        </w:rPr>
        <w:t>60 × £4,500 = £270,000</w:t>
      </w:r>
      <w:r w:rsidRPr="006A0E5B">
        <w:t>. The forecast assumes increasing customer numbers and average annual revenue as service utilisation develops. These figures are planning assumptions rather than audited company forecasts.</w:t>
      </w:r>
    </w:p>
    <w:p w:rsidR="00AE46F7" w:rsidRDefault="000A11B6" w:rsidP="00AE46F7">
      <w:pPr>
        <w:pStyle w:val="normal2"/>
        <w:spacing w:before="240"/>
        <w:rPr>
          <w:b/>
          <w:bCs/>
        </w:rPr>
      </w:pPr>
      <w:r>
        <w:rPr>
          <w:b/>
          <w:bCs/>
        </w:rPr>
        <w:t>Table 15</w:t>
      </w:r>
      <w:r w:rsidR="00AE46F7">
        <w:rPr>
          <w:b/>
          <w:bCs/>
        </w:rPr>
        <w:t>. Cash Flow</w:t>
      </w:r>
    </w:p>
    <w:tbl>
      <w:tblPr>
        <w:tblW w:w="9630" w:type="dxa"/>
        <w:tblInd w:w="-255" w:type="dxa"/>
        <w:tblBorders>
          <w:top w:val="nil"/>
          <w:left w:val="nil"/>
          <w:bottom w:val="nil"/>
          <w:right w:val="nil"/>
          <w:insideH w:val="nil"/>
          <w:insideV w:val="nil"/>
        </w:tblBorders>
        <w:tblLayout w:type="fixed"/>
        <w:tblLook w:val="0600"/>
      </w:tblPr>
      <w:tblGrid>
        <w:gridCol w:w="990"/>
        <w:gridCol w:w="1305"/>
        <w:gridCol w:w="1320"/>
        <w:gridCol w:w="1635"/>
        <w:gridCol w:w="1665"/>
        <w:gridCol w:w="1380"/>
        <w:gridCol w:w="1335"/>
      </w:tblGrid>
      <w:tr w:rsidR="00AE46F7" w:rsidTr="00491531">
        <w:trPr>
          <w:cantSplit/>
          <w:trHeight w:val="800"/>
          <w:tblHeader/>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Year</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Opening Cash (£)</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Cash Inflows (£)</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Operating Outflows (£)</w:t>
            </w:r>
          </w:p>
        </w:tc>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Start-up Investment (£)</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Net Cash Flow (£)</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Closing Cash (£)</w:t>
            </w:r>
          </w:p>
        </w:tc>
      </w:tr>
      <w:tr w:rsidR="00AE46F7" w:rsidTr="00491531">
        <w:trPr>
          <w:cantSplit/>
          <w:trHeight w:val="800"/>
          <w:tblHeader/>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Year 1</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270,000</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(235,000)</w:t>
            </w:r>
          </w:p>
        </w:tc>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(75,000)</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(40,000)</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(40,000)</w:t>
            </w:r>
          </w:p>
        </w:tc>
      </w:tr>
      <w:tr w:rsidR="00AE46F7" w:rsidTr="00491531">
        <w:trPr>
          <w:cantSplit/>
          <w:trHeight w:val="800"/>
          <w:tblHeader/>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Year 2</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(40,000)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517,000</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(410,000)</w:t>
            </w:r>
          </w:p>
        </w:tc>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107,000</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67,000</w:t>
            </w:r>
          </w:p>
        </w:tc>
      </w:tr>
      <w:tr w:rsidR="00AE46F7" w:rsidTr="00491531">
        <w:trPr>
          <w:cantSplit/>
          <w:trHeight w:val="800"/>
          <w:tblHeader/>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Year 3</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67,000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857,500</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(650,000)</w:t>
            </w:r>
          </w:p>
        </w:tc>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207,500</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274,500</w:t>
            </w:r>
          </w:p>
        </w:tc>
      </w:tr>
      <w:tr w:rsidR="00AE46F7" w:rsidTr="00491531">
        <w:trPr>
          <w:cantSplit/>
          <w:trHeight w:val="800"/>
          <w:tblHeader/>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Year 4</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274,500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1,275,000</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(930,000)</w:t>
            </w:r>
          </w:p>
        </w:tc>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345,000</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619,500</w:t>
            </w:r>
          </w:p>
        </w:tc>
      </w:tr>
      <w:tr w:rsidR="00AE46F7" w:rsidTr="00491531">
        <w:trPr>
          <w:cantSplit/>
          <w:trHeight w:val="800"/>
          <w:tblHeader/>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Year 5</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619,500</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1,802,000</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(1,270,000)</w:t>
            </w:r>
          </w:p>
        </w:tc>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532,000</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1,151,500</w:t>
            </w:r>
          </w:p>
        </w:tc>
      </w:tr>
      <w:tr w:rsidR="00AE46F7" w:rsidTr="00491531">
        <w:trPr>
          <w:cantSplit/>
          <w:trHeight w:val="515"/>
          <w:tblHeader/>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Total</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4,721,500</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(3,495,000)</w:t>
            </w:r>
          </w:p>
        </w:tc>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(75,000)</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1,151,500</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E46F7" w:rsidRDefault="00AE46F7" w:rsidP="00491531">
            <w:pPr>
              <w:pStyle w:val="normal2"/>
              <w:spacing w:before="0" w:after="0" w:line="240" w:lineRule="auto"/>
              <w:jc w:val="center"/>
              <w:rPr>
                <w:b/>
                <w:bCs/>
              </w:rPr>
            </w:pPr>
            <w:r>
              <w:rPr>
                <w:b/>
                <w:bCs/>
              </w:rPr>
              <w:t>1,151,500</w:t>
            </w:r>
          </w:p>
        </w:tc>
      </w:tr>
    </w:tbl>
    <w:p w:rsidR="00AE46F7" w:rsidRPr="006A0E5B" w:rsidRDefault="00AE46F7">
      <w:pPr>
        <w:pStyle w:val="normal2"/>
        <w:spacing w:before="240"/>
      </w:pPr>
      <w:r>
        <w:t xml:space="preserve">The cash flow forecast shows that the business will be negative in Year 1 with a cash deficit of £40,000 which is caused by the amount of investment required to start the business of £75,000 and the expenditure of the business with initial operating costs of £40,000. Positive cash generation is expected to begin in year 2, however, due to growing customer numbers, and subscription revenue. At around £1.15m, closing cash will be reached in Year 5. This means bringing a higher liquidity and growth of potential </w:t>
      </w:r>
      <w:r>
        <w:lastRenderedPageBreak/>
        <w:t>investments in technology, logistics, job upgrading and marketing materials. However, there should be comparisons between actual cash performance and the performance during the pilot stage and across the various payment cycles.</w:t>
      </w:r>
    </w:p>
    <w:p w:rsidR="00621D05" w:rsidRDefault="008240CA">
      <w:pPr>
        <w:pStyle w:val="Heading3"/>
      </w:pPr>
      <w:bookmarkStart w:id="89" w:name="_Toc241233944"/>
      <w:r>
        <w:t>9.1.6 Break-Even Analysis</w:t>
      </w:r>
      <w:bookmarkEnd w:id="89"/>
    </w:p>
    <w:p w:rsidR="00621D05" w:rsidRPr="006A0E5B" w:rsidRDefault="008240CA">
      <w:pPr>
        <w:pStyle w:val="normal2"/>
        <w:spacing w:before="240"/>
      </w:pPr>
      <w:r w:rsidRPr="006A0E5B">
        <w:t xml:space="preserve">Break-even is estimated at approximately </w:t>
      </w:r>
      <w:r w:rsidRPr="006A0E5B">
        <w:rPr>
          <w:b/>
          <w:bCs/>
        </w:rPr>
        <w:t>60 customers</w:t>
      </w:r>
      <w:r w:rsidRPr="006A0E5B">
        <w:t>, based on annual fixed costs of £150,000 and an average annual contribution of £2,500 per customer:</w:t>
      </w:r>
    </w:p>
    <w:p w:rsidR="00621D05" w:rsidRPr="006A0E5B" w:rsidRDefault="008240CA">
      <w:pPr>
        <w:pStyle w:val="normal2"/>
        <w:spacing w:before="240"/>
        <w:ind w:left="600" w:right="600"/>
        <w:rPr>
          <w:b/>
          <w:bCs/>
        </w:rPr>
      </w:pPr>
      <w:r w:rsidRPr="006A0E5B">
        <w:rPr>
          <w:b/>
          <w:bCs/>
        </w:rPr>
        <w:t>£150,000 ÷ £2,500 = 60 customers</w:t>
      </w:r>
    </w:p>
    <w:p w:rsidR="00621D05" w:rsidRDefault="008240CA">
      <w:pPr>
        <w:pStyle w:val="normal2"/>
        <w:spacing w:before="240"/>
        <w:rPr>
          <w:color w:val="FF0000"/>
        </w:rPr>
      </w:pPr>
      <w:r w:rsidRPr="006A0E5B">
        <w:t>This calculation should be interpreted as an operating break-even point rather than recovery of the initial £75,000 investment. EcoLoop should therefore prioritise recurring revenue, customer retention and contribution margins before significant geographical expansion.</w:t>
      </w:r>
    </w:p>
    <w:p w:rsidR="00621D05" w:rsidRDefault="008240CA">
      <w:pPr>
        <w:pStyle w:val="Heading3"/>
      </w:pPr>
      <w:bookmarkStart w:id="90" w:name="_Toc241233945"/>
      <w:r>
        <w:t>9.1.7 Sensitivity Analysis</w:t>
      </w:r>
      <w:bookmarkEnd w:id="90"/>
    </w:p>
    <w:p w:rsidR="00621D05" w:rsidRPr="006A0E5B" w:rsidRDefault="00AE46F7">
      <w:pPr>
        <w:pStyle w:val="normal2"/>
        <w:spacing w:before="240"/>
        <w:rPr>
          <w:b/>
          <w:bCs/>
          <w:sz w:val="22"/>
          <w:szCs w:val="22"/>
        </w:rPr>
      </w:pPr>
      <w:r>
        <w:rPr>
          <w:b/>
          <w:bCs/>
          <w:sz w:val="22"/>
          <w:szCs w:val="22"/>
        </w:rPr>
        <w:t>Ta</w:t>
      </w:r>
      <w:r w:rsidR="003455EA">
        <w:rPr>
          <w:b/>
          <w:bCs/>
          <w:sz w:val="22"/>
          <w:szCs w:val="22"/>
        </w:rPr>
        <w:t>ble 16</w:t>
      </w:r>
      <w:r w:rsidR="008240CA" w:rsidRPr="006A0E5B">
        <w:rPr>
          <w:b/>
          <w:bCs/>
          <w:sz w:val="22"/>
          <w:szCs w:val="22"/>
        </w:rPr>
        <w:t>. Sensitivity Analysis</w:t>
      </w:r>
    </w:p>
    <w:tbl>
      <w:tblPr>
        <w:tblStyle w:val="afffffffffffffff0"/>
        <w:tblW w:w="9180" w:type="dxa"/>
        <w:tblBorders>
          <w:top w:val="nil"/>
          <w:left w:val="nil"/>
          <w:bottom w:val="nil"/>
          <w:right w:val="nil"/>
          <w:insideH w:val="nil"/>
          <w:insideV w:val="nil"/>
        </w:tblBorders>
        <w:tblLayout w:type="fixed"/>
        <w:tblLook w:val="0600"/>
      </w:tblPr>
      <w:tblGrid>
        <w:gridCol w:w="2160"/>
        <w:gridCol w:w="1575"/>
        <w:gridCol w:w="1905"/>
        <w:gridCol w:w="3540"/>
      </w:tblGrid>
      <w:tr w:rsidR="00621D05" w:rsidRPr="006A0E5B">
        <w:trPr>
          <w:cantSplit/>
          <w:trHeight w:val="515"/>
          <w:tblHeader/>
        </w:trPr>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rPr>
                <w:b/>
                <w:bCs/>
                <w:sz w:val="22"/>
                <w:szCs w:val="22"/>
              </w:rPr>
              <w:t>Scenario</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rPr>
                <w:b/>
                <w:bCs/>
              </w:rPr>
              <w:t>Customers Y3</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rPr>
                <w:b/>
                <w:bCs/>
              </w:rPr>
              <w:t>Revenue Y3</w:t>
            </w:r>
          </w:p>
        </w:tc>
        <w:tc>
          <w:tcPr>
            <w:tcW w:w="3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rPr>
                <w:b/>
                <w:bCs/>
              </w:rPr>
              <w:t>Operating profit</w:t>
            </w:r>
          </w:p>
        </w:tc>
      </w:tr>
      <w:tr w:rsidR="00621D05" w:rsidRPr="006A0E5B">
        <w:trPr>
          <w:cantSplit/>
          <w:trHeight w:val="515"/>
          <w:tblHeader/>
        </w:trPr>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rPr>
                <w:b/>
                <w:bCs/>
              </w:rPr>
              <w:t>Best case</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210</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£1.07m</w:t>
            </w:r>
          </w:p>
        </w:tc>
        <w:tc>
          <w:tcPr>
            <w:tcW w:w="3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£300k</w:t>
            </w:r>
          </w:p>
        </w:tc>
      </w:tr>
      <w:tr w:rsidR="00621D05" w:rsidRPr="006A0E5B">
        <w:trPr>
          <w:cantSplit/>
          <w:trHeight w:val="515"/>
          <w:tblHeader/>
        </w:trPr>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rPr>
                <w:b/>
                <w:bCs/>
              </w:rPr>
              <w:t>Base case</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175</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£857.5k</w:t>
            </w:r>
          </w:p>
        </w:tc>
        <w:tc>
          <w:tcPr>
            <w:tcW w:w="3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£207.5k</w:t>
            </w:r>
          </w:p>
        </w:tc>
      </w:tr>
      <w:tr w:rsidR="00621D05" w:rsidRPr="006A0E5B">
        <w:trPr>
          <w:cantSplit/>
          <w:trHeight w:val="515"/>
          <w:tblHeader/>
        </w:trPr>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rPr>
                <w:b/>
                <w:bCs/>
              </w:rPr>
              <w:t>Worst case</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130</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£637k</w:t>
            </w:r>
          </w:p>
        </w:tc>
        <w:tc>
          <w:tcPr>
            <w:tcW w:w="3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6A0E5B" w:rsidRDefault="008240CA">
            <w:pPr>
              <w:pStyle w:val="normal2"/>
              <w:spacing w:before="0" w:after="0" w:line="240" w:lineRule="auto"/>
              <w:jc w:val="center"/>
            </w:pPr>
            <w:r w:rsidRPr="006A0E5B">
              <w:t>£70k</w:t>
            </w:r>
          </w:p>
        </w:tc>
      </w:tr>
    </w:tbl>
    <w:p w:rsidR="00621D05" w:rsidRPr="006A0E5B" w:rsidRDefault="008240CA">
      <w:pPr>
        <w:pStyle w:val="normal2"/>
        <w:spacing w:before="240"/>
        <w:rPr>
          <w:i/>
          <w:iCs/>
        </w:rPr>
      </w:pPr>
      <w:r w:rsidRPr="006A0E5B">
        <w:rPr>
          <w:i/>
          <w:iCs/>
        </w:rPr>
        <w:t>Source: Self-Created</w:t>
      </w:r>
    </w:p>
    <w:p w:rsidR="00621D05" w:rsidRPr="006A0E5B" w:rsidRDefault="008240CA">
      <w:pPr>
        <w:pStyle w:val="normal2"/>
        <w:spacing w:before="240"/>
      </w:pPr>
      <w:r w:rsidRPr="006A0E5B">
        <w:t xml:space="preserve">The sensitivity analysis also suggests there are specific factors affecting profitability, such as customer acquisition, customer retention, as well as costs of average revenue and logistics. Best case is reduced acquisition time and increased retention rates, whereas worst case could be reduced growth and increased operating pressures. </w:t>
      </w:r>
      <w:r w:rsidRPr="006A0E5B">
        <w:lastRenderedPageBreak/>
        <w:t>Volume, then, is a key profitability driver and retention saves the cost of continuous customer-acquisition effort.</w:t>
      </w:r>
    </w:p>
    <w:p w:rsidR="00621D05" w:rsidRDefault="008240CA">
      <w:pPr>
        <w:pStyle w:val="Heading2"/>
        <w:keepNext w:val="0"/>
        <w:keepLines w:val="0"/>
        <w:spacing w:before="200" w:after="120"/>
      </w:pPr>
      <w:bookmarkStart w:id="91" w:name="_Toc241233946"/>
      <w:r>
        <w:t>9.2 Marketing Plan</w:t>
      </w:r>
      <w:bookmarkEnd w:id="91"/>
    </w:p>
    <w:p w:rsidR="00621D05" w:rsidRDefault="008240CA">
      <w:pPr>
        <w:pStyle w:val="Heading3"/>
      </w:pPr>
      <w:bookmarkStart w:id="92" w:name="_Toc241233947"/>
      <w:r>
        <w:t>9.2.1 SMART Marketing Objectives</w:t>
      </w:r>
      <w:bookmarkEnd w:id="92"/>
    </w:p>
    <w:p w:rsidR="00621D05" w:rsidRDefault="003455EA">
      <w:pPr>
        <w:pStyle w:val="normal2"/>
        <w:rPr>
          <w:b/>
          <w:bCs/>
        </w:rPr>
      </w:pPr>
      <w:r>
        <w:rPr>
          <w:b/>
          <w:bCs/>
        </w:rPr>
        <w:t>Table 17</w:t>
      </w:r>
      <w:r w:rsidR="008240CA">
        <w:rPr>
          <w:b/>
          <w:bCs/>
        </w:rPr>
        <w:t>. SMART Objective</w:t>
      </w:r>
    </w:p>
    <w:tbl>
      <w:tblPr>
        <w:tblStyle w:val="afffffffffffffff1"/>
        <w:tblW w:w="9205" w:type="dxa"/>
        <w:tblBorders>
          <w:top w:val="nil"/>
          <w:left w:val="nil"/>
          <w:bottom w:val="nil"/>
          <w:right w:val="nil"/>
          <w:insideH w:val="nil"/>
          <w:insideV w:val="nil"/>
        </w:tblBorders>
        <w:tblLayout w:type="fixed"/>
        <w:tblLook w:val="0600"/>
      </w:tblPr>
      <w:tblGrid>
        <w:gridCol w:w="2420"/>
        <w:gridCol w:w="6785"/>
      </w:tblGrid>
      <w:tr w:rsidR="00621D05">
        <w:trPr>
          <w:cantSplit/>
          <w:trHeight w:val="515"/>
          <w:tblHeader/>
        </w:trPr>
        <w:tc>
          <w:tcPr>
            <w:tcW w:w="2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Objective</w:t>
            </w:r>
          </w:p>
        </w:tc>
        <w:tc>
          <w:tcPr>
            <w:tcW w:w="6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SMART Target</w:t>
            </w:r>
          </w:p>
        </w:tc>
      </w:tr>
      <w:tr w:rsidR="00621D05">
        <w:trPr>
          <w:cantSplit/>
          <w:trHeight w:val="515"/>
          <w:tblHeader/>
        </w:trPr>
        <w:tc>
          <w:tcPr>
            <w:tcW w:w="2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Customer acquisition</w:t>
            </w:r>
          </w:p>
        </w:tc>
        <w:tc>
          <w:tcPr>
            <w:tcW w:w="6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Secure </w:t>
            </w:r>
            <w:r>
              <w:rPr>
                <w:b/>
                <w:bCs/>
              </w:rPr>
              <w:t>20 pilot B2B customers within 6 months</w:t>
            </w:r>
            <w:r>
              <w:t>.</w:t>
            </w:r>
          </w:p>
        </w:tc>
      </w:tr>
      <w:tr w:rsidR="00621D05">
        <w:trPr>
          <w:cantSplit/>
          <w:trHeight w:val="515"/>
          <w:tblHeader/>
        </w:trPr>
        <w:tc>
          <w:tcPr>
            <w:tcW w:w="2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Brand awareness</w:t>
            </w:r>
          </w:p>
        </w:tc>
        <w:tc>
          <w:tcPr>
            <w:tcW w:w="6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Generate </w:t>
            </w:r>
            <w:r>
              <w:rPr>
                <w:b/>
                <w:bCs/>
              </w:rPr>
              <w:t>10,000 targeted LinkedIn impressions within 6 months</w:t>
            </w:r>
            <w:r>
              <w:t>.</w:t>
            </w:r>
          </w:p>
        </w:tc>
      </w:tr>
      <w:tr w:rsidR="00621D05">
        <w:trPr>
          <w:cantSplit/>
          <w:trHeight w:val="515"/>
          <w:tblHeader/>
        </w:trPr>
        <w:tc>
          <w:tcPr>
            <w:tcW w:w="2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Lead generation</w:t>
            </w:r>
          </w:p>
        </w:tc>
        <w:tc>
          <w:tcPr>
            <w:tcW w:w="6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Generate </w:t>
            </w:r>
            <w:r>
              <w:rPr>
                <w:b/>
                <w:bCs/>
              </w:rPr>
              <w:t>150 qualified B2B leads within 12 months</w:t>
            </w:r>
            <w:r>
              <w:t>.</w:t>
            </w:r>
          </w:p>
        </w:tc>
      </w:tr>
      <w:tr w:rsidR="00621D05">
        <w:trPr>
          <w:cantSplit/>
          <w:trHeight w:val="515"/>
          <w:tblHeader/>
        </w:trPr>
        <w:tc>
          <w:tcPr>
            <w:tcW w:w="2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Retention</w:t>
            </w:r>
          </w:p>
        </w:tc>
        <w:tc>
          <w:tcPr>
            <w:tcW w:w="6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Achieve </w:t>
            </w:r>
            <w:r>
              <w:rPr>
                <w:b/>
                <w:bCs/>
              </w:rPr>
              <w:t>85% customer retention by the end of Year 1</w:t>
            </w:r>
            <w:r>
              <w:t>.</w:t>
            </w:r>
          </w:p>
        </w:tc>
      </w:tr>
      <w:tr w:rsidR="00621D05">
        <w:trPr>
          <w:cantSplit/>
          <w:trHeight w:val="515"/>
          <w:tblHeader/>
        </w:trPr>
        <w:tc>
          <w:tcPr>
            <w:tcW w:w="2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Revenue</w:t>
            </w:r>
          </w:p>
        </w:tc>
        <w:tc>
          <w:tcPr>
            <w:tcW w:w="6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Reach </w:t>
            </w:r>
            <w:r>
              <w:rPr>
                <w:b/>
                <w:bCs/>
              </w:rPr>
              <w:t>£22,500 monthly recurring revenue by Month 12</w:t>
            </w:r>
            <w:r>
              <w:t>.</w:t>
            </w:r>
          </w:p>
        </w:tc>
      </w:tr>
    </w:tbl>
    <w:p w:rsidR="00621D05" w:rsidRDefault="008240CA">
      <w:pPr>
        <w:pStyle w:val="normal2"/>
      </w:pPr>
      <w:r>
        <w:t>Source: Self-Created</w:t>
      </w:r>
    </w:p>
    <w:p w:rsidR="00621D05" w:rsidRDefault="008240CA">
      <w:pPr>
        <w:pStyle w:val="Heading3"/>
      </w:pPr>
      <w:bookmarkStart w:id="93" w:name="_Toc241233948"/>
      <w:r>
        <w:t>9.2.2 Segmentation, Targeting and Positioning</w:t>
      </w:r>
      <w:bookmarkEnd w:id="93"/>
    </w:p>
    <w:p w:rsidR="00621D05" w:rsidRDefault="008240CA">
      <w:pPr>
        <w:pStyle w:val="normal2"/>
        <w:spacing w:after="80"/>
        <w:rPr>
          <w:b/>
          <w:bCs/>
          <w:i/>
          <w:iCs/>
        </w:rPr>
      </w:pPr>
      <w:r>
        <w:rPr>
          <w:b/>
          <w:bCs/>
          <w:i/>
          <w:iCs/>
        </w:rPr>
        <w:t>Segmentation</w:t>
      </w:r>
    </w:p>
    <w:p w:rsidR="00621D05" w:rsidRDefault="003455EA">
      <w:pPr>
        <w:pStyle w:val="normal2"/>
        <w:spacing w:after="80"/>
        <w:rPr>
          <w:b/>
          <w:bCs/>
        </w:rPr>
      </w:pPr>
      <w:r>
        <w:rPr>
          <w:b/>
          <w:bCs/>
        </w:rPr>
        <w:t>Table 18</w:t>
      </w:r>
      <w:r w:rsidR="008240CA">
        <w:rPr>
          <w:b/>
          <w:bCs/>
        </w:rPr>
        <w:t>. Segmentation</w:t>
      </w:r>
    </w:p>
    <w:tbl>
      <w:tblPr>
        <w:tblStyle w:val="afffffffffffffff2"/>
        <w:tblW w:w="8425" w:type="dxa"/>
        <w:tblBorders>
          <w:top w:val="nil"/>
          <w:left w:val="nil"/>
          <w:bottom w:val="nil"/>
          <w:right w:val="nil"/>
          <w:insideH w:val="nil"/>
          <w:insideV w:val="nil"/>
        </w:tblBorders>
        <w:tblLayout w:type="fixed"/>
        <w:tblLook w:val="0600"/>
      </w:tblPr>
      <w:tblGrid>
        <w:gridCol w:w="2825"/>
        <w:gridCol w:w="5600"/>
      </w:tblGrid>
      <w:tr w:rsidR="00621D05">
        <w:trPr>
          <w:cantSplit/>
          <w:trHeight w:val="515"/>
          <w:tblHeader/>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Segmentation Factor</w:t>
            </w:r>
          </w:p>
        </w:tc>
        <w:tc>
          <w:tcPr>
            <w:tcW w:w="5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Target Segment</w:t>
            </w:r>
          </w:p>
        </w:tc>
      </w:tr>
      <w:tr w:rsidR="00621D05">
        <w:trPr>
          <w:cantSplit/>
          <w:trHeight w:val="515"/>
          <w:tblHeader/>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Business size</w:t>
            </w:r>
          </w:p>
        </w:tc>
        <w:tc>
          <w:tcPr>
            <w:tcW w:w="5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SMEs and medium-sized organisations</w:t>
            </w:r>
          </w:p>
        </w:tc>
      </w:tr>
      <w:tr w:rsidR="00621D05">
        <w:trPr>
          <w:cantSplit/>
          <w:trHeight w:val="515"/>
          <w:tblHeader/>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Industry</w:t>
            </w:r>
          </w:p>
        </w:tc>
        <w:tc>
          <w:tcPr>
            <w:tcW w:w="5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Professional services, education, technology and offices</w:t>
            </w:r>
          </w:p>
        </w:tc>
      </w:tr>
      <w:tr w:rsidR="00621D05">
        <w:trPr>
          <w:cantSplit/>
          <w:trHeight w:val="515"/>
          <w:tblHeader/>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lastRenderedPageBreak/>
              <w:t>Office size</w:t>
            </w:r>
          </w:p>
        </w:tc>
        <w:tc>
          <w:tcPr>
            <w:tcW w:w="5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Small-to-large office workplaces</w:t>
            </w:r>
          </w:p>
        </w:tc>
      </w:tr>
      <w:tr w:rsidR="00621D05">
        <w:trPr>
          <w:cantSplit/>
          <w:trHeight w:val="515"/>
          <w:tblHeader/>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Sustainability commitment</w:t>
            </w:r>
          </w:p>
        </w:tc>
        <w:tc>
          <w:tcPr>
            <w:tcW w:w="5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Medium-to-high sustainability focus</w:t>
            </w:r>
          </w:p>
        </w:tc>
      </w:tr>
      <w:tr w:rsidR="00621D05">
        <w:trPr>
          <w:cantSplit/>
          <w:trHeight w:val="515"/>
          <w:tblHeader/>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Waste volume</w:t>
            </w:r>
          </w:p>
        </w:tc>
        <w:tc>
          <w:tcPr>
            <w:tcW w:w="5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Moderate-to-high recyclable office waste</w:t>
            </w:r>
          </w:p>
        </w:tc>
      </w:tr>
    </w:tbl>
    <w:p w:rsidR="00621D05" w:rsidRDefault="008240CA">
      <w:pPr>
        <w:pStyle w:val="normal2"/>
        <w:spacing w:after="80"/>
      </w:pPr>
      <w:r>
        <w:t>Source: Self-Created</w:t>
      </w:r>
    </w:p>
    <w:p w:rsidR="00621D05" w:rsidRDefault="008240CA">
      <w:pPr>
        <w:pStyle w:val="normal2"/>
        <w:spacing w:after="80"/>
        <w:rPr>
          <w:b/>
          <w:bCs/>
          <w:i/>
          <w:iCs/>
        </w:rPr>
      </w:pPr>
      <w:r>
        <w:rPr>
          <w:b/>
          <w:bCs/>
          <w:i/>
          <w:iCs/>
        </w:rPr>
        <w:t>Targeting</w:t>
      </w:r>
    </w:p>
    <w:p w:rsidR="00621D05" w:rsidRDefault="003455EA">
      <w:pPr>
        <w:pStyle w:val="normal2"/>
        <w:rPr>
          <w:b/>
          <w:bCs/>
        </w:rPr>
      </w:pPr>
      <w:r>
        <w:rPr>
          <w:b/>
          <w:bCs/>
        </w:rPr>
        <w:t>Table 19</w:t>
      </w:r>
      <w:r w:rsidR="008240CA">
        <w:rPr>
          <w:b/>
          <w:bCs/>
        </w:rPr>
        <w:t>. Targeting</w:t>
      </w:r>
    </w:p>
    <w:sdt>
      <w:sdtPr>
        <w:tag w:val="goog_rdk_14"/>
        <w:id w:val="-1934937861"/>
        <w:lock w:val="contentLocked"/>
      </w:sdtPr>
      <w:sdtContent>
        <w:tbl>
          <w:tblPr>
            <w:tblStyle w:val="afffffffffffffff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621D05">
            <w:trPr>
              <w:cantSplit/>
              <w:tblHeader/>
            </w:trPr>
            <w:tc>
              <w:tcPr>
                <w:tcW w:w="4680" w:type="dxa"/>
                <w:shd w:val="clear" w:color="auto" w:fill="auto"/>
                <w:tcMar>
                  <w:top w:w="100" w:type="dxa"/>
                  <w:left w:w="100" w:type="dxa"/>
                  <w:bottom w:w="100" w:type="dxa"/>
                  <w:right w:w="100" w:type="dxa"/>
                </w:tcMar>
              </w:tcPr>
              <w:p w:rsidR="00621D05" w:rsidRDefault="008240CA">
                <w:pPr>
                  <w:pStyle w:val="normal2"/>
                  <w:widowControl w:val="0"/>
                  <w:pBdr>
                    <w:top w:val="nil"/>
                    <w:left w:val="nil"/>
                    <w:bottom w:val="nil"/>
                    <w:right w:val="nil"/>
                    <w:between w:val="nil"/>
                  </w:pBdr>
                  <w:spacing w:before="0" w:after="0" w:line="240" w:lineRule="auto"/>
                </w:pPr>
                <w:r>
                  <w:rPr>
                    <w:noProof/>
                  </w:rPr>
                  <w:drawing>
                    <wp:inline distT="114300" distB="114300" distL="114300" distR="114300">
                      <wp:extent cx="2838450" cy="2385814"/>
                      <wp:effectExtent l="0" t="0" r="0" b="0"/>
                      <wp:docPr id="12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b="44089"/>
                              <a:stretch>
                                <a:fillRect/>
                              </a:stretch>
                            </pic:blipFill>
                            <pic:spPr>
                              <a:xfrm>
                                <a:off x="0" y="0"/>
                                <a:ext cx="2838450" cy="2385814"/>
                              </a:xfrm>
                              <a:prstGeom prst="rect">
                                <a:avLst/>
                              </a:prstGeom>
                              <a:ln/>
                            </pic:spPr>
                          </pic:pic>
                        </a:graphicData>
                      </a:graphic>
                    </wp:inline>
                  </w:drawing>
                </w:r>
              </w:p>
            </w:tc>
            <w:tc>
              <w:tcPr>
                <w:tcW w:w="4680" w:type="dxa"/>
                <w:shd w:val="clear" w:color="auto" w:fill="auto"/>
                <w:tcMar>
                  <w:top w:w="100" w:type="dxa"/>
                  <w:left w:w="100" w:type="dxa"/>
                  <w:bottom w:w="100" w:type="dxa"/>
                  <w:right w:w="100" w:type="dxa"/>
                </w:tcMar>
              </w:tcPr>
              <w:p w:rsidR="00621D05" w:rsidRDefault="008240CA">
                <w:pPr>
                  <w:pStyle w:val="normal2"/>
                  <w:widowControl w:val="0"/>
                  <w:pBdr>
                    <w:top w:val="nil"/>
                    <w:left w:val="nil"/>
                    <w:bottom w:val="nil"/>
                    <w:right w:val="nil"/>
                    <w:between w:val="nil"/>
                  </w:pBdr>
                  <w:spacing w:before="0" w:after="0" w:line="240" w:lineRule="auto"/>
                </w:pPr>
                <w:r>
                  <w:t>Alex is an office manager in a growing UK SME. They are responsible for workplace operations and want to make the office more sustainable but currently rely on fragmented waste services with limited reporting.</w:t>
                </w:r>
              </w:p>
            </w:tc>
          </w:tr>
          <w:tr w:rsidR="00621D05">
            <w:trPr>
              <w:cantSplit/>
              <w:tblHeader/>
            </w:trPr>
            <w:tc>
              <w:tcPr>
                <w:tcW w:w="4680" w:type="dxa"/>
                <w:shd w:val="clear" w:color="auto" w:fill="auto"/>
                <w:tcMar>
                  <w:top w:w="100" w:type="dxa"/>
                  <w:left w:w="100" w:type="dxa"/>
                  <w:bottom w:w="100" w:type="dxa"/>
                  <w:right w:w="100" w:type="dxa"/>
                </w:tcMar>
              </w:tcPr>
              <w:p w:rsidR="00621D05" w:rsidRDefault="008240CA">
                <w:pPr>
                  <w:pStyle w:val="normal2"/>
                  <w:widowControl w:val="0"/>
                  <w:pBdr>
                    <w:top w:val="nil"/>
                    <w:left w:val="nil"/>
                    <w:bottom w:val="nil"/>
                    <w:right w:val="nil"/>
                    <w:between w:val="nil"/>
                  </w:pBdr>
                  <w:spacing w:before="0" w:after="0" w:line="240" w:lineRule="auto"/>
                  <w:rPr>
                    <w:b/>
                    <w:bCs/>
                    <w:i/>
                    <w:iCs/>
                  </w:rPr>
                </w:pPr>
                <w:r>
                  <w:rPr>
                    <w:b/>
                    <w:bCs/>
                    <w:i/>
                    <w:iCs/>
                  </w:rPr>
                  <w:t>Demographic</w:t>
                </w:r>
              </w:p>
              <w:p w:rsidR="00621D05" w:rsidRDefault="008240CA">
                <w:pPr>
                  <w:pStyle w:val="normal2"/>
                  <w:widowControl w:val="0"/>
                  <w:numPr>
                    <w:ilvl w:val="0"/>
                    <w:numId w:val="5"/>
                  </w:numPr>
                  <w:pBdr>
                    <w:top w:val="nil"/>
                    <w:left w:val="nil"/>
                    <w:bottom w:val="nil"/>
                    <w:right w:val="nil"/>
                    <w:between w:val="nil"/>
                  </w:pBdr>
                  <w:spacing w:before="0" w:after="0" w:line="240" w:lineRule="auto"/>
                  <w:rPr>
                    <w:b/>
                    <w:bCs/>
                    <w:i/>
                    <w:iCs/>
                  </w:rPr>
                </w:pPr>
                <w:r>
                  <w:rPr>
                    <w:b/>
                    <w:bCs/>
                    <w:i/>
                    <w:iCs/>
                  </w:rPr>
                  <w:t xml:space="preserve">Age: </w:t>
                </w:r>
                <w:r>
                  <w:t>30–45 years old</w:t>
                </w:r>
              </w:p>
              <w:p w:rsidR="00621D05" w:rsidRDefault="008240CA">
                <w:pPr>
                  <w:pStyle w:val="normal2"/>
                  <w:widowControl w:val="0"/>
                  <w:numPr>
                    <w:ilvl w:val="0"/>
                    <w:numId w:val="5"/>
                  </w:numPr>
                  <w:pBdr>
                    <w:top w:val="nil"/>
                    <w:left w:val="nil"/>
                    <w:bottom w:val="nil"/>
                    <w:right w:val="nil"/>
                    <w:between w:val="nil"/>
                  </w:pBdr>
                  <w:spacing w:before="0" w:after="0" w:line="240" w:lineRule="auto"/>
                  <w:rPr>
                    <w:b/>
                    <w:bCs/>
                    <w:i/>
                    <w:iCs/>
                  </w:rPr>
                </w:pPr>
                <w:r>
                  <w:rPr>
                    <w:b/>
                    <w:bCs/>
                    <w:i/>
                    <w:iCs/>
                  </w:rPr>
                  <w:t xml:space="preserve">Sex: </w:t>
                </w:r>
                <w:r>
                  <w:t>Male</w:t>
                </w:r>
              </w:p>
              <w:p w:rsidR="00621D05" w:rsidRDefault="008240CA">
                <w:pPr>
                  <w:pStyle w:val="normal2"/>
                  <w:widowControl w:val="0"/>
                  <w:numPr>
                    <w:ilvl w:val="0"/>
                    <w:numId w:val="5"/>
                  </w:numPr>
                  <w:pBdr>
                    <w:top w:val="nil"/>
                    <w:left w:val="nil"/>
                    <w:bottom w:val="nil"/>
                    <w:right w:val="nil"/>
                    <w:between w:val="nil"/>
                  </w:pBdr>
                  <w:spacing w:before="0" w:after="0" w:line="240" w:lineRule="auto"/>
                  <w:rPr>
                    <w:b/>
                    <w:bCs/>
                    <w:i/>
                    <w:iCs/>
                  </w:rPr>
                </w:pPr>
                <w:r>
                  <w:rPr>
                    <w:b/>
                    <w:bCs/>
                    <w:i/>
                    <w:iCs/>
                  </w:rPr>
                  <w:t xml:space="preserve">Occupation: </w:t>
                </w:r>
                <w:r>
                  <w:t>Office/facilities manager</w:t>
                </w:r>
              </w:p>
              <w:p w:rsidR="00621D05" w:rsidRDefault="008240CA">
                <w:pPr>
                  <w:pStyle w:val="normal2"/>
                  <w:widowControl w:val="0"/>
                  <w:numPr>
                    <w:ilvl w:val="0"/>
                    <w:numId w:val="5"/>
                  </w:numPr>
                  <w:pBdr>
                    <w:top w:val="nil"/>
                    <w:left w:val="nil"/>
                    <w:bottom w:val="nil"/>
                    <w:right w:val="nil"/>
                    <w:between w:val="nil"/>
                  </w:pBdr>
                  <w:spacing w:before="0" w:after="0" w:line="240" w:lineRule="auto"/>
                  <w:rPr>
                    <w:b/>
                    <w:bCs/>
                    <w:i/>
                    <w:iCs/>
                  </w:rPr>
                </w:pPr>
                <w:r>
                  <w:rPr>
                    <w:b/>
                    <w:bCs/>
                    <w:i/>
                    <w:iCs/>
                  </w:rPr>
                  <w:t xml:space="preserve">Income: </w:t>
                </w:r>
                <w:r>
                  <w:t>24,000$</w:t>
                </w:r>
              </w:p>
            </w:tc>
            <w:tc>
              <w:tcPr>
                <w:tcW w:w="4680" w:type="dxa"/>
                <w:shd w:val="clear" w:color="auto" w:fill="auto"/>
                <w:tcMar>
                  <w:top w:w="100" w:type="dxa"/>
                  <w:left w:w="100" w:type="dxa"/>
                  <w:bottom w:w="100" w:type="dxa"/>
                  <w:right w:w="100" w:type="dxa"/>
                </w:tcMar>
              </w:tcPr>
              <w:p w:rsidR="00621D05" w:rsidRDefault="008240CA">
                <w:pPr>
                  <w:pStyle w:val="normal2"/>
                  <w:widowControl w:val="0"/>
                  <w:pBdr>
                    <w:top w:val="nil"/>
                    <w:left w:val="nil"/>
                    <w:bottom w:val="nil"/>
                    <w:right w:val="nil"/>
                    <w:between w:val="nil"/>
                  </w:pBdr>
                  <w:spacing w:before="0" w:after="0" w:line="240" w:lineRule="auto"/>
                  <w:rPr>
                    <w:b/>
                    <w:bCs/>
                    <w:i/>
                    <w:iCs/>
                  </w:rPr>
                </w:pPr>
                <w:r>
                  <w:rPr>
                    <w:b/>
                    <w:bCs/>
                    <w:i/>
                    <w:iCs/>
                  </w:rPr>
                  <w:t>Needs</w:t>
                </w:r>
              </w:p>
              <w:p w:rsidR="00621D05" w:rsidRDefault="008240CA">
                <w:pPr>
                  <w:pStyle w:val="normal2"/>
                  <w:widowControl w:val="0"/>
                  <w:numPr>
                    <w:ilvl w:val="0"/>
                    <w:numId w:val="3"/>
                  </w:numPr>
                  <w:pBdr>
                    <w:top w:val="nil"/>
                    <w:left w:val="nil"/>
                    <w:bottom w:val="nil"/>
                    <w:right w:val="nil"/>
                    <w:between w:val="nil"/>
                  </w:pBdr>
                  <w:spacing w:before="0" w:after="0" w:line="240" w:lineRule="auto"/>
                </w:pPr>
                <w:r>
                  <w:t>Reliable waste collection, recycling and reuse services, simple supplier management, digital tracking and clear sustainability reports.</w:t>
                </w:r>
              </w:p>
            </w:tc>
          </w:tr>
          <w:tr w:rsidR="00621D05">
            <w:trPr>
              <w:cantSplit/>
              <w:tblHeader/>
            </w:trPr>
            <w:tc>
              <w:tcPr>
                <w:tcW w:w="4680" w:type="dxa"/>
                <w:shd w:val="clear" w:color="auto" w:fill="auto"/>
                <w:tcMar>
                  <w:top w:w="100" w:type="dxa"/>
                  <w:left w:w="100" w:type="dxa"/>
                  <w:bottom w:w="100" w:type="dxa"/>
                  <w:right w:w="100" w:type="dxa"/>
                </w:tcMar>
              </w:tcPr>
              <w:p w:rsidR="00621D05" w:rsidRDefault="008240CA">
                <w:pPr>
                  <w:pStyle w:val="normal2"/>
                  <w:widowControl w:val="0"/>
                  <w:pBdr>
                    <w:top w:val="nil"/>
                    <w:left w:val="nil"/>
                    <w:bottom w:val="nil"/>
                    <w:right w:val="nil"/>
                    <w:between w:val="nil"/>
                  </w:pBdr>
                  <w:spacing w:before="0" w:after="0" w:line="240" w:lineRule="auto"/>
                  <w:rPr>
                    <w:b/>
                    <w:bCs/>
                    <w:i/>
                    <w:iCs/>
                  </w:rPr>
                </w:pPr>
                <w:r>
                  <w:rPr>
                    <w:b/>
                    <w:bCs/>
                    <w:i/>
                    <w:iCs/>
                  </w:rPr>
                  <w:t>Goal</w:t>
                </w:r>
              </w:p>
              <w:p w:rsidR="00621D05" w:rsidRDefault="008240CA">
                <w:pPr>
                  <w:pStyle w:val="normal2"/>
                  <w:widowControl w:val="0"/>
                  <w:numPr>
                    <w:ilvl w:val="0"/>
                    <w:numId w:val="6"/>
                  </w:numPr>
                  <w:pBdr>
                    <w:top w:val="nil"/>
                    <w:left w:val="nil"/>
                    <w:bottom w:val="nil"/>
                    <w:right w:val="nil"/>
                    <w:between w:val="nil"/>
                  </w:pBdr>
                  <w:spacing w:before="0" w:after="0" w:line="240" w:lineRule="auto"/>
                </w:pPr>
                <w:r>
                  <w:t>Reduce office waste, improve resource efficiency and demonstrate measurable sustainability performance without significantly increasing operating costs.</w:t>
                </w:r>
              </w:p>
            </w:tc>
            <w:tc>
              <w:tcPr>
                <w:tcW w:w="4680" w:type="dxa"/>
                <w:shd w:val="clear" w:color="auto" w:fill="auto"/>
                <w:tcMar>
                  <w:top w:w="100" w:type="dxa"/>
                  <w:left w:w="100" w:type="dxa"/>
                  <w:bottom w:w="100" w:type="dxa"/>
                  <w:right w:w="100" w:type="dxa"/>
                </w:tcMar>
              </w:tcPr>
              <w:p w:rsidR="00621D05" w:rsidRDefault="008240CA">
                <w:pPr>
                  <w:pStyle w:val="normal2"/>
                  <w:widowControl w:val="0"/>
                  <w:pBdr>
                    <w:top w:val="nil"/>
                    <w:left w:val="nil"/>
                    <w:bottom w:val="nil"/>
                    <w:right w:val="nil"/>
                    <w:between w:val="nil"/>
                  </w:pBdr>
                  <w:spacing w:before="0" w:after="0" w:line="240" w:lineRule="auto"/>
                  <w:rPr>
                    <w:b/>
                    <w:bCs/>
                    <w:i/>
                    <w:iCs/>
                  </w:rPr>
                </w:pPr>
                <w:r>
                  <w:rPr>
                    <w:b/>
                    <w:bCs/>
                    <w:i/>
                    <w:iCs/>
                  </w:rPr>
                  <w:t>Motivation</w:t>
                </w:r>
              </w:p>
              <w:p w:rsidR="00621D05" w:rsidRDefault="008240CA">
                <w:pPr>
                  <w:pStyle w:val="normal2"/>
                  <w:widowControl w:val="0"/>
                  <w:numPr>
                    <w:ilvl w:val="0"/>
                    <w:numId w:val="4"/>
                  </w:numPr>
                  <w:pBdr>
                    <w:top w:val="nil"/>
                    <w:left w:val="nil"/>
                    <w:bottom w:val="nil"/>
                    <w:right w:val="nil"/>
                    <w:between w:val="nil"/>
                  </w:pBdr>
                  <w:spacing w:before="0" w:after="0" w:line="240" w:lineRule="auto"/>
                </w:pPr>
                <w:r>
                  <w:t>Growing environmental expectations from employees and management, desire to strengthen organisational sustainability credentials, and the need for convenient and measurable waste management.</w:t>
                </w:r>
              </w:p>
            </w:tc>
          </w:tr>
          <w:tr w:rsidR="00621D05">
            <w:trPr>
              <w:cantSplit/>
              <w:trHeight w:val="440"/>
              <w:tblHeader/>
            </w:trPr>
            <w:tc>
              <w:tcPr>
                <w:tcW w:w="9360" w:type="dxa"/>
                <w:gridSpan w:val="2"/>
                <w:shd w:val="clear" w:color="auto" w:fill="auto"/>
                <w:tcMar>
                  <w:top w:w="100" w:type="dxa"/>
                  <w:left w:w="100" w:type="dxa"/>
                  <w:bottom w:w="100" w:type="dxa"/>
                  <w:right w:w="100" w:type="dxa"/>
                </w:tcMar>
              </w:tcPr>
              <w:p w:rsidR="00621D05" w:rsidRDefault="008240CA">
                <w:pPr>
                  <w:pStyle w:val="normal2"/>
                  <w:widowControl w:val="0"/>
                  <w:pBdr>
                    <w:top w:val="nil"/>
                    <w:left w:val="nil"/>
                    <w:bottom w:val="nil"/>
                    <w:right w:val="nil"/>
                    <w:between w:val="nil"/>
                  </w:pBdr>
                  <w:spacing w:before="0" w:after="0" w:line="240" w:lineRule="auto"/>
                  <w:rPr>
                    <w:b/>
                    <w:bCs/>
                    <w:i/>
                    <w:iCs/>
                  </w:rPr>
                </w:pPr>
                <w:r>
                  <w:rPr>
                    <w:b/>
                    <w:bCs/>
                    <w:i/>
                    <w:iCs/>
                  </w:rPr>
                  <w:lastRenderedPageBreak/>
                  <w:t>Pain Points</w:t>
                </w:r>
              </w:p>
              <w:p w:rsidR="00621D05" w:rsidRDefault="008240CA">
                <w:pPr>
                  <w:pStyle w:val="normal2"/>
                  <w:widowControl w:val="0"/>
                  <w:numPr>
                    <w:ilvl w:val="0"/>
                    <w:numId w:val="7"/>
                  </w:numPr>
                  <w:pBdr>
                    <w:top w:val="nil"/>
                    <w:left w:val="nil"/>
                    <w:bottom w:val="nil"/>
                    <w:right w:val="nil"/>
                    <w:between w:val="nil"/>
                  </w:pBdr>
                  <w:spacing w:before="0" w:after="0" w:line="240" w:lineRule="auto"/>
                </w:pPr>
                <w:r>
                  <w:t>Limited time and expertise, fragmented suppliers, unclear recycling outcomes, administrative workload, inconsistent collection services and difficulty demonstrating the organisation’s environmental impact.</w:t>
                </w:r>
              </w:p>
            </w:tc>
          </w:tr>
        </w:tbl>
      </w:sdtContent>
    </w:sdt>
    <w:p w:rsidR="00621D05" w:rsidRDefault="008240CA">
      <w:pPr>
        <w:pStyle w:val="normal2"/>
        <w:spacing w:after="80"/>
      </w:pPr>
      <w:r>
        <w:t>Source: Self-Created</w:t>
      </w:r>
    </w:p>
    <w:p w:rsidR="00621D05" w:rsidRDefault="008240CA">
      <w:pPr>
        <w:pStyle w:val="normal2"/>
        <w:spacing w:after="80"/>
        <w:rPr>
          <w:b/>
          <w:bCs/>
          <w:i/>
          <w:iCs/>
        </w:rPr>
      </w:pPr>
      <w:r>
        <w:rPr>
          <w:b/>
          <w:bCs/>
          <w:i/>
          <w:iCs/>
        </w:rPr>
        <w:t>Positioning</w:t>
      </w:r>
    </w:p>
    <w:p w:rsidR="00621D05" w:rsidRDefault="008240CA">
      <w:pPr>
        <w:pStyle w:val="normal2"/>
        <w:spacing w:after="80"/>
        <w:rPr>
          <w:b/>
          <w:bCs/>
          <w:i/>
          <w:iCs/>
        </w:rPr>
      </w:pPr>
      <w:r>
        <w:rPr>
          <w:b/>
          <w:bCs/>
          <w:i/>
          <w:iCs/>
        </w:rPr>
        <w:t>Figure 8. Positioning Map</w:t>
      </w:r>
    </w:p>
    <w:p w:rsidR="00621D05" w:rsidRDefault="008240CA">
      <w:pPr>
        <w:pStyle w:val="normal2"/>
        <w:spacing w:after="80"/>
        <w:jc w:val="center"/>
      </w:pPr>
      <w:r>
        <w:rPr>
          <w:noProof/>
        </w:rPr>
        <w:drawing>
          <wp:inline distT="114300" distB="114300" distL="114300" distR="114300">
            <wp:extent cx="5943600" cy="3962400"/>
            <wp:effectExtent l="25400" t="25400" r="25400" b="25400"/>
            <wp:docPr id="12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cstate="print"/>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rsidR="00621D05" w:rsidRDefault="008240CA">
      <w:pPr>
        <w:pStyle w:val="normal2"/>
      </w:pPr>
      <w:r>
        <w:t>Source: Self-Created</w:t>
      </w:r>
    </w:p>
    <w:p w:rsidR="00621D05" w:rsidRDefault="008240CA">
      <w:pPr>
        <w:pStyle w:val="normal2"/>
      </w:pPr>
      <w:r>
        <w:t xml:space="preserve">The three major competitors that EcoLoop Office will have to compete with are Biffa, who offers a large area of national coverage and established commercial waste services (Biffa, 2019), Veolia, which provides all these services with resources, waste collection, recycling and the environment (Veolia, 2023), and Grundon with commercial waste services, waste collection, recycling and environment services (Grundon, 2026). </w:t>
      </w:r>
      <w:r>
        <w:lastRenderedPageBreak/>
        <w:t>By contrast, EcoLoop Office ought to be in a niche, high sustainability and digitally-connected location, geared towards SMEs and medium-sized offices (Binyaseen, 2024). The differentiation of its products should be based on circular-office services, tracking of digital waste, reuse, recycling and measurable sustainability reporting.</w:t>
      </w:r>
    </w:p>
    <w:p w:rsidR="00621D05" w:rsidRDefault="008240CA">
      <w:pPr>
        <w:pStyle w:val="Heading2"/>
        <w:spacing w:before="200"/>
      </w:pPr>
      <w:bookmarkStart w:id="94" w:name="_Toc241233949"/>
      <w:r>
        <w:t>9.2.3 Marketing Mix</w:t>
      </w:r>
      <w:bookmarkEnd w:id="94"/>
    </w:p>
    <w:p w:rsidR="00621D05" w:rsidRDefault="008240CA">
      <w:pPr>
        <w:pStyle w:val="normal2"/>
        <w:spacing w:after="80"/>
        <w:rPr>
          <w:b/>
          <w:bCs/>
          <w:i/>
          <w:iCs/>
        </w:rPr>
      </w:pPr>
      <w:r>
        <w:rPr>
          <w:b/>
          <w:bCs/>
          <w:i/>
          <w:iCs/>
        </w:rPr>
        <w:t>Product</w:t>
      </w:r>
    </w:p>
    <w:p w:rsidR="00621D05" w:rsidRDefault="008240CA">
      <w:pPr>
        <w:pStyle w:val="normal2"/>
      </w:pPr>
      <w:r>
        <w:t>The solution will provide a circular, integrated office-management service through collection, reuse, recycling, digital tracking and sustainability reporting by the company EcoLoop Office. A significant market in the UK for the proposition exists, with 5.69 million (99.93%) of the population engaged in private business activity, of those 5.68 million were SMEs, however EcoLoop should focus on recruitment of SMEs and not the high number of non-employers (Merchant Savvy, 2022). By representing 60% of employment in the UK's private sector, and 51% of total turnover (Government of UK, 2026a), SMEs are of commercial significance. Therefore, the sole thing to look for in the product is focus on convenience that is measurable, not only recycling alone.</w:t>
      </w:r>
    </w:p>
    <w:p w:rsidR="00621D05" w:rsidRDefault="008240CA">
      <w:pPr>
        <w:pStyle w:val="normal2"/>
        <w:spacing w:after="80"/>
        <w:rPr>
          <w:b/>
          <w:bCs/>
          <w:i/>
          <w:iCs/>
        </w:rPr>
      </w:pPr>
      <w:r>
        <w:rPr>
          <w:b/>
          <w:bCs/>
          <w:i/>
          <w:iCs/>
        </w:rPr>
        <w:t>Price</w:t>
      </w:r>
    </w:p>
    <w:p w:rsidR="00621D05" w:rsidRDefault="008240CA">
      <w:pPr>
        <w:pStyle w:val="normal2"/>
      </w:pPr>
      <w:r>
        <w:t>Value added pricing is suitable because customers are not just buying waste collection, but a convenience service, reporting and measurable sustainability products (Netseva-Porcheva, 2011). Initial pricing during the pilot should lower the switching costs, and (long-term) prices should be based on the contribution margin.</w:t>
      </w:r>
    </w:p>
    <w:p w:rsidR="00E805B2" w:rsidRDefault="00E805B2">
      <w:pPr>
        <w:pStyle w:val="normal2"/>
        <w:spacing w:after="80"/>
        <w:rPr>
          <w:b/>
          <w:bCs/>
          <w:i/>
          <w:iCs/>
        </w:rPr>
      </w:pPr>
    </w:p>
    <w:p w:rsidR="00621D05" w:rsidRDefault="008240CA" w:rsidP="00E805B2">
      <w:pPr>
        <w:pStyle w:val="normal2"/>
        <w:spacing w:after="80"/>
        <w:rPr>
          <w:b/>
          <w:bCs/>
          <w:i/>
          <w:iCs/>
        </w:rPr>
      </w:pPr>
      <w:r>
        <w:rPr>
          <w:b/>
          <w:bCs/>
          <w:i/>
          <w:iCs/>
        </w:rPr>
        <w:t>Place</w:t>
      </w:r>
    </w:p>
    <w:p w:rsidR="00621D05" w:rsidRDefault="008240CA">
      <w:pPr>
        <w:pStyle w:val="normal2"/>
      </w:pPr>
      <w:r>
        <w:t>Distribution will be via direct B2B sales and digital channels such as website, LinkedIn and email. There was an attractive starting point pool of businesses available with a professional, scientific and technical focused sector accounting for 15.3% of registered businesses in the United Kingdom in 2025 (OECD 2025).</w:t>
      </w:r>
    </w:p>
    <w:p w:rsidR="00621D05" w:rsidRDefault="008240CA">
      <w:pPr>
        <w:pStyle w:val="normal2"/>
        <w:spacing w:after="80"/>
        <w:rPr>
          <w:b/>
          <w:bCs/>
          <w:i/>
          <w:iCs/>
        </w:rPr>
      </w:pPr>
      <w:r>
        <w:rPr>
          <w:b/>
          <w:bCs/>
          <w:i/>
          <w:iCs/>
        </w:rPr>
        <w:lastRenderedPageBreak/>
        <w:t>Promotion</w:t>
      </w:r>
    </w:p>
    <w:p w:rsidR="00621D05" w:rsidRDefault="008240CA">
      <w:pPr>
        <w:pStyle w:val="normal2"/>
      </w:pPr>
      <w:r>
        <w:t xml:space="preserve">LinkedIn, SEO, email marketing, sustainability case studies, events, partnerships and referrals will be used to promote. There is a need for evidence-based communication: 83% of businesses did not take any environmental-protection measure in late 2024, reflecting a challenge of engagement and a need to get the business value of EcoLoop across effectively (Fredriksson </w:t>
      </w:r>
      <w:r>
        <w:rPr>
          <w:i/>
          <w:iCs/>
        </w:rPr>
        <w:t>et al</w:t>
      </w:r>
      <w:r>
        <w:t>., 2026).</w:t>
      </w:r>
    </w:p>
    <w:p w:rsidR="00621D05" w:rsidRDefault="008240CA">
      <w:pPr>
        <w:pStyle w:val="Heading3"/>
        <w:keepNext w:val="0"/>
        <w:keepLines w:val="0"/>
      </w:pPr>
      <w:bookmarkStart w:id="95" w:name="_Toc241233950"/>
      <w:r>
        <w:t>9.2.4 Customer Acquisition Funnel</w:t>
      </w:r>
      <w:bookmarkEnd w:id="95"/>
    </w:p>
    <w:p w:rsidR="00621D05" w:rsidRDefault="003455EA">
      <w:pPr>
        <w:pStyle w:val="normal2"/>
        <w:rPr>
          <w:b/>
          <w:bCs/>
        </w:rPr>
      </w:pPr>
      <w:r>
        <w:rPr>
          <w:b/>
          <w:bCs/>
        </w:rPr>
        <w:t>Table 20</w:t>
      </w:r>
      <w:r w:rsidR="008240CA">
        <w:rPr>
          <w:b/>
          <w:bCs/>
        </w:rPr>
        <w:t>. Customer Acquisition Funnel</w:t>
      </w:r>
    </w:p>
    <w:tbl>
      <w:tblPr>
        <w:tblStyle w:val="afffffffffffffff4"/>
        <w:tblW w:w="9225" w:type="dxa"/>
        <w:tblBorders>
          <w:top w:val="nil"/>
          <w:left w:val="nil"/>
          <w:bottom w:val="nil"/>
          <w:right w:val="nil"/>
          <w:insideH w:val="nil"/>
          <w:insideV w:val="nil"/>
        </w:tblBorders>
        <w:tblLayout w:type="fixed"/>
        <w:tblLook w:val="0600"/>
      </w:tblPr>
      <w:tblGrid>
        <w:gridCol w:w="1860"/>
        <w:gridCol w:w="7365"/>
      </w:tblGrid>
      <w:tr w:rsidR="00621D05">
        <w:trPr>
          <w:cantSplit/>
          <w:trHeight w:val="515"/>
          <w:tblHeader/>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rPr>
                <w:i/>
                <w:iCs/>
              </w:rPr>
            </w:pPr>
            <w:r>
              <w:rPr>
                <w:b/>
                <w:bCs/>
                <w:i/>
                <w:iCs/>
              </w:rPr>
              <w:t>Stage</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rPr>
                <w:i/>
                <w:iCs/>
              </w:rPr>
            </w:pPr>
            <w:r>
              <w:rPr>
                <w:b/>
                <w:bCs/>
                <w:i/>
                <w:iCs/>
              </w:rPr>
              <w:t>Critical Role and KPI</w:t>
            </w:r>
          </w:p>
        </w:tc>
      </w:tr>
      <w:tr w:rsidR="00621D05">
        <w:trPr>
          <w:cantSplit/>
          <w:trHeight w:val="800"/>
          <w:tblHeader/>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rPr>
                <w:i/>
                <w:iCs/>
              </w:rPr>
            </w:pPr>
            <w:r>
              <w:rPr>
                <w:b/>
                <w:bCs/>
                <w:i/>
                <w:iCs/>
              </w:rPr>
              <w:t>Awareness</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LinkedIn, SEO and partnerships introduce EcoLoop to targeted B2B prospects.</w:t>
            </w:r>
          </w:p>
        </w:tc>
      </w:tr>
      <w:tr w:rsidR="00621D05">
        <w:trPr>
          <w:cantSplit/>
          <w:trHeight w:val="800"/>
          <w:tblHeader/>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rPr>
                <w:b/>
                <w:bCs/>
                <w:i/>
                <w:iCs/>
              </w:rPr>
            </w:pPr>
            <w:r>
              <w:rPr>
                <w:b/>
                <w:bCs/>
                <w:i/>
                <w:iCs/>
              </w:rPr>
              <w:t>Engagement</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 xml:space="preserve">Website visits and content establish credibility; </w:t>
            </w:r>
            <w:r>
              <w:rPr>
                <w:b/>
                <w:bCs/>
              </w:rPr>
              <w:t>78% of UK businesses had a website in 2025–26</w:t>
            </w:r>
            <w:r>
              <w:t xml:space="preserve">, supporting digital discovery (Pratt, 2025). </w:t>
            </w:r>
          </w:p>
        </w:tc>
      </w:tr>
      <w:tr w:rsidR="00621D05">
        <w:trPr>
          <w:cantSplit/>
          <w:trHeight w:val="800"/>
          <w:tblHeader/>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rPr>
                <w:i/>
                <w:iCs/>
              </w:rPr>
            </w:pPr>
            <w:r>
              <w:rPr>
                <w:b/>
                <w:bCs/>
                <w:i/>
                <w:iCs/>
              </w:rPr>
              <w:t>Assessment</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A free sustainability assessment converts interest into a qualified business need.</w:t>
            </w:r>
          </w:p>
        </w:tc>
      </w:tr>
      <w:tr w:rsidR="00621D05">
        <w:trPr>
          <w:cantSplit/>
          <w:trHeight w:val="515"/>
          <w:tblHeader/>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rPr>
                <w:i/>
                <w:iCs/>
              </w:rPr>
            </w:pPr>
            <w:r>
              <w:rPr>
                <w:b/>
                <w:bCs/>
                <w:i/>
                <w:iCs/>
              </w:rPr>
              <w:t>Proposal</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Tailored pricing demonstrates financial and environmental value.</w:t>
            </w:r>
          </w:p>
        </w:tc>
      </w:tr>
      <w:tr w:rsidR="00621D05">
        <w:trPr>
          <w:cantSplit/>
          <w:trHeight w:val="515"/>
          <w:tblHeader/>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rPr>
                <w:i/>
                <w:iCs/>
              </w:rPr>
            </w:pPr>
            <w:r>
              <w:rPr>
                <w:b/>
                <w:bCs/>
                <w:i/>
                <w:iCs/>
              </w:rPr>
              <w:t>Pilot</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Low-risk trials reduce switching uncertainty and validate service quality.</w:t>
            </w:r>
          </w:p>
        </w:tc>
      </w:tr>
      <w:tr w:rsidR="00621D05">
        <w:trPr>
          <w:cantSplit/>
          <w:trHeight w:val="515"/>
          <w:tblHeader/>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rPr>
                <w:i/>
                <w:iCs/>
              </w:rPr>
            </w:pPr>
            <w:r>
              <w:rPr>
                <w:b/>
                <w:bCs/>
                <w:i/>
                <w:iCs/>
              </w:rPr>
              <w:t>Subscription</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Successful pilots convert into recurring contracts.</w:t>
            </w:r>
          </w:p>
        </w:tc>
      </w:tr>
      <w:tr w:rsidR="00621D05">
        <w:trPr>
          <w:cantSplit/>
          <w:trHeight w:val="515"/>
          <w:tblHeader/>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rPr>
                <w:i/>
                <w:iCs/>
              </w:rPr>
            </w:pPr>
            <w:r>
              <w:rPr>
                <w:b/>
                <w:bCs/>
                <w:i/>
                <w:iCs/>
              </w:rPr>
              <w:t>Retention</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Reporting and account management protect recurring revenue.</w:t>
            </w:r>
          </w:p>
        </w:tc>
      </w:tr>
      <w:tr w:rsidR="00621D05">
        <w:trPr>
          <w:cantSplit/>
          <w:trHeight w:val="515"/>
          <w:tblHeader/>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rPr>
                <w:i/>
                <w:iCs/>
              </w:rPr>
            </w:pPr>
            <w:r>
              <w:rPr>
                <w:b/>
                <w:bCs/>
                <w:i/>
                <w:iCs/>
              </w:rPr>
              <w:t>Referral</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Satisfied customers generate lower-cost leads and strengthen credibility.</w:t>
            </w:r>
          </w:p>
        </w:tc>
      </w:tr>
    </w:tbl>
    <w:p w:rsidR="00621D05" w:rsidRDefault="008240CA">
      <w:pPr>
        <w:pStyle w:val="normal2"/>
      </w:pPr>
      <w:r>
        <w:t>Source: Self-Created</w:t>
      </w:r>
    </w:p>
    <w:p w:rsidR="00621D05" w:rsidRDefault="008240CA">
      <w:pPr>
        <w:pStyle w:val="normal2"/>
      </w:pPr>
      <w:r>
        <w:lastRenderedPageBreak/>
        <w:t xml:space="preserve">This funnel is appropriate because </w:t>
      </w:r>
      <w:r>
        <w:rPr>
          <w:b/>
          <w:bCs/>
        </w:rPr>
        <w:t>69% of SME employers used technology/web-based software in 2024</w:t>
      </w:r>
      <w:r>
        <w:t xml:space="preserve">, indicating substantial digital readiness among the target market (Sharabati </w:t>
      </w:r>
      <w:r>
        <w:rPr>
          <w:i/>
          <w:iCs/>
        </w:rPr>
        <w:t>et al</w:t>
      </w:r>
      <w:r>
        <w:t xml:space="preserve">., 2024). </w:t>
      </w:r>
    </w:p>
    <w:p w:rsidR="00621D05" w:rsidRDefault="008240CA">
      <w:pPr>
        <w:pStyle w:val="Heading3"/>
      </w:pPr>
      <w:bookmarkStart w:id="96" w:name="_Toc241233951"/>
      <w:r>
        <w:t>9.2.5 Marketing Budget and KPIs</w:t>
      </w:r>
      <w:bookmarkEnd w:id="96"/>
    </w:p>
    <w:p w:rsidR="00621D05" w:rsidRDefault="008240CA">
      <w:pPr>
        <w:pStyle w:val="normal2"/>
      </w:pPr>
      <w:r>
        <w:t xml:space="preserve">EcoLoop Office needs to be allocated an initial marketing spend of £7,000, with a focus on measurable B to B marketing or acquisition rather than blanket marketing awareness spend. </w:t>
      </w:r>
    </w:p>
    <w:p w:rsidR="00621D05" w:rsidRDefault="003455EA">
      <w:pPr>
        <w:pStyle w:val="normal2"/>
        <w:rPr>
          <w:b/>
          <w:bCs/>
        </w:rPr>
      </w:pPr>
      <w:r>
        <w:rPr>
          <w:b/>
          <w:bCs/>
        </w:rPr>
        <w:t>Table 21</w:t>
      </w:r>
      <w:r w:rsidR="008240CA">
        <w:rPr>
          <w:b/>
          <w:bCs/>
        </w:rPr>
        <w:t>. Marketing Budget</w:t>
      </w:r>
    </w:p>
    <w:tbl>
      <w:tblPr>
        <w:tblStyle w:val="afffffffffffffff5"/>
        <w:tblW w:w="4675" w:type="dxa"/>
        <w:tblBorders>
          <w:top w:val="nil"/>
          <w:left w:val="nil"/>
          <w:bottom w:val="nil"/>
          <w:right w:val="nil"/>
          <w:insideH w:val="nil"/>
          <w:insideV w:val="nil"/>
        </w:tblBorders>
        <w:tblLayout w:type="fixed"/>
        <w:tblLook w:val="0600"/>
      </w:tblPr>
      <w:tblGrid>
        <w:gridCol w:w="3050"/>
        <w:gridCol w:w="1625"/>
      </w:tblGrid>
      <w:tr w:rsidR="00621D05">
        <w:trPr>
          <w:cantSplit/>
          <w:trHeight w:val="515"/>
          <w:tblHead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KPI</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Year-1 Target</w:t>
            </w:r>
          </w:p>
        </w:tc>
      </w:tr>
      <w:tr w:rsidR="00621D05">
        <w:trPr>
          <w:cantSplit/>
          <w:trHeight w:val="515"/>
          <w:tblHead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Qualified leads</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150</w:t>
            </w:r>
          </w:p>
        </w:tc>
      </w:tr>
      <w:tr w:rsidR="00621D05">
        <w:trPr>
          <w:cantSplit/>
          <w:trHeight w:val="515"/>
          <w:tblHead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Cost per lead</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15"/>
                <w:id w:val="-1169991970"/>
              </w:sdtPr>
              <w:sdtContent>
                <w:r w:rsidR="008240CA">
                  <w:rPr>
                    <w:rFonts w:ascii="Arial Unicode MS" w:eastAsia="Arial Unicode MS" w:hAnsi="Arial Unicode MS" w:cs="Arial Unicode MS"/>
                  </w:rPr>
                  <w:t>≤ £47</w:t>
                </w:r>
              </w:sdtContent>
            </w:sdt>
          </w:p>
        </w:tc>
      </w:tr>
      <w:tr w:rsidR="00621D05">
        <w:trPr>
          <w:cantSplit/>
          <w:trHeight w:val="515"/>
          <w:tblHead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Lead-to-customer conversion</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16"/>
                <w:id w:val="-2036171353"/>
              </w:sdtPr>
              <w:sdtContent>
                <w:r w:rsidR="008240CA">
                  <w:rPr>
                    <w:rFonts w:ascii="Arial Unicode MS" w:eastAsia="Arial Unicode MS" w:hAnsi="Arial Unicode MS" w:cs="Arial Unicode MS"/>
                  </w:rPr>
                  <w:t>≥ 13%</w:t>
                </w:r>
              </w:sdtContent>
            </w:sdt>
          </w:p>
        </w:tc>
      </w:tr>
      <w:tr w:rsidR="00621D05">
        <w:trPr>
          <w:cantSplit/>
          <w:trHeight w:val="515"/>
          <w:tblHead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Customer acquisition cost</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17"/>
                <w:id w:val="1634778851"/>
              </w:sdtPr>
              <w:sdtContent>
                <w:r w:rsidR="008240CA">
                  <w:rPr>
                    <w:rFonts w:ascii="Arial Unicode MS" w:eastAsia="Arial Unicode MS" w:hAnsi="Arial Unicode MS" w:cs="Arial Unicode MS"/>
                  </w:rPr>
                  <w:t>≤ £360</w:t>
                </w:r>
              </w:sdtContent>
            </w:sdt>
          </w:p>
        </w:tc>
      </w:tr>
      <w:tr w:rsidR="00621D05">
        <w:trPr>
          <w:cantSplit/>
          <w:trHeight w:val="515"/>
          <w:tblHead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Website traffic</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10,000 visits</w:t>
            </w:r>
          </w:p>
        </w:tc>
      </w:tr>
      <w:tr w:rsidR="00621D05">
        <w:trPr>
          <w:cantSplit/>
          <w:trHeight w:val="515"/>
          <w:tblHead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Customer retention</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18"/>
                <w:id w:val="1144948013"/>
              </w:sdtPr>
              <w:sdtContent>
                <w:r w:rsidR="008240CA">
                  <w:rPr>
                    <w:rFonts w:ascii="Arial Unicode MS" w:eastAsia="Arial Unicode MS" w:hAnsi="Arial Unicode MS" w:cs="Arial Unicode MS"/>
                  </w:rPr>
                  <w:t>≥ 85%</w:t>
                </w:r>
              </w:sdtContent>
            </w:sdt>
          </w:p>
        </w:tc>
      </w:tr>
      <w:tr w:rsidR="00621D05">
        <w:trPr>
          <w:cantSplit/>
          <w:trHeight w:val="515"/>
          <w:tblHead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Referral rate</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19"/>
                <w:id w:val="-1795416614"/>
              </w:sdtPr>
              <w:sdtContent>
                <w:r w:rsidR="008240CA">
                  <w:rPr>
                    <w:rFonts w:ascii="Arial Unicode MS" w:eastAsia="Arial Unicode MS" w:hAnsi="Arial Unicode MS" w:cs="Arial Unicode MS"/>
                  </w:rPr>
                  <w:t>≥ 15%</w:t>
                </w:r>
              </w:sdtContent>
            </w:sdt>
          </w:p>
        </w:tc>
      </w:tr>
    </w:tbl>
    <w:p w:rsidR="00621D05" w:rsidRDefault="008240CA">
      <w:pPr>
        <w:pStyle w:val="normal2"/>
      </w:pPr>
      <w:r>
        <w:t>Source: Self-Created</w:t>
      </w:r>
    </w:p>
    <w:p w:rsidR="00621D05" w:rsidRDefault="008240CA">
      <w:pPr>
        <w:pStyle w:val="normal2"/>
      </w:pPr>
      <w:r>
        <w:t>These KPIs help to measure the marketing spend on commercial results, including acquisition cost, conversions and retention, instead of vanity metrics such as impressions.</w:t>
      </w:r>
    </w:p>
    <w:p w:rsidR="00621D05" w:rsidRDefault="008240CA">
      <w:pPr>
        <w:pStyle w:val="Heading2"/>
        <w:spacing w:before="200"/>
      </w:pPr>
      <w:bookmarkStart w:id="97" w:name="_Toc241233952"/>
      <w:r>
        <w:lastRenderedPageBreak/>
        <w:t>9.3 Human Capital Management Plan</w:t>
      </w:r>
      <w:bookmarkEnd w:id="97"/>
    </w:p>
    <w:p w:rsidR="00621D05" w:rsidRDefault="008240CA">
      <w:pPr>
        <w:pStyle w:val="Heading3"/>
      </w:pPr>
      <w:bookmarkStart w:id="98" w:name="_Toc241233953"/>
      <w:r>
        <w:t>9.3.1 Organisational Structure</w:t>
      </w:r>
      <w:bookmarkEnd w:id="98"/>
    </w:p>
    <w:p w:rsidR="00621D05" w:rsidRDefault="008240CA">
      <w:pPr>
        <w:pStyle w:val="normal2"/>
      </w:pPr>
      <w:r>
        <w:t>During their startup phase, it is advisable to design a lean functional organizational structure in EcoLoop Office so as to have the capability to maintain specialists and control their labour expenses (Sahoo, 2021). It will be led by a Managing Director with support from an Operations Manager, Sales &amp; Marketing Executive and Sustainability/Data Officer. The physical activity will be performed by the collection staff.</w:t>
      </w:r>
    </w:p>
    <w:p w:rsidR="00621D05" w:rsidRDefault="008240CA">
      <w:pPr>
        <w:pStyle w:val="Heading3"/>
      </w:pPr>
      <w:bookmarkStart w:id="99" w:name="_Toc241233954"/>
      <w:r>
        <w:t>9.3.2 Staffing Requirements</w:t>
      </w:r>
      <w:bookmarkEnd w:id="99"/>
    </w:p>
    <w:p w:rsidR="00621D05" w:rsidRDefault="008240CA">
      <w:pPr>
        <w:pStyle w:val="normal2"/>
      </w:pPr>
      <w:r>
        <w:t>It would be good to have about six key staff in the early stages of EcoLoop: 1 Managing Director, 1 Operations Manager, 1 Sales &amp; Marketing Executive, 1 Sustainability/Data Officer and 2 Collection/Operations Staff. The initial outsourcing of administrative tasks, like payroll and accounting, can be done. This methodology exposure not only minimizes the cost of the fixed assets but also retains their essential internal strengths. Operational &amp; Customer service functions should be combined by the collection staff; further, flexing workforce in order to achieve higher efficiencies.</w:t>
      </w:r>
    </w:p>
    <w:p w:rsidR="00621D05" w:rsidRDefault="008240CA">
      <w:pPr>
        <w:pStyle w:val="Heading3"/>
      </w:pPr>
      <w:bookmarkStart w:id="100" w:name="_Toc241233955"/>
      <w:r>
        <w:t>9.3.3 Recruitment and Selection</w:t>
      </w:r>
      <w:bookmarkEnd w:id="100"/>
    </w:p>
    <w:p w:rsidR="00621D05" w:rsidRDefault="008240CA">
      <w:pPr>
        <w:pStyle w:val="normal2"/>
      </w:pPr>
      <w:r>
        <w:t>It is essential to recruit but on a skills basis, considering knowledge of sustainability and enthusiasm about sustainability, skills in customer service, skills in logistics and in digital literacy (Bone, Ehlinger and Stephany, 2025). Differentiation requires these same two components - physical collection and digital reporting - and this is important to EcoLoop. Also, develop behavioral selection criteria for the company's greening goals. Additionally, behavioral fit for company's mission to "green the environment" should be taken into account when making a selection.</w:t>
      </w:r>
    </w:p>
    <w:p w:rsidR="00621D05" w:rsidRDefault="008240CA">
      <w:pPr>
        <w:pStyle w:val="Heading3"/>
      </w:pPr>
      <w:bookmarkStart w:id="101" w:name="_Toc241233956"/>
      <w:r>
        <w:t>9.3.4 Training and Development</w:t>
      </w:r>
      <w:bookmarkEnd w:id="101"/>
    </w:p>
    <w:p w:rsidR="00621D05" w:rsidRDefault="008240CA">
      <w:pPr>
        <w:pStyle w:val="normal2"/>
      </w:pPr>
      <w:r>
        <w:t xml:space="preserve">Induction and ongoing staff training should be provided on Waste handling, Health and Safety, Customer Service, Digital tracking systems, Sustainability principles and </w:t>
      </w:r>
      <w:r>
        <w:lastRenderedPageBreak/>
        <w:t>environmental reporting. The importance of training rests on the credibility of the data of collection and impact by EcoLoop, which rests on solid data. The UK continues to face numerous employers who are struggling with a lack of skills, and CIPD data in this field indicates that employers continue to invest less in training.</w:t>
      </w:r>
    </w:p>
    <w:p w:rsidR="00621D05" w:rsidRDefault="008240CA">
      <w:pPr>
        <w:pStyle w:val="Heading3"/>
      </w:pPr>
      <w:bookmarkStart w:id="102" w:name="_Toc241233957"/>
      <w:r>
        <w:t>9.3.5 Compensation and Labour Costs</w:t>
      </w:r>
      <w:bookmarkEnd w:id="102"/>
    </w:p>
    <w:p w:rsidR="00621D05" w:rsidRDefault="008240CA">
      <w:pPr>
        <w:pStyle w:val="normal2"/>
      </w:pPr>
      <w:r>
        <w:t>Compensation should be a blend of competitive pay and performance-based measures based on revenue not lost to customers, collection accuracy and customer service performance. The National Living Wage will rise to £12.71 per hour for anyone aged 21 and over from April 2026 - an increase of 4.1% on the current rate. Employer National Insurance is marginally more complex because it isn't fixed to the secondary thresholds; it's 15% higher than the thresholds for 2026–27, magnifying the need for realistic payroll budgeting (Government of UK, 2026b).</w:t>
      </w:r>
    </w:p>
    <w:p w:rsidR="00621D05" w:rsidRDefault="008240CA">
      <w:pPr>
        <w:pStyle w:val="Heading3"/>
      </w:pPr>
      <w:bookmarkStart w:id="103" w:name="_Toc241233958"/>
      <w:r>
        <w:t>9.3.6 HR Policies and Compliance</w:t>
      </w:r>
      <w:bookmarkEnd w:id="103"/>
    </w:p>
    <w:p w:rsidR="00621D05" w:rsidRDefault="008240CA">
      <w:pPr>
        <w:pStyle w:val="normal2"/>
      </w:pPr>
      <w:r>
        <w:t xml:space="preserve">EcoLoop must have policies that include equality and diversity, health and safety, working hours, employee wellbeing, confidentiality and performance management. For those who are physically involved in collection and handling activities the health and safety is especially significant (PECB, 2025). Data confidentiality will also be relevant, as there may be customer data and operational data held on the digital platform. Job descriptions, frequent reviews, and documented processes can help manage risk in the operation. </w:t>
      </w:r>
    </w:p>
    <w:p w:rsidR="00621D05" w:rsidRDefault="008240CA">
      <w:pPr>
        <w:pStyle w:val="Heading1"/>
        <w:spacing w:before="200"/>
      </w:pPr>
      <w:bookmarkStart w:id="104" w:name="_heading=h.mt3fuximtptj" w:colFirst="0" w:colLast="0"/>
      <w:bookmarkEnd w:id="104"/>
      <w:r>
        <w:br w:type="page"/>
      </w:r>
    </w:p>
    <w:p w:rsidR="00621D05" w:rsidRDefault="008240CA">
      <w:pPr>
        <w:pStyle w:val="Heading1"/>
        <w:spacing w:before="200"/>
      </w:pPr>
      <w:bookmarkStart w:id="105" w:name="_Toc241233959"/>
      <w:r>
        <w:lastRenderedPageBreak/>
        <w:t>Chapter 10. Operations Plan</w:t>
      </w:r>
      <w:bookmarkEnd w:id="105"/>
    </w:p>
    <w:p w:rsidR="00621D05" w:rsidRDefault="008240CA">
      <w:pPr>
        <w:pStyle w:val="Heading2"/>
        <w:spacing w:before="200"/>
      </w:pPr>
      <w:bookmarkStart w:id="106" w:name="_Toc241233960"/>
      <w:r>
        <w:t>10.1 Operations Strategy</w:t>
      </w:r>
      <w:bookmarkEnd w:id="106"/>
    </w:p>
    <w:p w:rsidR="00621D05" w:rsidRDefault="008240CA">
      <w:pPr>
        <w:pStyle w:val="normal2"/>
      </w:pPr>
      <w:r>
        <w:t>The operations strategy of EcoLoop Office focuses on creating a convenient, reliable and measurable, yet lean cost structure service. From a commercial perspective, the amount of commercial and industrial waste produced by England was 32.6 million tonnes in 2023, but decreased by 3% from the 2022 level (Government of UK, 2024b). EcoLoop should thus not only concentrate on collecting waste, it would also be good to give them the opportunity to get even more re-generated or recycled – and at the same time give them the information in a concrete form.</w:t>
      </w:r>
    </w:p>
    <w:p w:rsidR="00621D05" w:rsidRDefault="008240CA">
      <w:pPr>
        <w:pStyle w:val="Heading2"/>
        <w:spacing w:before="200"/>
      </w:pPr>
      <w:bookmarkStart w:id="107" w:name="_Toc241233961"/>
      <w:r>
        <w:t>10.2 End-to-End Operational Workflow</w:t>
      </w:r>
      <w:bookmarkEnd w:id="107"/>
    </w:p>
    <w:p w:rsidR="00621D05" w:rsidRDefault="003455EA">
      <w:pPr>
        <w:pStyle w:val="normal2"/>
        <w:rPr>
          <w:b/>
          <w:bCs/>
        </w:rPr>
      </w:pPr>
      <w:r>
        <w:rPr>
          <w:b/>
          <w:bCs/>
        </w:rPr>
        <w:t>Table 22</w:t>
      </w:r>
      <w:r w:rsidR="008240CA">
        <w:rPr>
          <w:b/>
          <w:bCs/>
        </w:rPr>
        <w:t>. End-to-End Operational Workflow</w:t>
      </w:r>
    </w:p>
    <w:tbl>
      <w:tblPr>
        <w:tblStyle w:val="afffffffffffffff6"/>
        <w:tblW w:w="9360" w:type="dxa"/>
        <w:tblBorders>
          <w:top w:val="nil"/>
          <w:left w:val="nil"/>
          <w:bottom w:val="nil"/>
          <w:right w:val="nil"/>
          <w:insideH w:val="nil"/>
          <w:insideV w:val="nil"/>
        </w:tblBorders>
        <w:tblLayout w:type="fixed"/>
        <w:tblLook w:val="0600"/>
      </w:tblPr>
      <w:tblGrid>
        <w:gridCol w:w="2207"/>
        <w:gridCol w:w="4812"/>
        <w:gridCol w:w="2341"/>
      </w:tblGrid>
      <w:tr w:rsidR="00621D05">
        <w:trPr>
          <w:cantSplit/>
          <w:trHeight w:val="800"/>
          <w:tblHead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Stage</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Operational Activity</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Responsible Function</w:t>
            </w:r>
          </w:p>
        </w:tc>
      </w:tr>
      <w:tr w:rsidR="00621D05">
        <w:trPr>
          <w:cantSplit/>
          <w:trHeight w:val="800"/>
          <w:tblHead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Customer acquisition</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Identify and qualify target offices</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Sales &amp; Marketing</w:t>
            </w:r>
          </w:p>
        </w:tc>
      </w:tr>
      <w:tr w:rsidR="00621D05">
        <w:trPr>
          <w:cantSplit/>
          <w:trHeight w:val="800"/>
          <w:tblHead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Sustainability audit</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Assess waste types, volumes and existing processes</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Sustainability Officer</w:t>
            </w:r>
          </w:p>
        </w:tc>
      </w:tr>
      <w:tr w:rsidR="00621D05">
        <w:trPr>
          <w:cantSplit/>
          <w:trHeight w:val="800"/>
          <w:tblHead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Package selection</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Recommend EcoBasic, EcoPlus or EcoPro</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Sales &amp; Sustainability</w:t>
            </w:r>
          </w:p>
        </w:tc>
      </w:tr>
      <w:tr w:rsidR="00621D05">
        <w:trPr>
          <w:cantSplit/>
          <w:trHeight w:val="800"/>
          <w:tblHead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Collection schedule</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Establish frequency and collection requirements</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Operations Manager</w:t>
            </w:r>
          </w:p>
        </w:tc>
      </w:tr>
      <w:tr w:rsidR="00621D05">
        <w:trPr>
          <w:cantSplit/>
          <w:trHeight w:val="515"/>
          <w:tblHead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Collection</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Collect segregated materials securely</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Collection Staff</w:t>
            </w:r>
          </w:p>
        </w:tc>
      </w:tr>
      <w:tr w:rsidR="00621D05">
        <w:trPr>
          <w:cantSplit/>
          <w:trHeight w:val="800"/>
          <w:tblHead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Sorting</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Separate reusable, recyclable and residual materials</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Operations Team</w:t>
            </w:r>
          </w:p>
        </w:tc>
      </w:tr>
      <w:tr w:rsidR="00621D05">
        <w:trPr>
          <w:cantSplit/>
          <w:trHeight w:val="515"/>
          <w:tblHead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lastRenderedPageBreak/>
              <w:t>Reuse/recycling</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Transfer materials to approved partners</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Operations Manager</w:t>
            </w:r>
          </w:p>
        </w:tc>
      </w:tr>
      <w:tr w:rsidR="00621D05">
        <w:trPr>
          <w:cantSplit/>
          <w:trHeight w:val="515"/>
          <w:tblHead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Data recording</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Record quantities and destinations digitally</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Data Officer</w:t>
            </w:r>
          </w:p>
        </w:tc>
      </w:tr>
      <w:tr w:rsidR="00621D05">
        <w:trPr>
          <w:cantSplit/>
          <w:trHeight w:val="515"/>
          <w:tblHead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Impact reporting</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Produce customer sustainability reports</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Sustainability Officer</w:t>
            </w:r>
          </w:p>
        </w:tc>
      </w:tr>
      <w:tr w:rsidR="00621D05">
        <w:trPr>
          <w:cantSplit/>
          <w:trHeight w:val="515"/>
          <w:tblHead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Improvement</w:t>
            </w:r>
          </w:p>
        </w:tc>
        <w:tc>
          <w:tcPr>
            <w:tcW w:w="4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Review KPIs and modify service</w:t>
            </w:r>
          </w:p>
        </w:tc>
        <w:tc>
          <w:tcPr>
            <w:tcW w:w="2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Management Team</w:t>
            </w:r>
          </w:p>
        </w:tc>
      </w:tr>
    </w:tbl>
    <w:p w:rsidR="00621D05" w:rsidRDefault="008240CA">
      <w:pPr>
        <w:pStyle w:val="normal2"/>
      </w:pPr>
      <w:r>
        <w:t>Source: Self-Created</w:t>
      </w:r>
    </w:p>
    <w:p w:rsidR="00621D05" w:rsidRDefault="008240CA">
      <w:pPr>
        <w:pStyle w:val="normal2"/>
      </w:pPr>
      <w:r>
        <w:t xml:space="preserve">The work flow starts with a sustainability audit for the customer, where the service is not defined by a standardised package, but geared to the actual characteristics of that waste stream. Collection staff then takes advantage of hub-and-spoke referenced containers and safe transport. The materials are then channelled to re-use and/or recycle, wherever technically and economically feasible (Ogwu and Kosoe, 2025). </w:t>
      </w:r>
    </w:p>
    <w:p w:rsidR="00621D05" w:rsidRDefault="008240CA">
      <w:pPr>
        <w:pStyle w:val="normal2"/>
      </w:pPr>
      <w:r>
        <w:t>The strategic importance of digital recording lies in the fact that an integrated information system can be built, which can potentially provide data on weight, type of material, destination, and processing result, for each collection (Pascucci, Savelli and Gistri, 2023). This allows EcoLoop to publish science-based reports instead of environmental claims which are not based on science.</w:t>
      </w:r>
    </w:p>
    <w:p w:rsidR="00621D05" w:rsidRDefault="008240CA">
      <w:pPr>
        <w:pStyle w:val="Heading2"/>
        <w:spacing w:before="200"/>
      </w:pPr>
      <w:bookmarkStart w:id="108" w:name="_Toc241233962"/>
      <w:r>
        <w:t>10.3 Location Strategy</w:t>
      </w:r>
      <w:bookmarkEnd w:id="108"/>
    </w:p>
    <w:p w:rsidR="00621D05" w:rsidRDefault="008240CA">
      <w:pPr>
        <w:pStyle w:val="normal2"/>
      </w:pPr>
      <w:r>
        <w:t xml:space="preserve">The management of material flows should play out in a small, strategically located storage and coordination system that is near where the target customers are located. Rent costs must be affordable and the site needs to be able to accommodate vehicles and additional space for temporary separation that does not result in unnecessary fixed costs. Yet proximity has a positive effect on collection mileage on reduced costs and environmental performance (Winter </w:t>
      </w:r>
      <w:r>
        <w:rPr>
          <w:i/>
          <w:iCs/>
        </w:rPr>
        <w:t>et al</w:t>
      </w:r>
      <w:r>
        <w:t>., 2021). On the other hand, a regional hub model can be applied after the density of the customers is sufficient.</w:t>
      </w:r>
    </w:p>
    <w:p w:rsidR="00621D05" w:rsidRDefault="008240CA">
      <w:pPr>
        <w:pStyle w:val="Heading2"/>
        <w:spacing w:before="200"/>
      </w:pPr>
      <w:bookmarkStart w:id="109" w:name="_Toc241233963"/>
      <w:r>
        <w:lastRenderedPageBreak/>
        <w:t>10.4 Supply Chain and Procurement</w:t>
      </w:r>
      <w:bookmarkEnd w:id="109"/>
    </w:p>
    <w:p w:rsidR="00621D05" w:rsidRDefault="008240CA">
      <w:pPr>
        <w:pStyle w:val="normal2"/>
      </w:pPr>
      <w:r>
        <w:t>There should be a partnership based supply chain in place between EcoLoop and its downstream processing partners, rather than having to immediately invest in every processing capacity. Key partners include equipment suppliers, licensed recycling businesses, the reuse/refurbishment organisations, logistics and technology suppliers.</w:t>
      </w:r>
    </w:p>
    <w:p w:rsidR="00621D05" w:rsidRDefault="008240CA">
      <w:pPr>
        <w:pStyle w:val="normal2"/>
      </w:pPr>
      <w:r>
        <w:t>This will lower the capital needed and may come with dependency risk. EcoLoop should have alternative suppliers of critical activities. Businesses that are transferring waste to another business have a continuing duty of care to take reasonable measures to ensure that they are transferring to a company that is appropriate and is licensed to receive waste.</w:t>
      </w:r>
    </w:p>
    <w:p w:rsidR="00621D05" w:rsidRDefault="008240CA">
      <w:pPr>
        <w:pStyle w:val="Heading2"/>
        <w:spacing w:before="200"/>
      </w:pPr>
      <w:bookmarkStart w:id="110" w:name="_Toc241233964"/>
      <w:r>
        <w:t>10.5 Inventory Management</w:t>
      </w:r>
      <w:bookmarkEnd w:id="110"/>
    </w:p>
    <w:p w:rsidR="00621D05" w:rsidRDefault="008240CA">
      <w:pPr>
        <w:pStyle w:val="normal2"/>
      </w:pPr>
      <w:r>
        <w:t>A digital minimum-maximum system for controlling inventory of collection containers, labels, packaging, protective equipment and operation spares for containers. The aim is to check stocks on a weekly basis, and set automatic reorder points as the stocks get to a predetermined level. This helps to avoid having to allocate too much stock up for it to be in the way and costing too much working capital at the same time, and it avoids the problem of going out of stock, which could cause disruptions in collections. As opposed to manufacturing, the core business of EcoLoop should be service delivery meaning that stock should not be too large.</w:t>
      </w:r>
    </w:p>
    <w:p w:rsidR="00621D05" w:rsidRDefault="008240CA">
      <w:pPr>
        <w:pStyle w:val="Heading2"/>
        <w:spacing w:before="200"/>
      </w:pPr>
      <w:bookmarkStart w:id="111" w:name="_Toc241233965"/>
      <w:r>
        <w:t>10.6 Technology Systems</w:t>
      </w:r>
      <w:bookmarkEnd w:id="111"/>
    </w:p>
    <w:p w:rsidR="00621D05" w:rsidRDefault="008240CA">
      <w:pPr>
        <w:pStyle w:val="normal2"/>
      </w:pPr>
      <w:r>
        <w:t>The technology should give operation infrastructure that should touch the customer, employee and processing partner. The strategic value is increased transparency on the waste value chain. For instance, QR/barcode records have the opportunities to connect a collection with the customer, material category, quantity and destination (Ahmed &amp; MacCarthy, 2023). This eliminates dependence on manual spreadsheets and leaves a traceable record of the information.</w:t>
      </w:r>
    </w:p>
    <w:p w:rsidR="00621D05" w:rsidRDefault="008240CA">
      <w:pPr>
        <w:pStyle w:val="Heading2"/>
        <w:spacing w:before="200"/>
      </w:pPr>
      <w:bookmarkStart w:id="112" w:name="_Toc241233966"/>
      <w:r>
        <w:lastRenderedPageBreak/>
        <w:t>10.7 Quality Control</w:t>
      </w:r>
      <w:bookmarkEnd w:id="112"/>
    </w:p>
    <w:p w:rsidR="00621D05" w:rsidRDefault="008240CA">
      <w:pPr>
        <w:pStyle w:val="normal2"/>
      </w:pPr>
      <w:r>
        <w:t xml:space="preserve">Quality management should focus on </w:t>
      </w:r>
      <w:r>
        <w:rPr>
          <w:b/>
          <w:bCs/>
        </w:rPr>
        <w:t>service reliability and material quality</w:t>
      </w:r>
      <w:r>
        <w:t>.</w:t>
      </w:r>
    </w:p>
    <w:p w:rsidR="00621D05" w:rsidRDefault="003455EA">
      <w:pPr>
        <w:pStyle w:val="normal2"/>
        <w:rPr>
          <w:b/>
          <w:bCs/>
        </w:rPr>
      </w:pPr>
      <w:r>
        <w:rPr>
          <w:b/>
          <w:bCs/>
        </w:rPr>
        <w:t>Table 23</w:t>
      </w:r>
      <w:r w:rsidR="008240CA">
        <w:rPr>
          <w:b/>
          <w:bCs/>
        </w:rPr>
        <w:t>. Quality Control</w:t>
      </w:r>
    </w:p>
    <w:tbl>
      <w:tblPr>
        <w:tblStyle w:val="afffffffffffffff7"/>
        <w:tblW w:w="5350" w:type="dxa"/>
        <w:tblBorders>
          <w:top w:val="nil"/>
          <w:left w:val="nil"/>
          <w:bottom w:val="nil"/>
          <w:right w:val="nil"/>
          <w:insideH w:val="nil"/>
          <w:insideV w:val="nil"/>
        </w:tblBorders>
        <w:tblLayout w:type="fixed"/>
        <w:tblLook w:val="0600"/>
      </w:tblPr>
      <w:tblGrid>
        <w:gridCol w:w="2645"/>
        <w:gridCol w:w="2705"/>
      </w:tblGrid>
      <w:tr w:rsidR="00621D05">
        <w:trPr>
          <w:cantSplit/>
          <w:trHeight w:val="515"/>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KPI</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Initial Target</w:t>
            </w:r>
          </w:p>
        </w:tc>
      </w:tr>
      <w:tr w:rsidR="00621D05">
        <w:trPr>
          <w:cantSplit/>
          <w:trHeight w:val="515"/>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Collection completion</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20"/>
                <w:id w:val="-1324431043"/>
              </w:sdtPr>
              <w:sdtContent>
                <w:r w:rsidR="008240CA">
                  <w:rPr>
                    <w:rFonts w:ascii="Arial Unicode MS" w:eastAsia="Arial Unicode MS" w:hAnsi="Arial Unicode MS" w:cs="Arial Unicode MS"/>
                  </w:rPr>
                  <w:t>≥95%</w:t>
                </w:r>
              </w:sdtContent>
            </w:sdt>
          </w:p>
        </w:tc>
      </w:tr>
      <w:tr w:rsidR="00621D05">
        <w:trPr>
          <w:cantSplit/>
          <w:trHeight w:val="515"/>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Contamination rate</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21"/>
                <w:id w:val="1051315364"/>
              </w:sdtPr>
              <w:sdtContent>
                <w:r w:rsidR="008240CA">
                  <w:rPr>
                    <w:rFonts w:ascii="Arial Unicode MS" w:eastAsia="Arial Unicode MS" w:hAnsi="Arial Unicode MS" w:cs="Arial Unicode MS"/>
                  </w:rPr>
                  <w:t>≤5%</w:t>
                </w:r>
              </w:sdtContent>
            </w:sdt>
          </w:p>
        </w:tc>
      </w:tr>
      <w:tr w:rsidR="00621D05">
        <w:trPr>
          <w:cantSplit/>
          <w:trHeight w:val="515"/>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Processing/data accuracy</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22"/>
                <w:id w:val="-97471520"/>
              </w:sdtPr>
              <w:sdtContent>
                <w:r w:rsidR="008240CA">
                  <w:rPr>
                    <w:rFonts w:ascii="Arial Unicode MS" w:eastAsia="Arial Unicode MS" w:hAnsi="Arial Unicode MS" w:cs="Arial Unicode MS"/>
                  </w:rPr>
                  <w:t>≥98%</w:t>
                </w:r>
              </w:sdtContent>
            </w:sdt>
          </w:p>
        </w:tc>
      </w:tr>
      <w:tr w:rsidR="00621D05">
        <w:trPr>
          <w:cantSplit/>
          <w:trHeight w:val="515"/>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Customer response time</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&lt;24 hours</w:t>
            </w:r>
          </w:p>
        </w:tc>
      </w:tr>
      <w:tr w:rsidR="00621D05">
        <w:trPr>
          <w:cantSplit/>
          <w:trHeight w:val="515"/>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Customer complaints</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&lt;3% of monthly accounts</w:t>
            </w:r>
          </w:p>
        </w:tc>
      </w:tr>
      <w:tr w:rsidR="00621D05">
        <w:trPr>
          <w:cantSplit/>
          <w:trHeight w:val="515"/>
          <w:tblHeader/>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Customer satisfaction</w:t>
            </w:r>
          </w:p>
        </w:tc>
        <w:tc>
          <w:tcPr>
            <w:tcW w:w="2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621D05">
            <w:pPr>
              <w:pStyle w:val="normal2"/>
              <w:spacing w:before="0" w:after="0" w:line="240" w:lineRule="auto"/>
              <w:jc w:val="center"/>
            </w:pPr>
            <w:sdt>
              <w:sdtPr>
                <w:tag w:val="goog_rdk_23"/>
                <w:id w:val="-1007600368"/>
              </w:sdtPr>
              <w:sdtContent>
                <w:r w:rsidR="008240CA">
                  <w:rPr>
                    <w:rFonts w:ascii="Arial Unicode MS" w:eastAsia="Arial Unicode MS" w:hAnsi="Arial Unicode MS" w:cs="Arial Unicode MS"/>
                  </w:rPr>
                  <w:t>≥90%</w:t>
                </w:r>
              </w:sdtContent>
            </w:sdt>
          </w:p>
        </w:tc>
      </w:tr>
    </w:tbl>
    <w:p w:rsidR="00621D05" w:rsidRDefault="008240CA">
      <w:pPr>
        <w:pStyle w:val="normal2"/>
      </w:pPr>
      <w:r>
        <w:t>Source: Self-Created</w:t>
      </w:r>
    </w:p>
    <w:p w:rsidR="00621D05" w:rsidRDefault="008240CA">
      <w:pPr>
        <w:pStyle w:val="normal2"/>
      </w:pPr>
      <w:r>
        <w:t>These measures have a direct link to the value proposition. Increased contamination levels would decrease recycling value and absence of services would have negative consequences on convenience. Therefore, instead of simply reporting performance, the monthly KPI tracking should find the root causes and corrective actions.</w:t>
      </w:r>
    </w:p>
    <w:p w:rsidR="00621D05" w:rsidRDefault="008240CA">
      <w:pPr>
        <w:pStyle w:val="Heading2"/>
        <w:spacing w:before="200"/>
      </w:pPr>
      <w:bookmarkStart w:id="113" w:name="_Toc241233967"/>
      <w:r>
        <w:t>10.8 Logistics and Distribution</w:t>
      </w:r>
      <w:bookmarkEnd w:id="113"/>
    </w:p>
    <w:p w:rsidR="00621D05" w:rsidRDefault="008240CA">
      <w:pPr>
        <w:pStyle w:val="normal2"/>
      </w:pPr>
      <w:r>
        <w:t xml:space="preserve">Planning routes needs to take into account that it is possible to group the visits of local customers to provide the highest return of the motor vehicle and avoid needless mileage. The number of garbage collection should adjust to the customer's waste tonnage and not rely on fixed frequency programs for all customers (Global Trash </w:t>
      </w:r>
      <w:r>
        <w:lastRenderedPageBreak/>
        <w:t>Solutions, 2026). Empty journeys can be minimised and geographically close customers geographically grouped with digital scheduling.</w:t>
      </w:r>
    </w:p>
    <w:p w:rsidR="00621D05" w:rsidRDefault="008240CA">
      <w:pPr>
        <w:pStyle w:val="Heading2"/>
        <w:spacing w:before="200"/>
      </w:pPr>
      <w:bookmarkStart w:id="114" w:name="_Toc241233968"/>
      <w:r>
        <w:t>10.9 Legal and Regulatory Considerations</w:t>
      </w:r>
      <w:bookmarkEnd w:id="114"/>
    </w:p>
    <w:p w:rsidR="00621D05" w:rsidRDefault="008240CA">
      <w:pPr>
        <w:pStyle w:val="normal2"/>
      </w:pPr>
      <w:r>
        <w:t>The mineralisation of waste, safe storage, waste transfer documentation and that waste carriers are registered is needed by UK businesses (Government of UK, 2023). For non-hazardous waste transfers, a waste transfer note is issued, and records kept for two years for the most part. EcoLoop will also conduct appropriate classification of waste, and ensure that employees' health and safety requirements are met, in addition to ensuring that environmental claims have evidence to support them.</w:t>
      </w:r>
      <w:r>
        <w:br w:type="page"/>
      </w:r>
    </w:p>
    <w:p w:rsidR="00621D05" w:rsidRDefault="008240CA">
      <w:pPr>
        <w:pStyle w:val="Heading1"/>
      </w:pPr>
      <w:bookmarkStart w:id="115" w:name="_Toc241233969"/>
      <w:r>
        <w:lastRenderedPageBreak/>
        <w:t>Chapter 11. Feasibility Analysis</w:t>
      </w:r>
      <w:bookmarkEnd w:id="115"/>
    </w:p>
    <w:p w:rsidR="00621D05" w:rsidRDefault="008240CA">
      <w:pPr>
        <w:pStyle w:val="Heading2"/>
      </w:pPr>
      <w:bookmarkStart w:id="116" w:name="_Toc241233970"/>
      <w:r>
        <w:t>11.1 Market Feasibility Based on Decision Criteria</w:t>
      </w:r>
      <w:bookmarkEnd w:id="116"/>
    </w:p>
    <w:p w:rsidR="00621D05" w:rsidRPr="00E805B2" w:rsidRDefault="008240CA">
      <w:pPr>
        <w:pStyle w:val="normal2"/>
        <w:spacing w:before="240"/>
      </w:pPr>
      <w:r w:rsidRPr="00E805B2">
        <w:t>Assessment of market, ethical, operational, financial and strategic evidence created in the previous chapters to determine feasibility of EcoLoop office. The assessment takes into account customer demand, operational reliability, and financial assumptions, as well as risk exposure and delivering measurable circular outcomes. EcoLoop is a proposed venture and therefore vagueness clouded over as to its feasibility. Before making significant expansions of the business when lost, the pilot should evaluate customer acquisition, retention, contribution margins, reliability in its operation and furniture reuse outcomes that can be measured.</w:t>
      </w:r>
    </w:p>
    <w:p w:rsidR="00621D05" w:rsidRDefault="008240CA">
      <w:pPr>
        <w:pStyle w:val="Heading2"/>
      </w:pPr>
      <w:bookmarkStart w:id="117" w:name="_Toc241233971"/>
      <w:r>
        <w:t>11.2 Ethical and Market Feasibility</w:t>
      </w:r>
      <w:bookmarkEnd w:id="117"/>
    </w:p>
    <w:p w:rsidR="00621D05" w:rsidRDefault="008240CA">
      <w:pPr>
        <w:pStyle w:val="Heading3"/>
      </w:pPr>
      <w:bookmarkStart w:id="118" w:name="_Toc241233972"/>
      <w:r>
        <w:t>11.2.1 Market Feasibility</w:t>
      </w:r>
      <w:bookmarkEnd w:id="118"/>
    </w:p>
    <w:p w:rsidR="00621D05" w:rsidRPr="00E805B2" w:rsidRDefault="008240CA">
      <w:pPr>
        <w:pStyle w:val="normal2"/>
        <w:spacing w:before="240"/>
      </w:pPr>
      <w:r w:rsidRPr="00E805B2">
        <w:t xml:space="preserve">EcoLoop is focusing on a possible but unconfirmed market opportunity. There were around 5.69 million private sector businesses in the UK in early 2025, of which SMEs accounted for 99.85% of businesses and 60% of employment (Department for Business and Trade, 2025). This total population of businesses is not an EcoLoop-able market as many businesses have no employees or have minimal office furniture needs. </w:t>
      </w:r>
    </w:p>
    <w:p w:rsidR="00621D05" w:rsidRPr="00E805B2" w:rsidRDefault="008240CA">
      <w:pPr>
        <w:pStyle w:val="normal2"/>
        <w:spacing w:before="240"/>
      </w:pPr>
      <w:r w:rsidRPr="00E805B2">
        <w:t>The amount of commercial and industrial waste in England in 2023 was 32.6 million tonnes (Department for Environment, Food and Rural Affairs, 2025). This does, however, offer some context to circular activity and not necessarily evidence of demand for furniture subscription. Thus valuing customer acquisition, retention and willingness to pay is still not proven and must be validated under the pilot.</w:t>
      </w:r>
    </w:p>
    <w:p w:rsidR="00621D05" w:rsidRDefault="008240CA">
      <w:pPr>
        <w:pStyle w:val="Heading2"/>
        <w:keepNext w:val="0"/>
        <w:keepLines w:val="0"/>
      </w:pPr>
      <w:bookmarkStart w:id="119" w:name="_Toc241233973"/>
      <w:r>
        <w:t>11.2.2 Ethical Feasibility</w:t>
      </w:r>
      <w:bookmarkEnd w:id="119"/>
    </w:p>
    <w:p w:rsidR="00621D05" w:rsidRPr="00E805B2" w:rsidRDefault="008240CA">
      <w:pPr>
        <w:pStyle w:val="normal2"/>
        <w:spacing w:before="240"/>
      </w:pPr>
      <w:r w:rsidRPr="00E805B2">
        <w:t xml:space="preserve">Ethically it is dependent on the ability to prove environmental outcomes with evidence and not just claims. There is a vast difference between furniture reuse, refurbishment, </w:t>
      </w:r>
      <w:r w:rsidRPr="00E805B2">
        <w:lastRenderedPageBreak/>
        <w:t>furniture resale and end-of-life recycling, which EcoLoop needs to differentiate. Furniture collected under take-back needs to be checked and correctly sorted to make sure its next stop is clear. Any furniture that goes into a waste stream should be dealt with via correct-authorised partners.</w:t>
      </w:r>
    </w:p>
    <w:p w:rsidR="00621D05" w:rsidRDefault="008240CA">
      <w:pPr>
        <w:pStyle w:val="Heading2"/>
      </w:pPr>
      <w:bookmarkStart w:id="120" w:name="_Toc241233974"/>
      <w:r>
        <w:t>11.3 Operational and Technical Feasibility</w:t>
      </w:r>
      <w:bookmarkEnd w:id="120"/>
    </w:p>
    <w:p w:rsidR="00621D05" w:rsidRPr="00496EDC" w:rsidRDefault="008240CA">
      <w:pPr>
        <w:pStyle w:val="normal2"/>
        <w:spacing w:before="240"/>
      </w:pPr>
      <w:r w:rsidRPr="00496EDC">
        <w:t>EcoLoop is not dependent on newly developed technologies. Digital inventory systems, QR/barcode identification, dashboards and analytics are already available. The key challenge is to integrate these technologies into an effective furniture lifecycle supporting system. Identification, storage, delivery, installation, maintenance, swapping, take-back, inspection, refurbishment, and resale/reports, are key elements of the operation, so will be accurate identification of furniture.</w:t>
      </w:r>
    </w:p>
    <w:p w:rsidR="00621D05" w:rsidRDefault="008240CA">
      <w:pPr>
        <w:pStyle w:val="normal2"/>
        <w:spacing w:before="240"/>
        <w:rPr>
          <w:color w:val="FF0000"/>
        </w:rPr>
      </w:pPr>
      <w:r w:rsidRPr="00496EDC">
        <w:t>A six-man team can offer a tightly-controlled pilot structure, backed up as required by specialist refurbishment, logistical, technology and accounting partners. To be scalable no geographical limits should be applied other than based on the density of customers, as it means concentrated customers can optimise utilisation of vehicles and avoid empty journeys. Prior to regional expansion arrange pilot testing highlighting delivery reliability, swap out performance, refurbishment quality, take-back processes, asset utilisation.</w:t>
      </w:r>
    </w:p>
    <w:p w:rsidR="00621D05" w:rsidRDefault="008240CA">
      <w:pPr>
        <w:pStyle w:val="Heading2"/>
      </w:pPr>
      <w:bookmarkStart w:id="121" w:name="_Toc241233975"/>
      <w:r>
        <w:t>11.4 Financial Feasibility</w:t>
      </w:r>
      <w:bookmarkEnd w:id="121"/>
    </w:p>
    <w:p w:rsidR="00621D05" w:rsidRPr="00496EDC" w:rsidRDefault="008240CA">
      <w:pPr>
        <w:pStyle w:val="normal2"/>
        <w:spacing w:before="240"/>
      </w:pPr>
      <w:r w:rsidRPr="00496EDC">
        <w:t>The proposed financial model is still to be validated as this £75,000 start-up cost is a ‘planning cost’ rather than a ‘cost stated externally’. Investments which are critical involve £12,000 for the digital platform/CRM solution, £18,000 for vehicle and logistics preparation, and £15,000 for the working capital. These allocations are indicative of built furniture lifespan and of keeping liquidity alive in the early operating phase.</w:t>
      </w:r>
    </w:p>
    <w:p w:rsidR="00A45490" w:rsidRDefault="00A45490">
      <w:pPr>
        <w:pStyle w:val="normal2"/>
        <w:spacing w:before="240"/>
        <w:rPr>
          <w:b/>
          <w:bCs/>
        </w:rPr>
      </w:pPr>
    </w:p>
    <w:p w:rsidR="00A45490" w:rsidRDefault="00A45490">
      <w:pPr>
        <w:pStyle w:val="normal2"/>
        <w:spacing w:before="240"/>
        <w:rPr>
          <w:b/>
          <w:bCs/>
        </w:rPr>
      </w:pPr>
    </w:p>
    <w:p w:rsidR="00621D05" w:rsidRPr="00496EDC" w:rsidRDefault="003455EA">
      <w:pPr>
        <w:pStyle w:val="normal2"/>
        <w:spacing w:before="240"/>
        <w:rPr>
          <w:b/>
          <w:bCs/>
        </w:rPr>
      </w:pPr>
      <w:r>
        <w:rPr>
          <w:b/>
          <w:bCs/>
        </w:rPr>
        <w:lastRenderedPageBreak/>
        <w:t>Table 24</w:t>
      </w:r>
      <w:r w:rsidR="008240CA" w:rsidRPr="00496EDC">
        <w:rPr>
          <w:b/>
          <w:bCs/>
        </w:rPr>
        <w:t>. Financial Feasibility Indicators</w:t>
      </w:r>
    </w:p>
    <w:tbl>
      <w:tblPr>
        <w:tblStyle w:val="afffffffffffffff8"/>
        <w:tblW w:w="9360" w:type="dxa"/>
        <w:tblBorders>
          <w:top w:val="nil"/>
          <w:left w:val="nil"/>
          <w:bottom w:val="nil"/>
          <w:right w:val="nil"/>
          <w:insideH w:val="nil"/>
          <w:insideV w:val="nil"/>
        </w:tblBorders>
        <w:tblLayout w:type="fixed"/>
        <w:tblLook w:val="0600"/>
      </w:tblPr>
      <w:tblGrid>
        <w:gridCol w:w="2389"/>
        <w:gridCol w:w="1689"/>
        <w:gridCol w:w="5282"/>
      </w:tblGrid>
      <w:tr w:rsidR="00621D05" w:rsidRPr="00496EDC">
        <w:trPr>
          <w:cantSplit/>
          <w:trHeight w:val="515"/>
          <w:tblHeader/>
        </w:trPr>
        <w:tc>
          <w:tcPr>
            <w:tcW w:w="2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Indicator</w:t>
            </w:r>
          </w:p>
        </w:tc>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Data</w:t>
            </w:r>
          </w:p>
        </w:tc>
        <w:tc>
          <w:tcPr>
            <w:tcW w:w="5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Explanation</w:t>
            </w:r>
          </w:p>
        </w:tc>
      </w:tr>
      <w:tr w:rsidR="00621D05" w:rsidRPr="00496EDC">
        <w:trPr>
          <w:cantSplit/>
          <w:trHeight w:val="515"/>
          <w:tblHeader/>
        </w:trPr>
        <w:tc>
          <w:tcPr>
            <w:tcW w:w="2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Monthly packages</w:t>
            </w:r>
          </w:p>
        </w:tc>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£199–£799+</w:t>
            </w:r>
          </w:p>
        </w:tc>
        <w:tc>
          <w:tcPr>
            <w:tcW w:w="5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Creates recurring revenue across customer segments.</w:t>
            </w:r>
          </w:p>
        </w:tc>
      </w:tr>
      <w:tr w:rsidR="00621D05" w:rsidRPr="00496EDC">
        <w:trPr>
          <w:cantSplit/>
          <w:trHeight w:val="515"/>
          <w:tblHeader/>
        </w:trPr>
        <w:tc>
          <w:tcPr>
            <w:tcW w:w="2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Year 1 revenue</w:t>
            </w:r>
          </w:p>
        </w:tc>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£270,000</w:t>
            </w:r>
          </w:p>
        </w:tc>
        <w:tc>
          <w:tcPr>
            <w:tcW w:w="5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Indicates initial commercial potential.</w:t>
            </w:r>
          </w:p>
        </w:tc>
      </w:tr>
      <w:tr w:rsidR="00621D05" w:rsidRPr="00496EDC">
        <w:trPr>
          <w:cantSplit/>
          <w:trHeight w:val="515"/>
          <w:tblHeader/>
        </w:trPr>
        <w:tc>
          <w:tcPr>
            <w:tcW w:w="2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Year 1 profit</w:t>
            </w:r>
          </w:p>
        </w:tc>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£35,000</w:t>
            </w:r>
          </w:p>
        </w:tc>
        <w:tc>
          <w:tcPr>
            <w:tcW w:w="5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Indicates modest early profitability.</w:t>
            </w:r>
          </w:p>
        </w:tc>
      </w:tr>
      <w:tr w:rsidR="00621D05" w:rsidRPr="00496EDC">
        <w:trPr>
          <w:cantSplit/>
          <w:trHeight w:val="515"/>
          <w:tblHeader/>
        </w:trPr>
        <w:tc>
          <w:tcPr>
            <w:tcW w:w="2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Year 5 revenue</w:t>
            </w:r>
          </w:p>
        </w:tc>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£1.802m</w:t>
            </w:r>
          </w:p>
        </w:tc>
        <w:tc>
          <w:tcPr>
            <w:tcW w:w="5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Indicates potential for growth.</w:t>
            </w:r>
          </w:p>
        </w:tc>
      </w:tr>
      <w:tr w:rsidR="00621D05" w:rsidRPr="00496EDC">
        <w:trPr>
          <w:cantSplit/>
          <w:trHeight w:val="515"/>
          <w:tblHeader/>
        </w:trPr>
        <w:tc>
          <w:tcPr>
            <w:tcW w:w="2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Year 5 profit</w:t>
            </w:r>
          </w:p>
        </w:tc>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£532,000</w:t>
            </w:r>
          </w:p>
        </w:tc>
        <w:tc>
          <w:tcPr>
            <w:tcW w:w="5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Indicates stronger profitability at scale.</w:t>
            </w:r>
          </w:p>
        </w:tc>
      </w:tr>
      <w:tr w:rsidR="00621D05" w:rsidRPr="00496EDC">
        <w:trPr>
          <w:cantSplit/>
          <w:trHeight w:val="515"/>
          <w:tblHeader/>
        </w:trPr>
        <w:tc>
          <w:tcPr>
            <w:tcW w:w="2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Break-even</w:t>
            </w:r>
          </w:p>
        </w:tc>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621D05">
            <w:pPr>
              <w:pStyle w:val="normal2"/>
              <w:spacing w:before="0" w:after="0" w:line="240" w:lineRule="auto"/>
              <w:jc w:val="center"/>
            </w:pPr>
            <w:sdt>
              <w:sdtPr>
                <w:tag w:val="goog_rdk_24"/>
                <w:id w:val="1047158410"/>
              </w:sdtPr>
              <w:sdtContent>
                <w:r w:rsidR="008240CA" w:rsidRPr="00496EDC">
                  <w:rPr>
                    <w:rFonts w:ascii="Arial Unicode MS" w:eastAsia="Arial Unicode MS" w:hAnsi="Arial Unicode MS" w:cs="Arial Unicode MS"/>
                    <w:b/>
                    <w:bCs/>
                  </w:rPr>
                  <w:t>≈60 customers</w:t>
                </w:r>
              </w:sdtContent>
            </w:sdt>
          </w:p>
        </w:tc>
        <w:tc>
          <w:tcPr>
            <w:tcW w:w="5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Required to cover assumed fixed costs.</w:t>
            </w:r>
          </w:p>
        </w:tc>
      </w:tr>
      <w:tr w:rsidR="00621D05" w:rsidRPr="00496EDC">
        <w:trPr>
          <w:cantSplit/>
          <w:trHeight w:val="515"/>
          <w:tblHeader/>
        </w:trPr>
        <w:tc>
          <w:tcPr>
            <w:tcW w:w="2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Fixed costs</w:t>
            </w:r>
          </w:p>
        </w:tc>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£150,000</w:t>
            </w:r>
          </w:p>
        </w:tc>
        <w:tc>
          <w:tcPr>
            <w:tcW w:w="5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Creates pressure to secure recurring customers.</w:t>
            </w:r>
          </w:p>
        </w:tc>
      </w:tr>
      <w:tr w:rsidR="00621D05" w:rsidRPr="00496EDC">
        <w:trPr>
          <w:cantSplit/>
          <w:trHeight w:val="515"/>
          <w:tblHeader/>
        </w:trPr>
        <w:tc>
          <w:tcPr>
            <w:tcW w:w="2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Contribution/customer</w:t>
            </w:r>
          </w:p>
        </w:tc>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£2,500</w:t>
            </w:r>
          </w:p>
        </w:tc>
        <w:tc>
          <w:tcPr>
            <w:tcW w:w="5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Supports the estimated break-even point.</w:t>
            </w:r>
          </w:p>
        </w:tc>
      </w:tr>
      <w:tr w:rsidR="00621D05" w:rsidRPr="00496EDC">
        <w:trPr>
          <w:cantSplit/>
          <w:trHeight w:val="515"/>
          <w:tblHeader/>
        </w:trPr>
        <w:tc>
          <w:tcPr>
            <w:tcW w:w="2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CPI</w:t>
            </w:r>
          </w:p>
        </w:tc>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2.6%</w:t>
            </w:r>
          </w:p>
        </w:tc>
        <w:tc>
          <w:tcPr>
            <w:tcW w:w="5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Indicates continuing cost pressures.</w:t>
            </w:r>
          </w:p>
        </w:tc>
      </w:tr>
      <w:tr w:rsidR="00621D05" w:rsidRPr="00496EDC">
        <w:trPr>
          <w:cantSplit/>
          <w:trHeight w:val="515"/>
          <w:tblHeader/>
        </w:trPr>
        <w:tc>
          <w:tcPr>
            <w:tcW w:w="2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Living Wage</w:t>
            </w:r>
          </w:p>
        </w:tc>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£12.71/hour</w:t>
            </w:r>
          </w:p>
        </w:tc>
        <w:tc>
          <w:tcPr>
            <w:tcW w:w="5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Increases labour-cost requirements.</w:t>
            </w:r>
          </w:p>
        </w:tc>
      </w:tr>
    </w:tbl>
    <w:p w:rsidR="00621D05" w:rsidRPr="00496EDC" w:rsidRDefault="008240CA">
      <w:pPr>
        <w:pStyle w:val="normal2"/>
        <w:spacing w:before="240"/>
        <w:rPr>
          <w:i/>
          <w:iCs/>
        </w:rPr>
      </w:pPr>
      <w:r w:rsidRPr="00496EDC">
        <w:rPr>
          <w:i/>
          <w:iCs/>
        </w:rPr>
        <w:t>Source: Self-developed</w:t>
      </w:r>
    </w:p>
    <w:p w:rsidR="00621D05" w:rsidRPr="00496EDC" w:rsidRDefault="008240CA">
      <w:pPr>
        <w:pStyle w:val="normal2"/>
        <w:spacing w:before="240"/>
      </w:pPr>
      <w:r w:rsidRPr="00496EDC">
        <w:t>The financial model shows that they are potentially feasible, but they must reach their target customers, contribution margin and logistics and operating costs. Planning assumptions are held at £270,000 in Year-1 in revenue and £35,000 in operating profit which should be validated with real customer conversion and subscription performance.</w:t>
      </w:r>
    </w:p>
    <w:p w:rsidR="00621D05" w:rsidRDefault="008240CA">
      <w:pPr>
        <w:pStyle w:val="Heading2"/>
      </w:pPr>
      <w:bookmarkStart w:id="122" w:name="_Toc241233976"/>
      <w:r>
        <w:lastRenderedPageBreak/>
        <w:t>11.5 Strategic Fit, Risks and Mitigation</w:t>
      </w:r>
      <w:bookmarkEnd w:id="122"/>
    </w:p>
    <w:p w:rsidR="00621D05" w:rsidRPr="00496EDC" w:rsidRDefault="003455EA">
      <w:pPr>
        <w:pStyle w:val="normal2"/>
        <w:spacing w:before="240"/>
        <w:rPr>
          <w:b/>
          <w:bCs/>
        </w:rPr>
      </w:pPr>
      <w:r>
        <w:rPr>
          <w:b/>
          <w:bCs/>
        </w:rPr>
        <w:t>Table 25</w:t>
      </w:r>
      <w:r w:rsidR="008240CA" w:rsidRPr="00496EDC">
        <w:rPr>
          <w:b/>
          <w:bCs/>
        </w:rPr>
        <w:t>. Key Business Risks and Mitigation Measures for EcoLoop Office</w:t>
      </w:r>
    </w:p>
    <w:tbl>
      <w:tblPr>
        <w:tblStyle w:val="afffffffffffffff9"/>
        <w:tblW w:w="6765" w:type="dxa"/>
        <w:tblBorders>
          <w:top w:val="nil"/>
          <w:left w:val="nil"/>
          <w:bottom w:val="nil"/>
          <w:right w:val="nil"/>
          <w:insideH w:val="nil"/>
          <w:insideV w:val="nil"/>
        </w:tblBorders>
        <w:tblLayout w:type="fixed"/>
        <w:tblLook w:val="0600"/>
      </w:tblPr>
      <w:tblGrid>
        <w:gridCol w:w="2780"/>
        <w:gridCol w:w="1040"/>
        <w:gridCol w:w="2945"/>
      </w:tblGrid>
      <w:tr w:rsidR="00621D05" w:rsidRPr="00496EDC">
        <w:trPr>
          <w:cantSplit/>
          <w:trHeight w:val="515"/>
          <w:tblHeader/>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Risk</w:t>
            </w:r>
          </w:p>
        </w:tc>
        <w:tc>
          <w:tcPr>
            <w:tcW w:w="1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Impact</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rPr>
                <w:b/>
                <w:bCs/>
              </w:rPr>
              <w:t>Mitigation</w:t>
            </w:r>
          </w:p>
        </w:tc>
      </w:tr>
      <w:tr w:rsidR="00621D05" w:rsidRPr="00496EDC">
        <w:trPr>
          <w:cantSplit/>
          <w:trHeight w:val="515"/>
          <w:tblHeader/>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Low customer acquisition</w:t>
            </w:r>
          </w:p>
        </w:tc>
        <w:tc>
          <w:tcPr>
            <w:tcW w:w="1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High</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Pilot and targeted B2B sales</w:t>
            </w:r>
          </w:p>
        </w:tc>
      </w:tr>
      <w:tr w:rsidR="00621D05" w:rsidRPr="00496EDC">
        <w:trPr>
          <w:cantSplit/>
          <w:trHeight w:val="515"/>
          <w:tblHeader/>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High logistics costs</w:t>
            </w:r>
          </w:p>
        </w:tc>
        <w:tc>
          <w:tcPr>
            <w:tcW w:w="1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High</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Route optimisation</w:t>
            </w:r>
          </w:p>
        </w:tc>
      </w:tr>
      <w:tr w:rsidR="00621D05" w:rsidRPr="00496EDC">
        <w:trPr>
          <w:cantSplit/>
          <w:trHeight w:val="515"/>
          <w:tblHeader/>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Supplier failure</w:t>
            </w:r>
          </w:p>
        </w:tc>
        <w:tc>
          <w:tcPr>
            <w:tcW w:w="1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Medium</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Multiple suppliers</w:t>
            </w:r>
          </w:p>
        </w:tc>
      </w:tr>
      <w:tr w:rsidR="00621D05" w:rsidRPr="00496EDC">
        <w:trPr>
          <w:cantSplit/>
          <w:trHeight w:val="515"/>
          <w:tblHeader/>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Competitor response</w:t>
            </w:r>
          </w:p>
        </w:tc>
        <w:tc>
          <w:tcPr>
            <w:tcW w:w="1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Medium</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Differentiation</w:t>
            </w:r>
          </w:p>
        </w:tc>
      </w:tr>
      <w:tr w:rsidR="00621D05" w:rsidRPr="00496EDC">
        <w:trPr>
          <w:cantSplit/>
          <w:trHeight w:val="515"/>
          <w:tblHeader/>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Technology failure</w:t>
            </w:r>
          </w:p>
        </w:tc>
        <w:tc>
          <w:tcPr>
            <w:tcW w:w="1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Medium</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Backup systems</w:t>
            </w:r>
          </w:p>
        </w:tc>
      </w:tr>
      <w:tr w:rsidR="00621D05" w:rsidRPr="00496EDC">
        <w:trPr>
          <w:cantSplit/>
          <w:trHeight w:val="515"/>
          <w:tblHeader/>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Greenwashing accusations</w:t>
            </w:r>
          </w:p>
        </w:tc>
        <w:tc>
          <w:tcPr>
            <w:tcW w:w="1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High</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Evidence-based reporting</w:t>
            </w:r>
          </w:p>
        </w:tc>
      </w:tr>
      <w:tr w:rsidR="00621D05" w:rsidRPr="00496EDC">
        <w:trPr>
          <w:cantSplit/>
          <w:trHeight w:val="515"/>
          <w:tblHeader/>
        </w:trPr>
        <w:tc>
          <w:tcPr>
            <w:tcW w:w="2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Cash-flow pressure</w:t>
            </w:r>
          </w:p>
        </w:tc>
        <w:tc>
          <w:tcPr>
            <w:tcW w:w="1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High</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Pr="00496EDC" w:rsidRDefault="008240CA">
            <w:pPr>
              <w:pStyle w:val="normal2"/>
              <w:spacing w:before="0" w:after="0" w:line="240" w:lineRule="auto"/>
              <w:jc w:val="center"/>
            </w:pPr>
            <w:r w:rsidRPr="00496EDC">
              <w:t>Phased investment</w:t>
            </w:r>
          </w:p>
        </w:tc>
      </w:tr>
    </w:tbl>
    <w:p w:rsidR="00621D05" w:rsidRPr="00496EDC" w:rsidRDefault="008240CA">
      <w:pPr>
        <w:pStyle w:val="normal2"/>
        <w:spacing w:before="240"/>
        <w:rPr>
          <w:i/>
          <w:iCs/>
        </w:rPr>
      </w:pPr>
      <w:r w:rsidRPr="00496EDC">
        <w:rPr>
          <w:i/>
          <w:iCs/>
        </w:rPr>
        <w:t>Source: Self-developed</w:t>
      </w:r>
    </w:p>
    <w:p w:rsidR="00621D05" w:rsidRPr="00496EDC" w:rsidRDefault="008240CA">
      <w:pPr>
        <w:pStyle w:val="normal2"/>
        <w:spacing w:before="240"/>
      </w:pPr>
      <w:r w:rsidRPr="00496EDC">
        <w:t>Main risks are around the acquisition and retention of customers, logistics, contribution margins and operational reliability. Weak acquisition or retention efforts may have an impact on recurring revenue and break-even. Delivery costs, swap-out and take-back margins, storage and redistribution costs could impact margins. However dependency can be lowered by multiple suppliers, but supplier diversification may come with higher costs associated with coordination.</w:t>
      </w:r>
    </w:p>
    <w:p w:rsidR="00621D05" w:rsidRDefault="008240CA">
      <w:pPr>
        <w:pStyle w:val="normal2"/>
        <w:spacing w:before="240"/>
        <w:rPr>
          <w:color w:val="FF0000"/>
        </w:rPr>
      </w:pPr>
      <w:r w:rsidRPr="00496EDC">
        <w:t>EcoLoop should thus play through execution and not price only focusing on the customer data, furniture lifecycle management and transparent ESG reporting. To avoid making large investments in the main fleet or warehouse, a graded investment plan should be maintained before that.</w:t>
      </w:r>
    </w:p>
    <w:p w:rsidR="00621D05" w:rsidRDefault="008240CA">
      <w:pPr>
        <w:pStyle w:val="Heading2"/>
      </w:pPr>
      <w:bookmarkStart w:id="123" w:name="_Toc241233977"/>
      <w:r>
        <w:lastRenderedPageBreak/>
        <w:t>11.6 Integrated Viability Judgement</w:t>
      </w:r>
      <w:bookmarkEnd w:id="123"/>
    </w:p>
    <w:p w:rsidR="00621D05" w:rsidRPr="00234E2F" w:rsidRDefault="008240CA">
      <w:pPr>
        <w:pStyle w:val="normal2"/>
        <w:spacing w:before="240"/>
      </w:pPr>
      <w:r w:rsidRPr="00234E2F">
        <w:t>EcoLoop as a whole, shows conditionally, but not commercially viable. The envisaged subscription-based scheme offers the prospect of a recurring-revenue stream and refurbishment, resale/reuse and take-back have the potential to increase the lifespan of furniture. However, additional input into acquiring customers, keeping them, willingness to pay, contribution margins and operational reliability still need to be proven.</w:t>
      </w:r>
    </w:p>
    <w:p w:rsidR="00621D05" w:rsidRDefault="008240CA">
      <w:pPr>
        <w:pStyle w:val="normal2"/>
        <w:spacing w:before="240"/>
      </w:pPr>
      <w:r w:rsidRPr="00234E2F">
        <w:t>Therefore, the scaling should be controlled and be based on specific customer, financial and operational KPIs. EcoLoop should expand only if the customers show sufficient demand, there is a positive contribution margin, there are furniture lifecycle operations that are reliable and measurable results for circular outcomes. This way, parts of the facilities are developed but without incurring premature fixed costs and it offers proof for commercial expansion in the future.</w:t>
      </w:r>
      <w:r>
        <w:br w:type="page"/>
      </w:r>
    </w:p>
    <w:p w:rsidR="00621D05" w:rsidRDefault="008240CA">
      <w:pPr>
        <w:pStyle w:val="Heading1"/>
        <w:spacing w:before="200"/>
      </w:pPr>
      <w:bookmarkStart w:id="124" w:name="_Toc241233978"/>
      <w:r>
        <w:lastRenderedPageBreak/>
        <w:t>Chapter 12. Implementation Plan</w:t>
      </w:r>
      <w:bookmarkEnd w:id="124"/>
      <w:r>
        <w:t xml:space="preserve"> </w:t>
      </w:r>
    </w:p>
    <w:p w:rsidR="00621D05" w:rsidRDefault="008240CA">
      <w:pPr>
        <w:pStyle w:val="Heading2"/>
        <w:spacing w:before="200"/>
      </w:pPr>
      <w:bookmarkStart w:id="125" w:name="_Toc241233979"/>
      <w:r>
        <w:t>12.1 Implementation Approach and Launch Phases</w:t>
      </w:r>
      <w:bookmarkEnd w:id="125"/>
    </w:p>
    <w:p w:rsidR="00621D05" w:rsidRDefault="008240CA">
      <w:pPr>
        <w:pStyle w:val="Heading3"/>
        <w:keepNext w:val="0"/>
        <w:keepLines w:val="0"/>
      </w:pPr>
      <w:bookmarkStart w:id="126" w:name="_Toc241233980"/>
      <w:r>
        <w:t>12.1.1 Phase 1: Market Validation — Months 1–2</w:t>
      </w:r>
      <w:bookmarkEnd w:id="126"/>
    </w:p>
    <w:p w:rsidR="00621D05" w:rsidRPr="00A45490" w:rsidRDefault="008240CA">
      <w:pPr>
        <w:pStyle w:val="normal2"/>
        <w:spacing w:before="240"/>
      </w:pPr>
      <w:r w:rsidRPr="00A45490">
        <w:t>The first will validate the target customers, requirements for furnishing the spaces, furniture subscription plans, and the willingness of customer and business partners to embrace flexible furniture access. Market evidence, customer need, service boundaries and initial commercial assumptions will be discussed in conjunction with market evidence.</w:t>
      </w:r>
    </w:p>
    <w:p w:rsidR="00621D05" w:rsidRDefault="008240CA">
      <w:pPr>
        <w:pStyle w:val="Heading3"/>
      </w:pPr>
      <w:bookmarkStart w:id="127" w:name="_Toc241233981"/>
      <w:r>
        <w:t>12.1.2 Phase 2: Supplier and Refurbishment Partnerships — Months 2–3</w:t>
      </w:r>
      <w:bookmarkEnd w:id="127"/>
    </w:p>
    <w:p w:rsidR="00621D05" w:rsidRPr="00A45490" w:rsidRDefault="008240CA">
      <w:pPr>
        <w:pStyle w:val="normal2"/>
        <w:spacing w:before="240"/>
      </w:pPr>
      <w:r w:rsidRPr="00A45490">
        <w:t>EcoLoop to build partnerships with furniture suppliers, furniture refurbishment services, logistics companies and relevant resale/reuse partners. Service standards, responsibilities, costs and the required service quality will be agreed prior to the commencement of operations.</w:t>
      </w:r>
    </w:p>
    <w:p w:rsidR="00621D05" w:rsidRDefault="008240CA">
      <w:pPr>
        <w:pStyle w:val="Heading3"/>
      </w:pPr>
      <w:bookmarkStart w:id="128" w:name="_Toc241233982"/>
      <w:r>
        <w:t>12.1.3 Phase 3: Furniture Inventory Acquisition — Months 3–4</w:t>
      </w:r>
      <w:bookmarkEnd w:id="128"/>
    </w:p>
    <w:p w:rsidR="00621D05" w:rsidRPr="00A45490" w:rsidRDefault="008240CA">
      <w:pPr>
        <w:pStyle w:val="normal2"/>
        <w:spacing w:before="240"/>
      </w:pPr>
      <w:r w:rsidRPr="00A45490">
        <w:t>An initial set of furniture will be purchased that is suitable to the 12 months of customers' needs. Furniture will be digitally recorded, inspected and provided for subscription/recording, delivery, and maintenance for future furniture exchange.</w:t>
      </w:r>
    </w:p>
    <w:p w:rsidR="00621D05" w:rsidRDefault="008240CA">
      <w:pPr>
        <w:pStyle w:val="Heading3"/>
      </w:pPr>
      <w:bookmarkStart w:id="129" w:name="_Toc241233983"/>
      <w:r>
        <w:t>12.1.4 Phase 4: Pilot Customers — Months 4–6</w:t>
      </w:r>
      <w:bookmarkEnd w:id="129"/>
    </w:p>
    <w:p w:rsidR="00621D05" w:rsidRPr="00A45490" w:rsidRDefault="008240CA">
      <w:pPr>
        <w:pStyle w:val="normal2"/>
        <w:spacing w:before="240"/>
      </w:pPr>
      <w:r w:rsidRPr="00A45490">
        <w:t>A controlled pilot will focus on SMEs and medium-sized organisations that are going through an office transition. The pilot will validate furniture delivery, installation, furniture maintenance, swap-out, take-back, refurbishment and resale/reuse.</w:t>
      </w:r>
    </w:p>
    <w:p w:rsidR="00621D05" w:rsidRDefault="008240CA">
      <w:pPr>
        <w:pStyle w:val="Heading3"/>
      </w:pPr>
      <w:bookmarkStart w:id="130" w:name="_Toc241233984"/>
      <w:r>
        <w:t>12.1.5 Phase 5: Performance Measurement — Months 6–9</w:t>
      </w:r>
      <w:bookmarkEnd w:id="130"/>
    </w:p>
    <w:p w:rsidR="00621D05" w:rsidRPr="00A45490" w:rsidRDefault="008240CA">
      <w:pPr>
        <w:pStyle w:val="normal2"/>
        <w:spacing w:before="240"/>
      </w:pPr>
      <w:r w:rsidRPr="00A45490">
        <w:t xml:space="preserve">EcoLoop will track “cost and savings” variables of purchase, retention, furniture use, refurbishment, take-back and logistics costs, and contribution margin. Information from </w:t>
      </w:r>
      <w:r w:rsidRPr="00A45490">
        <w:lastRenderedPageBreak/>
        <w:t>these results will be fed into an opportunity to improve by operation and confirm financial assumptions.</w:t>
      </w:r>
    </w:p>
    <w:p w:rsidR="00621D05" w:rsidRDefault="008240CA">
      <w:pPr>
        <w:pStyle w:val="Heading3"/>
      </w:pPr>
      <w:bookmarkStart w:id="131" w:name="_Toc241233985"/>
      <w:r>
        <w:t>12.1.6 Phase 6: Controlled Scale — Months 10–12</w:t>
      </w:r>
      <w:bookmarkEnd w:id="131"/>
    </w:p>
    <w:p w:rsidR="00621D05" w:rsidRPr="00A45490" w:rsidRDefault="008240CA">
      <w:pPr>
        <w:pStyle w:val="normal2"/>
        <w:spacing w:before="240"/>
      </w:pPr>
      <w:r w:rsidRPr="00A45490">
        <w:t>Only if agreed KPIs are to be met will there be a scale. The customer density, the ability of performing the furniture lifecycle operations, positive contribution margins and the capacity of the furniture source will come before geographical growth.</w:t>
      </w:r>
    </w:p>
    <w:p w:rsidR="00621D05" w:rsidRDefault="008240CA">
      <w:pPr>
        <w:pStyle w:val="Heading2"/>
        <w:spacing w:before="200"/>
      </w:pPr>
      <w:bookmarkStart w:id="132" w:name="_Toc241233986"/>
      <w:r>
        <w:t>12.2 Milestones and Timeline</w:t>
      </w:r>
      <w:bookmarkEnd w:id="132"/>
    </w:p>
    <w:p w:rsidR="00621D05" w:rsidRDefault="00AE46F7">
      <w:pPr>
        <w:pStyle w:val="normal2"/>
        <w:rPr>
          <w:b/>
          <w:bCs/>
        </w:rPr>
      </w:pPr>
      <w:r>
        <w:rPr>
          <w:b/>
          <w:bCs/>
        </w:rPr>
        <w:t>Table 2</w:t>
      </w:r>
      <w:r w:rsidR="003455EA">
        <w:rPr>
          <w:b/>
          <w:bCs/>
        </w:rPr>
        <w:t>6</w:t>
      </w:r>
      <w:r w:rsidR="00A45490">
        <w:rPr>
          <w:b/>
          <w:bCs/>
        </w:rPr>
        <w:t>. Timeline</w:t>
      </w:r>
    </w:p>
    <w:tbl>
      <w:tblPr>
        <w:tblStyle w:val="afffffffffffffffa"/>
        <w:tblW w:w="9360" w:type="dxa"/>
        <w:tblBorders>
          <w:top w:val="nil"/>
          <w:left w:val="nil"/>
          <w:bottom w:val="nil"/>
          <w:right w:val="nil"/>
          <w:insideH w:val="nil"/>
          <w:insideV w:val="nil"/>
        </w:tblBorders>
        <w:tblLayout w:type="fixed"/>
        <w:tblLook w:val="0600"/>
      </w:tblPr>
      <w:tblGrid>
        <w:gridCol w:w="1595"/>
        <w:gridCol w:w="1260"/>
        <w:gridCol w:w="2939"/>
        <w:gridCol w:w="3566"/>
      </w:tblGrid>
      <w:tr w:rsidR="00621D05">
        <w:trPr>
          <w:cantSplit/>
          <w:trHeight w:val="515"/>
          <w:tblHeader/>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Stage</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Timeline</w:t>
            </w:r>
          </w:p>
        </w:tc>
        <w:tc>
          <w:tcPr>
            <w:tcW w:w="29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Key milestone</w:t>
            </w:r>
          </w:p>
        </w:tc>
        <w:tc>
          <w:tcPr>
            <w:tcW w:w="3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Decision/Control</w:t>
            </w:r>
          </w:p>
        </w:tc>
      </w:tr>
      <w:tr w:rsidR="00621D05">
        <w:trPr>
          <w:cantSplit/>
          <w:trHeight w:val="800"/>
          <w:tblHeader/>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Prepare</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Months 1–2</w:t>
            </w:r>
          </w:p>
        </w:tc>
        <w:tc>
          <w:tcPr>
            <w:tcW w:w="29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Complete preparation requirements</w:t>
            </w:r>
          </w:p>
        </w:tc>
        <w:tc>
          <w:tcPr>
            <w:tcW w:w="3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Confirm readiness before testing</w:t>
            </w:r>
          </w:p>
        </w:tc>
      </w:tr>
      <w:tr w:rsidR="00621D05">
        <w:trPr>
          <w:cantSplit/>
          <w:trHeight w:val="800"/>
          <w:tblHeader/>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Test</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Months 3–4</w:t>
            </w:r>
          </w:p>
        </w:tc>
        <w:tc>
          <w:tcPr>
            <w:tcW w:w="29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Complete pilot and evaluate results</w:t>
            </w:r>
          </w:p>
        </w:tc>
        <w:tc>
          <w:tcPr>
            <w:tcW w:w="3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Decide whether to launch or redesign</w:t>
            </w:r>
          </w:p>
        </w:tc>
      </w:tr>
      <w:tr w:rsidR="00621D05">
        <w:trPr>
          <w:cantSplit/>
          <w:trHeight w:val="800"/>
          <w:tblHeader/>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Launch</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Months 5–6</w:t>
            </w:r>
          </w:p>
        </w:tc>
        <w:tc>
          <w:tcPr>
            <w:tcW w:w="29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Begin commercial operations</w:t>
            </w:r>
          </w:p>
        </w:tc>
        <w:tc>
          <w:tcPr>
            <w:tcW w:w="3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Monitor performance against expectations</w:t>
            </w:r>
          </w:p>
        </w:tc>
      </w:tr>
      <w:tr w:rsidR="00621D05">
        <w:trPr>
          <w:cantSplit/>
          <w:trHeight w:val="800"/>
          <w:tblHeader/>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Measure &amp; Scale</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Months 7–12</w:t>
            </w:r>
          </w:p>
        </w:tc>
        <w:tc>
          <w:tcPr>
            <w:tcW w:w="29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Critically assess performance and build up where appropriate</w:t>
            </w:r>
          </w:p>
        </w:tc>
        <w:tc>
          <w:tcPr>
            <w:tcW w:w="3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Only scale when there is evidence of growth.</w:t>
            </w:r>
          </w:p>
        </w:tc>
      </w:tr>
      <w:tr w:rsidR="00621D05">
        <w:trPr>
          <w:cantSplit/>
          <w:trHeight w:val="800"/>
          <w:tblHeader/>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Corrective Action</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As required</w:t>
            </w:r>
          </w:p>
        </w:tc>
        <w:tc>
          <w:tcPr>
            <w:tcW w:w="29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Handle operational, financial or customer problems</w:t>
            </w:r>
          </w:p>
        </w:tc>
        <w:tc>
          <w:tcPr>
            <w:tcW w:w="3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t>Utilise corrective management when and if necessary</w:t>
            </w:r>
          </w:p>
        </w:tc>
      </w:tr>
    </w:tbl>
    <w:p w:rsidR="00A45490" w:rsidRDefault="00A45490" w:rsidP="00A45490">
      <w:pPr>
        <w:pStyle w:val="normal2"/>
        <w:rPr>
          <w:b/>
          <w:bCs/>
        </w:rPr>
      </w:pPr>
    </w:p>
    <w:p w:rsidR="00A45490" w:rsidRDefault="00A45490" w:rsidP="00A45490">
      <w:pPr>
        <w:pStyle w:val="normal2"/>
        <w:rPr>
          <w:b/>
          <w:bCs/>
        </w:rPr>
      </w:pPr>
    </w:p>
    <w:p w:rsidR="00A45490" w:rsidRDefault="00A45490" w:rsidP="00A45490">
      <w:pPr>
        <w:pStyle w:val="normal2"/>
        <w:rPr>
          <w:b/>
          <w:bCs/>
        </w:rPr>
      </w:pPr>
    </w:p>
    <w:p w:rsidR="00A45490" w:rsidRDefault="003455EA" w:rsidP="00A45490">
      <w:pPr>
        <w:pStyle w:val="normal2"/>
        <w:rPr>
          <w:b/>
          <w:bCs/>
        </w:rPr>
      </w:pPr>
      <w:r>
        <w:rPr>
          <w:b/>
          <w:bCs/>
        </w:rPr>
        <w:lastRenderedPageBreak/>
        <w:t>Table 27</w:t>
      </w:r>
      <w:r w:rsidR="00A45490">
        <w:rPr>
          <w:b/>
          <w:bCs/>
        </w:rPr>
        <w:t>. Gantt Chart</w:t>
      </w:r>
    </w:p>
    <w:tbl>
      <w:tblPr>
        <w:tblW w:w="10695" w:type="dxa"/>
        <w:tblInd w:w="-705" w:type="dxa"/>
        <w:tblBorders>
          <w:top w:val="nil"/>
          <w:left w:val="nil"/>
          <w:bottom w:val="nil"/>
          <w:right w:val="nil"/>
          <w:insideH w:val="nil"/>
          <w:insideV w:val="nil"/>
        </w:tblBorders>
        <w:tblLayout w:type="fixed"/>
        <w:tblLook w:val="0600"/>
      </w:tblPr>
      <w:tblGrid>
        <w:gridCol w:w="3165"/>
        <w:gridCol w:w="585"/>
        <w:gridCol w:w="615"/>
        <w:gridCol w:w="630"/>
        <w:gridCol w:w="600"/>
        <w:gridCol w:w="600"/>
        <w:gridCol w:w="600"/>
        <w:gridCol w:w="585"/>
        <w:gridCol w:w="645"/>
        <w:gridCol w:w="570"/>
        <w:gridCol w:w="720"/>
        <w:gridCol w:w="675"/>
        <w:gridCol w:w="705"/>
      </w:tblGrid>
      <w:tr w:rsidR="00A45490" w:rsidTr="00491531">
        <w:trPr>
          <w:cantSplit/>
          <w:trHeight w:val="515"/>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rPr>
                <w:b/>
                <w:bCs/>
              </w:rPr>
              <w:t>Activity / Phase</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rPr>
                <w:b/>
                <w:bCs/>
              </w:rPr>
              <w:t>M1</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rPr>
                <w:b/>
                <w:bCs/>
              </w:rPr>
              <w:t>M2</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rPr>
                <w:b/>
                <w:bCs/>
              </w:rPr>
              <w:t>M3</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rPr>
                <w:b/>
                <w:bCs/>
              </w:rPr>
              <w:t>M4</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rPr>
                <w:b/>
                <w:bCs/>
              </w:rPr>
              <w:t>M5</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rPr>
                <w:b/>
                <w:bCs/>
              </w:rPr>
              <w:t>M6</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rPr>
                <w:b/>
                <w:bCs/>
              </w:rPr>
              <w:t>M7</w:t>
            </w: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rPr>
                <w:b/>
                <w:bCs/>
              </w:rPr>
              <w:t>M8</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rPr>
                <w:b/>
                <w:bCs/>
              </w:rPr>
              <w:t>M9</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rPr>
                <w:b/>
                <w:bCs/>
              </w:rPr>
              <w:t>M10</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rPr>
                <w:b/>
                <w:bCs/>
              </w:rPr>
              <w:t>M11</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rPr>
                <w:b/>
                <w:bCs/>
              </w:rPr>
              <w:t>M12</w:t>
            </w: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rPr>
                <w:b/>
                <w:bCs/>
              </w:rPr>
              <w:t>1. Market Validation</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Customer research &amp; segmentation</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1085"/>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Pricing &amp; subscription validation</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515"/>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rPr>
                <w:b/>
                <w:bCs/>
              </w:rPr>
              <w:t>2. Partnerships</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Supplier negotiations</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Refurbishment partnerships</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Logistics partnerships</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rPr>
                <w:b/>
                <w:bCs/>
              </w:rPr>
              <w:t>3. Inventory &amp; Technology</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Furniture acquisition</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1085"/>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Furniture inspection &amp; registration</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lastRenderedPageBreak/>
              <w:t>CRM/platform implementation</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rPr>
                <w:b/>
                <w:bCs/>
              </w:rPr>
              <w:t>4. Pilot Programme</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Customer onboarding</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Delivery &amp; installation testing</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Maintenance &amp; swap testing</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1085"/>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Take-back/refurbishment testing</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rPr>
                <w:b/>
                <w:bCs/>
              </w:rPr>
              <w:t>5. Performance Measurement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KPI &amp; financial monitoring</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Customer satisfaction</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Sustainability measurement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rPr>
                <w:b/>
                <w:bCs/>
              </w:rPr>
              <w:t>6. Stage-Gate Review</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Pilot performance review</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lastRenderedPageBreak/>
              <w:t>Go / redesign decision</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rPr>
                <w:b/>
                <w:bCs/>
              </w:rPr>
              <w:t>7. Controlled Scale-Up</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Customer acquisition</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Logistics capacity expansion</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Regional expansion</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rPr>
                <w:b/>
                <w:bCs/>
              </w:rPr>
              <w:t>8. Corrective Management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t>Risk monitoring &amp; action</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r>
      <w:tr w:rsidR="00A45490" w:rsidTr="00491531">
        <w:trPr>
          <w:cantSplit/>
          <w:trHeight w:val="800"/>
          <w:tblHeader/>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left"/>
            </w:pPr>
            <w:r>
              <w:rPr>
                <w:b/>
                <w:bCs/>
              </w:rPr>
              <w:t>Key Decision Gates</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45490" w:rsidRDefault="00A45490" w:rsidP="00491531">
            <w:pPr>
              <w:pStyle w:val="normal2"/>
              <w:spacing w:before="0" w:after="0" w:line="240" w:lineRule="auto"/>
              <w:jc w:val="center"/>
            </w:pPr>
            <w:r>
              <w:t>◆</w:t>
            </w:r>
          </w:p>
        </w:tc>
      </w:tr>
    </w:tbl>
    <w:p w:rsidR="00A45490" w:rsidRDefault="00A45490" w:rsidP="00A45490">
      <w:pPr>
        <w:pStyle w:val="normal2"/>
      </w:pPr>
      <w:r>
        <w:rPr>
          <w:b/>
          <w:bCs/>
        </w:rPr>
        <w:t>■ = Activity/Work period</w:t>
      </w:r>
      <w:r>
        <w:t xml:space="preserve"> — indicates when a specific activity is being carried out.</w:t>
      </w:r>
    </w:p>
    <w:p w:rsidR="00A45490" w:rsidRDefault="00A45490" w:rsidP="00A45490">
      <w:pPr>
        <w:pStyle w:val="normal2"/>
      </w:pPr>
      <w:r>
        <w:rPr>
          <w:b/>
          <w:bCs/>
        </w:rPr>
        <w:t>◆ = Decision Gate/Milestone</w:t>
      </w:r>
      <w:r>
        <w:t xml:space="preserve"> — indicates an important review or decision point.</w:t>
      </w:r>
    </w:p>
    <w:p w:rsidR="00A45490" w:rsidRDefault="00A45490" w:rsidP="00A45490">
      <w:pPr>
        <w:pStyle w:val="normal2"/>
      </w:pPr>
      <w:r>
        <w:rPr>
          <w:b/>
          <w:bCs/>
        </w:rPr>
        <w:t>Blank cell = No scheduled activity</w:t>
      </w:r>
      <w:r>
        <w:t xml:space="preserve"> — indicates that the activity is not planned for that month.</w:t>
      </w:r>
    </w:p>
    <w:p w:rsidR="00234E2F" w:rsidRDefault="00234E2F">
      <w:pPr>
        <w:pStyle w:val="Heading2"/>
        <w:spacing w:before="200"/>
      </w:pPr>
    </w:p>
    <w:p w:rsidR="00621D05" w:rsidRDefault="008240CA">
      <w:pPr>
        <w:pStyle w:val="Heading2"/>
        <w:spacing w:before="200"/>
      </w:pPr>
      <w:bookmarkStart w:id="133" w:name="_Toc241233987"/>
      <w:r>
        <w:t>12.3 Resource Allocation and Priorities</w:t>
      </w:r>
      <w:bookmarkEnd w:id="133"/>
    </w:p>
    <w:p w:rsidR="00621D05" w:rsidRDefault="003455EA">
      <w:pPr>
        <w:pStyle w:val="normal2"/>
        <w:rPr>
          <w:b/>
          <w:bCs/>
        </w:rPr>
      </w:pPr>
      <w:r>
        <w:rPr>
          <w:b/>
          <w:bCs/>
        </w:rPr>
        <w:t>Table 28</w:t>
      </w:r>
      <w:r w:rsidR="008240CA">
        <w:rPr>
          <w:b/>
          <w:bCs/>
        </w:rPr>
        <w:t>. Resource Allocations</w:t>
      </w:r>
    </w:p>
    <w:tbl>
      <w:tblPr>
        <w:tblStyle w:val="afffffffffffffffb"/>
        <w:tblW w:w="9250" w:type="dxa"/>
        <w:tblBorders>
          <w:top w:val="nil"/>
          <w:left w:val="nil"/>
          <w:bottom w:val="nil"/>
          <w:right w:val="nil"/>
          <w:insideH w:val="nil"/>
          <w:insideV w:val="nil"/>
        </w:tblBorders>
        <w:tblLayout w:type="fixed"/>
        <w:tblLook w:val="0600"/>
      </w:tblPr>
      <w:tblGrid>
        <w:gridCol w:w="2105"/>
        <w:gridCol w:w="7145"/>
      </w:tblGrid>
      <w:tr w:rsidR="00621D05">
        <w:trPr>
          <w:cantSplit/>
          <w:trHeight w:val="515"/>
          <w:tblHeader/>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lastRenderedPageBreak/>
              <w:t>Resource/Priority</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Allocation and Action</w:t>
            </w:r>
          </w:p>
        </w:tc>
      </w:tr>
      <w:tr w:rsidR="00621D05">
        <w:trPr>
          <w:cantSplit/>
          <w:trHeight w:val="800"/>
          <w:tblHeader/>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Human resources</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Minimal and should follow the recommended core of 6 people for recruitment.</w:t>
            </w:r>
          </w:p>
        </w:tc>
      </w:tr>
      <w:tr w:rsidR="00621D05">
        <w:trPr>
          <w:cantSplit/>
          <w:trHeight w:val="515"/>
          <w:tblHeader/>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Technology</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£12,000 for digital platform/CRM.</w:t>
            </w:r>
          </w:p>
        </w:tc>
      </w:tr>
      <w:tr w:rsidR="00621D05">
        <w:trPr>
          <w:cantSplit/>
          <w:trHeight w:val="515"/>
          <w:tblHeader/>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Vehicle &amp; logistics</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£18,000 for vehicle and logistics set-up.</w:t>
            </w:r>
          </w:p>
        </w:tc>
      </w:tr>
      <w:tr w:rsidR="00621D05">
        <w:trPr>
          <w:cantSplit/>
          <w:trHeight w:val="515"/>
          <w:tblHeader/>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Working capital</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£15,000 allocated to working capital.</w:t>
            </w:r>
          </w:p>
        </w:tc>
      </w:tr>
      <w:tr w:rsidR="00621D05">
        <w:trPr>
          <w:cantSplit/>
          <w:trHeight w:val="1085"/>
          <w:tblHeader/>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External capability</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Capacity will be further developed through contracts with refurbishment specialists and recycling companies, and property managers (Mehran and Kristensson, 2025).</w:t>
            </w:r>
          </w:p>
        </w:tc>
      </w:tr>
      <w:tr w:rsidR="00621D05">
        <w:trPr>
          <w:cantSplit/>
          <w:trHeight w:val="1085"/>
          <w:tblHeader/>
        </w:trPr>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rPr>
                <w:b/>
                <w:bCs/>
              </w:rPr>
              <w:t>Capacity &amp; growth</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Expand capacity based on customer population; prioritise larger organisations and grow spatial in a regional approach.</w:t>
            </w:r>
          </w:p>
        </w:tc>
      </w:tr>
    </w:tbl>
    <w:p w:rsidR="00234E2F" w:rsidRDefault="00234E2F">
      <w:pPr>
        <w:pStyle w:val="Heading2"/>
        <w:spacing w:before="200"/>
      </w:pPr>
    </w:p>
    <w:p w:rsidR="00621D05" w:rsidRDefault="008240CA">
      <w:pPr>
        <w:pStyle w:val="Heading2"/>
        <w:spacing w:before="200"/>
      </w:pPr>
      <w:bookmarkStart w:id="134" w:name="_Toc241233988"/>
      <w:r>
        <w:t>12.4 KPIs and Control</w:t>
      </w:r>
      <w:bookmarkEnd w:id="134"/>
      <w:r>
        <w:t xml:space="preserve"> </w:t>
      </w:r>
    </w:p>
    <w:p w:rsidR="00621D05" w:rsidRDefault="003455EA">
      <w:pPr>
        <w:pStyle w:val="normal2"/>
        <w:rPr>
          <w:b/>
          <w:bCs/>
        </w:rPr>
      </w:pPr>
      <w:r>
        <w:rPr>
          <w:b/>
          <w:bCs/>
        </w:rPr>
        <w:t>Table 29</w:t>
      </w:r>
      <w:r w:rsidR="008240CA">
        <w:rPr>
          <w:b/>
          <w:bCs/>
        </w:rPr>
        <w:t>: A balanced KPI system should connect strategic objectives with operational control.</w:t>
      </w:r>
    </w:p>
    <w:sdt>
      <w:sdtPr>
        <w:tag w:val="goog_rdk_25"/>
        <w:id w:val="-1403936287"/>
        <w:lock w:val="contentLocked"/>
      </w:sdtPr>
      <w:sdtContent>
        <w:tbl>
          <w:tblPr>
            <w:tblStyle w:val="afffffffffffffffc"/>
            <w:tblW w:w="10860" w:type="dxa"/>
            <w:tblInd w:w="-740" w:type="dxa"/>
            <w:tblBorders>
              <w:top w:val="nil"/>
              <w:left w:val="nil"/>
              <w:bottom w:val="nil"/>
              <w:right w:val="nil"/>
              <w:insideH w:val="nil"/>
              <w:insideV w:val="nil"/>
            </w:tblBorders>
            <w:tblLayout w:type="fixed"/>
            <w:tblLook w:val="0600"/>
          </w:tblPr>
          <w:tblGrid>
            <w:gridCol w:w="2445"/>
            <w:gridCol w:w="4650"/>
            <w:gridCol w:w="3765"/>
          </w:tblGrid>
          <w:tr w:rsidR="00621D05">
            <w:trPr>
              <w:cantSplit/>
              <w:trHeight w:val="500"/>
              <w:tblHeader/>
            </w:trPr>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Dimension</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KPI</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jc w:val="center"/>
                </w:pPr>
                <w:r>
                  <w:rPr>
                    <w:b/>
                    <w:bCs/>
                  </w:rPr>
                  <w:t>Control purpose</w:t>
                </w:r>
              </w:p>
            </w:tc>
          </w:tr>
          <w:tr w:rsidR="00621D05">
            <w:trPr>
              <w:cantSplit/>
              <w:trHeight w:val="770"/>
              <w:tblHeader/>
            </w:trPr>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Financial</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Revenue, MRR, gross margin, break-even customers</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Test commercial sustainability and liquidity.</w:t>
                </w:r>
              </w:p>
            </w:tc>
          </w:tr>
          <w:tr w:rsidR="00621D05">
            <w:trPr>
              <w:cantSplit/>
              <w:trHeight w:val="770"/>
              <w:tblHeader/>
            </w:trPr>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Customer</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Acquisition, retention, satisfaction</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Assess market acceptance and relationship quality.</w:t>
                </w:r>
              </w:p>
            </w:tc>
          </w:tr>
          <w:tr w:rsidR="00621D05">
            <w:trPr>
              <w:cantSplit/>
              <w:trHeight w:val="770"/>
              <w:tblHeader/>
            </w:trPr>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lastRenderedPageBreak/>
                  <w:t>Operational</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Collection reliability, cost per collection, processing efficiency (Handoyo et al., 2023)</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Control service quality and unit economics.</w:t>
                </w:r>
              </w:p>
            </w:tc>
          </w:tr>
          <w:tr w:rsidR="00621D05">
            <w:trPr>
              <w:cantSplit/>
              <w:trHeight w:val="770"/>
              <w:tblHeader/>
            </w:trPr>
            <w:tc>
              <w:tcPr>
                <w:tcW w:w="2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Sustainability</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Waste diverted, reused materials, recycled materials, environmental impact (Recykal.com, 2025)</w:t>
                </w:r>
              </w:p>
            </w:tc>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21D05" w:rsidRDefault="008240CA">
                <w:pPr>
                  <w:pStyle w:val="normal2"/>
                  <w:spacing w:before="0" w:after="0" w:line="240" w:lineRule="auto"/>
                </w:pPr>
                <w:r>
                  <w:t>Verify circular outcomes and prevent unsupported claims.</w:t>
                </w:r>
              </w:p>
            </w:tc>
          </w:tr>
        </w:tbl>
      </w:sdtContent>
    </w:sdt>
    <w:p w:rsidR="00621D05" w:rsidRPr="00A45490" w:rsidRDefault="008240CA">
      <w:pPr>
        <w:pStyle w:val="normal2"/>
        <w:rPr>
          <w:bCs/>
        </w:rPr>
      </w:pPr>
      <w:r w:rsidRPr="00A45490">
        <w:rPr>
          <w:bCs/>
        </w:rPr>
        <w:t xml:space="preserve">Source: Self-developed </w:t>
      </w:r>
    </w:p>
    <w:p w:rsidR="00621D05" w:rsidRDefault="008240CA">
      <w:pPr>
        <w:pStyle w:val="normal2"/>
      </w:pPr>
      <w:r>
        <w:t>There should be a monthly dashboard for management to review and analyse adverse trends. Consistently record sustainability measures for credible reporting. A break-even of about 60 customers should still be a target for financial achievement. Labour planning should take account of the National Living Wage rates and the schedule of increases for April 2026 is £12.71 per hour (Low Pay Commission, 2026). The detailed Gantt chart should be attached at the appendix. The steps of implementation should be: prepare, test, launch, measure &amp; scale, and then take corrective management action decisions at the appropriate time.</w:t>
      </w:r>
    </w:p>
    <w:p w:rsidR="00621D05" w:rsidRDefault="008240CA">
      <w:pPr>
        <w:pStyle w:val="Heading2"/>
        <w:spacing w:before="200"/>
      </w:pPr>
      <w:bookmarkStart w:id="135" w:name="_Toc241233989"/>
      <w:r>
        <w:t>12.5 Change Management and Implementation Risks</w:t>
      </w:r>
      <w:bookmarkEnd w:id="135"/>
    </w:p>
    <w:p w:rsidR="00621D05" w:rsidRDefault="008240CA">
      <w:pPr>
        <w:pStyle w:val="normal2"/>
      </w:pPr>
      <w:r>
        <w:t>Implementation risk is not only in the technical aspects but also in operational reliability and customer acceptance and scaling too early (Orellano and Gourc, 2024). Operational issues should be captured and addressed as early as possible prior to launch – the stage-gate process should be used for either proceeding or redesigning (Svensson Harari and Fundin, 2023). Service reliability must not be sacrificed for growth and economic and operational factors must be used to decide growth expansion. Defending against service distortions tends to be more important as part of the expansion process as contribution margins and service uniformity becomes more important than geographical expansion or bigger contracts as these will magnify service issues and hence require attention first.</w:t>
      </w:r>
    </w:p>
    <w:p w:rsidR="00621D05" w:rsidRDefault="008240CA">
      <w:pPr>
        <w:pStyle w:val="Heading2"/>
        <w:spacing w:before="200"/>
      </w:pPr>
      <w:bookmarkStart w:id="136" w:name="_Toc241233990"/>
      <w:r>
        <w:lastRenderedPageBreak/>
        <w:t>12.6 Implementation Readiness Summary</w:t>
      </w:r>
      <w:bookmarkEnd w:id="136"/>
    </w:p>
    <w:p w:rsidR="00621D05" w:rsidRDefault="008240CA">
      <w:pPr>
        <w:pStyle w:val="normal2"/>
      </w:pPr>
      <w:r>
        <w:t>Implementation readiness involves factors that must be met to make implementation successful—not presuming success. In preparation, it is important to get the organisations ready for generating significant investment. To minimise premature scaling, a pilot test to determine customer interest in paying along with operation reliability and commercial viability should be attempted. This can help with cash-flow protection and recurring orders, with resources being invested in stages based on evidence that they will scale.</w:t>
      </w:r>
      <w:r>
        <w:br w:type="page"/>
      </w:r>
    </w:p>
    <w:p w:rsidR="00621D05" w:rsidRDefault="008240CA">
      <w:pPr>
        <w:pStyle w:val="Heading1"/>
        <w:spacing w:before="200"/>
      </w:pPr>
      <w:bookmarkStart w:id="137" w:name="_Toc241233991"/>
      <w:r>
        <w:lastRenderedPageBreak/>
        <w:t>Chapter 13: Conclusion &amp; Recommendations</w:t>
      </w:r>
      <w:bookmarkEnd w:id="137"/>
      <w:r>
        <w:t xml:space="preserve"> </w:t>
      </w:r>
    </w:p>
    <w:p w:rsidR="00621D05" w:rsidRDefault="008240CA">
      <w:pPr>
        <w:pStyle w:val="Heading2"/>
        <w:spacing w:before="200"/>
      </w:pPr>
      <w:bookmarkStart w:id="138" w:name="_Toc241233992"/>
      <w:r>
        <w:t>13.1 Evaluation of Frameworks</w:t>
      </w:r>
      <w:bookmarkEnd w:id="138"/>
    </w:p>
    <w:p w:rsidR="00621D05" w:rsidRPr="00491531" w:rsidRDefault="008240CA">
      <w:pPr>
        <w:pStyle w:val="normal2"/>
        <w:spacing w:before="240"/>
      </w:pPr>
      <w:r w:rsidRPr="00491531">
        <w:t>The integrated frameworks offer advice on decision value and not descriptive coverage. PESTLE looks at the outside factors that may threaten this business and VRIO looks at how well EcoLoop can turn the circular service, digital tracking and partnerships into a strength. All of this is bound together by SWOT and orbited by the Business Model Canvas that turns SWOT into an operational model. By fixing the financial model, the anticipated Year 1 revenue is now £270000, and break-even is now seen at around 60 customers. For Year 5, rev is expected to be £1.802m, with an operating profit of ~ £532k. These are indicative of financial viability, but require customer acquisition, utilisation, control of costs and contribution margin. Thus, the investment argument depends on the validity of the pilots.</w:t>
      </w:r>
    </w:p>
    <w:p w:rsidR="00621D05" w:rsidRDefault="008240CA">
      <w:pPr>
        <w:pStyle w:val="Heading2"/>
        <w:spacing w:before="200"/>
      </w:pPr>
      <w:bookmarkStart w:id="139" w:name="_Toc241233993"/>
      <w:r>
        <w:t>13.2 Market Opportunity</w:t>
      </w:r>
      <w:bookmarkEnd w:id="139"/>
    </w:p>
    <w:p w:rsidR="00621D05" w:rsidRDefault="008240CA">
      <w:pPr>
        <w:pStyle w:val="normal2"/>
      </w:pPr>
      <w:r>
        <w:t>EcoLoop addresses changing office requirements, resource inefficiency and sustainability pressures. The UK had 5.69 million private-sector businesses at the start of 2025, although this headline figure substantially exceeds the realistic addressable market. The strongest target is therefore SMEs and medium-sized organisations experiencing relocation, expansion, downsizing or refurbishment. England generated 32.6 million tonnes of commercial and industrial waste in 2023, confirming substantial resource-management pressure. Nevertheless, waste volume indicates need rather than willingness to pay. The opportunity is attractive but requires targeted validation against customer acquisition, retention and contribution margins.</w:t>
      </w:r>
    </w:p>
    <w:p w:rsidR="00621D05" w:rsidRDefault="008240CA">
      <w:pPr>
        <w:pStyle w:val="Heading2"/>
        <w:spacing w:before="200"/>
      </w:pPr>
      <w:bookmarkStart w:id="140" w:name="_Toc241233994"/>
      <w:r>
        <w:t>13.3 Strategic Viability</w:t>
      </w:r>
      <w:bookmarkEnd w:id="140"/>
    </w:p>
    <w:p w:rsidR="00621D05" w:rsidRDefault="008240CA">
      <w:pPr>
        <w:pStyle w:val="normal2"/>
      </w:pPr>
      <w:r>
        <w:t xml:space="preserve">Focused differentiation is strategically appropriate because EcoLoop lacks the scale required for cost leadership but can combine circular service delivery, convenience, digital tracking and measurable sustainability reporting. Competing on price would expose the venture to established providers with greater purchasing and logistical </w:t>
      </w:r>
      <w:r>
        <w:lastRenderedPageBreak/>
        <w:t>economies. Conversely, sustainability alone is insufficient because competitors can imitate environmental messaging and customers retain substitutes. A focused SME segment allows tailored service, lower acquisition complexity and geographically concentrated collections. Strategic viability therefore depends on converting differentiation into measurable customer value and operational efficiency. The approach is viable, but only if pilot evidence demonstrates that customers will pay recurring fees for convenience, transparency and circular outcomes.</w:t>
      </w:r>
    </w:p>
    <w:p w:rsidR="00621D05" w:rsidRDefault="008240CA">
      <w:pPr>
        <w:pStyle w:val="Heading2"/>
        <w:spacing w:before="200"/>
      </w:pPr>
      <w:bookmarkStart w:id="141" w:name="_Toc241233995"/>
      <w:r>
        <w:t>13.4 Financial and Operational Viability</w:t>
      </w:r>
      <w:bookmarkEnd w:id="141"/>
    </w:p>
    <w:p w:rsidR="00621D05" w:rsidRPr="00491531" w:rsidRDefault="008240CA">
      <w:pPr>
        <w:pStyle w:val="normal2"/>
        <w:spacing w:before="240"/>
      </w:pPr>
      <w:r w:rsidRPr="00491531">
        <w:t>The model for the recurring revenue is monthly plans of £199, £399 and £799, with the possibility of a more predictable revenue stream. The revenue and loss projections for the corrected plan are £270,000 in Year 1 and £1.802 million in Year 5 with operating profit of £532,000 year 5; with break-even at around 60 customers. But there are customer acquisition and churn, logistics, refurbishment and labour costs to worry about when it comes to finances. From an operational perspective, developing furniture usage, denser collections, capacity and awareness of refurbishment-workshops, and the technology used, all impact the scalability of the proposed six-person core team and external partners. Thus, feasibility must be progressive and dependent upon thresholds of customer, contribution margin and service reliability thresholds, which in turn dictate the thresholds for investment amounts and the stages of feasibility demonstration.</w:t>
      </w:r>
    </w:p>
    <w:p w:rsidR="00621D05" w:rsidRDefault="008240CA">
      <w:pPr>
        <w:pStyle w:val="Heading2"/>
        <w:spacing w:before="200"/>
      </w:pPr>
      <w:bookmarkStart w:id="142" w:name="_Toc241233996"/>
      <w:r>
        <w:t>13.5 Recommendations</w:t>
      </w:r>
      <w:bookmarkEnd w:id="142"/>
    </w:p>
    <w:p w:rsidR="00621D05" w:rsidRDefault="008240CA">
      <w:pPr>
        <w:pStyle w:val="normal2"/>
      </w:pPr>
      <w:r>
        <w:rPr>
          <w:b/>
          <w:bCs/>
        </w:rPr>
        <w:t>Recommendation 1: Launch through a controlled pilot.</w:t>
      </w:r>
      <w:r>
        <w:t xml:space="preserve"> </w:t>
      </w:r>
    </w:p>
    <w:p w:rsidR="00621D05" w:rsidRDefault="008240CA">
      <w:pPr>
        <w:pStyle w:val="normal2"/>
      </w:pPr>
      <w:r>
        <w:rPr>
          <w:b/>
          <w:bCs/>
        </w:rPr>
        <w:t>Lyu and Kim (2025)</w:t>
      </w:r>
      <w:r>
        <w:t xml:space="preserve"> argue that EcoLoop should validate willingness to pay, retention, collection reliability and contribution margins before committing substantial fixed investment. The pilot should establish evidence-based stage gates for expansion.</w:t>
      </w:r>
    </w:p>
    <w:p w:rsidR="00621D05" w:rsidRDefault="008240CA">
      <w:pPr>
        <w:pStyle w:val="normal2"/>
      </w:pPr>
      <w:r>
        <w:rPr>
          <w:b/>
          <w:bCs/>
        </w:rPr>
        <w:t>Recommendation 2: Initially target SMEs and medium-sized organisations.</w:t>
      </w:r>
      <w:r>
        <w:t xml:space="preserve"> </w:t>
      </w:r>
    </w:p>
    <w:p w:rsidR="00621D05" w:rsidRDefault="008240CA">
      <w:pPr>
        <w:pStyle w:val="normal2"/>
      </w:pPr>
      <w:r>
        <w:lastRenderedPageBreak/>
        <w:t xml:space="preserve">This focus limits acquisition complexity and enables tailored packages for organisations facing workplace change. Bauer </w:t>
      </w:r>
      <w:r>
        <w:rPr>
          <w:i/>
          <w:iCs/>
        </w:rPr>
        <w:t>et al</w:t>
      </w:r>
      <w:r>
        <w:t>. (2024) demonstrate that Geographic concentration should be prioritised to protect logistics economics.</w:t>
      </w:r>
    </w:p>
    <w:p w:rsidR="00621D05" w:rsidRDefault="008240CA">
      <w:pPr>
        <w:pStyle w:val="normal2"/>
      </w:pPr>
      <w:r>
        <w:rPr>
          <w:b/>
          <w:bCs/>
        </w:rPr>
        <w:t>Recommendation 3: Develop digital tracking and impact reporting.</w:t>
      </w:r>
      <w:r>
        <w:t xml:space="preserve"> </w:t>
      </w:r>
    </w:p>
    <w:p w:rsidR="00621D05" w:rsidRDefault="008240CA">
      <w:pPr>
        <w:pStyle w:val="normal2"/>
      </w:pPr>
      <w:r>
        <w:t>Technology should provide traceability from collection to reuse, refurbishment or recycling and convert operational data into credible sustainability reports. Horn and Silvennoinen (2025) highlight that this can strengthen differentiation while reducing greenwashing risk. However, reporting must remain evidence-based and avoid unsupported environmental claims. These recommendations should be integrated with the Business Model Canvas, financial controls and implementation KPIs rather than treated as separate initiatives.</w:t>
      </w:r>
    </w:p>
    <w:p w:rsidR="00621D05" w:rsidRDefault="008240CA">
      <w:pPr>
        <w:pStyle w:val="Heading2"/>
        <w:spacing w:before="200"/>
      </w:pPr>
      <w:bookmarkStart w:id="143" w:name="_Toc241233997"/>
      <w:r>
        <w:t>13.6 Future Development</w:t>
      </w:r>
      <w:bookmarkEnd w:id="143"/>
    </w:p>
    <w:p w:rsidR="00621D05" w:rsidRDefault="008240CA">
      <w:pPr>
        <w:pStyle w:val="normal2"/>
        <w:rPr>
          <w:b/>
          <w:bCs/>
        </w:rPr>
      </w:pPr>
      <w:r>
        <w:t xml:space="preserve">Future development should follow demonstrated commercial viability. EcoLoop could pursue corporate contracts and regional expansion, then introduce advanced sustainability analytics, AI-enabled waste optimisation and a circular office-product marketplace. Such expansion should occur only after reliable unit economics, operational capacity and credible impact measurement have been established. </w:t>
      </w:r>
      <w:r w:rsidRPr="00491531">
        <w:rPr>
          <w:bCs/>
        </w:rPr>
        <w:t>This sequencing protects capital, reduces execution risk, and creates evidence for scalable growth without compromising service quality.</w:t>
      </w:r>
      <w:r>
        <w:br w:type="page"/>
      </w:r>
    </w:p>
    <w:p w:rsidR="00621D05" w:rsidRDefault="008240CA">
      <w:pPr>
        <w:pStyle w:val="Heading1"/>
        <w:spacing w:before="200"/>
      </w:pPr>
      <w:bookmarkStart w:id="144" w:name="_Toc241233998"/>
      <w:r>
        <w:lastRenderedPageBreak/>
        <w:t>Chapter 14. Reflection</w:t>
      </w:r>
      <w:bookmarkEnd w:id="144"/>
    </w:p>
    <w:p w:rsidR="00621D05" w:rsidRDefault="008240CA">
      <w:pPr>
        <w:pStyle w:val="Heading2"/>
        <w:keepNext w:val="0"/>
        <w:keepLines w:val="0"/>
        <w:spacing w:before="200"/>
      </w:pPr>
      <w:bookmarkStart w:id="145" w:name="_Toc241233999"/>
      <w:r>
        <w:t>14.1 Experience of Developing EcoLoop Office</w:t>
      </w:r>
      <w:bookmarkEnd w:id="145"/>
    </w:p>
    <w:p w:rsidR="00621D05" w:rsidRDefault="008240CA">
      <w:pPr>
        <w:pStyle w:val="normal2"/>
      </w:pPr>
      <w:r>
        <w:t>As my role in the development of EcoLoop Office evolved from finding a promising idea to actually proving if that idea could be commercially viable, it changed my guidelines on what constitutes business development. In the beginning I was seeing sustainability in the office as an environmental opportunity. In my job of methodology, however, I personally had to undertake a systematic process of investigating customer needs and the contexts of competitors, costs and operational requirements.</w:t>
      </w:r>
    </w:p>
    <w:p w:rsidR="00621D05" w:rsidRDefault="008240CA">
      <w:pPr>
        <w:pStyle w:val="Heading2"/>
        <w:keepNext w:val="0"/>
        <w:keepLines w:val="0"/>
        <w:spacing w:before="200"/>
      </w:pPr>
      <w:bookmarkStart w:id="146" w:name="_Toc241234000"/>
      <w:r>
        <w:t>14.2 Learning from Market Research</w:t>
      </w:r>
      <w:bookmarkEnd w:id="146"/>
    </w:p>
    <w:p w:rsidR="00621D05" w:rsidRDefault="008240CA">
      <w:pPr>
        <w:pStyle w:val="normal2"/>
      </w:pPr>
      <w:r>
        <w:t>The market/cmp analysis was very useful as it knocked down some of my assumptions. It was my original assumption before the process that organisations would take the sustainable waste solution for granted. Studies revealed that it is not the proposition itself that needs to be communicated, but rather the following: convenience, measurable results and economic benefit. Segmenting by employees, office activity and waste volume and sustainability commitment resulted in a more realistic target market.</w:t>
      </w:r>
    </w:p>
    <w:p w:rsidR="00621D05" w:rsidRDefault="008240CA">
      <w:pPr>
        <w:pStyle w:val="Heading2"/>
        <w:keepNext w:val="0"/>
        <w:keepLines w:val="0"/>
        <w:spacing w:before="200"/>
      </w:pPr>
      <w:bookmarkStart w:id="147" w:name="_Toc241234001"/>
      <w:r>
        <w:t>14.3 Learning from Strategic Analysis</w:t>
      </w:r>
      <w:bookmarkEnd w:id="147"/>
    </w:p>
    <w:p w:rsidR="00621D05" w:rsidRDefault="008240CA">
      <w:pPr>
        <w:pStyle w:val="normal2"/>
      </w:pPr>
      <w:r>
        <w:t xml:space="preserve">Using PESTLE, VRIO and SWOT enabled me to shift from a generic approach to sustainability to a differentiated one. Discovered that sustainability does not necessarily result in SCA as long as a competitor is already established. I was pushed by VRIO to think about how another approach combining the digital tracking, customer relationship, Sustainability know-how, and operational partnerships of EcoLoop could provide a greater differentiation. </w:t>
      </w:r>
    </w:p>
    <w:p w:rsidR="00621D05" w:rsidRDefault="008240CA">
      <w:pPr>
        <w:pStyle w:val="Heading2"/>
        <w:keepNext w:val="0"/>
        <w:keepLines w:val="0"/>
        <w:spacing w:before="200"/>
      </w:pPr>
      <w:bookmarkStart w:id="148" w:name="_Toc241234002"/>
      <w:r>
        <w:t>14.4 Learning from Financial and Business Model Development</w:t>
      </w:r>
      <w:bookmarkEnd w:id="148"/>
    </w:p>
    <w:p w:rsidR="00621D05" w:rsidRDefault="008240CA">
      <w:pPr>
        <w:pStyle w:val="normal2"/>
      </w:pPr>
      <w:r>
        <w:t xml:space="preserve">The most challenging component of the proposal was development of a Business Model Canvas and financial plan. I discovered that beauty is in the eye of the beholder and not necessarily in the wallet. The pricing was to be reasonable for the customers, while it </w:t>
      </w:r>
      <w:r>
        <w:lastRenderedPageBreak/>
        <w:t>had to also cover logistics, staffing and technology. This showed the significance of subscription related to customers, customer retention and CM.</w:t>
      </w:r>
    </w:p>
    <w:p w:rsidR="00621D05" w:rsidRDefault="008240CA">
      <w:pPr>
        <w:pStyle w:val="Heading2"/>
        <w:keepNext w:val="0"/>
        <w:keepLines w:val="0"/>
        <w:spacing w:before="200"/>
      </w:pPr>
      <w:bookmarkStart w:id="149" w:name="_Toc241234003"/>
      <w:r>
        <w:t>15.5 Operational and Practical Learning</w:t>
      </w:r>
      <w:bookmarkEnd w:id="149"/>
    </w:p>
    <w:p w:rsidR="00621D05" w:rsidRDefault="008240CA">
      <w:pPr>
        <w:pStyle w:val="normal2"/>
      </w:pPr>
      <w:r>
        <w:t>Customer value is influenced by several factors including collection scheduling, supplier reliability, sorting of the waste, technology utilisation and compliance with regulations. A sustainable business model is only possible if it is run in a consistent way. It's not the environmental proposition that's important from a sustainability perspective, but the collection—the lift from the basket.</w:t>
      </w:r>
    </w:p>
    <w:p w:rsidR="00621D05" w:rsidRDefault="008240CA">
      <w:pPr>
        <w:pStyle w:val="Heading2"/>
        <w:keepNext w:val="0"/>
        <w:keepLines w:val="0"/>
        <w:spacing w:before="200"/>
      </w:pPr>
      <w:bookmarkStart w:id="150" w:name="_Toc241234004"/>
      <w:r>
        <w:t>14.6 What I Would Do Differently</w:t>
      </w:r>
      <w:bookmarkEnd w:id="150"/>
    </w:p>
    <w:p w:rsidR="00621D05" w:rsidRDefault="008240CA">
      <w:pPr>
        <w:pStyle w:val="normal2"/>
      </w:pPr>
      <w:r>
        <w:t>Assuming it would go into production again, I would take some more primary interviews of customers and would run some more pricing tests, before making money assumptions final. I would get real quotes from suppliers and then do a tiny pilot, testing the digital tracking system with users. Also, the more competing prices I could obtain and more sensitivity scenarios I would make.</w:t>
      </w:r>
    </w:p>
    <w:p w:rsidR="00621D05" w:rsidRDefault="008240CA">
      <w:pPr>
        <w:pStyle w:val="Heading2"/>
        <w:keepNext w:val="0"/>
        <w:keepLines w:val="0"/>
        <w:spacing w:before="200"/>
      </w:pPr>
      <w:bookmarkStart w:id="151" w:name="_Toc241234005"/>
      <w:r>
        <w:t>14.7 Professional Development</w:t>
      </w:r>
      <w:bookmarkEnd w:id="151"/>
    </w:p>
    <w:p w:rsidR="00621D05" w:rsidRDefault="008240CA">
      <w:pPr>
        <w:pStyle w:val="normal2"/>
        <w:rPr>
          <w:b/>
          <w:bCs/>
          <w:sz w:val="28"/>
          <w:szCs w:val="28"/>
        </w:rPr>
      </w:pPr>
      <w:r>
        <w:t>In general, the project improved my strategic thinking skills, commercial judgment, financial analysis, research, problem solving and project planning. Most important of all, I learned to assess business opportunities on an objective basis instead of being attached to the initial concept. The experience proved that developing businesses is a never ending process of testing the value for customers, the competitive advantage and the ability and sustainability of the operation.</w:t>
      </w:r>
      <w:r>
        <w:br w:type="page"/>
      </w:r>
    </w:p>
    <w:p w:rsidR="00621D05" w:rsidRDefault="008240CA">
      <w:pPr>
        <w:pStyle w:val="Heading1"/>
        <w:spacing w:before="200"/>
      </w:pPr>
      <w:bookmarkStart w:id="152" w:name="_Toc241234006"/>
      <w:r>
        <w:lastRenderedPageBreak/>
        <w:t>References</w:t>
      </w:r>
      <w:bookmarkEnd w:id="152"/>
      <w:r>
        <w:t xml:space="preserve"> </w:t>
      </w:r>
    </w:p>
    <w:p w:rsidR="00621D05" w:rsidRDefault="008240CA">
      <w:pPr>
        <w:pStyle w:val="normal2"/>
      </w:pPr>
      <w:r>
        <w:t xml:space="preserve">Ahmed, W.A.H. and MacCarthy, B.L. (2023). Blockchain-enabled supply chain traceability – How wide? How deep? </w:t>
      </w:r>
      <w:r>
        <w:rPr>
          <w:i/>
          <w:iCs/>
        </w:rPr>
        <w:t>International Journal of Production Economics</w:t>
      </w:r>
      <w:r>
        <w:t xml:space="preserve">, [online] 263, p.108963. Available at: </w:t>
      </w:r>
      <w:hyperlink r:id="rId18">
        <w:r>
          <w:rPr>
            <w:color w:val="1155CC"/>
            <w:u w:val="single"/>
          </w:rPr>
          <w:t>https://www.sciencedirect.com/science/article/pii/S0925527323001950</w:t>
        </w:r>
      </w:hyperlink>
      <w:r>
        <w:t xml:space="preserve"> [Accessed 24 Aug. 2026].</w:t>
      </w:r>
    </w:p>
    <w:p w:rsidR="00621D05" w:rsidRDefault="008240CA">
      <w:pPr>
        <w:pStyle w:val="normal2"/>
        <w:widowControl w:val="0"/>
      </w:pPr>
      <w:r>
        <w:t xml:space="preserve">Akbar, U., Jain, A.A. and Bråthen, S. (2024). Sustainability assessment of inter-urban crowdshipping - A case study approach. </w:t>
      </w:r>
      <w:r>
        <w:rPr>
          <w:i/>
          <w:iCs/>
        </w:rPr>
        <w:t>Research in Transportation Economics</w:t>
      </w:r>
      <w:r>
        <w:t xml:space="preserve">, [online] 103, p.101409. </w:t>
      </w:r>
      <w:hyperlink r:id="rId19">
        <w:r>
          <w:rPr>
            <w:color w:val="1155CC"/>
            <w:u w:val="single"/>
          </w:rPr>
          <w:t>https://www.sciencedirect.com/journal/research-in-transportation-economics/vol/103/suppl/C</w:t>
        </w:r>
      </w:hyperlink>
      <w:r>
        <w:t xml:space="preserve"> </w:t>
      </w:r>
    </w:p>
    <w:p w:rsidR="00621D05" w:rsidRDefault="008240CA">
      <w:pPr>
        <w:pStyle w:val="normal2"/>
      </w:pPr>
      <w:r>
        <w:t>‌Alcayaga, A. and Hansen, E.G., 2025. Smart circular economy as a service business model: an activity system framework and research agenda. R&amp;D Management, 55(2), pp.508-530.</w:t>
      </w:r>
      <w:hyperlink r:id="rId20">
        <w:r>
          <w:rPr>
            <w:color w:val="1155CC"/>
            <w:u w:val="single"/>
          </w:rPr>
          <w:t>https://onlinelibrary.wiley.com/doi/pdf/10.1111/radm.12707</w:t>
        </w:r>
      </w:hyperlink>
      <w:r>
        <w:t xml:space="preserve"> </w:t>
      </w:r>
    </w:p>
    <w:p w:rsidR="00621D05" w:rsidRDefault="008240CA">
      <w:pPr>
        <w:pStyle w:val="normal2"/>
      </w:pPr>
      <w:r>
        <w:t xml:space="preserve">Alfieri, L., Mariotti, I. and Rossi, F. (2025). The twin transition and flexible work arrangements: A systematic literature review. </w:t>
      </w:r>
      <w:r>
        <w:rPr>
          <w:i/>
          <w:iCs/>
        </w:rPr>
        <w:t>Journal of Environmental Management</w:t>
      </w:r>
      <w:r>
        <w:t xml:space="preserve">, [online] 395, p.127988. Available at: </w:t>
      </w:r>
      <w:hyperlink r:id="rId21">
        <w:r>
          <w:rPr>
            <w:color w:val="1155CC"/>
            <w:u w:val="single"/>
          </w:rPr>
          <w:t>https://www.sciencedirect.com/science/article/pii/S0301479725039647?via%3Dihub</w:t>
        </w:r>
      </w:hyperlink>
      <w:r w:rsidR="009A471F">
        <w:t xml:space="preserve"> </w:t>
      </w:r>
    </w:p>
    <w:p w:rsidR="00621D05" w:rsidRDefault="008240CA">
      <w:pPr>
        <w:pStyle w:val="normal2"/>
      </w:pPr>
      <w:r>
        <w:t xml:space="preserve">Alfina, K.N., Ratnayake, C., Wibisono, D., Basri, M.H. and Mulyono, N.B. (2025). Enhancing resilience and sustainable healthcare supply chains: Integrating circular economy and dynamic barrier management. </w:t>
      </w:r>
      <w:r>
        <w:rPr>
          <w:i/>
          <w:iCs/>
        </w:rPr>
        <w:t>Discover Sustainability</w:t>
      </w:r>
      <w:r>
        <w:t xml:space="preserve">, [online] 6(1). Available at: </w:t>
      </w:r>
      <w:hyperlink r:id="rId22">
        <w:r>
          <w:rPr>
            <w:color w:val="1155CC"/>
            <w:u w:val="single"/>
          </w:rPr>
          <w:t>https://link.springer.com/article/10.1007/s43621-025-01270-1</w:t>
        </w:r>
      </w:hyperlink>
      <w:r>
        <w:t xml:space="preserve"> [Accessed 21 Aug. 2026].</w:t>
      </w:r>
    </w:p>
    <w:p w:rsidR="009A471F" w:rsidRDefault="008240CA">
      <w:pPr>
        <w:pStyle w:val="normal2"/>
      </w:pPr>
      <w:r>
        <w:t xml:space="preserve">Amasino, D.R., Dolgin, J. and Huettel, S.A. (2023). Eyes on the account size: Interactions between attention and budget in consumer choice. </w:t>
      </w:r>
      <w:r>
        <w:rPr>
          <w:i/>
          <w:iCs/>
        </w:rPr>
        <w:t>Journal of Economic Psychology</w:t>
      </w:r>
      <w:r>
        <w:t xml:space="preserve">, [online] 97, pp.102632–102632. Available at: </w:t>
      </w:r>
      <w:hyperlink r:id="rId23">
        <w:r>
          <w:rPr>
            <w:color w:val="1155CC"/>
            <w:u w:val="single"/>
          </w:rPr>
          <w:t>https://www.sciencedirect.com/science/article/pii/S0167487023000338</w:t>
        </w:r>
      </w:hyperlink>
      <w:r>
        <w:t xml:space="preserve"> </w:t>
      </w:r>
    </w:p>
    <w:p w:rsidR="00621D05" w:rsidRDefault="008240CA">
      <w:pPr>
        <w:pStyle w:val="normal2"/>
      </w:pPr>
      <w:r>
        <w:lastRenderedPageBreak/>
        <w:t xml:space="preserve">Andersen, B.S. and Kreye, M.E. (2023). Implementing a centralised procurement strategy for global supplier base management. [online] pp.1–13. Available at: </w:t>
      </w:r>
      <w:hyperlink r:id="rId24">
        <w:r>
          <w:rPr>
            <w:color w:val="0000FF"/>
            <w:u w:val="single"/>
          </w:rPr>
          <w:t>https://www.tandfonline.com/doi/full/10.1080/09537287.2023.2217489</w:t>
        </w:r>
      </w:hyperlink>
      <w:r>
        <w:t xml:space="preserve"> [Accessed 14 Aug. 2026].</w:t>
      </w:r>
    </w:p>
    <w:p w:rsidR="00621D05" w:rsidRDefault="008240CA">
      <w:pPr>
        <w:pStyle w:val="normal2"/>
        <w:spacing w:after="160"/>
      </w:pPr>
      <w:r>
        <w:t>Baden, D. and Frei, R., 2021. Product returns: an opportunity to shift towards an access-based economy?. Sustainability, 14(1), p.410.</w:t>
      </w:r>
      <w:hyperlink r:id="rId25">
        <w:r>
          <w:rPr>
            <w:color w:val="1155CC"/>
            <w:u w:val="single"/>
          </w:rPr>
          <w:t>https://www.mdpi.com/2071-1050/14/1/410</w:t>
        </w:r>
      </w:hyperlink>
      <w:r>
        <w:t xml:space="preserve"> </w:t>
      </w:r>
    </w:p>
    <w:p w:rsidR="00621D05" w:rsidRDefault="008240CA">
      <w:pPr>
        <w:pStyle w:val="normal2"/>
      </w:pPr>
      <w:r>
        <w:t xml:space="preserve">Bals, L., Taylor, K.M., Rosca, E. and Ciulli, F. (2024). Toward a circular supply chain: The enabling role of information and financial flows in open and closed loop designs. </w:t>
      </w:r>
      <w:r>
        <w:rPr>
          <w:i/>
          <w:iCs/>
        </w:rPr>
        <w:t>Resources Conservation and Recycling</w:t>
      </w:r>
      <w:r>
        <w:t xml:space="preserve">, [online] 209, pp.107781–107781. Available at: </w:t>
      </w:r>
      <w:hyperlink r:id="rId26">
        <w:r>
          <w:rPr>
            <w:color w:val="1155CC"/>
            <w:u w:val="single"/>
          </w:rPr>
          <w:t>https://www.sciencedirect.com/science/article/pii/S0921344924003756</w:t>
        </w:r>
      </w:hyperlink>
      <w:r w:rsidR="009A471F">
        <w:t xml:space="preserve"> </w:t>
      </w:r>
    </w:p>
    <w:p w:rsidR="00621D05" w:rsidRDefault="008240CA">
      <w:pPr>
        <w:pStyle w:val="normal2"/>
        <w:widowControl w:val="0"/>
      </w:pPr>
      <w:r>
        <w:t xml:space="preserve">‌Bankofengland.co.uk. (2026). </w:t>
      </w:r>
      <w:r>
        <w:rPr>
          <w:i/>
          <w:iCs/>
        </w:rPr>
        <w:t>Monetary Policy Report - July 2026</w:t>
      </w:r>
      <w:r>
        <w:t>. [online] Available at: https://www.bankofengland.co.uk/monetary-policy-report/2026/ju</w:t>
      </w:r>
      <w:r w:rsidR="009A471F">
        <w:t xml:space="preserve">ly-2026 </w:t>
      </w:r>
    </w:p>
    <w:p w:rsidR="00621D05" w:rsidRDefault="008240CA">
      <w:pPr>
        <w:pStyle w:val="normal2"/>
      </w:pPr>
      <w:r>
        <w:t xml:space="preserve">Bauer, F., King, D.R., Friesl, M., Schriber, S. and Weng, Q. (2024). Acquisition integration capabilities and organizational design. Long Range Planning, [online] 57(6), p.102479. </w:t>
      </w:r>
      <w:hyperlink r:id="rId27">
        <w:r>
          <w:rPr>
            <w:color w:val="1155CC"/>
            <w:u w:val="single"/>
          </w:rPr>
          <w:t>https://doi.org/10.1016/j.lrp.2024.102479</w:t>
        </w:r>
      </w:hyperlink>
      <w:r>
        <w:t xml:space="preserve"> </w:t>
      </w:r>
    </w:p>
    <w:p w:rsidR="00621D05" w:rsidRDefault="008240CA">
      <w:pPr>
        <w:pStyle w:val="normal2"/>
        <w:spacing w:after="160"/>
      </w:pPr>
      <w:r>
        <w:t>Bennett, K. and Mayouf, M., 2021. Value management integration for whole life cycle: post COVID-19 strategy for the UK construction industry. Sustainability, 13(16), p.9274.</w:t>
      </w:r>
      <w:hyperlink r:id="rId28">
        <w:r>
          <w:rPr>
            <w:color w:val="1155CC"/>
            <w:u w:val="single"/>
          </w:rPr>
          <w:t>https://www.mdpi.com/2071-1050/13/16/9274</w:t>
        </w:r>
      </w:hyperlink>
      <w:r>
        <w:t xml:space="preserve"> </w:t>
      </w:r>
    </w:p>
    <w:p w:rsidR="00621D05" w:rsidRDefault="008240CA">
      <w:pPr>
        <w:pStyle w:val="normal2"/>
      </w:pPr>
      <w:r>
        <w:t xml:space="preserve">Biffa (2019). </w:t>
      </w:r>
      <w:r>
        <w:rPr>
          <w:i/>
          <w:iCs/>
        </w:rPr>
        <w:t>Welcome to Biffa – no.1 for business waste</w:t>
      </w:r>
      <w:r>
        <w:t xml:space="preserve">. [online] Biffa. Available at: </w:t>
      </w:r>
      <w:hyperlink r:id="rId29">
        <w:r>
          <w:rPr>
            <w:color w:val="1155CC"/>
            <w:u w:val="single"/>
          </w:rPr>
          <w:t>https://www.biffa.co.uk/</w:t>
        </w:r>
      </w:hyperlink>
      <w:r>
        <w:t xml:space="preserve"> [Accessed 24 Aug. 2026].</w:t>
      </w:r>
    </w:p>
    <w:p w:rsidR="00621D05" w:rsidRDefault="008240CA">
      <w:pPr>
        <w:pStyle w:val="normal2"/>
      </w:pPr>
      <w:r>
        <w:t xml:space="preserve">Binyaseen, A.M.A. (2024). Office design features and future organizational change toward supporting sustainability. </w:t>
      </w:r>
      <w:r>
        <w:rPr>
          <w:i/>
          <w:iCs/>
        </w:rPr>
        <w:t>Buildings</w:t>
      </w:r>
      <w:r>
        <w:t xml:space="preserve">, [online] 14(1), p.260. Available at: </w:t>
      </w:r>
      <w:hyperlink r:id="rId30">
        <w:r>
          <w:rPr>
            <w:color w:val="1155CC"/>
            <w:u w:val="single"/>
          </w:rPr>
          <w:t>https://www.mdpi.com/2075-5309/14/1/260</w:t>
        </w:r>
      </w:hyperlink>
      <w:r>
        <w:t xml:space="preserve"> [Accessed 24 Aug. 2026].</w:t>
      </w:r>
    </w:p>
    <w:p w:rsidR="00621D05" w:rsidRDefault="008240CA">
      <w:pPr>
        <w:pStyle w:val="normal2"/>
      </w:pPr>
      <w:r>
        <w:lastRenderedPageBreak/>
        <w:t xml:space="preserve">Bio-powder.com. (2023). </w:t>
      </w:r>
      <w:r>
        <w:rPr>
          <w:i/>
          <w:iCs/>
        </w:rPr>
        <w:t>Embracing Circular Economy: Profitable Sustainability for Modern Companies</w:t>
      </w:r>
      <w:r>
        <w:t>. [online] Available at: https://www.bio-powder.com/en/circular-economy/ [Accessed 18 Aug. 2026].</w:t>
      </w:r>
    </w:p>
    <w:p w:rsidR="00621D05" w:rsidRDefault="008240CA">
      <w:pPr>
        <w:pStyle w:val="normal2"/>
      </w:pPr>
      <w:r>
        <w:t xml:space="preserve">Bone, M., Ehlinger, E.G. and Stephany, F. (2025). Skills or degree? The rise of skill-based hiring for AI and green jobs. </w:t>
      </w:r>
      <w:r>
        <w:rPr>
          <w:i/>
          <w:iCs/>
        </w:rPr>
        <w:t>Technological Forecasting and Social Change</w:t>
      </w:r>
      <w:r>
        <w:t xml:space="preserve">, [online] 214, p.124042. Available at: </w:t>
      </w:r>
      <w:hyperlink r:id="rId31">
        <w:r>
          <w:rPr>
            <w:color w:val="1155CC"/>
            <w:u w:val="single"/>
          </w:rPr>
          <w:t>https://www.sciencedirect.com/science/article/pii/S0040162525000733</w:t>
        </w:r>
      </w:hyperlink>
      <w:r>
        <w:t xml:space="preserve"> [Accessed 24 Aug. 2026].</w:t>
      </w:r>
    </w:p>
    <w:p w:rsidR="00621D05" w:rsidRDefault="008240CA">
      <w:pPr>
        <w:pStyle w:val="normal2"/>
        <w:spacing w:after="160"/>
      </w:pPr>
      <w:r>
        <w:t>Böttcher, T.P., Empelmann, S., Weking, J., Hein, A. and Krcmar, H., 2024. Digital sustainable business models: Using digital technology to integrate ecological sustainability into the core of business models. Information Systems Journal, 34(3), pp.736-761.</w:t>
      </w:r>
      <w:hyperlink r:id="rId32">
        <w:r>
          <w:rPr>
            <w:color w:val="1155CC"/>
            <w:u w:val="single"/>
          </w:rPr>
          <w:t>https://onlinelibrary.wiley.com/doi/pdfdirect/10.1111/isj.12436</w:t>
        </w:r>
      </w:hyperlink>
      <w:r>
        <w:t xml:space="preserve"> </w:t>
      </w:r>
    </w:p>
    <w:p w:rsidR="00621D05" w:rsidRDefault="008240CA">
      <w:pPr>
        <w:pStyle w:val="normal2"/>
        <w:spacing w:after="160"/>
      </w:pPr>
      <w:r>
        <w:t>Bressanelli, G., Saccani, N. and Perona, M., 2022. Investigating business potential and users’ acceptance of circular economy: a survey and an evaluation model. Sustainability, 14(2), p.609.</w:t>
      </w:r>
      <w:hyperlink r:id="rId33">
        <w:r>
          <w:rPr>
            <w:color w:val="1155CC"/>
            <w:u w:val="single"/>
          </w:rPr>
          <w:t>https://www.mdpi.com/2071-1050/14/2/609</w:t>
        </w:r>
      </w:hyperlink>
      <w:r>
        <w:t xml:space="preserve"> </w:t>
      </w:r>
    </w:p>
    <w:p w:rsidR="00621D05" w:rsidRDefault="008240CA">
      <w:pPr>
        <w:pStyle w:val="normal2"/>
      </w:pPr>
      <w:r>
        <w:t xml:space="preserve">‌Briggs, C. (2023). </w:t>
      </w:r>
      <w:r>
        <w:rPr>
          <w:i/>
          <w:iCs/>
        </w:rPr>
        <w:t>A Sustainable Business Model - Sustainable X</w:t>
      </w:r>
      <w:r>
        <w:t xml:space="preserve">. [online] Sustainable X. Available at: </w:t>
      </w:r>
      <w:hyperlink r:id="rId34">
        <w:r>
          <w:rPr>
            <w:color w:val="1155CC"/>
            <w:u w:val="single"/>
          </w:rPr>
          <w:t>https://www.sustainablex.co.uk/sustainable-business-model/</w:t>
        </w:r>
      </w:hyperlink>
      <w:r>
        <w:t xml:space="preserve"> [Accessed 18 Aug. 2026].</w:t>
      </w:r>
    </w:p>
    <w:p w:rsidR="00621D05" w:rsidRDefault="008240CA">
      <w:pPr>
        <w:pStyle w:val="normal2"/>
      </w:pPr>
      <w:r>
        <w:t xml:space="preserve">Buckley, D. (2023). </w:t>
      </w:r>
      <w:r>
        <w:rPr>
          <w:i/>
          <w:iCs/>
        </w:rPr>
        <w:t>UK small and medium-sized enterprises (SMEs) statistics | leyton</w:t>
      </w:r>
      <w:r>
        <w:t xml:space="preserve">. [online] United Kingdom. Available at: </w:t>
      </w:r>
      <w:hyperlink r:id="rId35">
        <w:r>
          <w:rPr>
            <w:color w:val="1155CC"/>
            <w:u w:val="single"/>
          </w:rPr>
          <w:t>https://leyton.com/uk/insights/articles/uk-sme-statistics/</w:t>
        </w:r>
      </w:hyperlink>
      <w:r>
        <w:t xml:space="preserve"> [Accessed 24 Aug. 2026].</w:t>
      </w:r>
    </w:p>
    <w:p w:rsidR="00621D05" w:rsidRDefault="008240CA">
      <w:pPr>
        <w:pStyle w:val="normal2"/>
      </w:pPr>
      <w:r>
        <w:t xml:space="preserve">Budler, M., Quiroga, B.F. and Trkman, P. (2023). A review of supply chain transparency research: Antecedents, technologies, types, and outcomes. </w:t>
      </w:r>
      <w:r>
        <w:rPr>
          <w:i/>
          <w:iCs/>
        </w:rPr>
        <w:t>Journal of Business Logistics</w:t>
      </w:r>
      <w:r>
        <w:t xml:space="preserve">, [online] 45(1). Available at: </w:t>
      </w:r>
      <w:hyperlink r:id="rId36">
        <w:r>
          <w:rPr>
            <w:color w:val="1155CC"/>
            <w:u w:val="single"/>
          </w:rPr>
          <w:t>https://onlinelibrary.wiley.com/doi/10.1111/jbl.12368</w:t>
        </w:r>
      </w:hyperlink>
      <w:r>
        <w:t xml:space="preserve"> [Accessed 21 Aug. 2026].</w:t>
      </w:r>
    </w:p>
    <w:p w:rsidR="00621D05" w:rsidRDefault="008240CA">
      <w:pPr>
        <w:pStyle w:val="normal2"/>
      </w:pPr>
      <w:r>
        <w:t xml:space="preserve">Business Registers Strategy and Outputs team (2025). </w:t>
      </w:r>
      <w:r>
        <w:rPr>
          <w:i/>
          <w:iCs/>
        </w:rPr>
        <w:t>UK business; activity, size and location</w:t>
      </w:r>
      <w:r>
        <w:t xml:space="preserve">. [online] Ons.gov.uk. Available at: </w:t>
      </w:r>
      <w:hyperlink r:id="rId37">
        <w:r>
          <w:rPr>
            <w:color w:val="1155CC"/>
            <w:u w:val="single"/>
          </w:rPr>
          <w:t>https://www.ons.gov.uk/businessindustryandtrade/business/activitysizeandlocation/bulletins/ukbusinessactivitysizeandlocation/2025</w:t>
        </w:r>
      </w:hyperlink>
      <w:r>
        <w:t xml:space="preserve"> [Accessed 18 Aug. 2026].</w:t>
      </w:r>
    </w:p>
    <w:p w:rsidR="00621D05" w:rsidRDefault="008240CA">
      <w:pPr>
        <w:pStyle w:val="normal2"/>
      </w:pPr>
      <w:r>
        <w:t xml:space="preserve">Chen, R. and Perry, P. (2026). Configurational pathways for technology-enabled ESG value creation in global supply chains. </w:t>
      </w:r>
      <w:r>
        <w:rPr>
          <w:i/>
          <w:iCs/>
        </w:rPr>
        <w:t>Journal of Business Research</w:t>
      </w:r>
      <w:r>
        <w:t xml:space="preserve">, [online] 215, p.116356. Available at: </w:t>
      </w:r>
      <w:hyperlink r:id="rId38">
        <w:r>
          <w:rPr>
            <w:color w:val="1155CC"/>
            <w:u w:val="single"/>
          </w:rPr>
          <w:t>https://www.sciencedirect.com/science/article/pii/S0148296326003917</w:t>
        </w:r>
      </w:hyperlink>
      <w:r>
        <w:t xml:space="preserve"> [Accessed 21 Aug. 2026].</w:t>
      </w:r>
    </w:p>
    <w:p w:rsidR="00621D05" w:rsidRDefault="008240CA">
      <w:pPr>
        <w:pStyle w:val="normal2"/>
      </w:pPr>
      <w:r>
        <w:t xml:space="preserve">Connor-Crabb, A., Hemingray, C. and Toms, S. (2026). Can digital technologies support sufficiency in fashion? Evidence from innovative UK fashion SMEs. </w:t>
      </w:r>
      <w:r>
        <w:rPr>
          <w:i/>
          <w:iCs/>
        </w:rPr>
        <w:t>Fashion Practice</w:t>
      </w:r>
      <w:r>
        <w:t xml:space="preserve">, [online] pp.1–26. Available at: </w:t>
      </w:r>
      <w:hyperlink r:id="rId39">
        <w:r>
          <w:rPr>
            <w:color w:val="1155CC"/>
            <w:u w:val="single"/>
          </w:rPr>
          <w:t>https://www.tandfonline.com/doi/full/10.1080/17569370.2026.2639755</w:t>
        </w:r>
      </w:hyperlink>
      <w:r>
        <w:t xml:space="preserve"> [Accessed 21 Aug. 2026].</w:t>
      </w:r>
    </w:p>
    <w:p w:rsidR="00621D05" w:rsidRDefault="008240CA">
      <w:pPr>
        <w:pStyle w:val="normal2"/>
        <w:widowControl w:val="0"/>
      </w:pPr>
      <w:r>
        <w:t xml:space="preserve">Consultancy UK (2026) ‘London now world’s second most expensive office fit-out market’, </w:t>
      </w:r>
      <w:r>
        <w:rPr>
          <w:i/>
          <w:iCs/>
        </w:rPr>
        <w:t>Consultancy.uk</w:t>
      </w:r>
      <w:r>
        <w:t>, 2 June. Available at:</w:t>
      </w:r>
      <w:hyperlink r:id="rId40">
        <w:r>
          <w:t xml:space="preserve"> </w:t>
        </w:r>
      </w:hyperlink>
      <w:hyperlink r:id="rId41">
        <w:r>
          <w:rPr>
            <w:color w:val="1155CC"/>
            <w:u w:val="single"/>
          </w:rPr>
          <w:t>https://www.consultancy.uk/news/44287/london-now-worlds-second-most-expensive-office-fit-out-market</w:t>
        </w:r>
      </w:hyperlink>
      <w:r>
        <w:t xml:space="preserve"> (Accessed: 18 August 2026).</w:t>
      </w:r>
      <w:r>
        <w:rPr>
          <w:b/>
          <w:bCs/>
        </w:rPr>
        <w:br/>
      </w:r>
      <w:r>
        <w:t>Office for National Statistics (2025a) ‘UK business; activity, size and location: 2025’, 24 September. Available at:</w:t>
      </w:r>
      <w:hyperlink r:id="rId42">
        <w:r>
          <w:t xml:space="preserve"> </w:t>
        </w:r>
      </w:hyperlink>
      <w:hyperlink r:id="rId43">
        <w:r>
          <w:rPr>
            <w:color w:val="1155CC"/>
            <w:u w:val="single"/>
          </w:rPr>
          <w:t>https://www.ons.gov.uk/businessindustryandtrade/business/activitysizeandlocation/bulletins/ukbusinessactivitysizeandlocation/2025</w:t>
        </w:r>
      </w:hyperlink>
      <w:r>
        <w:t xml:space="preserve"> (Accessed: 18 August 2026).</w:t>
      </w:r>
      <w:r>
        <w:rPr>
          <w:b/>
          <w:bCs/>
        </w:rPr>
        <w:br/>
      </w:r>
      <w:r>
        <w:t>Office for National Statistics (2025b) ‘Who has access to hybrid work in Great Britain?’, 11 June. Available at:</w:t>
      </w:r>
      <w:hyperlink r:id="rId44">
        <w:r>
          <w:t xml:space="preserve"> </w:t>
        </w:r>
      </w:hyperlink>
      <w:hyperlink r:id="rId45">
        <w:r>
          <w:rPr>
            <w:color w:val="1155CC"/>
            <w:u w:val="single"/>
          </w:rPr>
          <w:t>https://www.ons.gov.uk/employmentandlabourmarket/peopleinwork/employmentandemployeetypes/articles/whohasaccesstohybridworkingreatbritain/latest</w:t>
        </w:r>
      </w:hyperlink>
      <w:r>
        <w:t xml:space="preserve"> (Accessed: 18 August 2026).</w:t>
      </w:r>
      <w:r>
        <w:rPr>
          <w:b/>
          <w:bCs/>
        </w:rPr>
        <w:br/>
      </w:r>
      <w:r>
        <w:t xml:space="preserve">Homes England (2025) </w:t>
      </w:r>
      <w:r>
        <w:rPr>
          <w:i/>
          <w:iCs/>
        </w:rPr>
        <w:t>Homes England annual report and accounts 2024 to 2025</w:t>
      </w:r>
      <w:r>
        <w:t>. Available at:</w:t>
      </w:r>
      <w:hyperlink r:id="rId46">
        <w:r>
          <w:t xml:space="preserve"> </w:t>
        </w:r>
      </w:hyperlink>
      <w:hyperlink r:id="rId47">
        <w:r>
          <w:rPr>
            <w:color w:val="1155CC"/>
            <w:u w:val="single"/>
          </w:rPr>
          <w:t>https://www.gov.uk/government/publications/homes-england-annual-report-and-accounts-2024-and-2025/homes-england-annual-report-2024-to-2025-chairs-foreword-and-performance-report-accessible-version</w:t>
        </w:r>
      </w:hyperlink>
      <w:r>
        <w:t xml:space="preserve"> (Accessed: 18 August </w:t>
      </w:r>
      <w:r>
        <w:lastRenderedPageBreak/>
        <w:t>2026).</w:t>
      </w:r>
    </w:p>
    <w:p w:rsidR="00621D05" w:rsidRDefault="008240CA">
      <w:pPr>
        <w:pStyle w:val="normal2"/>
        <w:widowControl w:val="0"/>
      </w:pPr>
      <w:r>
        <w:t xml:space="preserve">Cooper, M. (2024). Integrating Sustainability Into Procurement: Perspectives From Supply Chain Practitioners. </w:t>
      </w:r>
      <w:hyperlink r:id="rId48">
        <w:r>
          <w:rPr>
            <w:color w:val="1155CC"/>
            <w:u w:val="single"/>
          </w:rPr>
          <w:t>https://doi.org/10.20944/preprints202407.0614.v1</w:t>
        </w:r>
      </w:hyperlink>
      <w:r>
        <w:t xml:space="preserve"> </w:t>
      </w:r>
    </w:p>
    <w:p w:rsidR="00621D05" w:rsidRDefault="008240CA">
      <w:pPr>
        <w:pStyle w:val="normal2"/>
        <w:spacing w:after="160"/>
      </w:pPr>
      <w:r>
        <w:t>Daglio, L., Ginelli, E. and Vignati, G., 2023. Housing design: Furniture or fixtures? Accommodating change through technological and typological innovation. Buildings, 13(7), p.1862.</w:t>
      </w:r>
      <w:hyperlink r:id="rId49">
        <w:r>
          <w:rPr>
            <w:color w:val="1155CC"/>
            <w:u w:val="single"/>
          </w:rPr>
          <w:t>https://www.mdpi.com/2075-5309/13/7/1862</w:t>
        </w:r>
      </w:hyperlink>
      <w:r>
        <w:t xml:space="preserve"> </w:t>
      </w:r>
    </w:p>
    <w:p w:rsidR="00621D05" w:rsidRDefault="008240CA">
      <w:pPr>
        <w:pStyle w:val="normal2"/>
      </w:pPr>
      <w:r>
        <w:t xml:space="preserve">‌Dalton, L. (2025). </w:t>
      </w:r>
      <w:r>
        <w:rPr>
          <w:i/>
          <w:iCs/>
        </w:rPr>
        <w:t>Working from Home Statistics UK: The 2025 Report</w:t>
      </w:r>
      <w:r>
        <w:t xml:space="preserve">. [online] Working From Coffee Shops. Available at: </w:t>
      </w:r>
      <w:hyperlink r:id="rId50">
        <w:r>
          <w:rPr>
            <w:color w:val="1155CC"/>
            <w:u w:val="single"/>
          </w:rPr>
          <w:t>https://www.workingfromcoffeeshops.co.uk/blog/working-from-home-statistics-uk</w:t>
        </w:r>
      </w:hyperlink>
      <w:r>
        <w:t xml:space="preserve"> [Accessed 18 Aug. 2026].</w:t>
      </w:r>
    </w:p>
    <w:p w:rsidR="00621D05" w:rsidRDefault="008240CA">
      <w:pPr>
        <w:pStyle w:val="normal2"/>
      </w:pPr>
      <w:r>
        <w:t xml:space="preserve">Dao, T., Cooper, T. and Watkins, M. (2026). Examining the ‘consumer repair journey’ and business intervention opportunities to enhance customer experience and satisfaction. </w:t>
      </w:r>
      <w:r>
        <w:rPr>
          <w:i/>
          <w:iCs/>
        </w:rPr>
        <w:t>Circular Economy and Sustainability</w:t>
      </w:r>
      <w:r>
        <w:t xml:space="preserve">, [online] 6(2). Available at: </w:t>
      </w:r>
      <w:hyperlink r:id="rId51">
        <w:r>
          <w:rPr>
            <w:color w:val="1155CC"/>
            <w:u w:val="single"/>
          </w:rPr>
          <w:t>https://link.springer.com/article/10.1007/s43615-026-00773-x</w:t>
        </w:r>
      </w:hyperlink>
      <w:r>
        <w:t xml:space="preserve"> [Accessed 21 Aug. 2026].</w:t>
      </w:r>
    </w:p>
    <w:p w:rsidR="00621D05" w:rsidRDefault="008240CA">
      <w:pPr>
        <w:pStyle w:val="normal2"/>
      </w:pPr>
      <w:r>
        <w:t xml:space="preserve">Das, A.K., Hossain, M.F., Khan, B.U., Rahman, M.M., Asad, Z. and Akter, M. (2025). Circular economy: A sustainable model for waste reduction and wealth creation in the textile supply chain. </w:t>
      </w:r>
      <w:r>
        <w:rPr>
          <w:i/>
          <w:iCs/>
        </w:rPr>
        <w:t>SPE Polymers</w:t>
      </w:r>
      <w:r>
        <w:t xml:space="preserve">, [online] 6(1). Available at: </w:t>
      </w:r>
      <w:hyperlink r:id="rId52">
        <w:r>
          <w:rPr>
            <w:color w:val="1155CC"/>
            <w:u w:val="single"/>
          </w:rPr>
          <w:t>https://4spepublications.onlinelibrary.wiley.com/doi/10.1002/pls2.10171</w:t>
        </w:r>
      </w:hyperlink>
      <w:r>
        <w:t xml:space="preserve"> [Accessed 21 Aug. 2026].</w:t>
      </w:r>
    </w:p>
    <w:p w:rsidR="00621D05" w:rsidRDefault="008240CA">
      <w:pPr>
        <w:pStyle w:val="normal2"/>
      </w:pPr>
      <w:r>
        <w:t xml:space="preserve">Dauerer, A. (2025). A systematic literature review of performance measurement systems and the integration of ESG factors. </w:t>
      </w:r>
      <w:r>
        <w:rPr>
          <w:i/>
          <w:iCs/>
        </w:rPr>
        <w:t>Environmental and Sustainability Indicators</w:t>
      </w:r>
      <w:r>
        <w:t xml:space="preserve">, [online] 27, p.100746. </w:t>
      </w:r>
      <w:hyperlink r:id="rId53">
        <w:r>
          <w:rPr>
            <w:color w:val="1155CC"/>
            <w:u w:val="single"/>
          </w:rPr>
          <w:t>https://doi.org/10.1016/j.indic.2025.100746</w:t>
        </w:r>
      </w:hyperlink>
      <w:r>
        <w:t xml:space="preserve"> </w:t>
      </w:r>
    </w:p>
    <w:p w:rsidR="00621D05" w:rsidRDefault="008240CA">
      <w:pPr>
        <w:pStyle w:val="normal2"/>
      </w:pPr>
      <w:r>
        <w:t xml:space="preserve">Davis, T. and Charter, M. (2025). Creative Industries and the circular economy: A reality check across global policy, practice, and research. </w:t>
      </w:r>
      <w:r>
        <w:rPr>
          <w:i/>
          <w:iCs/>
        </w:rPr>
        <w:t>Sustainability</w:t>
      </w:r>
      <w:r>
        <w:t xml:space="preserve">, [online] 17(23), p.10460. Available at: </w:t>
      </w:r>
      <w:hyperlink r:id="rId54">
        <w:r>
          <w:rPr>
            <w:color w:val="1155CC"/>
            <w:u w:val="single"/>
          </w:rPr>
          <w:t>https://www.mdpi.com/2071-1050/17/23/10460</w:t>
        </w:r>
      </w:hyperlink>
      <w:r>
        <w:t xml:space="preserve"> [Accessed 21 Aug. 2026].</w:t>
      </w:r>
    </w:p>
    <w:p w:rsidR="00621D05" w:rsidRDefault="008240CA">
      <w:pPr>
        <w:pStyle w:val="normal2"/>
        <w:widowControl w:val="0"/>
      </w:pPr>
      <w:r>
        <w:lastRenderedPageBreak/>
        <w:t xml:space="preserve">Delta-esourcing.com. (2026). </w:t>
      </w:r>
      <w:r>
        <w:rPr>
          <w:i/>
          <w:iCs/>
        </w:rPr>
        <w:t>View Notice | NEUPC Procurement Portal</w:t>
      </w:r>
      <w:r>
        <w:t>. [online] Available at: https://neupc.delta-esourcing.com/commonNoticeSearch/viewNotice.html?displayNoticeId=1043636322 [Accessed 24 Aug. 2026].</w:t>
      </w:r>
    </w:p>
    <w:p w:rsidR="00621D05" w:rsidRDefault="008240CA">
      <w:pPr>
        <w:pStyle w:val="normal2"/>
        <w:widowControl w:val="0"/>
      </w:pPr>
      <w:r>
        <w:t xml:space="preserve">Department for Environment, Food &amp; Rural Affairs (2022). </w:t>
      </w:r>
      <w:r>
        <w:rPr>
          <w:i/>
          <w:iCs/>
        </w:rPr>
        <w:t>UK statistics on waste</w:t>
      </w:r>
      <w:r>
        <w:t>. [online] GOV.UK. Available at: https://www.gov.uk/government/statistics/uk-waste-data/uk-statistics-on-waste [Accessed 24 Aug. 2026].</w:t>
      </w:r>
    </w:p>
    <w:p w:rsidR="00621D05" w:rsidRDefault="008240CA">
      <w:pPr>
        <w:pStyle w:val="normal2"/>
        <w:widowControl w:val="0"/>
        <w:spacing w:after="0"/>
      </w:pPr>
      <w:r>
        <w:t xml:space="preserve">Department for Environment, Food &amp; Rural Affairs (2025) </w:t>
      </w:r>
      <w:r>
        <w:rPr>
          <w:i/>
          <w:iCs/>
        </w:rPr>
        <w:t>UK statistics on waste</w:t>
      </w:r>
      <w:r>
        <w:t>. GOV.UK. Available at:</w:t>
      </w:r>
      <w:hyperlink r:id="rId55">
        <w:r>
          <w:t xml:space="preserve"> </w:t>
        </w:r>
      </w:hyperlink>
      <w:hyperlink r:id="rId56">
        <w:r>
          <w:rPr>
            <w:color w:val="1155CC"/>
            <w:u w:val="single"/>
          </w:rPr>
          <w:t>https://www.gov.uk/government/statistics/uk-waste-data/uk-statistics-on-waste</w:t>
        </w:r>
      </w:hyperlink>
      <w:r>
        <w:t xml:space="preserve"> (Accessed: 24 August 2026). </w:t>
      </w:r>
    </w:p>
    <w:p w:rsidR="00621D05" w:rsidRDefault="008240CA">
      <w:pPr>
        <w:pStyle w:val="normal2"/>
        <w:widowControl w:val="0"/>
      </w:pPr>
      <w:r>
        <w:t xml:space="preserve">Department for Environment, Food and Rural Affairs (2023) </w:t>
      </w:r>
      <w:r>
        <w:rPr>
          <w:i/>
          <w:iCs/>
        </w:rPr>
        <w:t>Maximising resources, minimising waste: a circular economy approach to resource and waste management in England</w:t>
      </w:r>
      <w:r>
        <w:t xml:space="preserve">. Available at: </w:t>
      </w:r>
      <w:hyperlink r:id="rId57">
        <w:r>
          <w:rPr>
            <w:color w:val="1155CC"/>
            <w:u w:val="single"/>
          </w:rPr>
          <w:t>https://www.gov.uk/government/publications/waste-prevention-programme-for-england-maximising-resources-minimising-waste/the-waste-prevention-programme-for-england-maximising-resources-minimising-waste</w:t>
        </w:r>
      </w:hyperlink>
      <w:r>
        <w:t xml:space="preserve"> (Accessed: 18 August 2026).</w:t>
      </w:r>
    </w:p>
    <w:p w:rsidR="00621D05" w:rsidRDefault="008240CA">
      <w:pPr>
        <w:pStyle w:val="normal2"/>
      </w:pPr>
      <w:r>
        <w:t xml:space="preserve">Elarabi, H.A.O. and Khalifa, W. (2025). Impact of sustainable finance on business financial performance: Insight from London Stock Exchange firms. </w:t>
      </w:r>
      <w:r>
        <w:rPr>
          <w:i/>
          <w:iCs/>
        </w:rPr>
        <w:t>Sustainability</w:t>
      </w:r>
      <w:r>
        <w:t xml:space="preserve">, [online] 17(11), p.4898. Available at: </w:t>
      </w:r>
      <w:hyperlink r:id="rId58">
        <w:r>
          <w:rPr>
            <w:color w:val="1155CC"/>
            <w:u w:val="single"/>
          </w:rPr>
          <w:t>https://www.mdpi.com/2071-1050/17/11/4898</w:t>
        </w:r>
      </w:hyperlink>
      <w:r>
        <w:t xml:space="preserve"> [Accessed 21 Aug. 2026].</w:t>
      </w:r>
    </w:p>
    <w:p w:rsidR="00621D05" w:rsidRDefault="008240CA">
      <w:pPr>
        <w:pStyle w:val="normal2"/>
      </w:pPr>
      <w:r>
        <w:t xml:space="preserve">Eslamipoor, R. (2026). Digital Technology’s role in circular waste management: A systematic review. </w:t>
      </w:r>
      <w:r>
        <w:rPr>
          <w:i/>
          <w:iCs/>
        </w:rPr>
        <w:t>Business Strategy and the Environment</w:t>
      </w:r>
      <w:r>
        <w:t xml:space="preserve">. [online] Available at: </w:t>
      </w:r>
      <w:hyperlink r:id="rId59">
        <w:r>
          <w:rPr>
            <w:color w:val="1155CC"/>
            <w:u w:val="single"/>
          </w:rPr>
          <w:t>https://onlinelibrary.wiley.com/doi/full/10.1002/bse.70943</w:t>
        </w:r>
      </w:hyperlink>
      <w:r>
        <w:t xml:space="preserve"> [Accessed 24 Aug. 2026].</w:t>
      </w:r>
    </w:p>
    <w:p w:rsidR="00621D05" w:rsidRDefault="008240CA">
      <w:pPr>
        <w:pStyle w:val="normal2"/>
      </w:pPr>
      <w:r>
        <w:t xml:space="preserve">European Commission (2026). </w:t>
      </w:r>
      <w:r>
        <w:rPr>
          <w:i/>
          <w:iCs/>
        </w:rPr>
        <w:t>Documents download module</w:t>
      </w:r>
      <w:r>
        <w:t xml:space="preserve">. [online] Europa.eu. Available at: </w:t>
      </w:r>
      <w:hyperlink r:id="rId60">
        <w:r>
          <w:rPr>
            <w:color w:val="1155CC"/>
            <w:u w:val="single"/>
          </w:rPr>
          <w:t>https://ec.europa.eu/research/participants/documents/downloadPublic?documentIds=080166e51297820f&amp;appId=PPGMS</w:t>
        </w:r>
      </w:hyperlink>
      <w:r>
        <w:t xml:space="preserve"> [Accessed 24 Aug. 2026].</w:t>
      </w:r>
    </w:p>
    <w:p w:rsidR="00621D05" w:rsidRDefault="008240CA">
      <w:pPr>
        <w:pStyle w:val="normal2"/>
        <w:widowControl w:val="0"/>
      </w:pPr>
      <w:r>
        <w:lastRenderedPageBreak/>
        <w:t xml:space="preserve">Find a Tender (2025) </w:t>
      </w:r>
      <w:r>
        <w:rPr>
          <w:i/>
          <w:iCs/>
        </w:rPr>
        <w:t>Sustainable Furniture Solutions</w:t>
      </w:r>
      <w:r>
        <w:t>. Available at:</w:t>
      </w:r>
      <w:hyperlink r:id="rId61">
        <w:r>
          <w:t xml:space="preserve"> </w:t>
        </w:r>
      </w:hyperlink>
      <w:hyperlink r:id="rId62">
        <w:r>
          <w:rPr>
            <w:color w:val="1155CC"/>
            <w:u w:val="single"/>
          </w:rPr>
          <w:t>https://www.find-tender.service.gov.uk/Notice/051565-2025</w:t>
        </w:r>
      </w:hyperlink>
      <w:r>
        <w:t>(Accessed: 18 August 2026).</w:t>
      </w:r>
    </w:p>
    <w:p w:rsidR="00621D05" w:rsidRDefault="008240CA">
      <w:pPr>
        <w:pStyle w:val="normal2"/>
        <w:widowControl w:val="0"/>
      </w:pPr>
      <w:r>
        <w:t xml:space="preserve">Franzè, C., Paolucci, E. and Pessot, E. (2024). Sustained value creation driven by digital connectivity: A multiple case study in the mechanical components industry. </w:t>
      </w:r>
      <w:r>
        <w:rPr>
          <w:i/>
          <w:iCs/>
        </w:rPr>
        <w:t>Technovation</w:t>
      </w:r>
      <w:r>
        <w:t xml:space="preserve">, [online] 129, p.102918. </w:t>
      </w:r>
      <w:hyperlink r:id="rId63">
        <w:r>
          <w:rPr>
            <w:color w:val="1155CC"/>
            <w:u w:val="single"/>
          </w:rPr>
          <w:t>https://www.sciencedirect.com/journal/technovation/vol/129/suppl/C</w:t>
        </w:r>
      </w:hyperlink>
      <w:r>
        <w:t xml:space="preserve"> </w:t>
      </w:r>
    </w:p>
    <w:p w:rsidR="00621D05" w:rsidRDefault="008240CA">
      <w:pPr>
        <w:pStyle w:val="normal2"/>
      </w:pPr>
      <w:r>
        <w:t xml:space="preserve">Fredriksson, A., Eriksson, L., Janné, M. and Lundberg, K. (2026). Breaking barriers to circularity: Understanding multi-actor misalignment in planning practices. </w:t>
      </w:r>
      <w:r>
        <w:rPr>
          <w:i/>
          <w:iCs/>
        </w:rPr>
        <w:t>Circular Economy and Sustainability</w:t>
      </w:r>
      <w:r>
        <w:t xml:space="preserve">, [online] 6(2). Available at: </w:t>
      </w:r>
      <w:hyperlink r:id="rId64">
        <w:r>
          <w:rPr>
            <w:color w:val="1155CC"/>
            <w:u w:val="single"/>
          </w:rPr>
          <w:t>https://link.springer.com/article/10.1007/s43615-026-00775-9</w:t>
        </w:r>
      </w:hyperlink>
      <w:r>
        <w:t xml:space="preserve"> [Accessed 24 Aug. 2026].</w:t>
      </w:r>
    </w:p>
    <w:p w:rsidR="00621D05" w:rsidRDefault="008240CA">
      <w:pPr>
        <w:pStyle w:val="normal2"/>
      </w:pPr>
      <w:r>
        <w:t xml:space="preserve">Fu, Q., Nicholson, G.L. and Easton, J.M. (2024). Understanding data quality in a data-driven industry context: Insights from the fundamentals. </w:t>
      </w:r>
      <w:r>
        <w:rPr>
          <w:i/>
          <w:iCs/>
        </w:rPr>
        <w:t>Journal of Industrial Information Integration</w:t>
      </w:r>
      <w:r>
        <w:t xml:space="preserve">, [online] 42, p.100729. </w:t>
      </w:r>
      <w:hyperlink r:id="rId65">
        <w:r>
          <w:rPr>
            <w:color w:val="1155CC"/>
            <w:u w:val="single"/>
          </w:rPr>
          <w:t>https://www.sciencedirect.com/journal/journal-of-industrial-information-integration/vol/42/suppl/C</w:t>
        </w:r>
      </w:hyperlink>
      <w:r>
        <w:t xml:space="preserve"> </w:t>
      </w:r>
    </w:p>
    <w:p w:rsidR="00621D05" w:rsidRDefault="008240CA">
      <w:pPr>
        <w:pStyle w:val="normal2"/>
      </w:pPr>
      <w:r>
        <w:t xml:space="preserve">Fu, Y., Li, Y. and Li, X. (2023). Coexisting or coworking? The reconfigured office spaces in two emerging global cities. </w:t>
      </w:r>
      <w:r>
        <w:rPr>
          <w:i/>
          <w:iCs/>
        </w:rPr>
        <w:t>Journal of Urban Affairs</w:t>
      </w:r>
      <w:r>
        <w:t xml:space="preserve">, [online] pp.1–18. Available at: </w:t>
      </w:r>
      <w:hyperlink r:id="rId66">
        <w:r>
          <w:rPr>
            <w:color w:val="1155CC"/>
            <w:u w:val="single"/>
          </w:rPr>
          <w:t>https://www.researchgate.net/publication/373599608_Coexisting_or_coworking_The_reconfigured_office_spaces_in_two_emerging_global_citie</w:t>
        </w:r>
      </w:hyperlink>
      <w:r>
        <w:t xml:space="preserve"> s [Accessed 21 Aug. 2026].</w:t>
      </w:r>
    </w:p>
    <w:p w:rsidR="00621D05" w:rsidRDefault="008240CA">
      <w:pPr>
        <w:pStyle w:val="normal2"/>
      </w:pPr>
      <w:r>
        <w:t xml:space="preserve">Global Trash Solutions (2026). </w:t>
      </w:r>
      <w:r>
        <w:rPr>
          <w:i/>
          <w:iCs/>
        </w:rPr>
        <w:t>Page restricted</w:t>
      </w:r>
      <w:r>
        <w:t xml:space="preserve">. [online] Globaltrashsolutions.com. Available at: </w:t>
      </w:r>
      <w:hyperlink r:id="rId67">
        <w:r>
          <w:rPr>
            <w:color w:val="1155CC"/>
            <w:u w:val="single"/>
          </w:rPr>
          <w:t>https://globaltrashsolutions.com/blog/waste-reduction-strategies-for-retail-chains</w:t>
        </w:r>
      </w:hyperlink>
      <w:r>
        <w:t xml:space="preserve"> [Accessed 24 Aug. 2026].</w:t>
      </w:r>
    </w:p>
    <w:p w:rsidR="00621D05" w:rsidRDefault="008240CA">
      <w:pPr>
        <w:pStyle w:val="normal2"/>
      </w:pPr>
      <w:r>
        <w:t xml:space="preserve">Gorecka, I. (2025). </w:t>
      </w:r>
      <w:r>
        <w:rPr>
          <w:i/>
          <w:iCs/>
        </w:rPr>
        <w:t>Beyond recycling: The role of office furniture in a truly sustainable economy</w:t>
      </w:r>
      <w:r>
        <w:t xml:space="preserve">. [online] Coggin-sos.co.uk. Available at: </w:t>
      </w:r>
      <w:hyperlink r:id="rId68">
        <w:r>
          <w:rPr>
            <w:color w:val="1155CC"/>
            <w:u w:val="single"/>
          </w:rPr>
          <w:t>https://www.coggin-sos.co.uk/beyond-recycling-the-role-of-office-furniture-in-a-truly-sustainable-econom</w:t>
        </w:r>
      </w:hyperlink>
      <w:r>
        <w:t xml:space="preserve"> y [Accessed 21 Aug. 2026].</w:t>
      </w:r>
    </w:p>
    <w:p w:rsidR="00621D05" w:rsidRDefault="008240CA">
      <w:pPr>
        <w:pStyle w:val="normal2"/>
      </w:pPr>
      <w:r>
        <w:lastRenderedPageBreak/>
        <w:t xml:space="preserve">Government of UK (2023). </w:t>
      </w:r>
      <w:r>
        <w:rPr>
          <w:i/>
          <w:iCs/>
        </w:rPr>
        <w:t>Dispose of business or commercial waste</w:t>
      </w:r>
      <w:r>
        <w:t xml:space="preserve">. [online] GOV.UK. Available at: </w:t>
      </w:r>
      <w:hyperlink r:id="rId69">
        <w:r>
          <w:rPr>
            <w:color w:val="1155CC"/>
            <w:u w:val="single"/>
          </w:rPr>
          <w:t>https://www.gov.uk/dispose-business-commercial-waste</w:t>
        </w:r>
      </w:hyperlink>
      <w:r w:rsidR="009A471F">
        <w:t xml:space="preserve"> </w:t>
      </w:r>
    </w:p>
    <w:p w:rsidR="00621D05" w:rsidRDefault="008240CA">
      <w:pPr>
        <w:pStyle w:val="normal2"/>
      </w:pPr>
      <w:r>
        <w:t xml:space="preserve">Government of UK (2024a). </w:t>
      </w:r>
      <w:r>
        <w:rPr>
          <w:i/>
          <w:iCs/>
        </w:rPr>
        <w:t>Estimates of Residual Waste and Municipal Residual Waste in England</w:t>
      </w:r>
      <w:r>
        <w:t xml:space="preserve">. [online] GOV.UK. Available at: </w:t>
      </w:r>
      <w:hyperlink r:id="rId70">
        <w:r>
          <w:rPr>
            <w:color w:val="1155CC"/>
            <w:u w:val="single"/>
          </w:rPr>
          <w:t>https://www.gov.uk/government/statistics/estimates-of-residual-waste-and-municipal-residual-waste-in-england/estimates-of-residual-waste-excluding-major-mineral-wastes-and-municipal-residual-waste-in-england</w:t>
        </w:r>
      </w:hyperlink>
      <w:r w:rsidR="009A471F">
        <w:t xml:space="preserve"> </w:t>
      </w:r>
    </w:p>
    <w:p w:rsidR="00621D05" w:rsidRDefault="008240CA">
      <w:pPr>
        <w:pStyle w:val="normal2"/>
      </w:pPr>
      <w:r>
        <w:t xml:space="preserve">Government of UK (2024b). </w:t>
      </w:r>
      <w:r>
        <w:rPr>
          <w:i/>
          <w:iCs/>
        </w:rPr>
        <w:t>Supplementary information: Small and medium-sized enterprises definition (HTML)</w:t>
      </w:r>
      <w:r>
        <w:t xml:space="preserve">. [online] GOV.UK. Available at: </w:t>
      </w:r>
      <w:hyperlink r:id="rId71">
        <w:r>
          <w:rPr>
            <w:color w:val="1155CC"/>
            <w:u w:val="single"/>
          </w:rPr>
          <w:t>https://www.gov.uk/government/publications/procurement-act-2023-short-guides/supplementary-information-small-and-medium-sized-enterprises-definition-html</w:t>
        </w:r>
      </w:hyperlink>
      <w:r>
        <w:t xml:space="preserve"> [Accessed 24 Aug. 2026].</w:t>
      </w:r>
    </w:p>
    <w:p w:rsidR="00621D05" w:rsidRDefault="008240CA">
      <w:pPr>
        <w:pStyle w:val="normal2"/>
      </w:pPr>
      <w:r>
        <w:t xml:space="preserve">Government of UK (2024c). </w:t>
      </w:r>
      <w:r>
        <w:rPr>
          <w:i/>
          <w:iCs/>
        </w:rPr>
        <w:t>UK Statistics on Waste</w:t>
      </w:r>
      <w:r>
        <w:t xml:space="preserve">. [online] GOV.UK. Available at: </w:t>
      </w:r>
      <w:hyperlink r:id="rId72">
        <w:r>
          <w:rPr>
            <w:color w:val="1155CC"/>
            <w:u w:val="single"/>
          </w:rPr>
          <w:t>https://www.gov.uk/government/statistics/uk-waste-data/uk-statistics-on-waste</w:t>
        </w:r>
      </w:hyperlink>
      <w:r>
        <w:t xml:space="preserve"> [Accessed 24 Aug. 2026].</w:t>
      </w:r>
    </w:p>
    <w:p w:rsidR="00621D05" w:rsidRDefault="008240CA">
      <w:pPr>
        <w:pStyle w:val="normal2"/>
      </w:pPr>
      <w:r>
        <w:t xml:space="preserve">Government of UK (2025). </w:t>
      </w:r>
      <w:r>
        <w:rPr>
          <w:i/>
          <w:iCs/>
        </w:rPr>
        <w:t>UK business; activity, size and location</w:t>
      </w:r>
      <w:r>
        <w:t xml:space="preserve">. [online] Ons.gov.uk. Available at: </w:t>
      </w:r>
      <w:hyperlink r:id="rId73">
        <w:r>
          <w:rPr>
            <w:color w:val="1155CC"/>
            <w:u w:val="single"/>
          </w:rPr>
          <w:t>https://www.ons.gov.uk/businessindustryandtrade/business/activitysizeandlocation/bulletins/ukbusinessactivitysizeandlocation/2025</w:t>
        </w:r>
      </w:hyperlink>
      <w:r>
        <w:t xml:space="preserve"> [Accessed 21 Aug. 2026].</w:t>
      </w:r>
    </w:p>
    <w:p w:rsidR="00621D05" w:rsidRDefault="008240CA">
      <w:pPr>
        <w:pStyle w:val="normal2"/>
      </w:pPr>
      <w:r>
        <w:t xml:space="preserve">Government of UK (2026a). </w:t>
      </w:r>
      <w:r>
        <w:rPr>
          <w:i/>
          <w:iCs/>
        </w:rPr>
        <w:t>Backing your business: Our plan for small and medium sized businesses (web version)</w:t>
      </w:r>
      <w:r>
        <w:t xml:space="preserve">. [online] GOV.UK. Available at: </w:t>
      </w:r>
      <w:hyperlink r:id="rId74">
        <w:r>
          <w:rPr>
            <w:color w:val="1155CC"/>
            <w:u w:val="single"/>
          </w:rPr>
          <w:t>https://www.gov.uk/government/publications/backing-your-business-our-plan-for-small-and-medium-sized-businesses/backing-your-business-our-plan-for-small-and-medium-sized-businesses-web-version</w:t>
        </w:r>
      </w:hyperlink>
      <w:r w:rsidR="009A471F">
        <w:t xml:space="preserve"> </w:t>
      </w:r>
    </w:p>
    <w:p w:rsidR="00621D05" w:rsidRDefault="008240CA">
      <w:pPr>
        <w:pStyle w:val="normal2"/>
      </w:pPr>
      <w:r>
        <w:t xml:space="preserve">Government of UK (2026b). </w:t>
      </w:r>
      <w:r>
        <w:rPr>
          <w:i/>
          <w:iCs/>
        </w:rPr>
        <w:t>National Living Wage increases to £12.71 per hour</w:t>
      </w:r>
      <w:r>
        <w:t xml:space="preserve">. [online] GOV.UK. Available at: </w:t>
      </w:r>
      <w:hyperlink r:id="rId75">
        <w:r>
          <w:rPr>
            <w:color w:val="1155CC"/>
            <w:u w:val="single"/>
          </w:rPr>
          <w:t>https://www.gov.uk/government/news/national-living-wage-increases-to-1271-per-hour</w:t>
        </w:r>
      </w:hyperlink>
      <w:r w:rsidR="009A471F">
        <w:t xml:space="preserve"> </w:t>
      </w:r>
    </w:p>
    <w:p w:rsidR="00621D05" w:rsidRDefault="008240CA">
      <w:pPr>
        <w:pStyle w:val="normal2"/>
      </w:pPr>
      <w:r>
        <w:lastRenderedPageBreak/>
        <w:t xml:space="preserve">Grand View Research (2024). </w:t>
      </w:r>
      <w:r>
        <w:rPr>
          <w:i/>
          <w:iCs/>
        </w:rPr>
        <w:t>UK Eco-friendly Furniture Market Size &amp; Outlook, 2030</w:t>
      </w:r>
      <w:r>
        <w:t xml:space="preserve">. [online] </w:t>
      </w:r>
      <w:r>
        <w:rPr>
          <w:i/>
          <w:iCs/>
        </w:rPr>
        <w:t>Grandviewresearch.com</w:t>
      </w:r>
      <w:r>
        <w:t xml:space="preserve">. Available at: </w:t>
      </w:r>
      <w:hyperlink r:id="rId76">
        <w:r>
          <w:rPr>
            <w:color w:val="1155CC"/>
            <w:u w:val="single"/>
          </w:rPr>
          <w:t>https://www.grandviewresearch.com/horizon/outlook/eco-friendly-furniture-market/uk</w:t>
        </w:r>
      </w:hyperlink>
      <w:r>
        <w:t xml:space="preserve">. </w:t>
      </w:r>
    </w:p>
    <w:p w:rsidR="00621D05" w:rsidRDefault="008240CA">
      <w:pPr>
        <w:pStyle w:val="normal2"/>
      </w:pPr>
      <w:r>
        <w:t xml:space="preserve">Green Space Innovations (2025). </w:t>
      </w:r>
      <w:r>
        <w:rPr>
          <w:i/>
          <w:iCs/>
        </w:rPr>
        <w:t>Blocked</w:t>
      </w:r>
      <w:r>
        <w:t xml:space="preserve">. [online] Greenspaceinnovations.co.uk. Available at: </w:t>
      </w:r>
      <w:hyperlink r:id="rId77">
        <w:r>
          <w:rPr>
            <w:color w:val="1155CC"/>
            <w:u w:val="single"/>
          </w:rPr>
          <w:t>https://greenspaceinnovations.co.uk/uk-recycling-rate-rises-to-44-6-as-waste-to-landfill-falls/</w:t>
        </w:r>
      </w:hyperlink>
      <w:r w:rsidR="009A471F">
        <w:t xml:space="preserve"> </w:t>
      </w:r>
    </w:p>
    <w:p w:rsidR="00621D05" w:rsidRDefault="008240CA">
      <w:pPr>
        <w:pStyle w:val="normal2"/>
      </w:pPr>
      <w:r>
        <w:t xml:space="preserve">Grundon (2026). </w:t>
      </w:r>
      <w:r>
        <w:rPr>
          <w:i/>
          <w:iCs/>
        </w:rPr>
        <w:t>UK Waste Disposal &amp; Waste Management Services</w:t>
      </w:r>
      <w:r>
        <w:t xml:space="preserve">. [online] Grundon. Available at: </w:t>
      </w:r>
      <w:hyperlink r:id="rId78">
        <w:r>
          <w:rPr>
            <w:color w:val="1155CC"/>
            <w:u w:val="single"/>
          </w:rPr>
          <w:t>https://www.grundon.com/</w:t>
        </w:r>
      </w:hyperlink>
      <w:r w:rsidR="009A471F">
        <w:t xml:space="preserve"> </w:t>
      </w:r>
    </w:p>
    <w:p w:rsidR="00621D05" w:rsidRDefault="008240CA">
      <w:pPr>
        <w:pStyle w:val="normal2"/>
      </w:pPr>
      <w:r>
        <w:t xml:space="preserve">Guerreiro, R. and Amaral, J.V. (2018). Cost-based price and value-based price: Are they conflicting approaches? </w:t>
      </w:r>
      <w:r>
        <w:rPr>
          <w:i/>
          <w:iCs/>
        </w:rPr>
        <w:t>Journal of Business &amp; Industrial Marketing</w:t>
      </w:r>
      <w:r>
        <w:t xml:space="preserve">, [online] 33(3), pp.00–00. Available at: </w:t>
      </w:r>
      <w:hyperlink r:id="rId79">
        <w:r>
          <w:rPr>
            <w:color w:val="1155CC"/>
            <w:u w:val="single"/>
          </w:rPr>
          <w:t>https://www.researchgate.net/publication/323082261_Cost-based_price_and_value-based_price_are_they_conflicting_approaches</w:t>
        </w:r>
      </w:hyperlink>
      <w:r>
        <w:t xml:space="preserve"> [Accessed 24 Aug. 2026].</w:t>
      </w:r>
    </w:p>
    <w:p w:rsidR="00621D05" w:rsidRDefault="008240CA">
      <w:pPr>
        <w:pStyle w:val="normal2"/>
        <w:spacing w:after="160"/>
      </w:pPr>
      <w:r>
        <w:t>Halat, K., Childe, S., Golding, N. and Summerscales, J., 2026. Scope 3 Carbon Emissions Assessment for Manufacturing SMEs. Corporate Social Responsibility and Environmental Management.</w:t>
      </w:r>
      <w:hyperlink r:id="rId80">
        <w:r>
          <w:rPr>
            <w:color w:val="1155CC"/>
            <w:u w:val="single"/>
          </w:rPr>
          <w:t>https://onlinelibrary.wiley.com/doi/pdf/10.1002/csr.70489</w:t>
        </w:r>
      </w:hyperlink>
      <w:r>
        <w:t xml:space="preserve"> </w:t>
      </w:r>
    </w:p>
    <w:p w:rsidR="00621D05" w:rsidRDefault="008240CA">
      <w:pPr>
        <w:pStyle w:val="normal2"/>
        <w:widowControl w:val="0"/>
      </w:pPr>
      <w:r>
        <w:t xml:space="preserve">‌Handoyo, S., Suharman, H., Ghani, E.K. and Soedarsono, S. (2023). A business strategy, operational efficiency, ownership structure, and manufacturing performance: The moderating role of market uncertainty and competition intensity and its implication on open innovation. </w:t>
      </w:r>
      <w:r>
        <w:rPr>
          <w:i/>
          <w:iCs/>
        </w:rPr>
        <w:t>Journal of Open Innovation: Technology, Market, and Complexity</w:t>
      </w:r>
      <w:r>
        <w:t xml:space="preserve">, [online] 9(2), p.100039. </w:t>
      </w:r>
      <w:hyperlink r:id="rId81">
        <w:r>
          <w:rPr>
            <w:color w:val="1155CC"/>
            <w:u w:val="single"/>
          </w:rPr>
          <w:t>https://doi.org/10.1016/j.joitmc.2023.100039</w:t>
        </w:r>
      </w:hyperlink>
      <w:r>
        <w:t xml:space="preserve"> </w:t>
      </w:r>
    </w:p>
    <w:p w:rsidR="00621D05" w:rsidRDefault="008240CA">
      <w:pPr>
        <w:pStyle w:val="normal2"/>
        <w:widowControl w:val="0"/>
      </w:pPr>
      <w:r>
        <w:t xml:space="preserve">Helo, P. and Thai, V.V. (2024). Logistics 4.0 – digital transformation with smart connected tracking and tracing devices. </w:t>
      </w:r>
      <w:r>
        <w:rPr>
          <w:i/>
          <w:iCs/>
        </w:rPr>
        <w:t>International Journal of Production Economics</w:t>
      </w:r>
      <w:r>
        <w:t xml:space="preserve">, [online] 275, p.109336. </w:t>
      </w:r>
      <w:hyperlink r:id="rId82">
        <w:r>
          <w:rPr>
            <w:color w:val="1155CC"/>
            <w:u w:val="single"/>
          </w:rPr>
          <w:t>https://www.sciencedirect.com/journal/international-journal-of-production-economics/vol/275/suppl/C</w:t>
        </w:r>
      </w:hyperlink>
      <w:r>
        <w:t xml:space="preserve"> </w:t>
      </w:r>
    </w:p>
    <w:p w:rsidR="00621D05" w:rsidRDefault="008240CA">
      <w:pPr>
        <w:pStyle w:val="normal2"/>
        <w:spacing w:after="160"/>
      </w:pPr>
      <w:r>
        <w:t xml:space="preserve">Hidalgo-Crespo, J., Riel, A., Duberg, J.V., Bunodiere, A. and Golinska-Dawson, P., 2024. An exploratory study for product-as-a-service (PaaS) offers development for </w:t>
      </w:r>
      <w:r>
        <w:lastRenderedPageBreak/>
        <w:t>electrical and electronic equipment. Procedia CIRP, 122, pp.521-526.</w:t>
      </w:r>
      <w:hyperlink r:id="rId83">
        <w:r>
          <w:rPr>
            <w:color w:val="1155CC"/>
            <w:u w:val="single"/>
          </w:rPr>
          <w:t>https://www.sciencedirect.com/science/article/pii/S2212827124000933/pdf?md5=eef925a01737505493cc025e4f44a238&amp;pid=1-s2.0-S2212827124000933-main.pdf</w:t>
        </w:r>
      </w:hyperlink>
      <w:r>
        <w:t xml:space="preserve"> </w:t>
      </w:r>
    </w:p>
    <w:p w:rsidR="00621D05" w:rsidRDefault="008240CA">
      <w:pPr>
        <w:pStyle w:val="normal2"/>
      </w:pPr>
      <w:r>
        <w:t xml:space="preserve">Hokmabadi, H., Rezvani, S.M.H.S. and de Matos, C.A. (2024). Business resilience for small and medium enterprises and startups by digital transformation and the role of marketing capabilities—A systematic review. </w:t>
      </w:r>
      <w:r>
        <w:rPr>
          <w:i/>
          <w:iCs/>
        </w:rPr>
        <w:t>Systems</w:t>
      </w:r>
      <w:r>
        <w:t xml:space="preserve">, [online] 12(6), p.220. Available at: </w:t>
      </w:r>
      <w:hyperlink r:id="rId84">
        <w:r>
          <w:rPr>
            <w:color w:val="1155CC"/>
            <w:u w:val="single"/>
          </w:rPr>
          <w:t>https://www.mdpi.com/2079-8954/12/6/220</w:t>
        </w:r>
      </w:hyperlink>
      <w:r>
        <w:t xml:space="preserve"> [Accessed 21 Aug. 2026].</w:t>
      </w:r>
    </w:p>
    <w:p w:rsidR="00621D05" w:rsidRDefault="008240CA">
      <w:pPr>
        <w:pStyle w:val="normal2"/>
      </w:pPr>
      <w:r>
        <w:t xml:space="preserve">Holman, D., Davis, M., Escaffi-Schwarz, M. and Ono, M. (2026). The hybrid workspace: Testing an activity-based model of hybrid workspace design. </w:t>
      </w:r>
      <w:r>
        <w:rPr>
          <w:i/>
          <w:iCs/>
        </w:rPr>
        <w:t>European Journal of Work and Organizational Psychology</w:t>
      </w:r>
      <w:r>
        <w:t xml:space="preserve">, [online] pp.1–21. Available at: </w:t>
      </w:r>
      <w:hyperlink r:id="rId85">
        <w:r>
          <w:rPr>
            <w:color w:val="1155CC"/>
            <w:u w:val="single"/>
          </w:rPr>
          <w:t>https://www.tandfonline.com/doi/full/10.1080/1359432X.2026.2648294</w:t>
        </w:r>
      </w:hyperlink>
      <w:r>
        <w:t xml:space="preserve"> [Accessed 21 Aug. 2026].</w:t>
      </w:r>
    </w:p>
    <w:p w:rsidR="00621D05" w:rsidRDefault="008240CA">
      <w:pPr>
        <w:pStyle w:val="normal2"/>
      </w:pPr>
      <w:r>
        <w:t xml:space="preserve">Horn, S. and Silvennoinen, K. (2025). Traceability as an Enabler of Circular Economy in the Plastics Packaging Value Chain. Circular Economy and Sustainability. </w:t>
      </w:r>
      <w:hyperlink r:id="rId86">
        <w:r>
          <w:rPr>
            <w:color w:val="1155CC"/>
            <w:u w:val="single"/>
          </w:rPr>
          <w:t>https://doi.org/10.1007/s43615-025-00626-z?urlappend=%3Futm_source%3Dresearchgate.net%26utm_medium%3Darticle</w:t>
        </w:r>
      </w:hyperlink>
      <w:r>
        <w:t xml:space="preserve"> </w:t>
      </w:r>
    </w:p>
    <w:p w:rsidR="00621D05" w:rsidRDefault="008240CA">
      <w:pPr>
        <w:pStyle w:val="normal2"/>
        <w:widowControl w:val="0"/>
      </w:pPr>
      <w:r>
        <w:t xml:space="preserve">Huis, C., Vallaster, C. and Müller, J.M. (2026) ‘The difficulties in finding value in waste: linking institutional dynamics and circular business model development’, </w:t>
      </w:r>
      <w:r>
        <w:rPr>
          <w:i/>
          <w:iCs/>
        </w:rPr>
        <w:t>Review of Managerial Science</w:t>
      </w:r>
      <w:r>
        <w:t xml:space="preserve">. </w:t>
      </w:r>
      <w:hyperlink r:id="rId87">
        <w:r>
          <w:rPr>
            <w:color w:val="1155CC"/>
            <w:u w:val="single"/>
          </w:rPr>
          <w:t>https://doi.org/10.1007/s11846-026-00971-9?urlappend=%3Futm_source%3Dresearchgate.net%26utm_medium%3Darticle</w:t>
        </w:r>
      </w:hyperlink>
      <w:r>
        <w:t xml:space="preserve"> </w:t>
      </w:r>
    </w:p>
    <w:p w:rsidR="00621D05" w:rsidRDefault="008240CA">
      <w:pPr>
        <w:pStyle w:val="normal2"/>
        <w:widowControl w:val="0"/>
      </w:pPr>
      <w:r>
        <w:t xml:space="preserve">Ignatius, T., Nwabekee, S., Ebele, E. and Abdul-Azeez, O.Y. (2024). The impact of customer relationship management (CRM) tools on sales growth and customer loyalty in emerging markets. </w:t>
      </w:r>
      <w:r>
        <w:rPr>
          <w:i/>
          <w:iCs/>
        </w:rPr>
        <w:t>International Journal of Management &amp; Entrepreneurship Research</w:t>
      </w:r>
      <w:r>
        <w:t xml:space="preserve">, [online] 6(9), pp.2964–2988. </w:t>
      </w:r>
      <w:hyperlink r:id="rId88">
        <w:r>
          <w:rPr>
            <w:color w:val="1155CC"/>
            <w:u w:val="single"/>
          </w:rPr>
          <w:t>https://doi.org/10.51594/ijmer.v6i9.1533</w:t>
        </w:r>
      </w:hyperlink>
      <w:r>
        <w:t xml:space="preserve"> </w:t>
      </w:r>
    </w:p>
    <w:p w:rsidR="00621D05" w:rsidRDefault="008240CA">
      <w:pPr>
        <w:pStyle w:val="normal2"/>
        <w:widowControl w:val="0"/>
      </w:pPr>
      <w:r>
        <w:t xml:space="preserve">Jenkins, A. (2024). </w:t>
      </w:r>
      <w:r>
        <w:rPr>
          <w:i/>
          <w:iCs/>
        </w:rPr>
        <w:t>13 Reverse Logistics Challenges &amp; How to Overcome Them</w:t>
      </w:r>
      <w:r>
        <w:t>. [online] Oracle NetSuite. Available at: https://www.netsuite.com/portal/resource/articles/inventory-management/reverse-</w:t>
      </w:r>
      <w:r>
        <w:lastRenderedPageBreak/>
        <w:t>logistics-challenges.shtml [Accessed 24 Aug. 2026].</w:t>
      </w:r>
    </w:p>
    <w:p w:rsidR="00621D05" w:rsidRDefault="008240CA">
      <w:pPr>
        <w:pStyle w:val="normal2"/>
      </w:pPr>
      <w:r>
        <w:t xml:space="preserve">Kalbach, J., Wermuth, Y., Duda, S. and Florin Ciontu (2024). Jobs-to-be-done at scale: Disrupting the status quo with customer focus. </w:t>
      </w:r>
      <w:r>
        <w:rPr>
          <w:i/>
          <w:iCs/>
        </w:rPr>
        <w:t>Journal of digital &amp; social media marketing.</w:t>
      </w:r>
      <w:r>
        <w:t xml:space="preserve">, [online] 12(3), pp.262–262. </w:t>
      </w:r>
      <w:hyperlink r:id="rId89">
        <w:r>
          <w:rPr>
            <w:color w:val="1155CC"/>
            <w:u w:val="single"/>
          </w:rPr>
          <w:t>https://doi.org/10.69554/NJQQ4314</w:t>
        </w:r>
      </w:hyperlink>
      <w:r>
        <w:t xml:space="preserve"> </w:t>
      </w:r>
    </w:p>
    <w:p w:rsidR="00621D05" w:rsidRDefault="008240CA">
      <w:pPr>
        <w:pStyle w:val="normal2"/>
      </w:pPr>
      <w:r>
        <w:t xml:space="preserve">Kaluvilla, B.B., Mulla, T. and Zahidi, F. (2025). Driving sustainable choices through understanding consumer behaviour and underlying factors that influence the purchasing intention of refurbished furniture. </w:t>
      </w:r>
      <w:r>
        <w:rPr>
          <w:i/>
          <w:iCs/>
        </w:rPr>
        <w:t>Discover Sustainability</w:t>
      </w:r>
      <w:r>
        <w:t xml:space="preserve">, [online] 6(1). Available at: </w:t>
      </w:r>
      <w:hyperlink r:id="rId90">
        <w:r>
          <w:rPr>
            <w:color w:val="1155CC"/>
            <w:u w:val="single"/>
          </w:rPr>
          <w:t>https://link.springer.com/article/10.1007/s43621-025-01497-y</w:t>
        </w:r>
      </w:hyperlink>
      <w:r>
        <w:t xml:space="preserve"> [Accessed 21 Aug. 2026].</w:t>
      </w:r>
    </w:p>
    <w:p w:rsidR="00621D05" w:rsidRDefault="008240CA">
      <w:pPr>
        <w:pStyle w:val="normal2"/>
      </w:pPr>
      <w:r>
        <w:t xml:space="preserve">Kam, B., Ahsan, K., Deng, H. and Duan, S. (2026). Digital platforms in supply chain and logistics management: A systematic literature review. </w:t>
      </w:r>
      <w:r>
        <w:rPr>
          <w:i/>
          <w:iCs/>
        </w:rPr>
        <w:t>Transportation Research Part E: Logistics and Transportation Review</w:t>
      </w:r>
      <w:r>
        <w:t xml:space="preserve">, [online] 209, p.104737. Available at: </w:t>
      </w:r>
      <w:hyperlink r:id="rId91">
        <w:r>
          <w:rPr>
            <w:color w:val="1155CC"/>
            <w:u w:val="single"/>
          </w:rPr>
          <w:t>https://www.sciencedirect.com/science/article/pii/S1366554526000773</w:t>
        </w:r>
      </w:hyperlink>
      <w:r>
        <w:t xml:space="preserve"> [Accessed 24 Aug. 2026].</w:t>
      </w:r>
    </w:p>
    <w:p w:rsidR="00621D05" w:rsidRDefault="008240CA">
      <w:pPr>
        <w:pStyle w:val="normal2"/>
        <w:widowControl w:val="0"/>
      </w:pPr>
      <w:r>
        <w:t xml:space="preserve">Kanda, W., Klofsten, M., Bienkowska, D., Henry, M. and Hjelm, O. (2024). Challenges of circular new ventures: An empirical analysis of 70 cases. </w:t>
      </w:r>
      <w:r>
        <w:rPr>
          <w:i/>
          <w:iCs/>
        </w:rPr>
        <w:t>Journal of Cleaner Production</w:t>
      </w:r>
      <w:r>
        <w:t xml:space="preserve">, [online] 442, p.141103. </w:t>
      </w:r>
      <w:hyperlink r:id="rId92">
        <w:r>
          <w:rPr>
            <w:color w:val="1155CC"/>
            <w:u w:val="single"/>
          </w:rPr>
          <w:t>https://www.sciencedirect.com/journal/journal-of-cleaner-production/vol/442/suppl/C</w:t>
        </w:r>
      </w:hyperlink>
      <w:r>
        <w:t xml:space="preserve"> </w:t>
      </w:r>
    </w:p>
    <w:p w:rsidR="00621D05" w:rsidRDefault="008240CA">
      <w:pPr>
        <w:pStyle w:val="normal2"/>
        <w:spacing w:after="160"/>
      </w:pPr>
      <w:r>
        <w:t>Kans, Mirka, Chamirangika Madushani Hetti Arachchige, and Dan Paulin. "Circular Strategies in the Swedish Furniture Industry–A Business Modelling Approach." In Sustainable Production through Advanced Manufacturing, Intelligent Automation and Work Integrated Learning: Proceedings of the 11th Swedish Production Symposium (SPS2024), pp. 552-563. 1 Oliver's Yard, 55 City Road, London, EC1Y 1SP: SAGE Publications, 2024.</w:t>
      </w:r>
      <w:hyperlink r:id="rId93">
        <w:r>
          <w:rPr>
            <w:color w:val="1155CC"/>
            <w:u w:val="single"/>
          </w:rPr>
          <w:t>https://journals.sagepub.com/doi/pdf/10.3233/ATDE240197</w:t>
        </w:r>
      </w:hyperlink>
      <w:r>
        <w:t xml:space="preserve"> </w:t>
      </w:r>
    </w:p>
    <w:p w:rsidR="00621D05" w:rsidRDefault="008240CA">
      <w:pPr>
        <w:pStyle w:val="normal2"/>
        <w:widowControl w:val="0"/>
      </w:pPr>
      <w:r>
        <w:t xml:space="preserve">‌Khan, M., Parvaiz, G.S., Dedahanov, A.T., Abdurazzakov, O.S. and Rakhmonov, D.A. (2022). The Impact of Technologies of Traceability and Transparency in Supply Chains. </w:t>
      </w:r>
      <w:r>
        <w:rPr>
          <w:i/>
          <w:iCs/>
        </w:rPr>
        <w:t>Sustainability</w:t>
      </w:r>
      <w:r>
        <w:t xml:space="preserve">, [online] 14(24), p.16336. </w:t>
      </w:r>
      <w:hyperlink r:id="rId94">
        <w:r>
          <w:rPr>
            <w:color w:val="1155CC"/>
            <w:u w:val="single"/>
          </w:rPr>
          <w:t>https://doi.org/10.3390/su142416336</w:t>
        </w:r>
      </w:hyperlink>
      <w:r>
        <w:t xml:space="preserve"> </w:t>
      </w:r>
    </w:p>
    <w:p w:rsidR="00621D05" w:rsidRDefault="008240CA">
      <w:pPr>
        <w:pStyle w:val="normal2"/>
      </w:pPr>
      <w:r>
        <w:lastRenderedPageBreak/>
        <w:t xml:space="preserve">Kowalkowski, C. and Ulaga, W. (2024). Subscription offers in business-to-business markets: Conceptualization, taxonomy, and framework for growth. </w:t>
      </w:r>
      <w:r>
        <w:rPr>
          <w:i/>
          <w:iCs/>
        </w:rPr>
        <w:t>Industrial Marketing Management</w:t>
      </w:r>
      <w:r>
        <w:t xml:space="preserve">, [online] 117, pp.440–456. Available at: </w:t>
      </w:r>
      <w:hyperlink r:id="rId95">
        <w:r>
          <w:rPr>
            <w:color w:val="1155CC"/>
            <w:u w:val="single"/>
          </w:rPr>
          <w:t>https://www.sciencedirect.com/science/article/pii/S0019850124000142</w:t>
        </w:r>
      </w:hyperlink>
      <w:r>
        <w:t xml:space="preserve"> [Accessed 21 Aug. 2026].</w:t>
      </w:r>
    </w:p>
    <w:p w:rsidR="00621D05" w:rsidRDefault="008240CA">
      <w:pPr>
        <w:pStyle w:val="normal2"/>
      </w:pPr>
      <w:r>
        <w:t xml:space="preserve">Kudrenko, I., Mukhametov, A. and Aslanov, E.S. (2025). Structural modification of supply chains in the imperatives of circular economy. </w:t>
      </w:r>
      <w:r>
        <w:rPr>
          <w:i/>
          <w:iCs/>
        </w:rPr>
        <w:t>Journal of Innovation and Entrepreneurship</w:t>
      </w:r>
      <w:r>
        <w:t xml:space="preserve">, [online] 14(1). Available at: </w:t>
      </w:r>
      <w:hyperlink r:id="rId96">
        <w:r>
          <w:rPr>
            <w:color w:val="1155CC"/>
            <w:u w:val="single"/>
          </w:rPr>
          <w:t>https://link.springer.com/article/10.1186/s13731-025-00515-7</w:t>
        </w:r>
      </w:hyperlink>
      <w:r>
        <w:t xml:space="preserve"> [Accessed 21 Aug. 2026].</w:t>
      </w:r>
    </w:p>
    <w:p w:rsidR="00621D05" w:rsidRDefault="008240CA">
      <w:pPr>
        <w:pStyle w:val="normal2"/>
        <w:spacing w:after="160"/>
      </w:pPr>
      <w:r>
        <w:t>Kusumo, F., Mahlia, T.M.I., Pradhan, S., Ong, H.C., Silitonga, A.S., Fattah, I.R., Nghiem, L.D. and Mofijur, M., 2022. A framework to assess indicators of the circular economy in biological systems. Environmental Technology &amp; Innovation, 28, p.102945.</w:t>
      </w:r>
      <w:hyperlink r:id="rId97">
        <w:r>
          <w:rPr>
            <w:color w:val="1155CC"/>
            <w:u w:val="single"/>
          </w:rPr>
          <w:t>https://www.sciencedirect.com/science/article/pii/S2352186422003686</w:t>
        </w:r>
      </w:hyperlink>
      <w:r>
        <w:t xml:space="preserve"> </w:t>
      </w:r>
    </w:p>
    <w:p w:rsidR="00621D05" w:rsidRDefault="008240CA">
      <w:pPr>
        <w:pStyle w:val="normal2"/>
      </w:pPr>
      <w:r>
        <w:t xml:space="preserve">Lamichhane, B.D., Lama, P.B. and Lopchan, L. (2024). Cost-volume analysis and its impact on profitability: An evidence from Nepal. </w:t>
      </w:r>
      <w:r>
        <w:rPr>
          <w:i/>
          <w:iCs/>
        </w:rPr>
        <w:t>International Journal of Religion</w:t>
      </w:r>
      <w:r>
        <w:t xml:space="preserve">, [online] 5(12), pp.2007–2018. Available at: </w:t>
      </w:r>
      <w:hyperlink r:id="rId98">
        <w:r>
          <w:rPr>
            <w:color w:val="1155CC"/>
            <w:u w:val="single"/>
          </w:rPr>
          <w:t>https://www.researchgate.net/publication/387473297_Cost-Volume_Analysis_and_its_Impact_on_Profitability_An_Evidence_from_Nepal</w:t>
        </w:r>
      </w:hyperlink>
      <w:r>
        <w:t xml:space="preserve"> [Accessed 24 Aug. 2026].</w:t>
      </w:r>
    </w:p>
    <w:p w:rsidR="00621D05" w:rsidRDefault="008240CA">
      <w:pPr>
        <w:pStyle w:val="normal2"/>
      </w:pPr>
      <w:r>
        <w:t xml:space="preserve">‌Liu, Q., Wang, R., Pareti, M., Castellini, A., Viaggi, D. and Canavari, M. (2026). Big data in consumer behavior research: a systematic review of data sources, analytical methods, and research questions. </w:t>
      </w:r>
      <w:r>
        <w:rPr>
          <w:i/>
          <w:iCs/>
        </w:rPr>
        <w:t>Journal of Marketing Analytics</w:t>
      </w:r>
      <w:r>
        <w:t xml:space="preserve">. [online] </w:t>
      </w:r>
      <w:hyperlink r:id="rId99" w:anchor="citeas">
        <w:r>
          <w:rPr>
            <w:color w:val="1155CC"/>
            <w:u w:val="single"/>
          </w:rPr>
          <w:t>https://link.springer.com/article/10.1057/s41270-026-00470-6#citeas</w:t>
        </w:r>
      </w:hyperlink>
      <w:r>
        <w:t xml:space="preserve"> </w:t>
      </w:r>
    </w:p>
    <w:p w:rsidR="00621D05" w:rsidRDefault="008240CA">
      <w:pPr>
        <w:pStyle w:val="normal2"/>
      </w:pPr>
      <w:r>
        <w:t xml:space="preserve">Liu, X., Zhou, B., Qi, W., Li, Z. and Wang, J. (2025). Value-added service pricing strategies considering customer stickiness: A freemium perspective. </w:t>
      </w:r>
      <w:r>
        <w:rPr>
          <w:i/>
          <w:iCs/>
        </w:rPr>
        <w:t>Journal of theoretical and applied electronic commerce research</w:t>
      </w:r>
      <w:r>
        <w:t xml:space="preserve">, [online] 20(3), pp.201–201. Available at: </w:t>
      </w:r>
      <w:hyperlink r:id="rId100">
        <w:r>
          <w:rPr>
            <w:color w:val="1155CC"/>
            <w:u w:val="single"/>
          </w:rPr>
          <w:t>https://www.mdpi.com/0718-1876/20/3/201</w:t>
        </w:r>
      </w:hyperlink>
      <w:r>
        <w:t xml:space="preserve"> [Accessed 21 Aug. 2026].</w:t>
      </w:r>
    </w:p>
    <w:p w:rsidR="00621D05" w:rsidRDefault="008240CA">
      <w:pPr>
        <w:pStyle w:val="normal2"/>
        <w:widowControl w:val="0"/>
      </w:pPr>
      <w:r>
        <w:lastRenderedPageBreak/>
        <w:t xml:space="preserve">Low Pay Commission (2026). </w:t>
      </w:r>
      <w:r>
        <w:rPr>
          <w:i/>
          <w:iCs/>
        </w:rPr>
        <w:t>National Living Wage increases to £12.71 per hour</w:t>
      </w:r>
      <w:r>
        <w:t xml:space="preserve">. [online] GOV.UK. Available at: </w:t>
      </w:r>
      <w:hyperlink r:id="rId101">
        <w:r>
          <w:rPr>
            <w:color w:val="1155CC"/>
            <w:u w:val="single"/>
          </w:rPr>
          <w:t>https://www.gov.uk/government/news/national-living-wage-increases-to-1271-per-hour</w:t>
        </w:r>
      </w:hyperlink>
      <w:r w:rsidR="009A471F">
        <w:t xml:space="preserve"> [Accessed 27</w:t>
      </w:r>
      <w:r>
        <w:t xml:space="preserve"> Aug. 2026].</w:t>
      </w:r>
    </w:p>
    <w:p w:rsidR="00621D05" w:rsidRDefault="008240CA">
      <w:pPr>
        <w:pStyle w:val="normal2"/>
      </w:pPr>
      <w:r>
        <w:t xml:space="preserve">Lyu, S.O. and Kim, C. (2025) ‘What Drives Consumer Willingness to Pay for Environmental, Social, and Governance Initiatives? A Choice Experiment’, Corporate Social Responsibility and Environmental Management, 32(2). </w:t>
      </w:r>
      <w:hyperlink r:id="rId102">
        <w:r>
          <w:rPr>
            <w:color w:val="1155CC"/>
            <w:u w:val="single"/>
          </w:rPr>
          <w:t>https://doi.org/10.1002/csr.3141</w:t>
        </w:r>
      </w:hyperlink>
      <w:r>
        <w:t xml:space="preserve"> </w:t>
      </w:r>
    </w:p>
    <w:p w:rsidR="00621D05" w:rsidRDefault="008240CA">
      <w:pPr>
        <w:pStyle w:val="normal2"/>
      </w:pPr>
      <w:r>
        <w:t xml:space="preserve">Ma, C.-C. and Chang, H.-P. (2024). The perception of consumer behaviors in subscription platforms for surplus food restaurants—An analytical view of the technology acceptance model. </w:t>
      </w:r>
      <w:r>
        <w:rPr>
          <w:i/>
          <w:iCs/>
        </w:rPr>
        <w:t>Foods</w:t>
      </w:r>
      <w:r>
        <w:t xml:space="preserve">, [online] 13(19), pp.3045–3045. Available at: </w:t>
      </w:r>
      <w:hyperlink r:id="rId103">
        <w:r>
          <w:rPr>
            <w:color w:val="1155CC"/>
            <w:u w:val="single"/>
          </w:rPr>
          <w:t>https://www.mdpi.com/2304-8158/13/19/3045</w:t>
        </w:r>
      </w:hyperlink>
      <w:r w:rsidR="009A471F">
        <w:t xml:space="preserve"> [Accessed 23</w:t>
      </w:r>
      <w:r>
        <w:t xml:space="preserve"> Aug. 2026].</w:t>
      </w:r>
    </w:p>
    <w:p w:rsidR="00621D05" w:rsidRDefault="008240CA">
      <w:pPr>
        <w:pStyle w:val="normal2"/>
      </w:pPr>
      <w:r>
        <w:t xml:space="preserve">Market Data Forecast (2024). </w:t>
      </w:r>
      <w:r>
        <w:rPr>
          <w:i/>
          <w:iCs/>
        </w:rPr>
        <w:t>UK waste management market report</w:t>
      </w:r>
      <w:r>
        <w:t xml:space="preserve">. [online] Market Data Forecast. Available at: </w:t>
      </w:r>
      <w:hyperlink r:id="rId104">
        <w:r>
          <w:rPr>
            <w:color w:val="1155CC"/>
            <w:u w:val="single"/>
          </w:rPr>
          <w:t>https://www.marketdataforecast.com/market-reports/united-kingdom-waste-management-market</w:t>
        </w:r>
      </w:hyperlink>
      <w:r w:rsidR="009A471F">
        <w:t xml:space="preserve"> [Accessed 26</w:t>
      </w:r>
      <w:r>
        <w:t xml:space="preserve"> Aug. 2026].</w:t>
      </w:r>
    </w:p>
    <w:p w:rsidR="00621D05" w:rsidRDefault="008240CA">
      <w:pPr>
        <w:pStyle w:val="normal2"/>
      </w:pPr>
      <w:r>
        <w:t xml:space="preserve">Markiewicz, E. and Ziobrowska-Sztuczka, J. (2026). Subscription economy as a tool for promoting sustainable consumption in Poland. </w:t>
      </w:r>
      <w:r>
        <w:rPr>
          <w:i/>
          <w:iCs/>
        </w:rPr>
        <w:t>Sustainability</w:t>
      </w:r>
      <w:r>
        <w:t xml:space="preserve">, [online] 18(3), p.1484. Available at: </w:t>
      </w:r>
      <w:hyperlink r:id="rId105">
        <w:r>
          <w:rPr>
            <w:color w:val="1155CC"/>
            <w:u w:val="single"/>
          </w:rPr>
          <w:t>https://www.mdpi.com/2071-1050/18/3/1484</w:t>
        </w:r>
      </w:hyperlink>
      <w:r w:rsidR="009A471F">
        <w:t xml:space="preserve"> [Accessed 20</w:t>
      </w:r>
      <w:r>
        <w:t xml:space="preserve"> Aug. 2026].</w:t>
      </w:r>
    </w:p>
    <w:p w:rsidR="00621D05" w:rsidRDefault="008240CA">
      <w:pPr>
        <w:pStyle w:val="normal2"/>
        <w:spacing w:after="160"/>
      </w:pPr>
      <w:r>
        <w:t xml:space="preserve">McAllister, P. and Nase, I., 2023. Minimum energy efficiency standards in the commercial real estate sector: A critical review of policy regimes. Journal of Cleaner Production, 393, p.136342. </w:t>
      </w:r>
      <w:hyperlink r:id="rId106">
        <w:r>
          <w:rPr>
            <w:color w:val="1155CC"/>
            <w:u w:val="single"/>
          </w:rPr>
          <w:t>https://www.sciencedirect.com/science/article/pii/S0959652623005000</w:t>
        </w:r>
      </w:hyperlink>
      <w:r>
        <w:t xml:space="preserve"> </w:t>
      </w:r>
    </w:p>
    <w:p w:rsidR="00621D05" w:rsidRDefault="008240CA">
      <w:pPr>
        <w:pStyle w:val="normal2"/>
        <w:widowControl w:val="0"/>
      </w:pPr>
      <w:r>
        <w:t xml:space="preserve">Mehran, J. and Kristensson, P. (2025) ‘B2B Service Innovation: How Business Customers Perceive Firm Innovativeness’, in Witell, L. (ed.) </w:t>
      </w:r>
      <w:r>
        <w:rPr>
          <w:i/>
          <w:iCs/>
        </w:rPr>
        <w:t>Service Innovation and Management: Digitalization, Service Infusion and Customer Experience</w:t>
      </w:r>
      <w:r>
        <w:t xml:space="preserve">. Cham: Springer, pp. 157–172. </w:t>
      </w:r>
      <w:hyperlink r:id="rId107">
        <w:r>
          <w:rPr>
            <w:color w:val="1155CC"/>
            <w:u w:val="single"/>
          </w:rPr>
          <w:t>https://doi.org/10.1007/978-3-031-76560-5_12</w:t>
        </w:r>
      </w:hyperlink>
      <w:r>
        <w:t xml:space="preserve"> </w:t>
      </w:r>
    </w:p>
    <w:p w:rsidR="00621D05" w:rsidRDefault="008240CA">
      <w:pPr>
        <w:pStyle w:val="normal2"/>
      </w:pPr>
      <w:r>
        <w:lastRenderedPageBreak/>
        <w:t xml:space="preserve">Merchant Savvy (2022). </w:t>
      </w:r>
      <w:r>
        <w:rPr>
          <w:i/>
          <w:iCs/>
        </w:rPr>
        <w:t>UK SME data, statistics &amp; brilliant charts. Updated nov 2018.</w:t>
      </w:r>
      <w:r>
        <w:t xml:space="preserve"> [online] Merchant Savvy. Available at: </w:t>
      </w:r>
      <w:hyperlink r:id="rId108">
        <w:r>
          <w:rPr>
            <w:color w:val="1155CC"/>
            <w:u w:val="single"/>
          </w:rPr>
          <w:t>https://www.merchantsavvy.co.uk/uk-sme-data-stats-charts/</w:t>
        </w:r>
      </w:hyperlink>
      <w:r w:rsidR="009A471F">
        <w:t xml:space="preserve"> [Accessed 26</w:t>
      </w:r>
      <w:r>
        <w:t xml:space="preserve"> Aug. 2026].</w:t>
      </w:r>
    </w:p>
    <w:p w:rsidR="00621D05" w:rsidRDefault="008240CA">
      <w:pPr>
        <w:pStyle w:val="normal2"/>
        <w:spacing w:after="160"/>
      </w:pPr>
      <w:r>
        <w:t xml:space="preserve">Mignon, I. and Bankel, A., 2023. Sustainable business models and innovation strategies to realize them: A review of 87 empirical cases. Business Strategy and the Environment, 32(4), pp.1357-1372. </w:t>
      </w:r>
      <w:hyperlink r:id="rId109">
        <w:r>
          <w:rPr>
            <w:color w:val="1155CC"/>
            <w:u w:val="single"/>
          </w:rPr>
          <w:t>https://onlinelibrary.wiley.com/doi/pdf/10.1002/bse.3192</w:t>
        </w:r>
      </w:hyperlink>
      <w:r>
        <w:t xml:space="preserve"> </w:t>
      </w:r>
    </w:p>
    <w:p w:rsidR="00621D05" w:rsidRDefault="008240CA">
      <w:pPr>
        <w:pStyle w:val="normal2"/>
        <w:spacing w:after="160"/>
      </w:pPr>
      <w:r>
        <w:t>Milios, L., 2021. Overarching policy framework for product life extension in a circular economy—A bottom‐up business perspective. Environmental Policy and Governance, 31(4), pp.330-346.</w:t>
      </w:r>
      <w:hyperlink r:id="rId110">
        <w:r>
          <w:rPr>
            <w:color w:val="1155CC"/>
            <w:u w:val="single"/>
          </w:rPr>
          <w:t>https://onlinelibrary.wiley.com/doi/pdf/10.1002/eet.1927</w:t>
        </w:r>
      </w:hyperlink>
      <w:r>
        <w:t xml:space="preserve"> </w:t>
      </w:r>
    </w:p>
    <w:p w:rsidR="00621D05" w:rsidRDefault="008240CA">
      <w:pPr>
        <w:pStyle w:val="normal2"/>
      </w:pPr>
      <w:r>
        <w:t xml:space="preserve">Mohri, S.S., Ghaderi, H., Woensel, T. Van, Mohammadi, M., Nassir, N. and Thompson, R.G. (2024). Contextualizing alternative delivery points in last mile delivery. </w:t>
      </w:r>
      <w:r>
        <w:rPr>
          <w:i/>
          <w:iCs/>
        </w:rPr>
        <w:t>Transportation Research Part E: Logistics and Transportation Review</w:t>
      </w:r>
      <w:r>
        <w:t xml:space="preserve">, [online] 192, p.103787. Available at: </w:t>
      </w:r>
      <w:hyperlink r:id="rId111">
        <w:r>
          <w:rPr>
            <w:color w:val="1155CC"/>
            <w:u w:val="single"/>
          </w:rPr>
          <w:t>https://www.sciencedirect.com/science/article/pii/S1366554524003788</w:t>
        </w:r>
      </w:hyperlink>
      <w:r w:rsidR="009A471F">
        <w:t xml:space="preserve"> [Accessed 20</w:t>
      </w:r>
      <w:r>
        <w:t xml:space="preserve"> Aug. 2026].</w:t>
      </w:r>
    </w:p>
    <w:p w:rsidR="00621D05" w:rsidRDefault="008240CA">
      <w:pPr>
        <w:pStyle w:val="normal2"/>
      </w:pPr>
      <w:r>
        <w:t xml:space="preserve">Mokhtar, N.S., Xifeng, N.C. and Wenming, N.Z. (2025). Modular system of cabinets for mass-customized furniture. </w:t>
      </w:r>
      <w:r>
        <w:rPr>
          <w:i/>
          <w:iCs/>
        </w:rPr>
        <w:t>Environment-Behaviour Proceedings Journal</w:t>
      </w:r>
      <w:r>
        <w:t xml:space="preserve">, [online] 10(SI29), pp.67–73. Available at: </w:t>
      </w:r>
      <w:hyperlink r:id="rId112">
        <w:r>
          <w:rPr>
            <w:color w:val="1155CC"/>
            <w:u w:val="single"/>
          </w:rPr>
          <w:t>https://www.researchgate.net/publication/394186609_Modular_System_of_Cabinets_for_Mass-Customized_Furniture</w:t>
        </w:r>
      </w:hyperlink>
      <w:r>
        <w:t xml:space="preserve"> [Accessed 21 Aug. 2026].</w:t>
      </w:r>
    </w:p>
    <w:p w:rsidR="00621D05" w:rsidRDefault="008240CA">
      <w:pPr>
        <w:pStyle w:val="normal2"/>
        <w:spacing w:after="160"/>
      </w:pPr>
      <w:r>
        <w:t>Morseletto, P., 2023. Sometimes linear, sometimes circular: States of the economy and transitions to the future. Journal of Cleaner Production, 390, p.136138.</w:t>
      </w:r>
      <w:hyperlink r:id="rId113">
        <w:r>
          <w:rPr>
            <w:color w:val="1155CC"/>
            <w:u w:val="single"/>
          </w:rPr>
          <w:t>https://www.sciencedirect.com/science/article/pii/S0959652623002962</w:t>
        </w:r>
      </w:hyperlink>
      <w:r>
        <w:t xml:space="preserve"> </w:t>
      </w:r>
    </w:p>
    <w:p w:rsidR="00621D05" w:rsidRDefault="008240CA">
      <w:pPr>
        <w:pStyle w:val="normal2"/>
      </w:pPr>
      <w:r>
        <w:t xml:space="preserve">Mostafa, A., Moustafa, K. and Elshaer, R. (2023). Impact of fixed cost increase on the optimization of two-stage sustainable supply chain networks. </w:t>
      </w:r>
      <w:r>
        <w:rPr>
          <w:i/>
          <w:iCs/>
        </w:rPr>
        <w:t>Sustainability</w:t>
      </w:r>
      <w:r>
        <w:t xml:space="preserve">, [online] </w:t>
      </w:r>
      <w:r>
        <w:lastRenderedPageBreak/>
        <w:t xml:space="preserve">15(18), pp.13949–13949. Available at: </w:t>
      </w:r>
      <w:hyperlink r:id="rId114">
        <w:r>
          <w:rPr>
            <w:color w:val="1155CC"/>
            <w:u w:val="single"/>
          </w:rPr>
          <w:t>https://www.mdpi.com/2071-1050/15/18/13949</w:t>
        </w:r>
      </w:hyperlink>
      <w:r w:rsidR="009A471F">
        <w:t xml:space="preserve"> [Accessed 26</w:t>
      </w:r>
      <w:r>
        <w:t xml:space="preserve"> Aug. 2026].</w:t>
      </w:r>
    </w:p>
    <w:p w:rsidR="00621D05" w:rsidRDefault="008240CA">
      <w:pPr>
        <w:pStyle w:val="normal2"/>
      </w:pPr>
      <w:r>
        <w:t xml:space="preserve">Netseva-Porcheva, T. (2011). </w:t>
      </w:r>
      <w:r>
        <w:rPr>
          <w:i/>
          <w:iCs/>
        </w:rPr>
        <w:t>Value-based pricing: A success factor in the competitive struggle</w:t>
      </w:r>
      <w:r>
        <w:t xml:space="preserve">. [online] ResearchGate. Available at: </w:t>
      </w:r>
      <w:hyperlink r:id="rId115">
        <w:r>
          <w:rPr>
            <w:color w:val="1155CC"/>
            <w:u w:val="single"/>
          </w:rPr>
          <w:t>https://www.researchgate.net/publication/276228917_Value-based_pricing_A_success_factor_in_the_competitive_struggle</w:t>
        </w:r>
      </w:hyperlink>
      <w:r w:rsidR="009A471F">
        <w:t xml:space="preserve"> [Accessed 27</w:t>
      </w:r>
      <w:r>
        <w:t xml:space="preserve"> Aug. 2026].</w:t>
      </w:r>
    </w:p>
    <w:p w:rsidR="00621D05" w:rsidRDefault="008240CA">
      <w:pPr>
        <w:pStyle w:val="normal2"/>
      </w:pPr>
      <w:r>
        <w:t xml:space="preserve">Njølstad Slotsvik, T., Arne Pettersen Gould, K. and Hayes, J. (2025). Adapting to the rhythm of the procurement cycle. Organizational reliability implications of change processes in procured critical services. </w:t>
      </w:r>
      <w:r>
        <w:rPr>
          <w:i/>
          <w:iCs/>
        </w:rPr>
        <w:t>Safety Science</w:t>
      </w:r>
      <w:r>
        <w:t xml:space="preserve">, [online] 181, p.106672. Available at: </w:t>
      </w:r>
      <w:hyperlink r:id="rId116">
        <w:r>
          <w:rPr>
            <w:color w:val="1155CC"/>
            <w:u w:val="single"/>
          </w:rPr>
          <w:t>https://www.sciencedirect.com/science/article/pii/S0925753524002625</w:t>
        </w:r>
      </w:hyperlink>
      <w:r>
        <w:t xml:space="preserve"> [Accessed 14 Aug. 2026].</w:t>
      </w:r>
    </w:p>
    <w:p w:rsidR="00621D05" w:rsidRDefault="008240CA">
      <w:pPr>
        <w:pStyle w:val="normal2"/>
      </w:pPr>
      <w:r>
        <w:t xml:space="preserve">OECD (2025). </w:t>
      </w:r>
      <w:r>
        <w:rPr>
          <w:i/>
          <w:iCs/>
        </w:rPr>
        <w:t>OECD employment outlook 2025: Navigating the golden years: Making the labour market work for older workers</w:t>
      </w:r>
      <w:r>
        <w:t xml:space="preserve">. [online] OECD. Available at: </w:t>
      </w:r>
      <w:hyperlink r:id="rId117">
        <w:r>
          <w:rPr>
            <w:color w:val="1155CC"/>
            <w:u w:val="single"/>
          </w:rPr>
          <w:t>https://www.oecd.org/en/publications/oecd-employment-outlook-2025_194a947b-en/full-report/navigating-the-golden-years-making-the-labour-market-work-for-older-workers_2bc681ed.html</w:t>
        </w:r>
      </w:hyperlink>
      <w:r w:rsidR="009A471F">
        <w:t xml:space="preserve"> </w:t>
      </w:r>
    </w:p>
    <w:p w:rsidR="00621D05" w:rsidRDefault="008240CA">
      <w:pPr>
        <w:pStyle w:val="normal2"/>
      </w:pPr>
      <w:r>
        <w:t xml:space="preserve">OECD (2026). </w:t>
      </w:r>
      <w:r>
        <w:rPr>
          <w:i/>
          <w:iCs/>
        </w:rPr>
        <w:t>The twin transition of retail SMEs: Local retail, global trends</w:t>
      </w:r>
      <w:r>
        <w:t xml:space="preserve">. [online] OECD. Available at: </w:t>
      </w:r>
      <w:hyperlink r:id="rId118">
        <w:r>
          <w:rPr>
            <w:color w:val="1155CC"/>
            <w:u w:val="single"/>
          </w:rPr>
          <w:t>https://www.oecd.org/en/publications/local-retail-global-trends_55e2edec-en/full-report/the-twin-transition-of-retail-smes_e9ff5378.html</w:t>
        </w:r>
      </w:hyperlink>
      <w:r>
        <w:t xml:space="preserve"> [Accessed 24 Aug. 2026].</w:t>
      </w:r>
    </w:p>
    <w:p w:rsidR="00621D05" w:rsidRDefault="008240CA">
      <w:pPr>
        <w:pStyle w:val="normal2"/>
        <w:widowControl w:val="0"/>
      </w:pPr>
      <w:r>
        <w:t>Office for National Statistics (2025) ‘Who has access to hybrid work in Great Britain?’, 11 June. Available at:</w:t>
      </w:r>
      <w:hyperlink r:id="rId119">
        <w:r>
          <w:t xml:space="preserve"> </w:t>
        </w:r>
      </w:hyperlink>
      <w:hyperlink r:id="rId120">
        <w:r>
          <w:rPr>
            <w:color w:val="1155CC"/>
            <w:u w:val="single"/>
          </w:rPr>
          <w:t>https://www.ons.gov.uk/employmentandlabourmarket/peopleinwork/employmentandemployeetypes/articles/whohasaccesstohybridworkingreatbritain/latest</w:t>
        </w:r>
      </w:hyperlink>
      <w:r>
        <w:t xml:space="preserve"> (Accessed: 18 August 2026).</w:t>
      </w:r>
    </w:p>
    <w:p w:rsidR="00621D05" w:rsidRDefault="008240CA">
      <w:pPr>
        <w:pStyle w:val="normal2"/>
        <w:widowControl w:val="0"/>
        <w:spacing w:after="0"/>
      </w:pPr>
      <w:r>
        <w:t xml:space="preserve">Office for National Statistics (2025) </w:t>
      </w:r>
      <w:r>
        <w:rPr>
          <w:i/>
          <w:iCs/>
        </w:rPr>
        <w:t>UK business; activity, size and location: 2025</w:t>
      </w:r>
      <w:r>
        <w:t xml:space="preserve">. </w:t>
      </w:r>
      <w:r>
        <w:lastRenderedPageBreak/>
        <w:t>Available at:</w:t>
      </w:r>
      <w:hyperlink r:id="rId121">
        <w:r>
          <w:t xml:space="preserve"> </w:t>
        </w:r>
      </w:hyperlink>
      <w:hyperlink r:id="rId122">
        <w:r>
          <w:rPr>
            <w:color w:val="1155CC"/>
            <w:u w:val="single"/>
          </w:rPr>
          <w:t>https://www.ons.gov.uk/businessindustryandtrade/business/activitysizeandlocation/bulletins/ukbusinessactivitysizeandlocation/2025</w:t>
        </w:r>
      </w:hyperlink>
      <w:r>
        <w:t xml:space="preserve"> </w:t>
      </w:r>
    </w:p>
    <w:p w:rsidR="00621D05" w:rsidRDefault="008240CA">
      <w:pPr>
        <w:pStyle w:val="normal2"/>
      </w:pPr>
      <w:r>
        <w:t xml:space="preserve">Office for National Statistics (2026). </w:t>
      </w:r>
      <w:r>
        <w:rPr>
          <w:i/>
          <w:iCs/>
        </w:rPr>
        <w:t>Consumer price inflation, UK</w:t>
      </w:r>
      <w:r>
        <w:t xml:space="preserve">. [online] Ons.gov.uk. Available at: </w:t>
      </w:r>
      <w:hyperlink r:id="rId123">
        <w:r>
          <w:rPr>
            <w:color w:val="1155CC"/>
            <w:u w:val="single"/>
          </w:rPr>
          <w:t>https://www.ons.gov.uk/economy/inflationandpriceindices/bulletins/consumerpriceinflation/june2026</w:t>
        </w:r>
      </w:hyperlink>
      <w:r w:rsidR="009A471F">
        <w:t xml:space="preserve"> </w:t>
      </w:r>
    </w:p>
    <w:p w:rsidR="00621D05" w:rsidRDefault="008240CA">
      <w:pPr>
        <w:pStyle w:val="normal2"/>
        <w:widowControl w:val="0"/>
      </w:pPr>
      <w:r>
        <w:t xml:space="preserve">Ogiemwonyi, O. (2025). A conceptual review of circular economy position from a marketing perspective. </w:t>
      </w:r>
      <w:r>
        <w:rPr>
          <w:i/>
          <w:iCs/>
        </w:rPr>
        <w:t>Innovation and Green Development</w:t>
      </w:r>
      <w:r>
        <w:t xml:space="preserve">, [online] 4(4), p.100258. </w:t>
      </w:r>
      <w:hyperlink r:id="rId124">
        <w:r>
          <w:rPr>
            <w:color w:val="1155CC"/>
            <w:u w:val="single"/>
          </w:rPr>
          <w:t>https://doi.org/10.1016/j.igd.2025.100258</w:t>
        </w:r>
      </w:hyperlink>
      <w:r>
        <w:t xml:space="preserve"> </w:t>
      </w:r>
    </w:p>
    <w:p w:rsidR="00621D05" w:rsidRDefault="008240CA">
      <w:pPr>
        <w:pStyle w:val="normal2"/>
      </w:pPr>
      <w:r>
        <w:t xml:space="preserve">Ogwu, M.C. and Kosoe, E.A. (2025). Innovative approaches to recycling, upcycling, and downcycling for sustainable waste management. </w:t>
      </w:r>
      <w:r>
        <w:rPr>
          <w:i/>
          <w:iCs/>
        </w:rPr>
        <w:t>CleanMat</w:t>
      </w:r>
      <w:r>
        <w:t xml:space="preserve">, [online] 2(3), pp.242–261. Available at: </w:t>
      </w:r>
      <w:hyperlink r:id="rId125">
        <w:r>
          <w:rPr>
            <w:color w:val="1155CC"/>
            <w:u w:val="single"/>
          </w:rPr>
          <w:t>https://onlinelibrary.wiley.com/doi/10.1002/clem.70013</w:t>
        </w:r>
      </w:hyperlink>
      <w:r w:rsidR="009A471F">
        <w:t xml:space="preserve"> </w:t>
      </w:r>
    </w:p>
    <w:p w:rsidR="00621D05" w:rsidRDefault="008240CA">
      <w:pPr>
        <w:pStyle w:val="normal2"/>
      </w:pPr>
      <w:r>
        <w:t xml:space="preserve">Öngel, F.S., Gonçalves, J. and da Silva, F.N. (2025). Industrial Relocation and Urban Restructuring: Between Decline and Global Connectivity in Setúbal. </w:t>
      </w:r>
      <w:r>
        <w:rPr>
          <w:i/>
          <w:iCs/>
        </w:rPr>
        <w:t>Urban Science</w:t>
      </w:r>
      <w:r>
        <w:t xml:space="preserve">, [online] 9(5), p.167. Available at: </w:t>
      </w:r>
      <w:hyperlink r:id="rId126">
        <w:r>
          <w:rPr>
            <w:color w:val="1155CC"/>
            <w:u w:val="single"/>
          </w:rPr>
          <w:t>https://www.mdpi.com/2413-8851/9/5/167</w:t>
        </w:r>
      </w:hyperlink>
      <w:r>
        <w:t xml:space="preserve"> [Accessed 21 Aug. 2026].</w:t>
      </w:r>
    </w:p>
    <w:p w:rsidR="00621D05" w:rsidRDefault="008240CA">
      <w:pPr>
        <w:pStyle w:val="normal2"/>
      </w:pPr>
      <w:r>
        <w:t xml:space="preserve">Orellano, M. and Gourc, D. (2024). What typology of risks and methods for risk management in innovation projects?: A systematic literature review. </w:t>
      </w:r>
      <w:r>
        <w:rPr>
          <w:i/>
          <w:iCs/>
        </w:rPr>
        <w:t>International Journal of Innovation Studies</w:t>
      </w:r>
      <w:r>
        <w:t xml:space="preserve">. [online] Available at: </w:t>
      </w:r>
      <w:hyperlink r:id="rId127">
        <w:r>
          <w:rPr>
            <w:color w:val="1155CC"/>
            <w:u w:val="single"/>
          </w:rPr>
          <w:t>https://www.sciencedirect.com/science/article/pii/S2096248724000456</w:t>
        </w:r>
      </w:hyperlink>
      <w:r>
        <w:t xml:space="preserve"> [Accessed 7 Sept. 2026].</w:t>
      </w:r>
    </w:p>
    <w:p w:rsidR="00621D05" w:rsidRDefault="008240CA">
      <w:pPr>
        <w:pStyle w:val="normal2"/>
      </w:pPr>
      <w:r>
        <w:t xml:space="preserve">Pascucci, F., Savelli, E. and Gistri, G. (2023). How digital technologies reshape marketing: Evidence from a qualitative investigation. </w:t>
      </w:r>
      <w:r>
        <w:rPr>
          <w:i/>
          <w:iCs/>
        </w:rPr>
        <w:t>Italian Journal of Marketing</w:t>
      </w:r>
      <w:r>
        <w:t xml:space="preserve">, [online] 2023(1), pp.27–58. Available at: </w:t>
      </w:r>
      <w:hyperlink r:id="rId128">
        <w:r>
          <w:rPr>
            <w:color w:val="1155CC"/>
            <w:u w:val="single"/>
          </w:rPr>
          <w:t>https://link.springer.com/article/10.1007/s43039-023-00063-6</w:t>
        </w:r>
      </w:hyperlink>
      <w:r w:rsidR="009A471F">
        <w:t xml:space="preserve"> </w:t>
      </w:r>
    </w:p>
    <w:p w:rsidR="00621D05" w:rsidRDefault="008240CA">
      <w:pPr>
        <w:pStyle w:val="normal2"/>
      </w:pPr>
      <w:r>
        <w:lastRenderedPageBreak/>
        <w:t xml:space="preserve">PECB (2025). </w:t>
      </w:r>
      <w:r>
        <w:rPr>
          <w:i/>
          <w:iCs/>
        </w:rPr>
        <w:t>The Importance of Occupational Health and Safety - PECB</w:t>
      </w:r>
      <w:r>
        <w:t xml:space="preserve">. [online] PECB. Available at: </w:t>
      </w:r>
      <w:hyperlink r:id="rId129">
        <w:r>
          <w:rPr>
            <w:color w:val="1155CC"/>
            <w:u w:val="single"/>
          </w:rPr>
          <w:t>https://pecb.com/en/article/the-importance-of-occupational-health-and-safety</w:t>
        </w:r>
      </w:hyperlink>
      <w:r w:rsidR="009A471F">
        <w:t xml:space="preserve"> </w:t>
      </w:r>
    </w:p>
    <w:p w:rsidR="00621D05" w:rsidRDefault="008240CA">
      <w:pPr>
        <w:pStyle w:val="normal2"/>
      </w:pPr>
      <w:r>
        <w:t xml:space="preserve">Pei, X., Italia, M. and Melazzini, M. (2024). Enhancing circular economy practices in the furniture industry through circular design strategies. </w:t>
      </w:r>
      <w:r>
        <w:rPr>
          <w:i/>
          <w:iCs/>
        </w:rPr>
        <w:t>Sustainability</w:t>
      </w:r>
      <w:r>
        <w:t xml:space="preserve">, [online] 16(15), pp.6544–6544. Available at: </w:t>
      </w:r>
      <w:hyperlink r:id="rId130">
        <w:r>
          <w:rPr>
            <w:color w:val="0000FF"/>
            <w:u w:val="single"/>
          </w:rPr>
          <w:t>https://www.mdpi.com/2071-1050/16/15/6544</w:t>
        </w:r>
      </w:hyperlink>
      <w:r>
        <w:t xml:space="preserve"> [Accessed 14 Aug. 2026].</w:t>
      </w:r>
    </w:p>
    <w:p w:rsidR="00621D05" w:rsidRDefault="008240CA">
      <w:pPr>
        <w:pStyle w:val="normal2"/>
      </w:pPr>
      <w:r>
        <w:t xml:space="preserve">Pérez-Sánchez, L.À., Velasco-Fernández, R. and Giampietro, M. (2022). Factors and actions for the sustainability of the residential sector. The nexus of energy, materials, space, and time use. </w:t>
      </w:r>
      <w:r>
        <w:rPr>
          <w:i/>
          <w:iCs/>
        </w:rPr>
        <w:t>Renewable and Sustainable Energy Reviews</w:t>
      </w:r>
      <w:r>
        <w:t xml:space="preserve">, [online] 161, p.112388. Available at: </w:t>
      </w:r>
      <w:hyperlink r:id="rId131">
        <w:r>
          <w:rPr>
            <w:color w:val="1155CC"/>
            <w:u w:val="single"/>
          </w:rPr>
          <w:t>https://www.sciencedirect.com/science/article/pii/S1364032122002982</w:t>
        </w:r>
      </w:hyperlink>
      <w:r>
        <w:t xml:space="preserve"> [Accessed 21 Aug. 2026].</w:t>
      </w:r>
    </w:p>
    <w:p w:rsidR="00621D05" w:rsidRDefault="008240CA">
      <w:pPr>
        <w:pStyle w:val="normal2"/>
        <w:widowControl w:val="0"/>
      </w:pPr>
      <w:r>
        <w:t xml:space="preserve">‌Pesce, D. and Neirotti, P. (2023). The impact of IT–business strategic alignment on firm performance: The evolving role of IT in industries. </w:t>
      </w:r>
      <w:r>
        <w:rPr>
          <w:i/>
          <w:iCs/>
        </w:rPr>
        <w:t>Information &amp; Management</w:t>
      </w:r>
      <w:r>
        <w:t xml:space="preserve">, [online] 60(5), p.103800. </w:t>
      </w:r>
      <w:hyperlink r:id="rId132">
        <w:r>
          <w:rPr>
            <w:color w:val="1155CC"/>
            <w:u w:val="single"/>
          </w:rPr>
          <w:t>https://www.sciencedirect.com/journal/information-and-management/vol/60/issue/5</w:t>
        </w:r>
      </w:hyperlink>
      <w:r>
        <w:t xml:space="preserve"> </w:t>
      </w:r>
    </w:p>
    <w:p w:rsidR="00621D05" w:rsidRDefault="008240CA">
      <w:pPr>
        <w:pStyle w:val="normal2"/>
      </w:pPr>
      <w:r>
        <w:t xml:space="preserve">Petropoulos, F., Akkermans, H., Aksin, O.Z., Ali, I., Babai, M.Z., Barbosa-Povoa, A., Battaïa, O., Besiou, M., Boysen, N., Brammer, S., Brandon-Jones, A., Briskorn, D., Browning, T.R., Buijs, P., Centobelli, P., Chiarini, A., Cousins, P., Cudney, E.A., Davies, A., Day, S.J., de Koster, R., Dekker, R., Denicol, J., Despeisse, M., Disney, S.M., Dolgui, A., Duong, L., El-Qallali, M., Fahimnia, B., Fakhredin, F., Gershwin, S.B., Ghamat, S., Giannikas, V., Glock, C.H., Godsell, J., Govindan, K., Hannibal, C., Haug, A., Hernaus, T., Hsuan, J., Ivanov, D., Jahre, M., Johansson, B., Kalidoss, M.S., Kanellopoulos, A., Kannan, D., Karul, E., Katsikopoulos, K.V., Begüm Kilic-Ararat, A., Kolisch, R., Koppenberg, M., Kumar, M., Kuo, Y.-H., Kusiak, A., Lewis, M.A., Lim, S.F.W.T., Limère, V., Liu, J., Maghazei, O., Marić, M., Meissner, J., Meuwissen, M., Micheli, P., Nanayakkara, S., Nur Özdemir, B., Papadopoulos, T., Pavelin, S., Perera, </w:t>
      </w:r>
      <w:r>
        <w:lastRenderedPageBreak/>
        <w:t xml:space="preserve">S., Phillips, W., Prak, D., Pun, H., Qazi, S.A., Ramanathan, U., Reiner, G., Reitsma, E., Roehrich, J.K., Sanders, N.R., Sarkis, J., André Schmid, N., Schmidt, C.G., Schroeder, A., Selviaridis, K., Seuring, S., Shi, C., Son, B.-G., Spring, M., Squire, B., der Valk, W. van, van Donk, D.P., van Houtum, G.-J., Wilhelm, M., Wynstra, F. and Zheng, T. (2025). Operations &amp;amp; supply chain management: Principles and practice. </w:t>
      </w:r>
      <w:r>
        <w:rPr>
          <w:i/>
          <w:iCs/>
        </w:rPr>
        <w:t>International Journal of Production Research</w:t>
      </w:r>
      <w:r>
        <w:t xml:space="preserve">, [online] pp.1–184. Available at: </w:t>
      </w:r>
      <w:hyperlink r:id="rId133">
        <w:r>
          <w:rPr>
            <w:color w:val="1155CC"/>
            <w:u w:val="single"/>
          </w:rPr>
          <w:t>https://www.tandfonline.com/doi/full/10.1080/00207543.2025.2555531</w:t>
        </w:r>
      </w:hyperlink>
      <w:r>
        <w:t xml:space="preserve"> [Accessed 24 Aug. 2026].</w:t>
      </w:r>
    </w:p>
    <w:p w:rsidR="00621D05" w:rsidRDefault="008240CA">
      <w:pPr>
        <w:pStyle w:val="normal2"/>
        <w:spacing w:after="160"/>
      </w:pPr>
      <w:r>
        <w:t>Poldner, K., Overdiek, A. and Evangelista, A., 2022. Fashion-as-a-service: Circular business model innovation in retail. Sustainability, 14(20), p.13273.</w:t>
      </w:r>
      <w:hyperlink r:id="rId134">
        <w:r>
          <w:rPr>
            <w:color w:val="1155CC"/>
            <w:u w:val="single"/>
          </w:rPr>
          <w:t>https://www.mdpi.com/2071-1050/14/20/13273</w:t>
        </w:r>
      </w:hyperlink>
      <w:r>
        <w:t xml:space="preserve"> </w:t>
      </w:r>
    </w:p>
    <w:p w:rsidR="00621D05" w:rsidRDefault="008240CA">
      <w:pPr>
        <w:pStyle w:val="normal2"/>
      </w:pPr>
      <w:r>
        <w:t xml:space="preserve">Pourrahimian, P., Seyedzadeh, S., Arabi, B., Kahani, D. and Lotfian, S. (2026). Digital enablers of the circular economy: A systematic review of applications, barriers, and future directions. </w:t>
      </w:r>
      <w:r>
        <w:rPr>
          <w:i/>
          <w:iCs/>
        </w:rPr>
        <w:t>Journal of Manufacturing and Materials Processing</w:t>
      </w:r>
      <w:r>
        <w:t xml:space="preserve">, [online] 10(4). Available at: </w:t>
      </w:r>
      <w:hyperlink r:id="rId135">
        <w:r>
          <w:rPr>
            <w:color w:val="1155CC"/>
            <w:u w:val="single"/>
          </w:rPr>
          <w:t>https://www.mdpi.com/2504-4494/10/4/112</w:t>
        </w:r>
      </w:hyperlink>
      <w:r>
        <w:t xml:space="preserve"> [Accessed 21 Aug. 2026].</w:t>
      </w:r>
    </w:p>
    <w:p w:rsidR="00621D05" w:rsidRDefault="008240CA">
      <w:pPr>
        <w:pStyle w:val="normal2"/>
      </w:pPr>
      <w:r>
        <w:t xml:space="preserve">Pratiwi, I., Elizabeth, R., Fatari, N., Basrowi, N. and Nuryanto, U.W. (2025). Assessing pricing, distribution, and warehousing strategies in influencing consumer demand and purchase decisions: Evidence from Indonesia. </w:t>
      </w:r>
      <w:r>
        <w:rPr>
          <w:i/>
          <w:iCs/>
        </w:rPr>
        <w:t>Social Sciences &amp; Humanities Open</w:t>
      </w:r>
      <w:r>
        <w:t xml:space="preserve">, [online] 12, pp.101688–101688. Available at: </w:t>
      </w:r>
      <w:hyperlink r:id="rId136">
        <w:r>
          <w:rPr>
            <w:color w:val="0000FF"/>
            <w:u w:val="single"/>
          </w:rPr>
          <w:t>https://www.sciencedirect.com/science/article/pii/S2590291125004164</w:t>
        </w:r>
      </w:hyperlink>
      <w:r>
        <w:t xml:space="preserve"> [Accessed 14 Aug. 2026].</w:t>
      </w:r>
    </w:p>
    <w:p w:rsidR="00621D05" w:rsidRDefault="008240CA">
      <w:pPr>
        <w:pStyle w:val="normal2"/>
      </w:pPr>
      <w:r>
        <w:t xml:space="preserve">Pratt, K. (2025). UK website statistics. </w:t>
      </w:r>
      <w:r>
        <w:rPr>
          <w:i/>
          <w:iCs/>
        </w:rPr>
        <w:t>Forbes</w:t>
      </w:r>
      <w:r>
        <w:t xml:space="preserve">. [online] Available at: </w:t>
      </w:r>
      <w:hyperlink r:id="rId137">
        <w:r>
          <w:rPr>
            <w:color w:val="1155CC"/>
            <w:u w:val="single"/>
          </w:rPr>
          <w:t>https://www.forbes.com/advisor/uk/business/software/website-statistics/</w:t>
        </w:r>
      </w:hyperlink>
      <w:r>
        <w:t xml:space="preserve"> [Accessed 24 Aug. 2026].</w:t>
      </w:r>
    </w:p>
    <w:p w:rsidR="00621D05" w:rsidRDefault="008240CA">
      <w:pPr>
        <w:pStyle w:val="normal2"/>
        <w:widowControl w:val="0"/>
      </w:pPr>
      <w:r>
        <w:t xml:space="preserve">‌Public Policy and Economic Insights team (2025). </w:t>
      </w:r>
      <w:r>
        <w:rPr>
          <w:i/>
          <w:iCs/>
        </w:rPr>
        <w:t>Who has access to hybrid work in Great Britain?</w:t>
      </w:r>
      <w:r>
        <w:t xml:space="preserve"> [online] Ons.gov.uk. Available at: https://www.ons.gov.uk/employmentandlabourmarket/peopleinwork/employmentandemployeetypes/articles/whohasaccesstohybridworkingreatbritain/2025-06-11 [Accessed 24 </w:t>
      </w:r>
      <w:r>
        <w:lastRenderedPageBreak/>
        <w:t>Aug. 2026].</w:t>
      </w:r>
    </w:p>
    <w:p w:rsidR="00621D05" w:rsidRDefault="008240CA">
      <w:pPr>
        <w:pStyle w:val="normal2"/>
      </w:pPr>
      <w:r>
        <w:t xml:space="preserve">PwC (2025). </w:t>
      </w:r>
      <w:r>
        <w:rPr>
          <w:i/>
          <w:iCs/>
        </w:rPr>
        <w:t>2025 AI business predictions</w:t>
      </w:r>
      <w:r>
        <w:t xml:space="preserve">. [online] PwC. Available at: </w:t>
      </w:r>
      <w:hyperlink r:id="rId138">
        <w:r>
          <w:rPr>
            <w:color w:val="1155CC"/>
            <w:u w:val="single"/>
          </w:rPr>
          <w:t>https://www.pwc.com/us/en/tech-effect/ai-analytics/ai-predictions.html</w:t>
        </w:r>
      </w:hyperlink>
      <w:r>
        <w:t xml:space="preserve"> [Accessed 24 Aug. 2026].</w:t>
      </w:r>
    </w:p>
    <w:p w:rsidR="00621D05" w:rsidRDefault="008240CA">
      <w:pPr>
        <w:pStyle w:val="normal2"/>
        <w:widowControl w:val="0"/>
      </w:pPr>
      <w:r>
        <w:t xml:space="preserve">Recykal.com. (2025). </w:t>
      </w:r>
      <w:r>
        <w:rPr>
          <w:i/>
          <w:iCs/>
        </w:rPr>
        <w:t>Environmental Impact of Landfills and Waste Diversion in 2025 - Recykal | Sustainable Circularity</w:t>
      </w:r>
      <w:r>
        <w:t xml:space="preserve">. [online] Available at: </w:t>
      </w:r>
      <w:hyperlink r:id="rId139">
        <w:r>
          <w:rPr>
            <w:color w:val="1155CC"/>
            <w:u w:val="single"/>
          </w:rPr>
          <w:t>https://www.recykal.com/trending-blog/environmental-impact-of-landfills-and-waste-diversion-in-2025</w:t>
        </w:r>
      </w:hyperlink>
      <w:r>
        <w:t xml:space="preserve"> [Accessed 24 Aug. 2026].</w:t>
      </w:r>
    </w:p>
    <w:p w:rsidR="00621D05" w:rsidRDefault="008240CA">
      <w:pPr>
        <w:pStyle w:val="normal2"/>
      </w:pPr>
      <w:r>
        <w:t xml:space="preserve">Sahoo, S. (2021). Lean practices and operational performance: The role of organizational culture. </w:t>
      </w:r>
      <w:r>
        <w:rPr>
          <w:i/>
          <w:iCs/>
        </w:rPr>
        <w:t>International Journal of Quality &amp; Reliability Management</w:t>
      </w:r>
      <w:r>
        <w:t xml:space="preserve">, [online] ahead-of-print(ahead-of-print). Available at: </w:t>
      </w:r>
      <w:hyperlink r:id="rId140">
        <w:r>
          <w:rPr>
            <w:color w:val="1155CC"/>
            <w:u w:val="single"/>
          </w:rPr>
          <w:t>https://www.emerald.com/ijqrm/article/39/2/428/314305/Lean-practices-and-operational-performance-the</w:t>
        </w:r>
      </w:hyperlink>
      <w:r>
        <w:t xml:space="preserve"> [Accessed 24 Aug. 2026].</w:t>
      </w:r>
    </w:p>
    <w:p w:rsidR="00621D05" w:rsidRDefault="008240CA">
      <w:pPr>
        <w:pStyle w:val="normal2"/>
        <w:widowControl w:val="0"/>
      </w:pPr>
      <w:r>
        <w:t xml:space="preserve">‌Sala-Garrido, R., Mocholi-Arce, M., Maziotis, A. and Molinos-Senante, M. (2024). Eco-efficiency approach in sustainable waste management: An uncertainty analysis for Chile. </w:t>
      </w:r>
      <w:r>
        <w:rPr>
          <w:i/>
          <w:iCs/>
        </w:rPr>
        <w:t>Environmental Science &amp; Policy</w:t>
      </w:r>
      <w:r>
        <w:t xml:space="preserve">, [online] 160, p.103859. </w:t>
      </w:r>
      <w:hyperlink r:id="rId141">
        <w:r>
          <w:rPr>
            <w:color w:val="1155CC"/>
            <w:u w:val="single"/>
          </w:rPr>
          <w:t>https://doi.org/10.1016/j.envsci.2024.103859</w:t>
        </w:r>
      </w:hyperlink>
      <w:r>
        <w:t xml:space="preserve"> </w:t>
      </w:r>
    </w:p>
    <w:p w:rsidR="00621D05" w:rsidRDefault="008240CA">
      <w:pPr>
        <w:pStyle w:val="normal2"/>
      </w:pPr>
      <w:r>
        <w:t xml:space="preserve">Sharabati, A.-A.A., Ali, A., Allahham, M.I., Hussein, A.A., Alheet, A.F. and Mohammad, A.S. (2024). The impact of digital marketing on the performance of SMEs: An analytical study in light of modern digital transformations. </w:t>
      </w:r>
      <w:r>
        <w:rPr>
          <w:i/>
          <w:iCs/>
        </w:rPr>
        <w:t>Sustainability</w:t>
      </w:r>
      <w:r>
        <w:t xml:space="preserve">, [online] 16(19). Available at: </w:t>
      </w:r>
      <w:hyperlink r:id="rId142">
        <w:r>
          <w:rPr>
            <w:color w:val="1155CC"/>
            <w:u w:val="single"/>
          </w:rPr>
          <w:t>https://www.mdpi.com/2071-1050/16/19/8667</w:t>
        </w:r>
      </w:hyperlink>
      <w:r>
        <w:t xml:space="preserve"> [Accessed 24 Aug. 2026].</w:t>
      </w:r>
    </w:p>
    <w:p w:rsidR="00621D05" w:rsidRDefault="008240CA">
      <w:pPr>
        <w:pStyle w:val="normal2"/>
      </w:pPr>
      <w:r>
        <w:t xml:space="preserve">Shonubi, O.A. (2025). The role of digital B2B platforms with industry 4.0 technological ecosystems(integration of cloud computing, artificial intelligence and internet of things) as a growth lever. </w:t>
      </w:r>
      <w:r>
        <w:rPr>
          <w:i/>
          <w:iCs/>
        </w:rPr>
        <w:t>Sustainable Futures</w:t>
      </w:r>
      <w:r>
        <w:t xml:space="preserve">, [online] 10, p.101041. Available at: </w:t>
      </w:r>
      <w:hyperlink r:id="rId143">
        <w:r>
          <w:rPr>
            <w:color w:val="1155CC"/>
            <w:u w:val="single"/>
          </w:rPr>
          <w:t>https://www.sciencedirect.com/science/article/pii/S2666188825006057</w:t>
        </w:r>
      </w:hyperlink>
      <w:r>
        <w:t xml:space="preserve"> [Accessed 24 Aug. 2026].</w:t>
      </w:r>
    </w:p>
    <w:p w:rsidR="00621D05" w:rsidRDefault="008240CA">
      <w:pPr>
        <w:pStyle w:val="normal2"/>
        <w:spacing w:after="160"/>
      </w:pPr>
      <w:r>
        <w:lastRenderedPageBreak/>
        <w:t>Sinkovics, N., Gunaratne, D., Sinkovics, R.R. and Molina-Castillo, F.J., 2021. Sustainable business model innovation: An umbrella review. Sustainability, 13(13), p.7266.</w:t>
      </w:r>
      <w:hyperlink r:id="rId144">
        <w:r>
          <w:rPr>
            <w:color w:val="1155CC"/>
            <w:u w:val="single"/>
          </w:rPr>
          <w:t>https://www.mdpi.com/2071-1050/13/13/7266</w:t>
        </w:r>
      </w:hyperlink>
      <w:r>
        <w:t xml:space="preserve"> </w:t>
      </w:r>
    </w:p>
    <w:p w:rsidR="00621D05" w:rsidRDefault="008240CA">
      <w:pPr>
        <w:pStyle w:val="normal2"/>
        <w:spacing w:after="160"/>
      </w:pPr>
      <w:r>
        <w:t>Snihur, Y. and Bocken, N., 2022. A call for action: The impact of business model innovation on business ecosystems, society and planet. Long Range Planning, 55(6), p.102182.</w:t>
      </w:r>
      <w:hyperlink r:id="rId145">
        <w:r>
          <w:rPr>
            <w:color w:val="1155CC"/>
            <w:u w:val="single"/>
          </w:rPr>
          <w:t>https://www.sciencedirect.com/science/article/pii/S0024630122000012</w:t>
        </w:r>
      </w:hyperlink>
      <w:r>
        <w:t xml:space="preserve"> </w:t>
      </w:r>
    </w:p>
    <w:p w:rsidR="00621D05" w:rsidRDefault="008240CA">
      <w:pPr>
        <w:pStyle w:val="normal2"/>
      </w:pPr>
      <w:r>
        <w:t xml:space="preserve">Sohoo, I., Mahapatra, K., Lindbäck, E.A. and Poudel, B.C. (2025). Sustainable materials and waste management in office renovations: A Swedish case study. </w:t>
      </w:r>
      <w:r>
        <w:rPr>
          <w:i/>
          <w:iCs/>
        </w:rPr>
        <w:t>Cleaner Waste Systems</w:t>
      </w:r>
      <w:r>
        <w:t xml:space="preserve">, [online] 12, p.100431. Available at: </w:t>
      </w:r>
      <w:hyperlink r:id="rId146">
        <w:r>
          <w:rPr>
            <w:color w:val="1155CC"/>
            <w:u w:val="single"/>
          </w:rPr>
          <w:t>https://www.sciencedirect.com/science/article/pii/S2772912525002295</w:t>
        </w:r>
      </w:hyperlink>
      <w:r>
        <w:t xml:space="preserve"> [Accessed 24 Aug. 2026].</w:t>
      </w:r>
    </w:p>
    <w:p w:rsidR="00621D05" w:rsidRDefault="008240CA">
      <w:pPr>
        <w:pStyle w:val="normal2"/>
      </w:pPr>
      <w:r>
        <w:t xml:space="preserve">Stabler, D., Hakala, H., Huikkola, T. and Mention, A.-L. (2024). Aligning servitization and circularity: The role of institutional confluence in sustainable business models. </w:t>
      </w:r>
      <w:r>
        <w:rPr>
          <w:i/>
          <w:iCs/>
        </w:rPr>
        <w:t>Journal of Cleaner Production</w:t>
      </w:r>
      <w:r>
        <w:t>, [online] 462, p.142666. doi:10.1016/j.jclepro.2024.142666.</w:t>
      </w:r>
    </w:p>
    <w:p w:rsidR="00621D05" w:rsidRDefault="008240CA">
      <w:pPr>
        <w:pStyle w:val="normal2"/>
        <w:spacing w:after="160"/>
      </w:pPr>
      <w:r>
        <w:t>Su, H., Petrecca, A.C.C. and Vezzoli, C., 2025. Designing Environmentally Sustainable Product–Service Systems for Smart Mobile Devices: A Conceptual Framework and Archetypes. Sustainability, 17(19), p.8524.</w:t>
      </w:r>
      <w:hyperlink r:id="rId147">
        <w:r>
          <w:rPr>
            <w:color w:val="1155CC"/>
            <w:u w:val="single"/>
          </w:rPr>
          <w:t>https://onlinelibrary.wiley.com/doi/pdfdirect/10.1002/bse.3297</w:t>
        </w:r>
      </w:hyperlink>
      <w:r>
        <w:t xml:space="preserve"> </w:t>
      </w:r>
    </w:p>
    <w:p w:rsidR="00621D05" w:rsidRDefault="008240CA">
      <w:pPr>
        <w:pStyle w:val="normal2"/>
        <w:spacing w:after="160"/>
      </w:pPr>
      <w:r>
        <w:t xml:space="preserve">Surma, M.J., Nunes, R.J., Rook, C. and Loder, A., 2021. Assessing employee engagement in a post-COVID-19 workplace ecosystem. Sustainability, 13(20), p.11443. </w:t>
      </w:r>
      <w:hyperlink r:id="rId148">
        <w:r>
          <w:rPr>
            <w:color w:val="1155CC"/>
            <w:u w:val="single"/>
          </w:rPr>
          <w:t>https://www.mdpi.com/2071-1050/13/20/11443</w:t>
        </w:r>
      </w:hyperlink>
      <w:r>
        <w:t xml:space="preserve"> </w:t>
      </w:r>
    </w:p>
    <w:p w:rsidR="00621D05" w:rsidRDefault="008240CA">
      <w:pPr>
        <w:pStyle w:val="normal2"/>
      </w:pPr>
      <w:r>
        <w:t xml:space="preserve">Svensson Harari, N. and Fundin, A. (2023). An early-phase design process to enable long-term flexibility in assembly systems. </w:t>
      </w:r>
      <w:r>
        <w:rPr>
          <w:i/>
          <w:iCs/>
        </w:rPr>
        <w:t>Research in Engineering Design</w:t>
      </w:r>
      <w:r>
        <w:t xml:space="preserve">, [online] 34(2), pp.257–283. Available at: </w:t>
      </w:r>
      <w:hyperlink r:id="rId149">
        <w:r>
          <w:rPr>
            <w:color w:val="1155CC"/>
            <w:u w:val="single"/>
          </w:rPr>
          <w:t>https://link.springer.com/article/10.1007/s00163-022-00404-0</w:t>
        </w:r>
      </w:hyperlink>
      <w:r>
        <w:t xml:space="preserve"> [Accessed 7 Sept. 2026].</w:t>
      </w:r>
    </w:p>
    <w:p w:rsidR="00621D05" w:rsidRDefault="008240CA">
      <w:pPr>
        <w:pStyle w:val="normal2"/>
      </w:pPr>
      <w:r>
        <w:lastRenderedPageBreak/>
        <w:t xml:space="preserve">Telukdarie, A. and Nyathi, M.H.L. (2026). ESG and circular business models: Towards a sector-specific circular–ESG integration framework. </w:t>
      </w:r>
      <w:r>
        <w:rPr>
          <w:i/>
          <w:iCs/>
        </w:rPr>
        <w:t>Sustainability</w:t>
      </w:r>
      <w:r>
        <w:t xml:space="preserve">, [online] 18(8), p.4006. Available at: </w:t>
      </w:r>
      <w:hyperlink r:id="rId150">
        <w:r>
          <w:rPr>
            <w:color w:val="1155CC"/>
            <w:u w:val="single"/>
          </w:rPr>
          <w:t>https://www.mdpi.com/2071-1050/18/8/4006</w:t>
        </w:r>
      </w:hyperlink>
      <w:r>
        <w:t xml:space="preserve"> [Accessed 21 Aug. 2026].</w:t>
      </w:r>
    </w:p>
    <w:p w:rsidR="00621D05" w:rsidRDefault="008240CA">
      <w:pPr>
        <w:pStyle w:val="normal2"/>
      </w:pPr>
      <w:r>
        <w:t xml:space="preserve">Torkki, P., Rotinen, L., Suvituulia Taponen, S., Tella, S., Grönman, K., Deviatkin, I., Pitkänen, L.J., Venesoja, A., Koljonen, K., Repo, E. and Laatikainen, K. (2024). Increasing the role of sustainability in public procurement of personal protective equipment. </w:t>
      </w:r>
      <w:r>
        <w:rPr>
          <w:i/>
          <w:iCs/>
        </w:rPr>
        <w:t>Journal of cleaner production</w:t>
      </w:r>
      <w:r>
        <w:t xml:space="preserve">, [online] pp.142335–142335. Available at: </w:t>
      </w:r>
      <w:hyperlink r:id="rId151">
        <w:r>
          <w:rPr>
            <w:color w:val="1155CC"/>
            <w:u w:val="single"/>
          </w:rPr>
          <w:t>https://www.sciencedirect.com/science/article/abs/pii/S0959652624017839</w:t>
        </w:r>
      </w:hyperlink>
      <w:r>
        <w:t xml:space="preserve"> [Accessed 21 Aug. 2026].</w:t>
      </w:r>
    </w:p>
    <w:p w:rsidR="00621D05" w:rsidRDefault="008240CA">
      <w:pPr>
        <w:pStyle w:val="normal2"/>
        <w:widowControl w:val="0"/>
      </w:pPr>
      <w:r>
        <w:t xml:space="preserve">‌Udvaros, J., Forman, N., Tašić, J. and Szabó, L. (2024) ‘The Application of QR Codes in the Field of E-Business in the Case of Order Tracking and Logistics’, </w:t>
      </w:r>
      <w:r>
        <w:rPr>
          <w:i/>
          <w:iCs/>
        </w:rPr>
        <w:t>14th International Symposium Engineering Management and Competitiveness (EMC 2024)</w:t>
      </w:r>
      <w:r>
        <w:t xml:space="preserve">, Zrenjanin, Serbia. </w:t>
      </w:r>
      <w:hyperlink r:id="rId152">
        <w:r>
          <w:rPr>
            <w:color w:val="1155CC"/>
            <w:u w:val="single"/>
          </w:rPr>
          <w:t>https://www.researchgate.net/publication/381663947_The_Application_of_QR_Codes_in_the_Field_of_E-Business_in_the_Case_of_Order_Tracking_and_Logistics</w:t>
        </w:r>
      </w:hyperlink>
      <w:r>
        <w:t xml:space="preserve"> </w:t>
      </w:r>
    </w:p>
    <w:p w:rsidR="00621D05" w:rsidRDefault="008240CA">
      <w:pPr>
        <w:pStyle w:val="normal2"/>
      </w:pPr>
      <w:r>
        <w:t xml:space="preserve">Veolia (2023). </w:t>
      </w:r>
      <w:r>
        <w:rPr>
          <w:i/>
          <w:iCs/>
        </w:rPr>
        <w:t>Waste management</w:t>
      </w:r>
      <w:r>
        <w:t xml:space="preserve">. [online] Veolia. Available at: </w:t>
      </w:r>
      <w:hyperlink r:id="rId153">
        <w:r>
          <w:rPr>
            <w:color w:val="1155CC"/>
            <w:u w:val="single"/>
          </w:rPr>
          <w:t>https://www.veolia.com/en/veolia-group/profile/business-activities/waste-management</w:t>
        </w:r>
      </w:hyperlink>
      <w:r>
        <w:t xml:space="preserve"> [Accessed 24 Aug. 2026].</w:t>
      </w:r>
    </w:p>
    <w:p w:rsidR="00621D05" w:rsidRDefault="008240CA">
      <w:pPr>
        <w:pStyle w:val="normal2"/>
        <w:widowControl w:val="0"/>
      </w:pPr>
      <w:r>
        <w:t xml:space="preserve">Wang, Y., Wang, D.D. and Liu, R. (2025). Impact of Digital Technology Adoption on the Similarity of Sustainability Reports. </w:t>
      </w:r>
      <w:r>
        <w:rPr>
          <w:i/>
          <w:iCs/>
        </w:rPr>
        <w:t>Sustainability</w:t>
      </w:r>
      <w:r>
        <w:t xml:space="preserve">, [online] 17(8), p.3728. </w:t>
      </w:r>
      <w:hyperlink r:id="rId154">
        <w:r>
          <w:rPr>
            <w:color w:val="1155CC"/>
            <w:u w:val="single"/>
          </w:rPr>
          <w:t>https://doi.org/10.3390/su17083728</w:t>
        </w:r>
      </w:hyperlink>
      <w:r>
        <w:t xml:space="preserve"> </w:t>
      </w:r>
    </w:p>
    <w:p w:rsidR="00621D05" w:rsidRDefault="008240CA">
      <w:pPr>
        <w:pStyle w:val="normal2"/>
      </w:pPr>
      <w:r>
        <w:t xml:space="preserve">Winter, K., Cats, O., Martens, K. and van Arem, B. (2021). Parking space for shared automated vehicles: How less can be more. </w:t>
      </w:r>
      <w:r>
        <w:rPr>
          <w:i/>
          <w:iCs/>
        </w:rPr>
        <w:t>Transportation Research Part A: Policy and Practice</w:t>
      </w:r>
      <w:r>
        <w:t xml:space="preserve">, [online] 143, pp.61–77. Available at: </w:t>
      </w:r>
      <w:hyperlink r:id="rId155">
        <w:r>
          <w:rPr>
            <w:color w:val="1155CC"/>
            <w:u w:val="single"/>
          </w:rPr>
          <w:t>https://www.sciencedirect.com/science/article/pii/S0965856420307734</w:t>
        </w:r>
      </w:hyperlink>
      <w:r>
        <w:t xml:space="preserve"> [Accessed 24 Aug. 2026].</w:t>
      </w:r>
    </w:p>
    <w:p w:rsidR="00621D05" w:rsidRDefault="008240CA">
      <w:pPr>
        <w:pStyle w:val="normal2"/>
        <w:widowControl w:val="0"/>
      </w:pPr>
      <w:r>
        <w:lastRenderedPageBreak/>
        <w:t>WRAP (2025) ‘Crown Workspace Ltd: Leading the way in office furniture reuse’, 16 October. Available at:</w:t>
      </w:r>
      <w:hyperlink r:id="rId156">
        <w:r>
          <w:t xml:space="preserve"> </w:t>
        </w:r>
      </w:hyperlink>
      <w:hyperlink r:id="rId157">
        <w:r>
          <w:rPr>
            <w:color w:val="1155CC"/>
            <w:u w:val="single"/>
          </w:rPr>
          <w:t>https://www.wrap.ngo/resources/case-study/crown-workspace-ltd-leading-way-office-furniture-reuse</w:t>
        </w:r>
      </w:hyperlink>
      <w:r>
        <w:t xml:space="preserve"> (Accessed: 18 August 2026).</w:t>
      </w:r>
    </w:p>
    <w:p w:rsidR="00621D05" w:rsidRDefault="008240CA">
      <w:pPr>
        <w:pStyle w:val="normal2"/>
        <w:widowControl w:val="0"/>
      </w:pPr>
      <w:r>
        <w:t xml:space="preserve">Xu, M., Tse, Y.K., Geng, R., Liu, Z. and Potter, A. (2025). Greenwashing and market value of firms: An empirical study. </w:t>
      </w:r>
      <w:r>
        <w:rPr>
          <w:i/>
          <w:iCs/>
        </w:rPr>
        <w:t>International Journal of Production Economics</w:t>
      </w:r>
      <w:r>
        <w:t xml:space="preserve">, [online] 284, p.109606. </w:t>
      </w:r>
      <w:hyperlink r:id="rId158">
        <w:r>
          <w:rPr>
            <w:color w:val="1155CC"/>
            <w:u w:val="single"/>
          </w:rPr>
          <w:t>https://www.sciencedirect.com/science/article/pii/S092552732500091X</w:t>
        </w:r>
      </w:hyperlink>
      <w:r>
        <w:t xml:space="preserve"> </w:t>
      </w:r>
    </w:p>
    <w:p w:rsidR="00621D05" w:rsidRDefault="008240CA">
      <w:pPr>
        <w:pStyle w:val="normal2"/>
      </w:pPr>
      <w:r>
        <w:t xml:space="preserve">Zahari, A.I., Manan, A., Razali, F.M., Zolkaflil, S. and Said, J.B. (2023). Exploring the viability of remote work for SME. </w:t>
      </w:r>
      <w:r>
        <w:rPr>
          <w:i/>
          <w:iCs/>
        </w:rPr>
        <w:t>Journal of Open Innovation: Technology, Market, and Complexity</w:t>
      </w:r>
      <w:r>
        <w:t xml:space="preserve">, [online] 10(1), pp.100182–100182. Available at: </w:t>
      </w:r>
      <w:hyperlink r:id="rId159">
        <w:r>
          <w:rPr>
            <w:color w:val="1155CC"/>
            <w:u w:val="single"/>
          </w:rPr>
          <w:t>https://www.sciencedirect.com/science/article/pii/S2199853123002846</w:t>
        </w:r>
      </w:hyperlink>
      <w:r>
        <w:t xml:space="preserve"> [Accessed 21 Aug. 2026].‌</w:t>
      </w:r>
    </w:p>
    <w:sectPr w:rsidR="00621D05" w:rsidSect="00621D05">
      <w:headerReference w:type="default" r:id="rId160"/>
      <w:footerReference w:type="default" r:id="rId161"/>
      <w:footerReference w:type="first" r:id="rId162"/>
      <w:pgSz w:w="12240" w:h="15840"/>
      <w:pgMar w:top="1440" w:right="1440" w:bottom="1440" w:left="1440"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01531" w:rsidRDefault="00901531" w:rsidP="00621D05">
      <w:pPr>
        <w:spacing w:before="0" w:after="0" w:line="240" w:lineRule="auto"/>
      </w:pPr>
      <w:r>
        <w:separator/>
      </w:r>
    </w:p>
  </w:endnote>
  <w:endnote w:type="continuationSeparator" w:id="1">
    <w:p w:rsidR="00901531" w:rsidRDefault="00901531" w:rsidP="00621D05">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9E53C519-5173-42A7-B667-01B679AFBA77}"/>
  </w:font>
  <w:font w:name="Tahoma">
    <w:panose1 w:val="020B0604030504040204"/>
    <w:charset w:val="00"/>
    <w:family w:val="swiss"/>
    <w:pitch w:val="variable"/>
    <w:sig w:usb0="E1002EFF" w:usb1="C000605B" w:usb2="00000029" w:usb3="00000000" w:csb0="000101FF" w:csb1="00000000"/>
    <w:embedRegular r:id="rId2" w:fontKey="{0735DC63-4A29-4C21-A490-374296B118C0}"/>
  </w:font>
  <w:font w:name="Calibri">
    <w:panose1 w:val="020F0502020204030204"/>
    <w:charset w:val="00"/>
    <w:family w:val="swiss"/>
    <w:pitch w:val="variable"/>
    <w:sig w:usb0="E4002EFF" w:usb1="C200247B" w:usb2="00000009" w:usb3="00000000" w:csb0="000001FF" w:csb1="00000000"/>
    <w:embedRegular r:id="rId3" w:fontKey="{4839E232-D749-42DC-8C49-5157C9D2F32A}"/>
    <w:embedBold r:id="rId4" w:fontKey="{97619D46-1852-4AAA-9472-824AF3B5AD84}"/>
  </w:font>
  <w:font w:name="Arial Unicode MS">
    <w:panose1 w:val="020B0604020202020204"/>
    <w:charset w:val="80"/>
    <w:family w:val="swiss"/>
    <w:pitch w:val="variable"/>
    <w:sig w:usb0="F7FFAFFF" w:usb1="E9DFFFFF" w:usb2="0000003F" w:usb3="00000000" w:csb0="003F01FF" w:csb1="00000000"/>
    <w:embedRegular r:id="rId5" w:subsetted="1" w:fontKey="{9A7453C8-C181-4BC9-AAA1-C316455F3B3F}"/>
    <w:embedBold r:id="rId6" w:subsetted="1" w:fontKey="{8EAFC19A-1199-45EA-9B66-4009E3057098}"/>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F4073" w:rsidRDefault="00CF4073">
    <w:pPr>
      <w:pStyle w:val="normal2"/>
      <w:jc w:val="right"/>
    </w:pPr>
    <w:fldSimple w:instr="PAGE">
      <w:r w:rsidR="00605CCA">
        <w:rPr>
          <w:noProof/>
        </w:rPr>
        <w:t>3</w:t>
      </w:r>
    </w:fldSimple>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F4073" w:rsidRDefault="00CF4073">
    <w:pPr>
      <w:pStyle w:val="normal2"/>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01531" w:rsidRDefault="00901531" w:rsidP="00621D05">
      <w:pPr>
        <w:spacing w:before="0" w:after="0" w:line="240" w:lineRule="auto"/>
      </w:pPr>
      <w:r>
        <w:separator/>
      </w:r>
    </w:p>
  </w:footnote>
  <w:footnote w:type="continuationSeparator" w:id="1">
    <w:p w:rsidR="00901531" w:rsidRDefault="00901531" w:rsidP="00621D05">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F4073" w:rsidRDefault="00CF4073">
    <w:pPr>
      <w:pStyle w:val="normal2"/>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FB59F4"/>
    <w:multiLevelType w:val="multilevel"/>
    <w:tmpl w:val="703E93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A99752D"/>
    <w:multiLevelType w:val="multilevel"/>
    <w:tmpl w:val="393AD1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DBA0208"/>
    <w:multiLevelType w:val="multilevel"/>
    <w:tmpl w:val="96A6C7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8BB1730"/>
    <w:multiLevelType w:val="multilevel"/>
    <w:tmpl w:val="6FD239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2B01EAC"/>
    <w:multiLevelType w:val="multilevel"/>
    <w:tmpl w:val="DA5221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BEB0ECA"/>
    <w:multiLevelType w:val="multilevel"/>
    <w:tmpl w:val="2E4807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D2A4318"/>
    <w:multiLevelType w:val="multilevel"/>
    <w:tmpl w:val="4F7240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3"/>
  </w:num>
  <w:num w:numId="4">
    <w:abstractNumId w:val="6"/>
  </w:num>
  <w:num w:numId="5">
    <w:abstractNumId w:val="4"/>
  </w:num>
  <w:num w:numId="6">
    <w:abstractNumId w:val="0"/>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621D05"/>
    <w:rsid w:val="000A11B6"/>
    <w:rsid w:val="00106A7A"/>
    <w:rsid w:val="00234E2F"/>
    <w:rsid w:val="00305112"/>
    <w:rsid w:val="003455EA"/>
    <w:rsid w:val="004001B1"/>
    <w:rsid w:val="0046409F"/>
    <w:rsid w:val="00491531"/>
    <w:rsid w:val="00496EDC"/>
    <w:rsid w:val="00533B7E"/>
    <w:rsid w:val="00605CCA"/>
    <w:rsid w:val="00621D05"/>
    <w:rsid w:val="006715B0"/>
    <w:rsid w:val="006A0E5B"/>
    <w:rsid w:val="006E7DFD"/>
    <w:rsid w:val="008240CA"/>
    <w:rsid w:val="0084148A"/>
    <w:rsid w:val="008F2286"/>
    <w:rsid w:val="008F2BD3"/>
    <w:rsid w:val="00901531"/>
    <w:rsid w:val="00907865"/>
    <w:rsid w:val="009A471F"/>
    <w:rsid w:val="00A04C96"/>
    <w:rsid w:val="00A45490"/>
    <w:rsid w:val="00AE46F7"/>
    <w:rsid w:val="00C80F14"/>
    <w:rsid w:val="00CF4073"/>
    <w:rsid w:val="00E805B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US" w:eastAsia="en-US" w:bidi="ar-SA"/>
      </w:rPr>
    </w:rPrDefault>
    <w:pPrDefault>
      <w:pPr>
        <w:spacing w:before="200" w:after="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621D05"/>
    <w:pPr>
      <w:keepNext/>
      <w:keepLines/>
      <w:spacing w:before="360" w:after="80"/>
      <w:outlineLvl w:val="0"/>
    </w:pPr>
    <w:rPr>
      <w:b/>
      <w:bCs/>
      <w:sz w:val="28"/>
      <w:szCs w:val="28"/>
    </w:rPr>
  </w:style>
  <w:style w:type="paragraph" w:styleId="Heading2">
    <w:name w:val="heading 2"/>
    <w:basedOn w:val="normal0"/>
    <w:next w:val="normal0"/>
    <w:rsid w:val="00621D05"/>
    <w:pPr>
      <w:keepNext/>
      <w:keepLines/>
      <w:spacing w:before="280" w:after="80"/>
      <w:outlineLvl w:val="1"/>
    </w:pPr>
    <w:rPr>
      <w:b/>
      <w:bCs/>
      <w:sz w:val="26"/>
      <w:szCs w:val="26"/>
    </w:rPr>
  </w:style>
  <w:style w:type="paragraph" w:styleId="Heading3">
    <w:name w:val="heading 3"/>
    <w:basedOn w:val="normal0"/>
    <w:next w:val="normal0"/>
    <w:rsid w:val="00621D05"/>
    <w:pPr>
      <w:keepNext/>
      <w:keepLines/>
      <w:spacing w:after="40"/>
      <w:outlineLvl w:val="2"/>
    </w:pPr>
    <w:rPr>
      <w:b/>
      <w:bCs/>
    </w:rPr>
  </w:style>
  <w:style w:type="paragraph" w:styleId="Heading4">
    <w:name w:val="heading 4"/>
    <w:basedOn w:val="normal0"/>
    <w:next w:val="normal0"/>
    <w:rsid w:val="00621D05"/>
    <w:pPr>
      <w:keepNext/>
      <w:keepLines/>
      <w:spacing w:before="280" w:after="80"/>
      <w:outlineLvl w:val="3"/>
    </w:pPr>
    <w:rPr>
      <w:color w:val="666666"/>
    </w:rPr>
  </w:style>
  <w:style w:type="paragraph" w:styleId="Heading5">
    <w:name w:val="heading 5"/>
    <w:basedOn w:val="normal0"/>
    <w:next w:val="normal0"/>
    <w:rsid w:val="00621D05"/>
    <w:pPr>
      <w:keepNext/>
      <w:keepLines/>
      <w:spacing w:after="80"/>
      <w:outlineLvl w:val="4"/>
    </w:pPr>
    <w:rPr>
      <w:color w:val="666666"/>
      <w:sz w:val="22"/>
      <w:szCs w:val="22"/>
    </w:rPr>
  </w:style>
  <w:style w:type="paragraph" w:styleId="Heading6">
    <w:name w:val="heading 6"/>
    <w:basedOn w:val="normal0"/>
    <w:next w:val="normal0"/>
    <w:rsid w:val="00621D05"/>
    <w:pPr>
      <w:keepNext/>
      <w:keepLines/>
      <w:spacing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21D05"/>
    <w:tblPr>
      <w:tblCellMar>
        <w:top w:w="100" w:type="dxa"/>
        <w:left w:w="100" w:type="dxa"/>
        <w:bottom w:w="100" w:type="dxa"/>
        <w:right w:w="100" w:type="dxa"/>
      </w:tblCellMar>
    </w:tblPr>
  </w:style>
  <w:style w:type="paragraph" w:customStyle="1" w:styleId="normal0">
    <w:name w:val="normal"/>
    <w:rsid w:val="00621D05"/>
  </w:style>
  <w:style w:type="paragraph" w:styleId="Title">
    <w:name w:val="Title"/>
    <w:basedOn w:val="normal0"/>
    <w:next w:val="normal0"/>
    <w:rsid w:val="00621D05"/>
    <w:pPr>
      <w:keepNext/>
      <w:keepLines/>
      <w:spacing w:before="0" w:after="60"/>
    </w:pPr>
    <w:rPr>
      <w:sz w:val="52"/>
      <w:szCs w:val="52"/>
    </w:rPr>
  </w:style>
  <w:style w:type="table" w:customStyle="1" w:styleId="TableNormal1">
    <w:name w:val="TableNormal"/>
    <w:rsid w:val="00621D05"/>
    <w:tblPr>
      <w:tblCellMar>
        <w:top w:w="100" w:type="dxa"/>
        <w:left w:w="100" w:type="dxa"/>
        <w:bottom w:w="100" w:type="dxa"/>
        <w:right w:w="100" w:type="dxa"/>
      </w:tblCellMar>
    </w:tblPr>
  </w:style>
  <w:style w:type="paragraph" w:customStyle="1" w:styleId="normal1">
    <w:name w:val="normal"/>
    <w:rsid w:val="00621D05"/>
  </w:style>
  <w:style w:type="table" w:customStyle="1" w:styleId="TableNormal2">
    <w:name w:val="TableNormal"/>
    <w:rsid w:val="00621D05"/>
    <w:tblPr>
      <w:tblCellMar>
        <w:top w:w="100" w:type="dxa"/>
        <w:left w:w="100" w:type="dxa"/>
        <w:bottom w:w="100" w:type="dxa"/>
        <w:right w:w="100" w:type="dxa"/>
      </w:tblCellMar>
    </w:tblPr>
  </w:style>
  <w:style w:type="paragraph" w:customStyle="1" w:styleId="normal2">
    <w:name w:val="normal"/>
    <w:rsid w:val="00621D05"/>
  </w:style>
  <w:style w:type="table" w:customStyle="1" w:styleId="TableNormal3">
    <w:name w:val="TableNormal"/>
    <w:rsid w:val="00621D05"/>
    <w:tblPr>
      <w:tblCellMar>
        <w:top w:w="100" w:type="dxa"/>
        <w:left w:w="100" w:type="dxa"/>
        <w:bottom w:w="100" w:type="dxa"/>
        <w:right w:w="100" w:type="dxa"/>
      </w:tblCellMar>
    </w:tblPr>
  </w:style>
  <w:style w:type="table" w:customStyle="1" w:styleId="TableNormal4">
    <w:name w:val="TableNormal"/>
    <w:rsid w:val="00621D05"/>
    <w:tblPr>
      <w:tblCellMar>
        <w:top w:w="100" w:type="dxa"/>
        <w:left w:w="100" w:type="dxa"/>
        <w:bottom w:w="100" w:type="dxa"/>
        <w:right w:w="100" w:type="dxa"/>
      </w:tblCellMar>
    </w:tblPr>
  </w:style>
  <w:style w:type="table" w:customStyle="1" w:styleId="TableNormal5">
    <w:name w:val="TableNormal"/>
    <w:rsid w:val="00621D05"/>
    <w:tblPr>
      <w:tblCellMar>
        <w:top w:w="100" w:type="dxa"/>
        <w:left w:w="100" w:type="dxa"/>
        <w:bottom w:w="100" w:type="dxa"/>
        <w:right w:w="100" w:type="dxa"/>
      </w:tblCellMar>
    </w:tblPr>
  </w:style>
  <w:style w:type="table" w:customStyle="1" w:styleId="TableNormal6">
    <w:name w:val="TableNormal"/>
    <w:rsid w:val="00621D05"/>
    <w:tblPr>
      <w:tblCellMar>
        <w:top w:w="100" w:type="dxa"/>
        <w:left w:w="100" w:type="dxa"/>
        <w:bottom w:w="100" w:type="dxa"/>
        <w:right w:w="100" w:type="dxa"/>
      </w:tblCellMar>
    </w:tblPr>
  </w:style>
  <w:style w:type="table" w:customStyle="1" w:styleId="TableNormal7">
    <w:name w:val="TableNormal"/>
    <w:rsid w:val="00621D05"/>
    <w:tblPr>
      <w:tblCellMar>
        <w:top w:w="100" w:type="dxa"/>
        <w:left w:w="100" w:type="dxa"/>
        <w:bottom w:w="100" w:type="dxa"/>
        <w:right w:w="100" w:type="dxa"/>
      </w:tblCellMar>
    </w:tblPr>
  </w:style>
  <w:style w:type="table" w:customStyle="1" w:styleId="TableNormal8">
    <w:name w:val="TableNormal"/>
    <w:rsid w:val="00621D05"/>
    <w:tblPr>
      <w:tblCellMar>
        <w:top w:w="100" w:type="dxa"/>
        <w:left w:w="100" w:type="dxa"/>
        <w:bottom w:w="100" w:type="dxa"/>
        <w:right w:w="100" w:type="dxa"/>
      </w:tblCellMar>
    </w:tblPr>
  </w:style>
  <w:style w:type="table" w:customStyle="1" w:styleId="TableNormal9">
    <w:name w:val="TableNormal"/>
    <w:rsid w:val="00621D05"/>
    <w:tblPr>
      <w:tblCellMar>
        <w:top w:w="100" w:type="dxa"/>
        <w:left w:w="100" w:type="dxa"/>
        <w:bottom w:w="100" w:type="dxa"/>
        <w:right w:w="100" w:type="dxa"/>
      </w:tblCellMar>
    </w:tblPr>
  </w:style>
  <w:style w:type="table" w:customStyle="1" w:styleId="TableNormala">
    <w:name w:val="TableNormal"/>
    <w:rsid w:val="00621D05"/>
    <w:tblPr>
      <w:tblCellMar>
        <w:top w:w="100" w:type="dxa"/>
        <w:left w:w="100" w:type="dxa"/>
        <w:bottom w:w="100" w:type="dxa"/>
        <w:right w:w="100" w:type="dxa"/>
      </w:tblCellMar>
    </w:tblPr>
  </w:style>
  <w:style w:type="table" w:customStyle="1" w:styleId="TableNormalb">
    <w:name w:val="TableNormal"/>
    <w:rsid w:val="00621D05"/>
    <w:tblPr>
      <w:tblCellMar>
        <w:top w:w="100" w:type="dxa"/>
        <w:left w:w="100" w:type="dxa"/>
        <w:bottom w:w="100" w:type="dxa"/>
        <w:right w:w="100" w:type="dxa"/>
      </w:tblCellMar>
    </w:tblPr>
  </w:style>
  <w:style w:type="table" w:customStyle="1" w:styleId="a">
    <w:basedOn w:val="TableNormalb"/>
    <w:rsid w:val="00621D05"/>
    <w:tblPr>
      <w:tblStyleRowBandSize w:val="1"/>
      <w:tblStyleColBandSize w:val="1"/>
      <w:tblCellMar>
        <w:top w:w="100" w:type="dxa"/>
        <w:left w:w="100" w:type="dxa"/>
        <w:bottom w:w="100" w:type="dxa"/>
        <w:right w:w="100" w:type="dxa"/>
      </w:tblCellMar>
    </w:tblPr>
  </w:style>
  <w:style w:type="table" w:customStyle="1" w:styleId="a0">
    <w:basedOn w:val="TableNormalb"/>
    <w:rsid w:val="00621D05"/>
    <w:tblPr>
      <w:tblStyleRowBandSize w:val="1"/>
      <w:tblStyleColBandSize w:val="1"/>
      <w:tblCellMar>
        <w:top w:w="100" w:type="dxa"/>
        <w:left w:w="100" w:type="dxa"/>
        <w:bottom w:w="100" w:type="dxa"/>
        <w:right w:w="100" w:type="dxa"/>
      </w:tblCellMar>
    </w:tblPr>
  </w:style>
  <w:style w:type="table" w:customStyle="1" w:styleId="a1">
    <w:basedOn w:val="TableNormalb"/>
    <w:rsid w:val="00621D05"/>
    <w:tblPr>
      <w:tblStyleRowBandSize w:val="1"/>
      <w:tblStyleColBandSize w:val="1"/>
      <w:tblCellMar>
        <w:top w:w="100" w:type="dxa"/>
        <w:left w:w="100" w:type="dxa"/>
        <w:bottom w:w="100" w:type="dxa"/>
        <w:right w:w="100" w:type="dxa"/>
      </w:tblCellMar>
    </w:tblPr>
  </w:style>
  <w:style w:type="table" w:customStyle="1" w:styleId="a2">
    <w:basedOn w:val="TableNormalb"/>
    <w:rsid w:val="00621D05"/>
    <w:tblPr>
      <w:tblStyleRowBandSize w:val="1"/>
      <w:tblStyleColBandSize w:val="1"/>
      <w:tblCellMar>
        <w:top w:w="100" w:type="dxa"/>
        <w:left w:w="100" w:type="dxa"/>
        <w:bottom w:w="100" w:type="dxa"/>
        <w:right w:w="100" w:type="dxa"/>
      </w:tblCellMar>
    </w:tblPr>
  </w:style>
  <w:style w:type="table" w:customStyle="1" w:styleId="a3">
    <w:basedOn w:val="TableNormalb"/>
    <w:rsid w:val="00621D05"/>
    <w:tblPr>
      <w:tblStyleRowBandSize w:val="1"/>
      <w:tblStyleColBandSize w:val="1"/>
      <w:tblCellMar>
        <w:top w:w="100" w:type="dxa"/>
        <w:left w:w="100" w:type="dxa"/>
        <w:bottom w:w="100" w:type="dxa"/>
        <w:right w:w="100" w:type="dxa"/>
      </w:tblCellMar>
    </w:tblPr>
  </w:style>
  <w:style w:type="table" w:customStyle="1" w:styleId="a4">
    <w:basedOn w:val="TableNormalb"/>
    <w:rsid w:val="00621D05"/>
    <w:tblPr>
      <w:tblStyleRowBandSize w:val="1"/>
      <w:tblStyleColBandSize w:val="1"/>
      <w:tblCellMar>
        <w:top w:w="100" w:type="dxa"/>
        <w:left w:w="100" w:type="dxa"/>
        <w:bottom w:w="100" w:type="dxa"/>
        <w:right w:w="100" w:type="dxa"/>
      </w:tblCellMar>
    </w:tblPr>
  </w:style>
  <w:style w:type="table" w:customStyle="1" w:styleId="a5">
    <w:basedOn w:val="TableNormalb"/>
    <w:rsid w:val="00621D05"/>
    <w:tblPr>
      <w:tblStyleRowBandSize w:val="1"/>
      <w:tblStyleColBandSize w:val="1"/>
      <w:tblCellMar>
        <w:top w:w="100" w:type="dxa"/>
        <w:left w:w="100" w:type="dxa"/>
        <w:bottom w:w="100" w:type="dxa"/>
        <w:right w:w="100" w:type="dxa"/>
      </w:tblCellMar>
    </w:tblPr>
  </w:style>
  <w:style w:type="table" w:customStyle="1" w:styleId="a6">
    <w:basedOn w:val="TableNormalb"/>
    <w:rsid w:val="00621D05"/>
    <w:tblPr>
      <w:tblStyleRowBandSize w:val="1"/>
      <w:tblStyleColBandSize w:val="1"/>
      <w:tblCellMar>
        <w:top w:w="100" w:type="dxa"/>
        <w:left w:w="100" w:type="dxa"/>
        <w:bottom w:w="100" w:type="dxa"/>
        <w:right w:w="100" w:type="dxa"/>
      </w:tblCellMar>
    </w:tblPr>
  </w:style>
  <w:style w:type="table" w:customStyle="1" w:styleId="a7">
    <w:basedOn w:val="TableNormalb"/>
    <w:rsid w:val="00621D05"/>
    <w:tblPr>
      <w:tblStyleRowBandSize w:val="1"/>
      <w:tblStyleColBandSize w:val="1"/>
      <w:tblCellMar>
        <w:top w:w="100" w:type="dxa"/>
        <w:left w:w="100" w:type="dxa"/>
        <w:bottom w:w="100" w:type="dxa"/>
        <w:right w:w="100" w:type="dxa"/>
      </w:tblCellMar>
    </w:tblPr>
  </w:style>
  <w:style w:type="paragraph" w:styleId="TOC1">
    <w:name w:val="toc 1"/>
    <w:basedOn w:val="normal2"/>
    <w:next w:val="normal2"/>
    <w:autoRedefine/>
    <w:uiPriority w:val="39"/>
    <w:unhideWhenUsed/>
    <w:rsid w:val="00596FD4"/>
    <w:pPr>
      <w:spacing w:after="100"/>
    </w:pPr>
  </w:style>
  <w:style w:type="paragraph" w:styleId="TOC2">
    <w:name w:val="toc 2"/>
    <w:basedOn w:val="normal2"/>
    <w:next w:val="normal2"/>
    <w:autoRedefine/>
    <w:uiPriority w:val="39"/>
    <w:unhideWhenUsed/>
    <w:rsid w:val="00596FD4"/>
    <w:pPr>
      <w:spacing w:after="100"/>
      <w:ind w:left="240"/>
    </w:pPr>
  </w:style>
  <w:style w:type="paragraph" w:styleId="TOC3">
    <w:name w:val="toc 3"/>
    <w:basedOn w:val="normal2"/>
    <w:next w:val="normal2"/>
    <w:autoRedefine/>
    <w:uiPriority w:val="39"/>
    <w:unhideWhenUsed/>
    <w:rsid w:val="00596FD4"/>
    <w:pPr>
      <w:spacing w:after="100"/>
      <w:ind w:left="480"/>
    </w:pPr>
  </w:style>
  <w:style w:type="character" w:styleId="Hyperlink">
    <w:name w:val="Hyperlink"/>
    <w:basedOn w:val="DefaultParagraphFont"/>
    <w:uiPriority w:val="99"/>
    <w:unhideWhenUsed/>
    <w:rsid w:val="00596FD4"/>
    <w:rPr>
      <w:color w:val="0000FF" w:themeColor="hyperlink"/>
      <w:u w:val="single"/>
    </w:rPr>
  </w:style>
  <w:style w:type="paragraph" w:styleId="NormalWeb">
    <w:name w:val="Normal (Web)"/>
    <w:basedOn w:val="normal2"/>
    <w:uiPriority w:val="99"/>
    <w:semiHidden/>
    <w:unhideWhenUsed/>
    <w:rsid w:val="003D104A"/>
    <w:pPr>
      <w:spacing w:before="100" w:beforeAutospacing="1" w:after="100" w:afterAutospacing="1" w:line="240" w:lineRule="auto"/>
      <w:jc w:val="left"/>
    </w:pPr>
    <w:rPr>
      <w:lang w:val="en-IN"/>
    </w:rPr>
  </w:style>
  <w:style w:type="table" w:customStyle="1" w:styleId="a8">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9">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a">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d">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e">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0">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1">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2">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3">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4">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5">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6">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7">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8">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9">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a">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c">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d">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e">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0">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1">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2">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3">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4">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5">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6">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7">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8">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9">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a">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c">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d">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e">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0">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1">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2">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3">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4">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5">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6">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7">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8">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9">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a">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c">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d">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e">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0">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1">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2">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3">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4">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5">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6">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7">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8">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9">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a">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c">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d">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e">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0">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1">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2">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3">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4">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5">
    <w:basedOn w:val="TableNormal"/>
    <w:rsid w:val="00621D05"/>
    <w:tblPr>
      <w:tblStyleRowBandSize w:val="1"/>
      <w:tblStyleColBandSize w:val="1"/>
      <w:tblInd w:w="0" w:type="dxa"/>
      <w:tblCellMar>
        <w:top w:w="0" w:type="dxa"/>
        <w:left w:w="108" w:type="dxa"/>
        <w:bottom w:w="0" w:type="dxa"/>
        <w:right w:w="108" w:type="dxa"/>
      </w:tblCellMar>
    </w:tblPr>
  </w:style>
  <w:style w:type="paragraph" w:styleId="TOC4">
    <w:name w:val="toc 4"/>
    <w:basedOn w:val="normal2"/>
    <w:next w:val="normal2"/>
    <w:autoRedefine/>
    <w:uiPriority w:val="39"/>
    <w:unhideWhenUsed/>
    <w:rsid w:val="006413C7"/>
    <w:pPr>
      <w:spacing w:before="0" w:after="100" w:line="259" w:lineRule="auto"/>
      <w:ind w:left="660"/>
      <w:jc w:val="left"/>
    </w:pPr>
    <w:rPr>
      <w:rFonts w:asciiTheme="minorHAnsi" w:eastAsiaTheme="minorEastAsia" w:hAnsiTheme="minorHAnsi" w:cstheme="minorBidi"/>
      <w:sz w:val="22"/>
      <w:szCs w:val="22"/>
      <w:lang w:val="en-IN"/>
    </w:rPr>
  </w:style>
  <w:style w:type="paragraph" w:styleId="TOC5">
    <w:name w:val="toc 5"/>
    <w:basedOn w:val="normal2"/>
    <w:next w:val="normal2"/>
    <w:autoRedefine/>
    <w:uiPriority w:val="39"/>
    <w:unhideWhenUsed/>
    <w:rsid w:val="006413C7"/>
    <w:pPr>
      <w:spacing w:before="0" w:after="100" w:line="259" w:lineRule="auto"/>
      <w:ind w:left="880"/>
      <w:jc w:val="left"/>
    </w:pPr>
    <w:rPr>
      <w:rFonts w:asciiTheme="minorHAnsi" w:eastAsiaTheme="minorEastAsia" w:hAnsiTheme="minorHAnsi" w:cstheme="minorBidi"/>
      <w:sz w:val="22"/>
      <w:szCs w:val="22"/>
      <w:lang w:val="en-IN"/>
    </w:rPr>
  </w:style>
  <w:style w:type="paragraph" w:styleId="TOC6">
    <w:name w:val="toc 6"/>
    <w:basedOn w:val="normal2"/>
    <w:next w:val="normal2"/>
    <w:autoRedefine/>
    <w:uiPriority w:val="39"/>
    <w:unhideWhenUsed/>
    <w:rsid w:val="006413C7"/>
    <w:pPr>
      <w:spacing w:before="0" w:after="100" w:line="259" w:lineRule="auto"/>
      <w:ind w:left="1100"/>
      <w:jc w:val="left"/>
    </w:pPr>
    <w:rPr>
      <w:rFonts w:asciiTheme="minorHAnsi" w:eastAsiaTheme="minorEastAsia" w:hAnsiTheme="minorHAnsi" w:cstheme="minorBidi"/>
      <w:sz w:val="22"/>
      <w:szCs w:val="22"/>
      <w:lang w:val="en-IN"/>
    </w:rPr>
  </w:style>
  <w:style w:type="paragraph" w:styleId="TOC7">
    <w:name w:val="toc 7"/>
    <w:basedOn w:val="normal2"/>
    <w:next w:val="normal2"/>
    <w:autoRedefine/>
    <w:uiPriority w:val="39"/>
    <w:unhideWhenUsed/>
    <w:rsid w:val="006413C7"/>
    <w:pPr>
      <w:spacing w:before="0" w:after="100" w:line="259" w:lineRule="auto"/>
      <w:ind w:left="1320"/>
      <w:jc w:val="left"/>
    </w:pPr>
    <w:rPr>
      <w:rFonts w:asciiTheme="minorHAnsi" w:eastAsiaTheme="minorEastAsia" w:hAnsiTheme="minorHAnsi" w:cstheme="minorBidi"/>
      <w:sz w:val="22"/>
      <w:szCs w:val="22"/>
      <w:lang w:val="en-IN"/>
    </w:rPr>
  </w:style>
  <w:style w:type="paragraph" w:styleId="TOC8">
    <w:name w:val="toc 8"/>
    <w:basedOn w:val="normal2"/>
    <w:next w:val="normal2"/>
    <w:autoRedefine/>
    <w:uiPriority w:val="39"/>
    <w:unhideWhenUsed/>
    <w:rsid w:val="006413C7"/>
    <w:pPr>
      <w:spacing w:before="0" w:after="100" w:line="259" w:lineRule="auto"/>
      <w:ind w:left="1540"/>
      <w:jc w:val="left"/>
    </w:pPr>
    <w:rPr>
      <w:rFonts w:asciiTheme="minorHAnsi" w:eastAsiaTheme="minorEastAsia" w:hAnsiTheme="minorHAnsi" w:cstheme="minorBidi"/>
      <w:sz w:val="22"/>
      <w:szCs w:val="22"/>
      <w:lang w:val="en-IN"/>
    </w:rPr>
  </w:style>
  <w:style w:type="paragraph" w:styleId="TOC9">
    <w:name w:val="toc 9"/>
    <w:basedOn w:val="normal2"/>
    <w:next w:val="normal2"/>
    <w:autoRedefine/>
    <w:uiPriority w:val="39"/>
    <w:unhideWhenUsed/>
    <w:rsid w:val="006413C7"/>
    <w:pPr>
      <w:spacing w:before="0" w:after="100" w:line="259" w:lineRule="auto"/>
      <w:ind w:left="1760"/>
      <w:jc w:val="left"/>
    </w:pPr>
    <w:rPr>
      <w:rFonts w:asciiTheme="minorHAnsi" w:eastAsiaTheme="minorEastAsia" w:hAnsiTheme="minorHAnsi" w:cstheme="minorBidi"/>
      <w:sz w:val="22"/>
      <w:szCs w:val="22"/>
      <w:lang w:val="en-IN"/>
    </w:rPr>
  </w:style>
  <w:style w:type="table" w:customStyle="1" w:styleId="afffff6">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7">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8">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9">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a">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b">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c">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d">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e">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0">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1">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2">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3">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4">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5">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6">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7">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8">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9">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a">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c">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d">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e">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0">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1">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2">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3">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4">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5">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6">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7">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8">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9">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a">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c">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d">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e">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0">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1">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2">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3">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4">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5">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6">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7">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8">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9">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a">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c">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d">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e">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0">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1">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2">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3">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4">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5">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6">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7">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8">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9">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a">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c">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d">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e">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0">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1">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2">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3">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4">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5">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6">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7">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8">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9">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a">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c">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d">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e">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f">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f0">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f1">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f2">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3">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4">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5">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6">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7">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8">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9">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a">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c">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d">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e">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0">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1">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2">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3">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4">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5">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6">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7">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ff8">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9">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a">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ffb">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ffc">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d">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e">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fff">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0">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1">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2">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3">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4">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5">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6">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7">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8">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9">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a">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c">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d">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e">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0">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1">
    <w:basedOn w:val="TableNormal"/>
    <w:rsid w:val="00621D05"/>
    <w:tblPr>
      <w:tblStyleRowBandSize w:val="1"/>
      <w:tblStyleColBandSize w:val="1"/>
      <w:tblInd w:w="0" w:type="dxa"/>
      <w:tblCellMar>
        <w:top w:w="0" w:type="dxa"/>
        <w:left w:w="108" w:type="dxa"/>
        <w:bottom w:w="0" w:type="dxa"/>
        <w:right w:w="108" w:type="dxa"/>
      </w:tblCellMar>
    </w:tblPr>
  </w:style>
  <w:style w:type="paragraph" w:styleId="Subtitle">
    <w:name w:val="Subtitle"/>
    <w:basedOn w:val="normal2"/>
    <w:next w:val="normal2"/>
    <w:rsid w:val="00621D05"/>
    <w:pPr>
      <w:keepNext/>
      <w:keepLines/>
      <w:spacing w:before="0" w:after="320"/>
    </w:pPr>
    <w:rPr>
      <w:color w:val="666666"/>
      <w:sz w:val="30"/>
      <w:szCs w:val="30"/>
    </w:rPr>
  </w:style>
  <w:style w:type="table" w:customStyle="1" w:styleId="affffffffffffff2">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3">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4">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ffff5">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ffff6">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ffff7">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8">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9">
    <w:basedOn w:val="TableNormal"/>
    <w:rsid w:val="00621D05"/>
    <w:tblPr>
      <w:tblStyleRowBandSize w:val="1"/>
      <w:tblStyleColBandSize w:val="1"/>
      <w:tblInd w:w="0" w:type="dxa"/>
      <w:tblCellMar>
        <w:top w:w="100" w:type="dxa"/>
        <w:left w:w="100" w:type="dxa"/>
        <w:bottom w:w="100" w:type="dxa"/>
        <w:right w:w="100" w:type="dxa"/>
      </w:tblCellMar>
    </w:tblPr>
  </w:style>
  <w:style w:type="table" w:customStyle="1" w:styleId="affffffffffffffa">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c">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d">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e">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0">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1">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2">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3">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4">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5">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6">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7">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8">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9">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a">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b">
    <w:basedOn w:val="TableNormal"/>
    <w:rsid w:val="00621D05"/>
    <w:tblPr>
      <w:tblStyleRowBandSize w:val="1"/>
      <w:tblStyleColBandSize w:val="1"/>
      <w:tblInd w:w="0" w:type="dxa"/>
      <w:tblCellMar>
        <w:top w:w="0" w:type="dxa"/>
        <w:left w:w="108" w:type="dxa"/>
        <w:bottom w:w="0" w:type="dxa"/>
        <w:right w:w="108" w:type="dxa"/>
      </w:tblCellMar>
    </w:tblPr>
  </w:style>
  <w:style w:type="table" w:customStyle="1" w:styleId="afffffffffffffffc">
    <w:basedOn w:val="TableNormal"/>
    <w:rsid w:val="00621D05"/>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A471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471F"/>
    <w:rPr>
      <w:rFonts w:ascii="Tahoma" w:hAnsi="Tahoma" w:cs="Tahoma"/>
      <w:sz w:val="16"/>
      <w:szCs w:val="16"/>
    </w:rPr>
  </w:style>
  <w:style w:type="paragraph" w:styleId="TOCHeading">
    <w:name w:val="TOC Heading"/>
    <w:basedOn w:val="Heading1"/>
    <w:next w:val="Normal"/>
    <w:uiPriority w:val="39"/>
    <w:semiHidden/>
    <w:unhideWhenUsed/>
    <w:qFormat/>
    <w:rsid w:val="009A471F"/>
    <w:pPr>
      <w:spacing w:before="480" w:after="0" w:line="276" w:lineRule="auto"/>
      <w:jc w:val="left"/>
      <w:outlineLvl w:val="9"/>
    </w:pPr>
    <w:rPr>
      <w:rFonts w:asciiTheme="majorHAnsi" w:eastAsiaTheme="majorEastAsia" w:hAnsiTheme="majorHAnsi" w:cstheme="majorBidi"/>
      <w:color w:val="365F91" w:themeColor="accent1" w:themeShade="BF"/>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0921344924003756" TargetMode="External"/><Relationship Id="rId117" Type="http://schemas.openxmlformats.org/officeDocument/2006/relationships/hyperlink" Target="https://www.oecd.org/en/publications/oecd-employment-outlook-2025_194a947b-en/full-report/navigating-the-golden-years-making-the-labour-market-work-for-older-workers_2bc681ed.html" TargetMode="External"/><Relationship Id="rId21" Type="http://schemas.openxmlformats.org/officeDocument/2006/relationships/hyperlink" Target="https://www.sciencedirect.com/science/article/pii/S0301479725039647?via%3Dihub" TargetMode="External"/><Relationship Id="rId42" Type="http://schemas.openxmlformats.org/officeDocument/2006/relationships/hyperlink" Target="https://www.ons.gov.uk/businessindustryandtrade/business/activitysizeandlocation/bulletins/ukbusinessactivitysizeandlocation/2025" TargetMode="External"/><Relationship Id="rId47" Type="http://schemas.openxmlformats.org/officeDocument/2006/relationships/hyperlink" Target="https://www.gov.uk/government/publications/homes-england-annual-report-and-accounts-2024-and-2025/homes-england-annual-report-2024-to-2025-chairs-foreword-and-performance-report-accessible-version" TargetMode="External"/><Relationship Id="rId63" Type="http://schemas.openxmlformats.org/officeDocument/2006/relationships/hyperlink" Target="https://www.sciencedirect.com/journal/technovation/vol/129/suppl/C" TargetMode="External"/><Relationship Id="rId68" Type="http://schemas.openxmlformats.org/officeDocument/2006/relationships/hyperlink" Target="https://www.coggin-sos.co.uk/beyond-recycling-the-role-of-office-furniture-in-a-truly-sustainable-econom" TargetMode="External"/><Relationship Id="rId84" Type="http://schemas.openxmlformats.org/officeDocument/2006/relationships/hyperlink" Target="https://www.mdpi.com/2079-8954/12/6/220" TargetMode="External"/><Relationship Id="rId89" Type="http://schemas.openxmlformats.org/officeDocument/2006/relationships/hyperlink" Target="https://doi.org/10.69554/NJQQ4314" TargetMode="External"/><Relationship Id="rId112" Type="http://schemas.openxmlformats.org/officeDocument/2006/relationships/hyperlink" Target="https://www.researchgate.net/publication/394186609_Modular_System_of_Cabinets_for_Mass-Customized_Furniture" TargetMode="External"/><Relationship Id="rId133" Type="http://schemas.openxmlformats.org/officeDocument/2006/relationships/hyperlink" Target="https://www.tandfonline.com/doi/full/10.1080/00207543.2025.2555531" TargetMode="External"/><Relationship Id="rId138" Type="http://schemas.openxmlformats.org/officeDocument/2006/relationships/hyperlink" Target="https://www.pwc.com/us/en/tech-effect/ai-analytics/ai-predictions.html" TargetMode="External"/><Relationship Id="rId154" Type="http://schemas.openxmlformats.org/officeDocument/2006/relationships/hyperlink" Target="https://doi.org/10.3390/su17083728" TargetMode="External"/><Relationship Id="rId159" Type="http://schemas.openxmlformats.org/officeDocument/2006/relationships/hyperlink" Target="https://www.sciencedirect.com/science/article/pii/S2199853123002846" TargetMode="External"/><Relationship Id="rId16" Type="http://schemas.openxmlformats.org/officeDocument/2006/relationships/image" Target="media/image9.png"/><Relationship Id="rId107" Type="http://schemas.openxmlformats.org/officeDocument/2006/relationships/hyperlink" Target="https://doi.org/10.1007/978-3-031-76560-5_12" TargetMode="External"/><Relationship Id="rId11" Type="http://schemas.openxmlformats.org/officeDocument/2006/relationships/image" Target="media/image4.png"/><Relationship Id="rId32" Type="http://schemas.openxmlformats.org/officeDocument/2006/relationships/hyperlink" Target="https://onlinelibrary.wiley.com/doi/pdfdirect/10.1111/isj.12436" TargetMode="External"/><Relationship Id="rId37" Type="http://schemas.openxmlformats.org/officeDocument/2006/relationships/hyperlink" Target="https://www.ons.gov.uk/businessindustryandtrade/business/activitysizeandlocation/bulletins/ukbusinessactivitysizeandlocation/2025" TargetMode="External"/><Relationship Id="rId53" Type="http://schemas.openxmlformats.org/officeDocument/2006/relationships/hyperlink" Target="https://doi.org/10.1016/j.indic.2025.100746" TargetMode="External"/><Relationship Id="rId58" Type="http://schemas.openxmlformats.org/officeDocument/2006/relationships/hyperlink" Target="https://www.mdpi.com/2071-1050/17/11/4898" TargetMode="External"/><Relationship Id="rId74" Type="http://schemas.openxmlformats.org/officeDocument/2006/relationships/hyperlink" Target="https://www.gov.uk/government/publications/backing-your-business-our-plan-for-small-and-medium-sized-businesses/backing-your-business-our-plan-for-small-and-medium-sized-businesses-web-version" TargetMode="External"/><Relationship Id="rId79" Type="http://schemas.openxmlformats.org/officeDocument/2006/relationships/hyperlink" Target="https://www.researchgate.net/publication/323082261_Cost-based_price_and_value-based_price_are_they_conflicting_approaches" TargetMode="External"/><Relationship Id="rId102" Type="http://schemas.openxmlformats.org/officeDocument/2006/relationships/hyperlink" Target="https://doi.org/10.1002/csr.3141" TargetMode="External"/><Relationship Id="rId123" Type="http://schemas.openxmlformats.org/officeDocument/2006/relationships/hyperlink" Target="https://www.ons.gov.uk/economy/inflationandpriceindices/bulletins/consumerpriceinflation/june2026" TargetMode="External"/><Relationship Id="rId128" Type="http://schemas.openxmlformats.org/officeDocument/2006/relationships/hyperlink" Target="https://link.springer.com/article/10.1007/s43039-023-00063-6" TargetMode="External"/><Relationship Id="rId144" Type="http://schemas.openxmlformats.org/officeDocument/2006/relationships/hyperlink" Target="https://www.mdpi.com/2071-1050/13/13/7266" TargetMode="External"/><Relationship Id="rId149" Type="http://schemas.openxmlformats.org/officeDocument/2006/relationships/hyperlink" Target="https://link.springer.com/article/10.1007/s00163-022-00404-0" TargetMode="External"/><Relationship Id="rId5" Type="http://schemas.openxmlformats.org/officeDocument/2006/relationships/webSettings" Target="webSettings.xml"/><Relationship Id="rId90" Type="http://schemas.openxmlformats.org/officeDocument/2006/relationships/hyperlink" Target="https://link.springer.com/article/10.1007/s43621-025-01497-y" TargetMode="External"/><Relationship Id="rId95" Type="http://schemas.openxmlformats.org/officeDocument/2006/relationships/hyperlink" Target="https://www.sciencedirect.com/science/article/pii/S0019850124000142" TargetMode="External"/><Relationship Id="rId160" Type="http://schemas.openxmlformats.org/officeDocument/2006/relationships/header" Target="header1.xml"/><Relationship Id="rId22" Type="http://schemas.openxmlformats.org/officeDocument/2006/relationships/hyperlink" Target="https://link.springer.com/article/10.1007/s43621-025-01270-1" TargetMode="External"/><Relationship Id="rId27" Type="http://schemas.openxmlformats.org/officeDocument/2006/relationships/hyperlink" Target="https://doi.org/10.1016/j.lrp.2024.102479" TargetMode="External"/><Relationship Id="rId43" Type="http://schemas.openxmlformats.org/officeDocument/2006/relationships/hyperlink" Target="https://www.ons.gov.uk/businessindustryandtrade/business/activitysizeandlocation/bulletins/ukbusinessactivitysizeandlocation/2025" TargetMode="External"/><Relationship Id="rId48" Type="http://schemas.openxmlformats.org/officeDocument/2006/relationships/hyperlink" Target="https://doi.org/10.20944/preprints202407.0614.v1" TargetMode="External"/><Relationship Id="rId64" Type="http://schemas.openxmlformats.org/officeDocument/2006/relationships/hyperlink" Target="https://link.springer.com/article/10.1007/s43615-026-00775-9" TargetMode="External"/><Relationship Id="rId69" Type="http://schemas.openxmlformats.org/officeDocument/2006/relationships/hyperlink" Target="https://www.gov.uk/dispose-business-commercial-waste" TargetMode="External"/><Relationship Id="rId113" Type="http://schemas.openxmlformats.org/officeDocument/2006/relationships/hyperlink" Target="https://www.sciencedirect.com/science/article/pii/S0959652623002962" TargetMode="External"/><Relationship Id="rId118" Type="http://schemas.openxmlformats.org/officeDocument/2006/relationships/hyperlink" Target="https://www.oecd.org/en/publications/local-retail-global-trends_55e2edec-en/full-report/the-twin-transition-of-retail-smes_e9ff5378.html" TargetMode="External"/><Relationship Id="rId134" Type="http://schemas.openxmlformats.org/officeDocument/2006/relationships/hyperlink" Target="https://www.mdpi.com/2071-1050/14/20/13273" TargetMode="External"/><Relationship Id="rId139" Type="http://schemas.openxmlformats.org/officeDocument/2006/relationships/hyperlink" Target="https://www.recykal.com/trending-blog/environmental-impact-of-landfills-and-waste-diversion-in-2025" TargetMode="External"/><Relationship Id="rId80" Type="http://schemas.openxmlformats.org/officeDocument/2006/relationships/hyperlink" Target="https://onlinelibrary.wiley.com/doi/pdf/10.1002/csr.70489" TargetMode="External"/><Relationship Id="rId85" Type="http://schemas.openxmlformats.org/officeDocument/2006/relationships/hyperlink" Target="https://www.tandfonline.com/doi/full/10.1080/1359432X.2026.2648294" TargetMode="External"/><Relationship Id="rId150" Type="http://schemas.openxmlformats.org/officeDocument/2006/relationships/hyperlink" Target="https://www.mdpi.com/2071-1050/18/8/4006" TargetMode="External"/><Relationship Id="rId155" Type="http://schemas.openxmlformats.org/officeDocument/2006/relationships/hyperlink" Target="https://www.sciencedirect.com/science/article/pii/S0965856420307734"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mdpi.com/2071-1050/14/2/609" TargetMode="External"/><Relationship Id="rId38" Type="http://schemas.openxmlformats.org/officeDocument/2006/relationships/hyperlink" Target="https://www.sciencedirect.com/science/article/pii/S0148296326003917" TargetMode="External"/><Relationship Id="rId59" Type="http://schemas.openxmlformats.org/officeDocument/2006/relationships/hyperlink" Target="https://onlinelibrary.wiley.com/doi/full/10.1002/bse.70943" TargetMode="External"/><Relationship Id="rId103" Type="http://schemas.openxmlformats.org/officeDocument/2006/relationships/hyperlink" Target="https://www.mdpi.com/2304-8158/13/19/3045" TargetMode="External"/><Relationship Id="rId108" Type="http://schemas.openxmlformats.org/officeDocument/2006/relationships/hyperlink" Target="https://www.merchantsavvy.co.uk/uk-sme-data-stats-charts/" TargetMode="External"/><Relationship Id="rId124" Type="http://schemas.openxmlformats.org/officeDocument/2006/relationships/hyperlink" Target="https://doi.org/10.1016/j.igd.2025.100258" TargetMode="External"/><Relationship Id="rId129" Type="http://schemas.openxmlformats.org/officeDocument/2006/relationships/hyperlink" Target="https://pecb.com/en/article/the-importance-of-occupational-health-and-safety" TargetMode="External"/><Relationship Id="rId54" Type="http://schemas.openxmlformats.org/officeDocument/2006/relationships/hyperlink" Target="https://www.mdpi.com/2071-1050/17/23/10460" TargetMode="External"/><Relationship Id="rId70" Type="http://schemas.openxmlformats.org/officeDocument/2006/relationships/hyperlink" Target="https://www.gov.uk/government/statistics/estimates-of-residual-waste-and-municipal-residual-waste-in-england/estimates-of-residual-waste-excluding-major-mineral-wastes-and-municipal-residual-waste-in-england" TargetMode="External"/><Relationship Id="rId75" Type="http://schemas.openxmlformats.org/officeDocument/2006/relationships/hyperlink" Target="https://www.gov.uk/government/news/national-living-wage-increases-to-1271-per-hour" TargetMode="External"/><Relationship Id="rId91" Type="http://schemas.openxmlformats.org/officeDocument/2006/relationships/hyperlink" Target="https://www.sciencedirect.com/science/article/pii/S1366554526000773" TargetMode="External"/><Relationship Id="rId96" Type="http://schemas.openxmlformats.org/officeDocument/2006/relationships/hyperlink" Target="https://link.springer.com/article/10.1186/s13731-025-00515-7" TargetMode="External"/><Relationship Id="rId140" Type="http://schemas.openxmlformats.org/officeDocument/2006/relationships/hyperlink" Target="https://www.emerald.com/ijqrm/article/39/2/428/314305/Lean-practices-and-operational-performance-the" TargetMode="External"/><Relationship Id="rId145" Type="http://schemas.openxmlformats.org/officeDocument/2006/relationships/hyperlink" Target="https://www.sciencedirect.com/science/article/pii/S0024630122000012" TargetMode="External"/><Relationship Id="rId16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sciencedirect.com/science/article/pii/S0167487023000338" TargetMode="External"/><Relationship Id="rId28" Type="http://schemas.openxmlformats.org/officeDocument/2006/relationships/hyperlink" Target="https://www.mdpi.com/2071-1050/13/16/9274" TargetMode="External"/><Relationship Id="rId36" Type="http://schemas.openxmlformats.org/officeDocument/2006/relationships/hyperlink" Target="https://onlinelibrary.wiley.com/doi/10.1111/jbl.12368" TargetMode="External"/><Relationship Id="rId49" Type="http://schemas.openxmlformats.org/officeDocument/2006/relationships/hyperlink" Target="https://www.mdpi.com/2075-5309/13/7/1862" TargetMode="External"/><Relationship Id="rId57"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106" Type="http://schemas.openxmlformats.org/officeDocument/2006/relationships/hyperlink" Target="https://www.sciencedirect.com/science/article/pii/S0959652623005000" TargetMode="External"/><Relationship Id="rId114" Type="http://schemas.openxmlformats.org/officeDocument/2006/relationships/hyperlink" Target="https://www.mdpi.com/2071-1050/15/18/13949" TargetMode="External"/><Relationship Id="rId119" Type="http://schemas.openxmlformats.org/officeDocument/2006/relationships/hyperlink" Target="https://www.ons.gov.uk/employmentandlabourmarket/peopleinwork/employmentandemployeetypes/articles/whohasaccesstohybridworkingreatbritain/latest" TargetMode="External"/><Relationship Id="rId127" Type="http://schemas.openxmlformats.org/officeDocument/2006/relationships/hyperlink" Target="https://www.sciencedirect.com/science/article/pii/S2096248724000456" TargetMode="External"/><Relationship Id="rId10" Type="http://schemas.openxmlformats.org/officeDocument/2006/relationships/image" Target="media/image3.png"/><Relationship Id="rId31" Type="http://schemas.openxmlformats.org/officeDocument/2006/relationships/hyperlink" Target="https://www.sciencedirect.com/science/article/pii/S0040162525000733" TargetMode="External"/><Relationship Id="rId44" Type="http://schemas.openxmlformats.org/officeDocument/2006/relationships/hyperlink" Target="https://www.ons.gov.uk/employmentandlabourmarket/peopleinwork/employmentandemployeetypes/articles/whohasaccesstohybridworkingreatbritain/latest" TargetMode="External"/><Relationship Id="rId52" Type="http://schemas.openxmlformats.org/officeDocument/2006/relationships/hyperlink" Target="https://4spepublications.onlinelibrary.wiley.com/doi/10.1002/pls2.10171" TargetMode="External"/><Relationship Id="rId60" Type="http://schemas.openxmlformats.org/officeDocument/2006/relationships/hyperlink" Target="https://ec.europa.eu/research/participants/documents/downloadPublic?documentIds=080166e51297820f&amp;appId=PPGMS" TargetMode="External"/><Relationship Id="rId65" Type="http://schemas.openxmlformats.org/officeDocument/2006/relationships/hyperlink" Target="https://www.sciencedirect.com/journal/journal-of-industrial-information-integration/vol/42/suppl/C" TargetMode="External"/><Relationship Id="rId73" Type="http://schemas.openxmlformats.org/officeDocument/2006/relationships/hyperlink" Target="https://www.ons.gov.uk/businessindustryandtrade/business/activitysizeandlocation/bulletins/ukbusinessactivitysizeandlocation/2025" TargetMode="External"/><Relationship Id="rId78" Type="http://schemas.openxmlformats.org/officeDocument/2006/relationships/hyperlink" Target="https://www.grundon.com/" TargetMode="External"/><Relationship Id="rId81" Type="http://schemas.openxmlformats.org/officeDocument/2006/relationships/hyperlink" Target="https://doi.org/10.1016/j.joitmc.2023.100039" TargetMode="External"/><Relationship Id="rId86" Type="http://schemas.openxmlformats.org/officeDocument/2006/relationships/hyperlink" Target="https://doi.org/10.1007/s43615-025-00626-z?urlappend=%3Futm_source%3Dresearchgate.net%26utm_medium%3Darticle" TargetMode="External"/><Relationship Id="rId94" Type="http://schemas.openxmlformats.org/officeDocument/2006/relationships/hyperlink" Target="https://doi.org/10.3390/su142416336" TargetMode="External"/><Relationship Id="rId99" Type="http://schemas.openxmlformats.org/officeDocument/2006/relationships/hyperlink" Target="https://link.springer.com/article/10.1057/s41270-026-00470-6" TargetMode="External"/><Relationship Id="rId101" Type="http://schemas.openxmlformats.org/officeDocument/2006/relationships/hyperlink" Target="https://www.gov.uk/government/news/national-living-wage-increases-to-1271-per-hour" TargetMode="External"/><Relationship Id="rId122" Type="http://schemas.openxmlformats.org/officeDocument/2006/relationships/hyperlink" Target="https://www.ons.gov.uk/businessindustryandtrade/business/activitysizeandlocation/bulletins/ukbusinessactivitysizeandlocation/2025" TargetMode="External"/><Relationship Id="rId130" Type="http://schemas.openxmlformats.org/officeDocument/2006/relationships/hyperlink" Target="https://www.mdpi.com/2071-1050/16/15/6544" TargetMode="External"/><Relationship Id="rId135" Type="http://schemas.openxmlformats.org/officeDocument/2006/relationships/hyperlink" Target="https://www.mdpi.com/2504-4494/10/4/112" TargetMode="External"/><Relationship Id="rId143" Type="http://schemas.openxmlformats.org/officeDocument/2006/relationships/hyperlink" Target="https://www.sciencedirect.com/science/article/pii/S2666188825006057" TargetMode="External"/><Relationship Id="rId148" Type="http://schemas.openxmlformats.org/officeDocument/2006/relationships/hyperlink" Target="https://www.mdpi.com/2071-1050/13/20/11443" TargetMode="External"/><Relationship Id="rId151" Type="http://schemas.openxmlformats.org/officeDocument/2006/relationships/hyperlink" Target="https://www.sciencedirect.com/science/article/abs/pii/S0959652624017839" TargetMode="External"/><Relationship Id="rId156" Type="http://schemas.openxmlformats.org/officeDocument/2006/relationships/hyperlink" Target="https://www.wrap.ngo/resources/case-study/crown-workspace-ltd-leading-way-office-furniture-reuse?utm_source=chatgpt.com" TargetMode="External"/><Relationship Id="rId16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sciencedirect.com/science/article/pii/S0925527323001950" TargetMode="External"/><Relationship Id="rId39" Type="http://schemas.openxmlformats.org/officeDocument/2006/relationships/hyperlink" Target="https://www.tandfonline.com/doi/full/10.1080/17569370.2026.2639755" TargetMode="External"/><Relationship Id="rId109" Type="http://schemas.openxmlformats.org/officeDocument/2006/relationships/hyperlink" Target="https://onlinelibrary.wiley.com/doi/pdf/10.1002/bse.3192" TargetMode="External"/><Relationship Id="rId34" Type="http://schemas.openxmlformats.org/officeDocument/2006/relationships/hyperlink" Target="https://www.sustainablex.co.uk/sustainable-business-model/" TargetMode="External"/><Relationship Id="rId50" Type="http://schemas.openxmlformats.org/officeDocument/2006/relationships/hyperlink" Target="https://www.workingfromcoffeeshops.co.uk/blog/working-from-home-statistics-uk" TargetMode="External"/><Relationship Id="rId55" Type="http://schemas.openxmlformats.org/officeDocument/2006/relationships/hyperlink" Target="https://www.gov.uk/government/statistics/uk-waste-data/uk-statistics-on-waste" TargetMode="External"/><Relationship Id="rId76" Type="http://schemas.openxmlformats.org/officeDocument/2006/relationships/hyperlink" Target="https://www.grandviewresearch.com/horizon/outlook/eco-friendly-furniture-market/uk" TargetMode="External"/><Relationship Id="rId97" Type="http://schemas.openxmlformats.org/officeDocument/2006/relationships/hyperlink" Target="https://www.sciencedirect.com/science/article/pii/S2352186422003686" TargetMode="External"/><Relationship Id="rId104" Type="http://schemas.openxmlformats.org/officeDocument/2006/relationships/hyperlink" Target="https://www.marketdataforecast.com/market-reports/united-kingdom-waste-management-market" TargetMode="External"/><Relationship Id="rId120" Type="http://schemas.openxmlformats.org/officeDocument/2006/relationships/hyperlink" Target="https://www.ons.gov.uk/employmentandlabourmarket/peopleinwork/employmentandemployeetypes/articles/whohasaccesstohybridworkingreatbritain/latest" TargetMode="External"/><Relationship Id="rId125" Type="http://schemas.openxmlformats.org/officeDocument/2006/relationships/hyperlink" Target="https://onlinelibrary.wiley.com/doi/10.1002/clem.70013" TargetMode="External"/><Relationship Id="rId141" Type="http://schemas.openxmlformats.org/officeDocument/2006/relationships/hyperlink" Target="https://doi.org/10.1016/j.envsci.2024.103859" TargetMode="External"/><Relationship Id="rId146" Type="http://schemas.openxmlformats.org/officeDocument/2006/relationships/hyperlink" Target="https://www.sciencedirect.com/science/article/pii/S2772912525002295" TargetMode="External"/><Relationship Id="rId7" Type="http://schemas.openxmlformats.org/officeDocument/2006/relationships/endnotes" Target="endnotes.xml"/><Relationship Id="rId71" Type="http://schemas.openxmlformats.org/officeDocument/2006/relationships/hyperlink" Target="https://www.gov.uk/government/publications/procurement-act-2023-short-guides/supplementary-information-small-and-medium-sized-enterprises-definition-html" TargetMode="External"/><Relationship Id="rId92" Type="http://schemas.openxmlformats.org/officeDocument/2006/relationships/hyperlink" Target="https://www.sciencedirect.com/journal/journal-of-cleaner-production/vol/442/suppl/C" TargetMode="External"/><Relationship Id="rId162" Type="http://schemas.openxmlformats.org/officeDocument/2006/relationships/footer" Target="footer2.xml"/><Relationship Id="rId2" Type="http://schemas.openxmlformats.org/officeDocument/2006/relationships/numbering" Target="numbering.xml"/><Relationship Id="rId29" Type="http://schemas.openxmlformats.org/officeDocument/2006/relationships/hyperlink" Target="https://www.biffa.co.uk/" TargetMode="External"/><Relationship Id="rId24" Type="http://schemas.openxmlformats.org/officeDocument/2006/relationships/hyperlink" Target="https://www.tandfonline.com/doi/full/10.1080/09537287.2023.2217489" TargetMode="External"/><Relationship Id="rId40" Type="http://schemas.openxmlformats.org/officeDocument/2006/relationships/hyperlink" Target="https://www.consultancy.uk/news/44287/london-now-worlds-second-most-expensive-office-fit-out-market?utm_source=chatgpt.com" TargetMode="External"/><Relationship Id="rId45" Type="http://schemas.openxmlformats.org/officeDocument/2006/relationships/hyperlink" Target="https://www.ons.gov.uk/employmentandlabourmarket/peopleinwork/employmentandemployeetypes/articles/whohasaccesstohybridworkingreatbritain/latest" TargetMode="External"/><Relationship Id="rId66" Type="http://schemas.openxmlformats.org/officeDocument/2006/relationships/hyperlink" Target="https://www.researchgate.net/publication/373599608_Coexisting_or_coworking_The_reconfigured_office_spaces_in_two_emerging_global_citie" TargetMode="External"/><Relationship Id="rId87" Type="http://schemas.openxmlformats.org/officeDocument/2006/relationships/hyperlink" Target="https://doi.org/10.1007/s11846-026-00971-9?urlappend=%3Futm_source%3Dresearchgate.net%26utm_medium%3Darticle" TargetMode="External"/><Relationship Id="rId110" Type="http://schemas.openxmlformats.org/officeDocument/2006/relationships/hyperlink" Target="https://onlinelibrary.wiley.com/doi/pdf/10.1002/eet.1927" TargetMode="External"/><Relationship Id="rId115" Type="http://schemas.openxmlformats.org/officeDocument/2006/relationships/hyperlink" Target="https://www.researchgate.net/publication/276228917_Value-based_pricing_A_success_factor_in_the_competitive_struggle" TargetMode="External"/><Relationship Id="rId131" Type="http://schemas.openxmlformats.org/officeDocument/2006/relationships/hyperlink" Target="https://www.sciencedirect.com/science/article/pii/S1364032122002982" TargetMode="External"/><Relationship Id="rId136" Type="http://schemas.openxmlformats.org/officeDocument/2006/relationships/hyperlink" Target="https://www.sciencedirect.com/science/article/pii/S2590291125004164" TargetMode="External"/><Relationship Id="rId157" Type="http://schemas.openxmlformats.org/officeDocument/2006/relationships/hyperlink" Target="https://www.wrap.ngo/resources/case-study/crown-workspace-ltd-leading-way-office-furniture-reuse?utm_source=chatgpt.com" TargetMode="External"/><Relationship Id="rId61" Type="http://schemas.openxmlformats.org/officeDocument/2006/relationships/hyperlink" Target="https://www.find-tender.service.gov.uk/Notice/051565-2025?utm_source=chatgpt.com" TargetMode="External"/><Relationship Id="rId82" Type="http://schemas.openxmlformats.org/officeDocument/2006/relationships/hyperlink" Target="https://www.sciencedirect.com/journal/international-journal-of-production-economics/vol/275/suppl/C" TargetMode="External"/><Relationship Id="rId152" Type="http://schemas.openxmlformats.org/officeDocument/2006/relationships/hyperlink" Target="https://www.researchgate.net/publication/381663947_The_Application_of_QR_Codes_in_the_Field_of_E-Business_in_the_Case_of_Order_Tracking_and_Logistics" TargetMode="External"/><Relationship Id="rId19" Type="http://schemas.openxmlformats.org/officeDocument/2006/relationships/hyperlink" Target="https://www.sciencedirect.com/journal/research-in-transportation-economics/vol/103/suppl/C" TargetMode="External"/><Relationship Id="rId14" Type="http://schemas.openxmlformats.org/officeDocument/2006/relationships/image" Target="media/image7.png"/><Relationship Id="rId30" Type="http://schemas.openxmlformats.org/officeDocument/2006/relationships/hyperlink" Target="https://www.mdpi.com/2075-5309/14/1/260" TargetMode="External"/><Relationship Id="rId35" Type="http://schemas.openxmlformats.org/officeDocument/2006/relationships/hyperlink" Target="https://leyton.com/uk/insights/articles/uk-sme-statistics/" TargetMode="External"/><Relationship Id="rId56" Type="http://schemas.openxmlformats.org/officeDocument/2006/relationships/hyperlink" Target="https://www.gov.uk/government/statistics/uk-waste-data/uk-statistics-on-waste" TargetMode="External"/><Relationship Id="rId77" Type="http://schemas.openxmlformats.org/officeDocument/2006/relationships/hyperlink" Target="https://greenspaceinnovations.co.uk/uk-recycling-rate-rises-to-44-6-as-waste-to-landfill-falls/" TargetMode="External"/><Relationship Id="rId100" Type="http://schemas.openxmlformats.org/officeDocument/2006/relationships/hyperlink" Target="https://www.mdpi.com/0718-1876/20/3/201" TargetMode="External"/><Relationship Id="rId105" Type="http://schemas.openxmlformats.org/officeDocument/2006/relationships/hyperlink" Target="https://www.mdpi.com/2071-1050/18/3/1484" TargetMode="External"/><Relationship Id="rId126" Type="http://schemas.openxmlformats.org/officeDocument/2006/relationships/hyperlink" Target="https://www.mdpi.com/2413-8851/9/5/167" TargetMode="External"/><Relationship Id="rId147" Type="http://schemas.openxmlformats.org/officeDocument/2006/relationships/hyperlink" Target="https://onlinelibrary.wiley.com/doi/pdfdirect/10.1002/bse.3297" TargetMode="External"/><Relationship Id="rId8" Type="http://schemas.openxmlformats.org/officeDocument/2006/relationships/image" Target="media/image1.jpeg"/><Relationship Id="rId51" Type="http://schemas.openxmlformats.org/officeDocument/2006/relationships/hyperlink" Target="https://link.springer.com/article/10.1007/s43615-026-00773-x" TargetMode="External"/><Relationship Id="rId72" Type="http://schemas.openxmlformats.org/officeDocument/2006/relationships/hyperlink" Target="https://www.gov.uk/government/statistics/uk-waste-data/uk-statistics-on-waste" TargetMode="External"/><Relationship Id="rId93" Type="http://schemas.openxmlformats.org/officeDocument/2006/relationships/hyperlink" Target="https://journals.sagepub.com/doi/pdf/10.3233/ATDE240197" TargetMode="External"/><Relationship Id="rId98" Type="http://schemas.openxmlformats.org/officeDocument/2006/relationships/hyperlink" Target="https://www.researchgate.net/publication/387473297_Cost-Volume_Analysis_and_its_Impact_on_Profitability_An_Evidence_from_Nepal" TargetMode="External"/><Relationship Id="rId121" Type="http://schemas.openxmlformats.org/officeDocument/2006/relationships/hyperlink" Target="https://www.ons.gov.uk/businessindustryandtrade/business/activitysizeandlocation/bulletins/ukbusinessactivitysizeandlocation/2025" TargetMode="External"/><Relationship Id="rId142" Type="http://schemas.openxmlformats.org/officeDocument/2006/relationships/hyperlink" Target="https://www.mdpi.com/2071-1050/16/19/8667" TargetMode="External"/><Relationship Id="rId163"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hyperlink" Target="https://www.mdpi.com/2071-1050/14/1/410" TargetMode="External"/><Relationship Id="rId46" Type="http://schemas.openxmlformats.org/officeDocument/2006/relationships/hyperlink" Target="https://www.gov.uk/government/publications/homes-england-annual-report-and-accounts-2024-and-2025/homes-england-annual-report-2024-to-2025-chairs-foreword-and-performance-report-accessible-version" TargetMode="External"/><Relationship Id="rId67" Type="http://schemas.openxmlformats.org/officeDocument/2006/relationships/hyperlink" Target="https://globaltrashsolutions.com/blog/waste-reduction-strategies-for-retail-chains" TargetMode="External"/><Relationship Id="rId116" Type="http://schemas.openxmlformats.org/officeDocument/2006/relationships/hyperlink" Target="https://www.sciencedirect.com/science/article/pii/S0925753524002625" TargetMode="External"/><Relationship Id="rId137" Type="http://schemas.openxmlformats.org/officeDocument/2006/relationships/hyperlink" Target="https://www.forbes.com/advisor/uk/business/software/website-statistics/" TargetMode="External"/><Relationship Id="rId158" Type="http://schemas.openxmlformats.org/officeDocument/2006/relationships/hyperlink" Target="https://www.sciencedirect.com/science/article/pii/S092552732500091X" TargetMode="External"/><Relationship Id="rId20" Type="http://schemas.openxmlformats.org/officeDocument/2006/relationships/hyperlink" Target="https://onlinelibrary.wiley.com/doi/pdf/10.1111/radm.12707" TargetMode="External"/><Relationship Id="rId41" Type="http://schemas.openxmlformats.org/officeDocument/2006/relationships/hyperlink" Target="https://www.consultancy.uk/news/44287/london-now-worlds-second-most-expensive-office-fit-out-market" TargetMode="External"/><Relationship Id="rId62" Type="http://schemas.openxmlformats.org/officeDocument/2006/relationships/hyperlink" Target="https://www.find-tender.service.gov.uk/Notice/051565-2025?utm_source=chatgpt.com" TargetMode="External"/><Relationship Id="rId83" Type="http://schemas.openxmlformats.org/officeDocument/2006/relationships/hyperlink" Target="https://www.sciencedirect.com/science/article/pii/S2212827124000933/pdf?md5=eef925a01737505493cc025e4f44a238&amp;pid=1-s2.0-S2212827124000933-main.pdf" TargetMode="External"/><Relationship Id="rId88" Type="http://schemas.openxmlformats.org/officeDocument/2006/relationships/hyperlink" Target="https://doi.org/10.51594/ijmer.v6i9.1533" TargetMode="External"/><Relationship Id="rId111" Type="http://schemas.openxmlformats.org/officeDocument/2006/relationships/hyperlink" Target="https://www.sciencedirect.com/science/article/pii/S1366554524003788" TargetMode="External"/><Relationship Id="rId132" Type="http://schemas.openxmlformats.org/officeDocument/2006/relationships/hyperlink" Target="https://www.sciencedirect.com/journal/information-and-management/vol/60/issue/5" TargetMode="External"/><Relationship Id="rId153" Type="http://schemas.openxmlformats.org/officeDocument/2006/relationships/hyperlink" Target="https://www.veolia.com/en/veolia-group/profile/business-activities/waste-managemen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lhNqOpYOdCfIx2j/BDSDJGxMVw==">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117</Pages>
  <Words>28451</Words>
  <Characters>162171</Characters>
  <Application>Microsoft Office Word</Application>
  <DocSecurity>0</DocSecurity>
  <Lines>1351</Lines>
  <Paragraphs>380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 vithani</dc:creator>
  <cp:lastModifiedBy>deep vithani</cp:lastModifiedBy>
  <cp:revision>2</cp:revision>
  <dcterms:created xsi:type="dcterms:W3CDTF">2026-09-25T12:28:00Z</dcterms:created>
  <dcterms:modified xsi:type="dcterms:W3CDTF">2026-09-25T12:28:00Z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d15e461d-30fa-4cf5-a200-d562719fd8a8</vt:lpwstr>
  </property>
</Properties>
</file>