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B0E" w:rsidRDefault="009575C6" w:rsidP="00C0486A">
      <w:pPr>
        <w:pStyle w:val="Heading2"/>
      </w:pPr>
      <w:r>
        <w:t>Racing Workload Measurement</w:t>
      </w:r>
      <w:r w:rsidR="002330E3">
        <w:t xml:space="preserve"> System</w:t>
      </w:r>
      <w:r>
        <w:t xml:space="preserve"> – Initial Thoughts</w:t>
      </w:r>
    </w:p>
    <w:p w:rsidR="00474D9C" w:rsidRPr="00474D9C" w:rsidRDefault="00474D9C" w:rsidP="00474D9C">
      <w:r>
        <w:t>Dr Nik Whitehead – School of Applied Computing, UWTSD</w:t>
      </w:r>
      <w:bookmarkStart w:id="0" w:name="_GoBack"/>
      <w:bookmarkEnd w:id="0"/>
    </w:p>
    <w:p w:rsidR="009575C6" w:rsidRPr="00C0486A" w:rsidRDefault="00F67B59" w:rsidP="002330E3">
      <w:pPr>
        <w:pStyle w:val="Heading3"/>
      </w:pPr>
      <w:r w:rsidRPr="00C0486A">
        <w:t>Background</w:t>
      </w:r>
    </w:p>
    <w:p w:rsidR="00C0486A" w:rsidRPr="001B20DB" w:rsidRDefault="00F67B59">
      <w:pPr>
        <w:rPr>
          <w:sz w:val="20"/>
        </w:rPr>
      </w:pPr>
      <w:r w:rsidRPr="001B20DB">
        <w:rPr>
          <w:sz w:val="20"/>
        </w:rPr>
        <w:t>In the late 70s Beatty and Wagoner (2000) noted the correlation between pupil diameter and cognitive workload.</w:t>
      </w:r>
      <w:r w:rsidR="00C0486A" w:rsidRPr="001B20DB">
        <w:rPr>
          <w:sz w:val="20"/>
        </w:rPr>
        <w:t xml:space="preserve"> As the workload increases the pupil dilates, and as it lessens the pupil shrinks once more. Overload situations can be identified as times when the pupil reaches full dilation and then remains there for long periods of time.</w:t>
      </w:r>
      <w:r w:rsidRPr="001B20DB">
        <w:rPr>
          <w:sz w:val="20"/>
        </w:rPr>
        <w:t xml:space="preserve"> </w:t>
      </w:r>
      <w:r w:rsidR="00C0486A" w:rsidRPr="001B20DB">
        <w:rPr>
          <w:sz w:val="20"/>
        </w:rPr>
        <w:t>This reflex</w:t>
      </w:r>
      <w:r w:rsidRPr="001B20DB">
        <w:rPr>
          <w:sz w:val="20"/>
        </w:rPr>
        <w:t xml:space="preserve"> has been used</w:t>
      </w:r>
      <w:r w:rsidR="005113EF" w:rsidRPr="001B20DB">
        <w:rPr>
          <w:sz w:val="20"/>
        </w:rPr>
        <w:t xml:space="preserve"> by many studies as an indicator of cognitive </w:t>
      </w:r>
      <w:r w:rsidR="006D0932" w:rsidRPr="001B20DB">
        <w:rPr>
          <w:sz w:val="20"/>
        </w:rPr>
        <w:t>state both for problem solving tasks and in driving simulators (</w:t>
      </w:r>
      <w:r w:rsidR="00762EA8" w:rsidRPr="001B20DB">
        <w:rPr>
          <w:sz w:val="20"/>
        </w:rPr>
        <w:t>Marshal</w:t>
      </w:r>
      <w:r w:rsidR="006D0932" w:rsidRPr="001B20DB">
        <w:rPr>
          <w:sz w:val="20"/>
        </w:rPr>
        <w:t>l</w:t>
      </w:r>
      <w:r w:rsidR="00762EA8" w:rsidRPr="001B20DB">
        <w:rPr>
          <w:sz w:val="20"/>
        </w:rPr>
        <w:t xml:space="preserve"> 2007, </w:t>
      </w:r>
      <w:proofErr w:type="spellStart"/>
      <w:r w:rsidR="006D0932" w:rsidRPr="001B20DB">
        <w:rPr>
          <w:sz w:val="20"/>
        </w:rPr>
        <w:t>Schwalm</w:t>
      </w:r>
      <w:proofErr w:type="spellEnd"/>
      <w:r w:rsidR="006D0932" w:rsidRPr="001B20DB">
        <w:rPr>
          <w:sz w:val="20"/>
        </w:rPr>
        <w:t xml:space="preserve">, </w:t>
      </w:r>
      <w:proofErr w:type="spellStart"/>
      <w:r w:rsidR="006D0932" w:rsidRPr="001B20DB">
        <w:rPr>
          <w:sz w:val="20"/>
        </w:rPr>
        <w:t>Keinath</w:t>
      </w:r>
      <w:proofErr w:type="spellEnd"/>
      <w:r w:rsidR="006D0932" w:rsidRPr="001B20DB">
        <w:rPr>
          <w:sz w:val="20"/>
        </w:rPr>
        <w:t xml:space="preserve"> &amp; </w:t>
      </w:r>
      <w:r w:rsidR="00406CA7" w:rsidRPr="001B20DB">
        <w:rPr>
          <w:sz w:val="20"/>
        </w:rPr>
        <w:t>Z</w:t>
      </w:r>
      <w:r w:rsidR="006D0932" w:rsidRPr="001B20DB">
        <w:rPr>
          <w:sz w:val="20"/>
        </w:rPr>
        <w:t xml:space="preserve">immer 2008, </w:t>
      </w:r>
      <w:proofErr w:type="spellStart"/>
      <w:r w:rsidR="006D0932" w:rsidRPr="001B20DB">
        <w:rPr>
          <w:sz w:val="20"/>
        </w:rPr>
        <w:t>Palinenko</w:t>
      </w:r>
      <w:proofErr w:type="spellEnd"/>
      <w:r w:rsidR="006D0932" w:rsidRPr="001B20DB">
        <w:rPr>
          <w:sz w:val="20"/>
        </w:rPr>
        <w:t xml:space="preserve"> </w:t>
      </w:r>
      <w:r w:rsidR="006D0932" w:rsidRPr="001B20DB">
        <w:rPr>
          <w:i/>
          <w:sz w:val="20"/>
        </w:rPr>
        <w:t>et al.</w:t>
      </w:r>
      <w:r w:rsidR="006D0932" w:rsidRPr="001B20DB">
        <w:rPr>
          <w:sz w:val="20"/>
        </w:rPr>
        <w:t xml:space="preserve"> 2010). </w:t>
      </w:r>
      <w:r w:rsidR="00406CA7" w:rsidRPr="001B20DB">
        <w:rPr>
          <w:sz w:val="20"/>
        </w:rPr>
        <w:t xml:space="preserve">Nowadays this is usually measured using a remote eye tracking system such as the one we have in </w:t>
      </w:r>
      <w:proofErr w:type="spellStart"/>
      <w:r w:rsidR="00406CA7" w:rsidRPr="001B20DB">
        <w:rPr>
          <w:sz w:val="20"/>
        </w:rPr>
        <w:t>SoAC</w:t>
      </w:r>
      <w:proofErr w:type="spellEnd"/>
      <w:r w:rsidR="00406CA7" w:rsidRPr="001B20DB">
        <w:rPr>
          <w:sz w:val="20"/>
        </w:rPr>
        <w:t xml:space="preserve">, but it’s possible to do it with either a webcam or and IR camera a lot closer to the eye. </w:t>
      </w:r>
    </w:p>
    <w:p w:rsidR="00C0486A" w:rsidRPr="00C0486A" w:rsidRDefault="00C0486A" w:rsidP="002330E3">
      <w:pPr>
        <w:pStyle w:val="Heading3"/>
      </w:pPr>
      <w:r w:rsidRPr="00C0486A">
        <w:t>Equipment required</w:t>
      </w:r>
    </w:p>
    <w:p w:rsidR="00406CA7" w:rsidRPr="001B20DB" w:rsidRDefault="00C0486A">
      <w:pPr>
        <w:rPr>
          <w:sz w:val="20"/>
        </w:rPr>
      </w:pPr>
      <w:r w:rsidRPr="001B20DB">
        <w:rPr>
          <w:sz w:val="20"/>
        </w:rPr>
        <w:t xml:space="preserve">There are cheap webcam-based </w:t>
      </w:r>
      <w:proofErr w:type="spellStart"/>
      <w:r w:rsidRPr="001B20DB">
        <w:rPr>
          <w:sz w:val="20"/>
        </w:rPr>
        <w:t>eyetracking</w:t>
      </w:r>
      <w:proofErr w:type="spellEnd"/>
      <w:r w:rsidRPr="001B20DB">
        <w:rPr>
          <w:sz w:val="20"/>
        </w:rPr>
        <w:t xml:space="preserve"> systems available that might be suitable for mounting on a helmet (or for cannibalising and </w:t>
      </w:r>
      <w:r w:rsidRPr="001B20DB">
        <w:rPr>
          <w:i/>
          <w:sz w:val="20"/>
        </w:rPr>
        <w:t>then</w:t>
      </w:r>
      <w:r w:rsidRPr="001B20DB">
        <w:rPr>
          <w:sz w:val="20"/>
        </w:rPr>
        <w:t xml:space="preserve"> mounting on a helmet) such as the $99 </w:t>
      </w:r>
      <w:proofErr w:type="spellStart"/>
      <w:r w:rsidRPr="001B20DB">
        <w:rPr>
          <w:sz w:val="20"/>
        </w:rPr>
        <w:t>EyeTribe</w:t>
      </w:r>
      <w:proofErr w:type="spellEnd"/>
      <w:r w:rsidRPr="001B20DB">
        <w:rPr>
          <w:sz w:val="20"/>
        </w:rPr>
        <w:t xml:space="preserve"> system (2015). Failing that, such a system could be designed and built from cheap components bought at Maplin. The software would be run on a small portable computer such as a Raspberry Pi or Windows Tablet so that they can be mounted on the driver/bike.</w:t>
      </w:r>
    </w:p>
    <w:p w:rsidR="00C0486A" w:rsidRPr="00C0486A" w:rsidRDefault="00C0486A" w:rsidP="002330E3">
      <w:pPr>
        <w:pStyle w:val="Heading3"/>
      </w:pPr>
      <w:r w:rsidRPr="00C0486A">
        <w:t>Solvable problem</w:t>
      </w:r>
    </w:p>
    <w:p w:rsidR="00C0486A" w:rsidRPr="001B20DB" w:rsidRDefault="00C0486A">
      <w:pPr>
        <w:rPr>
          <w:sz w:val="20"/>
        </w:rPr>
      </w:pPr>
      <w:r w:rsidRPr="001B20DB">
        <w:rPr>
          <w:sz w:val="20"/>
        </w:rPr>
        <w:t xml:space="preserve">The diameter of the pupil is affected by things other than workload – in particular </w:t>
      </w:r>
      <w:r w:rsidR="002330E3" w:rsidRPr="001B20DB">
        <w:rPr>
          <w:sz w:val="20"/>
        </w:rPr>
        <w:t xml:space="preserve">increased </w:t>
      </w:r>
      <w:r w:rsidRPr="001B20DB">
        <w:rPr>
          <w:sz w:val="20"/>
        </w:rPr>
        <w:t>ambient light levels and emotional arousal</w:t>
      </w:r>
      <w:r w:rsidR="002330E3" w:rsidRPr="001B20DB">
        <w:rPr>
          <w:sz w:val="20"/>
        </w:rPr>
        <w:t xml:space="preserve"> also lead to pupil dilation. We therefore need to correct for both of these. Assuming that racers need to be calm and collected in order to ride at their best, we may be able to ignore the emotional response in the first instance. We will, however, need to take ambient lighting into account. The simplest way to do this would be to add a light sensor to the system that faces in the same direction as the rider. As we also want to look at how the cognitive workload varies around a circuit we will also need to include a GPS receiver in our Racing Workload Measurement System (RWMS).</w:t>
      </w:r>
    </w:p>
    <w:p w:rsidR="002330E3" w:rsidRPr="002330E3" w:rsidRDefault="002330E3" w:rsidP="002330E3">
      <w:pPr>
        <w:pStyle w:val="Heading3"/>
      </w:pPr>
      <w:r w:rsidRPr="002330E3">
        <w:t>RWMS configuration</w:t>
      </w:r>
    </w:p>
    <w:p w:rsidR="002330E3" w:rsidRPr="001B20DB" w:rsidRDefault="002330E3">
      <w:pPr>
        <w:rPr>
          <w:sz w:val="20"/>
        </w:rPr>
      </w:pPr>
      <w:r w:rsidRPr="001B20DB">
        <w:rPr>
          <w:sz w:val="20"/>
        </w:rPr>
        <w:t xml:space="preserve">The proposed basic configuration of the RWMS is shown in figure 1 below. It assumes that the camera(s) </w:t>
      </w:r>
      <w:r w:rsidR="00843DE4" w:rsidRPr="001B20DB">
        <w:rPr>
          <w:sz w:val="20"/>
        </w:rPr>
        <w:t xml:space="preserve">is mounted within the helmet so as to get an optimum image of the eye undistorted by the visor. It is possible that we might need to add a light source to illuminate the eye, in which case we need to use an IR camera rather than a normal webcam and to include an IR LED next to the camera. </w:t>
      </w:r>
    </w:p>
    <w:p w:rsidR="00FD2617" w:rsidRPr="001B20DB" w:rsidRDefault="00FD2617">
      <w:pPr>
        <w:rPr>
          <w:sz w:val="20"/>
        </w:rPr>
      </w:pPr>
      <w:r w:rsidRPr="001B20DB">
        <w:rPr>
          <w:sz w:val="20"/>
        </w:rPr>
        <w:t>Relatively small amounts of data actually need to be collected; a data rate of 10-25Hz should be quite sufficient for the pupil data. The minimum data record would include:</w:t>
      </w:r>
    </w:p>
    <w:p w:rsidR="00FD2617" w:rsidRPr="001B20DB" w:rsidRDefault="00FD2617" w:rsidP="00FD2617">
      <w:pPr>
        <w:pStyle w:val="ListParagraph"/>
        <w:numPr>
          <w:ilvl w:val="0"/>
          <w:numId w:val="1"/>
        </w:numPr>
        <w:rPr>
          <w:sz w:val="20"/>
        </w:rPr>
      </w:pPr>
      <w:r w:rsidRPr="001B20DB">
        <w:rPr>
          <w:sz w:val="20"/>
        </w:rPr>
        <w:t>Timestamp</w:t>
      </w:r>
    </w:p>
    <w:p w:rsidR="00FD2617" w:rsidRPr="001B20DB" w:rsidRDefault="00FD2617" w:rsidP="00FD2617">
      <w:pPr>
        <w:pStyle w:val="ListParagraph"/>
        <w:numPr>
          <w:ilvl w:val="0"/>
          <w:numId w:val="1"/>
        </w:numPr>
        <w:rPr>
          <w:sz w:val="20"/>
        </w:rPr>
      </w:pPr>
      <w:r w:rsidRPr="001B20DB">
        <w:rPr>
          <w:sz w:val="20"/>
        </w:rPr>
        <w:t>Pupil diameter (mm)</w:t>
      </w:r>
    </w:p>
    <w:p w:rsidR="00FD2617" w:rsidRPr="001B20DB" w:rsidRDefault="00FD2617" w:rsidP="00FD2617">
      <w:pPr>
        <w:pStyle w:val="ListParagraph"/>
        <w:numPr>
          <w:ilvl w:val="0"/>
          <w:numId w:val="1"/>
        </w:numPr>
        <w:rPr>
          <w:sz w:val="20"/>
        </w:rPr>
      </w:pPr>
      <w:r w:rsidRPr="001B20DB">
        <w:rPr>
          <w:sz w:val="20"/>
        </w:rPr>
        <w:t>External light level (a representative integer value)</w:t>
      </w:r>
    </w:p>
    <w:p w:rsidR="00FD2617" w:rsidRPr="001B20DB" w:rsidRDefault="00FD2617" w:rsidP="00FD2617">
      <w:pPr>
        <w:pStyle w:val="ListParagraph"/>
        <w:numPr>
          <w:ilvl w:val="0"/>
          <w:numId w:val="1"/>
        </w:numPr>
        <w:rPr>
          <w:sz w:val="20"/>
        </w:rPr>
      </w:pPr>
      <w:r w:rsidRPr="001B20DB">
        <w:rPr>
          <w:sz w:val="20"/>
        </w:rPr>
        <w:t>GPS coordinates (latitude and longitude as float values)</w:t>
      </w:r>
    </w:p>
    <w:p w:rsidR="00FD2617" w:rsidRPr="001B20DB" w:rsidRDefault="00FD2617" w:rsidP="00FD2617">
      <w:pPr>
        <w:rPr>
          <w:sz w:val="20"/>
        </w:rPr>
      </w:pPr>
      <w:r w:rsidRPr="001B20DB">
        <w:rPr>
          <w:sz w:val="20"/>
        </w:rPr>
        <w:t>Ideally these would all be recorded as a single line of data, but if necessary they could be recorded as individual lines with a common external timestamp.</w:t>
      </w:r>
    </w:p>
    <w:p w:rsidR="00FD2617" w:rsidRPr="001B20DB" w:rsidRDefault="00FD2617" w:rsidP="00FD2617">
      <w:pPr>
        <w:pStyle w:val="Heading3"/>
        <w:rPr>
          <w:sz w:val="22"/>
        </w:rPr>
      </w:pPr>
      <w:r w:rsidRPr="001B20DB">
        <w:rPr>
          <w:sz w:val="22"/>
        </w:rPr>
        <w:t>Data analysis</w:t>
      </w:r>
    </w:p>
    <w:p w:rsidR="00FD2617" w:rsidRPr="001B20DB" w:rsidRDefault="001735F3" w:rsidP="00FD2617">
      <w:pPr>
        <w:rPr>
          <w:sz w:val="20"/>
        </w:rPr>
      </w:pPr>
      <w:r w:rsidRPr="001B20DB">
        <w:rPr>
          <w:sz w:val="20"/>
        </w:rPr>
        <w:t>We’ll need to calibrate the ambient lighting factor before applying it so we can work out the appropriate corrections to make, but once we’ve done that we can start with simple things like plotting pupil diameter (the proxy for workload) against location</w:t>
      </w:r>
      <w:r w:rsidR="00C3517B" w:rsidRPr="001B20DB">
        <w:rPr>
          <w:sz w:val="20"/>
        </w:rPr>
        <w:t xml:space="preserve"> as shown in figure 2 below (high workload areas shown in red, low workload in green).</w:t>
      </w:r>
    </w:p>
    <w:p w:rsidR="001B20DB" w:rsidRDefault="001B20DB" w:rsidP="001B20DB">
      <w:pPr>
        <w:pStyle w:val="Heading3"/>
      </w:pPr>
      <w:r>
        <w:t>Further random thoughts</w:t>
      </w:r>
    </w:p>
    <w:p w:rsidR="001B20DB" w:rsidRPr="001B20DB" w:rsidRDefault="001B20DB" w:rsidP="001B20DB">
      <w:pPr>
        <w:rPr>
          <w:sz w:val="20"/>
        </w:rPr>
      </w:pPr>
      <w:r w:rsidRPr="001B20DB">
        <w:rPr>
          <w:sz w:val="20"/>
        </w:rPr>
        <w:t xml:space="preserve">Of course, if we can get a proper </w:t>
      </w:r>
      <w:proofErr w:type="spellStart"/>
      <w:r w:rsidRPr="001B20DB">
        <w:rPr>
          <w:sz w:val="20"/>
        </w:rPr>
        <w:t>eyetracking</w:t>
      </w:r>
      <w:proofErr w:type="spellEnd"/>
      <w:r w:rsidRPr="001B20DB">
        <w:rPr>
          <w:sz w:val="20"/>
        </w:rPr>
        <w:t xml:space="preserve"> system working, rather than just a pupil measurement system, we could eventually add a live video feed and record what riders are looking at as well as their cognitive load. We can also add any other physiological measurements we like as long as we have the appropriate timestamp – heartrate, skin resistivity, EEG (although EEG would generate a lot more data).</w:t>
      </w:r>
    </w:p>
    <w:p w:rsidR="001B20DB" w:rsidRPr="001B20DB" w:rsidRDefault="001B20DB" w:rsidP="001B20DB">
      <w:pPr>
        <w:rPr>
          <w:sz w:val="20"/>
        </w:rPr>
      </w:pPr>
      <w:r w:rsidRPr="001B20DB">
        <w:rPr>
          <w:sz w:val="20"/>
        </w:rPr>
        <w:t>If we have a common timestamp we can also link the results to bike performance measures – how does the workload change as the rider accelerates/brakes?</w:t>
      </w:r>
    </w:p>
    <w:p w:rsidR="009575C6" w:rsidRDefault="009575C6"/>
    <w:p w:rsidR="009575C6" w:rsidRDefault="001B20DB" w:rsidP="00C3517B">
      <w:pPr>
        <w:keepNext/>
        <w:jc w:val="center"/>
      </w:pPr>
      <w:r>
        <w:object w:dxaOrig="11005" w:dyaOrig="86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2.25pt;height:262.5pt" o:ole="">
            <v:imagedata r:id="rId5" o:title=""/>
          </v:shape>
          <o:OLEObject Type="Embed" ProgID="Visio.Drawing.11" ShapeID="_x0000_i1025" DrawAspect="Content" ObjectID="_1540890939" r:id="rId6"/>
        </w:object>
      </w:r>
    </w:p>
    <w:p w:rsidR="009575C6" w:rsidRDefault="009575C6" w:rsidP="009575C6">
      <w:pPr>
        <w:pStyle w:val="Caption"/>
        <w:jc w:val="center"/>
      </w:pPr>
      <w:r>
        <w:t xml:space="preserve">Figure </w:t>
      </w:r>
      <w:r w:rsidR="00474D9C">
        <w:fldChar w:fldCharType="begin"/>
      </w:r>
      <w:r w:rsidR="00474D9C">
        <w:instrText xml:space="preserve"> SEQ Figure \* ARABIC </w:instrText>
      </w:r>
      <w:r w:rsidR="00474D9C">
        <w:fldChar w:fldCharType="separate"/>
      </w:r>
      <w:r w:rsidR="00C3517B">
        <w:rPr>
          <w:noProof/>
        </w:rPr>
        <w:t>1</w:t>
      </w:r>
      <w:r w:rsidR="00474D9C">
        <w:rPr>
          <w:noProof/>
        </w:rPr>
        <w:fldChar w:fldCharType="end"/>
      </w:r>
      <w:r w:rsidR="00951E1A">
        <w:t>: RWMS b</w:t>
      </w:r>
      <w:r>
        <w:t>asic system schematic</w:t>
      </w:r>
    </w:p>
    <w:p w:rsidR="00C3517B" w:rsidRPr="00C3517B" w:rsidRDefault="00C3517B" w:rsidP="00C3517B"/>
    <w:p w:rsidR="00C3517B" w:rsidRDefault="00C3517B" w:rsidP="00C3517B">
      <w:pPr>
        <w:pStyle w:val="Heading3"/>
        <w:jc w:val="center"/>
      </w:pPr>
      <w:r>
        <w:rPr>
          <w:noProof/>
          <w:lang w:eastAsia="en-GB"/>
        </w:rPr>
        <w:drawing>
          <wp:inline distT="0" distB="0" distL="0" distR="0" wp14:anchorId="71A60A55" wp14:editId="09E7422A">
            <wp:extent cx="3655938" cy="25336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67913" cy="2541949"/>
                    </a:xfrm>
                    <a:prstGeom prst="rect">
                      <a:avLst/>
                    </a:prstGeom>
                    <a:noFill/>
                    <a:ln>
                      <a:noFill/>
                    </a:ln>
                  </pic:spPr>
                </pic:pic>
              </a:graphicData>
            </a:graphic>
          </wp:inline>
        </w:drawing>
      </w:r>
    </w:p>
    <w:p w:rsidR="00C3517B" w:rsidRDefault="00C3517B" w:rsidP="00C3517B">
      <w:pPr>
        <w:pStyle w:val="Caption"/>
        <w:jc w:val="center"/>
      </w:pPr>
      <w:r>
        <w:t xml:space="preserve">Figure </w:t>
      </w:r>
      <w:r w:rsidR="00474D9C">
        <w:fldChar w:fldCharType="begin"/>
      </w:r>
      <w:r w:rsidR="00474D9C">
        <w:instrText xml:space="preserve"> SEQ Figure \* ARABIC </w:instrText>
      </w:r>
      <w:r w:rsidR="00474D9C">
        <w:fldChar w:fldCharType="separate"/>
      </w:r>
      <w:r>
        <w:rPr>
          <w:noProof/>
        </w:rPr>
        <w:t>2</w:t>
      </w:r>
      <w:r w:rsidR="00474D9C">
        <w:rPr>
          <w:noProof/>
        </w:rPr>
        <w:fldChar w:fldCharType="end"/>
      </w:r>
      <w:r>
        <w:t xml:space="preserve">: Example workload variation around </w:t>
      </w:r>
      <w:proofErr w:type="spellStart"/>
      <w:r>
        <w:t>Donington</w:t>
      </w:r>
      <w:proofErr w:type="spellEnd"/>
      <w:r>
        <w:t xml:space="preserve"> Park</w:t>
      </w:r>
    </w:p>
    <w:p w:rsidR="00C3517B" w:rsidRPr="00C3517B" w:rsidRDefault="00C3517B" w:rsidP="00C3517B"/>
    <w:p w:rsidR="00F67B59" w:rsidRDefault="00F67B59" w:rsidP="002330E3">
      <w:pPr>
        <w:pStyle w:val="Heading3"/>
      </w:pPr>
      <w:r>
        <w:t>References</w:t>
      </w:r>
    </w:p>
    <w:p w:rsidR="00F67B59" w:rsidRPr="001B20DB" w:rsidRDefault="005113EF" w:rsidP="005113EF">
      <w:pPr>
        <w:rPr>
          <w:rFonts w:ascii="Arial" w:hAnsi="Arial" w:cs="Arial"/>
          <w:color w:val="222222"/>
          <w:sz w:val="18"/>
          <w:szCs w:val="20"/>
          <w:shd w:val="clear" w:color="auto" w:fill="FFFFFF"/>
        </w:rPr>
      </w:pPr>
      <w:r w:rsidRPr="001B20DB">
        <w:rPr>
          <w:rFonts w:ascii="Arial" w:hAnsi="Arial" w:cs="Arial"/>
          <w:color w:val="222222"/>
          <w:sz w:val="18"/>
          <w:szCs w:val="20"/>
          <w:shd w:val="clear" w:color="auto" w:fill="FFFFFF"/>
        </w:rPr>
        <w:t>Beatty, J., &amp; Lucero-Wagoner, B. (2000). The pupillary system.</w:t>
      </w:r>
      <w:r w:rsidRPr="001B20DB">
        <w:rPr>
          <w:rStyle w:val="apple-converted-space"/>
          <w:rFonts w:ascii="Arial" w:hAnsi="Arial" w:cs="Arial"/>
          <w:color w:val="222222"/>
          <w:sz w:val="18"/>
          <w:szCs w:val="20"/>
          <w:shd w:val="clear" w:color="auto" w:fill="FFFFFF"/>
        </w:rPr>
        <w:t> </w:t>
      </w:r>
      <w:r w:rsidRPr="001B20DB">
        <w:rPr>
          <w:rFonts w:ascii="Arial" w:hAnsi="Arial" w:cs="Arial"/>
          <w:i/>
          <w:iCs/>
          <w:color w:val="222222"/>
          <w:sz w:val="18"/>
          <w:szCs w:val="20"/>
          <w:shd w:val="clear" w:color="auto" w:fill="FFFFFF"/>
        </w:rPr>
        <w:t>Handbook of psychophysiology</w:t>
      </w:r>
      <w:r w:rsidRPr="001B20DB">
        <w:rPr>
          <w:rFonts w:ascii="Arial" w:hAnsi="Arial" w:cs="Arial"/>
          <w:color w:val="222222"/>
          <w:sz w:val="18"/>
          <w:szCs w:val="20"/>
          <w:shd w:val="clear" w:color="auto" w:fill="FFFFFF"/>
        </w:rPr>
        <w:t>,</w:t>
      </w:r>
      <w:r w:rsidRPr="001B20DB">
        <w:rPr>
          <w:rStyle w:val="apple-converted-space"/>
          <w:rFonts w:ascii="Arial" w:hAnsi="Arial" w:cs="Arial"/>
          <w:color w:val="222222"/>
          <w:sz w:val="18"/>
          <w:szCs w:val="20"/>
          <w:shd w:val="clear" w:color="auto" w:fill="FFFFFF"/>
        </w:rPr>
        <w:t> </w:t>
      </w:r>
      <w:r w:rsidRPr="001B20DB">
        <w:rPr>
          <w:rFonts w:ascii="Arial" w:hAnsi="Arial" w:cs="Arial"/>
          <w:i/>
          <w:iCs/>
          <w:color w:val="222222"/>
          <w:sz w:val="18"/>
          <w:szCs w:val="20"/>
          <w:shd w:val="clear" w:color="auto" w:fill="FFFFFF"/>
        </w:rPr>
        <w:t>2</w:t>
      </w:r>
      <w:r w:rsidRPr="001B20DB">
        <w:rPr>
          <w:rFonts w:ascii="Arial" w:hAnsi="Arial" w:cs="Arial"/>
          <w:color w:val="222222"/>
          <w:sz w:val="18"/>
          <w:szCs w:val="20"/>
          <w:shd w:val="clear" w:color="auto" w:fill="FFFFFF"/>
        </w:rPr>
        <w:t>, 142-162.</w:t>
      </w:r>
    </w:p>
    <w:p w:rsidR="00C0486A" w:rsidRPr="001B20DB" w:rsidRDefault="00C0486A" w:rsidP="005113EF">
      <w:pPr>
        <w:rPr>
          <w:rFonts w:ascii="Arial" w:hAnsi="Arial" w:cs="Arial"/>
          <w:color w:val="222222"/>
          <w:sz w:val="18"/>
          <w:szCs w:val="20"/>
          <w:shd w:val="clear" w:color="auto" w:fill="FFFFFF"/>
        </w:rPr>
      </w:pPr>
      <w:r w:rsidRPr="001B20DB">
        <w:rPr>
          <w:rFonts w:ascii="Arial" w:hAnsi="Arial" w:cs="Arial"/>
          <w:color w:val="222222"/>
          <w:sz w:val="18"/>
          <w:szCs w:val="20"/>
          <w:shd w:val="clear" w:color="auto" w:fill="FFFFFF"/>
        </w:rPr>
        <w:t xml:space="preserve">The </w:t>
      </w:r>
      <w:proofErr w:type="spellStart"/>
      <w:r w:rsidRPr="001B20DB">
        <w:rPr>
          <w:rFonts w:ascii="Arial" w:hAnsi="Arial" w:cs="Arial"/>
          <w:color w:val="222222"/>
          <w:sz w:val="18"/>
          <w:szCs w:val="20"/>
          <w:shd w:val="clear" w:color="auto" w:fill="FFFFFF"/>
        </w:rPr>
        <w:t>EyeTribe</w:t>
      </w:r>
      <w:proofErr w:type="spellEnd"/>
      <w:r w:rsidRPr="001B20DB">
        <w:rPr>
          <w:rFonts w:ascii="Arial" w:hAnsi="Arial" w:cs="Arial"/>
          <w:color w:val="222222"/>
          <w:sz w:val="18"/>
          <w:szCs w:val="20"/>
          <w:shd w:val="clear" w:color="auto" w:fill="FFFFFF"/>
        </w:rPr>
        <w:t xml:space="preserve"> (2015) </w:t>
      </w:r>
      <w:proofErr w:type="gramStart"/>
      <w:r w:rsidRPr="001B20DB">
        <w:rPr>
          <w:rFonts w:ascii="Arial" w:hAnsi="Arial" w:cs="Arial"/>
          <w:color w:val="222222"/>
          <w:sz w:val="18"/>
          <w:szCs w:val="20"/>
          <w:shd w:val="clear" w:color="auto" w:fill="FFFFFF"/>
        </w:rPr>
        <w:t>Online</w:t>
      </w:r>
      <w:proofErr w:type="gramEnd"/>
      <w:r w:rsidRPr="001B20DB">
        <w:rPr>
          <w:rFonts w:ascii="Arial" w:hAnsi="Arial" w:cs="Arial"/>
          <w:color w:val="222222"/>
          <w:sz w:val="18"/>
          <w:szCs w:val="20"/>
          <w:shd w:val="clear" w:color="auto" w:fill="FFFFFF"/>
        </w:rPr>
        <w:t xml:space="preserve"> at </w:t>
      </w:r>
      <w:hyperlink r:id="rId8" w:history="1">
        <w:r w:rsidRPr="001B20DB">
          <w:rPr>
            <w:rStyle w:val="Hyperlink"/>
            <w:rFonts w:ascii="Arial" w:hAnsi="Arial" w:cs="Arial"/>
            <w:sz w:val="18"/>
            <w:szCs w:val="20"/>
            <w:shd w:val="clear" w:color="auto" w:fill="FFFFFF"/>
          </w:rPr>
          <w:t>https://theeyetribe.com/</w:t>
        </w:r>
      </w:hyperlink>
      <w:r w:rsidRPr="001B20DB">
        <w:rPr>
          <w:rFonts w:ascii="Arial" w:hAnsi="Arial" w:cs="Arial"/>
          <w:color w:val="222222"/>
          <w:sz w:val="18"/>
          <w:szCs w:val="20"/>
          <w:shd w:val="clear" w:color="auto" w:fill="FFFFFF"/>
        </w:rPr>
        <w:t>, accessed 7/7/2015.</w:t>
      </w:r>
    </w:p>
    <w:p w:rsidR="00762EA8" w:rsidRPr="001B20DB" w:rsidRDefault="00762EA8" w:rsidP="005113EF">
      <w:pPr>
        <w:rPr>
          <w:rFonts w:ascii="Arial" w:hAnsi="Arial" w:cs="Arial"/>
          <w:color w:val="222222"/>
          <w:sz w:val="18"/>
          <w:szCs w:val="20"/>
          <w:shd w:val="clear" w:color="auto" w:fill="FFFFFF"/>
        </w:rPr>
      </w:pPr>
      <w:r w:rsidRPr="001B20DB">
        <w:rPr>
          <w:rFonts w:ascii="Arial" w:hAnsi="Arial" w:cs="Arial"/>
          <w:color w:val="222222"/>
          <w:sz w:val="18"/>
          <w:szCs w:val="20"/>
          <w:shd w:val="clear" w:color="auto" w:fill="FFFFFF"/>
        </w:rPr>
        <w:t xml:space="preserve">Marshall, S. (2007). Identifying Cognitive State from Eye Metrics. </w:t>
      </w:r>
      <w:r w:rsidRPr="001B20DB">
        <w:rPr>
          <w:rFonts w:ascii="Arial" w:hAnsi="Arial" w:cs="Arial"/>
          <w:i/>
          <w:color w:val="222222"/>
          <w:sz w:val="18"/>
          <w:szCs w:val="20"/>
          <w:shd w:val="clear" w:color="auto" w:fill="FFFFFF"/>
        </w:rPr>
        <w:t>Aviation, Space, and Environmental Medicine</w:t>
      </w:r>
      <w:r w:rsidRPr="001B20DB">
        <w:rPr>
          <w:rFonts w:ascii="Arial" w:hAnsi="Arial" w:cs="Arial"/>
          <w:color w:val="222222"/>
          <w:sz w:val="18"/>
          <w:szCs w:val="20"/>
          <w:shd w:val="clear" w:color="auto" w:fill="FFFFFF"/>
        </w:rPr>
        <w:t>,</w:t>
      </w:r>
      <w:r w:rsidR="007C1C58" w:rsidRPr="001B20DB">
        <w:rPr>
          <w:rFonts w:ascii="Arial" w:hAnsi="Arial" w:cs="Arial"/>
          <w:color w:val="222222"/>
          <w:sz w:val="18"/>
          <w:szCs w:val="20"/>
          <w:shd w:val="clear" w:color="auto" w:fill="FFFFFF"/>
        </w:rPr>
        <w:t xml:space="preserve"> 78(5s), B165-B175</w:t>
      </w:r>
    </w:p>
    <w:p w:rsidR="006D0932" w:rsidRPr="001B20DB" w:rsidRDefault="006D0932" w:rsidP="005113EF">
      <w:pPr>
        <w:rPr>
          <w:sz w:val="20"/>
        </w:rPr>
      </w:pPr>
      <w:proofErr w:type="spellStart"/>
      <w:r w:rsidRPr="001B20DB">
        <w:rPr>
          <w:rFonts w:ascii="Arial" w:hAnsi="Arial" w:cs="Arial"/>
          <w:color w:val="222222"/>
          <w:sz w:val="18"/>
          <w:szCs w:val="20"/>
          <w:shd w:val="clear" w:color="auto" w:fill="FFFFFF"/>
        </w:rPr>
        <w:t>Palinenko</w:t>
      </w:r>
      <w:proofErr w:type="spellEnd"/>
      <w:r w:rsidRPr="001B20DB">
        <w:rPr>
          <w:rFonts w:ascii="Arial" w:hAnsi="Arial" w:cs="Arial"/>
          <w:color w:val="222222"/>
          <w:sz w:val="18"/>
          <w:szCs w:val="20"/>
          <w:shd w:val="clear" w:color="auto" w:fill="FFFFFF"/>
        </w:rPr>
        <w:t xml:space="preserve">, O., Kin, A.L., </w:t>
      </w:r>
      <w:proofErr w:type="spellStart"/>
      <w:r w:rsidRPr="001B20DB">
        <w:rPr>
          <w:rFonts w:ascii="Arial" w:hAnsi="Arial" w:cs="Arial"/>
          <w:color w:val="222222"/>
          <w:sz w:val="18"/>
          <w:szCs w:val="20"/>
          <w:shd w:val="clear" w:color="auto" w:fill="FFFFFF"/>
        </w:rPr>
        <w:t>Shyrokov</w:t>
      </w:r>
      <w:proofErr w:type="spellEnd"/>
      <w:r w:rsidRPr="001B20DB">
        <w:rPr>
          <w:rFonts w:ascii="Arial" w:hAnsi="Arial" w:cs="Arial"/>
          <w:color w:val="222222"/>
          <w:sz w:val="18"/>
          <w:szCs w:val="20"/>
          <w:shd w:val="clear" w:color="auto" w:fill="FFFFFF"/>
        </w:rPr>
        <w:t xml:space="preserve">, A., &amp; </w:t>
      </w:r>
      <w:proofErr w:type="spellStart"/>
      <w:r w:rsidRPr="001B20DB">
        <w:rPr>
          <w:rFonts w:ascii="Arial" w:hAnsi="Arial" w:cs="Arial"/>
          <w:color w:val="222222"/>
          <w:sz w:val="18"/>
          <w:szCs w:val="20"/>
          <w:shd w:val="clear" w:color="auto" w:fill="FFFFFF"/>
        </w:rPr>
        <w:t>Heenan</w:t>
      </w:r>
      <w:proofErr w:type="spellEnd"/>
      <w:r w:rsidRPr="001B20DB">
        <w:rPr>
          <w:rFonts w:ascii="Arial" w:hAnsi="Arial" w:cs="Arial"/>
          <w:color w:val="222222"/>
          <w:sz w:val="18"/>
          <w:szCs w:val="20"/>
          <w:shd w:val="clear" w:color="auto" w:fill="FFFFFF"/>
        </w:rPr>
        <w:t xml:space="preserve">, P. (2010). Estimating cognitive load using remote </w:t>
      </w:r>
      <w:proofErr w:type="spellStart"/>
      <w:r w:rsidRPr="001B20DB">
        <w:rPr>
          <w:rFonts w:ascii="Arial" w:hAnsi="Arial" w:cs="Arial"/>
          <w:color w:val="222222"/>
          <w:sz w:val="18"/>
          <w:szCs w:val="20"/>
          <w:shd w:val="clear" w:color="auto" w:fill="FFFFFF"/>
        </w:rPr>
        <w:t>eyetracking</w:t>
      </w:r>
      <w:proofErr w:type="spellEnd"/>
      <w:r w:rsidRPr="001B20DB">
        <w:rPr>
          <w:rFonts w:ascii="Arial" w:hAnsi="Arial" w:cs="Arial"/>
          <w:color w:val="222222"/>
          <w:sz w:val="18"/>
          <w:szCs w:val="20"/>
          <w:shd w:val="clear" w:color="auto" w:fill="FFFFFF"/>
        </w:rPr>
        <w:t xml:space="preserve"> in a driving simulator. </w:t>
      </w:r>
      <w:r w:rsidRPr="001B20DB">
        <w:rPr>
          <w:rFonts w:ascii="Arial" w:hAnsi="Arial" w:cs="Arial"/>
          <w:i/>
          <w:color w:val="222222"/>
          <w:sz w:val="18"/>
          <w:szCs w:val="20"/>
          <w:shd w:val="clear" w:color="auto" w:fill="FFFFFF"/>
        </w:rPr>
        <w:t xml:space="preserve">Proceedings of the 2010 Symposium on Eye-tracking Research &amp; Applications, </w:t>
      </w:r>
      <w:r w:rsidRPr="001B20DB">
        <w:rPr>
          <w:rFonts w:ascii="Arial" w:hAnsi="Arial" w:cs="Arial"/>
          <w:color w:val="222222"/>
          <w:sz w:val="18"/>
          <w:szCs w:val="20"/>
          <w:shd w:val="clear" w:color="auto" w:fill="FFFFFF"/>
        </w:rPr>
        <w:t>141-144</w:t>
      </w:r>
    </w:p>
    <w:p w:rsidR="006D0932" w:rsidRPr="001B20DB" w:rsidRDefault="00406CA7" w:rsidP="005113EF">
      <w:pPr>
        <w:rPr>
          <w:sz w:val="20"/>
        </w:rPr>
      </w:pPr>
      <w:proofErr w:type="spellStart"/>
      <w:r w:rsidRPr="001B20DB">
        <w:rPr>
          <w:rFonts w:ascii="Arial" w:hAnsi="Arial" w:cs="Arial"/>
          <w:color w:val="222222"/>
          <w:sz w:val="18"/>
          <w:szCs w:val="20"/>
          <w:shd w:val="clear" w:color="auto" w:fill="FFFFFF"/>
        </w:rPr>
        <w:t>Schwalm</w:t>
      </w:r>
      <w:proofErr w:type="spellEnd"/>
      <w:r w:rsidRPr="001B20DB">
        <w:rPr>
          <w:rFonts w:ascii="Arial" w:hAnsi="Arial" w:cs="Arial"/>
          <w:color w:val="222222"/>
          <w:sz w:val="18"/>
          <w:szCs w:val="20"/>
          <w:shd w:val="clear" w:color="auto" w:fill="FFFFFF"/>
        </w:rPr>
        <w:t xml:space="preserve">, M., </w:t>
      </w:r>
      <w:proofErr w:type="spellStart"/>
      <w:r w:rsidRPr="001B20DB">
        <w:rPr>
          <w:rFonts w:ascii="Arial" w:hAnsi="Arial" w:cs="Arial"/>
          <w:color w:val="222222"/>
          <w:sz w:val="18"/>
          <w:szCs w:val="20"/>
          <w:shd w:val="clear" w:color="auto" w:fill="FFFFFF"/>
        </w:rPr>
        <w:t>Keinath</w:t>
      </w:r>
      <w:proofErr w:type="spellEnd"/>
      <w:r w:rsidRPr="001B20DB">
        <w:rPr>
          <w:rFonts w:ascii="Arial" w:hAnsi="Arial" w:cs="Arial"/>
          <w:color w:val="222222"/>
          <w:sz w:val="18"/>
          <w:szCs w:val="20"/>
          <w:shd w:val="clear" w:color="auto" w:fill="FFFFFF"/>
        </w:rPr>
        <w:t xml:space="preserve">, A., &amp; Zimmer, H. D. (2008). </w:t>
      </w:r>
      <w:proofErr w:type="spellStart"/>
      <w:r w:rsidRPr="001B20DB">
        <w:rPr>
          <w:rFonts w:ascii="Arial" w:hAnsi="Arial" w:cs="Arial"/>
          <w:color w:val="222222"/>
          <w:sz w:val="18"/>
          <w:szCs w:val="20"/>
          <w:shd w:val="clear" w:color="auto" w:fill="FFFFFF"/>
        </w:rPr>
        <w:t>Pupillometry</w:t>
      </w:r>
      <w:proofErr w:type="spellEnd"/>
      <w:r w:rsidRPr="001B20DB">
        <w:rPr>
          <w:rFonts w:ascii="Arial" w:hAnsi="Arial" w:cs="Arial"/>
          <w:color w:val="222222"/>
          <w:sz w:val="18"/>
          <w:szCs w:val="20"/>
          <w:shd w:val="clear" w:color="auto" w:fill="FFFFFF"/>
        </w:rPr>
        <w:t xml:space="preserve"> as a method for measuring mental workload within a simulated driving task.</w:t>
      </w:r>
      <w:r w:rsidRPr="001B20DB">
        <w:rPr>
          <w:rStyle w:val="apple-converted-space"/>
          <w:rFonts w:ascii="Arial" w:hAnsi="Arial" w:cs="Arial"/>
          <w:color w:val="222222"/>
          <w:sz w:val="18"/>
          <w:szCs w:val="20"/>
          <w:shd w:val="clear" w:color="auto" w:fill="FFFFFF"/>
        </w:rPr>
        <w:t> </w:t>
      </w:r>
      <w:r w:rsidRPr="001B20DB">
        <w:rPr>
          <w:rFonts w:ascii="Arial" w:hAnsi="Arial" w:cs="Arial"/>
          <w:i/>
          <w:iCs/>
          <w:color w:val="222222"/>
          <w:sz w:val="18"/>
          <w:szCs w:val="20"/>
          <w:shd w:val="clear" w:color="auto" w:fill="FFFFFF"/>
        </w:rPr>
        <w:t>Human Factors for assistance and automation</w:t>
      </w:r>
      <w:r w:rsidRPr="001B20DB">
        <w:rPr>
          <w:rFonts w:ascii="Arial" w:hAnsi="Arial" w:cs="Arial"/>
          <w:color w:val="222222"/>
          <w:sz w:val="18"/>
          <w:szCs w:val="20"/>
          <w:shd w:val="clear" w:color="auto" w:fill="FFFFFF"/>
        </w:rPr>
        <w:t>, 1-13.</w:t>
      </w:r>
    </w:p>
    <w:sectPr w:rsidR="006D0932" w:rsidRPr="001B20DB" w:rsidSect="001B20DB">
      <w:pgSz w:w="11906" w:h="16838"/>
      <w:pgMar w:top="709" w:right="849" w:bottom="567"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B535A4"/>
    <w:multiLevelType w:val="hybridMultilevel"/>
    <w:tmpl w:val="342A92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75C6"/>
    <w:rsid w:val="001735F3"/>
    <w:rsid w:val="001B20DB"/>
    <w:rsid w:val="002330E3"/>
    <w:rsid w:val="00406CA7"/>
    <w:rsid w:val="00474D9C"/>
    <w:rsid w:val="005113EF"/>
    <w:rsid w:val="006D0932"/>
    <w:rsid w:val="00762EA8"/>
    <w:rsid w:val="007C1C58"/>
    <w:rsid w:val="00843DE4"/>
    <w:rsid w:val="00951E1A"/>
    <w:rsid w:val="009575C6"/>
    <w:rsid w:val="00A643D7"/>
    <w:rsid w:val="00AB4934"/>
    <w:rsid w:val="00C0486A"/>
    <w:rsid w:val="00C3517B"/>
    <w:rsid w:val="00E64B0E"/>
    <w:rsid w:val="00F67B59"/>
    <w:rsid w:val="00FD26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CB5D8E-D2D2-4779-B85C-97889778B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C0486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330E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9575C6"/>
    <w:pPr>
      <w:spacing w:after="200" w:line="240" w:lineRule="auto"/>
    </w:pPr>
    <w:rPr>
      <w:i/>
      <w:iCs/>
      <w:color w:val="44546A" w:themeColor="text2"/>
      <w:sz w:val="18"/>
      <w:szCs w:val="18"/>
    </w:rPr>
  </w:style>
  <w:style w:type="character" w:customStyle="1" w:styleId="apple-converted-space">
    <w:name w:val="apple-converted-space"/>
    <w:basedOn w:val="DefaultParagraphFont"/>
    <w:rsid w:val="00F67B59"/>
  </w:style>
  <w:style w:type="character" w:styleId="Hyperlink">
    <w:name w:val="Hyperlink"/>
    <w:basedOn w:val="DefaultParagraphFont"/>
    <w:uiPriority w:val="99"/>
    <w:unhideWhenUsed/>
    <w:rsid w:val="006D0932"/>
    <w:rPr>
      <w:color w:val="0000FF"/>
      <w:u w:val="single"/>
    </w:rPr>
  </w:style>
  <w:style w:type="character" w:customStyle="1" w:styleId="Heading2Char">
    <w:name w:val="Heading 2 Char"/>
    <w:basedOn w:val="DefaultParagraphFont"/>
    <w:link w:val="Heading2"/>
    <w:uiPriority w:val="9"/>
    <w:rsid w:val="00C0486A"/>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2330E3"/>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FD26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45115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eyetribe.com/" TargetMode="External"/><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e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720</Words>
  <Characters>4105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Nik Whitehead</cp:lastModifiedBy>
  <cp:revision>3</cp:revision>
  <dcterms:created xsi:type="dcterms:W3CDTF">2016-11-17T12:24:00Z</dcterms:created>
  <dcterms:modified xsi:type="dcterms:W3CDTF">2016-11-17T12:29:00Z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