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C7B09" w14:textId="77777777" w:rsidR="004C7653" w:rsidRDefault="004C7653" w:rsidP="004C7653">
      <w:pPr>
        <w:jc w:val="center"/>
        <w:rPr>
          <w:sz w:val="36"/>
          <w:szCs w:val="36"/>
        </w:rPr>
      </w:pPr>
    </w:p>
    <w:p w14:paraId="0160CE48" w14:textId="77777777" w:rsidR="00772CC6" w:rsidRDefault="00772CC6" w:rsidP="004C7653">
      <w:pPr>
        <w:jc w:val="center"/>
        <w:rPr>
          <w:sz w:val="36"/>
          <w:szCs w:val="36"/>
        </w:rPr>
      </w:pPr>
    </w:p>
    <w:p w14:paraId="2DE32492" w14:textId="77777777" w:rsidR="00772CC6" w:rsidRDefault="00772CC6" w:rsidP="004C7653">
      <w:pPr>
        <w:jc w:val="center"/>
        <w:rPr>
          <w:sz w:val="36"/>
          <w:szCs w:val="36"/>
        </w:rPr>
      </w:pPr>
    </w:p>
    <w:p w14:paraId="3056C1D0" w14:textId="77777777" w:rsidR="00772CC6" w:rsidRDefault="00772CC6" w:rsidP="004C7653">
      <w:pPr>
        <w:jc w:val="center"/>
        <w:rPr>
          <w:sz w:val="36"/>
          <w:szCs w:val="36"/>
        </w:rPr>
      </w:pPr>
    </w:p>
    <w:p w14:paraId="11316882" w14:textId="7DFEBAF2" w:rsidR="004C7653" w:rsidRDefault="00CB4B46" w:rsidP="004C7653">
      <w:pPr>
        <w:jc w:val="center"/>
        <w:rPr>
          <w:sz w:val="36"/>
          <w:szCs w:val="36"/>
        </w:rPr>
      </w:pPr>
      <w:r>
        <w:rPr>
          <w:sz w:val="36"/>
          <w:szCs w:val="36"/>
        </w:rPr>
        <w:t>BMPL4009 Criminal Law</w:t>
      </w:r>
      <w:r w:rsidR="00772CC6">
        <w:rPr>
          <w:sz w:val="36"/>
          <w:szCs w:val="36"/>
        </w:rPr>
        <w:t xml:space="preserve"> – Assignment 1</w:t>
      </w:r>
    </w:p>
    <w:p w14:paraId="4FC3379A" w14:textId="77777777" w:rsidR="004C7653" w:rsidRDefault="004C7653" w:rsidP="004C7653">
      <w:pPr>
        <w:jc w:val="center"/>
        <w:rPr>
          <w:sz w:val="36"/>
          <w:szCs w:val="36"/>
        </w:rPr>
      </w:pPr>
    </w:p>
    <w:p w14:paraId="1812F87E" w14:textId="77777777" w:rsidR="004C7653" w:rsidRDefault="004C7653" w:rsidP="004C7653">
      <w:pPr>
        <w:jc w:val="center"/>
        <w:rPr>
          <w:sz w:val="36"/>
          <w:szCs w:val="36"/>
        </w:rPr>
      </w:pPr>
    </w:p>
    <w:p w14:paraId="13511D4A" w14:textId="4A1F0C4E" w:rsidR="004356B4" w:rsidRDefault="00F854CE" w:rsidP="004C7653">
      <w:pPr>
        <w:jc w:val="center"/>
        <w:rPr>
          <w:sz w:val="36"/>
          <w:szCs w:val="36"/>
        </w:rPr>
      </w:pPr>
      <w:r w:rsidRPr="004C7653">
        <w:rPr>
          <w:sz w:val="36"/>
          <w:szCs w:val="36"/>
        </w:rPr>
        <w:t>What changes did the Coroners and Justice Act (2009) make to the defence of diminished responsibility</w:t>
      </w:r>
      <w:r w:rsidR="004C7653" w:rsidRPr="004C7653">
        <w:rPr>
          <w:sz w:val="36"/>
          <w:szCs w:val="36"/>
        </w:rPr>
        <w:t>? Did the amendments change the law in this area for the better?</w:t>
      </w:r>
    </w:p>
    <w:p w14:paraId="5F6AF6F6" w14:textId="25912013" w:rsidR="004C7653" w:rsidRDefault="004C7653" w:rsidP="004C7653">
      <w:pPr>
        <w:jc w:val="center"/>
        <w:rPr>
          <w:sz w:val="36"/>
          <w:szCs w:val="36"/>
        </w:rPr>
      </w:pPr>
    </w:p>
    <w:p w14:paraId="78664370" w14:textId="77777777" w:rsidR="00772CC6" w:rsidRDefault="00772CC6" w:rsidP="004C7653">
      <w:pPr>
        <w:jc w:val="center"/>
      </w:pPr>
    </w:p>
    <w:p w14:paraId="6367171C" w14:textId="77777777" w:rsidR="00772CC6" w:rsidRDefault="00772CC6" w:rsidP="004C7653">
      <w:pPr>
        <w:jc w:val="center"/>
      </w:pPr>
    </w:p>
    <w:p w14:paraId="4D17600A" w14:textId="77777777" w:rsidR="00772CC6" w:rsidRDefault="00772CC6" w:rsidP="004C7653">
      <w:pPr>
        <w:jc w:val="center"/>
      </w:pPr>
    </w:p>
    <w:p w14:paraId="4B88312C" w14:textId="07D741EA" w:rsidR="00772CC6" w:rsidRDefault="00CB4B46" w:rsidP="004C7653">
      <w:pPr>
        <w:jc w:val="center"/>
      </w:pPr>
      <w:r>
        <w:t>Steffan Williams (2203204)</w:t>
      </w:r>
    </w:p>
    <w:p w14:paraId="68085172" w14:textId="77777777" w:rsidR="00772CC6" w:rsidRDefault="00772CC6">
      <w:r>
        <w:br w:type="page"/>
      </w:r>
    </w:p>
    <w:p w14:paraId="3B2B5135" w14:textId="4AF9D205" w:rsidR="004C7653" w:rsidRDefault="00251521" w:rsidP="00772CC6">
      <w:r>
        <w:lastRenderedPageBreak/>
        <w:tab/>
        <w:t xml:space="preserve">The defence of diminished responsibility </w:t>
      </w:r>
      <w:r w:rsidR="00057EC1">
        <w:t>has a long, significant history in English and Welsh law</w:t>
      </w:r>
      <w:r w:rsidR="00D421E8">
        <w:t xml:space="preserve">, and has its roots in the </w:t>
      </w:r>
      <w:r w:rsidR="000B4080">
        <w:t>M’Naghten Rules, which were established in 1843 following the acquittal of Daniel M’Naghten</w:t>
      </w:r>
      <w:r w:rsidR="001C26C1">
        <w:t xml:space="preserve"> on the grounds of insanity for the murder of the Prime Minister’s private secretary</w:t>
      </w:r>
      <w:r w:rsidR="00F67F0B">
        <w:t xml:space="preserve">. </w:t>
      </w:r>
      <w:r w:rsidR="00272D45" w:rsidRPr="001174C4">
        <w:t xml:space="preserve">The M'Naghten Rules established that a person could not be held responsible for a crime if, at the time of committing the act, they were "labouring under such a defect of reason, from disease of the mind, as not to know the nature and quality of the act he was doing, or, if he did know it, that he did not know he was doing what was wrong" </w:t>
      </w:r>
      <w:sdt>
        <w:sdtPr>
          <w:id w:val="-1908606453"/>
          <w:citation/>
        </w:sdtPr>
        <w:sdtContent>
          <w:r w:rsidR="00235682">
            <w:fldChar w:fldCharType="begin"/>
          </w:r>
          <w:r w:rsidR="00235682">
            <w:instrText xml:space="preserve">CITATION UKP43 \l 2057 </w:instrText>
          </w:r>
          <w:r w:rsidR="00235682">
            <w:fldChar w:fldCharType="separate"/>
          </w:r>
          <w:r w:rsidR="00235682">
            <w:rPr>
              <w:noProof/>
            </w:rPr>
            <w:t>(Hansard, 1843)</w:t>
          </w:r>
          <w:r w:rsidR="00235682">
            <w:fldChar w:fldCharType="end"/>
          </w:r>
        </w:sdtContent>
      </w:sdt>
      <w:r w:rsidR="00072AFA">
        <w:t xml:space="preserve">. </w:t>
      </w:r>
      <w:r w:rsidR="00072AFA" w:rsidRPr="001174C4">
        <w:t>The rules were later codified in the Trial of Lunatics Act (1883), which allowed defendants to plead insanity as a defence to a criminal charge</w:t>
      </w:r>
      <w:r w:rsidR="00072AFA">
        <w:t xml:space="preserve">. </w:t>
      </w:r>
      <w:r w:rsidR="001A3248">
        <w:t>The defence of diminished responsibility is one of three partial defences to murder</w:t>
      </w:r>
      <w:r w:rsidR="0035505A">
        <w:t xml:space="preserve">, with the other two being loss of control, and killing in pursuance of a suicide pact. As these are only partial defences, </w:t>
      </w:r>
      <w:r w:rsidR="0033701D">
        <w:t xml:space="preserve">their use </w:t>
      </w:r>
      <w:r w:rsidR="00446153">
        <w:t xml:space="preserve">does not completely absolve the defendant of guilt </w:t>
      </w:r>
      <w:sdt>
        <w:sdtPr>
          <w:id w:val="671216232"/>
          <w:citation/>
        </w:sdtPr>
        <w:sdtContent>
          <w:r w:rsidR="00446153">
            <w:fldChar w:fldCharType="begin"/>
          </w:r>
          <w:r w:rsidR="00446153">
            <w:instrText xml:space="preserve"> CITATION Cro22 \l 2057 </w:instrText>
          </w:r>
          <w:r w:rsidR="00446153">
            <w:fldChar w:fldCharType="separate"/>
          </w:r>
          <w:r w:rsidR="00446153">
            <w:rPr>
              <w:noProof/>
            </w:rPr>
            <w:t>(Crown Prosecution Service, 2022)</w:t>
          </w:r>
          <w:r w:rsidR="00446153">
            <w:fldChar w:fldCharType="end"/>
          </w:r>
        </w:sdtContent>
      </w:sdt>
      <w:r w:rsidR="00072AFA">
        <w:t xml:space="preserve">. </w:t>
      </w:r>
      <w:r w:rsidR="00057EC1">
        <w:t xml:space="preserve">The defence allows a person </w:t>
      </w:r>
      <w:r w:rsidR="00C2697B">
        <w:t xml:space="preserve">to be convicted of a lesser offence than murder if it is </w:t>
      </w:r>
      <w:r w:rsidR="00B67631">
        <w:t>considered</w:t>
      </w:r>
      <w:r w:rsidR="00C2697B">
        <w:t xml:space="preserve"> that their mental state at the time of the offence was impaired by a recognised medical </w:t>
      </w:r>
      <w:r w:rsidR="00C351EC">
        <w:t xml:space="preserve">condition. Successful use of the defence of diminished responsibility can reduce </w:t>
      </w:r>
      <w:r w:rsidR="00B02D04">
        <w:t xml:space="preserve">the defendant’s conviction from murder to manslaughter. The defence was first used in the case </w:t>
      </w:r>
      <w:sdt>
        <w:sdtPr>
          <w:id w:val="951051101"/>
          <w:citation/>
        </w:sdtPr>
        <w:sdtContent>
          <w:r w:rsidR="000A4ED8">
            <w:fldChar w:fldCharType="begin"/>
          </w:r>
          <w:r w:rsidR="000A4ED8">
            <w:instrText xml:space="preserve"> CITATION RvB60 \l 2057 </w:instrText>
          </w:r>
          <w:r w:rsidR="000A4ED8">
            <w:fldChar w:fldCharType="separate"/>
          </w:r>
          <w:r w:rsidR="000A4ED8">
            <w:rPr>
              <w:noProof/>
            </w:rPr>
            <w:t>(R v Byrne, 1960)</w:t>
          </w:r>
          <w:r w:rsidR="000A4ED8">
            <w:fldChar w:fldCharType="end"/>
          </w:r>
        </w:sdtContent>
      </w:sdt>
      <w:r w:rsidR="006042D9">
        <w:t>, where</w:t>
      </w:r>
      <w:r w:rsidR="0069277F">
        <w:t xml:space="preserve"> the defendant had killed a girl in a hostel and mutilated her body. The defendant argued that he was suffering from an</w:t>
      </w:r>
      <w:r w:rsidR="00FD7C6C">
        <w:t xml:space="preserve"> abnormality of mind, and killed the girl due to irresistible </w:t>
      </w:r>
      <w:r w:rsidR="000A4ED8">
        <w:t>impulses that was out of his control.</w:t>
      </w:r>
      <w:r w:rsidR="00403189">
        <w:t xml:space="preserve"> The defence of diminished responsibility was then codified in the Homicide Act 1957</w:t>
      </w:r>
      <w:r w:rsidR="001B458C">
        <w:t xml:space="preserve"> </w:t>
      </w:r>
      <w:sdt>
        <w:sdtPr>
          <w:id w:val="-1710939048"/>
          <w:citation/>
        </w:sdtPr>
        <w:sdtContent>
          <w:r w:rsidR="001B458C">
            <w:fldChar w:fldCharType="begin"/>
          </w:r>
          <w:r w:rsidR="001B458C">
            <w:instrText xml:space="preserve"> CITATION Ade12 \l 2057 </w:instrText>
          </w:r>
          <w:r w:rsidR="001B458C">
            <w:fldChar w:fldCharType="separate"/>
          </w:r>
          <w:r w:rsidR="001B458C">
            <w:rPr>
              <w:noProof/>
            </w:rPr>
            <w:t>(Adebajo, 2012)</w:t>
          </w:r>
          <w:r w:rsidR="001B458C">
            <w:fldChar w:fldCharType="end"/>
          </w:r>
        </w:sdtContent>
      </w:sdt>
      <w:r w:rsidR="00014593">
        <w:t>.</w:t>
      </w:r>
      <w:r w:rsidR="00262CC3">
        <w:t xml:space="preserve"> However, the defence has been subject to criticism over the years</w:t>
      </w:r>
      <w:r w:rsidR="0060351C">
        <w:t xml:space="preserve"> for its narrow application and lack of clarity surrounding its requirements. </w:t>
      </w:r>
      <w:r w:rsidR="00B554B0">
        <w:t>In response to the criticism, the Coroners and Justice Act (CJA) 2009</w:t>
      </w:r>
      <w:r w:rsidR="00F61439">
        <w:t xml:space="preserve"> made significant changes to the defence of diminished responsibility. It can be argued that the changes made were </w:t>
      </w:r>
      <w:r w:rsidR="0033634B">
        <w:t>necessary and</w:t>
      </w:r>
      <w:r w:rsidR="001F20F5">
        <w:t xml:space="preserve"> has improved the law in this are for the better.</w:t>
      </w:r>
    </w:p>
    <w:p w14:paraId="72A05EA8" w14:textId="3ED803F9" w:rsidR="0033634B" w:rsidRDefault="0033634B" w:rsidP="00772CC6">
      <w:r>
        <w:tab/>
        <w:t xml:space="preserve">Probably the most impactful change made by the Act was the </w:t>
      </w:r>
      <w:r w:rsidR="000321CD">
        <w:t xml:space="preserve">removal of the requirement that the defendant’s abnormality of mental functioning </w:t>
      </w:r>
      <w:r w:rsidR="007F40FD">
        <w:t xml:space="preserve">be caused by a recognised medical condition. </w:t>
      </w:r>
      <w:r w:rsidR="004204FA">
        <w:t>Prior</w:t>
      </w:r>
      <w:r w:rsidR="007F40FD">
        <w:t xml:space="preserve"> to this change, </w:t>
      </w:r>
      <w:r w:rsidR="007B3ABB">
        <w:t xml:space="preserve">the use of the defence of diminished responsibility was limited, and the change was intended to </w:t>
      </w:r>
      <w:r w:rsidR="00836723">
        <w:t>widen the application of the defence and make it more accessible to defendants</w:t>
      </w:r>
      <w:r w:rsidR="004204FA">
        <w:t xml:space="preserve"> </w:t>
      </w:r>
      <w:sdt>
        <w:sdtPr>
          <w:id w:val="226121933"/>
          <w:citation/>
        </w:sdtPr>
        <w:sdtContent>
          <w:r w:rsidR="004204FA">
            <w:fldChar w:fldCharType="begin"/>
          </w:r>
          <w:r w:rsidR="004204FA">
            <w:instrText xml:space="preserve"> CITATION Rya11 \l 2057 </w:instrText>
          </w:r>
          <w:r w:rsidR="004204FA">
            <w:fldChar w:fldCharType="separate"/>
          </w:r>
          <w:r w:rsidR="004204FA">
            <w:rPr>
              <w:noProof/>
            </w:rPr>
            <w:t>(Ryan, 2011)</w:t>
          </w:r>
          <w:r w:rsidR="004204FA">
            <w:fldChar w:fldCharType="end"/>
          </w:r>
        </w:sdtContent>
      </w:sdt>
      <w:r w:rsidR="004204FA">
        <w:t xml:space="preserve">. </w:t>
      </w:r>
      <w:r w:rsidR="00474B58">
        <w:t xml:space="preserve">Before the change was made, </w:t>
      </w:r>
      <w:r w:rsidR="001C1D04">
        <w:t>defendants had to prove that their abnormality of m</w:t>
      </w:r>
      <w:r w:rsidR="00791DB6">
        <w:t>ind was caused by a recognised condition such as schizophrenia</w:t>
      </w:r>
      <w:r w:rsidR="00D87BD6">
        <w:t xml:space="preserve"> or depression.</w:t>
      </w:r>
      <w:r w:rsidR="00524720">
        <w:t xml:space="preserve"> This requirement was seen as overly restrictive and prevented some defendants with mental </w:t>
      </w:r>
      <w:r w:rsidR="004C31AE">
        <w:t xml:space="preserve">health </w:t>
      </w:r>
      <w:r w:rsidR="00524720">
        <w:t>conditions that were unrecognised by the Homicide Act</w:t>
      </w:r>
      <w:r w:rsidR="004C31AE">
        <w:t xml:space="preserve"> (1957) to use the defence</w:t>
      </w:r>
      <w:r w:rsidR="00AD6005">
        <w:t xml:space="preserve"> </w:t>
      </w:r>
      <w:sdt>
        <w:sdtPr>
          <w:id w:val="-1456478784"/>
          <w:citation/>
        </w:sdtPr>
        <w:sdtContent>
          <w:r w:rsidR="00AD6005">
            <w:fldChar w:fldCharType="begin"/>
          </w:r>
          <w:r w:rsidR="00AD6005">
            <w:instrText xml:space="preserve"> CITATION Phi13 \l 2057 </w:instrText>
          </w:r>
          <w:r w:rsidR="00AD6005">
            <w:fldChar w:fldCharType="separate"/>
          </w:r>
          <w:r w:rsidR="00AD6005">
            <w:rPr>
              <w:noProof/>
            </w:rPr>
            <w:t>(Phillips, 2013)</w:t>
          </w:r>
          <w:r w:rsidR="00AD6005">
            <w:fldChar w:fldCharType="end"/>
          </w:r>
        </w:sdtContent>
      </w:sdt>
      <w:r w:rsidR="00AD6005">
        <w:t>.</w:t>
      </w:r>
      <w:r w:rsidR="004520B0">
        <w:t xml:space="preserve"> The removal of the requirement </w:t>
      </w:r>
      <w:r w:rsidR="001824A0">
        <w:t>for a medical condition to be recognised was a controversial change</w:t>
      </w:r>
      <w:r w:rsidR="0079101A">
        <w:t xml:space="preserve">, with some critics arguing that the change to the defence of diminished responsibility could lead to it being </w:t>
      </w:r>
      <w:r w:rsidR="004C6E6B">
        <w:t>overused or</w:t>
      </w:r>
      <w:r w:rsidR="00BC6059">
        <w:t xml:space="preserve"> used to broadly </w:t>
      </w:r>
      <w:sdt>
        <w:sdtPr>
          <w:id w:val="531541476"/>
          <w:citation/>
        </w:sdtPr>
        <w:sdtContent>
          <w:r w:rsidR="00BC6059">
            <w:fldChar w:fldCharType="begin"/>
          </w:r>
          <w:r w:rsidR="00BC6059">
            <w:instrText xml:space="preserve"> CITATION Rob11 \l 2057 </w:instrText>
          </w:r>
          <w:r w:rsidR="00BC6059">
            <w:fldChar w:fldCharType="separate"/>
          </w:r>
          <w:r w:rsidR="00BC6059">
            <w:rPr>
              <w:noProof/>
            </w:rPr>
            <w:t>(Roberts, 2011)</w:t>
          </w:r>
          <w:r w:rsidR="00BC6059">
            <w:fldChar w:fldCharType="end"/>
          </w:r>
        </w:sdtContent>
      </w:sdt>
      <w:r w:rsidR="004C6E6B">
        <w:t xml:space="preserve">. However, the intention of the government was </w:t>
      </w:r>
      <w:r w:rsidR="00017AAD">
        <w:t xml:space="preserve">to ensure that any defendant suffering from mental heath conditions </w:t>
      </w:r>
      <w:r w:rsidR="00354EAC">
        <w:t>could have access and use the defence, regardless of the specific cause of their condition</w:t>
      </w:r>
      <w:r w:rsidR="00A424AF">
        <w:t xml:space="preserve">. The Law Commission had </w:t>
      </w:r>
      <w:r w:rsidR="00275A90">
        <w:t>previously</w:t>
      </w:r>
      <w:r w:rsidR="00A424AF">
        <w:t xml:space="preserve"> called for the </w:t>
      </w:r>
      <w:r w:rsidR="00275A90">
        <w:t xml:space="preserve">requirement for a medical condition to be recognised, therefore the </w:t>
      </w:r>
      <w:r w:rsidR="000749BD">
        <w:t xml:space="preserve">change was also consistent with the Law Commission’s recommendations </w:t>
      </w:r>
      <w:sdt>
        <w:sdtPr>
          <w:id w:val="-900368419"/>
          <w:citation/>
        </w:sdtPr>
        <w:sdtContent>
          <w:r w:rsidR="006B20E3">
            <w:fldChar w:fldCharType="begin"/>
          </w:r>
          <w:r w:rsidR="006B20E3">
            <w:instrText xml:space="preserve"> CITATION Law06 \l 2057 </w:instrText>
          </w:r>
          <w:r w:rsidR="006B20E3">
            <w:fldChar w:fldCharType="separate"/>
          </w:r>
          <w:r w:rsidR="006B20E3">
            <w:rPr>
              <w:noProof/>
            </w:rPr>
            <w:t>(Law Commission, 2006)</w:t>
          </w:r>
          <w:r w:rsidR="006B20E3">
            <w:fldChar w:fldCharType="end"/>
          </w:r>
        </w:sdtContent>
      </w:sdt>
      <w:r w:rsidR="002332A8">
        <w:t xml:space="preserve">. </w:t>
      </w:r>
    </w:p>
    <w:p w14:paraId="1D760DF7" w14:textId="7B79E68A" w:rsidR="0036655E" w:rsidRDefault="00222763" w:rsidP="00772CC6">
      <w:r>
        <w:tab/>
        <w:t xml:space="preserve">Another significant change </w:t>
      </w:r>
      <w:r w:rsidR="00F93848">
        <w:t xml:space="preserve">made by the Coroners and Justice Act was the introduction of </w:t>
      </w:r>
      <w:r w:rsidR="003A278D">
        <w:t>a new test</w:t>
      </w:r>
      <w:r w:rsidR="00814F29">
        <w:t xml:space="preserve"> for the defence of diminished responsibility</w:t>
      </w:r>
      <w:r w:rsidR="00657C70">
        <w:t xml:space="preserve">. The new test required the defendant </w:t>
      </w:r>
      <w:r w:rsidR="0036655E">
        <w:t>to show that their abnormality of mental functioning had substantially impaired their ability to do one of three things</w:t>
      </w:r>
      <w:r w:rsidR="00343D86">
        <w:t>; to understand the nature of their conduct, to form a rational judgement, or to exercise self-control</w:t>
      </w:r>
      <w:r w:rsidR="006A31C7">
        <w:t xml:space="preserve"> </w:t>
      </w:r>
      <w:sdt>
        <w:sdtPr>
          <w:id w:val="219418757"/>
          <w:citation/>
        </w:sdtPr>
        <w:sdtContent>
          <w:r w:rsidR="00230209">
            <w:fldChar w:fldCharType="begin"/>
          </w:r>
          <w:r w:rsidR="00230209">
            <w:instrText xml:space="preserve"> CITATION Pem15 \l 2057 </w:instrText>
          </w:r>
          <w:r w:rsidR="00230209">
            <w:fldChar w:fldCharType="separate"/>
          </w:r>
          <w:r w:rsidR="00230209">
            <w:rPr>
              <w:noProof/>
            </w:rPr>
            <w:t>(Pemberton, 2015)</w:t>
          </w:r>
          <w:r w:rsidR="00230209">
            <w:fldChar w:fldCharType="end"/>
          </w:r>
        </w:sdtContent>
      </w:sdt>
      <w:r w:rsidR="00182A40">
        <w:t xml:space="preserve">. This was </w:t>
      </w:r>
      <w:r w:rsidR="00DC2E90">
        <w:t>similar and</w:t>
      </w:r>
      <w:r w:rsidR="00182A40">
        <w:t xml:space="preserve"> was derived from the previous test for diminished responsibility, where </w:t>
      </w:r>
      <w:r w:rsidR="00F175DF">
        <w:t xml:space="preserve">the defendant had to show that their abnormality of mental functioning had caused a ‘state of mind’ </w:t>
      </w:r>
      <w:r w:rsidR="00107FD2">
        <w:t>that would subsequently diminish their responsibility for the offence</w:t>
      </w:r>
      <w:r w:rsidR="00764B9D">
        <w:t xml:space="preserve"> </w:t>
      </w:r>
      <w:sdt>
        <w:sdtPr>
          <w:id w:val="1491516655"/>
          <w:citation/>
        </w:sdtPr>
        <w:sdtContent>
          <w:r w:rsidR="00764B9D">
            <w:fldChar w:fldCharType="begin"/>
          </w:r>
          <w:r w:rsidR="00764B9D">
            <w:instrText xml:space="preserve"> CITATION Phi13 \l 2057 </w:instrText>
          </w:r>
          <w:r w:rsidR="00764B9D">
            <w:fldChar w:fldCharType="separate"/>
          </w:r>
          <w:r w:rsidR="00764B9D">
            <w:rPr>
              <w:noProof/>
            </w:rPr>
            <w:t>(Phillips, 2013)</w:t>
          </w:r>
          <w:r w:rsidR="00764B9D">
            <w:fldChar w:fldCharType="end"/>
          </w:r>
        </w:sdtContent>
      </w:sdt>
      <w:r w:rsidR="00764B9D">
        <w:t>.</w:t>
      </w:r>
      <w:r w:rsidR="002F727F">
        <w:t xml:space="preserve"> </w:t>
      </w:r>
      <w:r w:rsidR="0024402C">
        <w:t xml:space="preserve">The government’s intention whilst implementing this change </w:t>
      </w:r>
      <w:r w:rsidR="00F95953">
        <w:t>was that the test would be more objective and would be easier to apply than the old test</w:t>
      </w:r>
      <w:r w:rsidR="00D00DDF">
        <w:t xml:space="preserve">. A common theme </w:t>
      </w:r>
      <w:r w:rsidR="00D00DDF">
        <w:lastRenderedPageBreak/>
        <w:t xml:space="preserve">in reforming the law is that legislation must keep up with the advancement of our knowledge </w:t>
      </w:r>
      <w:r w:rsidR="003E613E">
        <w:t xml:space="preserve">in different areas, and the new test was designed to reflect the advances in our understanding in mental health conditions </w:t>
      </w:r>
      <w:r w:rsidR="00DA7FEF">
        <w:t xml:space="preserve">and the way it affects a person’s behaviour. </w:t>
      </w:r>
      <w:r w:rsidR="001B16F8">
        <w:t xml:space="preserve">However, some critics believed that the new test and changes did not go far enough to address the problems with the </w:t>
      </w:r>
      <w:r w:rsidR="00854587">
        <w:t xml:space="preserve">old test for diminished responsibility </w:t>
      </w:r>
      <w:sdt>
        <w:sdtPr>
          <w:id w:val="1181542144"/>
          <w:citation/>
        </w:sdtPr>
        <w:sdtContent>
          <w:r w:rsidR="006614D0">
            <w:fldChar w:fldCharType="begin"/>
          </w:r>
          <w:r w:rsidR="006614D0">
            <w:instrText xml:space="preserve"> CITATION Tho \l 2057 </w:instrText>
          </w:r>
          <w:r w:rsidR="006614D0">
            <w:fldChar w:fldCharType="separate"/>
          </w:r>
          <w:r w:rsidR="006614D0">
            <w:rPr>
              <w:noProof/>
            </w:rPr>
            <w:t>(Thomas, 2014)</w:t>
          </w:r>
          <w:r w:rsidR="006614D0">
            <w:fldChar w:fldCharType="end"/>
          </w:r>
        </w:sdtContent>
      </w:sdt>
      <w:r w:rsidR="006614D0">
        <w:t xml:space="preserve">. </w:t>
      </w:r>
      <w:r w:rsidR="00486798">
        <w:t xml:space="preserve">For example, the new test still required the defendant prove their abnormality of mental functioning </w:t>
      </w:r>
      <w:r w:rsidR="00234AD4">
        <w:t xml:space="preserve">had a substantial effect on their behaviour. </w:t>
      </w:r>
      <w:r w:rsidR="0074174F">
        <w:t xml:space="preserve">This could be difficult to establish </w:t>
      </w:r>
      <w:r w:rsidR="00881E01">
        <w:t>in cases where the defendant had a complex mental health condition or where their behaviour was influenced</w:t>
      </w:r>
      <w:r w:rsidR="003D59DA">
        <w:t xml:space="preserve"> by a range of factors </w:t>
      </w:r>
      <w:sdt>
        <w:sdtPr>
          <w:id w:val="442048680"/>
          <w:citation/>
        </w:sdtPr>
        <w:sdtContent>
          <w:r w:rsidR="00254773">
            <w:fldChar w:fldCharType="begin"/>
          </w:r>
          <w:r w:rsidR="003350AE">
            <w:instrText xml:space="preserve">CITATION Zha06 \l 2057 </w:instrText>
          </w:r>
          <w:r w:rsidR="00254773">
            <w:fldChar w:fldCharType="separate"/>
          </w:r>
          <w:r w:rsidR="003350AE">
            <w:rPr>
              <w:noProof/>
            </w:rPr>
            <w:t>(Zhang, 2006)</w:t>
          </w:r>
          <w:r w:rsidR="00254773">
            <w:fldChar w:fldCharType="end"/>
          </w:r>
        </w:sdtContent>
      </w:sdt>
      <w:r w:rsidR="003350AE">
        <w:t>.</w:t>
      </w:r>
      <w:r w:rsidR="00A27539">
        <w:t xml:space="preserve"> </w:t>
      </w:r>
    </w:p>
    <w:p w14:paraId="4145626C" w14:textId="67A29AFD" w:rsidR="001A7A12" w:rsidRDefault="00BD6D1B" w:rsidP="00772CC6">
      <w:r>
        <w:tab/>
        <w:t xml:space="preserve"> The im</w:t>
      </w:r>
      <w:r w:rsidR="001A7A12">
        <w:t xml:space="preserve">plementations that the Coroners and Justice Act 2009 brought to the Homicide Act 1957 included </w:t>
      </w:r>
      <w:r w:rsidR="00732264">
        <w:t>changes to sentencing of defendants who were convicted of manslaughter on the grounds of diminished responsibility</w:t>
      </w:r>
      <w:r w:rsidR="008B78F0">
        <w:t xml:space="preserve">. Prior to </w:t>
      </w:r>
      <w:r w:rsidR="00CE49BA">
        <w:t xml:space="preserve">the change, such defendants were </w:t>
      </w:r>
      <w:r w:rsidR="009F6F16">
        <w:t>subject to a mandatory life sentence</w:t>
      </w:r>
      <w:r w:rsidR="001C0B18">
        <w:t>, which was the same for those who were convicted of murder</w:t>
      </w:r>
      <w:r w:rsidR="00F374F4">
        <w:t xml:space="preserve"> </w:t>
      </w:r>
      <w:sdt>
        <w:sdtPr>
          <w:id w:val="-1235163016"/>
          <w:citation/>
        </w:sdtPr>
        <w:sdtContent>
          <w:r w:rsidR="005831DF">
            <w:fldChar w:fldCharType="begin"/>
          </w:r>
          <w:r w:rsidR="005831DF">
            <w:instrText xml:space="preserve"> CITATION Rus11 \l 2057 </w:instrText>
          </w:r>
          <w:r w:rsidR="005831DF">
            <w:fldChar w:fldCharType="separate"/>
          </w:r>
          <w:r w:rsidR="005831DF">
            <w:rPr>
              <w:noProof/>
            </w:rPr>
            <w:t>(Rush, 2011)</w:t>
          </w:r>
          <w:r w:rsidR="005831DF">
            <w:fldChar w:fldCharType="end"/>
          </w:r>
        </w:sdtContent>
      </w:sdt>
      <w:r w:rsidR="005831DF">
        <w:t>.</w:t>
      </w:r>
      <w:r w:rsidR="00582826">
        <w:t xml:space="preserve"> </w:t>
      </w:r>
      <w:r w:rsidR="00E87FF8">
        <w:t xml:space="preserve">However, the Coroners and Justice Act </w:t>
      </w:r>
      <w:r w:rsidR="001209BB">
        <w:t>introduced a new discretionary sentence of imprisonment for a term of years, which could</w:t>
      </w:r>
      <w:r w:rsidR="0071010D">
        <w:t xml:space="preserve"> be imposed if the judge considered it appropriate </w:t>
      </w:r>
      <w:sdt>
        <w:sdtPr>
          <w:id w:val="-850711775"/>
          <w:citation/>
        </w:sdtPr>
        <w:sdtContent>
          <w:r w:rsidR="00AD60F2">
            <w:fldChar w:fldCharType="begin"/>
          </w:r>
          <w:r w:rsidR="00AD60F2">
            <w:instrText xml:space="preserve"> CITATION Rya11 \l 2057 </w:instrText>
          </w:r>
          <w:r w:rsidR="00AD60F2">
            <w:fldChar w:fldCharType="separate"/>
          </w:r>
          <w:r w:rsidR="00AD60F2">
            <w:rPr>
              <w:noProof/>
            </w:rPr>
            <w:t>(Ryan, 2011)</w:t>
          </w:r>
          <w:r w:rsidR="00AD60F2">
            <w:fldChar w:fldCharType="end"/>
          </w:r>
        </w:sdtContent>
      </w:sdt>
      <w:r w:rsidR="00AD60F2">
        <w:t xml:space="preserve">. </w:t>
      </w:r>
      <w:r w:rsidR="008E7241">
        <w:t xml:space="preserve">It was said that this change was well needed, as </w:t>
      </w:r>
      <w:r w:rsidR="00974BCC">
        <w:t xml:space="preserve">the change was made to reflect the fact that defendants convicted of manslaughter on the grounds of diminished responsibility </w:t>
      </w:r>
      <w:r w:rsidR="00673ADB">
        <w:t xml:space="preserve">were less culpable </w:t>
      </w:r>
      <w:r w:rsidR="00E711BF">
        <w:t>than those convicted of outright murder</w:t>
      </w:r>
      <w:r w:rsidR="00E87FF8">
        <w:t>.</w:t>
      </w:r>
      <w:r w:rsidR="003B435E">
        <w:t xml:space="preserve"> The change imposed to sentencing by the Coroners and Justice Act was generally welcomed by commentators as a positive step towards a fairer and </w:t>
      </w:r>
      <w:r w:rsidR="000D64EB">
        <w:t xml:space="preserve">more proportionate criminal justice system </w:t>
      </w:r>
      <w:sdt>
        <w:sdtPr>
          <w:id w:val="1528982412"/>
          <w:citation/>
        </w:sdtPr>
        <w:sdtContent>
          <w:r w:rsidR="000D64EB">
            <w:fldChar w:fldCharType="begin"/>
          </w:r>
          <w:r w:rsidR="000D64EB">
            <w:instrText xml:space="preserve"> CITATION Pem15 \l 2057 </w:instrText>
          </w:r>
          <w:r w:rsidR="000D64EB">
            <w:fldChar w:fldCharType="separate"/>
          </w:r>
          <w:r w:rsidR="000D64EB">
            <w:rPr>
              <w:noProof/>
            </w:rPr>
            <w:t>(Pemberton, 2015)</w:t>
          </w:r>
          <w:r w:rsidR="000D64EB">
            <w:fldChar w:fldCharType="end"/>
          </w:r>
        </w:sdtContent>
      </w:sdt>
      <w:r w:rsidR="000D64EB">
        <w:t xml:space="preserve">. </w:t>
      </w:r>
      <w:r w:rsidR="001A6754">
        <w:t xml:space="preserve">However, some critics argued that the new law, where judges could charge a </w:t>
      </w:r>
      <w:r w:rsidR="00501B1A">
        <w:t>discretionary sentence if they deemed it appropriate was not enough</w:t>
      </w:r>
      <w:r w:rsidR="000714FF">
        <w:t>, and that defendants convicted of manslaughter on the grounds of diminished responsibility should be subject to a separate sentencing regime altogether</w:t>
      </w:r>
      <w:sdt>
        <w:sdtPr>
          <w:id w:val="620506969"/>
          <w:citation/>
        </w:sdtPr>
        <w:sdtContent>
          <w:r w:rsidR="003C4265">
            <w:fldChar w:fldCharType="begin"/>
          </w:r>
          <w:r w:rsidR="003C4265">
            <w:instrText xml:space="preserve"> CITATION Tho \l 2057 </w:instrText>
          </w:r>
          <w:r w:rsidR="003C4265">
            <w:fldChar w:fldCharType="separate"/>
          </w:r>
          <w:r w:rsidR="003C4265">
            <w:rPr>
              <w:noProof/>
            </w:rPr>
            <w:t xml:space="preserve"> (Thomas, 2014)</w:t>
          </w:r>
          <w:r w:rsidR="003C4265">
            <w:fldChar w:fldCharType="end"/>
          </w:r>
        </w:sdtContent>
      </w:sdt>
      <w:r w:rsidR="003C4265">
        <w:t xml:space="preserve">. </w:t>
      </w:r>
    </w:p>
    <w:p w14:paraId="69E98AB8" w14:textId="3CA6CB70" w:rsidR="00460C1C" w:rsidRDefault="00017E0C" w:rsidP="00772CC6">
      <w:r>
        <w:tab/>
      </w:r>
      <w:r w:rsidR="00347FA2">
        <w:t>To summarise, the implementation of the Coroners and Justice Act 2009 brought about significant</w:t>
      </w:r>
      <w:r w:rsidR="00F4200C">
        <w:t xml:space="preserve"> and much needed changes to the defence of diminished responsibility</w:t>
      </w:r>
      <w:r w:rsidR="0040131B">
        <w:t xml:space="preserve"> </w:t>
      </w:r>
      <w:sdt>
        <w:sdtPr>
          <w:id w:val="-2074811885"/>
          <w:citation/>
        </w:sdtPr>
        <w:sdtContent>
          <w:r w:rsidR="00035528">
            <w:fldChar w:fldCharType="begin"/>
          </w:r>
          <w:r w:rsidR="00035528">
            <w:rPr>
              <w:noProof/>
            </w:rPr>
            <w:instrText xml:space="preserve"> CITATION Her18 \l 2057 </w:instrText>
          </w:r>
          <w:r w:rsidR="00282B94">
            <w:rPr>
              <w:noProof/>
            </w:rPr>
            <w:instrText xml:space="preserve"> \m Pem15</w:instrText>
          </w:r>
          <w:r w:rsidR="00035528">
            <w:fldChar w:fldCharType="separate"/>
          </w:r>
          <w:r w:rsidR="00282B94">
            <w:rPr>
              <w:noProof/>
            </w:rPr>
            <w:t>(Herring, 2018; Pemberton, 2015)</w:t>
          </w:r>
          <w:r w:rsidR="00035528">
            <w:fldChar w:fldCharType="end"/>
          </w:r>
        </w:sdtContent>
      </w:sdt>
      <w:r w:rsidR="006C31F0">
        <w:t xml:space="preserve">The previous requirement for a recognised medical condition was removed, thereby making it more accessible </w:t>
      </w:r>
      <w:r w:rsidR="0050334F">
        <w:t>to defendants who may not have met the strict diagnostic criteria in the past</w:t>
      </w:r>
      <w:r w:rsidR="00DA7DF4">
        <w:rPr>
          <w:noProof/>
        </w:rPr>
        <w:t xml:space="preserve"> </w:t>
      </w:r>
      <w:sdt>
        <w:sdtPr>
          <w:rPr>
            <w:noProof/>
          </w:rPr>
          <w:id w:val="-189449830"/>
          <w:citation/>
        </w:sdtPr>
        <w:sdtContent>
          <w:r w:rsidR="00282B94">
            <w:rPr>
              <w:noProof/>
            </w:rPr>
            <w:fldChar w:fldCharType="begin"/>
          </w:r>
          <w:r w:rsidR="00282B94">
            <w:rPr>
              <w:noProof/>
            </w:rPr>
            <w:instrText xml:space="preserve"> CITATION Her18 \l 2057  \m Rya11</w:instrText>
          </w:r>
          <w:r w:rsidR="00282B94">
            <w:rPr>
              <w:noProof/>
            </w:rPr>
            <w:fldChar w:fldCharType="separate"/>
          </w:r>
          <w:r w:rsidR="00282B94">
            <w:rPr>
              <w:noProof/>
            </w:rPr>
            <w:t>(Herring, 2018; Ryan, 2011)</w:t>
          </w:r>
          <w:r w:rsidR="00282B94">
            <w:rPr>
              <w:noProof/>
            </w:rPr>
            <w:fldChar w:fldCharType="end"/>
          </w:r>
        </w:sdtContent>
      </w:sdt>
      <w:r w:rsidR="00564BBF">
        <w:t xml:space="preserve">The introduction of the new test was aimed at simplifying </w:t>
      </w:r>
      <w:r w:rsidR="003D36A4">
        <w:t>the process of assessing the defendant’s mental state and its effect on their responsibility for the crime committed</w:t>
      </w:r>
      <w:r w:rsidR="00EE65BA">
        <w:t xml:space="preserve"> </w:t>
      </w:r>
      <w:sdt>
        <w:sdtPr>
          <w:id w:val="-1633558427"/>
          <w:citation/>
        </w:sdtPr>
        <w:sdtContent>
          <w:r w:rsidR="00EE65BA">
            <w:fldChar w:fldCharType="begin"/>
          </w:r>
          <w:r w:rsidR="00EE65BA">
            <w:instrText xml:space="preserve"> CITATION Fre13 \l 2057 </w:instrText>
          </w:r>
          <w:r w:rsidR="00282B94">
            <w:instrText xml:space="preserve"> \m Ric13</w:instrText>
          </w:r>
          <w:r w:rsidR="00EE65BA">
            <w:fldChar w:fldCharType="separate"/>
          </w:r>
          <w:r w:rsidR="00282B94">
            <w:rPr>
              <w:noProof/>
            </w:rPr>
            <w:t>(Freckleton, 2013; Richardson &amp; Gudjonsson, 2013)</w:t>
          </w:r>
          <w:r w:rsidR="00EE65BA">
            <w:fldChar w:fldCharType="end"/>
          </w:r>
        </w:sdtContent>
      </w:sdt>
      <w:r w:rsidR="00282B94">
        <w:t>.</w:t>
      </w:r>
      <w:r w:rsidR="001F56A2">
        <w:t xml:space="preserve"> These changes have resulted in a more streamlined and accessible defence for defendants who may have previously struggled to establish the defence of diminished responsibility</w:t>
      </w:r>
      <w:r w:rsidR="00CF1E2C">
        <w:t xml:space="preserve">. Furthermore, the changes made to sentencing under the Coroners and Justice Act 2009 were designed to create a more fair and proportionate criminal justice system </w:t>
      </w:r>
      <w:sdt>
        <w:sdtPr>
          <w:id w:val="1490129828"/>
          <w:citation/>
        </w:sdtPr>
        <w:sdtContent>
          <w:r w:rsidR="00CF1E2C">
            <w:fldChar w:fldCharType="begin"/>
          </w:r>
          <w:r w:rsidR="00CF1E2C">
            <w:instrText xml:space="preserve"> CITATION Her18 \l 2057  \m Ric13</w:instrText>
          </w:r>
          <w:r w:rsidR="00CF1E2C">
            <w:fldChar w:fldCharType="separate"/>
          </w:r>
          <w:r w:rsidR="00CF1E2C">
            <w:rPr>
              <w:noProof/>
            </w:rPr>
            <w:t>(Herring, 2018; Richardson &amp; Gudjonsson, 2013)</w:t>
          </w:r>
          <w:r w:rsidR="00CF1E2C">
            <w:fldChar w:fldCharType="end"/>
          </w:r>
        </w:sdtContent>
      </w:sdt>
      <w:r w:rsidR="00E85BB7">
        <w:t xml:space="preserve">. The Act introduced the sentencing guidelines which allowed judges </w:t>
      </w:r>
      <w:r w:rsidR="00C74A80">
        <w:t>to</w:t>
      </w:r>
      <w:r w:rsidR="00E85BB7">
        <w:t xml:space="preserve"> consider a broader range of factors, such as the defendant’s mental health</w:t>
      </w:r>
      <w:r w:rsidR="00C74A80">
        <w:t xml:space="preserve">, when determining the appropriate sentence </w:t>
      </w:r>
      <w:sdt>
        <w:sdtPr>
          <w:id w:val="-595629426"/>
          <w:citation/>
        </w:sdtPr>
        <w:sdtContent>
          <w:r w:rsidR="00C74A80">
            <w:fldChar w:fldCharType="begin"/>
          </w:r>
          <w:r w:rsidR="00C74A80">
            <w:instrText xml:space="preserve"> CITATION Her18 \l 2057  \m Pem15</w:instrText>
          </w:r>
          <w:r w:rsidR="00C74A80">
            <w:fldChar w:fldCharType="separate"/>
          </w:r>
          <w:r w:rsidR="00C74A80">
            <w:rPr>
              <w:noProof/>
            </w:rPr>
            <w:t>(Herring, 2018; Pemberton, 2015)</w:t>
          </w:r>
          <w:r w:rsidR="00C74A80">
            <w:fldChar w:fldCharType="end"/>
          </w:r>
        </w:sdtContent>
      </w:sdt>
      <w:r w:rsidR="00C74A80">
        <w:t xml:space="preserve">. </w:t>
      </w:r>
      <w:r w:rsidR="00677094">
        <w:t>This was a significant improvement on the previous system where the defendant’s mental health may not have been adequately considered during sentencing</w:t>
      </w:r>
      <w:r w:rsidR="00CD4533">
        <w:t xml:space="preserve"> </w:t>
      </w:r>
      <w:sdt>
        <w:sdtPr>
          <w:id w:val="1594585239"/>
          <w:citation/>
        </w:sdtPr>
        <w:sdtContent>
          <w:r w:rsidR="00CD4533">
            <w:fldChar w:fldCharType="begin"/>
          </w:r>
          <w:r w:rsidR="00CD4533">
            <w:instrText xml:space="preserve"> CITATION Fre13 \l 2057  \m Ric13</w:instrText>
          </w:r>
          <w:r w:rsidR="00CD4533">
            <w:fldChar w:fldCharType="separate"/>
          </w:r>
          <w:r w:rsidR="00CD4533">
            <w:rPr>
              <w:noProof/>
            </w:rPr>
            <w:t>(Freckleton, 2013; Richardson &amp; Gudjonsson, 2013)</w:t>
          </w:r>
          <w:r w:rsidR="00CD4533">
            <w:fldChar w:fldCharType="end"/>
          </w:r>
        </w:sdtContent>
      </w:sdt>
      <w:r w:rsidR="00CD4533">
        <w:t xml:space="preserve">. </w:t>
      </w:r>
    </w:p>
    <w:p w14:paraId="5C07EF9F" w14:textId="4E94C25F" w:rsidR="009B778B" w:rsidRDefault="009B778B" w:rsidP="00772CC6">
      <w:r>
        <w:tab/>
        <w:t>Nevertheless, it is difficult to assess whether the changes have had the desired effect</w:t>
      </w:r>
      <w:r w:rsidR="00DB6061">
        <w:t xml:space="preserve">, as there has been little research into </w:t>
      </w:r>
      <w:r w:rsidR="00935B9D">
        <w:t xml:space="preserve">the impact of the reforms </w:t>
      </w:r>
      <w:sdt>
        <w:sdtPr>
          <w:id w:val="1721565299"/>
          <w:citation/>
        </w:sdtPr>
        <w:sdtContent>
          <w:r w:rsidR="00935B9D">
            <w:fldChar w:fldCharType="begin"/>
          </w:r>
          <w:r w:rsidR="00935B9D">
            <w:instrText xml:space="preserve"> CITATION Rob11 \l 2057 </w:instrText>
          </w:r>
          <w:r w:rsidR="00935B9D">
            <w:fldChar w:fldCharType="separate"/>
          </w:r>
          <w:r w:rsidR="00935B9D">
            <w:rPr>
              <w:noProof/>
            </w:rPr>
            <w:t>(Roberts, 2011)</w:t>
          </w:r>
          <w:r w:rsidR="00935B9D">
            <w:fldChar w:fldCharType="end"/>
          </w:r>
        </w:sdtContent>
      </w:sdt>
      <w:r w:rsidR="00390143">
        <w:t>. Some commentators have suggested that the new test may not be significantly different to the old test in practice</w:t>
      </w:r>
      <w:r w:rsidR="00B56026">
        <w:t xml:space="preserve"> </w:t>
      </w:r>
      <w:sdt>
        <w:sdtPr>
          <w:id w:val="265053088"/>
          <w:citation/>
        </w:sdtPr>
        <w:sdtContent>
          <w:r w:rsidR="00B56026">
            <w:fldChar w:fldCharType="begin"/>
          </w:r>
          <w:r w:rsidR="00B56026">
            <w:instrText xml:space="preserve"> CITATION Phi13 \l 2057 </w:instrText>
          </w:r>
          <w:r w:rsidR="00B56026">
            <w:fldChar w:fldCharType="separate"/>
          </w:r>
          <w:r w:rsidR="00B56026">
            <w:rPr>
              <w:noProof/>
            </w:rPr>
            <w:t>(Phillips, 2013)</w:t>
          </w:r>
          <w:r w:rsidR="00B56026">
            <w:fldChar w:fldCharType="end"/>
          </w:r>
        </w:sdtContent>
      </w:sdt>
      <w:r w:rsidR="00E5057E">
        <w:t xml:space="preserve">, while others have noted that the removal </w:t>
      </w:r>
      <w:r w:rsidR="00C52EC3">
        <w:t xml:space="preserve">of the requirement for a recognised medical condition has led to a broader application of the defence </w:t>
      </w:r>
      <w:sdt>
        <w:sdtPr>
          <w:id w:val="-155851079"/>
          <w:citation/>
        </w:sdtPr>
        <w:sdtContent>
          <w:r w:rsidR="00C52EC3">
            <w:fldChar w:fldCharType="begin"/>
          </w:r>
          <w:r w:rsidR="00C52EC3">
            <w:instrText xml:space="preserve"> CITATION Ade12 \l 2057 </w:instrText>
          </w:r>
          <w:r w:rsidR="00C52EC3">
            <w:fldChar w:fldCharType="separate"/>
          </w:r>
          <w:r w:rsidR="00C52EC3">
            <w:rPr>
              <w:noProof/>
            </w:rPr>
            <w:t>(Adebajo, 2012)</w:t>
          </w:r>
          <w:r w:rsidR="00C52EC3">
            <w:fldChar w:fldCharType="end"/>
          </w:r>
        </w:sdtContent>
      </w:sdt>
      <w:r w:rsidR="00C52EC3">
        <w:t>.</w:t>
      </w:r>
      <w:r w:rsidR="005348EA">
        <w:t xml:space="preserve"> There is also some evidence to suggest that the changes to sentencing have had a positive impact. For example, a study by the Sentencing Council</w:t>
      </w:r>
      <w:r w:rsidR="000C06B2">
        <w:t xml:space="preserve"> found that the introduction of the new discretionary sentence had </w:t>
      </w:r>
      <w:r w:rsidR="000C06B2">
        <w:lastRenderedPageBreak/>
        <w:t>led to a</w:t>
      </w:r>
      <w:r w:rsidR="002901C3">
        <w:t xml:space="preserve"> greater use of non-custodial sentences for defendants convicted of manslaughter on the grounds of diminished responsibility </w:t>
      </w:r>
      <w:sdt>
        <w:sdtPr>
          <w:id w:val="-351569469"/>
          <w:citation/>
        </w:sdtPr>
        <w:sdtContent>
          <w:r w:rsidR="00764444">
            <w:fldChar w:fldCharType="begin"/>
          </w:r>
          <w:r w:rsidR="00764444">
            <w:instrText xml:space="preserve"> CITATION Sen12 \l 2057 </w:instrText>
          </w:r>
          <w:r w:rsidR="00764444">
            <w:fldChar w:fldCharType="separate"/>
          </w:r>
          <w:r w:rsidR="00764444">
            <w:rPr>
              <w:noProof/>
            </w:rPr>
            <w:t>(Sentencing Council, 2012)</w:t>
          </w:r>
          <w:r w:rsidR="00764444">
            <w:fldChar w:fldCharType="end"/>
          </w:r>
        </w:sdtContent>
      </w:sdt>
      <w:r w:rsidR="00764444">
        <w:t>.</w:t>
      </w:r>
    </w:p>
    <w:p w14:paraId="3BF18988" w14:textId="5CD08A7A" w:rsidR="00F31549" w:rsidRDefault="00F31549" w:rsidP="00772CC6">
      <w:r>
        <w:tab/>
        <w:t xml:space="preserve">In conclusion, the Coroners and Justice Act 2009 made significant changes to the defence </w:t>
      </w:r>
      <w:r w:rsidR="00FF68AA">
        <w:t xml:space="preserve">of diminished responsibility in English and Welsh law. The removal of the requirement for a recognised medical condition </w:t>
      </w:r>
      <w:r w:rsidR="00310D2B">
        <w:t>and the introduction of a new test were intended to make the defence more accessible and easier to apply. The changes to sentencing were aimed at achieving a fairer and more</w:t>
      </w:r>
      <w:r w:rsidR="005F6F2C">
        <w:t xml:space="preserve"> proportionate criminal justice system. While there has been little research into</w:t>
      </w:r>
      <w:r w:rsidR="00E62105">
        <w:t xml:space="preserve"> the impact of the reforms, there is some evidence to suggest that they have had a positive </w:t>
      </w:r>
      <w:r w:rsidR="00E205A9">
        <w:t xml:space="preserve">effect. Overall, the changes represent a significant reform of the law in this </w:t>
      </w:r>
      <w:r w:rsidR="00F43CFC">
        <w:t>area and</w:t>
      </w:r>
      <w:r w:rsidR="00E205A9">
        <w:t xml:space="preserve"> have had the potential to improve</w:t>
      </w:r>
      <w:r w:rsidR="00E7650B">
        <w:t xml:space="preserve"> access to justice for defendants with mental health conditions.</w:t>
      </w:r>
    </w:p>
    <w:p w14:paraId="475D461C" w14:textId="60577E35" w:rsidR="00072AFA" w:rsidRDefault="00072AFA" w:rsidP="00772CC6"/>
    <w:sdt>
      <w:sdtPr>
        <w:id w:val="1446499081"/>
        <w:docPartObj>
          <w:docPartGallery w:val="Bibliographies"/>
          <w:docPartUnique/>
        </w:docPartObj>
      </w:sdtPr>
      <w:sdtEndPr>
        <w:rPr>
          <w:rFonts w:asciiTheme="minorHAnsi" w:eastAsiaTheme="minorHAnsi" w:hAnsiTheme="minorHAnsi" w:cstheme="minorBidi"/>
          <w:color w:val="auto"/>
          <w:sz w:val="22"/>
          <w:szCs w:val="22"/>
          <w:lang w:eastAsia="en-US"/>
        </w:rPr>
      </w:sdtEndPr>
      <w:sdtContent>
        <w:p w14:paraId="4F8BFFCA" w14:textId="77777777" w:rsidR="00072AFA" w:rsidRDefault="00072AFA">
          <w:pPr>
            <w:pStyle w:val="Heading1"/>
          </w:pPr>
        </w:p>
        <w:p w14:paraId="71B2F470" w14:textId="77777777" w:rsidR="00072AFA" w:rsidRDefault="00072AFA">
          <w:pPr>
            <w:rPr>
              <w:rFonts w:asciiTheme="majorHAnsi" w:eastAsiaTheme="majorEastAsia" w:hAnsiTheme="majorHAnsi" w:cstheme="majorBidi"/>
              <w:color w:val="2F5496" w:themeColor="accent1" w:themeShade="BF"/>
              <w:sz w:val="32"/>
              <w:szCs w:val="32"/>
              <w:lang w:eastAsia="en-GB"/>
            </w:rPr>
          </w:pPr>
          <w:r>
            <w:br w:type="page"/>
          </w:r>
        </w:p>
        <w:p w14:paraId="4D1E8C74" w14:textId="48E0C358" w:rsidR="00072AFA" w:rsidRDefault="00072AFA">
          <w:pPr>
            <w:pStyle w:val="Heading1"/>
          </w:pPr>
          <w:r>
            <w:lastRenderedPageBreak/>
            <w:t>References</w:t>
          </w:r>
        </w:p>
        <w:sdt>
          <w:sdtPr>
            <w:id w:val="-573587230"/>
            <w:bibliography/>
          </w:sdtPr>
          <w:sdtContent>
            <w:p w14:paraId="3D413813" w14:textId="77777777" w:rsidR="00072AFA" w:rsidRDefault="00072AFA" w:rsidP="00072AFA">
              <w:pPr>
                <w:pStyle w:val="Bibliography"/>
                <w:ind w:left="720" w:hanging="720"/>
                <w:rPr>
                  <w:noProof/>
                  <w:sz w:val="24"/>
                  <w:szCs w:val="24"/>
                </w:rPr>
              </w:pPr>
              <w:r>
                <w:fldChar w:fldCharType="begin"/>
              </w:r>
              <w:r>
                <w:instrText>BIBLIOGRAPHY</w:instrText>
              </w:r>
              <w:r>
                <w:fldChar w:fldCharType="separate"/>
              </w:r>
              <w:r>
                <w:rPr>
                  <w:noProof/>
                </w:rPr>
                <w:t xml:space="preserve">Adebajo, A. (2012). Diminished Responsibility in Homicide Cases. </w:t>
              </w:r>
              <w:r>
                <w:rPr>
                  <w:i/>
                  <w:iCs/>
                  <w:noProof/>
                </w:rPr>
                <w:t>In Law and Medicine: Current Legal Issues, 15</w:t>
              </w:r>
              <w:r>
                <w:rPr>
                  <w:noProof/>
                </w:rPr>
                <w:t>, 203-221.</w:t>
              </w:r>
            </w:p>
            <w:p w14:paraId="0A111400" w14:textId="77777777" w:rsidR="00072AFA" w:rsidRDefault="00072AFA" w:rsidP="00072AFA">
              <w:pPr>
                <w:pStyle w:val="Bibliography"/>
                <w:ind w:left="720" w:hanging="720"/>
                <w:rPr>
                  <w:noProof/>
                </w:rPr>
              </w:pPr>
              <w:r>
                <w:rPr>
                  <w:noProof/>
                </w:rPr>
                <w:t xml:space="preserve">Crown Prosecution Service. (2022, September 9). </w:t>
              </w:r>
              <w:r>
                <w:rPr>
                  <w:i/>
                  <w:iCs/>
                  <w:noProof/>
                </w:rPr>
                <w:t>Legal Guidance - Homicide, Murder and Manslaughter</w:t>
              </w:r>
              <w:r>
                <w:rPr>
                  <w:noProof/>
                </w:rPr>
                <w:t>. Retrieved from Crown Prosecution Service: https://www.cps.gov.uk/legal-guidance/homicide-murder-and-manslaughter</w:t>
              </w:r>
            </w:p>
            <w:p w14:paraId="4C38ECC3" w14:textId="77777777" w:rsidR="00072AFA" w:rsidRDefault="00072AFA" w:rsidP="00072AFA">
              <w:pPr>
                <w:pStyle w:val="Bibliography"/>
                <w:ind w:left="720" w:hanging="720"/>
                <w:rPr>
                  <w:noProof/>
                </w:rPr>
              </w:pPr>
              <w:r>
                <w:rPr>
                  <w:noProof/>
                </w:rPr>
                <w:t xml:space="preserve">Freckleton, I. (2013). Diminished Responsibility and Mental Impairment: Debate and Reform. </w:t>
              </w:r>
              <w:r>
                <w:rPr>
                  <w:i/>
                  <w:iCs/>
                  <w:noProof/>
                </w:rPr>
                <w:t>Psychiatry, Psychology and Law, 20</w:t>
              </w:r>
              <w:r>
                <w:rPr>
                  <w:noProof/>
                </w:rPr>
                <w:t>(1), 1-12.</w:t>
              </w:r>
            </w:p>
            <w:p w14:paraId="3EDFC77C" w14:textId="77777777" w:rsidR="00072AFA" w:rsidRDefault="00072AFA" w:rsidP="00072AFA">
              <w:pPr>
                <w:pStyle w:val="Bibliography"/>
                <w:ind w:left="720" w:hanging="720"/>
                <w:rPr>
                  <w:noProof/>
                </w:rPr>
              </w:pPr>
              <w:r>
                <w:rPr>
                  <w:noProof/>
                </w:rPr>
                <w:t xml:space="preserve">Hansard. (1843). </w:t>
              </w:r>
              <w:r>
                <w:rPr>
                  <w:i/>
                  <w:iCs/>
                  <w:noProof/>
                </w:rPr>
                <w:t>Hansard.</w:t>
              </w:r>
              <w:r>
                <w:rPr>
                  <w:noProof/>
                </w:rPr>
                <w:t xml:space="preserve"> UK Parliament.</w:t>
              </w:r>
            </w:p>
            <w:p w14:paraId="29F4C74D" w14:textId="77777777" w:rsidR="00072AFA" w:rsidRDefault="00072AFA" w:rsidP="00072AFA">
              <w:pPr>
                <w:pStyle w:val="Bibliography"/>
                <w:ind w:left="720" w:hanging="720"/>
                <w:rPr>
                  <w:noProof/>
                </w:rPr>
              </w:pPr>
              <w:r>
                <w:rPr>
                  <w:noProof/>
                </w:rPr>
                <w:t xml:space="preserve">Herring, J. (2018). </w:t>
              </w:r>
              <w:r>
                <w:rPr>
                  <w:i/>
                  <w:iCs/>
                  <w:noProof/>
                </w:rPr>
                <w:t>Criminal Law: Text, cases, and materials.</w:t>
              </w:r>
              <w:r>
                <w:rPr>
                  <w:noProof/>
                </w:rPr>
                <w:t xml:space="preserve"> Oxford University Press.</w:t>
              </w:r>
            </w:p>
            <w:p w14:paraId="2E8E93FD" w14:textId="77777777" w:rsidR="00072AFA" w:rsidRDefault="00072AFA" w:rsidP="00072AFA">
              <w:pPr>
                <w:pStyle w:val="Bibliography"/>
                <w:ind w:left="720" w:hanging="720"/>
                <w:rPr>
                  <w:noProof/>
                </w:rPr>
              </w:pPr>
              <w:r>
                <w:rPr>
                  <w:noProof/>
                </w:rPr>
                <w:t xml:space="preserve">Law Commission. (2006). </w:t>
              </w:r>
              <w:r>
                <w:rPr>
                  <w:i/>
                  <w:iCs/>
                  <w:noProof/>
                </w:rPr>
                <w:t>Partial Defences to Murder.</w:t>
              </w:r>
              <w:r>
                <w:rPr>
                  <w:noProof/>
                </w:rPr>
                <w:t xml:space="preserve"> Retrieved from https://www.lawcom.gov.uk/project/partial-defences-to-murder/</w:t>
              </w:r>
            </w:p>
            <w:p w14:paraId="2ED02189" w14:textId="77777777" w:rsidR="00072AFA" w:rsidRDefault="00072AFA" w:rsidP="00072AFA">
              <w:pPr>
                <w:pStyle w:val="Bibliography"/>
                <w:ind w:left="720" w:hanging="720"/>
                <w:rPr>
                  <w:noProof/>
                </w:rPr>
              </w:pPr>
              <w:r>
                <w:rPr>
                  <w:noProof/>
                </w:rPr>
                <w:t xml:space="preserve">Pemberton, S. (2015). Diminished Responsibility. In P. Almond, F. D. McCarthy, &amp; R. E. Smith (Eds.), </w:t>
              </w:r>
              <w:r>
                <w:rPr>
                  <w:i/>
                  <w:iCs/>
                  <w:noProof/>
                </w:rPr>
                <w:t>Principles and Values in Criminal Law and Criminal Justice: Essays in Honour of Andrew Ashworth</w:t>
              </w:r>
              <w:r>
                <w:rPr>
                  <w:noProof/>
                </w:rPr>
                <w:t xml:space="preserve"> (pp. 393-409). Oxford University Press.</w:t>
              </w:r>
            </w:p>
            <w:p w14:paraId="01A34955" w14:textId="77777777" w:rsidR="00072AFA" w:rsidRDefault="00072AFA" w:rsidP="00072AFA">
              <w:pPr>
                <w:pStyle w:val="Bibliography"/>
                <w:ind w:left="720" w:hanging="720"/>
                <w:rPr>
                  <w:noProof/>
                </w:rPr>
              </w:pPr>
              <w:r>
                <w:rPr>
                  <w:noProof/>
                </w:rPr>
                <w:t xml:space="preserve">Phillips, D. (2013). Diminished Responsibility and the Coroners and Justice Act 2009. </w:t>
              </w:r>
              <w:r>
                <w:rPr>
                  <w:i/>
                  <w:iCs/>
                  <w:noProof/>
                </w:rPr>
                <w:t>Criminal Law Review, 6</w:t>
              </w:r>
              <w:r>
                <w:rPr>
                  <w:noProof/>
                </w:rPr>
                <w:t>, 447-462.</w:t>
              </w:r>
            </w:p>
            <w:p w14:paraId="7040FD12" w14:textId="77777777" w:rsidR="00072AFA" w:rsidRDefault="00072AFA" w:rsidP="00072AFA">
              <w:pPr>
                <w:pStyle w:val="Bibliography"/>
                <w:ind w:left="720" w:hanging="720"/>
                <w:rPr>
                  <w:noProof/>
                </w:rPr>
              </w:pPr>
              <w:r>
                <w:rPr>
                  <w:noProof/>
                </w:rPr>
                <w:t>R v Byrne, QB 396 (Court of Criminal Appeal 1960).</w:t>
              </w:r>
            </w:p>
            <w:p w14:paraId="0839886A" w14:textId="77777777" w:rsidR="00072AFA" w:rsidRDefault="00072AFA" w:rsidP="00072AFA">
              <w:pPr>
                <w:pStyle w:val="Bibliography"/>
                <w:ind w:left="720" w:hanging="720"/>
                <w:rPr>
                  <w:noProof/>
                </w:rPr>
              </w:pPr>
              <w:r>
                <w:rPr>
                  <w:noProof/>
                </w:rPr>
                <w:t xml:space="preserve">Richardson, G., &amp; Gudjonsson, G. H. (2013). The insanity defence reform in England and Wales: Part of a global trend? </w:t>
              </w:r>
              <w:r>
                <w:rPr>
                  <w:i/>
                  <w:iCs/>
                  <w:noProof/>
                </w:rPr>
                <w:t>Behavioural Sciences and the Law, 31</w:t>
              </w:r>
              <w:r>
                <w:rPr>
                  <w:noProof/>
                </w:rPr>
                <w:t>(5), 567-578.</w:t>
              </w:r>
            </w:p>
            <w:p w14:paraId="223306AD" w14:textId="77777777" w:rsidR="00072AFA" w:rsidRDefault="00072AFA" w:rsidP="00072AFA">
              <w:pPr>
                <w:pStyle w:val="Bibliography"/>
                <w:ind w:left="720" w:hanging="720"/>
                <w:rPr>
                  <w:noProof/>
                </w:rPr>
              </w:pPr>
              <w:r>
                <w:rPr>
                  <w:noProof/>
                </w:rPr>
                <w:t xml:space="preserve">Roberts, J. V. (2011). Reflections on the Coroners Act 2009. </w:t>
              </w:r>
              <w:r>
                <w:rPr>
                  <w:i/>
                  <w:iCs/>
                  <w:noProof/>
                </w:rPr>
                <w:t>Criminal Law Review, 3</w:t>
              </w:r>
              <w:r>
                <w:rPr>
                  <w:noProof/>
                </w:rPr>
                <w:t>, 183-195.</w:t>
              </w:r>
            </w:p>
            <w:p w14:paraId="1A93EF38" w14:textId="77777777" w:rsidR="00072AFA" w:rsidRDefault="00072AFA" w:rsidP="00072AFA">
              <w:pPr>
                <w:pStyle w:val="Bibliography"/>
                <w:ind w:left="720" w:hanging="720"/>
                <w:rPr>
                  <w:noProof/>
                </w:rPr>
              </w:pPr>
              <w:r>
                <w:rPr>
                  <w:noProof/>
                </w:rPr>
                <w:t xml:space="preserve">Rush, G. (2011). The Coroners and Justice Act 2009: Changes to the defence of diminished responsibility. </w:t>
              </w:r>
              <w:r>
                <w:rPr>
                  <w:i/>
                  <w:iCs/>
                  <w:noProof/>
                </w:rPr>
                <w:t>Journal of Criminal Law, 75</w:t>
              </w:r>
              <w:r>
                <w:rPr>
                  <w:noProof/>
                </w:rPr>
                <w:t>(2), 148-161.</w:t>
              </w:r>
            </w:p>
            <w:p w14:paraId="384CFF0D" w14:textId="77777777" w:rsidR="00072AFA" w:rsidRDefault="00072AFA" w:rsidP="00072AFA">
              <w:pPr>
                <w:pStyle w:val="Bibliography"/>
                <w:ind w:left="720" w:hanging="720"/>
                <w:rPr>
                  <w:noProof/>
                </w:rPr>
              </w:pPr>
              <w:r>
                <w:rPr>
                  <w:noProof/>
                </w:rPr>
                <w:t xml:space="preserve">Ryan, T. (2011). A diminished defence? An overview of the Coroners and Justice Act 2009. </w:t>
              </w:r>
              <w:r>
                <w:rPr>
                  <w:i/>
                  <w:iCs/>
                  <w:noProof/>
                </w:rPr>
                <w:t>The Journal of Criminal Law, 75</w:t>
              </w:r>
              <w:r>
                <w:rPr>
                  <w:noProof/>
                </w:rPr>
                <w:t>(2), 481-495.</w:t>
              </w:r>
            </w:p>
            <w:p w14:paraId="7CE1690A" w14:textId="77777777" w:rsidR="00072AFA" w:rsidRDefault="00072AFA" w:rsidP="00072AFA">
              <w:pPr>
                <w:pStyle w:val="Bibliography"/>
                <w:ind w:left="720" w:hanging="720"/>
                <w:rPr>
                  <w:noProof/>
                </w:rPr>
              </w:pPr>
              <w:r>
                <w:rPr>
                  <w:noProof/>
                </w:rPr>
                <w:t xml:space="preserve">Sentencing Council. (2012). </w:t>
              </w:r>
              <w:r>
                <w:rPr>
                  <w:i/>
                  <w:iCs/>
                  <w:noProof/>
                </w:rPr>
                <w:t>Manslaughter: Definitive Guideline</w:t>
              </w:r>
              <w:r>
                <w:rPr>
                  <w:noProof/>
                </w:rPr>
                <w:t>. Retrieved from Sentencing Council: https://www.sentencingcouncil.org.uk/wp-content/uploads/FINAL-Manslaughter-Definitive-Guideline-Web.pdf</w:t>
              </w:r>
            </w:p>
            <w:p w14:paraId="6E87A43C" w14:textId="77777777" w:rsidR="00072AFA" w:rsidRDefault="00072AFA" w:rsidP="00072AFA">
              <w:pPr>
                <w:pStyle w:val="Bibliography"/>
                <w:ind w:left="720" w:hanging="720"/>
                <w:rPr>
                  <w:noProof/>
                </w:rPr>
              </w:pPr>
              <w:r>
                <w:rPr>
                  <w:noProof/>
                </w:rPr>
                <w:t xml:space="preserve">Thomas, C. (2014). The Coroners and Justice Act 2009: An evaluation of the partial defence of diminished responsibility. </w:t>
              </w:r>
              <w:r>
                <w:rPr>
                  <w:i/>
                  <w:iCs/>
                  <w:noProof/>
                </w:rPr>
                <w:t>The Journal of Criminal Law, 78</w:t>
              </w:r>
              <w:r>
                <w:rPr>
                  <w:noProof/>
                </w:rPr>
                <w:t>(1), 24-39.</w:t>
              </w:r>
            </w:p>
            <w:p w14:paraId="64B47886" w14:textId="77777777" w:rsidR="00072AFA" w:rsidRDefault="00072AFA" w:rsidP="00072AFA">
              <w:pPr>
                <w:pStyle w:val="Bibliography"/>
                <w:ind w:left="720" w:hanging="720"/>
                <w:rPr>
                  <w:noProof/>
                </w:rPr>
              </w:pPr>
              <w:r>
                <w:rPr>
                  <w:noProof/>
                </w:rPr>
                <w:t xml:space="preserve">Zhang, X. (2006). Exploring the effect of mental disorders on criminal responsibility from the perspective of neuroscience: A Chinese criminal law context. </w:t>
              </w:r>
              <w:r>
                <w:rPr>
                  <w:i/>
                  <w:iCs/>
                  <w:noProof/>
                </w:rPr>
                <w:t>Frontiers in Psychology, 7</w:t>
              </w:r>
              <w:r>
                <w:rPr>
                  <w:noProof/>
                </w:rPr>
                <w:t>, 1-9.</w:t>
              </w:r>
            </w:p>
            <w:p w14:paraId="27FF1CA1" w14:textId="42AFFAB3" w:rsidR="00072AFA" w:rsidRDefault="00072AFA" w:rsidP="00072AFA">
              <w:r>
                <w:rPr>
                  <w:b/>
                  <w:bCs/>
                </w:rPr>
                <w:fldChar w:fldCharType="end"/>
              </w:r>
            </w:p>
          </w:sdtContent>
        </w:sdt>
      </w:sdtContent>
    </w:sdt>
    <w:p w14:paraId="17918F86" w14:textId="77777777" w:rsidR="00072AFA" w:rsidRDefault="00072AFA" w:rsidP="00772CC6"/>
    <w:sectPr w:rsidR="00072A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E9"/>
    <w:rsid w:val="000074C1"/>
    <w:rsid w:val="00014593"/>
    <w:rsid w:val="00017AAD"/>
    <w:rsid w:val="00017E0C"/>
    <w:rsid w:val="000321CD"/>
    <w:rsid w:val="00035528"/>
    <w:rsid w:val="000405CA"/>
    <w:rsid w:val="00057EC1"/>
    <w:rsid w:val="000714FF"/>
    <w:rsid w:val="00072AFA"/>
    <w:rsid w:val="000749BD"/>
    <w:rsid w:val="000A4ED8"/>
    <w:rsid w:val="000B4080"/>
    <w:rsid w:val="000C06B2"/>
    <w:rsid w:val="000D64EB"/>
    <w:rsid w:val="00107FD2"/>
    <w:rsid w:val="001209BB"/>
    <w:rsid w:val="001824A0"/>
    <w:rsid w:val="00182A40"/>
    <w:rsid w:val="001A3248"/>
    <w:rsid w:val="001A6754"/>
    <w:rsid w:val="001A7A12"/>
    <w:rsid w:val="001B16F8"/>
    <w:rsid w:val="001B458C"/>
    <w:rsid w:val="001C0B18"/>
    <w:rsid w:val="001C1D04"/>
    <w:rsid w:val="001C26C1"/>
    <w:rsid w:val="001D7195"/>
    <w:rsid w:val="001F20F5"/>
    <w:rsid w:val="001F56A2"/>
    <w:rsid w:val="00222763"/>
    <w:rsid w:val="00230209"/>
    <w:rsid w:val="002332A8"/>
    <w:rsid w:val="00234AD4"/>
    <w:rsid w:val="00235682"/>
    <w:rsid w:val="0024402C"/>
    <w:rsid w:val="00251521"/>
    <w:rsid w:val="00254773"/>
    <w:rsid w:val="00262CC3"/>
    <w:rsid w:val="00272D45"/>
    <w:rsid w:val="00274DA8"/>
    <w:rsid w:val="00275A90"/>
    <w:rsid w:val="00282B94"/>
    <w:rsid w:val="002901C3"/>
    <w:rsid w:val="002F727F"/>
    <w:rsid w:val="00310D2B"/>
    <w:rsid w:val="003350AE"/>
    <w:rsid w:val="0033634B"/>
    <w:rsid w:val="0033701D"/>
    <w:rsid w:val="00343D86"/>
    <w:rsid w:val="00347FA2"/>
    <w:rsid w:val="00354EAC"/>
    <w:rsid w:val="0035505A"/>
    <w:rsid w:val="0036655E"/>
    <w:rsid w:val="00390143"/>
    <w:rsid w:val="00392075"/>
    <w:rsid w:val="003A278D"/>
    <w:rsid w:val="003B435E"/>
    <w:rsid w:val="003C4265"/>
    <w:rsid w:val="003D36A4"/>
    <w:rsid w:val="003D59DA"/>
    <w:rsid w:val="003E613E"/>
    <w:rsid w:val="0040131B"/>
    <w:rsid w:val="00403189"/>
    <w:rsid w:val="004204FA"/>
    <w:rsid w:val="004356B4"/>
    <w:rsid w:val="00445FB9"/>
    <w:rsid w:val="00446153"/>
    <w:rsid w:val="004520B0"/>
    <w:rsid w:val="00460C1C"/>
    <w:rsid w:val="00474B58"/>
    <w:rsid w:val="00486798"/>
    <w:rsid w:val="004C31AE"/>
    <w:rsid w:val="004C6E6B"/>
    <w:rsid w:val="004C7653"/>
    <w:rsid w:val="00501B1A"/>
    <w:rsid w:val="0050334F"/>
    <w:rsid w:val="00524720"/>
    <w:rsid w:val="00530D13"/>
    <w:rsid w:val="005348EA"/>
    <w:rsid w:val="00560F5C"/>
    <w:rsid w:val="00564BBF"/>
    <w:rsid w:val="00582826"/>
    <w:rsid w:val="005831DF"/>
    <w:rsid w:val="005F6F2C"/>
    <w:rsid w:val="0060351C"/>
    <w:rsid w:val="006042D9"/>
    <w:rsid w:val="00657C70"/>
    <w:rsid w:val="006614D0"/>
    <w:rsid w:val="00673ADB"/>
    <w:rsid w:val="00677094"/>
    <w:rsid w:val="0069277F"/>
    <w:rsid w:val="006A31C7"/>
    <w:rsid w:val="006B20E3"/>
    <w:rsid w:val="006C31F0"/>
    <w:rsid w:val="0071010D"/>
    <w:rsid w:val="00732264"/>
    <w:rsid w:val="0074174F"/>
    <w:rsid w:val="00764444"/>
    <w:rsid w:val="00764B9D"/>
    <w:rsid w:val="00772CC6"/>
    <w:rsid w:val="0079101A"/>
    <w:rsid w:val="00791DB6"/>
    <w:rsid w:val="007B3ABB"/>
    <w:rsid w:val="007F40FD"/>
    <w:rsid w:val="00814F29"/>
    <w:rsid w:val="00836723"/>
    <w:rsid w:val="00854587"/>
    <w:rsid w:val="00881E01"/>
    <w:rsid w:val="008B78F0"/>
    <w:rsid w:val="008E7241"/>
    <w:rsid w:val="00935B9D"/>
    <w:rsid w:val="00974BCC"/>
    <w:rsid w:val="009B778B"/>
    <w:rsid w:val="009F6F16"/>
    <w:rsid w:val="00A27539"/>
    <w:rsid w:val="00A3115E"/>
    <w:rsid w:val="00A424AF"/>
    <w:rsid w:val="00AC13D2"/>
    <w:rsid w:val="00AD6005"/>
    <w:rsid w:val="00AD60F2"/>
    <w:rsid w:val="00B02D04"/>
    <w:rsid w:val="00B554B0"/>
    <w:rsid w:val="00B56026"/>
    <w:rsid w:val="00B67631"/>
    <w:rsid w:val="00BC6059"/>
    <w:rsid w:val="00BD6D1B"/>
    <w:rsid w:val="00C101C9"/>
    <w:rsid w:val="00C2697B"/>
    <w:rsid w:val="00C351EC"/>
    <w:rsid w:val="00C45035"/>
    <w:rsid w:val="00C52EC3"/>
    <w:rsid w:val="00C604B3"/>
    <w:rsid w:val="00C637E9"/>
    <w:rsid w:val="00C654BE"/>
    <w:rsid w:val="00C74A80"/>
    <w:rsid w:val="00CB4B46"/>
    <w:rsid w:val="00CD4533"/>
    <w:rsid w:val="00CE45A0"/>
    <w:rsid w:val="00CE49BA"/>
    <w:rsid w:val="00CF1E2C"/>
    <w:rsid w:val="00D00DDF"/>
    <w:rsid w:val="00D421E8"/>
    <w:rsid w:val="00D87BD6"/>
    <w:rsid w:val="00DA7DF4"/>
    <w:rsid w:val="00DA7FEF"/>
    <w:rsid w:val="00DB6061"/>
    <w:rsid w:val="00DC2E90"/>
    <w:rsid w:val="00DF56E3"/>
    <w:rsid w:val="00E03DAD"/>
    <w:rsid w:val="00E205A9"/>
    <w:rsid w:val="00E5057E"/>
    <w:rsid w:val="00E62105"/>
    <w:rsid w:val="00E711BF"/>
    <w:rsid w:val="00E7650B"/>
    <w:rsid w:val="00E85BB7"/>
    <w:rsid w:val="00E87FF8"/>
    <w:rsid w:val="00ED5096"/>
    <w:rsid w:val="00EE65BA"/>
    <w:rsid w:val="00F175DF"/>
    <w:rsid w:val="00F31549"/>
    <w:rsid w:val="00F374F4"/>
    <w:rsid w:val="00F4200C"/>
    <w:rsid w:val="00F43CFC"/>
    <w:rsid w:val="00F4587F"/>
    <w:rsid w:val="00F61439"/>
    <w:rsid w:val="00F67F0B"/>
    <w:rsid w:val="00F854CE"/>
    <w:rsid w:val="00F93848"/>
    <w:rsid w:val="00F95953"/>
    <w:rsid w:val="00FD7C6C"/>
    <w:rsid w:val="00FF6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A192C"/>
  <w15:chartTrackingRefBased/>
  <w15:docId w15:val="{E9CCF534-9BFC-45B0-B00E-612873A87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AFA"/>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AFA"/>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072A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3110">
      <w:bodyDiv w:val="1"/>
      <w:marLeft w:val="0"/>
      <w:marRight w:val="0"/>
      <w:marTop w:val="0"/>
      <w:marBottom w:val="0"/>
      <w:divBdr>
        <w:top w:val="none" w:sz="0" w:space="0" w:color="auto"/>
        <w:left w:val="none" w:sz="0" w:space="0" w:color="auto"/>
        <w:bottom w:val="none" w:sz="0" w:space="0" w:color="auto"/>
        <w:right w:val="none" w:sz="0" w:space="0" w:color="auto"/>
      </w:divBdr>
    </w:div>
    <w:div w:id="104925539">
      <w:bodyDiv w:val="1"/>
      <w:marLeft w:val="0"/>
      <w:marRight w:val="0"/>
      <w:marTop w:val="0"/>
      <w:marBottom w:val="0"/>
      <w:divBdr>
        <w:top w:val="none" w:sz="0" w:space="0" w:color="auto"/>
        <w:left w:val="none" w:sz="0" w:space="0" w:color="auto"/>
        <w:bottom w:val="none" w:sz="0" w:space="0" w:color="auto"/>
        <w:right w:val="none" w:sz="0" w:space="0" w:color="auto"/>
      </w:divBdr>
    </w:div>
    <w:div w:id="110129969">
      <w:bodyDiv w:val="1"/>
      <w:marLeft w:val="0"/>
      <w:marRight w:val="0"/>
      <w:marTop w:val="0"/>
      <w:marBottom w:val="0"/>
      <w:divBdr>
        <w:top w:val="none" w:sz="0" w:space="0" w:color="auto"/>
        <w:left w:val="none" w:sz="0" w:space="0" w:color="auto"/>
        <w:bottom w:val="none" w:sz="0" w:space="0" w:color="auto"/>
        <w:right w:val="none" w:sz="0" w:space="0" w:color="auto"/>
      </w:divBdr>
    </w:div>
    <w:div w:id="110167648">
      <w:bodyDiv w:val="1"/>
      <w:marLeft w:val="0"/>
      <w:marRight w:val="0"/>
      <w:marTop w:val="0"/>
      <w:marBottom w:val="0"/>
      <w:divBdr>
        <w:top w:val="none" w:sz="0" w:space="0" w:color="auto"/>
        <w:left w:val="none" w:sz="0" w:space="0" w:color="auto"/>
        <w:bottom w:val="none" w:sz="0" w:space="0" w:color="auto"/>
        <w:right w:val="none" w:sz="0" w:space="0" w:color="auto"/>
      </w:divBdr>
      <w:divsChild>
        <w:div w:id="1310749399">
          <w:marLeft w:val="0"/>
          <w:marRight w:val="0"/>
          <w:marTop w:val="0"/>
          <w:marBottom w:val="0"/>
          <w:divBdr>
            <w:top w:val="single" w:sz="2" w:space="0" w:color="auto"/>
            <w:left w:val="single" w:sz="2" w:space="0" w:color="auto"/>
            <w:bottom w:val="single" w:sz="6" w:space="0" w:color="auto"/>
            <w:right w:val="single" w:sz="2" w:space="0" w:color="auto"/>
          </w:divBdr>
          <w:divsChild>
            <w:div w:id="1384670577">
              <w:marLeft w:val="0"/>
              <w:marRight w:val="0"/>
              <w:marTop w:val="100"/>
              <w:marBottom w:val="100"/>
              <w:divBdr>
                <w:top w:val="single" w:sz="2" w:space="0" w:color="D9D9E3"/>
                <w:left w:val="single" w:sz="2" w:space="0" w:color="D9D9E3"/>
                <w:bottom w:val="single" w:sz="2" w:space="0" w:color="D9D9E3"/>
                <w:right w:val="single" w:sz="2" w:space="0" w:color="D9D9E3"/>
              </w:divBdr>
              <w:divsChild>
                <w:div w:id="609969918">
                  <w:marLeft w:val="0"/>
                  <w:marRight w:val="0"/>
                  <w:marTop w:val="0"/>
                  <w:marBottom w:val="0"/>
                  <w:divBdr>
                    <w:top w:val="single" w:sz="2" w:space="0" w:color="D9D9E3"/>
                    <w:left w:val="single" w:sz="2" w:space="0" w:color="D9D9E3"/>
                    <w:bottom w:val="single" w:sz="2" w:space="0" w:color="D9D9E3"/>
                    <w:right w:val="single" w:sz="2" w:space="0" w:color="D9D9E3"/>
                  </w:divBdr>
                  <w:divsChild>
                    <w:div w:id="1754664511">
                      <w:marLeft w:val="0"/>
                      <w:marRight w:val="0"/>
                      <w:marTop w:val="0"/>
                      <w:marBottom w:val="0"/>
                      <w:divBdr>
                        <w:top w:val="single" w:sz="2" w:space="0" w:color="D9D9E3"/>
                        <w:left w:val="single" w:sz="2" w:space="0" w:color="D9D9E3"/>
                        <w:bottom w:val="single" w:sz="2" w:space="0" w:color="D9D9E3"/>
                        <w:right w:val="single" w:sz="2" w:space="0" w:color="D9D9E3"/>
                      </w:divBdr>
                      <w:divsChild>
                        <w:div w:id="687214199">
                          <w:marLeft w:val="0"/>
                          <w:marRight w:val="0"/>
                          <w:marTop w:val="0"/>
                          <w:marBottom w:val="0"/>
                          <w:divBdr>
                            <w:top w:val="single" w:sz="2" w:space="0" w:color="D9D9E3"/>
                            <w:left w:val="single" w:sz="2" w:space="0" w:color="D9D9E3"/>
                            <w:bottom w:val="single" w:sz="2" w:space="0" w:color="D9D9E3"/>
                            <w:right w:val="single" w:sz="2" w:space="0" w:color="D9D9E3"/>
                          </w:divBdr>
                          <w:divsChild>
                            <w:div w:id="796945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11435541">
          <w:marLeft w:val="0"/>
          <w:marRight w:val="0"/>
          <w:marTop w:val="0"/>
          <w:marBottom w:val="0"/>
          <w:divBdr>
            <w:top w:val="single" w:sz="2" w:space="0" w:color="auto"/>
            <w:left w:val="single" w:sz="2" w:space="0" w:color="auto"/>
            <w:bottom w:val="single" w:sz="6" w:space="0" w:color="auto"/>
            <w:right w:val="single" w:sz="2" w:space="0" w:color="auto"/>
          </w:divBdr>
          <w:divsChild>
            <w:div w:id="992871288">
              <w:marLeft w:val="0"/>
              <w:marRight w:val="0"/>
              <w:marTop w:val="100"/>
              <w:marBottom w:val="100"/>
              <w:divBdr>
                <w:top w:val="single" w:sz="2" w:space="0" w:color="D9D9E3"/>
                <w:left w:val="single" w:sz="2" w:space="0" w:color="D9D9E3"/>
                <w:bottom w:val="single" w:sz="2" w:space="0" w:color="D9D9E3"/>
                <w:right w:val="single" w:sz="2" w:space="0" w:color="D9D9E3"/>
              </w:divBdr>
              <w:divsChild>
                <w:div w:id="1465658484">
                  <w:marLeft w:val="0"/>
                  <w:marRight w:val="0"/>
                  <w:marTop w:val="0"/>
                  <w:marBottom w:val="0"/>
                  <w:divBdr>
                    <w:top w:val="single" w:sz="2" w:space="0" w:color="D9D9E3"/>
                    <w:left w:val="single" w:sz="2" w:space="0" w:color="D9D9E3"/>
                    <w:bottom w:val="single" w:sz="2" w:space="0" w:color="D9D9E3"/>
                    <w:right w:val="single" w:sz="2" w:space="0" w:color="D9D9E3"/>
                  </w:divBdr>
                  <w:divsChild>
                    <w:div w:id="13179976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93439343">
                  <w:marLeft w:val="0"/>
                  <w:marRight w:val="0"/>
                  <w:marTop w:val="0"/>
                  <w:marBottom w:val="0"/>
                  <w:divBdr>
                    <w:top w:val="single" w:sz="2" w:space="0" w:color="D9D9E3"/>
                    <w:left w:val="single" w:sz="2" w:space="0" w:color="D9D9E3"/>
                    <w:bottom w:val="single" w:sz="2" w:space="0" w:color="D9D9E3"/>
                    <w:right w:val="single" w:sz="2" w:space="0" w:color="D9D9E3"/>
                  </w:divBdr>
                  <w:divsChild>
                    <w:div w:id="226578600">
                      <w:marLeft w:val="0"/>
                      <w:marRight w:val="0"/>
                      <w:marTop w:val="0"/>
                      <w:marBottom w:val="0"/>
                      <w:divBdr>
                        <w:top w:val="single" w:sz="2" w:space="0" w:color="D9D9E3"/>
                        <w:left w:val="single" w:sz="2" w:space="0" w:color="D9D9E3"/>
                        <w:bottom w:val="single" w:sz="2" w:space="0" w:color="D9D9E3"/>
                        <w:right w:val="single" w:sz="2" w:space="0" w:color="D9D9E3"/>
                      </w:divBdr>
                      <w:divsChild>
                        <w:div w:id="1819109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54945873">
          <w:marLeft w:val="0"/>
          <w:marRight w:val="0"/>
          <w:marTop w:val="0"/>
          <w:marBottom w:val="0"/>
          <w:divBdr>
            <w:top w:val="single" w:sz="2" w:space="0" w:color="auto"/>
            <w:left w:val="single" w:sz="2" w:space="0" w:color="auto"/>
            <w:bottom w:val="single" w:sz="6" w:space="0" w:color="auto"/>
            <w:right w:val="single" w:sz="2" w:space="0" w:color="auto"/>
          </w:divBdr>
          <w:divsChild>
            <w:div w:id="408431432">
              <w:marLeft w:val="0"/>
              <w:marRight w:val="0"/>
              <w:marTop w:val="100"/>
              <w:marBottom w:val="100"/>
              <w:divBdr>
                <w:top w:val="single" w:sz="2" w:space="0" w:color="D9D9E3"/>
                <w:left w:val="single" w:sz="2" w:space="0" w:color="D9D9E3"/>
                <w:bottom w:val="single" w:sz="2" w:space="0" w:color="D9D9E3"/>
                <w:right w:val="single" w:sz="2" w:space="0" w:color="D9D9E3"/>
              </w:divBdr>
              <w:divsChild>
                <w:div w:id="1496456011">
                  <w:marLeft w:val="0"/>
                  <w:marRight w:val="0"/>
                  <w:marTop w:val="0"/>
                  <w:marBottom w:val="0"/>
                  <w:divBdr>
                    <w:top w:val="single" w:sz="2" w:space="0" w:color="D9D9E3"/>
                    <w:left w:val="single" w:sz="2" w:space="0" w:color="D9D9E3"/>
                    <w:bottom w:val="single" w:sz="2" w:space="0" w:color="D9D9E3"/>
                    <w:right w:val="single" w:sz="2" w:space="0" w:color="D9D9E3"/>
                  </w:divBdr>
                  <w:divsChild>
                    <w:div w:id="1221870038">
                      <w:marLeft w:val="0"/>
                      <w:marRight w:val="0"/>
                      <w:marTop w:val="0"/>
                      <w:marBottom w:val="0"/>
                      <w:divBdr>
                        <w:top w:val="single" w:sz="2" w:space="0" w:color="D9D9E3"/>
                        <w:left w:val="single" w:sz="2" w:space="0" w:color="D9D9E3"/>
                        <w:bottom w:val="single" w:sz="2" w:space="0" w:color="D9D9E3"/>
                        <w:right w:val="single" w:sz="2" w:space="0" w:color="D9D9E3"/>
                      </w:divBdr>
                      <w:divsChild>
                        <w:div w:id="1500972101">
                          <w:marLeft w:val="0"/>
                          <w:marRight w:val="0"/>
                          <w:marTop w:val="0"/>
                          <w:marBottom w:val="0"/>
                          <w:divBdr>
                            <w:top w:val="single" w:sz="2" w:space="0" w:color="D9D9E3"/>
                            <w:left w:val="single" w:sz="2" w:space="0" w:color="D9D9E3"/>
                            <w:bottom w:val="single" w:sz="2" w:space="0" w:color="D9D9E3"/>
                            <w:right w:val="single" w:sz="2" w:space="0" w:color="D9D9E3"/>
                          </w:divBdr>
                          <w:divsChild>
                            <w:div w:id="18226495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728867">
      <w:bodyDiv w:val="1"/>
      <w:marLeft w:val="0"/>
      <w:marRight w:val="0"/>
      <w:marTop w:val="0"/>
      <w:marBottom w:val="0"/>
      <w:divBdr>
        <w:top w:val="none" w:sz="0" w:space="0" w:color="auto"/>
        <w:left w:val="none" w:sz="0" w:space="0" w:color="auto"/>
        <w:bottom w:val="none" w:sz="0" w:space="0" w:color="auto"/>
        <w:right w:val="none" w:sz="0" w:space="0" w:color="auto"/>
      </w:divBdr>
    </w:div>
    <w:div w:id="174267547">
      <w:bodyDiv w:val="1"/>
      <w:marLeft w:val="0"/>
      <w:marRight w:val="0"/>
      <w:marTop w:val="0"/>
      <w:marBottom w:val="0"/>
      <w:divBdr>
        <w:top w:val="none" w:sz="0" w:space="0" w:color="auto"/>
        <w:left w:val="none" w:sz="0" w:space="0" w:color="auto"/>
        <w:bottom w:val="none" w:sz="0" w:space="0" w:color="auto"/>
        <w:right w:val="none" w:sz="0" w:space="0" w:color="auto"/>
      </w:divBdr>
    </w:div>
    <w:div w:id="179974455">
      <w:bodyDiv w:val="1"/>
      <w:marLeft w:val="0"/>
      <w:marRight w:val="0"/>
      <w:marTop w:val="0"/>
      <w:marBottom w:val="0"/>
      <w:divBdr>
        <w:top w:val="none" w:sz="0" w:space="0" w:color="auto"/>
        <w:left w:val="none" w:sz="0" w:space="0" w:color="auto"/>
        <w:bottom w:val="none" w:sz="0" w:space="0" w:color="auto"/>
        <w:right w:val="none" w:sz="0" w:space="0" w:color="auto"/>
      </w:divBdr>
    </w:div>
    <w:div w:id="222133801">
      <w:bodyDiv w:val="1"/>
      <w:marLeft w:val="0"/>
      <w:marRight w:val="0"/>
      <w:marTop w:val="0"/>
      <w:marBottom w:val="0"/>
      <w:divBdr>
        <w:top w:val="none" w:sz="0" w:space="0" w:color="auto"/>
        <w:left w:val="none" w:sz="0" w:space="0" w:color="auto"/>
        <w:bottom w:val="none" w:sz="0" w:space="0" w:color="auto"/>
        <w:right w:val="none" w:sz="0" w:space="0" w:color="auto"/>
      </w:divBdr>
    </w:div>
    <w:div w:id="285083620">
      <w:bodyDiv w:val="1"/>
      <w:marLeft w:val="0"/>
      <w:marRight w:val="0"/>
      <w:marTop w:val="0"/>
      <w:marBottom w:val="0"/>
      <w:divBdr>
        <w:top w:val="none" w:sz="0" w:space="0" w:color="auto"/>
        <w:left w:val="none" w:sz="0" w:space="0" w:color="auto"/>
        <w:bottom w:val="none" w:sz="0" w:space="0" w:color="auto"/>
        <w:right w:val="none" w:sz="0" w:space="0" w:color="auto"/>
      </w:divBdr>
    </w:div>
    <w:div w:id="301471361">
      <w:bodyDiv w:val="1"/>
      <w:marLeft w:val="0"/>
      <w:marRight w:val="0"/>
      <w:marTop w:val="0"/>
      <w:marBottom w:val="0"/>
      <w:divBdr>
        <w:top w:val="none" w:sz="0" w:space="0" w:color="auto"/>
        <w:left w:val="none" w:sz="0" w:space="0" w:color="auto"/>
        <w:bottom w:val="none" w:sz="0" w:space="0" w:color="auto"/>
        <w:right w:val="none" w:sz="0" w:space="0" w:color="auto"/>
      </w:divBdr>
    </w:div>
    <w:div w:id="318657276">
      <w:bodyDiv w:val="1"/>
      <w:marLeft w:val="0"/>
      <w:marRight w:val="0"/>
      <w:marTop w:val="0"/>
      <w:marBottom w:val="0"/>
      <w:divBdr>
        <w:top w:val="none" w:sz="0" w:space="0" w:color="auto"/>
        <w:left w:val="none" w:sz="0" w:space="0" w:color="auto"/>
        <w:bottom w:val="none" w:sz="0" w:space="0" w:color="auto"/>
        <w:right w:val="none" w:sz="0" w:space="0" w:color="auto"/>
      </w:divBdr>
    </w:div>
    <w:div w:id="349768417">
      <w:bodyDiv w:val="1"/>
      <w:marLeft w:val="0"/>
      <w:marRight w:val="0"/>
      <w:marTop w:val="0"/>
      <w:marBottom w:val="0"/>
      <w:divBdr>
        <w:top w:val="none" w:sz="0" w:space="0" w:color="auto"/>
        <w:left w:val="none" w:sz="0" w:space="0" w:color="auto"/>
        <w:bottom w:val="none" w:sz="0" w:space="0" w:color="auto"/>
        <w:right w:val="none" w:sz="0" w:space="0" w:color="auto"/>
      </w:divBdr>
    </w:div>
    <w:div w:id="528639981">
      <w:bodyDiv w:val="1"/>
      <w:marLeft w:val="0"/>
      <w:marRight w:val="0"/>
      <w:marTop w:val="0"/>
      <w:marBottom w:val="0"/>
      <w:divBdr>
        <w:top w:val="none" w:sz="0" w:space="0" w:color="auto"/>
        <w:left w:val="none" w:sz="0" w:space="0" w:color="auto"/>
        <w:bottom w:val="none" w:sz="0" w:space="0" w:color="auto"/>
        <w:right w:val="none" w:sz="0" w:space="0" w:color="auto"/>
      </w:divBdr>
    </w:div>
    <w:div w:id="556091555">
      <w:bodyDiv w:val="1"/>
      <w:marLeft w:val="0"/>
      <w:marRight w:val="0"/>
      <w:marTop w:val="0"/>
      <w:marBottom w:val="0"/>
      <w:divBdr>
        <w:top w:val="none" w:sz="0" w:space="0" w:color="auto"/>
        <w:left w:val="none" w:sz="0" w:space="0" w:color="auto"/>
        <w:bottom w:val="none" w:sz="0" w:space="0" w:color="auto"/>
        <w:right w:val="none" w:sz="0" w:space="0" w:color="auto"/>
      </w:divBdr>
    </w:div>
    <w:div w:id="585772905">
      <w:bodyDiv w:val="1"/>
      <w:marLeft w:val="0"/>
      <w:marRight w:val="0"/>
      <w:marTop w:val="0"/>
      <w:marBottom w:val="0"/>
      <w:divBdr>
        <w:top w:val="none" w:sz="0" w:space="0" w:color="auto"/>
        <w:left w:val="none" w:sz="0" w:space="0" w:color="auto"/>
        <w:bottom w:val="none" w:sz="0" w:space="0" w:color="auto"/>
        <w:right w:val="none" w:sz="0" w:space="0" w:color="auto"/>
      </w:divBdr>
    </w:div>
    <w:div w:id="615799218">
      <w:bodyDiv w:val="1"/>
      <w:marLeft w:val="0"/>
      <w:marRight w:val="0"/>
      <w:marTop w:val="0"/>
      <w:marBottom w:val="0"/>
      <w:divBdr>
        <w:top w:val="none" w:sz="0" w:space="0" w:color="auto"/>
        <w:left w:val="none" w:sz="0" w:space="0" w:color="auto"/>
        <w:bottom w:val="none" w:sz="0" w:space="0" w:color="auto"/>
        <w:right w:val="none" w:sz="0" w:space="0" w:color="auto"/>
      </w:divBdr>
    </w:div>
    <w:div w:id="637809683">
      <w:bodyDiv w:val="1"/>
      <w:marLeft w:val="0"/>
      <w:marRight w:val="0"/>
      <w:marTop w:val="0"/>
      <w:marBottom w:val="0"/>
      <w:divBdr>
        <w:top w:val="none" w:sz="0" w:space="0" w:color="auto"/>
        <w:left w:val="none" w:sz="0" w:space="0" w:color="auto"/>
        <w:bottom w:val="none" w:sz="0" w:space="0" w:color="auto"/>
        <w:right w:val="none" w:sz="0" w:space="0" w:color="auto"/>
      </w:divBdr>
    </w:div>
    <w:div w:id="642270873">
      <w:bodyDiv w:val="1"/>
      <w:marLeft w:val="0"/>
      <w:marRight w:val="0"/>
      <w:marTop w:val="0"/>
      <w:marBottom w:val="0"/>
      <w:divBdr>
        <w:top w:val="none" w:sz="0" w:space="0" w:color="auto"/>
        <w:left w:val="none" w:sz="0" w:space="0" w:color="auto"/>
        <w:bottom w:val="none" w:sz="0" w:space="0" w:color="auto"/>
        <w:right w:val="none" w:sz="0" w:space="0" w:color="auto"/>
      </w:divBdr>
    </w:div>
    <w:div w:id="711147915">
      <w:bodyDiv w:val="1"/>
      <w:marLeft w:val="0"/>
      <w:marRight w:val="0"/>
      <w:marTop w:val="0"/>
      <w:marBottom w:val="0"/>
      <w:divBdr>
        <w:top w:val="none" w:sz="0" w:space="0" w:color="auto"/>
        <w:left w:val="none" w:sz="0" w:space="0" w:color="auto"/>
        <w:bottom w:val="none" w:sz="0" w:space="0" w:color="auto"/>
        <w:right w:val="none" w:sz="0" w:space="0" w:color="auto"/>
      </w:divBdr>
    </w:div>
    <w:div w:id="738551809">
      <w:bodyDiv w:val="1"/>
      <w:marLeft w:val="0"/>
      <w:marRight w:val="0"/>
      <w:marTop w:val="0"/>
      <w:marBottom w:val="0"/>
      <w:divBdr>
        <w:top w:val="none" w:sz="0" w:space="0" w:color="auto"/>
        <w:left w:val="none" w:sz="0" w:space="0" w:color="auto"/>
        <w:bottom w:val="none" w:sz="0" w:space="0" w:color="auto"/>
        <w:right w:val="none" w:sz="0" w:space="0" w:color="auto"/>
      </w:divBdr>
    </w:div>
    <w:div w:id="767386896">
      <w:bodyDiv w:val="1"/>
      <w:marLeft w:val="0"/>
      <w:marRight w:val="0"/>
      <w:marTop w:val="0"/>
      <w:marBottom w:val="0"/>
      <w:divBdr>
        <w:top w:val="none" w:sz="0" w:space="0" w:color="auto"/>
        <w:left w:val="none" w:sz="0" w:space="0" w:color="auto"/>
        <w:bottom w:val="none" w:sz="0" w:space="0" w:color="auto"/>
        <w:right w:val="none" w:sz="0" w:space="0" w:color="auto"/>
      </w:divBdr>
    </w:div>
    <w:div w:id="919873277">
      <w:bodyDiv w:val="1"/>
      <w:marLeft w:val="0"/>
      <w:marRight w:val="0"/>
      <w:marTop w:val="0"/>
      <w:marBottom w:val="0"/>
      <w:divBdr>
        <w:top w:val="none" w:sz="0" w:space="0" w:color="auto"/>
        <w:left w:val="none" w:sz="0" w:space="0" w:color="auto"/>
        <w:bottom w:val="none" w:sz="0" w:space="0" w:color="auto"/>
        <w:right w:val="none" w:sz="0" w:space="0" w:color="auto"/>
      </w:divBdr>
      <w:divsChild>
        <w:div w:id="398021024">
          <w:marLeft w:val="0"/>
          <w:marRight w:val="0"/>
          <w:marTop w:val="0"/>
          <w:marBottom w:val="0"/>
          <w:divBdr>
            <w:top w:val="single" w:sz="2" w:space="0" w:color="auto"/>
            <w:left w:val="single" w:sz="2" w:space="0" w:color="auto"/>
            <w:bottom w:val="single" w:sz="6" w:space="0" w:color="auto"/>
            <w:right w:val="single" w:sz="2" w:space="0" w:color="auto"/>
          </w:divBdr>
          <w:divsChild>
            <w:div w:id="431510164">
              <w:marLeft w:val="0"/>
              <w:marRight w:val="0"/>
              <w:marTop w:val="100"/>
              <w:marBottom w:val="100"/>
              <w:divBdr>
                <w:top w:val="single" w:sz="2" w:space="0" w:color="D9D9E3"/>
                <w:left w:val="single" w:sz="2" w:space="0" w:color="D9D9E3"/>
                <w:bottom w:val="single" w:sz="2" w:space="0" w:color="D9D9E3"/>
                <w:right w:val="single" w:sz="2" w:space="0" w:color="D9D9E3"/>
              </w:divBdr>
              <w:divsChild>
                <w:div w:id="698628120">
                  <w:marLeft w:val="0"/>
                  <w:marRight w:val="0"/>
                  <w:marTop w:val="0"/>
                  <w:marBottom w:val="0"/>
                  <w:divBdr>
                    <w:top w:val="single" w:sz="2" w:space="0" w:color="D9D9E3"/>
                    <w:left w:val="single" w:sz="2" w:space="0" w:color="D9D9E3"/>
                    <w:bottom w:val="single" w:sz="2" w:space="0" w:color="D9D9E3"/>
                    <w:right w:val="single" w:sz="2" w:space="0" w:color="D9D9E3"/>
                  </w:divBdr>
                  <w:divsChild>
                    <w:div w:id="1345520304">
                      <w:marLeft w:val="0"/>
                      <w:marRight w:val="0"/>
                      <w:marTop w:val="0"/>
                      <w:marBottom w:val="0"/>
                      <w:divBdr>
                        <w:top w:val="single" w:sz="2" w:space="0" w:color="D9D9E3"/>
                        <w:left w:val="single" w:sz="2" w:space="0" w:color="D9D9E3"/>
                        <w:bottom w:val="single" w:sz="2" w:space="0" w:color="D9D9E3"/>
                        <w:right w:val="single" w:sz="2" w:space="0" w:color="D9D9E3"/>
                      </w:divBdr>
                      <w:divsChild>
                        <w:div w:id="1252398647">
                          <w:marLeft w:val="0"/>
                          <w:marRight w:val="0"/>
                          <w:marTop w:val="0"/>
                          <w:marBottom w:val="0"/>
                          <w:divBdr>
                            <w:top w:val="single" w:sz="2" w:space="0" w:color="D9D9E3"/>
                            <w:left w:val="single" w:sz="2" w:space="0" w:color="D9D9E3"/>
                            <w:bottom w:val="single" w:sz="2" w:space="0" w:color="D9D9E3"/>
                            <w:right w:val="single" w:sz="2" w:space="0" w:color="D9D9E3"/>
                          </w:divBdr>
                          <w:divsChild>
                            <w:div w:id="577207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14244922">
          <w:marLeft w:val="0"/>
          <w:marRight w:val="0"/>
          <w:marTop w:val="0"/>
          <w:marBottom w:val="0"/>
          <w:divBdr>
            <w:top w:val="single" w:sz="2" w:space="0" w:color="auto"/>
            <w:left w:val="single" w:sz="2" w:space="0" w:color="auto"/>
            <w:bottom w:val="single" w:sz="6" w:space="0" w:color="auto"/>
            <w:right w:val="single" w:sz="2" w:space="0" w:color="auto"/>
          </w:divBdr>
          <w:divsChild>
            <w:div w:id="768500068">
              <w:marLeft w:val="0"/>
              <w:marRight w:val="0"/>
              <w:marTop w:val="100"/>
              <w:marBottom w:val="100"/>
              <w:divBdr>
                <w:top w:val="single" w:sz="2" w:space="0" w:color="D9D9E3"/>
                <w:left w:val="single" w:sz="2" w:space="0" w:color="D9D9E3"/>
                <w:bottom w:val="single" w:sz="2" w:space="0" w:color="D9D9E3"/>
                <w:right w:val="single" w:sz="2" w:space="0" w:color="D9D9E3"/>
              </w:divBdr>
              <w:divsChild>
                <w:div w:id="860553675">
                  <w:marLeft w:val="0"/>
                  <w:marRight w:val="0"/>
                  <w:marTop w:val="0"/>
                  <w:marBottom w:val="0"/>
                  <w:divBdr>
                    <w:top w:val="single" w:sz="2" w:space="0" w:color="D9D9E3"/>
                    <w:left w:val="single" w:sz="2" w:space="0" w:color="D9D9E3"/>
                    <w:bottom w:val="single" w:sz="2" w:space="0" w:color="D9D9E3"/>
                    <w:right w:val="single" w:sz="2" w:space="0" w:color="D9D9E3"/>
                  </w:divBdr>
                  <w:divsChild>
                    <w:div w:id="2001470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8400160">
                  <w:marLeft w:val="0"/>
                  <w:marRight w:val="0"/>
                  <w:marTop w:val="0"/>
                  <w:marBottom w:val="0"/>
                  <w:divBdr>
                    <w:top w:val="single" w:sz="2" w:space="0" w:color="D9D9E3"/>
                    <w:left w:val="single" w:sz="2" w:space="0" w:color="D9D9E3"/>
                    <w:bottom w:val="single" w:sz="2" w:space="0" w:color="D9D9E3"/>
                    <w:right w:val="single" w:sz="2" w:space="0" w:color="D9D9E3"/>
                  </w:divBdr>
                  <w:divsChild>
                    <w:div w:id="1288969275">
                      <w:marLeft w:val="0"/>
                      <w:marRight w:val="0"/>
                      <w:marTop w:val="0"/>
                      <w:marBottom w:val="0"/>
                      <w:divBdr>
                        <w:top w:val="single" w:sz="2" w:space="0" w:color="D9D9E3"/>
                        <w:left w:val="single" w:sz="2" w:space="0" w:color="D9D9E3"/>
                        <w:bottom w:val="single" w:sz="2" w:space="0" w:color="D9D9E3"/>
                        <w:right w:val="single" w:sz="2" w:space="0" w:color="D9D9E3"/>
                      </w:divBdr>
                      <w:divsChild>
                        <w:div w:id="15657226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58896645">
          <w:marLeft w:val="0"/>
          <w:marRight w:val="0"/>
          <w:marTop w:val="0"/>
          <w:marBottom w:val="0"/>
          <w:divBdr>
            <w:top w:val="single" w:sz="2" w:space="0" w:color="auto"/>
            <w:left w:val="single" w:sz="2" w:space="0" w:color="auto"/>
            <w:bottom w:val="single" w:sz="6" w:space="0" w:color="auto"/>
            <w:right w:val="single" w:sz="2" w:space="0" w:color="auto"/>
          </w:divBdr>
          <w:divsChild>
            <w:div w:id="190803341">
              <w:marLeft w:val="0"/>
              <w:marRight w:val="0"/>
              <w:marTop w:val="100"/>
              <w:marBottom w:val="100"/>
              <w:divBdr>
                <w:top w:val="single" w:sz="2" w:space="0" w:color="D9D9E3"/>
                <w:left w:val="single" w:sz="2" w:space="0" w:color="D9D9E3"/>
                <w:bottom w:val="single" w:sz="2" w:space="0" w:color="D9D9E3"/>
                <w:right w:val="single" w:sz="2" w:space="0" w:color="D9D9E3"/>
              </w:divBdr>
              <w:divsChild>
                <w:div w:id="611979892">
                  <w:marLeft w:val="0"/>
                  <w:marRight w:val="0"/>
                  <w:marTop w:val="0"/>
                  <w:marBottom w:val="0"/>
                  <w:divBdr>
                    <w:top w:val="single" w:sz="2" w:space="0" w:color="D9D9E3"/>
                    <w:left w:val="single" w:sz="2" w:space="0" w:color="D9D9E3"/>
                    <w:bottom w:val="single" w:sz="2" w:space="0" w:color="D9D9E3"/>
                    <w:right w:val="single" w:sz="2" w:space="0" w:color="D9D9E3"/>
                  </w:divBdr>
                  <w:divsChild>
                    <w:div w:id="937955377">
                      <w:marLeft w:val="0"/>
                      <w:marRight w:val="0"/>
                      <w:marTop w:val="0"/>
                      <w:marBottom w:val="0"/>
                      <w:divBdr>
                        <w:top w:val="single" w:sz="2" w:space="0" w:color="D9D9E3"/>
                        <w:left w:val="single" w:sz="2" w:space="0" w:color="D9D9E3"/>
                        <w:bottom w:val="single" w:sz="2" w:space="0" w:color="D9D9E3"/>
                        <w:right w:val="single" w:sz="2" w:space="0" w:color="D9D9E3"/>
                      </w:divBdr>
                      <w:divsChild>
                        <w:div w:id="428501548">
                          <w:marLeft w:val="0"/>
                          <w:marRight w:val="0"/>
                          <w:marTop w:val="0"/>
                          <w:marBottom w:val="0"/>
                          <w:divBdr>
                            <w:top w:val="single" w:sz="2" w:space="0" w:color="D9D9E3"/>
                            <w:left w:val="single" w:sz="2" w:space="0" w:color="D9D9E3"/>
                            <w:bottom w:val="single" w:sz="2" w:space="0" w:color="D9D9E3"/>
                            <w:right w:val="single" w:sz="2" w:space="0" w:color="D9D9E3"/>
                          </w:divBdr>
                          <w:divsChild>
                            <w:div w:id="486165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85282331">
      <w:bodyDiv w:val="1"/>
      <w:marLeft w:val="0"/>
      <w:marRight w:val="0"/>
      <w:marTop w:val="0"/>
      <w:marBottom w:val="0"/>
      <w:divBdr>
        <w:top w:val="none" w:sz="0" w:space="0" w:color="auto"/>
        <w:left w:val="none" w:sz="0" w:space="0" w:color="auto"/>
        <w:bottom w:val="none" w:sz="0" w:space="0" w:color="auto"/>
        <w:right w:val="none" w:sz="0" w:space="0" w:color="auto"/>
      </w:divBdr>
    </w:div>
    <w:div w:id="1016734507">
      <w:bodyDiv w:val="1"/>
      <w:marLeft w:val="0"/>
      <w:marRight w:val="0"/>
      <w:marTop w:val="0"/>
      <w:marBottom w:val="0"/>
      <w:divBdr>
        <w:top w:val="none" w:sz="0" w:space="0" w:color="auto"/>
        <w:left w:val="none" w:sz="0" w:space="0" w:color="auto"/>
        <w:bottom w:val="none" w:sz="0" w:space="0" w:color="auto"/>
        <w:right w:val="none" w:sz="0" w:space="0" w:color="auto"/>
      </w:divBdr>
    </w:div>
    <w:div w:id="1021786780">
      <w:bodyDiv w:val="1"/>
      <w:marLeft w:val="0"/>
      <w:marRight w:val="0"/>
      <w:marTop w:val="0"/>
      <w:marBottom w:val="0"/>
      <w:divBdr>
        <w:top w:val="none" w:sz="0" w:space="0" w:color="auto"/>
        <w:left w:val="none" w:sz="0" w:space="0" w:color="auto"/>
        <w:bottom w:val="none" w:sz="0" w:space="0" w:color="auto"/>
        <w:right w:val="none" w:sz="0" w:space="0" w:color="auto"/>
      </w:divBdr>
    </w:div>
    <w:div w:id="1043016283">
      <w:bodyDiv w:val="1"/>
      <w:marLeft w:val="0"/>
      <w:marRight w:val="0"/>
      <w:marTop w:val="0"/>
      <w:marBottom w:val="0"/>
      <w:divBdr>
        <w:top w:val="none" w:sz="0" w:space="0" w:color="auto"/>
        <w:left w:val="none" w:sz="0" w:space="0" w:color="auto"/>
        <w:bottom w:val="none" w:sz="0" w:space="0" w:color="auto"/>
        <w:right w:val="none" w:sz="0" w:space="0" w:color="auto"/>
      </w:divBdr>
    </w:div>
    <w:div w:id="1071805123">
      <w:bodyDiv w:val="1"/>
      <w:marLeft w:val="0"/>
      <w:marRight w:val="0"/>
      <w:marTop w:val="0"/>
      <w:marBottom w:val="0"/>
      <w:divBdr>
        <w:top w:val="none" w:sz="0" w:space="0" w:color="auto"/>
        <w:left w:val="none" w:sz="0" w:space="0" w:color="auto"/>
        <w:bottom w:val="none" w:sz="0" w:space="0" w:color="auto"/>
        <w:right w:val="none" w:sz="0" w:space="0" w:color="auto"/>
      </w:divBdr>
    </w:div>
    <w:div w:id="1110397571">
      <w:bodyDiv w:val="1"/>
      <w:marLeft w:val="0"/>
      <w:marRight w:val="0"/>
      <w:marTop w:val="0"/>
      <w:marBottom w:val="0"/>
      <w:divBdr>
        <w:top w:val="none" w:sz="0" w:space="0" w:color="auto"/>
        <w:left w:val="none" w:sz="0" w:space="0" w:color="auto"/>
        <w:bottom w:val="none" w:sz="0" w:space="0" w:color="auto"/>
        <w:right w:val="none" w:sz="0" w:space="0" w:color="auto"/>
      </w:divBdr>
    </w:div>
    <w:div w:id="1156383488">
      <w:bodyDiv w:val="1"/>
      <w:marLeft w:val="0"/>
      <w:marRight w:val="0"/>
      <w:marTop w:val="0"/>
      <w:marBottom w:val="0"/>
      <w:divBdr>
        <w:top w:val="none" w:sz="0" w:space="0" w:color="auto"/>
        <w:left w:val="none" w:sz="0" w:space="0" w:color="auto"/>
        <w:bottom w:val="none" w:sz="0" w:space="0" w:color="auto"/>
        <w:right w:val="none" w:sz="0" w:space="0" w:color="auto"/>
      </w:divBdr>
    </w:div>
    <w:div w:id="1205823162">
      <w:bodyDiv w:val="1"/>
      <w:marLeft w:val="0"/>
      <w:marRight w:val="0"/>
      <w:marTop w:val="0"/>
      <w:marBottom w:val="0"/>
      <w:divBdr>
        <w:top w:val="none" w:sz="0" w:space="0" w:color="auto"/>
        <w:left w:val="none" w:sz="0" w:space="0" w:color="auto"/>
        <w:bottom w:val="none" w:sz="0" w:space="0" w:color="auto"/>
        <w:right w:val="none" w:sz="0" w:space="0" w:color="auto"/>
      </w:divBdr>
    </w:div>
    <w:div w:id="1237862090">
      <w:bodyDiv w:val="1"/>
      <w:marLeft w:val="0"/>
      <w:marRight w:val="0"/>
      <w:marTop w:val="0"/>
      <w:marBottom w:val="0"/>
      <w:divBdr>
        <w:top w:val="none" w:sz="0" w:space="0" w:color="auto"/>
        <w:left w:val="none" w:sz="0" w:space="0" w:color="auto"/>
        <w:bottom w:val="none" w:sz="0" w:space="0" w:color="auto"/>
        <w:right w:val="none" w:sz="0" w:space="0" w:color="auto"/>
      </w:divBdr>
    </w:div>
    <w:div w:id="1254977522">
      <w:bodyDiv w:val="1"/>
      <w:marLeft w:val="0"/>
      <w:marRight w:val="0"/>
      <w:marTop w:val="0"/>
      <w:marBottom w:val="0"/>
      <w:divBdr>
        <w:top w:val="none" w:sz="0" w:space="0" w:color="auto"/>
        <w:left w:val="none" w:sz="0" w:space="0" w:color="auto"/>
        <w:bottom w:val="none" w:sz="0" w:space="0" w:color="auto"/>
        <w:right w:val="none" w:sz="0" w:space="0" w:color="auto"/>
      </w:divBdr>
    </w:div>
    <w:div w:id="1296984088">
      <w:bodyDiv w:val="1"/>
      <w:marLeft w:val="0"/>
      <w:marRight w:val="0"/>
      <w:marTop w:val="0"/>
      <w:marBottom w:val="0"/>
      <w:divBdr>
        <w:top w:val="none" w:sz="0" w:space="0" w:color="auto"/>
        <w:left w:val="none" w:sz="0" w:space="0" w:color="auto"/>
        <w:bottom w:val="none" w:sz="0" w:space="0" w:color="auto"/>
        <w:right w:val="none" w:sz="0" w:space="0" w:color="auto"/>
      </w:divBdr>
    </w:div>
    <w:div w:id="1365136426">
      <w:bodyDiv w:val="1"/>
      <w:marLeft w:val="0"/>
      <w:marRight w:val="0"/>
      <w:marTop w:val="0"/>
      <w:marBottom w:val="0"/>
      <w:divBdr>
        <w:top w:val="none" w:sz="0" w:space="0" w:color="auto"/>
        <w:left w:val="none" w:sz="0" w:space="0" w:color="auto"/>
        <w:bottom w:val="none" w:sz="0" w:space="0" w:color="auto"/>
        <w:right w:val="none" w:sz="0" w:space="0" w:color="auto"/>
      </w:divBdr>
    </w:div>
    <w:div w:id="1365592823">
      <w:bodyDiv w:val="1"/>
      <w:marLeft w:val="0"/>
      <w:marRight w:val="0"/>
      <w:marTop w:val="0"/>
      <w:marBottom w:val="0"/>
      <w:divBdr>
        <w:top w:val="none" w:sz="0" w:space="0" w:color="auto"/>
        <w:left w:val="none" w:sz="0" w:space="0" w:color="auto"/>
        <w:bottom w:val="none" w:sz="0" w:space="0" w:color="auto"/>
        <w:right w:val="none" w:sz="0" w:space="0" w:color="auto"/>
      </w:divBdr>
    </w:div>
    <w:div w:id="1418553783">
      <w:bodyDiv w:val="1"/>
      <w:marLeft w:val="0"/>
      <w:marRight w:val="0"/>
      <w:marTop w:val="0"/>
      <w:marBottom w:val="0"/>
      <w:divBdr>
        <w:top w:val="none" w:sz="0" w:space="0" w:color="auto"/>
        <w:left w:val="none" w:sz="0" w:space="0" w:color="auto"/>
        <w:bottom w:val="none" w:sz="0" w:space="0" w:color="auto"/>
        <w:right w:val="none" w:sz="0" w:space="0" w:color="auto"/>
      </w:divBdr>
    </w:div>
    <w:div w:id="1422947672">
      <w:bodyDiv w:val="1"/>
      <w:marLeft w:val="0"/>
      <w:marRight w:val="0"/>
      <w:marTop w:val="0"/>
      <w:marBottom w:val="0"/>
      <w:divBdr>
        <w:top w:val="none" w:sz="0" w:space="0" w:color="auto"/>
        <w:left w:val="none" w:sz="0" w:space="0" w:color="auto"/>
        <w:bottom w:val="none" w:sz="0" w:space="0" w:color="auto"/>
        <w:right w:val="none" w:sz="0" w:space="0" w:color="auto"/>
      </w:divBdr>
    </w:div>
    <w:div w:id="1425960356">
      <w:bodyDiv w:val="1"/>
      <w:marLeft w:val="0"/>
      <w:marRight w:val="0"/>
      <w:marTop w:val="0"/>
      <w:marBottom w:val="0"/>
      <w:divBdr>
        <w:top w:val="none" w:sz="0" w:space="0" w:color="auto"/>
        <w:left w:val="none" w:sz="0" w:space="0" w:color="auto"/>
        <w:bottom w:val="none" w:sz="0" w:space="0" w:color="auto"/>
        <w:right w:val="none" w:sz="0" w:space="0" w:color="auto"/>
      </w:divBdr>
    </w:div>
    <w:div w:id="1456213788">
      <w:bodyDiv w:val="1"/>
      <w:marLeft w:val="0"/>
      <w:marRight w:val="0"/>
      <w:marTop w:val="0"/>
      <w:marBottom w:val="0"/>
      <w:divBdr>
        <w:top w:val="none" w:sz="0" w:space="0" w:color="auto"/>
        <w:left w:val="none" w:sz="0" w:space="0" w:color="auto"/>
        <w:bottom w:val="none" w:sz="0" w:space="0" w:color="auto"/>
        <w:right w:val="none" w:sz="0" w:space="0" w:color="auto"/>
      </w:divBdr>
    </w:div>
    <w:div w:id="1485049231">
      <w:bodyDiv w:val="1"/>
      <w:marLeft w:val="0"/>
      <w:marRight w:val="0"/>
      <w:marTop w:val="0"/>
      <w:marBottom w:val="0"/>
      <w:divBdr>
        <w:top w:val="none" w:sz="0" w:space="0" w:color="auto"/>
        <w:left w:val="none" w:sz="0" w:space="0" w:color="auto"/>
        <w:bottom w:val="none" w:sz="0" w:space="0" w:color="auto"/>
        <w:right w:val="none" w:sz="0" w:space="0" w:color="auto"/>
      </w:divBdr>
    </w:div>
    <w:div w:id="1537624392">
      <w:bodyDiv w:val="1"/>
      <w:marLeft w:val="0"/>
      <w:marRight w:val="0"/>
      <w:marTop w:val="0"/>
      <w:marBottom w:val="0"/>
      <w:divBdr>
        <w:top w:val="none" w:sz="0" w:space="0" w:color="auto"/>
        <w:left w:val="none" w:sz="0" w:space="0" w:color="auto"/>
        <w:bottom w:val="none" w:sz="0" w:space="0" w:color="auto"/>
        <w:right w:val="none" w:sz="0" w:space="0" w:color="auto"/>
      </w:divBdr>
    </w:div>
    <w:div w:id="1633631038">
      <w:bodyDiv w:val="1"/>
      <w:marLeft w:val="0"/>
      <w:marRight w:val="0"/>
      <w:marTop w:val="0"/>
      <w:marBottom w:val="0"/>
      <w:divBdr>
        <w:top w:val="none" w:sz="0" w:space="0" w:color="auto"/>
        <w:left w:val="none" w:sz="0" w:space="0" w:color="auto"/>
        <w:bottom w:val="none" w:sz="0" w:space="0" w:color="auto"/>
        <w:right w:val="none" w:sz="0" w:space="0" w:color="auto"/>
      </w:divBdr>
    </w:div>
    <w:div w:id="1668940326">
      <w:bodyDiv w:val="1"/>
      <w:marLeft w:val="0"/>
      <w:marRight w:val="0"/>
      <w:marTop w:val="0"/>
      <w:marBottom w:val="0"/>
      <w:divBdr>
        <w:top w:val="none" w:sz="0" w:space="0" w:color="auto"/>
        <w:left w:val="none" w:sz="0" w:space="0" w:color="auto"/>
        <w:bottom w:val="none" w:sz="0" w:space="0" w:color="auto"/>
        <w:right w:val="none" w:sz="0" w:space="0" w:color="auto"/>
      </w:divBdr>
    </w:div>
    <w:div w:id="1817989803">
      <w:bodyDiv w:val="1"/>
      <w:marLeft w:val="0"/>
      <w:marRight w:val="0"/>
      <w:marTop w:val="0"/>
      <w:marBottom w:val="0"/>
      <w:divBdr>
        <w:top w:val="none" w:sz="0" w:space="0" w:color="auto"/>
        <w:left w:val="none" w:sz="0" w:space="0" w:color="auto"/>
        <w:bottom w:val="none" w:sz="0" w:space="0" w:color="auto"/>
        <w:right w:val="none" w:sz="0" w:space="0" w:color="auto"/>
      </w:divBdr>
    </w:div>
    <w:div w:id="1821535005">
      <w:bodyDiv w:val="1"/>
      <w:marLeft w:val="0"/>
      <w:marRight w:val="0"/>
      <w:marTop w:val="0"/>
      <w:marBottom w:val="0"/>
      <w:divBdr>
        <w:top w:val="none" w:sz="0" w:space="0" w:color="auto"/>
        <w:left w:val="none" w:sz="0" w:space="0" w:color="auto"/>
        <w:bottom w:val="none" w:sz="0" w:space="0" w:color="auto"/>
        <w:right w:val="none" w:sz="0" w:space="0" w:color="auto"/>
      </w:divBdr>
    </w:div>
    <w:div w:id="2030791035">
      <w:bodyDiv w:val="1"/>
      <w:marLeft w:val="0"/>
      <w:marRight w:val="0"/>
      <w:marTop w:val="0"/>
      <w:marBottom w:val="0"/>
      <w:divBdr>
        <w:top w:val="none" w:sz="0" w:space="0" w:color="auto"/>
        <w:left w:val="none" w:sz="0" w:space="0" w:color="auto"/>
        <w:bottom w:val="none" w:sz="0" w:space="0" w:color="auto"/>
        <w:right w:val="none" w:sz="0" w:space="0" w:color="auto"/>
      </w:divBdr>
    </w:div>
    <w:div w:id="2030913113">
      <w:bodyDiv w:val="1"/>
      <w:marLeft w:val="0"/>
      <w:marRight w:val="0"/>
      <w:marTop w:val="0"/>
      <w:marBottom w:val="0"/>
      <w:divBdr>
        <w:top w:val="none" w:sz="0" w:space="0" w:color="auto"/>
        <w:left w:val="none" w:sz="0" w:space="0" w:color="auto"/>
        <w:bottom w:val="none" w:sz="0" w:space="0" w:color="auto"/>
        <w:right w:val="none" w:sz="0" w:space="0" w:color="auto"/>
      </w:divBdr>
    </w:div>
    <w:div w:id="2062514747">
      <w:bodyDiv w:val="1"/>
      <w:marLeft w:val="0"/>
      <w:marRight w:val="0"/>
      <w:marTop w:val="0"/>
      <w:marBottom w:val="0"/>
      <w:divBdr>
        <w:top w:val="none" w:sz="0" w:space="0" w:color="auto"/>
        <w:left w:val="none" w:sz="0" w:space="0" w:color="auto"/>
        <w:bottom w:val="none" w:sz="0" w:space="0" w:color="auto"/>
        <w:right w:val="none" w:sz="0" w:space="0" w:color="auto"/>
      </w:divBdr>
    </w:div>
    <w:div w:id="2122066499">
      <w:bodyDiv w:val="1"/>
      <w:marLeft w:val="0"/>
      <w:marRight w:val="0"/>
      <w:marTop w:val="0"/>
      <w:marBottom w:val="0"/>
      <w:divBdr>
        <w:top w:val="none" w:sz="0" w:space="0" w:color="auto"/>
        <w:left w:val="none" w:sz="0" w:space="0" w:color="auto"/>
        <w:bottom w:val="none" w:sz="0" w:space="0" w:color="auto"/>
        <w:right w:val="none" w:sz="0" w:space="0" w:color="auto"/>
      </w:divBdr>
    </w:div>
    <w:div w:id="213162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eba1161c81c6469d74261bea3b30c8c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c9c83ea47bd98b70c65cde76df8b3b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RvB60</b:Tag>
    <b:SourceType>Case</b:SourceType>
    <b:Guid>{6DE235CE-0C25-4D18-B9CD-7063C15811F4}</b:Guid>
    <b:Title>R v Byrne</b:Title>
    <b:CaseNumber>QB 396</b:CaseNumber>
    <b:Court>Court of Criminal Appeal</b:Court>
    <b:Year>1960</b:Year>
    <b:RefOrder>3</b:RefOrder>
  </b:Source>
  <b:Source>
    <b:Tag>Ade12</b:Tag>
    <b:SourceType>JournalArticle</b:SourceType>
    <b:Guid>{9E3FAB88-BF4A-46C1-AD5D-E95CC7D413A3}</b:Guid>
    <b:Title>Diminished Responsibility in Homicide Cases</b:Title>
    <b:Year>2012</b:Year>
    <b:JournalName>In Law and Medicine: Current Legal Issues</b:JournalName>
    <b:Pages>203-221</b:Pages>
    <b:Author>
      <b:Author>
        <b:NameList>
          <b:Person>
            <b:Last>Adebajo</b:Last>
            <b:First>A</b:First>
          </b:Person>
        </b:NameList>
      </b:Author>
    </b:Author>
    <b:Publisher>Oxford University Press</b:Publisher>
    <b:Volume>15</b:Volume>
    <b:RefOrder>4</b:RefOrder>
  </b:Source>
  <b:Source>
    <b:Tag>Rya11</b:Tag>
    <b:SourceType>JournalArticle</b:SourceType>
    <b:Guid>{18EC9480-8D5B-4920-8708-C244C02BD5EE}</b:Guid>
    <b:Title>A diminished defence? An overview of the Coroners and Justice Act 2009</b:Title>
    <b:JournalName>The Journal of Criminal Law</b:JournalName>
    <b:Year>2011</b:Year>
    <b:Pages>481-495</b:Pages>
    <b:Author>
      <b:Author>
        <b:NameList>
          <b:Person>
            <b:Last>Ryan</b:Last>
            <b:First>T</b:First>
          </b:Person>
        </b:NameList>
      </b:Author>
    </b:Author>
    <b:Volume>75</b:Volume>
    <b:Issue>2</b:Issue>
    <b:RefOrder>5</b:RefOrder>
  </b:Source>
  <b:Source>
    <b:Tag>Phi13</b:Tag>
    <b:SourceType>JournalArticle</b:SourceType>
    <b:Guid>{C80C154D-FC60-45D1-8A07-BDE19B822A25}</b:Guid>
    <b:Title>Diminished Responsibility and the Coroners and Justice Act 2009</b:Title>
    <b:JournalName>Criminal Law Review</b:JournalName>
    <b:Year>2013</b:Year>
    <b:Pages>447-462</b:Pages>
    <b:Author>
      <b:Author>
        <b:NameList>
          <b:Person>
            <b:Last>Phillips</b:Last>
            <b:First>D</b:First>
          </b:Person>
        </b:NameList>
      </b:Author>
    </b:Author>
    <b:Volume>6</b:Volume>
    <b:RefOrder>6</b:RefOrder>
  </b:Source>
  <b:Source>
    <b:Tag>Rob11</b:Tag>
    <b:SourceType>JournalArticle</b:SourceType>
    <b:Guid>{70D09717-0B70-4357-8958-E2FB1C43EF2C}</b:Guid>
    <b:Title>Reflections on the Coroners Act 2009</b:Title>
    <b:JournalName>Criminal Law Review</b:JournalName>
    <b:Year>2011</b:Year>
    <b:Pages>183-195</b:Pages>
    <b:Author>
      <b:Author>
        <b:NameList>
          <b:Person>
            <b:Last>Roberts</b:Last>
            <b:Middle>V</b:Middle>
            <b:First>J</b:First>
          </b:Person>
        </b:NameList>
      </b:Author>
    </b:Author>
    <b:Volume>3</b:Volume>
    <b:RefOrder>7</b:RefOrder>
  </b:Source>
  <b:Source>
    <b:Tag>Law06</b:Tag>
    <b:SourceType>Report</b:SourceType>
    <b:Guid>{2807C9F4-7B8A-40EE-B6B5-F9A32B644743}</b:Guid>
    <b:Title>Partial Defences to Murder</b:Title>
    <b:Year>2006</b:Year>
    <b:Author>
      <b:Author>
        <b:Corporate>Law Commission</b:Corporate>
      </b:Author>
    </b:Author>
    <b:URL>https://www.lawcom.gov.uk/project/partial-defences-to-murder/</b:URL>
    <b:RefOrder>8</b:RefOrder>
  </b:Source>
  <b:Source>
    <b:Tag>Cro22</b:Tag>
    <b:SourceType>InternetSite</b:SourceType>
    <b:Guid>{811BFDD4-2BC9-40B3-A832-DDE8E188E132}</b:Guid>
    <b:Title>Legal Guidance - Homicide, Murder and Manslaughter</b:Title>
    <b:Year>2022</b:Year>
    <b:Author>
      <b:Author>
        <b:Corporate>Crown Prosecution Service</b:Corporate>
      </b:Author>
    </b:Author>
    <b:InternetSiteTitle>Crown Prosecution Service</b:InternetSiteTitle>
    <b:Month>September</b:Month>
    <b:Day>9</b:Day>
    <b:URL>https://www.cps.gov.uk/legal-guidance/homicide-murder-and-manslaughter</b:URL>
    <b:RefOrder>2</b:RefOrder>
  </b:Source>
  <b:Source>
    <b:Tag>Pem15</b:Tag>
    <b:SourceType>BookSection</b:SourceType>
    <b:Guid>{58E7E1F0-8323-40D2-950A-E92A2B9C5CF0}</b:Guid>
    <b:Title>Diminished Responsibility</b:Title>
    <b:Year>2015</b:Year>
    <b:Pages>393-409</b:Pages>
    <b:Author>
      <b:Author>
        <b:NameList>
          <b:Person>
            <b:Last>Pemberton</b:Last>
            <b:First>S</b:First>
          </b:Person>
        </b:NameList>
      </b:Author>
      <b:Editor>
        <b:NameList>
          <b:Person>
            <b:Last>Almond</b:Last>
            <b:First>Paul</b:First>
          </b:Person>
          <b:Person>
            <b:Last>McCarthy</b:Last>
            <b:Middle>D. E</b:Middle>
            <b:First>Fiona</b:First>
          </b:Person>
          <b:Person>
            <b:Last>Smith</b:Last>
            <b:Middle>E. C</b:Middle>
            <b:First>R</b:First>
          </b:Person>
        </b:NameList>
      </b:Editor>
    </b:Author>
    <b:Publisher>Oxford University Press</b:Publisher>
    <b:BookTitle>Principles and Values in Criminal Law and Criminal Justice: Essays in Honour of Andrew Ashworth</b:BookTitle>
    <b:RefOrder>9</b:RefOrder>
  </b:Source>
  <b:Source>
    <b:Tag>Tho</b:Tag>
    <b:SourceType>JournalArticle</b:SourceType>
    <b:Guid>{D0BA21A8-C7C5-4406-A717-3131E7769A01}</b:Guid>
    <b:Title>The Coroners and Justice Act 2009: An evaluation of the partial defence of diminished responsibility</b:Title>
    <b:Author>
      <b:Author>
        <b:NameList>
          <b:Person>
            <b:Last>Thomas</b:Last>
            <b:First>C</b:First>
          </b:Person>
        </b:NameList>
      </b:Author>
    </b:Author>
    <b:JournalName>The Journal of Criminal Law</b:JournalName>
    <b:Year>2014</b:Year>
    <b:Pages>24-39</b:Pages>
    <b:Volume>78</b:Volume>
    <b:Issue>1</b:Issue>
    <b:RefOrder>10</b:RefOrder>
  </b:Source>
  <b:Source>
    <b:Tag>Zha06</b:Tag>
    <b:SourceType>JournalArticle</b:SourceType>
    <b:Guid>{26249AF9-21AE-4838-8812-ABBA454C4231}</b:Guid>
    <b:Title>Exploring the effect of mental disorders on criminal responsibility from the perspective of neuroscience: A Chinese criminal law context</b:Title>
    <b:JournalName>Frontiers in Psychology</b:JournalName>
    <b:Year>2006</b:Year>
    <b:Pages>1-9</b:Pages>
    <b:Author>
      <b:Author>
        <b:NameList>
          <b:Person>
            <b:Last>Zhang</b:Last>
            <b:First>X</b:First>
          </b:Person>
        </b:NameList>
      </b:Author>
    </b:Author>
    <b:Volume>7</b:Volume>
    <b:RefOrder>11</b:RefOrder>
  </b:Source>
  <b:Source>
    <b:Tag>Rus11</b:Tag>
    <b:SourceType>JournalArticle</b:SourceType>
    <b:Guid>{DB76E56D-CB18-4ED5-97AB-BF48C47109E9}</b:Guid>
    <b:Title>The Coroners and Justice Act 2009: Changes to the defence of diminished responsibility</b:Title>
    <b:JournalName>Journal of Criminal Law</b:JournalName>
    <b:Year>2011</b:Year>
    <b:Pages>148-161</b:Pages>
    <b:Author>
      <b:Author>
        <b:NameList>
          <b:Person>
            <b:Last>Rush</b:Last>
            <b:First>G</b:First>
          </b:Person>
        </b:NameList>
      </b:Author>
    </b:Author>
    <b:Volume>75</b:Volume>
    <b:Issue>2</b:Issue>
    <b:RefOrder>12</b:RefOrder>
  </b:Source>
  <b:Source>
    <b:Tag>Her18</b:Tag>
    <b:SourceType>Book</b:SourceType>
    <b:Guid>{CEE6E12A-221D-48EC-98AF-1F2EED8658DD}</b:Guid>
    <b:Title>Criminal Law: Text, cases, and materials</b:Title>
    <b:Year>2018</b:Year>
    <b:Publisher>Oxford University Press</b:Publisher>
    <b:Author>
      <b:Author>
        <b:NameList>
          <b:Person>
            <b:Last>Herring</b:Last>
            <b:First>J</b:First>
          </b:Person>
        </b:NameList>
      </b:Author>
    </b:Author>
    <b:RefOrder>13</b:RefOrder>
  </b:Source>
  <b:Source>
    <b:Tag>Fre13</b:Tag>
    <b:SourceType>JournalArticle</b:SourceType>
    <b:Guid>{4DD66D55-7C15-4EE5-9CA9-E07FCB6669C6}</b:Guid>
    <b:Title>Diminished Responsibility and Mental Impairment: Debate and Reform</b:Title>
    <b:Year>2013</b:Year>
    <b:JournalName>Psychiatry, Psychology and Law</b:JournalName>
    <b:Pages>1-12</b:Pages>
    <b:Author>
      <b:Author>
        <b:NameList>
          <b:Person>
            <b:Last>Freckleton</b:Last>
            <b:First>I</b:First>
          </b:Person>
        </b:NameList>
      </b:Author>
    </b:Author>
    <b:Volume>20</b:Volume>
    <b:Issue>1</b:Issue>
    <b:RefOrder>14</b:RefOrder>
  </b:Source>
  <b:Source>
    <b:Tag>Ric13</b:Tag>
    <b:SourceType>JournalArticle</b:SourceType>
    <b:Guid>{E803C922-2ABB-41FC-840D-87C9545A12DD}</b:Guid>
    <b:Title>The insanity defence reform in England and Wales: Part of a global trend?</b:Title>
    <b:JournalName>Behavioural Sciences and the Law</b:JournalName>
    <b:Year>2013</b:Year>
    <b:Pages>567-578</b:Pages>
    <b:Author>
      <b:Author>
        <b:NameList>
          <b:Person>
            <b:Last>Richardson</b:Last>
            <b:First>G</b:First>
          </b:Person>
          <b:Person>
            <b:Last>Gudjonsson</b:Last>
            <b:Middle>H</b:Middle>
            <b:First>G</b:First>
          </b:Person>
        </b:NameList>
      </b:Author>
    </b:Author>
    <b:Volume>31</b:Volume>
    <b:Issue>5</b:Issue>
    <b:RefOrder>15</b:RefOrder>
  </b:Source>
  <b:Source>
    <b:Tag>Sen12</b:Tag>
    <b:SourceType>InternetSite</b:SourceType>
    <b:Guid>{3B08A65B-60C7-449B-B56E-B6B92516BCF3}</b:Guid>
    <b:Title>Manslaughter: Definitive Guideline</b:Title>
    <b:Year>2012</b:Year>
    <b:Author>
      <b:Author>
        <b:Corporate>Sentencing Council</b:Corporate>
      </b:Author>
    </b:Author>
    <b:InternetSiteTitle>Sentencing Council</b:InternetSiteTitle>
    <b:URL>https://www.sentencingcouncil.org.uk/wp-content/uploads/FINAL-Manslaughter-Definitive-Guideline-Web.pdf</b:URL>
    <b:RefOrder>16</b:RefOrder>
  </b:Source>
  <b:Source>
    <b:Tag>UKP43</b:Tag>
    <b:SourceType>Report</b:SourceType>
    <b:Guid>{EB4EEA1A-9476-4BB6-9AAB-18367FF41067}</b:Guid>
    <b:Title>Hansard</b:Title>
    <b:Year>1843</b:Year>
    <b:Author>
      <b:Author>
        <b:Corporate>Hansard</b:Corporate>
      </b:Author>
    </b:Author>
    <b:Publisher>UK Parliament</b:Publisher>
    <b:RefOrder>1</b:RefOrder>
  </b:Source>
</b:Sources>
</file>

<file path=customXml/itemProps1.xml><?xml version="1.0" encoding="utf-8"?>
<ds:datastoreItem xmlns:ds="http://schemas.openxmlformats.org/officeDocument/2006/customXml" ds:itemID="{5A3250BA-4DA4-4440-ABF3-191D40FE03B0}">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B62BB511-A346-4D2D-9C29-67E14FCF03B1}">
  <ds:schemaRefs>
    <ds:schemaRef ds:uri="http://schemas.microsoft.com/sharepoint/v3/contenttype/forms"/>
  </ds:schemaRefs>
</ds:datastoreItem>
</file>

<file path=customXml/itemProps3.xml><?xml version="1.0" encoding="utf-8"?>
<ds:datastoreItem xmlns:ds="http://schemas.openxmlformats.org/officeDocument/2006/customXml" ds:itemID="{3AB24B61-C0D0-4BE2-BDCA-193C7F4440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8EDC0C-9B0A-4C46-8A6A-25D8B5446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2637</TotalTime>
  <Pages>5</Pages>
  <Words>1925</Words>
  <Characters>10977</Characters>
  <Application>Microsoft Office Word</Application>
  <DocSecurity>0</DocSecurity>
  <Lines>91</Lines>
  <Paragraphs>25</Paragraphs>
  <ScaleCrop>false</ScaleCrop>
  <Company/>
  <LinksUpToDate>false</LinksUpToDate>
  <CharactersWithSpaces>12877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Williams (2203204)</dc:creator>
  <cp:keywords/>
  <dc:description/>
  <cp:lastModifiedBy>Steffan Williams (2203204)</cp:lastModifiedBy>
  <cp:revision>172</cp:revision>
  <dcterms:created xsi:type="dcterms:W3CDTF">2023-02-20T22:21:00Z</dcterms:created>
  <dcterms:modified xsi:type="dcterms:W3CDTF">2023-02-23T20:55:00Z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