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Theme="minorHAnsi" w:hAnsi="Arial"/>
          <w:color w:val="4472C4" w:themeColor="accent1"/>
          <w:lang w:val="en-GB"/>
        </w:rPr>
        <w:id w:val="-2032482266"/>
        <w:docPartObj>
          <w:docPartGallery w:val="Cover Pages"/>
          <w:docPartUnique/>
        </w:docPartObj>
      </w:sdtPr>
      <w:sdtEndPr>
        <w:rPr>
          <w:color w:val="auto"/>
        </w:rPr>
      </w:sdtEndPr>
      <w:sdtContent>
        <w:p w14:paraId="40653E67" w14:textId="7F10D2A3" w:rsidR="00A25974" w:rsidRDefault="00A25974">
          <w:pPr>
            <w:pStyle w:val="a5"/>
            <w:spacing w:before="1540" w:after="240"/>
            <w:jc w:val="center"/>
            <w:rPr>
              <w:color w:val="4472C4" w:themeColor="accent1"/>
            </w:rPr>
          </w:pPr>
          <w:r>
            <w:rPr>
              <w:noProof/>
              <w:color w:val="4472C4" w:themeColor="accent1"/>
              <w:lang w:val="en-GB" w:eastAsia="en-GB"/>
            </w:rPr>
            <w:drawing>
              <wp:inline distT="0" distB="0" distL="0" distR="0" wp14:anchorId="160C0950" wp14:editId="66CDF53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20C87C365224F0585A7C87CAABFBBDC"/>
            </w:placeholder>
            <w:dataBinding w:prefixMappings="xmlns:ns0='http://purl.org/dc/elements/1.1/' xmlns:ns1='http://schemas.openxmlformats.org/package/2006/metadata/core-properties' " w:xpath="/ns1:coreProperties[1]/ns0:title[1]" w:storeItemID="{6C3C8BC8-F283-45AE-878A-BAB7291924A1}"/>
            <w:text/>
          </w:sdtPr>
          <w:sdtEndPr/>
          <w:sdtContent>
            <w:p w14:paraId="0717CFC9" w14:textId="65D8AC35" w:rsidR="00A25974" w:rsidRDefault="00A25974">
              <w:pPr>
                <w:pStyle w:val="a5"/>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A25974">
                <w:rPr>
                  <w:rFonts w:asciiTheme="majorHAnsi" w:eastAsiaTheme="majorEastAsia" w:hAnsiTheme="majorHAnsi" w:cstheme="majorBidi"/>
                  <w:caps/>
                  <w:color w:val="4472C4" w:themeColor="accent1"/>
                  <w:sz w:val="72"/>
                  <w:szCs w:val="72"/>
                </w:rPr>
                <w:t>MARKETING FUNDAMENTALS</w:t>
              </w:r>
            </w:p>
          </w:sdtContent>
        </w:sdt>
        <w:sdt>
          <w:sdtPr>
            <w:rPr>
              <w:color w:val="4472C4" w:themeColor="accent1"/>
              <w:sz w:val="28"/>
              <w:szCs w:val="28"/>
            </w:rPr>
            <w:alias w:val="Subtitle"/>
            <w:tag w:val=""/>
            <w:id w:val="328029620"/>
            <w:placeholder>
              <w:docPart w:val="66927F27F0EB4E5F953DC79D08BFC5A7"/>
            </w:placeholder>
            <w:dataBinding w:prefixMappings="xmlns:ns0='http://purl.org/dc/elements/1.1/' xmlns:ns1='http://schemas.openxmlformats.org/package/2006/metadata/core-properties' " w:xpath="/ns1:coreProperties[1]/ns0:subject[1]" w:storeItemID="{6C3C8BC8-F283-45AE-878A-BAB7291924A1}"/>
            <w:text/>
          </w:sdtPr>
          <w:sdtEndPr/>
          <w:sdtContent>
            <w:p w14:paraId="378B07BE" w14:textId="0DFC6843" w:rsidR="00A25974" w:rsidRDefault="00A25974">
              <w:pPr>
                <w:pStyle w:val="a5"/>
                <w:jc w:val="center"/>
                <w:rPr>
                  <w:color w:val="4472C4" w:themeColor="accent1"/>
                  <w:sz w:val="28"/>
                  <w:szCs w:val="28"/>
                </w:rPr>
              </w:pPr>
              <w:r w:rsidRPr="00A25974">
                <w:rPr>
                  <w:color w:val="4472C4" w:themeColor="accent1"/>
                  <w:sz w:val="28"/>
                  <w:szCs w:val="28"/>
                </w:rPr>
                <w:t>Marketing Fundamentals Analysis and Evaluation - Assessment 2</w:t>
              </w:r>
            </w:p>
          </w:sdtContent>
        </w:sdt>
        <w:p w14:paraId="6BB4E6ED" w14:textId="77777777" w:rsidR="00A25974" w:rsidRDefault="00A25974">
          <w:pPr>
            <w:pStyle w:val="a5"/>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06460153" wp14:editId="46AD90A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29313E6" w14:textId="50DEA5B1" w:rsidR="00A25974" w:rsidRDefault="00A25974">
                                    <w:pPr>
                                      <w:pStyle w:val="a5"/>
                                      <w:spacing w:after="40"/>
                                      <w:jc w:val="center"/>
                                      <w:rPr>
                                        <w:caps/>
                                        <w:color w:val="4472C4" w:themeColor="accent1"/>
                                        <w:sz w:val="28"/>
                                        <w:szCs w:val="28"/>
                                      </w:rPr>
                                    </w:pPr>
                                    <w:r>
                                      <w:rPr>
                                        <w:caps/>
                                        <w:color w:val="4472C4" w:themeColor="accent1"/>
                                        <w:sz w:val="28"/>
                                        <w:szCs w:val="28"/>
                                      </w:rPr>
                                      <w:t>Student id:</w:t>
                                    </w:r>
                                    <w:r w:rsidR="00576D35">
                                      <w:rPr>
                                        <w:caps/>
                                        <w:color w:val="4472C4" w:themeColor="accent1"/>
                                        <w:sz w:val="28"/>
                                        <w:szCs w:val="28"/>
                                      </w:rPr>
                                      <w:t>1907707</w:t>
                                    </w:r>
                                  </w:p>
                                </w:sdtContent>
                              </w:sdt>
                              <w:p w14:paraId="3F6F3E9D" w14:textId="410BD090" w:rsidR="00A25974" w:rsidRDefault="00576D35">
                                <w:pPr>
                                  <w:pStyle w:val="a5"/>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Pr>
                                        <w:caps/>
                                        <w:color w:val="4472C4" w:themeColor="accent1"/>
                                        <w:lang w:val="en-GB"/>
                                      </w:rPr>
                                      <w:t>Student name:YANITSA GOSPODINOVA</w:t>
                                    </w:r>
                                  </w:sdtContent>
                                </w:sdt>
                              </w:p>
                              <w:p w14:paraId="29C1E1A2" w14:textId="120FD332" w:rsidR="00A25974" w:rsidRDefault="00576D35">
                                <w:pPr>
                                  <w:pStyle w:val="a5"/>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25974" w:rsidRPr="00A25974">
                                      <w:rPr>
                                        <w:color w:val="4472C4" w:themeColor="accent1"/>
                                      </w:rPr>
                                      <w:t xml:space="preserve">Lecturer: </w:t>
                                    </w:r>
                                    <w:proofErr w:type="spellStart"/>
                                    <w:r w:rsidR="00A25974" w:rsidRPr="00A25974">
                                      <w:rPr>
                                        <w:color w:val="4472C4" w:themeColor="accent1"/>
                                      </w:rPr>
                                      <w:t>Tushara</w:t>
                                    </w:r>
                                    <w:proofErr w:type="spellEnd"/>
                                    <w:r w:rsidR="00A25974" w:rsidRPr="00A25974">
                                      <w:rPr>
                                        <w:color w:val="4472C4" w:themeColor="accent1"/>
                                      </w:rPr>
                                      <w:t xml:space="preserve"> </w:t>
                                    </w:r>
                                    <w:proofErr w:type="spellStart"/>
                                    <w:r w:rsidR="00A25974" w:rsidRPr="00A25974">
                                      <w:rPr>
                                        <w:color w:val="4472C4" w:themeColor="accent1"/>
                                      </w:rPr>
                                      <w:t>Balendran</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646015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29313E6" w14:textId="50DEA5B1" w:rsidR="00A25974" w:rsidRDefault="00A25974">
                              <w:pPr>
                                <w:pStyle w:val="a5"/>
                                <w:spacing w:after="40"/>
                                <w:jc w:val="center"/>
                                <w:rPr>
                                  <w:caps/>
                                  <w:color w:val="4472C4" w:themeColor="accent1"/>
                                  <w:sz w:val="28"/>
                                  <w:szCs w:val="28"/>
                                </w:rPr>
                              </w:pPr>
                              <w:r>
                                <w:rPr>
                                  <w:caps/>
                                  <w:color w:val="4472C4" w:themeColor="accent1"/>
                                  <w:sz w:val="28"/>
                                  <w:szCs w:val="28"/>
                                </w:rPr>
                                <w:t>Student id:</w:t>
                              </w:r>
                              <w:r w:rsidR="00576D35">
                                <w:rPr>
                                  <w:caps/>
                                  <w:color w:val="4472C4" w:themeColor="accent1"/>
                                  <w:sz w:val="28"/>
                                  <w:szCs w:val="28"/>
                                </w:rPr>
                                <w:t>1907707</w:t>
                              </w:r>
                            </w:p>
                          </w:sdtContent>
                        </w:sdt>
                        <w:p w14:paraId="3F6F3E9D" w14:textId="410BD090" w:rsidR="00A25974" w:rsidRDefault="00576D35">
                          <w:pPr>
                            <w:pStyle w:val="a5"/>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Pr>
                                  <w:caps/>
                                  <w:color w:val="4472C4" w:themeColor="accent1"/>
                                  <w:lang w:val="en-GB"/>
                                </w:rPr>
                                <w:t>Student name:YANITSA GOSPODINOVA</w:t>
                              </w:r>
                            </w:sdtContent>
                          </w:sdt>
                        </w:p>
                        <w:p w14:paraId="29C1E1A2" w14:textId="120FD332" w:rsidR="00A25974" w:rsidRDefault="00576D35">
                          <w:pPr>
                            <w:pStyle w:val="a5"/>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25974" w:rsidRPr="00A25974">
                                <w:rPr>
                                  <w:color w:val="4472C4" w:themeColor="accent1"/>
                                </w:rPr>
                                <w:t xml:space="preserve">Lecturer: </w:t>
                              </w:r>
                              <w:proofErr w:type="spellStart"/>
                              <w:r w:rsidR="00A25974" w:rsidRPr="00A25974">
                                <w:rPr>
                                  <w:color w:val="4472C4" w:themeColor="accent1"/>
                                </w:rPr>
                                <w:t>Tushara</w:t>
                              </w:r>
                              <w:proofErr w:type="spellEnd"/>
                              <w:r w:rsidR="00A25974" w:rsidRPr="00A25974">
                                <w:rPr>
                                  <w:color w:val="4472C4" w:themeColor="accent1"/>
                                </w:rPr>
                                <w:t xml:space="preserve"> </w:t>
                              </w:r>
                              <w:proofErr w:type="spellStart"/>
                              <w:r w:rsidR="00A25974" w:rsidRPr="00A25974">
                                <w:rPr>
                                  <w:color w:val="4472C4" w:themeColor="accent1"/>
                                </w:rPr>
                                <w:t>Balendran</w:t>
                              </w:r>
                              <w:proofErr w:type="spellEnd"/>
                            </w:sdtContent>
                          </w:sdt>
                        </w:p>
                      </w:txbxContent>
                    </v:textbox>
                    <w10:wrap anchorx="margin" anchory="page"/>
                  </v:shape>
                </w:pict>
              </mc:Fallback>
            </mc:AlternateContent>
          </w:r>
          <w:r>
            <w:rPr>
              <w:noProof/>
              <w:color w:val="4472C4" w:themeColor="accent1"/>
              <w:lang w:val="en-GB" w:eastAsia="en-GB"/>
            </w:rPr>
            <w:drawing>
              <wp:inline distT="0" distB="0" distL="0" distR="0" wp14:anchorId="0B93967D" wp14:editId="3800ECE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92317D" w14:textId="53A37DDC" w:rsidR="00A25974" w:rsidRDefault="00A25974">
          <w:pPr>
            <w:spacing w:after="160" w:line="259" w:lineRule="auto"/>
          </w:pPr>
          <w:r>
            <w:br w:type="page"/>
          </w:r>
        </w:p>
        <w:bookmarkStart w:id="0" w:name="_GoBack" w:displacedByCustomXml="next"/>
        <w:bookmarkEnd w:id="0" w:displacedByCustomXml="next"/>
      </w:sdtContent>
    </w:sdt>
    <w:sdt>
      <w:sdtPr>
        <w:rPr>
          <w:rFonts w:ascii="Arial" w:eastAsiaTheme="minorHAnsi" w:hAnsi="Arial" w:cstheme="minorBidi"/>
          <w:color w:val="auto"/>
          <w:sz w:val="22"/>
          <w:szCs w:val="22"/>
          <w:lang w:val="en-GB"/>
        </w:rPr>
        <w:id w:val="-1640567072"/>
        <w:docPartObj>
          <w:docPartGallery w:val="Table of Contents"/>
          <w:docPartUnique/>
        </w:docPartObj>
      </w:sdtPr>
      <w:sdtEndPr>
        <w:rPr>
          <w:b/>
          <w:bCs/>
          <w:noProof/>
        </w:rPr>
      </w:sdtEndPr>
      <w:sdtContent>
        <w:p w14:paraId="0843C41C" w14:textId="3D786732" w:rsidR="000E2C37" w:rsidRDefault="000E2C37">
          <w:pPr>
            <w:pStyle w:val="a7"/>
          </w:pPr>
          <w:r>
            <w:t>Table of Contents</w:t>
          </w:r>
        </w:p>
        <w:p w14:paraId="4E32CEBC" w14:textId="4B22F096" w:rsidR="000E2C37" w:rsidRDefault="000E2C37">
          <w:pPr>
            <w:pStyle w:val="11"/>
            <w:tabs>
              <w:tab w:val="right" w:leader="dot" w:pos="9016"/>
            </w:tabs>
            <w:rPr>
              <w:noProof/>
            </w:rPr>
          </w:pPr>
          <w:r>
            <w:fldChar w:fldCharType="begin"/>
          </w:r>
          <w:r>
            <w:instrText xml:space="preserve"> TOC \o "1-3" \h \z \u </w:instrText>
          </w:r>
          <w:r>
            <w:fldChar w:fldCharType="separate"/>
          </w:r>
          <w:hyperlink w:anchor="_Toc48734167" w:history="1">
            <w:r w:rsidRPr="006340AF">
              <w:rPr>
                <w:rStyle w:val="a8"/>
                <w:noProof/>
              </w:rPr>
              <w:t>Introduction</w:t>
            </w:r>
            <w:r>
              <w:rPr>
                <w:noProof/>
                <w:webHidden/>
              </w:rPr>
              <w:tab/>
            </w:r>
            <w:r>
              <w:rPr>
                <w:noProof/>
                <w:webHidden/>
              </w:rPr>
              <w:fldChar w:fldCharType="begin"/>
            </w:r>
            <w:r>
              <w:rPr>
                <w:noProof/>
                <w:webHidden/>
              </w:rPr>
              <w:instrText xml:space="preserve"> PAGEREF _Toc48734167 \h </w:instrText>
            </w:r>
            <w:r>
              <w:rPr>
                <w:noProof/>
                <w:webHidden/>
              </w:rPr>
            </w:r>
            <w:r>
              <w:rPr>
                <w:noProof/>
                <w:webHidden/>
              </w:rPr>
              <w:fldChar w:fldCharType="separate"/>
            </w:r>
            <w:r>
              <w:rPr>
                <w:noProof/>
                <w:webHidden/>
              </w:rPr>
              <w:t>2</w:t>
            </w:r>
            <w:r>
              <w:rPr>
                <w:noProof/>
                <w:webHidden/>
              </w:rPr>
              <w:fldChar w:fldCharType="end"/>
            </w:r>
          </w:hyperlink>
        </w:p>
        <w:p w14:paraId="0E31DFBC" w14:textId="7ED0EC4F" w:rsidR="000E2C37" w:rsidRDefault="00576D35">
          <w:pPr>
            <w:pStyle w:val="11"/>
            <w:tabs>
              <w:tab w:val="right" w:leader="dot" w:pos="9016"/>
            </w:tabs>
            <w:rPr>
              <w:noProof/>
            </w:rPr>
          </w:pPr>
          <w:hyperlink w:anchor="_Toc48734168" w:history="1">
            <w:r w:rsidR="000E2C37" w:rsidRPr="006340AF">
              <w:rPr>
                <w:rStyle w:val="a8"/>
                <w:noProof/>
              </w:rPr>
              <w:t>Marketing Value and the Business Customers</w:t>
            </w:r>
            <w:r w:rsidR="000E2C37">
              <w:rPr>
                <w:noProof/>
                <w:webHidden/>
              </w:rPr>
              <w:tab/>
            </w:r>
            <w:r w:rsidR="000E2C37">
              <w:rPr>
                <w:noProof/>
                <w:webHidden/>
              </w:rPr>
              <w:fldChar w:fldCharType="begin"/>
            </w:r>
            <w:r w:rsidR="000E2C37">
              <w:rPr>
                <w:noProof/>
                <w:webHidden/>
              </w:rPr>
              <w:instrText xml:space="preserve"> PAGEREF _Toc48734168 \h </w:instrText>
            </w:r>
            <w:r w:rsidR="000E2C37">
              <w:rPr>
                <w:noProof/>
                <w:webHidden/>
              </w:rPr>
            </w:r>
            <w:r w:rsidR="000E2C37">
              <w:rPr>
                <w:noProof/>
                <w:webHidden/>
              </w:rPr>
              <w:fldChar w:fldCharType="separate"/>
            </w:r>
            <w:r w:rsidR="000E2C37">
              <w:rPr>
                <w:noProof/>
                <w:webHidden/>
              </w:rPr>
              <w:t>2</w:t>
            </w:r>
            <w:r w:rsidR="000E2C37">
              <w:rPr>
                <w:noProof/>
                <w:webHidden/>
              </w:rPr>
              <w:fldChar w:fldCharType="end"/>
            </w:r>
          </w:hyperlink>
        </w:p>
        <w:p w14:paraId="2A60F62E" w14:textId="43041D19" w:rsidR="000E2C37" w:rsidRDefault="00576D35">
          <w:pPr>
            <w:pStyle w:val="11"/>
            <w:tabs>
              <w:tab w:val="right" w:leader="dot" w:pos="9016"/>
            </w:tabs>
            <w:rPr>
              <w:noProof/>
            </w:rPr>
          </w:pPr>
          <w:hyperlink w:anchor="_Toc48734169" w:history="1">
            <w:r w:rsidR="000E2C37" w:rsidRPr="006340AF">
              <w:rPr>
                <w:rStyle w:val="a8"/>
                <w:noProof/>
              </w:rPr>
              <w:t>Stakeholder Engagement Through Marketing</w:t>
            </w:r>
            <w:r w:rsidR="000E2C37">
              <w:rPr>
                <w:noProof/>
                <w:webHidden/>
              </w:rPr>
              <w:tab/>
            </w:r>
            <w:r w:rsidR="000E2C37">
              <w:rPr>
                <w:noProof/>
                <w:webHidden/>
              </w:rPr>
              <w:fldChar w:fldCharType="begin"/>
            </w:r>
            <w:r w:rsidR="000E2C37">
              <w:rPr>
                <w:noProof/>
                <w:webHidden/>
              </w:rPr>
              <w:instrText xml:space="preserve"> PAGEREF _Toc48734169 \h </w:instrText>
            </w:r>
            <w:r w:rsidR="000E2C37">
              <w:rPr>
                <w:noProof/>
                <w:webHidden/>
              </w:rPr>
            </w:r>
            <w:r w:rsidR="000E2C37">
              <w:rPr>
                <w:noProof/>
                <w:webHidden/>
              </w:rPr>
              <w:fldChar w:fldCharType="separate"/>
            </w:r>
            <w:r w:rsidR="000E2C37">
              <w:rPr>
                <w:noProof/>
                <w:webHidden/>
              </w:rPr>
              <w:t>4</w:t>
            </w:r>
            <w:r w:rsidR="000E2C37">
              <w:rPr>
                <w:noProof/>
                <w:webHidden/>
              </w:rPr>
              <w:fldChar w:fldCharType="end"/>
            </w:r>
          </w:hyperlink>
        </w:p>
        <w:p w14:paraId="64D1161B" w14:textId="7A8651D8" w:rsidR="000E2C37" w:rsidRDefault="00576D35">
          <w:pPr>
            <w:pStyle w:val="11"/>
            <w:tabs>
              <w:tab w:val="right" w:leader="dot" w:pos="9016"/>
            </w:tabs>
            <w:rPr>
              <w:noProof/>
            </w:rPr>
          </w:pPr>
          <w:hyperlink w:anchor="_Toc48734170" w:history="1">
            <w:r w:rsidR="000E2C37" w:rsidRPr="006340AF">
              <w:rPr>
                <w:rStyle w:val="a8"/>
                <w:noProof/>
              </w:rPr>
              <w:t>Conclusion</w:t>
            </w:r>
            <w:r w:rsidR="000E2C37">
              <w:rPr>
                <w:noProof/>
                <w:webHidden/>
              </w:rPr>
              <w:tab/>
            </w:r>
            <w:r w:rsidR="000E2C37">
              <w:rPr>
                <w:noProof/>
                <w:webHidden/>
              </w:rPr>
              <w:fldChar w:fldCharType="begin"/>
            </w:r>
            <w:r w:rsidR="000E2C37">
              <w:rPr>
                <w:noProof/>
                <w:webHidden/>
              </w:rPr>
              <w:instrText xml:space="preserve"> PAGEREF _Toc48734170 \h </w:instrText>
            </w:r>
            <w:r w:rsidR="000E2C37">
              <w:rPr>
                <w:noProof/>
                <w:webHidden/>
              </w:rPr>
            </w:r>
            <w:r w:rsidR="000E2C37">
              <w:rPr>
                <w:noProof/>
                <w:webHidden/>
              </w:rPr>
              <w:fldChar w:fldCharType="separate"/>
            </w:r>
            <w:r w:rsidR="000E2C37">
              <w:rPr>
                <w:noProof/>
                <w:webHidden/>
              </w:rPr>
              <w:t>6</w:t>
            </w:r>
            <w:r w:rsidR="000E2C37">
              <w:rPr>
                <w:noProof/>
                <w:webHidden/>
              </w:rPr>
              <w:fldChar w:fldCharType="end"/>
            </w:r>
          </w:hyperlink>
        </w:p>
        <w:p w14:paraId="4449EA04" w14:textId="44C21E20" w:rsidR="000E2C37" w:rsidRDefault="00576D35">
          <w:pPr>
            <w:pStyle w:val="11"/>
            <w:tabs>
              <w:tab w:val="right" w:leader="dot" w:pos="9016"/>
            </w:tabs>
            <w:rPr>
              <w:noProof/>
            </w:rPr>
          </w:pPr>
          <w:hyperlink w:anchor="_Toc48734171" w:history="1">
            <w:r w:rsidR="000E2C37" w:rsidRPr="006340AF">
              <w:rPr>
                <w:rStyle w:val="a8"/>
                <w:noProof/>
              </w:rPr>
              <w:t>Reference List</w:t>
            </w:r>
            <w:r w:rsidR="000E2C37">
              <w:rPr>
                <w:noProof/>
                <w:webHidden/>
              </w:rPr>
              <w:tab/>
            </w:r>
            <w:r w:rsidR="000E2C37">
              <w:rPr>
                <w:noProof/>
                <w:webHidden/>
              </w:rPr>
              <w:fldChar w:fldCharType="begin"/>
            </w:r>
            <w:r w:rsidR="000E2C37">
              <w:rPr>
                <w:noProof/>
                <w:webHidden/>
              </w:rPr>
              <w:instrText xml:space="preserve"> PAGEREF _Toc48734171 \h </w:instrText>
            </w:r>
            <w:r w:rsidR="000E2C37">
              <w:rPr>
                <w:noProof/>
                <w:webHidden/>
              </w:rPr>
            </w:r>
            <w:r w:rsidR="000E2C37">
              <w:rPr>
                <w:noProof/>
                <w:webHidden/>
              </w:rPr>
              <w:fldChar w:fldCharType="separate"/>
            </w:r>
            <w:r w:rsidR="000E2C37">
              <w:rPr>
                <w:noProof/>
                <w:webHidden/>
              </w:rPr>
              <w:t>7</w:t>
            </w:r>
            <w:r w:rsidR="000E2C37">
              <w:rPr>
                <w:noProof/>
                <w:webHidden/>
              </w:rPr>
              <w:fldChar w:fldCharType="end"/>
            </w:r>
          </w:hyperlink>
        </w:p>
        <w:p w14:paraId="2AC70B30" w14:textId="660A8AB6" w:rsidR="000E2C37" w:rsidRDefault="000E2C37">
          <w:r>
            <w:rPr>
              <w:b/>
              <w:bCs/>
              <w:noProof/>
            </w:rPr>
            <w:fldChar w:fldCharType="end"/>
          </w:r>
        </w:p>
      </w:sdtContent>
    </w:sdt>
    <w:p w14:paraId="715CFBE3" w14:textId="0425CEFA" w:rsidR="00844443" w:rsidRDefault="00844443"/>
    <w:p w14:paraId="39820DEF" w14:textId="2CD7A1FD" w:rsidR="00A25974" w:rsidRDefault="00A25974"/>
    <w:p w14:paraId="676E3DE6" w14:textId="0B499C57" w:rsidR="00A25974" w:rsidRDefault="00A25974"/>
    <w:p w14:paraId="21FF6BC8" w14:textId="5ED697A5" w:rsidR="00A25974" w:rsidRDefault="00A25974"/>
    <w:p w14:paraId="6984736C" w14:textId="194CF850" w:rsidR="00A25974" w:rsidRDefault="00A25974"/>
    <w:p w14:paraId="38DED521" w14:textId="57A31214" w:rsidR="00A25974" w:rsidRDefault="00A25974"/>
    <w:p w14:paraId="25F960DC" w14:textId="6B05985C" w:rsidR="00A25974" w:rsidRDefault="00A25974"/>
    <w:p w14:paraId="50B2E35A" w14:textId="79C8DD1E" w:rsidR="00A25974" w:rsidRDefault="00A25974"/>
    <w:p w14:paraId="29D7B78B" w14:textId="53A91BD9" w:rsidR="00A25974" w:rsidRDefault="00A25974"/>
    <w:p w14:paraId="199E3132" w14:textId="64D20B13" w:rsidR="00A25974" w:rsidRDefault="00A25974"/>
    <w:p w14:paraId="68FFD5C8" w14:textId="39B9397E" w:rsidR="00A25974" w:rsidRDefault="00A25974"/>
    <w:p w14:paraId="11DF5677" w14:textId="4004D5D8" w:rsidR="00A25974" w:rsidRDefault="00A25974"/>
    <w:p w14:paraId="148C854E" w14:textId="6DE2BFE6" w:rsidR="00A25974" w:rsidRDefault="00A25974"/>
    <w:p w14:paraId="2EE8CE18" w14:textId="34374C28" w:rsidR="00A25974" w:rsidRDefault="00A25974"/>
    <w:p w14:paraId="4871616A" w14:textId="40B2F2E7" w:rsidR="00A25974" w:rsidRDefault="00A25974"/>
    <w:p w14:paraId="2C1D6821" w14:textId="7F307627" w:rsidR="00A25974" w:rsidRDefault="00A25974"/>
    <w:p w14:paraId="0131B0E8" w14:textId="6A5C55C6" w:rsidR="00A25974" w:rsidRDefault="00A25974"/>
    <w:p w14:paraId="73536E2F" w14:textId="62B703E6" w:rsidR="00A25974" w:rsidRDefault="00A25974"/>
    <w:p w14:paraId="221D6E17" w14:textId="5E153288" w:rsidR="00A25974" w:rsidRDefault="00A25974"/>
    <w:p w14:paraId="6E4084DD" w14:textId="3C35FCFC" w:rsidR="00A25974" w:rsidRDefault="00A25974"/>
    <w:p w14:paraId="580D7E81" w14:textId="18BB03EA" w:rsidR="00A25974" w:rsidRDefault="00A25974"/>
    <w:p w14:paraId="5991F4CF" w14:textId="198E3192" w:rsidR="00A25974" w:rsidRDefault="00A25974" w:rsidP="00A25974">
      <w:pPr>
        <w:pStyle w:val="1"/>
      </w:pPr>
      <w:bookmarkStart w:id="1" w:name="_Toc48734167"/>
      <w:r>
        <w:lastRenderedPageBreak/>
        <w:t>Introduction</w:t>
      </w:r>
      <w:bookmarkEnd w:id="1"/>
    </w:p>
    <w:p w14:paraId="7F1079CA" w14:textId="3D7C0B86" w:rsidR="00A25974" w:rsidRDefault="00A25974" w:rsidP="00A25974">
      <w:r w:rsidRPr="00A25974">
        <w:t>The process of marketing takes on a major job in the organization, making the customer perfectly respectable and improving great associations with different partners and linking the association to its external business status. The 5 points of advertising provide rules for achieving authoritative goals and for the fulfilment of all clients. They are the main demonstration components that are explicitly made to care for different areas of the business. In addition, an association may increase the value of the goods or administrations it offers to its customers that are not the same as their competitors (Alon, 2016). For example, Channel is one of the biggest organizations on the planet for luxury fashion and controlling such a business using the 5 demonstrations of P is essential. Understanding 5P makes the organization reconcile with its choice in support of business regions that need improvement and meet the needs of the accessible objective market - 5P advertising includes individuals, place, value, property, and advances.</w:t>
      </w:r>
    </w:p>
    <w:p w14:paraId="1849963E" w14:textId="0E8163A2" w:rsidR="00A25974" w:rsidRDefault="00A25974" w:rsidP="00A25974">
      <w:pPr>
        <w:pStyle w:val="1"/>
      </w:pPr>
      <w:bookmarkStart w:id="2" w:name="_Toc48734168"/>
      <w:r>
        <w:t>Marketing Value and the Business Customers</w:t>
      </w:r>
      <w:bookmarkEnd w:id="2"/>
    </w:p>
    <w:p w14:paraId="4E368803" w14:textId="77777777" w:rsidR="00A25974" w:rsidRDefault="00A25974" w:rsidP="00A25974">
      <w:r>
        <w:t>The item component hints at what a particular business offers and offers its customers all. It includes all markings, pressing and the included value emphasizes the completeness of the administration and warranty conditions. For example, Chanel stores offer a wide range of items that customers need. Trying to present a specific development is more difficult than advancing and selling a specific item that people need on the market (Wirtz, 2016). They offer a blessing for packing customer administrations as a method to get them to buy them again or hint at their companions and others.</w:t>
      </w:r>
    </w:p>
    <w:p w14:paraId="1D0CBF32" w14:textId="77777777" w:rsidR="00A25974" w:rsidRDefault="00A25974" w:rsidP="00A25974">
      <w:r>
        <w:t>Chanel buys its items in huge sums that help them achieve the scale and limitations of the economy. Buying in a huge range makes them offer a wide range of items to their customers. In advertising, the choice of an item includes all the benefits that the customer acquires from the purchase of specific utensils. In this way, it is important to define the subjects that the association offers. For example, Walmart white marks each of their items that are available in their stores. It may contain the physical characteristics of the elements or administrations that the association offers, as the items may be substantial or insignificant. It is therefore important to clarify the main points of the given positions and administrations and how they give an advantage in the current market. It is also important to include how the items contrast with those offered by the candidates on the market. It is essential to have a decent understanding of how the item takes care of current market problems in a unique way to competitors.</w:t>
      </w:r>
    </w:p>
    <w:p w14:paraId="0D0FAE6B" w14:textId="2E265868" w:rsidR="00A25974" w:rsidRDefault="00A25974" w:rsidP="00A25974">
      <w:r>
        <w:t>Furthermore, marketing hints at the method of determining the costs for different positions or administrations. It contains all the different parts that add to the total costs, comprehensive for any limits, public value, payment of instalments, credit terms, transactions, and other advertised administrations to coordinate costs. For example, Chanel has a variety of purchase alternatives, as their customers can pay either using money or parts for larger purchases made (Paul, 2018). Such a choice encourages Chanel to grow and attract more customers, and they ensure a great relationship with their suppliers to deliver items at a moderately lower cost. Thus, it is important to consider that valuation reflects the location of the business within the business.</w:t>
      </w:r>
    </w:p>
    <w:p w14:paraId="14D7E7D0" w14:textId="2DA2FCC3" w:rsidR="00A25974" w:rsidRDefault="00A25974" w:rsidP="00A25974">
      <w:r>
        <w:lastRenderedPageBreak/>
        <w:t>In the event that an item is sold at a higher cost, the benefit received for a unit transaction will be high and vice versa. However, Walmart decided to offer the customer well-managed costs and chose to focus more on selling bulk purchases to increase its costs, as opposed to overestimating their items. They provide superior acquisition methodologies that help the association handle the most flexible costs in the chain flexibly to keep its rates low. Such a choice is useful for Chanel, as low costs increase the interest of their customers, which entitles them to make monstrous deals.</w:t>
      </w:r>
    </w:p>
    <w:p w14:paraId="64DFF3B0" w14:textId="77777777" w:rsidR="00C01ECB" w:rsidRDefault="00C01ECB" w:rsidP="00C01ECB">
      <w:r>
        <w:t>In advertising, the choice of value is the amount that is charged for their item or administration. Walmart has an extension that ensures that the product in question manages the transactions of their items, except that they may not be sufficiently advanced. In addition, they have SKU frameworks and common barcoding that help create a more convincing chain for lower costs (</w:t>
      </w:r>
      <w:proofErr w:type="spellStart"/>
      <w:r>
        <w:t>Seenivasan</w:t>
      </w:r>
      <w:proofErr w:type="spellEnd"/>
      <w:r>
        <w:t>, 2016). Thus, when deciding on such a choice, the costs must be sufficient to cover the costs of a particular worthy or subject and to benefit. The amount should correspond to what market customers are willing to pay for the degree of administration or the nature of a particular product.</w:t>
      </w:r>
    </w:p>
    <w:p w14:paraId="7E949C46" w14:textId="77777777" w:rsidR="00C01ECB" w:rsidRDefault="00C01ECB" w:rsidP="00C01ECB">
      <w:r>
        <w:t>The area is essential when you start any business. In the positional component, the topographic availability and the business device are the main elements for the customers. In the presentation, the place includes where a certain decent or administration is sold and how the items and administrations are distributed in different areas. For example, Walmart uses a variety of methodologies that ensure that all components identified by their location are both productive and successful.</w:t>
      </w:r>
    </w:p>
    <w:p w14:paraId="263C1481" w14:textId="77777777" w:rsidR="00C01ECB" w:rsidRDefault="00C01ECB" w:rsidP="00C01ECB">
      <w:r>
        <w:t>Walmart has a web-based business framework that allows its customers to arrange things without having to move to the specific physical area of ​​their stores. Moreover, they have an effective system of various circulation tricks that make it less difficult to choose purchases and deliver things well to customers. Their stores in the United States have been deliberately found and feature a variety of transportation trucks that promote an efficient way to introduce items to transport goods (Jindal, 2018). Thus, it is important to understand the methods of selling the product. For example, if there is no chance that the items will be improved, they can be sold online or transported using an automatic response frame. Walmart has structured a powered IT framework, a choice that allows them to track a variety of items, both stocks and trips.</w:t>
      </w:r>
    </w:p>
    <w:p w14:paraId="69EB6211" w14:textId="25B89BBC" w:rsidR="00C01ECB" w:rsidRDefault="00C01ECB" w:rsidP="00C01ECB">
      <w:r>
        <w:t>It contains various techniques that are used by an association to illuminate people in general for a warehouse or to paint in them to buy a specific item. For example, Walmart has very continuous progress, which has limitations in all seasons. Such a choice of delivery is extremely important to attract more customers, as most of them are charged with energy. Walmart stores also use a variety of mottos, such as “live better,” “lowest value store,” “plain low price,” and “new effort” (</w:t>
      </w:r>
      <w:proofErr w:type="spellStart"/>
      <w:r>
        <w:t>Fulgoni</w:t>
      </w:r>
      <w:proofErr w:type="spellEnd"/>
      <w:r>
        <w:t>, 2018). Such mottos are essential for performance, as they consider the general society and attract a large part of them. Walmart has distinctive trade arrangements and warranties for most of its merchandise, a choice that helps give customers a true sense of peace of mind when shopping, as they are not afraid to experience losses if items fall flat.</w:t>
      </w:r>
    </w:p>
    <w:p w14:paraId="061E11C7" w14:textId="77777777" w:rsidR="00C01ECB" w:rsidRDefault="00C01ECB" w:rsidP="00C01ECB">
      <w:r>
        <w:t xml:space="preserve">In advertising, the choice for progress includes the methods used to acquaint customers and customers with the available products and ventures and to attract them to purchase goods. Walmart uses an expanded edition to advertise its articles, such as newsletters, web-based </w:t>
      </w:r>
      <w:r>
        <w:lastRenderedPageBreak/>
        <w:t>business stages, television commercials, and online networks. They provide a variety of secure delivery strategies to promote a significant level of administration to their customers and customers who shop online. In this sense, it is important to understand the market, where it can be found very well and how exclusive advertising messages can be made. The main initial step is to clarify how the particular item will help you take care of market problems.</w:t>
      </w:r>
    </w:p>
    <w:p w14:paraId="1D4983B7" w14:textId="4A9CAC79" w:rsidR="00A25974" w:rsidRPr="00A25974" w:rsidRDefault="00C01ECB" w:rsidP="00C01ECB">
      <w:r>
        <w:t>Advertising includes people who help to complete the business. In this way, the people and administrations involved in business have an incredible effect on the achievements of a particular business. For example, if the decision-maker or salesperson does not meet the requirements, you are more likely to lose both customers and customers. In addition, if the ordered computer item is not delivered to the customer, the relevant association will protest.</w:t>
      </w:r>
    </w:p>
    <w:p w14:paraId="489D9E74" w14:textId="77777777" w:rsidR="00C01ECB" w:rsidRDefault="00C01ECB" w:rsidP="00C01ECB">
      <w:r>
        <w:t>Chanel uses deeply trained workers who serve their customers in stores with a cheerful face. They have friendly employees who like to meet customers and new people in the work environment and offer excellent customer care. Such a choice is remarkable on display, as most of the time clients choose associations that are well located and offer the types of help that attract them (</w:t>
      </w:r>
      <w:proofErr w:type="spellStart"/>
      <w:r>
        <w:t>Bakopoulos</w:t>
      </w:r>
      <w:proofErr w:type="spellEnd"/>
      <w:r>
        <w:t>, 2016). As it is the decision of the clients to decide with whom to work, it is essential to offer client administrations when they are required, and the organization must join and respond properly to their needs. In the industry, no matter where customers are satisfied and satisfied, they will constantly come back or hint at new customers in the specific business that has blinded them.</w:t>
      </w:r>
    </w:p>
    <w:p w14:paraId="1EE03C48" w14:textId="32DE884F" w:rsidR="00A25974" w:rsidRDefault="00C01ECB" w:rsidP="00C01ECB">
      <w:r>
        <w:t>The 5 points show rules for achieving authoritative goals and fulfilment of all clients. Chanel organization is a real case of an association that uses the five components, which are chosen by choice, to make improvements in business areas and to meet the necessary needs of the accessible objective market. Such a choice gives them the right to give items at a lower price, and from now on expand the interest of their customers.</w:t>
      </w:r>
    </w:p>
    <w:p w14:paraId="1E200A01" w14:textId="52ACBFF3" w:rsidR="00C01ECB" w:rsidRDefault="00B555EF" w:rsidP="00B555EF">
      <w:pPr>
        <w:pStyle w:val="1"/>
      </w:pPr>
      <w:bookmarkStart w:id="3" w:name="_Toc48734169"/>
      <w:r>
        <w:t>Stakeholder Engagement Through Marketing</w:t>
      </w:r>
      <w:bookmarkEnd w:id="3"/>
    </w:p>
    <w:p w14:paraId="07338647" w14:textId="77777777" w:rsidR="00B555EF" w:rsidRDefault="00B555EF" w:rsidP="00B555EF">
      <w:r>
        <w:t>According to Lemke and Harris-Wai (2015), strategy development in any industry is unpredictable, especially with the contribution of innovation to data. This leads to the conclusion that the process of making arrangements changes over time, but there are still some significant components of creating the usual approach that are still preserved. One of the angles is the commitment of the partners. Partners are elements that have a personal stake in a substance, such as a task.</w:t>
      </w:r>
    </w:p>
    <w:p w14:paraId="5EB3165A" w14:textId="77777777" w:rsidR="00B555EF" w:rsidRDefault="00B555EF" w:rsidP="00B555EF">
      <w:r>
        <w:t>According to Lemke and Harris-Wai (2015), the creation of a strategy in human genomics has changed over the years, which the commitment of strategy makers stands out as basic procedures, as these people are recognized by different calls and they are used as data contributions to the dynamic negotiation procedure on the larger network of the social security sector.</w:t>
      </w:r>
    </w:p>
    <w:p w14:paraId="176D5C41" w14:textId="77777777" w:rsidR="00B555EF" w:rsidRDefault="00B555EF" w:rsidP="00B555EF">
      <w:r>
        <w:t>Before participating in any partners, Lemke and Harris-Wai (2015) highlighted the need to determine who the partners are. In this use, the distinguished partners in genomics are patients, scientists, specialized organizations, people in general, payers, retailers, organizations and agreement makers. In this respect, each of these people is crucial in developing strategies, as each individual's strategy will influence the full utility of genomics.</w:t>
      </w:r>
    </w:p>
    <w:p w14:paraId="5978F01F" w14:textId="77777777" w:rsidR="00B555EF" w:rsidRDefault="00B555EF" w:rsidP="00B555EF">
      <w:r>
        <w:lastRenderedPageBreak/>
        <w:t>According to Lemke and Harris-Wai (2015), there are different stages in terms of approach design, which are defining a plan, researching, defining a strategy, implementing and researching a strategy. This procedure is deeply blunt in nature. From this improved model of partner engagement, the various partners will be locked. For example, when auditing and evaluating a strategy, the entire population may be remembered, for which it is focused on gathering information to characterize the way the agreement is portrayed at the 'root' level</w:t>
      </w:r>
      <w:proofErr w:type="gramStart"/>
      <w:r>
        <w:t>. ,</w:t>
      </w:r>
      <w:proofErr w:type="gramEnd"/>
      <w:r>
        <w:t>,</w:t>
      </w:r>
    </w:p>
    <w:p w14:paraId="0FA0AC2F" w14:textId="77777777" w:rsidR="00B555EF" w:rsidRDefault="00B555EF" w:rsidP="00B555EF">
      <w:r>
        <w:t>Moreover, Lemke and Harris-Wai (2015) recognize the need and importance of communicating with partners regarding the approach. Some of the advantages include recognition of the territory of understanding and contrasts. It is also far from advancing in straightforwardness.</w:t>
      </w:r>
    </w:p>
    <w:p w14:paraId="02AA5DBF" w14:textId="77777777" w:rsidR="000E2C37" w:rsidRDefault="000E2C37" w:rsidP="000E2C37">
      <w:r>
        <w:t xml:space="preserve">As a person on a pedestrian stream is a task that will affect people in the general community, open gathering will be an extremely powerful tool for drawing in partners. Task data will be disseminated to a huge gathering of partners, especially people living in the metropolitan city </w:t>
      </w:r>
      <w:proofErr w:type="spellStart"/>
      <w:r>
        <w:t>center</w:t>
      </w:r>
      <w:proofErr w:type="spellEnd"/>
      <w:r>
        <w:t xml:space="preserve"> (</w:t>
      </w:r>
      <w:proofErr w:type="spellStart"/>
      <w:r>
        <w:t>Andriof</w:t>
      </w:r>
      <w:proofErr w:type="spellEnd"/>
      <w:r>
        <w:t xml:space="preserve"> and </w:t>
      </w:r>
      <w:proofErr w:type="spellStart"/>
      <w:r>
        <w:t>Waddock</w:t>
      </w:r>
      <w:proofErr w:type="spellEnd"/>
      <w:r>
        <w:t xml:space="preserve">, 2017). All meetings in the meeting will be held to offer their views and information about the </w:t>
      </w:r>
      <w:proofErr w:type="spellStart"/>
      <w:r>
        <w:t>endeavor</w:t>
      </w:r>
      <w:proofErr w:type="spellEnd"/>
      <w:r>
        <w:t>. The connections in the collection will create a connection with the urban networks of the metropolitan areas, which is an important factor that will affect the achievement of the task. Non-specialized data will be assigned during the collection. To ensure that the collection is effective, it will promote the collection with introductions, PowerPoint, and banners. All inquiries, remarks and conversations raised in the meetings will be recorded for verification and capacity.</w:t>
      </w:r>
    </w:p>
    <w:p w14:paraId="5CDB2B99" w14:textId="77777777" w:rsidR="000E2C37" w:rsidRPr="00B555EF" w:rsidRDefault="000E2C37" w:rsidP="000E2C37">
      <w:r>
        <w:t>Direct correspondence is another tool that can be used to connect with partners in light of the fact that the endeavour will affect drivers and people on foot and must be linked to the endeavour, as it affects them in some way (Lim and Greenwood, 2017). The data should be provided to people on foot and drivers for the street. You need to understand which ways to use for cycling and walking.</w:t>
      </w:r>
    </w:p>
    <w:p w14:paraId="21FA2F2A" w14:textId="1A0D1396" w:rsidR="00B555EF" w:rsidRDefault="00B555EF" w:rsidP="00B555EF">
      <w:r>
        <w:t xml:space="preserve">There is a strong appreciation of the partner's involvement in policy development. When I am allowed to pioneer the task, I will create a greedy frugal strategy for observing a person on a pedestrian flow in a famous metropolitan area in the </w:t>
      </w:r>
      <w:r w:rsidR="000E2C37">
        <w:t>centre</w:t>
      </w:r>
      <w:r>
        <w:t>. There are several assessments that could ensure that I function admirably and convey the best related to the issue that will be solved about the traffic in the capital city. One of the main assessments will distinguish the different groups of partners that are a vital part of the natural filter before the start of the vital alignment process. In this measure, it will become fundamental, as it will help decide on the best type of partners that will be useful for the progress of the Memorandum of Understanding</w:t>
      </w:r>
      <w:r w:rsidR="000E2C37">
        <w:t xml:space="preserve"> (Lim and Greenwood, 2017)</w:t>
      </w:r>
      <w:r>
        <w:t>.</w:t>
      </w:r>
    </w:p>
    <w:p w14:paraId="6F749976" w14:textId="77777777" w:rsidR="00B555EF" w:rsidRDefault="00B555EF" w:rsidP="00B555EF">
      <w:r>
        <w:t>Gathering one on one will allow us to further consider and decipher external manifestations from partners (Payne et al., 2017). A solid connection between the venture group and the partner will be achieved by bringing them together. The data collected from the collection will help us understand the wishes of the partners.</w:t>
      </w:r>
    </w:p>
    <w:p w14:paraId="67303DC6" w14:textId="144FF664" w:rsidR="00B555EF" w:rsidRDefault="00B555EF" w:rsidP="00B555EF">
      <w:r>
        <w:t>Several partners may neglect to request one-on-one meetings as a result of their busy schedules, so I will use different methods, such as calls, messages, and short messages, to gather my perspectives and moods (Payne et al., 2017). for the person on foot will be disseminated to national and nearby government bodies, NGOs, associations, and organizations.</w:t>
      </w:r>
    </w:p>
    <w:p w14:paraId="40BEC326" w14:textId="3818D13C" w:rsidR="00B555EF" w:rsidRDefault="00B555EF" w:rsidP="00B555EF">
      <w:r>
        <w:lastRenderedPageBreak/>
        <w:t>Conventional collection is another component that I will use in light of the fact that it will provide an open door where I can enter data from pedestrian traffic to gather partners. All meetings in the meeting will be held to offer their contribution and prospects for the endeavour. Conventional gathering will help me build an indifferent relationship with significant level partners (</w:t>
      </w:r>
      <w:proofErr w:type="spellStart"/>
      <w:r>
        <w:t>Andriof</w:t>
      </w:r>
      <w:proofErr w:type="spellEnd"/>
      <w:r>
        <w:t xml:space="preserve"> and </w:t>
      </w:r>
      <w:proofErr w:type="spellStart"/>
      <w:r>
        <w:t>Waddock</w:t>
      </w:r>
      <w:proofErr w:type="spellEnd"/>
      <w:r>
        <w:t>, 2017). Specialized data about partners can be disseminated during this collection, as some of them may have in-depth information about the task. All conversations in the meeting will be recorded and placed in a secure capacity.</w:t>
      </w:r>
    </w:p>
    <w:p w14:paraId="7259F4C4" w14:textId="6E917C45" w:rsidR="00B555EF" w:rsidRDefault="00B555EF" w:rsidP="00B555EF">
      <w:pPr>
        <w:pStyle w:val="1"/>
      </w:pPr>
      <w:bookmarkStart w:id="4" w:name="_Toc48734170"/>
      <w:r>
        <w:t>Conclusion</w:t>
      </w:r>
      <w:bookmarkEnd w:id="4"/>
    </w:p>
    <w:p w14:paraId="75394BD3" w14:textId="0938C546" w:rsidR="00C01ECB" w:rsidRDefault="000E2C37" w:rsidP="00C01ECB">
      <w:r>
        <w:t>Taking everything into an account, e</w:t>
      </w:r>
      <w:r w:rsidRPr="000E2C37">
        <w:t>ngagement of stakeholder is a procedure that is exempt from concomitant controls, hazards, and interference and is kept on schedule and data is collected by the partners and stored in an appropriate organization. The procedure creates a situation in which different people and gatherings that are influenced by the task communicate, the partners get a chance to increase their interests and onions. All data collected is considered when choosing an endeavour. Achieving the task relies on shared trust and correspondence with partners, social permission is made when the partnership is successful.</w:t>
      </w:r>
    </w:p>
    <w:p w14:paraId="53DFCE7F" w14:textId="4C01CB88" w:rsidR="00B555EF" w:rsidRDefault="00B555EF" w:rsidP="00C01ECB"/>
    <w:p w14:paraId="7BEA01BC" w14:textId="5B5187A0" w:rsidR="00B555EF" w:rsidRDefault="00B555EF" w:rsidP="00C01ECB"/>
    <w:p w14:paraId="61CCE88E" w14:textId="0D026ADA" w:rsidR="00B555EF" w:rsidRDefault="00B555EF" w:rsidP="00C01ECB"/>
    <w:p w14:paraId="30C9E9D0" w14:textId="4D1BA861" w:rsidR="00B555EF" w:rsidRDefault="00B555EF" w:rsidP="00C01ECB"/>
    <w:p w14:paraId="39176695" w14:textId="51C737B2" w:rsidR="00B555EF" w:rsidRDefault="00B555EF" w:rsidP="00C01ECB"/>
    <w:p w14:paraId="62B09223" w14:textId="5F2463CD" w:rsidR="00B555EF" w:rsidRDefault="00B555EF" w:rsidP="00C01ECB"/>
    <w:p w14:paraId="12158A70" w14:textId="5F6CB1CB" w:rsidR="000E2C37" w:rsidRDefault="000E2C37" w:rsidP="00C01ECB"/>
    <w:p w14:paraId="67EDA10B" w14:textId="22481D35" w:rsidR="000E2C37" w:rsidRDefault="000E2C37" w:rsidP="00C01ECB"/>
    <w:p w14:paraId="4395378C" w14:textId="4E80BFAA" w:rsidR="000E2C37" w:rsidRDefault="000E2C37" w:rsidP="00C01ECB"/>
    <w:p w14:paraId="3C45B360" w14:textId="58FF42D0" w:rsidR="000E2C37" w:rsidRDefault="000E2C37" w:rsidP="00C01ECB"/>
    <w:p w14:paraId="53B316B4" w14:textId="187ADBDF" w:rsidR="000E2C37" w:rsidRDefault="000E2C37" w:rsidP="00C01ECB"/>
    <w:p w14:paraId="3C51C3BE" w14:textId="27CF1FAD" w:rsidR="000E2C37" w:rsidRDefault="000E2C37" w:rsidP="00C01ECB"/>
    <w:p w14:paraId="4FFEE68B" w14:textId="77777777" w:rsidR="000E2C37" w:rsidRDefault="000E2C37" w:rsidP="00C01ECB"/>
    <w:p w14:paraId="67554BE2" w14:textId="4E4D1822" w:rsidR="00B555EF" w:rsidRDefault="00B555EF" w:rsidP="00C01ECB"/>
    <w:p w14:paraId="7EA3B3EE" w14:textId="77777777" w:rsidR="00B555EF" w:rsidRDefault="00B555EF" w:rsidP="00C01ECB"/>
    <w:p w14:paraId="6673DDD2" w14:textId="12F02E33" w:rsidR="00C01ECB" w:rsidRDefault="00C01ECB" w:rsidP="00C01ECB">
      <w:pPr>
        <w:pStyle w:val="1"/>
      </w:pPr>
      <w:bookmarkStart w:id="5" w:name="_Toc48734171"/>
      <w:r>
        <w:lastRenderedPageBreak/>
        <w:t>Reference List</w:t>
      </w:r>
      <w:bookmarkEnd w:id="5"/>
    </w:p>
    <w:p w14:paraId="23B58142" w14:textId="77777777" w:rsidR="00C01ECB" w:rsidRPr="00C01ECB" w:rsidRDefault="00C01ECB" w:rsidP="00C01ECB">
      <w:pPr>
        <w:rPr>
          <w:lang w:val="en-US"/>
        </w:rPr>
      </w:pPr>
      <w:r w:rsidRPr="00C01ECB">
        <w:rPr>
          <w:lang w:val="en-US"/>
        </w:rPr>
        <w:t xml:space="preserve">Alon, I., Jaffe, E., </w:t>
      </w:r>
      <w:proofErr w:type="spellStart"/>
      <w:r w:rsidRPr="00C01ECB">
        <w:rPr>
          <w:lang w:val="en-US"/>
        </w:rPr>
        <w:t>Prange</w:t>
      </w:r>
      <w:proofErr w:type="spellEnd"/>
      <w:r w:rsidRPr="00C01ECB">
        <w:rPr>
          <w:lang w:val="en-US"/>
        </w:rPr>
        <w:t xml:space="preserve">, C., &amp; </w:t>
      </w:r>
      <w:proofErr w:type="spellStart"/>
      <w:r w:rsidRPr="00C01ECB">
        <w:rPr>
          <w:lang w:val="en-US"/>
        </w:rPr>
        <w:t>Vianelli</w:t>
      </w:r>
      <w:proofErr w:type="spellEnd"/>
      <w:r w:rsidRPr="00C01ECB">
        <w:rPr>
          <w:lang w:val="en-US"/>
        </w:rPr>
        <w:t>, D. (2016). </w:t>
      </w:r>
      <w:r w:rsidRPr="00C01ECB">
        <w:rPr>
          <w:i/>
          <w:iCs/>
          <w:lang w:val="en-US"/>
        </w:rPr>
        <w:t>Global marketing: contemporary theory, practice, and cases</w:t>
      </w:r>
      <w:r w:rsidRPr="00C01ECB">
        <w:rPr>
          <w:lang w:val="en-US"/>
        </w:rPr>
        <w:t>. Routledge.</w:t>
      </w:r>
    </w:p>
    <w:p w14:paraId="233E4705" w14:textId="77777777" w:rsidR="00B555EF" w:rsidRPr="00B555EF" w:rsidRDefault="00B555EF" w:rsidP="00B555EF">
      <w:pPr>
        <w:rPr>
          <w:lang w:val="en-US"/>
        </w:rPr>
      </w:pPr>
      <w:proofErr w:type="spellStart"/>
      <w:r w:rsidRPr="00B555EF">
        <w:rPr>
          <w:lang w:val="en-US"/>
        </w:rPr>
        <w:t>Andriof</w:t>
      </w:r>
      <w:proofErr w:type="spellEnd"/>
      <w:r w:rsidRPr="00B555EF">
        <w:rPr>
          <w:lang w:val="en-US"/>
        </w:rPr>
        <w:t xml:space="preserve">, J., &amp; </w:t>
      </w:r>
      <w:proofErr w:type="spellStart"/>
      <w:r w:rsidRPr="00B555EF">
        <w:rPr>
          <w:lang w:val="en-US"/>
        </w:rPr>
        <w:t>Waddock</w:t>
      </w:r>
      <w:proofErr w:type="spellEnd"/>
      <w:r w:rsidRPr="00B555EF">
        <w:rPr>
          <w:lang w:val="en-US"/>
        </w:rPr>
        <w:t xml:space="preserve">, S. (2017). </w:t>
      </w:r>
      <w:r w:rsidRPr="00B555EF">
        <w:rPr>
          <w:i/>
          <w:iCs/>
          <w:lang w:val="en-US"/>
        </w:rPr>
        <w:t>Unfolding stakeholder engagement. In Unfolding stakeholder thinking</w:t>
      </w:r>
      <w:r w:rsidRPr="00B555EF">
        <w:rPr>
          <w:lang w:val="en-US"/>
        </w:rPr>
        <w:t xml:space="preserve"> (pp. 19-42). Routledge.</w:t>
      </w:r>
    </w:p>
    <w:p w14:paraId="052C7E0C" w14:textId="77777777" w:rsidR="00C01ECB" w:rsidRPr="00C01ECB" w:rsidRDefault="00C01ECB" w:rsidP="00C01ECB">
      <w:pPr>
        <w:rPr>
          <w:lang w:val="en-US"/>
        </w:rPr>
      </w:pPr>
      <w:proofErr w:type="spellStart"/>
      <w:r w:rsidRPr="00C01ECB">
        <w:rPr>
          <w:lang w:val="en-US"/>
        </w:rPr>
        <w:t>Bakopoulos</w:t>
      </w:r>
      <w:proofErr w:type="spellEnd"/>
      <w:r w:rsidRPr="00C01ECB">
        <w:rPr>
          <w:lang w:val="en-US"/>
        </w:rPr>
        <w:t xml:space="preserve">, V., Stuart, G., &amp; Briggs, R. (2016). Measuring the value of mobile advertising in driving business outcomes: Empirical data from Coca-Cola, AT&amp;T, MasterCard, and Walmart. </w:t>
      </w:r>
      <w:r w:rsidRPr="00C01ECB">
        <w:rPr>
          <w:i/>
          <w:iCs/>
          <w:lang w:val="en-US"/>
        </w:rPr>
        <w:t>Applied Marketing Analytics</w:t>
      </w:r>
      <w:r w:rsidRPr="00C01ECB">
        <w:rPr>
          <w:lang w:val="en-US"/>
        </w:rPr>
        <w:t>, </w:t>
      </w:r>
      <w:r w:rsidRPr="00C01ECB">
        <w:rPr>
          <w:i/>
          <w:iCs/>
          <w:lang w:val="en-US"/>
        </w:rPr>
        <w:t>2</w:t>
      </w:r>
      <w:r w:rsidRPr="00C01ECB">
        <w:rPr>
          <w:lang w:val="en-US"/>
        </w:rPr>
        <w:t>(</w:t>
      </w:r>
      <w:r w:rsidRPr="00C01ECB">
        <w:rPr>
          <w:b/>
          <w:bCs/>
          <w:lang w:val="en-US"/>
        </w:rPr>
        <w:t>2</w:t>
      </w:r>
      <w:r w:rsidRPr="00C01ECB">
        <w:rPr>
          <w:lang w:val="en-US"/>
        </w:rPr>
        <w:t>), 169-179.</w:t>
      </w:r>
    </w:p>
    <w:p w14:paraId="16EC4743" w14:textId="77777777" w:rsidR="00C01ECB" w:rsidRPr="00C01ECB" w:rsidRDefault="00C01ECB" w:rsidP="00C01ECB">
      <w:pPr>
        <w:rPr>
          <w:lang w:val="en-US"/>
        </w:rPr>
      </w:pPr>
      <w:proofErr w:type="spellStart"/>
      <w:r w:rsidRPr="00C01ECB">
        <w:rPr>
          <w:lang w:val="en-US"/>
        </w:rPr>
        <w:t>Fulgoni</w:t>
      </w:r>
      <w:proofErr w:type="spellEnd"/>
      <w:r w:rsidRPr="00C01ECB">
        <w:rPr>
          <w:lang w:val="en-US"/>
        </w:rPr>
        <w:t xml:space="preserve">, G. M. (2018). How Limited Data Access Constraints Marketing-Mix Analytical Efforts: Why Data Barriers Are Preventing Marketers </w:t>
      </w:r>
      <w:proofErr w:type="gramStart"/>
      <w:r w:rsidRPr="00C01ECB">
        <w:rPr>
          <w:lang w:val="en-US"/>
        </w:rPr>
        <w:t>From</w:t>
      </w:r>
      <w:proofErr w:type="gramEnd"/>
      <w:r w:rsidRPr="00C01ECB">
        <w:rPr>
          <w:lang w:val="en-US"/>
        </w:rPr>
        <w:t xml:space="preserve"> Optimizing Marketing Spend. </w:t>
      </w:r>
      <w:r w:rsidRPr="00C01ECB">
        <w:rPr>
          <w:i/>
          <w:iCs/>
          <w:lang w:val="en-US"/>
        </w:rPr>
        <w:t>Journal of Advertising Research</w:t>
      </w:r>
      <w:r w:rsidRPr="00C01ECB">
        <w:rPr>
          <w:lang w:val="en-US"/>
        </w:rPr>
        <w:t>, </w:t>
      </w:r>
      <w:r w:rsidRPr="00C01ECB">
        <w:rPr>
          <w:i/>
          <w:iCs/>
          <w:lang w:val="en-US"/>
        </w:rPr>
        <w:t>58</w:t>
      </w:r>
      <w:r w:rsidRPr="00C01ECB">
        <w:rPr>
          <w:lang w:val="en-US"/>
        </w:rPr>
        <w:t>(</w:t>
      </w:r>
      <w:r w:rsidRPr="00C01ECB">
        <w:rPr>
          <w:b/>
          <w:bCs/>
          <w:lang w:val="en-US"/>
        </w:rPr>
        <w:t>4</w:t>
      </w:r>
      <w:r w:rsidRPr="00C01ECB">
        <w:rPr>
          <w:lang w:val="en-US"/>
        </w:rPr>
        <w:t>), 390-393.</w:t>
      </w:r>
    </w:p>
    <w:p w14:paraId="017691F6" w14:textId="77777777" w:rsidR="00C01ECB" w:rsidRPr="00C01ECB" w:rsidRDefault="00C01ECB" w:rsidP="00C01ECB">
      <w:pPr>
        <w:rPr>
          <w:lang w:val="en-US"/>
        </w:rPr>
      </w:pPr>
      <w:r w:rsidRPr="00C01ECB">
        <w:rPr>
          <w:lang w:val="en-US"/>
        </w:rPr>
        <w:t xml:space="preserve">Jindal, P., Zhu, T., </w:t>
      </w:r>
      <w:proofErr w:type="spellStart"/>
      <w:r w:rsidRPr="00C01ECB">
        <w:rPr>
          <w:lang w:val="en-US"/>
        </w:rPr>
        <w:t>Chintagunta</w:t>
      </w:r>
      <w:proofErr w:type="spellEnd"/>
      <w:r w:rsidRPr="00C01ECB">
        <w:rPr>
          <w:lang w:val="en-US"/>
        </w:rPr>
        <w:t>, P. K., &amp; Dhar, S. K. (2018). Point-of-Sale Marketing Mix and Brand Performance–The Moderating Role of Retail Format and Brand Type.</w:t>
      </w:r>
    </w:p>
    <w:p w14:paraId="212B1A41" w14:textId="77777777" w:rsidR="00201E83" w:rsidRPr="00201E83" w:rsidRDefault="00201E83" w:rsidP="00201E83">
      <w:pPr>
        <w:rPr>
          <w:lang w:val="en-US"/>
        </w:rPr>
      </w:pPr>
      <w:r w:rsidRPr="00201E83">
        <w:t>Lemke, A. A., &amp; Harris-Wai, J. N. (2015). Stakeholder engagement in policy development: challenges and opportunities for human genomics. </w:t>
      </w:r>
      <w:r w:rsidRPr="00201E83">
        <w:rPr>
          <w:i/>
          <w:iCs/>
        </w:rPr>
        <w:t>Genetics in medicine</w:t>
      </w:r>
      <w:r w:rsidRPr="00201E83">
        <w:t>, </w:t>
      </w:r>
      <w:r w:rsidRPr="00201E83">
        <w:rPr>
          <w:i/>
          <w:iCs/>
        </w:rPr>
        <w:t>17</w:t>
      </w:r>
      <w:r w:rsidRPr="00201E83">
        <w:t>(</w:t>
      </w:r>
      <w:r w:rsidRPr="00201E83">
        <w:rPr>
          <w:b/>
          <w:bCs/>
        </w:rPr>
        <w:t>12</w:t>
      </w:r>
      <w:r w:rsidRPr="00201E83">
        <w:t>), 949.</w:t>
      </w:r>
    </w:p>
    <w:p w14:paraId="3637F83B" w14:textId="77777777" w:rsidR="00B555EF" w:rsidRPr="00B555EF" w:rsidRDefault="00B555EF" w:rsidP="00B555EF">
      <w:pPr>
        <w:rPr>
          <w:lang w:val="en-US"/>
        </w:rPr>
      </w:pPr>
      <w:r w:rsidRPr="00B555EF">
        <w:rPr>
          <w:lang w:val="en-US"/>
        </w:rPr>
        <w:t xml:space="preserve">Lim, J. S., &amp; Greenwood, C. A. (2017). Communicating corporate social responsibility (CSR): Stakeholder responsiveness and engagement strategy to achieve CSR goals. </w:t>
      </w:r>
      <w:r w:rsidRPr="00B555EF">
        <w:rPr>
          <w:i/>
          <w:iCs/>
          <w:lang w:val="en-US"/>
        </w:rPr>
        <w:t>Public Relations Review</w:t>
      </w:r>
      <w:r w:rsidRPr="00B555EF">
        <w:rPr>
          <w:lang w:val="en-US"/>
        </w:rPr>
        <w:t>, 43(</w:t>
      </w:r>
      <w:r w:rsidRPr="00B555EF">
        <w:rPr>
          <w:b/>
          <w:bCs/>
          <w:lang w:val="en-US"/>
        </w:rPr>
        <w:t>4</w:t>
      </w:r>
      <w:r w:rsidRPr="00B555EF">
        <w:rPr>
          <w:lang w:val="en-US"/>
        </w:rPr>
        <w:t>), 768-776.</w:t>
      </w:r>
    </w:p>
    <w:p w14:paraId="3CCA3BD2" w14:textId="77777777" w:rsidR="00C01ECB" w:rsidRPr="00C01ECB" w:rsidRDefault="00C01ECB" w:rsidP="00C01ECB">
      <w:pPr>
        <w:rPr>
          <w:lang w:val="en-US"/>
        </w:rPr>
      </w:pPr>
      <w:r w:rsidRPr="00C01ECB">
        <w:rPr>
          <w:lang w:val="en-US"/>
        </w:rPr>
        <w:t>Paul, J. (2015). Masstige marketing redefined and mapped: Introducing a pyramid model and MMS measure. </w:t>
      </w:r>
      <w:r w:rsidRPr="00C01ECB">
        <w:rPr>
          <w:i/>
          <w:iCs/>
          <w:lang w:val="en-US"/>
        </w:rPr>
        <w:t>Marketing Intelligence &amp; Planning</w:t>
      </w:r>
      <w:r w:rsidRPr="00C01ECB">
        <w:rPr>
          <w:lang w:val="en-US"/>
        </w:rPr>
        <w:t>, </w:t>
      </w:r>
      <w:r w:rsidRPr="00C01ECB">
        <w:rPr>
          <w:i/>
          <w:iCs/>
          <w:lang w:val="en-US"/>
        </w:rPr>
        <w:t>33</w:t>
      </w:r>
      <w:r w:rsidRPr="00C01ECB">
        <w:rPr>
          <w:lang w:val="en-US"/>
        </w:rPr>
        <w:t>(</w:t>
      </w:r>
      <w:r w:rsidRPr="00C01ECB">
        <w:rPr>
          <w:b/>
          <w:bCs/>
          <w:lang w:val="en-US"/>
        </w:rPr>
        <w:t>5</w:t>
      </w:r>
      <w:r w:rsidRPr="00C01ECB">
        <w:rPr>
          <w:lang w:val="en-US"/>
        </w:rPr>
        <w:t>), 691-706.</w:t>
      </w:r>
    </w:p>
    <w:p w14:paraId="0169BBD7" w14:textId="77777777" w:rsidR="00B555EF" w:rsidRPr="00B555EF" w:rsidRDefault="00B555EF" w:rsidP="00B555EF">
      <w:pPr>
        <w:rPr>
          <w:lang w:val="en-US"/>
        </w:rPr>
      </w:pPr>
      <w:r w:rsidRPr="00B555EF">
        <w:rPr>
          <w:lang w:val="en-US"/>
        </w:rPr>
        <w:t xml:space="preserve">Payne, S. L., &amp; </w:t>
      </w:r>
      <w:proofErr w:type="spellStart"/>
      <w:r w:rsidRPr="00B555EF">
        <w:rPr>
          <w:lang w:val="en-US"/>
        </w:rPr>
        <w:t>Calton</w:t>
      </w:r>
      <w:proofErr w:type="spellEnd"/>
      <w:r w:rsidRPr="00B555EF">
        <w:rPr>
          <w:lang w:val="en-US"/>
        </w:rPr>
        <w:t>, J. M. (2017</w:t>
      </w:r>
      <w:r w:rsidRPr="00B555EF">
        <w:rPr>
          <w:i/>
          <w:iCs/>
          <w:lang w:val="en-US"/>
        </w:rPr>
        <w:t>). Towards a managerial practice of stakeholder engagement: Developing multi-stakeholder learning dialogues. In Unfolding stakeholder thinking</w:t>
      </w:r>
      <w:r w:rsidRPr="00B555EF">
        <w:rPr>
          <w:lang w:val="en-US"/>
        </w:rPr>
        <w:t xml:space="preserve"> (pp. 121-135). Routledge.</w:t>
      </w:r>
    </w:p>
    <w:p w14:paraId="23290A1C" w14:textId="1B0273E3" w:rsidR="00C01ECB" w:rsidRPr="00C01ECB" w:rsidRDefault="00C01ECB" w:rsidP="00C01ECB">
      <w:proofErr w:type="spellStart"/>
      <w:r w:rsidRPr="00C01ECB">
        <w:rPr>
          <w:lang w:val="en-US"/>
        </w:rPr>
        <w:t>Seenivasan</w:t>
      </w:r>
      <w:proofErr w:type="spellEnd"/>
      <w:r w:rsidRPr="00C01ECB">
        <w:rPr>
          <w:lang w:val="en-US"/>
        </w:rPr>
        <w:t>, S., &amp; Talukdar, D. (2016). Competitive effects of Wal-Mart supercenter entry: Moderating roles of category and brand characteristics. </w:t>
      </w:r>
      <w:r w:rsidRPr="00C01ECB">
        <w:rPr>
          <w:i/>
          <w:iCs/>
          <w:lang w:val="en-US"/>
        </w:rPr>
        <w:t>Journal of Retailing</w:t>
      </w:r>
      <w:r w:rsidRPr="00C01ECB">
        <w:rPr>
          <w:lang w:val="en-US"/>
        </w:rPr>
        <w:t>, </w:t>
      </w:r>
      <w:r w:rsidRPr="00C01ECB">
        <w:rPr>
          <w:i/>
          <w:iCs/>
          <w:lang w:val="en-US"/>
        </w:rPr>
        <w:t>92</w:t>
      </w:r>
      <w:r w:rsidRPr="00C01ECB">
        <w:rPr>
          <w:lang w:val="en-US"/>
        </w:rPr>
        <w:t>(</w:t>
      </w:r>
      <w:r w:rsidRPr="00C01ECB">
        <w:rPr>
          <w:b/>
          <w:bCs/>
          <w:lang w:val="en-US"/>
        </w:rPr>
        <w:t>2</w:t>
      </w:r>
      <w:r w:rsidRPr="00C01ECB">
        <w:rPr>
          <w:lang w:val="en-US"/>
        </w:rPr>
        <w:t>), 218-225.</w:t>
      </w:r>
    </w:p>
    <w:p w14:paraId="58BC7849" w14:textId="77777777" w:rsidR="00B555EF" w:rsidRPr="00C01ECB" w:rsidRDefault="00B555EF" w:rsidP="00B555EF">
      <w:pPr>
        <w:rPr>
          <w:lang w:val="en-US"/>
        </w:rPr>
      </w:pPr>
      <w:r w:rsidRPr="00C01ECB">
        <w:rPr>
          <w:lang w:val="en-US"/>
        </w:rPr>
        <w:t>Wirtz, J., &amp; Lovelock, C. (2016). </w:t>
      </w:r>
      <w:r w:rsidRPr="00C01ECB">
        <w:rPr>
          <w:i/>
          <w:iCs/>
          <w:lang w:val="en-US"/>
        </w:rPr>
        <w:t>Services marketing</w:t>
      </w:r>
      <w:r w:rsidRPr="00C01ECB">
        <w:rPr>
          <w:lang w:val="en-US"/>
        </w:rPr>
        <w:t>. World Scientific Publishing Company.</w:t>
      </w:r>
    </w:p>
    <w:p w14:paraId="7D93BDA6" w14:textId="27DF8D2E" w:rsidR="00A25974" w:rsidRDefault="00A25974"/>
    <w:p w14:paraId="4637EB90" w14:textId="6A54C296" w:rsidR="00A25974" w:rsidRDefault="00A25974"/>
    <w:p w14:paraId="50B9D513" w14:textId="043018EA" w:rsidR="00A25974" w:rsidRDefault="00A25974"/>
    <w:p w14:paraId="443888C6" w14:textId="47E3DD82" w:rsidR="00A25974" w:rsidRDefault="00A25974"/>
    <w:p w14:paraId="0BB5AC4E" w14:textId="539FEB46" w:rsidR="00A25974" w:rsidRDefault="00A25974"/>
    <w:p w14:paraId="3911CC73" w14:textId="7ADD2074" w:rsidR="00A25974" w:rsidRDefault="00A25974"/>
    <w:p w14:paraId="103309B0" w14:textId="11076F0B" w:rsidR="00A25974" w:rsidRDefault="00A25974"/>
    <w:p w14:paraId="653BC51F" w14:textId="41062515" w:rsidR="00A25974" w:rsidRDefault="00A25974"/>
    <w:p w14:paraId="23C962E8" w14:textId="7FE434AC" w:rsidR="00A25974" w:rsidRDefault="00A25974"/>
    <w:p w14:paraId="70C594E1" w14:textId="77777777" w:rsidR="00A25974" w:rsidRDefault="00A25974"/>
    <w:sectPr w:rsidR="00A25974" w:rsidSect="00A2597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087"/>
    <w:rsid w:val="00014C0D"/>
    <w:rsid w:val="000E2C37"/>
    <w:rsid w:val="00106360"/>
    <w:rsid w:val="00201E83"/>
    <w:rsid w:val="003A63CD"/>
    <w:rsid w:val="00576D35"/>
    <w:rsid w:val="00804087"/>
    <w:rsid w:val="00844443"/>
    <w:rsid w:val="0097139E"/>
    <w:rsid w:val="00A25974"/>
    <w:rsid w:val="00B555EF"/>
    <w:rsid w:val="00C01ECB"/>
    <w:rsid w:val="00DE5333"/>
    <w:rsid w:val="00E02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AC535"/>
  <w15:chartTrackingRefBased/>
  <w15:docId w15:val="{4458618E-FD06-4B8E-ACEB-5868B66D6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6360"/>
    <w:pPr>
      <w:spacing w:after="200" w:line="276" w:lineRule="auto"/>
    </w:pPr>
    <w:rPr>
      <w:rFonts w:ascii="Arial" w:hAnsi="Arial"/>
    </w:rPr>
  </w:style>
  <w:style w:type="paragraph" w:styleId="1">
    <w:name w:val="heading 1"/>
    <w:basedOn w:val="a"/>
    <w:next w:val="a"/>
    <w:link w:val="10"/>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2">
    <w:name w:val="heading 2"/>
    <w:basedOn w:val="a"/>
    <w:next w:val="a"/>
    <w:link w:val="20"/>
    <w:uiPriority w:val="9"/>
    <w:semiHidden/>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3">
    <w:name w:val="heading 3"/>
    <w:basedOn w:val="a"/>
    <w:next w:val="a"/>
    <w:link w:val="30"/>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E5333"/>
    <w:rPr>
      <w:rFonts w:asciiTheme="majorHAnsi" w:eastAsiaTheme="majorEastAsia" w:hAnsiTheme="majorHAnsi" w:cstheme="majorBidi"/>
      <w:b/>
      <w:bCs/>
      <w:sz w:val="32"/>
      <w:szCs w:val="28"/>
    </w:rPr>
  </w:style>
  <w:style w:type="character" w:customStyle="1" w:styleId="20">
    <w:name w:val="Заглавие 2 Знак"/>
    <w:basedOn w:val="a0"/>
    <w:link w:val="2"/>
    <w:uiPriority w:val="9"/>
    <w:semiHidden/>
    <w:rsid w:val="00E026CD"/>
    <w:rPr>
      <w:rFonts w:asciiTheme="majorHAnsi" w:eastAsiaTheme="majorEastAsia" w:hAnsiTheme="majorHAnsi" w:cstheme="majorBidi"/>
      <w:b/>
      <w:color w:val="44546A" w:themeColor="text2"/>
      <w:sz w:val="28"/>
      <w:szCs w:val="26"/>
      <w:lang w:val="en-US"/>
    </w:rPr>
  </w:style>
  <w:style w:type="paragraph" w:styleId="a3">
    <w:name w:val="Title"/>
    <w:basedOn w:val="a"/>
    <w:next w:val="a"/>
    <w:link w:val="a4"/>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a4">
    <w:name w:val="Заглавие Знак"/>
    <w:basedOn w:val="a0"/>
    <w:link w:val="a3"/>
    <w:uiPriority w:val="10"/>
    <w:rsid w:val="00E026CD"/>
    <w:rPr>
      <w:rFonts w:asciiTheme="majorHAnsi" w:eastAsiaTheme="majorEastAsia" w:hAnsiTheme="majorHAnsi" w:cstheme="majorBidi"/>
      <w:spacing w:val="-10"/>
      <w:kern w:val="28"/>
      <w:sz w:val="40"/>
      <w:szCs w:val="56"/>
      <w:lang w:val="en-US"/>
    </w:rPr>
  </w:style>
  <w:style w:type="character" w:customStyle="1" w:styleId="30">
    <w:name w:val="Заглавие 3 Знак"/>
    <w:basedOn w:val="a0"/>
    <w:link w:val="3"/>
    <w:uiPriority w:val="9"/>
    <w:rsid w:val="0097139E"/>
    <w:rPr>
      <w:rFonts w:asciiTheme="majorHAnsi" w:eastAsiaTheme="majorEastAsia" w:hAnsiTheme="majorHAnsi" w:cstheme="majorBidi"/>
      <w:color w:val="1F3763" w:themeColor="accent1" w:themeShade="7F"/>
      <w:sz w:val="28"/>
      <w:szCs w:val="24"/>
    </w:rPr>
  </w:style>
  <w:style w:type="paragraph" w:styleId="a5">
    <w:name w:val="No Spacing"/>
    <w:link w:val="a6"/>
    <w:uiPriority w:val="1"/>
    <w:qFormat/>
    <w:rsid w:val="00A25974"/>
    <w:pPr>
      <w:spacing w:after="0" w:line="240" w:lineRule="auto"/>
    </w:pPr>
    <w:rPr>
      <w:rFonts w:eastAsiaTheme="minorEastAsia"/>
      <w:lang w:val="en-US"/>
    </w:rPr>
  </w:style>
  <w:style w:type="character" w:customStyle="1" w:styleId="a6">
    <w:name w:val="Без разредка Знак"/>
    <w:basedOn w:val="a0"/>
    <w:link w:val="a5"/>
    <w:uiPriority w:val="1"/>
    <w:rsid w:val="00A25974"/>
    <w:rPr>
      <w:rFonts w:eastAsiaTheme="minorEastAsia"/>
      <w:lang w:val="en-US"/>
    </w:rPr>
  </w:style>
  <w:style w:type="paragraph" w:styleId="a7">
    <w:name w:val="TOC Heading"/>
    <w:basedOn w:val="1"/>
    <w:next w:val="a"/>
    <w:uiPriority w:val="39"/>
    <w:unhideWhenUsed/>
    <w:qFormat/>
    <w:rsid w:val="000E2C37"/>
    <w:pPr>
      <w:spacing w:before="240" w:line="259" w:lineRule="auto"/>
      <w:outlineLvl w:val="9"/>
    </w:pPr>
    <w:rPr>
      <w:b w:val="0"/>
      <w:bCs w:val="0"/>
      <w:color w:val="2F5496" w:themeColor="accent1" w:themeShade="BF"/>
      <w:szCs w:val="32"/>
      <w:lang w:val="en-US"/>
    </w:rPr>
  </w:style>
  <w:style w:type="paragraph" w:styleId="11">
    <w:name w:val="toc 1"/>
    <w:basedOn w:val="a"/>
    <w:next w:val="a"/>
    <w:autoRedefine/>
    <w:uiPriority w:val="39"/>
    <w:unhideWhenUsed/>
    <w:rsid w:val="000E2C37"/>
    <w:pPr>
      <w:spacing w:after="100"/>
    </w:pPr>
  </w:style>
  <w:style w:type="character" w:styleId="a8">
    <w:name w:val="Hyperlink"/>
    <w:basedOn w:val="a0"/>
    <w:uiPriority w:val="99"/>
    <w:unhideWhenUsed/>
    <w:rsid w:val="000E2C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20C87C365224F0585A7C87CAABFBBDC"/>
        <w:category>
          <w:name w:val="General"/>
          <w:gallery w:val="placeholder"/>
        </w:category>
        <w:types>
          <w:type w:val="bbPlcHdr"/>
        </w:types>
        <w:behaviors>
          <w:behavior w:val="content"/>
        </w:behaviors>
        <w:guid w:val="{7510762A-8192-4E75-934F-C7EE50A93D02}"/>
      </w:docPartPr>
      <w:docPartBody>
        <w:p w:rsidR="00677EA3" w:rsidRDefault="0050079D" w:rsidP="0050079D">
          <w:pPr>
            <w:pStyle w:val="220C87C365224F0585A7C87CAABFBBDC"/>
          </w:pPr>
          <w:r>
            <w:rPr>
              <w:rFonts w:asciiTheme="majorHAnsi" w:eastAsiaTheme="majorEastAsia" w:hAnsiTheme="majorHAnsi" w:cstheme="majorBidi"/>
              <w:caps/>
              <w:color w:val="5B9BD5" w:themeColor="accent1"/>
              <w:sz w:val="80"/>
              <w:szCs w:val="80"/>
            </w:rPr>
            <w:t>[Document title]</w:t>
          </w:r>
        </w:p>
      </w:docPartBody>
    </w:docPart>
    <w:docPart>
      <w:docPartPr>
        <w:name w:val="66927F27F0EB4E5F953DC79D08BFC5A7"/>
        <w:category>
          <w:name w:val="General"/>
          <w:gallery w:val="placeholder"/>
        </w:category>
        <w:types>
          <w:type w:val="bbPlcHdr"/>
        </w:types>
        <w:behaviors>
          <w:behavior w:val="content"/>
        </w:behaviors>
        <w:guid w:val="{D0C16B3B-B16A-4782-A50F-B4CF6110580B}"/>
      </w:docPartPr>
      <w:docPartBody>
        <w:p w:rsidR="00677EA3" w:rsidRDefault="0050079D" w:rsidP="0050079D">
          <w:pPr>
            <w:pStyle w:val="66927F27F0EB4E5F953DC79D08BFC5A7"/>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79D"/>
    <w:rsid w:val="00007562"/>
    <w:rsid w:val="0050079D"/>
    <w:rsid w:val="00677EA3"/>
    <w:rsid w:val="00CC6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0C87C365224F0585A7C87CAABFBBDC">
    <w:name w:val="220C87C365224F0585A7C87CAABFBBDC"/>
    <w:rsid w:val="0050079D"/>
  </w:style>
  <w:style w:type="paragraph" w:customStyle="1" w:styleId="66927F27F0EB4E5F953DC79D08BFC5A7">
    <w:name w:val="66927F27F0EB4E5F953DC79D08BFC5A7"/>
    <w:rsid w:val="005007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id:1907707</PublishDate>
  <Abstract/>
  <CompanyAddress>Lecturer: Tushara Balendran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35093C-14A3-4944-B762-57191AEF7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2694</Words>
  <Characters>15362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Student name:YANITSA GOSPODINOVA</Company>
  <LinksUpToDate>false</LinksUpToDate>
  <CharactersWithSpaces>18020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dc:title>
  <dc:subject>Marketing Fundamentals Analysis and Evaluation - Assessment 2</dc:subject>
  <dc:creator>Dari-Anna A Kuseva</dc:creator>
  <cp:keywords/>
  <dc:description/>
  <cp:lastModifiedBy>nevyan gospodinov</cp:lastModifiedBy>
  <cp:revision>5</cp:revision>
  <dcterms:created xsi:type="dcterms:W3CDTF">2020-08-19T09:16:00Z</dcterms:created>
  <dcterms:modified xsi:type="dcterms:W3CDTF">2020-08-25T10:01:00Z</dcterms:modified>
</cp:coreProperties>
</file>