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664BC30E" w:rsidR="00F67C4F" w:rsidRDefault="0060164F">
      <w:pPr>
        <w:pStyle w:val="Title"/>
      </w:pPr>
      <w:r w:rsidRPr="000632B0">
        <w:t xml:space="preserve">Law and Legal Practice, Law and Criminology Law and Policing </w:t>
      </w:r>
      <w:r w:rsidR="003D063C">
        <w:br w:type="page"/>
      </w:r>
    </w:p>
    <w:p w14:paraId="00000003" w14:textId="77777777" w:rsidR="00F67C4F" w:rsidRDefault="0060164F">
      <w:pPr>
        <w:keepNext/>
        <w:keepLines/>
        <w:pBdr>
          <w:top w:val="nil"/>
          <w:left w:val="nil"/>
          <w:bottom w:val="nil"/>
          <w:right w:val="nil"/>
          <w:between w:val="nil"/>
        </w:pBdr>
        <w:spacing w:before="240" w:after="0" w:line="259" w:lineRule="auto"/>
        <w:jc w:val="center"/>
        <w:rPr>
          <w:b/>
          <w:color w:val="000000"/>
          <w:sz w:val="28"/>
          <w:szCs w:val="28"/>
        </w:rPr>
      </w:pPr>
      <w:r>
        <w:rPr>
          <w:b/>
          <w:color w:val="000000"/>
          <w:sz w:val="28"/>
          <w:szCs w:val="28"/>
        </w:rPr>
        <w:lastRenderedPageBreak/>
        <w:t>Table of Contents</w:t>
      </w:r>
    </w:p>
    <w:sdt>
      <w:sdtPr>
        <w:rPr>
          <w:rFonts w:ascii="Times New Roman" w:eastAsia="Times New Roman" w:hAnsi="Times New Roman" w:cs="Times New Roman"/>
          <w:color w:val="auto"/>
          <w:sz w:val="24"/>
          <w:szCs w:val="24"/>
          <w:lang w:val="en-IN" w:eastAsia="en-IN"/>
        </w:rPr>
        <w:id w:val="865952904"/>
        <w:docPartObj>
          <w:docPartGallery w:val="Table of Contents"/>
          <w:docPartUnique/>
        </w:docPartObj>
      </w:sdtPr>
      <w:sdtEndPr>
        <w:rPr>
          <w:b/>
          <w:bCs/>
          <w:noProof/>
        </w:rPr>
      </w:sdtEndPr>
      <w:sdtContent>
        <w:p w14:paraId="4DBA22C8" w14:textId="15793900" w:rsidR="00DB5F82" w:rsidRPr="000304C9" w:rsidRDefault="00DB5F82">
          <w:pPr>
            <w:pStyle w:val="TOCHeading"/>
            <w:rPr>
              <w:rFonts w:ascii="Times New Roman" w:hAnsi="Times New Roman" w:cs="Times New Roman"/>
              <w:color w:val="000000" w:themeColor="text1"/>
              <w:sz w:val="28"/>
              <w:szCs w:val="28"/>
            </w:rPr>
          </w:pPr>
        </w:p>
        <w:p w14:paraId="7CF1526A" w14:textId="6CDCD6BA" w:rsidR="0046134D" w:rsidRDefault="0060164F">
          <w:pPr>
            <w:pStyle w:val="TOC1"/>
            <w:tabs>
              <w:tab w:val="right" w:leader="dot" w:pos="9016"/>
            </w:tabs>
            <w:rPr>
              <w:rFonts w:asciiTheme="minorHAnsi" w:eastAsiaTheme="minorEastAsia" w:hAnsiTheme="minorHAnsi" w:cstheme="minorBidi"/>
              <w:noProof/>
              <w:sz w:val="22"/>
              <w:szCs w:val="22"/>
              <w:lang w:val="en-US" w:eastAsia="en-US"/>
            </w:rPr>
          </w:pPr>
          <w:r>
            <w:rPr>
              <w:b/>
              <w:bCs/>
              <w:noProof/>
            </w:rPr>
            <w:fldChar w:fldCharType="begin"/>
          </w:r>
          <w:r>
            <w:rPr>
              <w:b/>
              <w:bCs/>
              <w:noProof/>
            </w:rPr>
            <w:instrText xml:space="preserve"> TOC \o "1-3" \h \z \u </w:instrText>
          </w:r>
          <w:r>
            <w:rPr>
              <w:b/>
              <w:bCs/>
              <w:noProof/>
            </w:rPr>
            <w:fldChar w:fldCharType="separate"/>
          </w:r>
          <w:hyperlink w:anchor="_Toc154590297" w:history="1">
            <w:r w:rsidRPr="00417D6A">
              <w:rPr>
                <w:rStyle w:val="Hyperlink"/>
                <w:noProof/>
              </w:rPr>
              <w:t>Introduction</w:t>
            </w:r>
            <w:r>
              <w:rPr>
                <w:noProof/>
                <w:webHidden/>
              </w:rPr>
              <w:tab/>
            </w:r>
            <w:r>
              <w:rPr>
                <w:noProof/>
                <w:webHidden/>
              </w:rPr>
              <w:fldChar w:fldCharType="begin"/>
            </w:r>
            <w:r>
              <w:rPr>
                <w:noProof/>
                <w:webHidden/>
              </w:rPr>
              <w:instrText xml:space="preserve"> PAGEREF _Toc154590297 \h </w:instrText>
            </w:r>
            <w:r>
              <w:rPr>
                <w:noProof/>
                <w:webHidden/>
              </w:rPr>
            </w:r>
            <w:r>
              <w:rPr>
                <w:noProof/>
                <w:webHidden/>
              </w:rPr>
              <w:fldChar w:fldCharType="separate"/>
            </w:r>
            <w:r>
              <w:rPr>
                <w:noProof/>
                <w:webHidden/>
              </w:rPr>
              <w:t>3</w:t>
            </w:r>
            <w:r>
              <w:rPr>
                <w:noProof/>
                <w:webHidden/>
              </w:rPr>
              <w:fldChar w:fldCharType="end"/>
            </w:r>
          </w:hyperlink>
        </w:p>
        <w:p w14:paraId="50F3B8FF" w14:textId="3F0E3BB9" w:rsidR="0046134D" w:rsidRDefault="00000000">
          <w:pPr>
            <w:pStyle w:val="TOC1"/>
            <w:tabs>
              <w:tab w:val="right" w:leader="dot" w:pos="9016"/>
            </w:tabs>
            <w:rPr>
              <w:rFonts w:asciiTheme="minorHAnsi" w:eastAsiaTheme="minorEastAsia" w:hAnsiTheme="minorHAnsi" w:cstheme="minorBidi"/>
              <w:noProof/>
              <w:sz w:val="22"/>
              <w:szCs w:val="22"/>
              <w:lang w:val="en-US" w:eastAsia="en-US"/>
            </w:rPr>
          </w:pPr>
          <w:hyperlink w:anchor="_Toc154590298" w:history="1">
            <w:r w:rsidR="0060164F" w:rsidRPr="00417D6A">
              <w:rPr>
                <w:rStyle w:val="Hyperlink"/>
                <w:noProof/>
              </w:rPr>
              <w:t>Main Body</w:t>
            </w:r>
            <w:r w:rsidR="0060164F">
              <w:rPr>
                <w:noProof/>
                <w:webHidden/>
              </w:rPr>
              <w:tab/>
            </w:r>
            <w:r w:rsidR="0060164F">
              <w:rPr>
                <w:noProof/>
                <w:webHidden/>
              </w:rPr>
              <w:fldChar w:fldCharType="begin"/>
            </w:r>
            <w:r w:rsidR="0060164F">
              <w:rPr>
                <w:noProof/>
                <w:webHidden/>
              </w:rPr>
              <w:instrText xml:space="preserve"> PAGEREF _Toc154590298 \h </w:instrText>
            </w:r>
            <w:r w:rsidR="0060164F">
              <w:rPr>
                <w:noProof/>
                <w:webHidden/>
              </w:rPr>
            </w:r>
            <w:r w:rsidR="0060164F">
              <w:rPr>
                <w:noProof/>
                <w:webHidden/>
              </w:rPr>
              <w:fldChar w:fldCharType="separate"/>
            </w:r>
            <w:r w:rsidR="0060164F">
              <w:rPr>
                <w:noProof/>
                <w:webHidden/>
              </w:rPr>
              <w:t>4</w:t>
            </w:r>
            <w:r w:rsidR="0060164F">
              <w:rPr>
                <w:noProof/>
                <w:webHidden/>
              </w:rPr>
              <w:fldChar w:fldCharType="end"/>
            </w:r>
          </w:hyperlink>
        </w:p>
        <w:p w14:paraId="310CFEA8" w14:textId="703C2879" w:rsidR="0046134D" w:rsidRDefault="00000000">
          <w:pPr>
            <w:pStyle w:val="TOC1"/>
            <w:tabs>
              <w:tab w:val="right" w:leader="dot" w:pos="9016"/>
            </w:tabs>
            <w:rPr>
              <w:rFonts w:asciiTheme="minorHAnsi" w:eastAsiaTheme="minorEastAsia" w:hAnsiTheme="minorHAnsi" w:cstheme="minorBidi"/>
              <w:noProof/>
              <w:sz w:val="22"/>
              <w:szCs w:val="22"/>
              <w:lang w:val="en-US" w:eastAsia="en-US"/>
            </w:rPr>
          </w:pPr>
          <w:hyperlink w:anchor="_Toc154590299" w:history="1">
            <w:r w:rsidR="0060164F" w:rsidRPr="00417D6A">
              <w:rPr>
                <w:rStyle w:val="Hyperlink"/>
                <w:noProof/>
              </w:rPr>
              <w:t>Conclusion</w:t>
            </w:r>
            <w:r w:rsidR="0060164F">
              <w:rPr>
                <w:noProof/>
                <w:webHidden/>
              </w:rPr>
              <w:tab/>
            </w:r>
            <w:r w:rsidR="0060164F">
              <w:rPr>
                <w:noProof/>
                <w:webHidden/>
              </w:rPr>
              <w:fldChar w:fldCharType="begin"/>
            </w:r>
            <w:r w:rsidR="0060164F">
              <w:rPr>
                <w:noProof/>
                <w:webHidden/>
              </w:rPr>
              <w:instrText xml:space="preserve"> PAGEREF _Toc154590299 \h </w:instrText>
            </w:r>
            <w:r w:rsidR="0060164F">
              <w:rPr>
                <w:noProof/>
                <w:webHidden/>
              </w:rPr>
            </w:r>
            <w:r w:rsidR="0060164F">
              <w:rPr>
                <w:noProof/>
                <w:webHidden/>
              </w:rPr>
              <w:fldChar w:fldCharType="separate"/>
            </w:r>
            <w:r w:rsidR="0060164F">
              <w:rPr>
                <w:noProof/>
                <w:webHidden/>
              </w:rPr>
              <w:t>8</w:t>
            </w:r>
            <w:r w:rsidR="0060164F">
              <w:rPr>
                <w:noProof/>
                <w:webHidden/>
              </w:rPr>
              <w:fldChar w:fldCharType="end"/>
            </w:r>
          </w:hyperlink>
        </w:p>
        <w:p w14:paraId="5A923BB6" w14:textId="17D88751" w:rsidR="0046134D" w:rsidRDefault="00000000">
          <w:pPr>
            <w:pStyle w:val="TOC1"/>
            <w:tabs>
              <w:tab w:val="right" w:leader="dot" w:pos="9016"/>
            </w:tabs>
            <w:rPr>
              <w:rFonts w:asciiTheme="minorHAnsi" w:eastAsiaTheme="minorEastAsia" w:hAnsiTheme="minorHAnsi" w:cstheme="minorBidi"/>
              <w:noProof/>
              <w:sz w:val="22"/>
              <w:szCs w:val="22"/>
              <w:lang w:val="en-US" w:eastAsia="en-US"/>
            </w:rPr>
          </w:pPr>
          <w:hyperlink w:anchor="_Toc154590300" w:history="1">
            <w:r w:rsidR="0060164F" w:rsidRPr="00417D6A">
              <w:rPr>
                <w:rStyle w:val="Hyperlink"/>
                <w:noProof/>
              </w:rPr>
              <w:t>References</w:t>
            </w:r>
            <w:r w:rsidR="0060164F">
              <w:rPr>
                <w:noProof/>
                <w:webHidden/>
              </w:rPr>
              <w:tab/>
            </w:r>
            <w:r w:rsidR="0060164F">
              <w:rPr>
                <w:noProof/>
                <w:webHidden/>
              </w:rPr>
              <w:fldChar w:fldCharType="begin"/>
            </w:r>
            <w:r w:rsidR="0060164F">
              <w:rPr>
                <w:noProof/>
                <w:webHidden/>
              </w:rPr>
              <w:instrText xml:space="preserve"> PAGEREF _Toc154590300 \h </w:instrText>
            </w:r>
            <w:r w:rsidR="0060164F">
              <w:rPr>
                <w:noProof/>
                <w:webHidden/>
              </w:rPr>
            </w:r>
            <w:r w:rsidR="0060164F">
              <w:rPr>
                <w:noProof/>
                <w:webHidden/>
              </w:rPr>
              <w:fldChar w:fldCharType="separate"/>
            </w:r>
            <w:r w:rsidR="0060164F">
              <w:rPr>
                <w:noProof/>
                <w:webHidden/>
              </w:rPr>
              <w:t>9</w:t>
            </w:r>
            <w:r w:rsidR="0060164F">
              <w:rPr>
                <w:noProof/>
                <w:webHidden/>
              </w:rPr>
              <w:fldChar w:fldCharType="end"/>
            </w:r>
          </w:hyperlink>
        </w:p>
        <w:p w14:paraId="78D52A3F" w14:textId="3709964D" w:rsidR="00DB5F82" w:rsidRDefault="0060164F">
          <w:r>
            <w:rPr>
              <w:b/>
              <w:bCs/>
              <w:noProof/>
            </w:rPr>
            <w:fldChar w:fldCharType="end"/>
          </w:r>
        </w:p>
      </w:sdtContent>
    </w:sdt>
    <w:p w14:paraId="00000009" w14:textId="77777777" w:rsidR="00F67C4F" w:rsidRDefault="0060164F">
      <w:pPr>
        <w:spacing w:line="259" w:lineRule="auto"/>
        <w:jc w:val="left"/>
        <w:rPr>
          <w:b/>
          <w:sz w:val="36"/>
          <w:szCs w:val="36"/>
          <w:u w:val="single"/>
        </w:rPr>
      </w:pPr>
      <w:r>
        <w:br w:type="page"/>
      </w:r>
    </w:p>
    <w:p w14:paraId="0000000A" w14:textId="1F417FD5" w:rsidR="00F67C4F" w:rsidRDefault="0060164F">
      <w:pPr>
        <w:pStyle w:val="Heading1"/>
      </w:pPr>
      <w:bookmarkStart w:id="0" w:name="_Toc154590297"/>
      <w:r>
        <w:lastRenderedPageBreak/>
        <w:t>Introduction</w:t>
      </w:r>
      <w:bookmarkEnd w:id="0"/>
      <w:r>
        <w:t xml:space="preserve"> </w:t>
      </w:r>
    </w:p>
    <w:p w14:paraId="0000000B" w14:textId="3CE0E33A" w:rsidR="00F67C4F" w:rsidRDefault="0060164F">
      <w:r>
        <w:t xml:space="preserve">Negligence leads to </w:t>
      </w:r>
      <w:r w:rsidR="00DB5F82">
        <w:t xml:space="preserve">the </w:t>
      </w:r>
      <w:r>
        <w:t xml:space="preserve">foundation of different torts caused </w:t>
      </w:r>
      <w:r w:rsidR="00DB5F82">
        <w:t>by</w:t>
      </w:r>
      <w:r>
        <w:t xml:space="preserve"> a breach of duty as well as a breach of duty of care by an individual or group. Negligence refers to a reasonable duty of care taken by a person of ordinary judgment. Here in this report different liabilities and different terms their rules and applications will be discussed through different case laws. This report includes advice to Elijah for the injuries sustained through given circumstances after a proper case study of a given situation. Which includes proper analysis of given legislation and policies of the UK including Employers Liability 1969 and Compensation Act 2006.</w:t>
      </w:r>
    </w:p>
    <w:p w14:paraId="0000000C" w14:textId="77777777" w:rsidR="00F67C4F" w:rsidRDefault="0060164F">
      <w:pPr>
        <w:spacing w:line="259" w:lineRule="auto"/>
        <w:jc w:val="left"/>
        <w:rPr>
          <w:b/>
          <w:sz w:val="28"/>
          <w:szCs w:val="28"/>
        </w:rPr>
      </w:pPr>
      <w:r>
        <w:br w:type="page"/>
      </w:r>
    </w:p>
    <w:p w14:paraId="0000000D" w14:textId="77777777" w:rsidR="00F67C4F" w:rsidRDefault="0060164F" w:rsidP="00DB5F82">
      <w:pPr>
        <w:pStyle w:val="Heading1"/>
      </w:pPr>
      <w:bookmarkStart w:id="1" w:name="_Toc154590298"/>
      <w:r>
        <w:lastRenderedPageBreak/>
        <w:t>Main Body</w:t>
      </w:r>
      <w:bookmarkEnd w:id="1"/>
    </w:p>
    <w:p w14:paraId="0000000E" w14:textId="3688A424" w:rsidR="00F67C4F" w:rsidRDefault="0060164F" w:rsidP="00DB5F82">
      <w:r>
        <w:t>Looking at the circumstances Elijah while doing the work fell over a pile of boxes onto the mirror while ignoring the warning sign about the pile of boxes due to his negligence. Which contributed to a large cut on the knee, bruised ribs, and scratches on the hand and elbow</w:t>
      </w:r>
      <w:r w:rsidR="00C8177D">
        <w:t xml:space="preserve"> and</w:t>
      </w:r>
      <w:r>
        <w:t xml:space="preserve"> </w:t>
      </w:r>
      <w:r w:rsidR="00C8177D">
        <w:t xml:space="preserve">further </w:t>
      </w:r>
      <w:r>
        <w:t xml:space="preserve">ignored the cut for weeks. When he felt the severity of the cut was </w:t>
      </w:r>
      <w:r w:rsidR="0046134D">
        <w:t>increased,</w:t>
      </w:r>
      <w:r>
        <w:t xml:space="preserve"> he went to the hospital after checking at </w:t>
      </w:r>
      <w:r w:rsidR="0046134D">
        <w:t>first,</w:t>
      </w:r>
      <w:r>
        <w:t xml:space="preserve"> he was told that it was nothing to be worried. After a few days when he returned to the hospital, he found know that he had fatal gangrene. Here the question lies in who is liable for the injuries sustained by Elijah.</w:t>
      </w:r>
    </w:p>
    <w:p w14:paraId="3C3BB3F7" w14:textId="11075F50" w:rsidR="0046134D" w:rsidRPr="00C8177D" w:rsidRDefault="0060164F" w:rsidP="0046134D">
      <w:pPr>
        <w:pStyle w:val="NoSpacing"/>
        <w:rPr>
          <w:b/>
          <w:bCs/>
          <w:i/>
          <w:iCs/>
        </w:rPr>
      </w:pPr>
      <w:r w:rsidRPr="0046134D">
        <w:rPr>
          <w:b/>
          <w:bCs/>
          <w:i/>
          <w:iCs/>
        </w:rPr>
        <w:t>Negligence</w:t>
      </w:r>
    </w:p>
    <w:p w14:paraId="00000010" w14:textId="141B7DB5" w:rsidR="00F67C4F" w:rsidRDefault="0060164F" w:rsidP="00DB5F82">
      <w:r>
        <w:t xml:space="preserve">Negligence is a type of tort that consists of some elements, </w:t>
      </w:r>
      <w:r w:rsidR="0046134D">
        <w:t>these</w:t>
      </w:r>
      <w:r>
        <w:t xml:space="preserve"> are Duty of care</w:t>
      </w:r>
      <w:r w:rsidR="00E3139F">
        <w:t xml:space="preserve"> along with the </w:t>
      </w:r>
      <w:r>
        <w:t>Breach of Duty and Causing harm due to the Breach of Duty (Moughalian, 2021). The negligence or breach of duty done by an employee during employment leads to the formation of vicarious liability. Making the employer liable for the tortious act of his employees.</w:t>
      </w:r>
    </w:p>
    <w:p w14:paraId="00000011" w14:textId="77777777" w:rsidR="00F67C4F" w:rsidRPr="0046134D" w:rsidRDefault="0060164F" w:rsidP="00DB5F82">
      <w:pPr>
        <w:rPr>
          <w:b/>
          <w:bCs/>
          <w:i/>
          <w:iCs/>
        </w:rPr>
      </w:pPr>
      <w:r w:rsidRPr="0046134D">
        <w:rPr>
          <w:b/>
          <w:bCs/>
          <w:i/>
          <w:iCs/>
        </w:rPr>
        <w:t>Common law duty of care</w:t>
      </w:r>
    </w:p>
    <w:p w14:paraId="00000012" w14:textId="6901D25A" w:rsidR="00F67C4F" w:rsidRDefault="0060164F" w:rsidP="00DB5F82">
      <w:bookmarkStart w:id="2" w:name="_2et92p0" w:colFirst="0" w:colLast="0"/>
      <w:bookmarkEnd w:id="2"/>
      <w:r>
        <w:t>In English tort law, a person owes a reasonable duty of care to others to ensure no unreasonable harm or loss is caused to others. If the duty is found to be breached it gives rise to liability upon tortfeasor. That leads to compensation to be provided by the tortfeasor to the victim. It arises when an act of an individual or group leads to reasonable harm to others. In Employer-to-employee situations, the court recognizes the application of the duty of care between them. Under English law, an employer is under the duty to take reasonable care regarding the working of their employees u</w:t>
      </w:r>
      <w:r w:rsidR="00F97462">
        <w:t>nder their course of employment (Holmes Jr,</w:t>
      </w:r>
      <w:r w:rsidR="00F97462" w:rsidRPr="00F97462">
        <w:t>2020)</w:t>
      </w:r>
    </w:p>
    <w:p w14:paraId="00000013" w14:textId="77777777" w:rsidR="00F67C4F" w:rsidRPr="0046134D" w:rsidRDefault="0060164F" w:rsidP="00DB5F82">
      <w:pPr>
        <w:rPr>
          <w:b/>
          <w:bCs/>
          <w:i/>
          <w:iCs/>
        </w:rPr>
      </w:pPr>
      <w:bookmarkStart w:id="3" w:name="_tyjcwt" w:colFirst="0" w:colLast="0"/>
      <w:bookmarkEnd w:id="3"/>
      <w:r w:rsidRPr="0046134D">
        <w:rPr>
          <w:b/>
          <w:bCs/>
          <w:i/>
          <w:iCs/>
        </w:rPr>
        <w:t>Employers Liability</w:t>
      </w:r>
    </w:p>
    <w:p w14:paraId="00000014" w14:textId="77777777" w:rsidR="00F67C4F" w:rsidRDefault="0060164F" w:rsidP="00DB5F82">
      <w:bookmarkStart w:id="4" w:name="_3dy6vkm" w:colFirst="0" w:colLast="0"/>
      <w:bookmarkEnd w:id="4"/>
      <w:r>
        <w:t xml:space="preserve">Employer liability refers to the </w:t>
      </w:r>
      <w:r w:rsidRPr="00C8177D">
        <w:rPr>
          <w:b/>
          <w:bCs/>
          <w:i/>
          <w:iCs/>
        </w:rPr>
        <w:t>Compulsory Insurance Act of 1969</w:t>
      </w:r>
      <w:r>
        <w:t>. Which makes employers responsible for the health and safety of their employees at work. It applies to both current and former employees on their injuries sustained during work or injuries as a result of employment whether it happened during the course of employment or not. This act works based on contractual obligations through employment contracts made between employer and employee (legislation.gov.uk, 2023).</w:t>
      </w:r>
    </w:p>
    <w:p w14:paraId="00000015" w14:textId="77777777" w:rsidR="00F67C4F" w:rsidRPr="0046134D" w:rsidRDefault="0060164F" w:rsidP="00DB5F82">
      <w:pPr>
        <w:rPr>
          <w:b/>
          <w:bCs/>
          <w:i/>
          <w:iCs/>
        </w:rPr>
      </w:pPr>
      <w:bookmarkStart w:id="5" w:name="_1t3h5sf" w:colFirst="0" w:colLast="0"/>
      <w:bookmarkEnd w:id="5"/>
      <w:r w:rsidRPr="0046134D">
        <w:rPr>
          <w:b/>
          <w:bCs/>
          <w:i/>
          <w:iCs/>
        </w:rPr>
        <w:t>Statutory duty of care</w:t>
      </w:r>
    </w:p>
    <w:p w14:paraId="00000016" w14:textId="77777777" w:rsidR="00F67C4F" w:rsidRDefault="0060164F" w:rsidP="00DB5F82">
      <w:bookmarkStart w:id="6" w:name="_4d34og8" w:colFirst="0" w:colLast="0"/>
      <w:bookmarkEnd w:id="6"/>
      <w:r>
        <w:t xml:space="preserve">For claim of negligence through a breach of statutory duty, involves a breach of the standard of care owed by the respondent to the plaintiff. Regulated through </w:t>
      </w:r>
      <w:r w:rsidRPr="00EF5089">
        <w:rPr>
          <w:b/>
          <w:bCs/>
          <w:i/>
          <w:iCs/>
        </w:rPr>
        <w:t xml:space="preserve">Compensation Act 2006 </w:t>
      </w:r>
      <w:r>
        <w:lastRenderedPageBreak/>
        <w:t>which contains provision regarding breach of statutory duty through negligence. To determine breach of duty of care it involves two elements:</w:t>
      </w:r>
    </w:p>
    <w:p w14:paraId="00000017" w14:textId="4187F62F" w:rsidR="00F67C4F" w:rsidRDefault="0060164F" w:rsidP="00DB5F82">
      <w:pPr>
        <w:numPr>
          <w:ilvl w:val="0"/>
          <w:numId w:val="1"/>
        </w:numPr>
        <w:spacing w:after="0"/>
      </w:pPr>
      <w:bookmarkStart w:id="7" w:name="_2s8eyo1" w:colFirst="0" w:colLast="0"/>
      <w:bookmarkEnd w:id="7"/>
      <w:r>
        <w:t xml:space="preserve">How much care is necessary to </w:t>
      </w:r>
      <w:proofErr w:type="gramStart"/>
      <w:r>
        <w:t xml:space="preserve">be </w:t>
      </w:r>
      <w:r w:rsidR="0046134D">
        <w:t>taken</w:t>
      </w:r>
      <w:proofErr w:type="gramEnd"/>
      <w:r w:rsidR="0046134D">
        <w:t>?</w:t>
      </w:r>
    </w:p>
    <w:p w14:paraId="00000018" w14:textId="77777777" w:rsidR="00F67C4F" w:rsidRDefault="0060164F" w:rsidP="00DB5F82">
      <w:pPr>
        <w:numPr>
          <w:ilvl w:val="0"/>
          <w:numId w:val="1"/>
        </w:numPr>
      </w:pPr>
      <w:bookmarkStart w:id="8" w:name="_17dp8vu" w:colFirst="0" w:colLast="0"/>
      <w:bookmarkEnd w:id="8"/>
      <w:r>
        <w:t>Whether that care has been taken.</w:t>
      </w:r>
    </w:p>
    <w:p w14:paraId="00000019" w14:textId="77777777" w:rsidR="00F67C4F" w:rsidRDefault="0060164F" w:rsidP="00DB5F82">
      <w:bookmarkStart w:id="9" w:name="_3rdcrjn" w:colFirst="0" w:colLast="0"/>
      <w:bookmarkEnd w:id="9"/>
      <w:r>
        <w:t xml:space="preserve">It relates to reasonable care that has to </w:t>
      </w:r>
      <w:proofErr w:type="gramStart"/>
      <w:r>
        <w:t>be taken</w:t>
      </w:r>
      <w:proofErr w:type="gramEnd"/>
      <w:r>
        <w:t xml:space="preserve"> and whether that reasonable standard of care has been met or not lies as a question of fact that has to be decided by the court (legislation.gov.uk, 2023).</w:t>
      </w:r>
    </w:p>
    <w:p w14:paraId="0000001A" w14:textId="77777777" w:rsidR="00F67C4F" w:rsidRPr="0046134D" w:rsidRDefault="0060164F" w:rsidP="00DB5F82">
      <w:pPr>
        <w:rPr>
          <w:b/>
          <w:bCs/>
          <w:i/>
          <w:iCs/>
        </w:rPr>
      </w:pPr>
      <w:bookmarkStart w:id="10" w:name="_26in1rg" w:colFirst="0" w:colLast="0"/>
      <w:bookmarkEnd w:id="10"/>
      <w:r w:rsidRPr="0046134D">
        <w:rPr>
          <w:b/>
          <w:bCs/>
          <w:i/>
          <w:iCs/>
        </w:rPr>
        <w:t>Personal liability</w:t>
      </w:r>
    </w:p>
    <w:p w14:paraId="0000001B" w14:textId="77777777" w:rsidR="00F67C4F" w:rsidRDefault="0060164F" w:rsidP="00DB5F82">
      <w:bookmarkStart w:id="11" w:name="_lnxbz9" w:colFirst="0" w:colLast="0"/>
      <w:bookmarkEnd w:id="11"/>
      <w:r>
        <w:t>When an employee does an act outside the course of employment and authority of their work. Here in this case an employer is not vicariously liable for the act of his employee. Making employee personally liable for their negligence or wrongful act.</w:t>
      </w:r>
    </w:p>
    <w:p w14:paraId="0000001C" w14:textId="77777777" w:rsidR="00F67C4F" w:rsidRPr="0046134D" w:rsidRDefault="0060164F" w:rsidP="00DB5F82">
      <w:pPr>
        <w:rPr>
          <w:b/>
          <w:bCs/>
          <w:i/>
          <w:iCs/>
        </w:rPr>
      </w:pPr>
      <w:bookmarkStart w:id="12" w:name="_35nkun2" w:colFirst="0" w:colLast="0"/>
      <w:bookmarkEnd w:id="12"/>
      <w:r w:rsidRPr="0046134D">
        <w:rPr>
          <w:b/>
          <w:bCs/>
          <w:i/>
          <w:iCs/>
        </w:rPr>
        <w:t>Contractual Duty</w:t>
      </w:r>
    </w:p>
    <w:p w14:paraId="0000001E" w14:textId="19DF6F35" w:rsidR="00F67C4F" w:rsidRDefault="0060164F" w:rsidP="00DB5F82">
      <w:bookmarkStart w:id="13" w:name="_1ksv4uv" w:colFirst="0" w:colLast="0"/>
      <w:bookmarkEnd w:id="13"/>
      <w:r>
        <w:t>Contractual Duty is an agreement where parties when agreed become accountable for the performance of the contract. Under employer-employee or master-servant relations. A duty of mutual faith and confidence occurs between them.</w:t>
      </w:r>
      <w:bookmarkStart w:id="14" w:name="_44sinio" w:colFirst="0" w:colLast="0"/>
      <w:bookmarkEnd w:id="14"/>
    </w:p>
    <w:p w14:paraId="0000001F" w14:textId="77777777" w:rsidR="00F67C4F" w:rsidRPr="0046134D" w:rsidRDefault="0060164F" w:rsidP="00DB5F82">
      <w:pPr>
        <w:rPr>
          <w:b/>
          <w:bCs/>
          <w:i/>
          <w:iCs/>
        </w:rPr>
      </w:pPr>
      <w:bookmarkStart w:id="15" w:name="_2jxsxqh" w:colFirst="0" w:colLast="0"/>
      <w:bookmarkEnd w:id="15"/>
      <w:r w:rsidRPr="0046134D">
        <w:rPr>
          <w:b/>
          <w:bCs/>
          <w:i/>
          <w:iCs/>
        </w:rPr>
        <w:t>Vicarious liability</w:t>
      </w:r>
    </w:p>
    <w:p w14:paraId="00000020" w14:textId="427A7DEB" w:rsidR="00F67C4F" w:rsidRDefault="0060164F" w:rsidP="00DB5F82">
      <w:bookmarkStart w:id="16" w:name="_z337ya" w:colFirst="0" w:colLast="0"/>
      <w:bookmarkEnd w:id="16"/>
      <w:r>
        <w:t xml:space="preserve">In English law, an employer is vicariously liable for the tortious and negligent acts of its employees performed during the course of employment. It leads to the formation of a master-servant relationship where a master is held vicariously liable for the negligent act committed by his servant during duty. It arises when an employee breaches the duty of care through careless acts of his own. If an employee commits a negligent act against a third party during the course of </w:t>
      </w:r>
      <w:r w:rsidR="0070496C">
        <w:t>employment,</w:t>
      </w:r>
      <w:r>
        <w:t xml:space="preserve"> then the empl</w:t>
      </w:r>
      <w:r w:rsidR="001A7605">
        <w:t>o</w:t>
      </w:r>
      <w:r>
        <w:t>yer is liable to compensate the third party on behalf of t</w:t>
      </w:r>
      <w:r w:rsidR="001A7605">
        <w:t xml:space="preserve">he act committed by its employee (Dietrich </w:t>
      </w:r>
      <w:r w:rsidR="001A7605" w:rsidRPr="001A7605">
        <w:t>and Fiel</w:t>
      </w:r>
      <w:r w:rsidR="001A7605">
        <w:t xml:space="preserve">d, </w:t>
      </w:r>
      <w:r w:rsidR="001A7605" w:rsidRPr="001A7605">
        <w:t>2019).</w:t>
      </w:r>
    </w:p>
    <w:p w14:paraId="00000023" w14:textId="62171E8B" w:rsidR="00F67C4F" w:rsidRDefault="0060164F" w:rsidP="00061E27">
      <w:pPr>
        <w:spacing w:before="240"/>
      </w:pPr>
      <w:bookmarkStart w:id="17" w:name="_3j2qqm3" w:colFirst="0" w:colLast="0"/>
      <w:bookmarkEnd w:id="17"/>
      <w:r>
        <w:t xml:space="preserve">Elijah while in work sustained injuries through his negligence as he was reading the text message while continuing to walk being careless. A reasonable duty of care was taken by the employer as a warning sign was displayed informing about the pile of boxes waiting to be moved. Leading to no breach of duty on behalf of the employer. The actions of Elijah reading the message while continuing to walk were the reason for the actual cause of the injury which cannot be foreseeable by the employer. The negligent actions and omissions of Elijah were the reasonably foreseeable results of his injuries. The negligent actions of Elijah led to contributory </w:t>
      </w:r>
      <w:r>
        <w:lastRenderedPageBreak/>
        <w:t>negligence as Elijah due to his negligence was ma</w:t>
      </w:r>
      <w:r w:rsidR="003B08E8">
        <w:t>inly liable for his injur</w:t>
      </w:r>
      <w:r>
        <w:t xml:space="preserve">y </w:t>
      </w:r>
      <w:r w:rsidR="003B08E8">
        <w:t>(</w:t>
      </w:r>
      <w:r w:rsidR="003B08E8" w:rsidRPr="003B08E8">
        <w:t>legislation.gov.uk</w:t>
      </w:r>
      <w:r w:rsidR="003B08E8">
        <w:t xml:space="preserve">,2023). </w:t>
      </w:r>
      <w:r>
        <w:t xml:space="preserve">As in the case of </w:t>
      </w:r>
      <w:r w:rsidRPr="0046134D">
        <w:rPr>
          <w:b/>
          <w:bCs/>
          <w:i/>
          <w:iCs/>
        </w:rPr>
        <w:t xml:space="preserve">Caparo Industries PLC v Dickman [1990] UKHL 2 </w:t>
      </w:r>
      <w:r>
        <w:t>the court set a test considering duty of care</w:t>
      </w:r>
      <w:r w:rsidR="003B08E8">
        <w:t>. To k</w:t>
      </w:r>
      <w:r>
        <w:t xml:space="preserve">nown as a </w:t>
      </w:r>
      <w:r w:rsidR="00061E27">
        <w:t>three-fold</w:t>
      </w:r>
      <w:r>
        <w:t xml:space="preserve"> test for a duty of care to be raised out of negligence</w:t>
      </w:r>
      <w:r w:rsidR="00061E27" w:rsidRPr="00061E27">
        <w:t xml:space="preserve"> </w:t>
      </w:r>
      <w:r w:rsidR="00061E27">
        <w:t>(</w:t>
      </w:r>
      <w:r w:rsidR="00061E27" w:rsidRPr="00061E27">
        <w:t>Deakin,</w:t>
      </w:r>
      <w:r w:rsidR="00E4567F">
        <w:t xml:space="preserve"> </w:t>
      </w:r>
      <w:r w:rsidR="00061E27">
        <w:t>2019)</w:t>
      </w:r>
      <w:r>
        <w:t xml:space="preserve">. The court held that the harm should be </w:t>
      </w:r>
      <w:r w:rsidR="00061E27">
        <w:t>a reasonably</w:t>
      </w:r>
      <w:r>
        <w:t xml:space="preserve"> foreseeable result of the act of </w:t>
      </w:r>
      <w:r w:rsidR="00061E27">
        <w:t>the defendant</w:t>
      </w:r>
      <w:r>
        <w:t xml:space="preserve"> that must be proximate to impose liability. In the case of </w:t>
      </w:r>
      <w:r w:rsidRPr="0046134D">
        <w:rPr>
          <w:b/>
          <w:bCs/>
          <w:i/>
          <w:iCs/>
        </w:rPr>
        <w:t>Orchard v Lee [2009] EWCA 295</w:t>
      </w:r>
      <w:r>
        <w:t xml:space="preserve"> for the establishment of negligence demands visible duty of care owed by the defendant </w:t>
      </w:r>
      <w:r w:rsidR="00061E27">
        <w:t>regard</w:t>
      </w:r>
      <w:r>
        <w:t>ing the claimant. Breached in a manner that caused reasonable harm to the claiman</w:t>
      </w:r>
      <w:r w:rsidR="00DB5F82">
        <w:t>t</w:t>
      </w:r>
      <w:r>
        <w:t xml:space="preserve">. The court </w:t>
      </w:r>
      <w:r w:rsidR="009500A2">
        <w:t>stated</w:t>
      </w:r>
      <w:r>
        <w:t xml:space="preserve"> that regarding the issue related to </w:t>
      </w:r>
      <w:r w:rsidR="00061E27">
        <w:t xml:space="preserve">the </w:t>
      </w:r>
      <w:r>
        <w:t>minority age of the child</w:t>
      </w:r>
      <w:r w:rsidR="00061E27">
        <w:t>,</w:t>
      </w:r>
      <w:r>
        <w:t xml:space="preserve"> he has not breached the duty of care and is not liable for his actions.</w:t>
      </w:r>
    </w:p>
    <w:p w14:paraId="00000024" w14:textId="1F1D1F49" w:rsidR="00F67C4F" w:rsidRPr="0046134D" w:rsidRDefault="0060164F" w:rsidP="0046134D">
      <w:pPr>
        <w:pStyle w:val="NoSpacing"/>
        <w:rPr>
          <w:highlight w:val="white"/>
        </w:rPr>
      </w:pPr>
      <w:r>
        <w:t xml:space="preserve">In the case of </w:t>
      </w:r>
      <w:r w:rsidRPr="0046134D">
        <w:rPr>
          <w:b/>
          <w:bCs/>
          <w:i/>
          <w:iCs/>
        </w:rPr>
        <w:t>Hilton v Thomas Burton (Rhodes) Ltd [1961] 1 WLR 705</w:t>
      </w:r>
      <w:r>
        <w:t xml:space="preserve"> the court held that employers were not vicariously </w:t>
      </w:r>
      <w:r w:rsidR="008F5FE5">
        <w:t>answerable</w:t>
      </w:r>
      <w:r>
        <w:t xml:space="preserve"> because the relation between the incident </w:t>
      </w:r>
      <w:r w:rsidR="0070496C">
        <w:t>as</w:t>
      </w:r>
      <w:r w:rsidR="008F5FE5">
        <w:t xml:space="preserve"> well as</w:t>
      </w:r>
      <w:r>
        <w:t xml:space="preserve"> job where </w:t>
      </w:r>
      <w:proofErr w:type="gramStart"/>
      <w:r>
        <w:t>workmen</w:t>
      </w:r>
      <w:proofErr w:type="gramEnd"/>
      <w:r>
        <w:t xml:space="preserve"> were employed was too irrelevant. In the case o</w:t>
      </w:r>
      <w:r w:rsidR="00DB5F82">
        <w:t xml:space="preserve">f </w:t>
      </w:r>
      <w:r w:rsidR="00DB5F82" w:rsidRPr="0046134D">
        <w:rPr>
          <w:b/>
          <w:bCs/>
        </w:rPr>
        <w:t xml:space="preserve">Kay v ITW Ltd </w:t>
      </w:r>
      <w:r w:rsidRPr="0046134D">
        <w:rPr>
          <w:b/>
          <w:bCs/>
        </w:rPr>
        <w:t>EWCA Civ J0424-2[1967]</w:t>
      </w:r>
      <w:r w:rsidRPr="0046134D">
        <w:rPr>
          <w:i/>
          <w:iCs/>
        </w:rPr>
        <w:t>,</w:t>
      </w:r>
      <w:r>
        <w:t xml:space="preserve"> the court held that the appellant doing the work which he was not </w:t>
      </w:r>
      <w:r w:rsidR="0070496C">
        <w:t>employed,</w:t>
      </w:r>
      <w:r>
        <w:t xml:space="preserve"> and the injury caused through those actions done by the appellant out of his employment did not let of liability for the employers. In the case of </w:t>
      </w:r>
      <w:r w:rsidRPr="0046134D">
        <w:rPr>
          <w:b/>
          <w:bCs/>
          <w:i/>
          <w:iCs/>
        </w:rPr>
        <w:t>McDermid v Nash Dredging Ltd 3 W.L.R 212</w:t>
      </w:r>
      <w:r>
        <w:t xml:space="preserve">, the court held that the employer is not entitled to represent its duty of reasonable care to create a safe system of work and to look after its operations that they had formed that was operated by a third party. In the case of </w:t>
      </w:r>
      <w:r w:rsidRPr="0046134D">
        <w:rPr>
          <w:b/>
          <w:bCs/>
          <w:i/>
          <w:iCs/>
          <w:highlight w:val="white"/>
        </w:rPr>
        <w:t>Ready Mixed Concrete (South East) Ltd v Minister of Pensions and National Insurance</w:t>
      </w:r>
      <w:r w:rsidRPr="0046134D">
        <w:rPr>
          <w:rFonts w:eastAsia="Arial"/>
          <w:b/>
          <w:bCs/>
          <w:i/>
          <w:iCs/>
          <w:highlight w:val="white"/>
        </w:rPr>
        <w:t xml:space="preserve"> </w:t>
      </w:r>
      <w:r w:rsidRPr="0046134D">
        <w:rPr>
          <w:b/>
          <w:bCs/>
          <w:i/>
          <w:iCs/>
          <w:highlight w:val="white"/>
        </w:rPr>
        <w:t>[1968] 2 QB 497</w:t>
      </w:r>
      <w:r>
        <w:rPr>
          <w:rFonts w:ascii="Arial" w:eastAsia="Arial" w:hAnsi="Arial" w:cs="Arial"/>
          <w:color w:val="202122"/>
          <w:highlight w:val="white"/>
        </w:rPr>
        <w:t xml:space="preserve"> </w:t>
      </w:r>
      <w:r w:rsidRPr="0046134D">
        <w:rPr>
          <w:highlight w:val="white"/>
        </w:rPr>
        <w:t>the</w:t>
      </w:r>
      <w:r w:rsidRPr="0046134D">
        <w:rPr>
          <w:rFonts w:eastAsia="Arial"/>
          <w:highlight w:val="white"/>
        </w:rPr>
        <w:t xml:space="preserve"> </w:t>
      </w:r>
      <w:r w:rsidRPr="0046134D">
        <w:rPr>
          <w:highlight w:val="white"/>
        </w:rPr>
        <w:t>court held that whether the contract forms a contractual liability between master and servant depends upon their contractual right and duties</w:t>
      </w:r>
      <w:r w:rsidR="00C37F44" w:rsidRPr="0046134D">
        <w:t xml:space="preserve"> (de Silva,2020)</w:t>
      </w:r>
      <w:r w:rsidRPr="0046134D">
        <w:rPr>
          <w:highlight w:val="white"/>
        </w:rPr>
        <w:t xml:space="preserve">. In the case of </w:t>
      </w:r>
      <w:r w:rsidRPr="0046134D">
        <w:rPr>
          <w:b/>
          <w:bCs/>
          <w:i/>
          <w:iCs/>
          <w:highlight w:val="white"/>
        </w:rPr>
        <w:t>Blyth v Birmingham Waterworks Company</w:t>
      </w:r>
      <w:r w:rsidRPr="0046134D">
        <w:rPr>
          <w:rFonts w:eastAsia="Arial"/>
          <w:b/>
          <w:bCs/>
          <w:i/>
          <w:iCs/>
          <w:highlight w:val="white"/>
        </w:rPr>
        <w:t xml:space="preserve"> </w:t>
      </w:r>
      <w:r w:rsidRPr="0046134D">
        <w:rPr>
          <w:b/>
          <w:bCs/>
          <w:i/>
          <w:iCs/>
          <w:highlight w:val="white"/>
        </w:rPr>
        <w:t>(1856) 11 Ex Ch 781</w:t>
      </w:r>
      <w:r w:rsidRPr="0046134D">
        <w:rPr>
          <w:highlight w:val="white"/>
        </w:rPr>
        <w:t xml:space="preserve">, the court held that routinely taking safety measures against </w:t>
      </w:r>
      <w:proofErr w:type="gramStart"/>
      <w:r w:rsidRPr="0046134D">
        <w:rPr>
          <w:highlight w:val="white"/>
        </w:rPr>
        <w:t>cold weather</w:t>
      </w:r>
      <w:proofErr w:type="gramEnd"/>
      <w:r w:rsidRPr="0046134D">
        <w:rPr>
          <w:highlight w:val="white"/>
        </w:rPr>
        <w:t xml:space="preserve">. Moreover, due to Certain unforeseeable weather the damage occurred it was characterized as an accident far from the scope of negligence. As per the given circumstances Elijah will not be able to sue his employer as no breach of duty occurred on behalf of the employer. The injuries sustained by Elijah were due to his negligent act as the act done by him was for his personal use acting out of the course of the employment making him liable for personal liability. Making his act cannot be foreseeable by the employer. Leading to no claim of vicarious liability for the employer. However, under UK law, Elijah can claim compensation from the employee under the </w:t>
      </w:r>
      <w:r w:rsidRPr="0046134D">
        <w:rPr>
          <w:b/>
          <w:bCs/>
          <w:i/>
          <w:iCs/>
          <w:highlight w:val="white"/>
        </w:rPr>
        <w:t>Employer's Liability Act 1969</w:t>
      </w:r>
      <w:r w:rsidRPr="0046134D">
        <w:rPr>
          <w:highlight w:val="white"/>
        </w:rPr>
        <w:t xml:space="preserve"> making employers </w:t>
      </w:r>
      <w:r w:rsidR="00FA7D0E" w:rsidRPr="0046134D">
        <w:rPr>
          <w:highlight w:val="white"/>
        </w:rPr>
        <w:t>accountable</w:t>
      </w:r>
      <w:r w:rsidRPr="0046134D">
        <w:rPr>
          <w:highlight w:val="white"/>
        </w:rPr>
        <w:t xml:space="preserve"> </w:t>
      </w:r>
      <w:r w:rsidR="00FA7D0E">
        <w:rPr>
          <w:highlight w:val="white"/>
        </w:rPr>
        <w:t>in terms of the</w:t>
      </w:r>
      <w:r w:rsidRPr="0046134D">
        <w:rPr>
          <w:highlight w:val="white"/>
        </w:rPr>
        <w:t xml:space="preserve"> health and safety of</w:t>
      </w:r>
      <w:r>
        <w:rPr>
          <w:color w:val="202122"/>
          <w:highlight w:val="white"/>
        </w:rPr>
        <w:t xml:space="preserve"> </w:t>
      </w:r>
      <w:r w:rsidRPr="0046134D">
        <w:rPr>
          <w:highlight w:val="white"/>
        </w:rPr>
        <w:t xml:space="preserve">their employees at work. It applies to both current and former employees on injuries sustained by them during work or injuries as a result </w:t>
      </w:r>
      <w:r w:rsidRPr="0046134D">
        <w:rPr>
          <w:highlight w:val="white"/>
        </w:rPr>
        <w:lastRenderedPageBreak/>
        <w:t xml:space="preserve">of employment whether it happened during the course of employment or not. This act works as insurance for the employees who engage themselves in the business or work of their employees. As per the scenario regarding the </w:t>
      </w:r>
      <w:r w:rsidR="001A7605" w:rsidRPr="0046134D">
        <w:rPr>
          <w:highlight w:val="white"/>
        </w:rPr>
        <w:t>hospital where Elijah went for a check</w:t>
      </w:r>
      <w:r w:rsidRPr="0046134D">
        <w:rPr>
          <w:highlight w:val="white"/>
        </w:rPr>
        <w:t xml:space="preserve">-up for his injuries after a few weeks. After </w:t>
      </w:r>
      <w:r w:rsidR="0046134D" w:rsidRPr="0046134D">
        <w:rPr>
          <w:highlight w:val="white"/>
        </w:rPr>
        <w:t>the check-up</w:t>
      </w:r>
      <w:r w:rsidRPr="0046134D">
        <w:rPr>
          <w:highlight w:val="white"/>
        </w:rPr>
        <w:t xml:space="preserve">, he said nothing to worry about. After a few days returning to the hospital. He was told that he had gangrene and it needed to be operated as soon as possible. Here according to </w:t>
      </w:r>
      <w:r w:rsidR="0046134D" w:rsidRPr="0046134D">
        <w:rPr>
          <w:highlight w:val="white"/>
        </w:rPr>
        <w:t>Scenario</w:t>
      </w:r>
      <w:r w:rsidRPr="0046134D">
        <w:rPr>
          <w:highlight w:val="white"/>
        </w:rPr>
        <w:t xml:space="preserve">, the hospital is not liable for Elijah's gangrene as the injury did not occur through the negligent act of the employees working under the hospital hence not making the hospital vicariously liable. Here the rule of </w:t>
      </w:r>
      <w:r w:rsidR="0046134D" w:rsidRPr="0046134D">
        <w:rPr>
          <w:highlight w:val="white"/>
        </w:rPr>
        <w:t>remoteness</w:t>
      </w:r>
      <w:r w:rsidRPr="0046134D">
        <w:rPr>
          <w:highlight w:val="white"/>
        </w:rPr>
        <w:t xml:space="preserve"> of damage will be applied making Elijah liable for all immediate and direct </w:t>
      </w:r>
      <w:r w:rsidR="00AD5C5E" w:rsidRPr="0046134D">
        <w:rPr>
          <w:highlight w:val="white"/>
        </w:rPr>
        <w:t>significances</w:t>
      </w:r>
      <w:r w:rsidRPr="0046134D">
        <w:rPr>
          <w:highlight w:val="white"/>
        </w:rPr>
        <w:t xml:space="preserve"> of his negligence. </w:t>
      </w:r>
      <w:r w:rsidR="0046134D" w:rsidRPr="0046134D">
        <w:rPr>
          <w:highlight w:val="white"/>
        </w:rPr>
        <w:t>Hence,</w:t>
      </w:r>
      <w:r w:rsidRPr="0046134D">
        <w:rPr>
          <w:highlight w:val="white"/>
        </w:rPr>
        <w:t xml:space="preserve"> he cannot sue the hospital for negligence. In the case of </w:t>
      </w:r>
      <w:r w:rsidRPr="0046134D">
        <w:rPr>
          <w:b/>
          <w:bCs/>
          <w:i/>
          <w:iCs/>
          <w:highlight w:val="white"/>
        </w:rPr>
        <w:t>Robinson V Post Office [1974] 1 WLR 1176</w:t>
      </w:r>
      <w:r w:rsidRPr="0046134D">
        <w:rPr>
          <w:highlight w:val="white"/>
        </w:rPr>
        <w:t xml:space="preserve"> the principle of remoteness of damage was applied to make the defendant </w:t>
      </w:r>
      <w:r w:rsidR="00AD5C5E" w:rsidRPr="0046134D">
        <w:rPr>
          <w:highlight w:val="white"/>
        </w:rPr>
        <w:t>legally responsible</w:t>
      </w:r>
      <w:r w:rsidRPr="0046134D">
        <w:rPr>
          <w:highlight w:val="white"/>
        </w:rPr>
        <w:t xml:space="preserve"> for all the injuries </w:t>
      </w:r>
      <w:r w:rsidR="00AD5C5E" w:rsidRPr="0046134D">
        <w:rPr>
          <w:highlight w:val="white"/>
        </w:rPr>
        <w:t>constant</w:t>
      </w:r>
      <w:r w:rsidRPr="0046134D">
        <w:rPr>
          <w:highlight w:val="white"/>
        </w:rPr>
        <w:t xml:space="preserve"> by the claimant. Making it inevitable that the injured party required medical assistance. In the case of </w:t>
      </w:r>
      <w:r w:rsidRPr="0046134D">
        <w:rPr>
          <w:b/>
          <w:bCs/>
          <w:i/>
          <w:iCs/>
          <w:highlight w:val="white"/>
        </w:rPr>
        <w:t>Barnett v Chelsea &amp; Kensington Hospital Management Committee [1968] 2 WLR 422</w:t>
      </w:r>
      <w:r w:rsidRPr="0046134D">
        <w:rPr>
          <w:highlight w:val="white"/>
        </w:rPr>
        <w:t xml:space="preserve">, the </w:t>
      </w:r>
      <w:r w:rsidR="00AD5C5E" w:rsidRPr="0046134D">
        <w:rPr>
          <w:highlight w:val="white"/>
        </w:rPr>
        <w:t>court</w:t>
      </w:r>
      <w:r w:rsidR="00AD5C5E">
        <w:rPr>
          <w:highlight w:val="white"/>
        </w:rPr>
        <w:t xml:space="preserve"> has given the judgment </w:t>
      </w:r>
      <w:r w:rsidRPr="0046134D">
        <w:rPr>
          <w:highlight w:val="white"/>
        </w:rPr>
        <w:t xml:space="preserve">that the hospital was not liable. However, the hospital had breached the duty of care that </w:t>
      </w:r>
      <w:r w:rsidR="00AD5C5E">
        <w:rPr>
          <w:highlight w:val="white"/>
        </w:rPr>
        <w:t xml:space="preserve">kind of </w:t>
      </w:r>
      <w:r w:rsidRPr="0046134D">
        <w:rPr>
          <w:highlight w:val="white"/>
        </w:rPr>
        <w:t xml:space="preserve">breach was not held to be the cause of the injury sustained. In the case </w:t>
      </w:r>
      <w:r w:rsidR="0046134D" w:rsidRPr="0046134D">
        <w:rPr>
          <w:highlight w:val="white"/>
        </w:rPr>
        <w:t xml:space="preserve">of </w:t>
      </w:r>
      <w:r w:rsidR="0046134D" w:rsidRPr="0046134D">
        <w:rPr>
          <w:b/>
          <w:bCs/>
          <w:i/>
          <w:iCs/>
          <w:highlight w:val="white"/>
        </w:rPr>
        <w:t>Bolam</w:t>
      </w:r>
      <w:r w:rsidRPr="0046134D">
        <w:rPr>
          <w:b/>
          <w:bCs/>
          <w:i/>
          <w:iCs/>
          <w:highlight w:val="white"/>
        </w:rPr>
        <w:t xml:space="preserve"> v Friern Hospital Management Committee [1957] 1 WLR 583</w:t>
      </w:r>
      <w:r w:rsidRPr="0046134D">
        <w:rPr>
          <w:highlight w:val="white"/>
        </w:rPr>
        <w:t xml:space="preserve"> the court </w:t>
      </w:r>
      <w:r w:rsidR="00AD5C5E">
        <w:rPr>
          <w:highlight w:val="white"/>
        </w:rPr>
        <w:t>stated</w:t>
      </w:r>
      <w:r w:rsidRPr="0046134D">
        <w:rPr>
          <w:highlight w:val="white"/>
        </w:rPr>
        <w:t xml:space="preserve"> that the hospital is not liable for the injuries sustained by the patient when a medical professional uses a standard of care owned by them to their </w:t>
      </w:r>
      <w:r w:rsidR="0046134D" w:rsidRPr="0046134D">
        <w:rPr>
          <w:highlight w:val="white"/>
        </w:rPr>
        <w:t>patients</w:t>
      </w:r>
      <w:r w:rsidR="0046134D" w:rsidRPr="0046134D">
        <w:t xml:space="preserve"> (</w:t>
      </w:r>
      <w:r w:rsidR="00F51D00" w:rsidRPr="0046134D">
        <w:t xml:space="preserve">Cave and Milo,2020). </w:t>
      </w:r>
      <w:r w:rsidRPr="0046134D">
        <w:rPr>
          <w:highlight w:val="white"/>
        </w:rPr>
        <w:t xml:space="preserve">In the case of </w:t>
      </w:r>
      <w:r w:rsidRPr="0046134D">
        <w:rPr>
          <w:b/>
          <w:bCs/>
          <w:i/>
          <w:iCs/>
          <w:highlight w:val="white"/>
        </w:rPr>
        <w:t xml:space="preserve">Roe v Minister of Health [1954] 2 All ER 131 </w:t>
      </w:r>
      <w:r w:rsidRPr="0046134D">
        <w:rPr>
          <w:highlight w:val="white"/>
        </w:rPr>
        <w:t xml:space="preserve">the hospital </w:t>
      </w:r>
      <w:r w:rsidR="00AD5C5E">
        <w:rPr>
          <w:highlight w:val="white"/>
        </w:rPr>
        <w:t xml:space="preserve">can be perceived as </w:t>
      </w:r>
      <w:r w:rsidRPr="0046134D">
        <w:rPr>
          <w:highlight w:val="white"/>
        </w:rPr>
        <w:t>ke</w:t>
      </w:r>
      <w:r w:rsidR="00AD5C5E">
        <w:rPr>
          <w:highlight w:val="white"/>
        </w:rPr>
        <w:t>eping</w:t>
      </w:r>
      <w:r w:rsidRPr="0046134D">
        <w:rPr>
          <w:highlight w:val="white"/>
        </w:rPr>
        <w:t xml:space="preserve"> anaesthetic in glass </w:t>
      </w:r>
      <w:r w:rsidR="00AD5C5E" w:rsidRPr="0046134D">
        <w:rPr>
          <w:highlight w:val="white"/>
        </w:rPr>
        <w:t>containers</w:t>
      </w:r>
      <w:r w:rsidRPr="0046134D">
        <w:rPr>
          <w:highlight w:val="white"/>
        </w:rPr>
        <w:t xml:space="preserve"> </w:t>
      </w:r>
      <w:r w:rsidR="00AD5C5E">
        <w:rPr>
          <w:highlight w:val="white"/>
        </w:rPr>
        <w:t xml:space="preserve">that were </w:t>
      </w:r>
      <w:r w:rsidRPr="0046134D">
        <w:rPr>
          <w:highlight w:val="white"/>
        </w:rPr>
        <w:t xml:space="preserve">stored in saline for </w:t>
      </w:r>
      <w:r w:rsidR="00AD5C5E" w:rsidRPr="0046134D">
        <w:rPr>
          <w:highlight w:val="white"/>
        </w:rPr>
        <w:t>desolation</w:t>
      </w:r>
      <w:r w:rsidRPr="0046134D">
        <w:rPr>
          <w:highlight w:val="white"/>
        </w:rPr>
        <w:t xml:space="preserve"> reasons as it was </w:t>
      </w:r>
      <w:proofErr w:type="gramStart"/>
      <w:r w:rsidRPr="0046134D">
        <w:rPr>
          <w:highlight w:val="white"/>
        </w:rPr>
        <w:t>a common practice</w:t>
      </w:r>
      <w:proofErr w:type="gramEnd"/>
      <w:r w:rsidRPr="0046134D">
        <w:rPr>
          <w:highlight w:val="white"/>
        </w:rPr>
        <w:t xml:space="preserve"> at that time. When the anaesthetic was used during the operation it</w:t>
      </w:r>
      <w:r w:rsidR="00AD5C5E">
        <w:rPr>
          <w:highlight w:val="white"/>
        </w:rPr>
        <w:t xml:space="preserve"> may create</w:t>
      </w:r>
      <w:r w:rsidRPr="0046134D">
        <w:rPr>
          <w:highlight w:val="white"/>
        </w:rPr>
        <w:t xml:space="preserve"> permanent paralysis of the patient. It was</w:t>
      </w:r>
      <w:r w:rsidR="00AD5C5E">
        <w:rPr>
          <w:highlight w:val="white"/>
        </w:rPr>
        <w:t xml:space="preserve"> examined</w:t>
      </w:r>
      <w:r w:rsidRPr="0046134D">
        <w:rPr>
          <w:highlight w:val="white"/>
        </w:rPr>
        <w:t xml:space="preserve"> by the court that the hospital was not liable for breach of duty. As they had med the standard duty of care that was expected during that period was storing glass ampules in saline was </w:t>
      </w:r>
      <w:proofErr w:type="gramStart"/>
      <w:r w:rsidRPr="0046134D">
        <w:rPr>
          <w:highlight w:val="white"/>
        </w:rPr>
        <w:t>a common practice</w:t>
      </w:r>
      <w:proofErr w:type="gramEnd"/>
      <w:r w:rsidRPr="0046134D">
        <w:rPr>
          <w:highlight w:val="white"/>
        </w:rPr>
        <w:t xml:space="preserve">. In the case of </w:t>
      </w:r>
      <w:r w:rsidRPr="0046134D">
        <w:rPr>
          <w:b/>
          <w:bCs/>
          <w:i/>
          <w:iCs/>
          <w:highlight w:val="white"/>
        </w:rPr>
        <w:t>Goldsmith v Mid Staffordshire General Hospitals NHS Trust [</w:t>
      </w:r>
      <w:r w:rsidR="0046134D" w:rsidRPr="0046134D">
        <w:rPr>
          <w:b/>
          <w:bCs/>
          <w:i/>
          <w:iCs/>
          <w:highlight w:val="white"/>
        </w:rPr>
        <w:t>2007] EWCA</w:t>
      </w:r>
      <w:r w:rsidRPr="0046134D">
        <w:rPr>
          <w:b/>
          <w:bCs/>
          <w:i/>
          <w:iCs/>
          <w:highlight w:val="white"/>
        </w:rPr>
        <w:t xml:space="preserve"> Civ 397</w:t>
      </w:r>
      <w:r w:rsidR="00F51D00" w:rsidRPr="0046134D">
        <w:rPr>
          <w:b/>
          <w:bCs/>
          <w:i/>
          <w:iCs/>
          <w:highlight w:val="white"/>
        </w:rPr>
        <w:t>.</w:t>
      </w:r>
      <w:r w:rsidRPr="0046134D">
        <w:rPr>
          <w:highlight w:val="white"/>
        </w:rPr>
        <w:t xml:space="preserve"> Mrs Gouldsmith claimed damage for personal injuries due to the negligent action of the hospital. The injury led to the loss of the digits of her left hand leading to the amputation of the index finger of her left hand. The court held that the hospital breached its duty of care towards its patient. The Judge observed that during the first week, the appellant had unusual conditions. Which was curable if the doctor had referred the patient elsewhere as he was found negligent toward his patient.</w:t>
      </w:r>
    </w:p>
    <w:p w14:paraId="00000025" w14:textId="77777777" w:rsidR="00F67C4F" w:rsidRDefault="00F67C4F">
      <w:pPr>
        <w:jc w:val="left"/>
        <w:rPr>
          <w:color w:val="202122"/>
          <w:highlight w:val="white"/>
        </w:rPr>
      </w:pPr>
    </w:p>
    <w:p w14:paraId="42ACF519" w14:textId="77777777" w:rsidR="0046134D" w:rsidRDefault="0060164F" w:rsidP="0046134D">
      <w:pPr>
        <w:pStyle w:val="Heading1"/>
      </w:pPr>
      <w:bookmarkStart w:id="18" w:name="_Toc154590299"/>
      <w:r>
        <w:lastRenderedPageBreak/>
        <w:t>Conclusion</w:t>
      </w:r>
      <w:bookmarkEnd w:id="18"/>
    </w:p>
    <w:p w14:paraId="00438A57" w14:textId="77777777" w:rsidR="0046134D" w:rsidRDefault="0060164F" w:rsidP="0046134D">
      <w:r>
        <w:t>The following information consisted of a brief report regarding the given case study of Elijah which included various problems related to tort law. Which was governed under the legislation of UK tort law. This report provides various suggestions to Elijah the aggrieved party based on the legislation of the UK. The report includes several necessary pieces of legislation required for forming liability including common law duty of care, negligence, vicarious liability, personal liability, employee liability, and statutory duty of care. After a thorough analysis of this legislation, suitable advice to Elijah has been provided.</w:t>
      </w:r>
    </w:p>
    <w:p w14:paraId="00000026" w14:textId="77777777" w:rsidR="00F67C4F" w:rsidRDefault="00F67C4F">
      <w:pPr>
        <w:jc w:val="left"/>
        <w:rPr>
          <w:color w:val="202122"/>
          <w:highlight w:val="white"/>
        </w:rPr>
      </w:pPr>
    </w:p>
    <w:p w14:paraId="00000027" w14:textId="77777777" w:rsidR="00F67C4F" w:rsidRDefault="00F67C4F">
      <w:pPr>
        <w:jc w:val="left"/>
      </w:pPr>
    </w:p>
    <w:p w14:paraId="00000028" w14:textId="16AB65E0" w:rsidR="00F67C4F" w:rsidRDefault="0060164F">
      <w:pPr>
        <w:spacing w:line="259" w:lineRule="auto"/>
        <w:jc w:val="left"/>
        <w:rPr>
          <w:b/>
          <w:sz w:val="28"/>
          <w:szCs w:val="28"/>
        </w:rPr>
      </w:pPr>
      <w:r>
        <w:br w:type="page"/>
      </w:r>
    </w:p>
    <w:p w14:paraId="311BC348" w14:textId="6CC7E6A9" w:rsidR="003B08E8" w:rsidRDefault="0060164F" w:rsidP="005E6BEB">
      <w:pPr>
        <w:pStyle w:val="Heading1"/>
      </w:pPr>
      <w:bookmarkStart w:id="19" w:name="_Toc154590300"/>
      <w:r>
        <w:lastRenderedPageBreak/>
        <w:t>References</w:t>
      </w:r>
      <w:bookmarkEnd w:id="19"/>
    </w:p>
    <w:p w14:paraId="111F70F5" w14:textId="77777777" w:rsidR="003B08E8" w:rsidRDefault="0060164F" w:rsidP="003B08E8">
      <w:pPr>
        <w:spacing w:before="240"/>
        <w:ind w:left="720" w:hanging="720"/>
      </w:pPr>
      <w:r w:rsidRPr="00061E27">
        <w:t xml:space="preserve">Cave, E. and Milo, C., </w:t>
      </w:r>
      <w:r>
        <w:t>(</w:t>
      </w:r>
      <w:r w:rsidRPr="00061E27">
        <w:t>2020</w:t>
      </w:r>
      <w:r>
        <w:t>)</w:t>
      </w:r>
      <w:r w:rsidRPr="00061E27">
        <w:t>. Informing patients: the Bolam legacy. Medical law international, 20(2), pp.103-130.</w:t>
      </w:r>
    </w:p>
    <w:p w14:paraId="7E3D2BA2" w14:textId="77777777" w:rsidR="003B08E8" w:rsidRDefault="0060164F" w:rsidP="003B08E8">
      <w:pPr>
        <w:ind w:left="720" w:hanging="720"/>
      </w:pPr>
      <w:r w:rsidRPr="00F51D00">
        <w:t xml:space="preserve">de Silva, C., </w:t>
      </w:r>
      <w:r>
        <w:t>(</w:t>
      </w:r>
      <w:r w:rsidRPr="00F51D00">
        <w:t>2020</w:t>
      </w:r>
      <w:r>
        <w:t>)</w:t>
      </w:r>
      <w:r w:rsidRPr="00F51D00">
        <w:t>. 'Not My Employee, Not My Liability': A Review of the Law of Vicarious Liability, Its April 2020 Supreme Court Airing, and Its Relevance to the Equestrian Industry and Other Small Businesses. Denning LJ, 32, p.25.</w:t>
      </w:r>
    </w:p>
    <w:p w14:paraId="0BBFF4BE" w14:textId="77777777" w:rsidR="003B08E8" w:rsidRDefault="0060164F" w:rsidP="003B08E8">
      <w:pPr>
        <w:spacing w:before="240"/>
        <w:ind w:left="720" w:hanging="720"/>
      </w:pPr>
      <w:r w:rsidRPr="00A5022E">
        <w:t>Deakin, S.,</w:t>
      </w:r>
      <w:r>
        <w:t xml:space="preserve"> (</w:t>
      </w:r>
      <w:r w:rsidRPr="00A5022E">
        <w:t>2019</w:t>
      </w:r>
      <w:r>
        <w:t>)</w:t>
      </w:r>
      <w:r w:rsidRPr="00A5022E">
        <w:t>. Liability in negligence in providing a public good: Really not so different?. The Cambridge Law Journal, 78(3), pp.513-516.</w:t>
      </w:r>
    </w:p>
    <w:p w14:paraId="0888F5EA" w14:textId="2E375501" w:rsidR="00AE5CD0" w:rsidRDefault="00AE5CD0" w:rsidP="00AE5CD0">
      <w:pPr>
        <w:pStyle w:val="NoSpacing"/>
        <w:ind w:left="720" w:hanging="720"/>
        <w:rPr>
          <w:shd w:val="clear" w:color="auto" w:fill="FFFFFF"/>
        </w:rPr>
      </w:pPr>
      <w:r>
        <w:rPr>
          <w:shd w:val="clear" w:color="auto" w:fill="FFFFFF"/>
        </w:rPr>
        <w:t>Dietrich, J. and Field, I., (2019). Statute and theories of vicarious liability. </w:t>
      </w:r>
      <w:r>
        <w:rPr>
          <w:i/>
          <w:iCs/>
          <w:shd w:val="clear" w:color="auto" w:fill="FFFFFF"/>
        </w:rPr>
        <w:t>Melb. UL Rev.</w:t>
      </w:r>
      <w:r>
        <w:rPr>
          <w:shd w:val="clear" w:color="auto" w:fill="FFFFFF"/>
        </w:rPr>
        <w:t>, </w:t>
      </w:r>
      <w:r>
        <w:rPr>
          <w:i/>
          <w:iCs/>
          <w:shd w:val="clear" w:color="auto" w:fill="FFFFFF"/>
        </w:rPr>
        <w:t>43</w:t>
      </w:r>
      <w:r>
        <w:rPr>
          <w:shd w:val="clear" w:color="auto" w:fill="FFFFFF"/>
        </w:rPr>
        <w:t>, p.515.</w:t>
      </w:r>
    </w:p>
    <w:p w14:paraId="14B6764F" w14:textId="4920C095" w:rsidR="003B08E8" w:rsidRDefault="0060164F" w:rsidP="003B08E8">
      <w:pPr>
        <w:ind w:left="720" w:hanging="720"/>
      </w:pPr>
      <w:r>
        <w:t>legislation.gov.uk, (2023). Compensation Act 2006 [Online] Available at: https://www.legislation.gov.uk/ukpga/2006/29/contents [ Accessed on 23 December 2023].</w:t>
      </w:r>
    </w:p>
    <w:p w14:paraId="36E57B82" w14:textId="77777777" w:rsidR="003B08E8" w:rsidRDefault="0060164F" w:rsidP="003B08E8">
      <w:pPr>
        <w:ind w:left="720" w:hanging="720"/>
      </w:pPr>
      <w:r>
        <w:t>legislation.gov.uk, (2023). Employment liability Act 1969 [Online] Available at: https://www.legislation.gov.uk/ukpga/1969/57/contents [ Accessed on 23 December 2023].</w:t>
      </w:r>
    </w:p>
    <w:p w14:paraId="1CBFF6A8" w14:textId="2205839A" w:rsidR="003B08E8" w:rsidRDefault="0060164F" w:rsidP="003B08E8">
      <w:pPr>
        <w:ind w:left="720" w:hanging="720"/>
      </w:pPr>
      <w:r w:rsidRPr="003B08E8">
        <w:t>legislation.gov.uk</w:t>
      </w:r>
      <w:r>
        <w:t>, (</w:t>
      </w:r>
      <w:r w:rsidR="003D063C">
        <w:t xml:space="preserve">2023).Contributory Negligence </w:t>
      </w:r>
      <w:r w:rsidR="003D063C" w:rsidRPr="003B08E8">
        <w:t>[Online] Available at: https://www.legislation.gov.uk/ukpga/Geo6/8-9/28</w:t>
      </w:r>
      <w:r w:rsidR="003D063C">
        <w:t xml:space="preserve"> </w:t>
      </w:r>
      <w:r w:rsidR="003D063C" w:rsidRPr="003B08E8">
        <w:t>[ Accessed on 23 December 2023].</w:t>
      </w:r>
    </w:p>
    <w:p w14:paraId="0B664900" w14:textId="0B1610AA" w:rsidR="003B08E8" w:rsidRDefault="00AE5CD0" w:rsidP="00AE5CD0">
      <w:pPr>
        <w:pStyle w:val="NoSpacing"/>
        <w:ind w:left="720" w:hanging="720"/>
      </w:pPr>
      <w:r>
        <w:rPr>
          <w:shd w:val="clear" w:color="auto" w:fill="FFFFFF"/>
        </w:rPr>
        <w:t>Holmes Jr, O.W., (2020). </w:t>
      </w:r>
      <w:r>
        <w:rPr>
          <w:i/>
          <w:iCs/>
          <w:shd w:val="clear" w:color="auto" w:fill="FFFFFF"/>
        </w:rPr>
        <w:t>The common law</w:t>
      </w:r>
      <w:r>
        <w:rPr>
          <w:shd w:val="clear" w:color="auto" w:fill="FFFFFF"/>
        </w:rPr>
        <w:t>. Routledge.</w:t>
      </w:r>
    </w:p>
    <w:p w14:paraId="6E0B40CA" w14:textId="77777777" w:rsidR="003B08E8" w:rsidRDefault="0060164F" w:rsidP="003B08E8">
      <w:pPr>
        <w:ind w:left="720" w:hanging="720"/>
      </w:pPr>
      <w:r>
        <w:t>Moughalian, G.V., (2021). Understanding the negligence question. Lincoln Mem'l UL Rev., 9, p.126.</w:t>
      </w:r>
    </w:p>
    <w:p w14:paraId="00000035" w14:textId="77777777" w:rsidR="00F67C4F" w:rsidRDefault="00F67C4F"/>
    <w:sectPr w:rsidR="00F67C4F" w:rsidSect="00D87F55">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D8465" w14:textId="77777777" w:rsidR="00D87F55" w:rsidRDefault="00D87F55">
      <w:pPr>
        <w:spacing w:after="0" w:line="240" w:lineRule="auto"/>
      </w:pPr>
      <w:r>
        <w:separator/>
      </w:r>
    </w:p>
  </w:endnote>
  <w:endnote w:type="continuationSeparator" w:id="0">
    <w:p w14:paraId="71613EA4" w14:textId="77777777" w:rsidR="00D87F55" w:rsidRDefault="00D87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6" w14:textId="77777777" w:rsidR="00F67C4F" w:rsidRDefault="0060164F">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632B0">
      <w:rPr>
        <w:noProof/>
        <w:color w:val="000000"/>
      </w:rPr>
      <w:t>3</w:t>
    </w:r>
    <w:r>
      <w:rPr>
        <w:color w:val="000000"/>
      </w:rPr>
      <w:fldChar w:fldCharType="end"/>
    </w:r>
  </w:p>
  <w:p w14:paraId="00000037" w14:textId="77777777" w:rsidR="00F67C4F" w:rsidRDefault="00F67C4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DB5A3" w14:textId="77777777" w:rsidR="00D87F55" w:rsidRDefault="00D87F55">
      <w:pPr>
        <w:spacing w:after="0" w:line="240" w:lineRule="auto"/>
      </w:pPr>
      <w:r>
        <w:separator/>
      </w:r>
    </w:p>
  </w:footnote>
  <w:footnote w:type="continuationSeparator" w:id="0">
    <w:p w14:paraId="18210575" w14:textId="77777777" w:rsidR="00D87F55" w:rsidRDefault="00D87F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C6722C"/>
    <w:multiLevelType w:val="multilevel"/>
    <w:tmpl w:val="C3D09A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66601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7C4F"/>
    <w:rsid w:val="000017F9"/>
    <w:rsid w:val="000304C9"/>
    <w:rsid w:val="00061E27"/>
    <w:rsid w:val="000632B0"/>
    <w:rsid w:val="000B6771"/>
    <w:rsid w:val="000C3E99"/>
    <w:rsid w:val="001A7605"/>
    <w:rsid w:val="0039139A"/>
    <w:rsid w:val="003B08E8"/>
    <w:rsid w:val="003D063C"/>
    <w:rsid w:val="00417D6A"/>
    <w:rsid w:val="0046134D"/>
    <w:rsid w:val="005313A9"/>
    <w:rsid w:val="005E6BEB"/>
    <w:rsid w:val="0060164F"/>
    <w:rsid w:val="00691D5B"/>
    <w:rsid w:val="0070496C"/>
    <w:rsid w:val="007918C4"/>
    <w:rsid w:val="00837A45"/>
    <w:rsid w:val="008F5FE5"/>
    <w:rsid w:val="009500A2"/>
    <w:rsid w:val="00A5022E"/>
    <w:rsid w:val="00AD5C5E"/>
    <w:rsid w:val="00AE5CD0"/>
    <w:rsid w:val="00C37F44"/>
    <w:rsid w:val="00C6446A"/>
    <w:rsid w:val="00C8177D"/>
    <w:rsid w:val="00D51D43"/>
    <w:rsid w:val="00D87F55"/>
    <w:rsid w:val="00DB5F82"/>
    <w:rsid w:val="00E3139F"/>
    <w:rsid w:val="00E4567F"/>
    <w:rsid w:val="00EF5089"/>
    <w:rsid w:val="00F51D00"/>
    <w:rsid w:val="00F540F1"/>
    <w:rsid w:val="00F67C4F"/>
    <w:rsid w:val="00F97462"/>
    <w:rsid w:val="00FA7D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681413"/>
  <w15:docId w15:val="{4023AF1F-B089-459B-8922-21D88AA3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b/>
      <w:sz w:val="28"/>
      <w:szCs w:val="28"/>
    </w:rPr>
  </w:style>
  <w:style w:type="paragraph" w:styleId="Heading2">
    <w:name w:val="heading 2"/>
    <w:basedOn w:val="Normal"/>
    <w:next w:val="Normal"/>
    <w:pPr>
      <w:keepNext/>
      <w:keepLines/>
      <w:spacing w:before="40" w:after="0"/>
      <w:outlineLvl w:val="1"/>
    </w:pPr>
    <w:rPr>
      <w:b/>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jc w:val="center"/>
    </w:pPr>
    <w:rPr>
      <w:b/>
      <w:sz w:val="36"/>
      <w:szCs w:val="36"/>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DB5F82"/>
    <w:pPr>
      <w:spacing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B5F82"/>
    <w:pPr>
      <w:spacing w:after="100"/>
    </w:pPr>
  </w:style>
  <w:style w:type="character" w:styleId="Hyperlink">
    <w:name w:val="Hyperlink"/>
    <w:basedOn w:val="DefaultParagraphFont"/>
    <w:uiPriority w:val="99"/>
    <w:unhideWhenUsed/>
    <w:rsid w:val="00DB5F82"/>
    <w:rPr>
      <w:color w:val="0000FF" w:themeColor="hyperlink"/>
      <w:u w:val="single"/>
    </w:rPr>
  </w:style>
  <w:style w:type="paragraph" w:styleId="NoSpacing">
    <w:name w:val="No Spacing"/>
    <w:uiPriority w:val="1"/>
    <w:qFormat/>
    <w:rsid w:val="0046134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514F6-F594-417C-9C86-9EA9D6A14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9</Pages>
  <Words>1993</Words>
  <Characters>11365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Sylwia Maciejewska</cp:lastModifiedBy>
  <cp:revision>4</cp:revision>
  <dcterms:created xsi:type="dcterms:W3CDTF">2023-12-23T14:04:00Z</dcterms:created>
  <dcterms:modified xsi:type="dcterms:W3CDTF">2024-01-22T17:03:00Z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bf3ddf2fcda01cb00dcd2c8c61f6bdcf0844193dc4be1ae653449744255f12c6</vt:lpwstr>
  </property>
</Properties>
</file>