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9D9A9">
      <w:pPr>
        <w:jc w:val="center"/>
        <w:rPr>
          <w:rFonts w:ascii="Arial" w:hAnsi="Arial" w:cs="Arial"/>
          <w:szCs w:val="24"/>
        </w:rPr>
      </w:pPr>
      <w:r>
        <w:drawing>
          <wp:inline distT="0" distB="0" distL="114300" distR="114300">
            <wp:extent cx="2667000" cy="1092200"/>
            <wp:effectExtent l="0" t="0" r="0" b="0"/>
            <wp:docPr id="11623120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12008" name="drawing"/>
                    <pic:cNvPicPr>
                      <a:picLocks noChangeAspect="1"/>
                    </pic:cNvPicPr>
                  </pic:nvPicPr>
                  <pic:blipFill>
                    <a:blip r:embed="rId7"/>
                    <a:stretch>
                      <a:fillRect/>
                    </a:stretch>
                  </pic:blipFill>
                  <pic:spPr>
                    <a:xfrm>
                      <a:off x="0" y="0"/>
                      <a:ext cx="2667137" cy="1092256"/>
                    </a:xfrm>
                    <a:prstGeom prst="rect">
                      <a:avLst/>
                    </a:prstGeom>
                  </pic:spPr>
                </pic:pic>
              </a:graphicData>
            </a:graphic>
          </wp:inline>
        </w:drawing>
      </w:r>
    </w:p>
    <w:p w14:paraId="402FDEDE">
      <w:pPr>
        <w:spacing w:before="120" w:after="120"/>
        <w:jc w:val="center"/>
        <w:rPr>
          <w:rFonts w:ascii="Arial" w:hAnsi="Arial" w:cs="Arial"/>
          <w:b/>
          <w:bCs/>
          <w:szCs w:val="24"/>
        </w:rPr>
      </w:pPr>
      <w:r>
        <w:rPr>
          <w:rFonts w:ascii="Arial" w:hAnsi="Arial" w:cs="Arial"/>
          <w:b/>
          <w:bCs/>
          <w:szCs w:val="24"/>
        </w:rPr>
        <w:t>MASTER OF BUSINESS ADMINISTRATION</w:t>
      </w:r>
    </w:p>
    <w:p w14:paraId="0785C684">
      <w:pPr>
        <w:spacing w:before="120" w:after="120"/>
        <w:jc w:val="center"/>
        <w:rPr>
          <w:rFonts w:ascii="Arial" w:hAnsi="Arial" w:cs="Arial"/>
          <w:b/>
          <w:bCs/>
          <w:szCs w:val="24"/>
        </w:rPr>
      </w:pPr>
      <w:r>
        <w:rPr>
          <w:rFonts w:ascii="Arial" w:hAnsi="Arial" w:cs="Arial"/>
          <w:b/>
          <w:bCs/>
          <w:szCs w:val="24"/>
        </w:rPr>
        <w:t>INTERNATIONAL BUSINESS</w:t>
      </w:r>
    </w:p>
    <w:p w14:paraId="321D5D97">
      <w:pPr>
        <w:spacing w:before="120" w:after="120"/>
        <w:jc w:val="center"/>
        <w:rPr>
          <w:rFonts w:ascii="Arial" w:hAnsi="Arial" w:cs="Arial"/>
          <w:b/>
          <w:bCs/>
          <w:szCs w:val="24"/>
        </w:rPr>
      </w:pPr>
      <w:r>
        <w:rPr>
          <w:rFonts w:ascii="Arial" w:hAnsi="Arial" w:cs="Arial"/>
          <w:b/>
          <w:bCs/>
          <w:szCs w:val="24"/>
        </w:rPr>
        <w:t>FINANCIAL MANAGEMENT</w:t>
      </w:r>
    </w:p>
    <w:p w14:paraId="2B9C4711">
      <w:pPr>
        <w:spacing w:before="120" w:after="120"/>
        <w:jc w:val="center"/>
        <w:rPr>
          <w:rFonts w:ascii="Arial" w:hAnsi="Arial" w:cs="Arial"/>
          <w:b/>
          <w:bCs/>
          <w:szCs w:val="24"/>
        </w:rPr>
      </w:pPr>
      <w:r>
        <w:rPr>
          <w:rFonts w:ascii="Arial" w:hAnsi="Arial" w:cs="Arial"/>
          <w:b/>
          <w:bCs/>
          <w:szCs w:val="24"/>
        </w:rPr>
        <w:t>Module Code: LCMB7002</w:t>
      </w:r>
    </w:p>
    <w:p w14:paraId="255F2F85">
      <w:pPr>
        <w:spacing w:before="120" w:after="120"/>
        <w:jc w:val="center"/>
        <w:rPr>
          <w:rFonts w:ascii="Arial" w:hAnsi="Arial" w:cs="Arial"/>
          <w:b/>
          <w:bCs/>
          <w:szCs w:val="24"/>
        </w:rPr>
      </w:pPr>
    </w:p>
    <w:p w14:paraId="4FAEBAB6">
      <w:pPr>
        <w:spacing w:before="120" w:after="120"/>
        <w:jc w:val="center"/>
        <w:rPr>
          <w:rFonts w:ascii="Arial" w:hAnsi="Arial" w:cs="Arial"/>
          <w:b/>
          <w:bCs/>
          <w:szCs w:val="24"/>
        </w:rPr>
      </w:pPr>
      <w:r>
        <w:rPr>
          <w:rFonts w:ascii="Arial" w:hAnsi="Arial" w:cs="Arial"/>
          <w:b/>
          <w:bCs/>
          <w:szCs w:val="24"/>
        </w:rPr>
        <w:t>Individual Report</w:t>
      </w:r>
      <w:r>
        <w:rPr>
          <w:rFonts w:ascii="Arial" w:hAnsi="Arial" w:cs="Arial"/>
          <w:b/>
          <w:bCs/>
          <w:szCs w:val="24"/>
        </w:rPr>
        <w:br w:type="textWrapping"/>
      </w:r>
      <w:r>
        <w:rPr>
          <w:rFonts w:ascii="Arial" w:hAnsi="Arial" w:cs="Arial"/>
          <w:b/>
          <w:bCs/>
          <w:szCs w:val="24"/>
        </w:rPr>
        <w:t>On</w:t>
      </w:r>
      <w:r>
        <w:rPr>
          <w:rFonts w:ascii="Arial" w:hAnsi="Arial" w:cs="Arial"/>
          <w:b/>
          <w:bCs/>
          <w:szCs w:val="24"/>
        </w:rPr>
        <w:br w:type="textWrapping"/>
      </w:r>
      <w:r>
        <w:rPr>
          <w:rFonts w:ascii="Arial" w:hAnsi="Arial" w:cs="Arial"/>
          <w:b/>
          <w:bCs/>
          <w:szCs w:val="24"/>
        </w:rPr>
        <w:t>Marriott International</w:t>
      </w:r>
    </w:p>
    <w:p w14:paraId="7D3DB733">
      <w:pPr>
        <w:spacing w:before="120" w:after="120"/>
        <w:jc w:val="center"/>
        <w:rPr>
          <w:rFonts w:ascii="Arial" w:hAnsi="Arial" w:cs="Arial"/>
          <w:szCs w:val="24"/>
        </w:rPr>
      </w:pPr>
      <w:r>
        <w:rPr>
          <w:rFonts w:ascii="Arial" w:hAnsi="Arial" w:cs="Arial"/>
          <w:szCs w:val="24"/>
        </w:rPr>
        <w:t xml:space="preserve"> </w:t>
      </w:r>
      <w:bookmarkStart w:id="51" w:name="_GoBack"/>
      <w:bookmarkEnd w:id="51"/>
    </w:p>
    <w:p w14:paraId="43AA0C9F">
      <w:pPr>
        <w:spacing w:before="120" w:after="120"/>
        <w:jc w:val="center"/>
        <w:rPr>
          <w:rFonts w:hint="default" w:ascii="Arial" w:hAnsi="Arial" w:cs="Arial"/>
          <w:szCs w:val="24"/>
          <w:lang w:val="en-US"/>
        </w:rPr>
      </w:pPr>
      <w:r>
        <w:rPr>
          <w:rFonts w:ascii="Arial" w:hAnsi="Arial" w:cs="Arial"/>
          <w:b/>
          <w:bCs/>
          <w:szCs w:val="24"/>
        </w:rPr>
        <w:t>Student Name:</w:t>
      </w:r>
      <w:r>
        <w:rPr>
          <w:rFonts w:ascii="Arial" w:hAnsi="Arial" w:cs="Arial"/>
          <w:szCs w:val="24"/>
        </w:rPr>
        <w:t xml:space="preserve"> </w:t>
      </w:r>
      <w:r>
        <w:rPr>
          <w:rFonts w:hint="default" w:ascii="Arial" w:hAnsi="Arial" w:cs="Arial"/>
          <w:szCs w:val="24"/>
          <w:lang w:val="en-US"/>
        </w:rPr>
        <w:t>Patel riyakumari</w:t>
      </w:r>
      <w:r>
        <w:rPr>
          <w:rFonts w:ascii="Arial" w:hAnsi="Arial" w:cs="Arial"/>
          <w:szCs w:val="24"/>
        </w:rPr>
        <w:br w:type="textWrapping"/>
      </w:r>
      <w:r>
        <w:rPr>
          <w:rFonts w:ascii="Arial" w:hAnsi="Arial" w:cs="Arial"/>
          <w:b/>
          <w:bCs/>
          <w:szCs w:val="24"/>
        </w:rPr>
        <w:t>Student ID:</w:t>
      </w:r>
      <w:r>
        <w:rPr>
          <w:rFonts w:ascii="Arial" w:hAnsi="Arial" w:cs="Arial"/>
          <w:szCs w:val="24"/>
        </w:rPr>
        <w:t xml:space="preserve"> </w:t>
      </w:r>
      <w:r>
        <w:rPr>
          <w:rFonts w:hint="default" w:ascii="Arial" w:hAnsi="Arial" w:cs="Arial"/>
          <w:szCs w:val="24"/>
          <w:lang w:val="en-US"/>
        </w:rPr>
        <w:t>2544711</w:t>
      </w:r>
    </w:p>
    <w:p w14:paraId="6DB31B95">
      <w:pPr>
        <w:spacing w:before="120" w:after="120"/>
        <w:jc w:val="center"/>
        <w:rPr>
          <w:rFonts w:ascii="Arial" w:hAnsi="Arial" w:cs="Arial"/>
          <w:szCs w:val="24"/>
        </w:rPr>
      </w:pPr>
      <w:r>
        <w:rPr>
          <w:rFonts w:ascii="Arial" w:hAnsi="Arial" w:cs="Arial"/>
          <w:b/>
          <w:bCs/>
          <w:szCs w:val="24"/>
        </w:rPr>
        <w:t>Assessment Title:</w:t>
      </w:r>
      <w:r>
        <w:rPr>
          <w:rFonts w:ascii="Arial" w:hAnsi="Arial" w:cs="Arial"/>
          <w:szCs w:val="24"/>
        </w:rPr>
        <w:t xml:space="preserve"> Financial Performance and Management</w:t>
      </w:r>
    </w:p>
    <w:p w14:paraId="0B360B95">
      <w:pPr>
        <w:spacing w:before="120" w:after="120"/>
        <w:jc w:val="center"/>
        <w:rPr>
          <w:rFonts w:ascii="Arial" w:hAnsi="Arial" w:cs="Arial"/>
          <w:szCs w:val="24"/>
        </w:rPr>
      </w:pPr>
      <w:r>
        <w:rPr>
          <w:rFonts w:ascii="Arial" w:hAnsi="Arial" w:cs="Arial"/>
          <w:b/>
          <w:bCs/>
          <w:szCs w:val="24"/>
        </w:rPr>
        <w:t>Lecturers:</w:t>
      </w:r>
      <w:r>
        <w:rPr>
          <w:rFonts w:ascii="Arial" w:hAnsi="Arial" w:cs="Arial"/>
          <w:szCs w:val="24"/>
        </w:rPr>
        <w:t xml:space="preserve"> Shengfeng Mei</w:t>
      </w:r>
    </w:p>
    <w:p w14:paraId="13A5EC46">
      <w:pPr>
        <w:spacing w:before="120" w:after="120"/>
        <w:jc w:val="center"/>
        <w:rPr>
          <w:rFonts w:ascii="Arial" w:hAnsi="Arial" w:cs="Arial"/>
          <w:szCs w:val="24"/>
        </w:rPr>
      </w:pPr>
      <w:r>
        <w:rPr>
          <w:rFonts w:ascii="Arial" w:hAnsi="Arial" w:cs="Arial"/>
          <w:b/>
          <w:bCs/>
          <w:szCs w:val="24"/>
        </w:rPr>
        <w:t>Submission Date:</w:t>
      </w:r>
      <w:r>
        <w:rPr>
          <w:rFonts w:ascii="Arial" w:hAnsi="Arial" w:cs="Arial"/>
          <w:szCs w:val="24"/>
        </w:rPr>
        <w:t xml:space="preserve"> 13 August 2026</w:t>
      </w:r>
    </w:p>
    <w:p w14:paraId="5F6603FB">
      <w:pPr>
        <w:spacing w:before="120" w:after="120"/>
        <w:jc w:val="center"/>
        <w:rPr>
          <w:rFonts w:ascii="Arial" w:hAnsi="Arial" w:cs="Arial"/>
          <w:b/>
          <w:bCs/>
          <w:szCs w:val="24"/>
        </w:rPr>
      </w:pPr>
      <w:r>
        <w:rPr>
          <w:rFonts w:ascii="Arial" w:hAnsi="Arial" w:cs="Arial"/>
          <w:b/>
          <w:bCs/>
          <w:szCs w:val="24"/>
        </w:rPr>
        <w:t>Academic Year 2025–2026</w:t>
      </w:r>
    </w:p>
    <w:p w14:paraId="67B3AA1E">
      <w:pPr>
        <w:jc w:val="left"/>
        <w:rPr>
          <w:rFonts w:ascii="Arial" w:hAnsi="Arial" w:cs="Arial"/>
          <w:b/>
          <w:bCs/>
          <w:szCs w:val="24"/>
        </w:rPr>
      </w:pPr>
      <w:r>
        <w:rPr>
          <w:rFonts w:ascii="Arial" w:hAnsi="Arial" w:cs="Arial"/>
          <w:b/>
          <w:bCs/>
          <w:szCs w:val="24"/>
        </w:rPr>
        <w:br w:type="page"/>
      </w:r>
    </w:p>
    <w:p w14:paraId="72923D5A">
      <w:pPr>
        <w:pStyle w:val="5"/>
        <w:rPr>
          <w:rFonts w:ascii="Arial" w:hAnsi="Arial" w:cs="Arial"/>
          <w:sz w:val="24"/>
          <w:szCs w:val="24"/>
        </w:rPr>
      </w:pPr>
      <w:r>
        <w:rPr>
          <w:rFonts w:ascii="Arial" w:hAnsi="Arial" w:cs="Arial"/>
          <w:sz w:val="24"/>
          <w:szCs w:val="24"/>
        </w:rPr>
        <w:t>Executive Summary</w:t>
      </w:r>
    </w:p>
    <w:p w14:paraId="6F489A95">
      <w:pPr>
        <w:rPr>
          <w:rFonts w:ascii="Arial" w:hAnsi="Arial" w:cs="Arial"/>
          <w:szCs w:val="24"/>
        </w:rPr>
      </w:pPr>
      <w:r>
        <w:rPr>
          <w:rFonts w:ascii="Arial" w:hAnsi="Arial" w:cs="Arial"/>
          <w:szCs w:val="24"/>
        </w:rPr>
        <w:t>This report examines the financial wellbeing of Marriott International, Inc. from the CFO's perspective as well as the financial plan for the next 5 years. Based on the analysis, the financial recovery is expected to be good, because there is an increase in revenue and operating profit since 2021 up to 2025 and also for net income and operating cash flow. However, as usual, a ratchet against Marriott's finances exists in terms of its current level of debts, as well as a negative shareholders' equity and the ratio of current liabilities to current assets being below 1.00. The working-capital analysis allows to increase the effective collection time of receivables and the increase in the payment terms by suppliers reduces supplier financing, the indicative cash operating cycle remaining around 29 days in 2025.</w:t>
      </w:r>
    </w:p>
    <w:p w14:paraId="4F5F2DC1">
      <w:pPr>
        <w:rPr>
          <w:rFonts w:ascii="Arial" w:hAnsi="Arial" w:cs="Arial"/>
          <w:szCs w:val="24"/>
        </w:rPr>
      </w:pPr>
      <w:r>
        <w:rPr>
          <w:rFonts w:ascii="Arial" w:hAnsi="Arial" w:cs="Arial"/>
          <w:szCs w:val="24"/>
        </w:rPr>
        <w:t>To cope with these pressures, the report recommends that the use of the "beginning of recourse management", cash flow forecasting, supplier-payment negotiation and inventory optimisation measures should be strengthened. The same applies to restructuring of the firms: a disciplined capital allocation method is preferred, based on selective divestment; in some cases, strengthening equity in the firms may be required for increasing financial resilience.</w:t>
      </w:r>
    </w:p>
    <w:p w14:paraId="116B270C">
      <w:pPr>
        <w:rPr>
          <w:rFonts w:ascii="Arial" w:hAnsi="Arial" w:cs="Arial"/>
          <w:szCs w:val="24"/>
        </w:rPr>
      </w:pPr>
      <w:r>
        <w:rPr>
          <w:rFonts w:ascii="Arial" w:hAnsi="Arial" w:cs="Arial"/>
          <w:szCs w:val="24"/>
        </w:rPr>
        <w:t>By using the technique of investment appraisal on projects A, B and C; Payback Period, ARR, NPV, Profitability Index and IRR, project C is coming up with the best alternative. It has the lowest period of pay back, the highest ARR, has a positive NPV and positive PI with IRR higher than the IRR of the required return which is 8%. The combined NPV of each combination of the two projects with £100m each capital cost is negative. Hence, the optimal investment for the CFO is to invest £50 million in Project C and use the remaining £50 million when a further opportunity arises that has the potential to create value for the business, whilst maintaining the business's liquidity and financial resilience.</w:t>
      </w:r>
    </w:p>
    <w:p w14:paraId="56C5BA58">
      <w:pPr>
        <w:rPr>
          <w:rFonts w:ascii="Arial" w:hAnsi="Arial" w:cs="Arial"/>
          <w:szCs w:val="24"/>
        </w:rPr>
      </w:pPr>
      <w:r>
        <w:rPr>
          <w:rFonts w:ascii="Arial" w:hAnsi="Arial" w:cs="Arial"/>
          <w:szCs w:val="24"/>
        </w:rPr>
        <w:br w:type="page"/>
      </w:r>
    </w:p>
    <w:sdt>
      <w:sdtPr>
        <w:rPr>
          <w:rFonts w:ascii="Arial" w:hAnsi="Arial" w:cs="Arial"/>
          <w:b w:val="0"/>
          <w:szCs w:val="24"/>
        </w:rPr>
        <w:id w:val="136308344"/>
        <w:docPartObj>
          <w:docPartGallery w:val="Table of Contents"/>
          <w:docPartUnique/>
        </w:docPartObj>
      </w:sdtPr>
      <w:sdtEndPr>
        <w:rPr>
          <w:rFonts w:ascii="Arial" w:hAnsi="Arial" w:cs="Arial"/>
          <w:b w:val="0"/>
          <w:bCs/>
          <w:szCs w:val="24"/>
        </w:rPr>
      </w:sdtEndPr>
      <w:sdtContent>
        <w:p w14:paraId="7A8AAAA4">
          <w:pPr>
            <w:pStyle w:val="25"/>
            <w:rPr>
              <w:rFonts w:ascii="Arial" w:hAnsi="Arial" w:cs="Arial"/>
              <w:szCs w:val="24"/>
            </w:rPr>
          </w:pPr>
          <w:r>
            <w:rPr>
              <w:rFonts w:ascii="Arial" w:hAnsi="Arial" w:cs="Arial"/>
              <w:szCs w:val="24"/>
            </w:rPr>
            <w:t>Table of Contents</w:t>
          </w:r>
        </w:p>
        <w:p w14:paraId="34C14C44">
          <w:pPr>
            <w:pStyle w:val="18"/>
            <w:rPr>
              <w:rFonts w:ascii="Arial" w:hAnsi="Arial" w:cs="Arial"/>
              <w:lang w:val="en-GB" w:eastAsia="en-GB"/>
            </w:rPr>
          </w:pPr>
          <w:r>
            <w:rPr>
              <w:rFonts w:ascii="Arial" w:hAnsi="Arial" w:cs="Arial"/>
              <w:lang w:val="en-GB"/>
            </w:rPr>
            <w:fldChar w:fldCharType="begin"/>
          </w:r>
          <w:r>
            <w:rPr>
              <w:rFonts w:ascii="Arial" w:hAnsi="Arial" w:cs="Arial"/>
              <w:lang w:val="en-GB"/>
            </w:rPr>
            <w:instrText xml:space="preserve"> TOC \o "1-3" \h \z \u </w:instrText>
          </w:r>
          <w:r>
            <w:rPr>
              <w:rFonts w:ascii="Arial" w:hAnsi="Arial" w:cs="Arial"/>
              <w:lang w:val="en-GB"/>
            </w:rPr>
            <w:fldChar w:fldCharType="separate"/>
          </w:r>
          <w:r>
            <w:fldChar w:fldCharType="begin"/>
          </w:r>
          <w:r>
            <w:instrText xml:space="preserve"> HYPERLINK \l "_Toc237530051" </w:instrText>
          </w:r>
          <w:r>
            <w:fldChar w:fldCharType="separate"/>
          </w:r>
          <w:r>
            <w:rPr>
              <w:rStyle w:val="12"/>
              <w:rFonts w:ascii="Arial" w:hAnsi="Arial" w:cs="Arial"/>
              <w:lang w:val="en-GB"/>
            </w:rPr>
            <w:t>1. Introduction</w:t>
          </w:r>
          <w:r>
            <w:rPr>
              <w:rFonts w:ascii="Arial" w:hAnsi="Arial" w:cs="Arial"/>
            </w:rPr>
            <w:tab/>
          </w:r>
          <w:r>
            <w:rPr>
              <w:rFonts w:ascii="Arial" w:hAnsi="Arial" w:cs="Arial"/>
            </w:rPr>
            <w:fldChar w:fldCharType="begin"/>
          </w:r>
          <w:r>
            <w:rPr>
              <w:rFonts w:ascii="Arial" w:hAnsi="Arial" w:cs="Arial"/>
            </w:rPr>
            <w:instrText xml:space="preserve"> PAGEREF _Toc237530051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76979BC0">
          <w:pPr>
            <w:pStyle w:val="19"/>
            <w:tabs>
              <w:tab w:val="right" w:leader="dot" w:pos="9016"/>
            </w:tabs>
            <w:rPr>
              <w:rFonts w:ascii="Arial" w:hAnsi="Arial" w:cs="Arial" w:eastAsiaTheme="minorEastAsia"/>
              <w:szCs w:val="24"/>
              <w:lang w:eastAsia="en-GB"/>
            </w:rPr>
          </w:pPr>
          <w:r>
            <w:fldChar w:fldCharType="begin"/>
          </w:r>
          <w:r>
            <w:instrText xml:space="preserve"> HYPERLINK \l "_Toc237530052" </w:instrText>
          </w:r>
          <w:r>
            <w:fldChar w:fldCharType="separate"/>
          </w:r>
          <w:r>
            <w:rPr>
              <w:rStyle w:val="12"/>
              <w:rFonts w:ascii="Arial" w:hAnsi="Arial" w:cs="Arial"/>
              <w:szCs w:val="24"/>
            </w:rPr>
            <w:t>1.1 Background of the Company</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_Toc237530052 \h </w:instrText>
          </w:r>
          <w:r>
            <w:rPr>
              <w:rFonts w:ascii="Arial" w:hAnsi="Arial" w:cs="Arial"/>
              <w:szCs w:val="24"/>
            </w:rPr>
            <w:fldChar w:fldCharType="separate"/>
          </w:r>
          <w:r>
            <w:rPr>
              <w:rFonts w:ascii="Arial" w:hAnsi="Arial" w:cs="Arial"/>
              <w:szCs w:val="24"/>
            </w:rPr>
            <w:t>6</w:t>
          </w:r>
          <w:r>
            <w:rPr>
              <w:rFonts w:ascii="Arial" w:hAnsi="Arial" w:cs="Arial"/>
              <w:szCs w:val="24"/>
            </w:rPr>
            <w:fldChar w:fldCharType="end"/>
          </w:r>
          <w:r>
            <w:rPr>
              <w:rFonts w:ascii="Arial" w:hAnsi="Arial" w:cs="Arial"/>
              <w:szCs w:val="24"/>
            </w:rPr>
            <w:fldChar w:fldCharType="end"/>
          </w:r>
        </w:p>
        <w:p w14:paraId="313F06CB">
          <w:pPr>
            <w:pStyle w:val="19"/>
            <w:tabs>
              <w:tab w:val="right" w:leader="dot" w:pos="9016"/>
            </w:tabs>
            <w:rPr>
              <w:rFonts w:ascii="Arial" w:hAnsi="Arial" w:cs="Arial" w:eastAsiaTheme="minorEastAsia"/>
              <w:szCs w:val="24"/>
              <w:lang w:eastAsia="en-GB"/>
            </w:rPr>
          </w:pPr>
          <w:r>
            <w:fldChar w:fldCharType="begin"/>
          </w:r>
          <w:r>
            <w:instrText xml:space="preserve"> HYPERLINK \l "_Toc237530053" </w:instrText>
          </w:r>
          <w:r>
            <w:fldChar w:fldCharType="separate"/>
          </w:r>
          <w:r>
            <w:rPr>
              <w:rStyle w:val="12"/>
              <w:rFonts w:ascii="Arial" w:hAnsi="Arial" w:cs="Arial"/>
              <w:szCs w:val="24"/>
            </w:rPr>
            <w:t>1.2 Purpose of the Report</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_Toc237530053 \h </w:instrText>
          </w:r>
          <w:r>
            <w:rPr>
              <w:rFonts w:ascii="Arial" w:hAnsi="Arial" w:cs="Arial"/>
              <w:szCs w:val="24"/>
            </w:rPr>
            <w:fldChar w:fldCharType="separate"/>
          </w:r>
          <w:r>
            <w:rPr>
              <w:rFonts w:ascii="Arial" w:hAnsi="Arial" w:cs="Arial"/>
              <w:szCs w:val="24"/>
            </w:rPr>
            <w:t>6</w:t>
          </w:r>
          <w:r>
            <w:rPr>
              <w:rFonts w:ascii="Arial" w:hAnsi="Arial" w:cs="Arial"/>
              <w:szCs w:val="24"/>
            </w:rPr>
            <w:fldChar w:fldCharType="end"/>
          </w:r>
          <w:r>
            <w:rPr>
              <w:rFonts w:ascii="Arial" w:hAnsi="Arial" w:cs="Arial"/>
              <w:szCs w:val="24"/>
            </w:rPr>
            <w:fldChar w:fldCharType="end"/>
          </w:r>
        </w:p>
        <w:p w14:paraId="59F45EC1">
          <w:pPr>
            <w:pStyle w:val="18"/>
            <w:rPr>
              <w:rFonts w:ascii="Arial" w:hAnsi="Arial" w:cs="Arial"/>
              <w:lang w:val="en-GB" w:eastAsia="en-GB"/>
            </w:rPr>
          </w:pPr>
          <w:r>
            <w:fldChar w:fldCharType="begin"/>
          </w:r>
          <w:r>
            <w:instrText xml:space="preserve"> HYPERLINK \l "_Toc237530054" </w:instrText>
          </w:r>
          <w:r>
            <w:fldChar w:fldCharType="separate"/>
          </w:r>
          <w:r>
            <w:rPr>
              <w:rStyle w:val="12"/>
              <w:rFonts w:ascii="Arial" w:hAnsi="Arial" w:cs="Arial"/>
              <w:lang w:val="en-GB"/>
            </w:rPr>
            <w:t>2. Financial Health Check</w:t>
          </w:r>
          <w:r>
            <w:rPr>
              <w:rFonts w:ascii="Arial" w:hAnsi="Arial" w:cs="Arial"/>
            </w:rPr>
            <w:tab/>
          </w:r>
          <w:r>
            <w:rPr>
              <w:rFonts w:ascii="Arial" w:hAnsi="Arial" w:cs="Arial"/>
            </w:rPr>
            <w:fldChar w:fldCharType="begin"/>
          </w:r>
          <w:r>
            <w:rPr>
              <w:rFonts w:ascii="Arial" w:hAnsi="Arial" w:cs="Arial"/>
            </w:rPr>
            <w:instrText xml:space="preserve"> PAGEREF _Toc237530054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0EE3F71F">
          <w:pPr>
            <w:pStyle w:val="19"/>
            <w:tabs>
              <w:tab w:val="right" w:leader="dot" w:pos="9016"/>
            </w:tabs>
            <w:rPr>
              <w:rFonts w:ascii="Arial" w:hAnsi="Arial" w:cs="Arial" w:eastAsiaTheme="minorEastAsia"/>
              <w:szCs w:val="24"/>
              <w:lang w:eastAsia="en-GB"/>
            </w:rPr>
          </w:pPr>
          <w:r>
            <w:fldChar w:fldCharType="begin"/>
          </w:r>
          <w:r>
            <w:instrText xml:space="preserve"> HYPERLINK \l "_Toc237530055" </w:instrText>
          </w:r>
          <w:r>
            <w:fldChar w:fldCharType="separate"/>
          </w:r>
          <w:r>
            <w:rPr>
              <w:rStyle w:val="12"/>
              <w:rFonts w:ascii="Arial" w:hAnsi="Arial" w:cs="Arial"/>
              <w:szCs w:val="24"/>
            </w:rPr>
            <w:t>2.1 Five-Year Financial Performance Overview</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_Toc237530055 \h </w:instrText>
          </w:r>
          <w:r>
            <w:rPr>
              <w:rFonts w:ascii="Arial" w:hAnsi="Arial" w:cs="Arial"/>
              <w:szCs w:val="24"/>
            </w:rPr>
            <w:fldChar w:fldCharType="separate"/>
          </w:r>
          <w:r>
            <w:rPr>
              <w:rFonts w:ascii="Arial" w:hAnsi="Arial" w:cs="Arial"/>
              <w:szCs w:val="24"/>
            </w:rPr>
            <w:t>6</w:t>
          </w:r>
          <w:r>
            <w:rPr>
              <w:rFonts w:ascii="Arial" w:hAnsi="Arial" w:cs="Arial"/>
              <w:szCs w:val="24"/>
            </w:rPr>
            <w:fldChar w:fldCharType="end"/>
          </w:r>
          <w:r>
            <w:rPr>
              <w:rFonts w:ascii="Arial" w:hAnsi="Arial" w:cs="Arial"/>
              <w:szCs w:val="24"/>
            </w:rPr>
            <w:fldChar w:fldCharType="end"/>
          </w:r>
        </w:p>
        <w:p w14:paraId="5A8C0E0B">
          <w:pPr>
            <w:pStyle w:val="19"/>
            <w:tabs>
              <w:tab w:val="right" w:leader="dot" w:pos="9016"/>
            </w:tabs>
            <w:rPr>
              <w:rFonts w:ascii="Arial" w:hAnsi="Arial" w:cs="Arial" w:eastAsiaTheme="minorEastAsia"/>
              <w:szCs w:val="24"/>
              <w:lang w:eastAsia="en-GB"/>
            </w:rPr>
          </w:pPr>
          <w:r>
            <w:fldChar w:fldCharType="begin"/>
          </w:r>
          <w:r>
            <w:instrText xml:space="preserve"> HYPERLINK \l "_Toc237530056" </w:instrText>
          </w:r>
          <w:r>
            <w:fldChar w:fldCharType="separate"/>
          </w:r>
          <w:r>
            <w:rPr>
              <w:rStyle w:val="12"/>
              <w:rFonts w:ascii="Arial" w:hAnsi="Arial" w:cs="Arial"/>
              <w:szCs w:val="24"/>
            </w:rPr>
            <w:t>2.2 Profitability Analysis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_Toc237530056 \h </w:instrText>
          </w:r>
          <w:r>
            <w:rPr>
              <w:rFonts w:ascii="Arial" w:hAnsi="Arial" w:cs="Arial"/>
              <w:szCs w:val="24"/>
            </w:rPr>
            <w:fldChar w:fldCharType="separate"/>
          </w:r>
          <w:r>
            <w:rPr>
              <w:rFonts w:ascii="Arial" w:hAnsi="Arial" w:cs="Arial"/>
              <w:szCs w:val="24"/>
            </w:rPr>
            <w:t>7</w:t>
          </w:r>
          <w:r>
            <w:rPr>
              <w:rFonts w:ascii="Arial" w:hAnsi="Arial" w:cs="Arial"/>
              <w:szCs w:val="24"/>
            </w:rPr>
            <w:fldChar w:fldCharType="end"/>
          </w:r>
          <w:r>
            <w:rPr>
              <w:rFonts w:ascii="Arial" w:hAnsi="Arial" w:cs="Arial"/>
              <w:szCs w:val="24"/>
            </w:rPr>
            <w:fldChar w:fldCharType="end"/>
          </w:r>
        </w:p>
        <w:p w14:paraId="4A039529">
          <w:pPr>
            <w:pStyle w:val="19"/>
            <w:tabs>
              <w:tab w:val="right" w:leader="dot" w:pos="9016"/>
            </w:tabs>
            <w:rPr>
              <w:rFonts w:ascii="Arial" w:hAnsi="Arial" w:cs="Arial" w:eastAsiaTheme="minorEastAsia"/>
              <w:szCs w:val="24"/>
              <w:lang w:eastAsia="en-GB"/>
            </w:rPr>
          </w:pPr>
          <w:r>
            <w:fldChar w:fldCharType="begin"/>
          </w:r>
          <w:r>
            <w:instrText xml:space="preserve"> HYPERLINK \l "_Toc237530057" </w:instrText>
          </w:r>
          <w:r>
            <w:fldChar w:fldCharType="separate"/>
          </w:r>
          <w:r>
            <w:rPr>
              <w:rStyle w:val="12"/>
              <w:rFonts w:ascii="Arial" w:hAnsi="Arial" w:cs="Arial"/>
              <w:szCs w:val="24"/>
            </w:rPr>
            <w:t>2.3 Liquidity Analysis and Industry Benchmark</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_Toc237530057 \h </w:instrText>
          </w:r>
          <w:r>
            <w:rPr>
              <w:rFonts w:ascii="Arial" w:hAnsi="Arial" w:cs="Arial"/>
              <w:szCs w:val="24"/>
            </w:rPr>
            <w:fldChar w:fldCharType="separate"/>
          </w:r>
          <w:r>
            <w:rPr>
              <w:rFonts w:ascii="Arial" w:hAnsi="Arial" w:cs="Arial"/>
              <w:szCs w:val="24"/>
            </w:rPr>
            <w:t>8</w:t>
          </w:r>
          <w:r>
            <w:rPr>
              <w:rFonts w:ascii="Arial" w:hAnsi="Arial" w:cs="Arial"/>
              <w:szCs w:val="24"/>
            </w:rPr>
            <w:fldChar w:fldCharType="end"/>
          </w:r>
          <w:r>
            <w:rPr>
              <w:rFonts w:ascii="Arial" w:hAnsi="Arial" w:cs="Arial"/>
              <w:szCs w:val="24"/>
            </w:rPr>
            <w:fldChar w:fldCharType="end"/>
          </w:r>
        </w:p>
        <w:p w14:paraId="067E2595">
          <w:pPr>
            <w:pStyle w:val="19"/>
            <w:tabs>
              <w:tab w:val="right" w:leader="dot" w:pos="9016"/>
            </w:tabs>
            <w:rPr>
              <w:rFonts w:ascii="Arial" w:hAnsi="Arial" w:cs="Arial" w:eastAsiaTheme="minorEastAsia"/>
              <w:szCs w:val="24"/>
              <w:lang w:eastAsia="en-GB"/>
            </w:rPr>
          </w:pPr>
          <w:r>
            <w:fldChar w:fldCharType="begin"/>
          </w:r>
          <w:r>
            <w:instrText xml:space="preserve"> HYPERLINK \l "_Toc237530058" </w:instrText>
          </w:r>
          <w:r>
            <w:fldChar w:fldCharType="separate"/>
          </w:r>
          <w:r>
            <w:rPr>
              <w:rStyle w:val="12"/>
              <w:rFonts w:ascii="Arial" w:hAnsi="Arial" w:cs="Arial"/>
              <w:szCs w:val="24"/>
            </w:rPr>
            <w:t>2.4 Efficiency Analysis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_Toc237530058 \h </w:instrText>
          </w:r>
          <w:r>
            <w:rPr>
              <w:rFonts w:ascii="Arial" w:hAnsi="Arial" w:cs="Arial"/>
              <w:szCs w:val="24"/>
            </w:rPr>
            <w:fldChar w:fldCharType="separate"/>
          </w:r>
          <w:r>
            <w:rPr>
              <w:rFonts w:ascii="Arial" w:hAnsi="Arial" w:cs="Arial"/>
              <w:szCs w:val="24"/>
            </w:rPr>
            <w:t>8</w:t>
          </w:r>
          <w:r>
            <w:rPr>
              <w:rFonts w:ascii="Arial" w:hAnsi="Arial" w:cs="Arial"/>
              <w:szCs w:val="24"/>
            </w:rPr>
            <w:fldChar w:fldCharType="end"/>
          </w:r>
          <w:r>
            <w:rPr>
              <w:rFonts w:ascii="Arial" w:hAnsi="Arial" w:cs="Arial"/>
              <w:szCs w:val="24"/>
            </w:rPr>
            <w:fldChar w:fldCharType="end"/>
          </w:r>
        </w:p>
        <w:p w14:paraId="307476E2">
          <w:pPr>
            <w:pStyle w:val="19"/>
            <w:tabs>
              <w:tab w:val="right" w:leader="dot" w:pos="9016"/>
            </w:tabs>
            <w:rPr>
              <w:rFonts w:ascii="Arial" w:hAnsi="Arial" w:cs="Arial" w:eastAsiaTheme="minorEastAsia"/>
              <w:szCs w:val="24"/>
              <w:lang w:eastAsia="en-GB"/>
            </w:rPr>
          </w:pPr>
          <w:r>
            <w:fldChar w:fldCharType="begin"/>
          </w:r>
          <w:r>
            <w:instrText xml:space="preserve"> HYPERLINK \l "_Toc237530059" </w:instrText>
          </w:r>
          <w:r>
            <w:fldChar w:fldCharType="separate"/>
          </w:r>
          <w:r>
            <w:rPr>
              <w:rStyle w:val="12"/>
              <w:rFonts w:ascii="Arial" w:hAnsi="Arial" w:cs="Arial"/>
              <w:szCs w:val="24"/>
            </w:rPr>
            <w:t>2.5 Gearing and Financial Risk</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_Toc237530059 \h </w:instrText>
          </w:r>
          <w:r>
            <w:rPr>
              <w:rFonts w:ascii="Arial" w:hAnsi="Arial" w:cs="Arial"/>
              <w:szCs w:val="24"/>
            </w:rPr>
            <w:fldChar w:fldCharType="separate"/>
          </w:r>
          <w:r>
            <w:rPr>
              <w:rFonts w:ascii="Arial" w:hAnsi="Arial" w:cs="Arial"/>
              <w:szCs w:val="24"/>
            </w:rPr>
            <w:t>9</w:t>
          </w:r>
          <w:r>
            <w:rPr>
              <w:rFonts w:ascii="Arial" w:hAnsi="Arial" w:cs="Arial"/>
              <w:szCs w:val="24"/>
            </w:rPr>
            <w:fldChar w:fldCharType="end"/>
          </w:r>
          <w:r>
            <w:rPr>
              <w:rFonts w:ascii="Arial" w:hAnsi="Arial" w:cs="Arial"/>
              <w:szCs w:val="24"/>
            </w:rPr>
            <w:fldChar w:fldCharType="end"/>
          </w:r>
        </w:p>
        <w:p w14:paraId="7F0186F4">
          <w:pPr>
            <w:pStyle w:val="19"/>
            <w:tabs>
              <w:tab w:val="right" w:leader="dot" w:pos="9016"/>
            </w:tabs>
            <w:rPr>
              <w:rFonts w:ascii="Arial" w:hAnsi="Arial" w:cs="Arial" w:eastAsiaTheme="minorEastAsia"/>
              <w:szCs w:val="24"/>
              <w:lang w:eastAsia="en-GB"/>
            </w:rPr>
          </w:pPr>
          <w:r>
            <w:fldChar w:fldCharType="begin"/>
          </w:r>
          <w:r>
            <w:instrText xml:space="preserve"> HYPERLINK \l "_Toc237530060" </w:instrText>
          </w:r>
          <w:r>
            <w:fldChar w:fldCharType="separate"/>
          </w:r>
          <w:r>
            <w:rPr>
              <w:rStyle w:val="12"/>
              <w:rFonts w:ascii="Arial" w:hAnsi="Arial" w:cs="Arial"/>
              <w:szCs w:val="24"/>
            </w:rPr>
            <w:t>2.6 Investment and Cash-Flow Performance</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_Toc237530060 \h </w:instrText>
          </w:r>
          <w:r>
            <w:rPr>
              <w:rFonts w:ascii="Arial" w:hAnsi="Arial" w:cs="Arial"/>
              <w:szCs w:val="24"/>
            </w:rPr>
            <w:fldChar w:fldCharType="separate"/>
          </w:r>
          <w:r>
            <w:rPr>
              <w:rFonts w:ascii="Arial" w:hAnsi="Arial" w:cs="Arial"/>
              <w:szCs w:val="24"/>
            </w:rPr>
            <w:t>10</w:t>
          </w:r>
          <w:r>
            <w:rPr>
              <w:rFonts w:ascii="Arial" w:hAnsi="Arial" w:cs="Arial"/>
              <w:szCs w:val="24"/>
            </w:rPr>
            <w:fldChar w:fldCharType="end"/>
          </w:r>
          <w:r>
            <w:rPr>
              <w:rFonts w:ascii="Arial" w:hAnsi="Arial" w:cs="Arial"/>
              <w:szCs w:val="24"/>
            </w:rPr>
            <w:fldChar w:fldCharType="end"/>
          </w:r>
        </w:p>
        <w:p w14:paraId="78A32A16">
          <w:pPr>
            <w:pStyle w:val="19"/>
            <w:tabs>
              <w:tab w:val="right" w:leader="dot" w:pos="9016"/>
            </w:tabs>
            <w:rPr>
              <w:rFonts w:ascii="Arial" w:hAnsi="Arial" w:cs="Arial" w:eastAsiaTheme="minorEastAsia"/>
              <w:szCs w:val="24"/>
              <w:lang w:eastAsia="en-GB"/>
            </w:rPr>
          </w:pPr>
          <w:r>
            <w:fldChar w:fldCharType="begin"/>
          </w:r>
          <w:r>
            <w:instrText xml:space="preserve"> HYPERLINK \l "_Toc237530061" </w:instrText>
          </w:r>
          <w:r>
            <w:fldChar w:fldCharType="separate"/>
          </w:r>
          <w:r>
            <w:rPr>
              <w:rStyle w:val="12"/>
              <w:rFonts w:ascii="Arial" w:hAnsi="Arial" w:cs="Arial"/>
              <w:szCs w:val="24"/>
            </w:rPr>
            <w:t>2.7 Overall Financial Strength s and Threats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_Toc237530061 \h </w:instrText>
          </w:r>
          <w:r>
            <w:rPr>
              <w:rFonts w:ascii="Arial" w:hAnsi="Arial" w:cs="Arial"/>
              <w:szCs w:val="24"/>
            </w:rPr>
            <w:fldChar w:fldCharType="separate"/>
          </w:r>
          <w:r>
            <w:rPr>
              <w:rFonts w:ascii="Arial" w:hAnsi="Arial" w:cs="Arial"/>
              <w:szCs w:val="24"/>
            </w:rPr>
            <w:t>10</w:t>
          </w:r>
          <w:r>
            <w:rPr>
              <w:rFonts w:ascii="Arial" w:hAnsi="Arial" w:cs="Arial"/>
              <w:szCs w:val="24"/>
            </w:rPr>
            <w:fldChar w:fldCharType="end"/>
          </w:r>
          <w:r>
            <w:rPr>
              <w:rFonts w:ascii="Arial" w:hAnsi="Arial" w:cs="Arial"/>
              <w:szCs w:val="24"/>
            </w:rPr>
            <w:fldChar w:fldCharType="end"/>
          </w:r>
        </w:p>
        <w:p w14:paraId="269279F7">
          <w:pPr>
            <w:pStyle w:val="18"/>
            <w:rPr>
              <w:rFonts w:ascii="Arial" w:hAnsi="Arial" w:cs="Arial"/>
              <w:lang w:val="en-GB" w:eastAsia="en-GB"/>
            </w:rPr>
          </w:pPr>
          <w:r>
            <w:fldChar w:fldCharType="begin"/>
          </w:r>
          <w:r>
            <w:instrText xml:space="preserve"> HYPERLINK \l "_Toc237530062" </w:instrText>
          </w:r>
          <w:r>
            <w:fldChar w:fldCharType="separate"/>
          </w:r>
          <w:r>
            <w:rPr>
              <w:rStyle w:val="12"/>
              <w:rFonts w:ascii="Arial" w:hAnsi="Arial" w:cs="Arial"/>
            </w:rPr>
            <w:t>3. Working Capital Management Analysis</w:t>
          </w:r>
          <w:r>
            <w:rPr>
              <w:rFonts w:ascii="Arial" w:hAnsi="Arial" w:cs="Arial"/>
            </w:rPr>
            <w:tab/>
          </w:r>
          <w:r>
            <w:rPr>
              <w:rFonts w:ascii="Arial" w:hAnsi="Arial" w:cs="Arial"/>
            </w:rPr>
            <w:fldChar w:fldCharType="begin"/>
          </w:r>
          <w:r>
            <w:rPr>
              <w:rFonts w:ascii="Arial" w:hAnsi="Arial" w:cs="Arial"/>
            </w:rPr>
            <w:instrText xml:space="preserve"> PAGEREF _Toc237530062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5C5DC8D4">
          <w:pPr>
            <w:pStyle w:val="19"/>
            <w:tabs>
              <w:tab w:val="right" w:leader="dot" w:pos="9016"/>
            </w:tabs>
            <w:rPr>
              <w:rFonts w:ascii="Arial" w:hAnsi="Arial" w:cs="Arial" w:eastAsiaTheme="minorEastAsia"/>
              <w:szCs w:val="24"/>
              <w:lang w:eastAsia="en-GB"/>
            </w:rPr>
          </w:pPr>
          <w:r>
            <w:fldChar w:fldCharType="begin"/>
          </w:r>
          <w:r>
            <w:instrText xml:space="preserve"> HYPERLINK \l "_Toc237530063" </w:instrText>
          </w:r>
          <w:r>
            <w:fldChar w:fldCharType="separate"/>
          </w:r>
          <w:r>
            <w:rPr>
              <w:rStyle w:val="12"/>
              <w:rFonts w:ascii="Arial" w:hAnsi="Arial" w:cs="Arial"/>
              <w:szCs w:val="24"/>
            </w:rPr>
            <w:t>3.1 Cash Operating Cycle</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_Toc237530063 \h </w:instrText>
          </w:r>
          <w:r>
            <w:rPr>
              <w:rFonts w:ascii="Arial" w:hAnsi="Arial" w:cs="Arial"/>
              <w:szCs w:val="24"/>
            </w:rPr>
            <w:fldChar w:fldCharType="separate"/>
          </w:r>
          <w:r>
            <w:rPr>
              <w:rFonts w:ascii="Arial" w:hAnsi="Arial" w:cs="Arial"/>
              <w:szCs w:val="24"/>
            </w:rPr>
            <w:t>12</w:t>
          </w:r>
          <w:r>
            <w:rPr>
              <w:rFonts w:ascii="Arial" w:hAnsi="Arial" w:cs="Arial"/>
              <w:szCs w:val="24"/>
            </w:rPr>
            <w:fldChar w:fldCharType="end"/>
          </w:r>
          <w:r>
            <w:rPr>
              <w:rFonts w:ascii="Arial" w:hAnsi="Arial" w:cs="Arial"/>
              <w:szCs w:val="24"/>
            </w:rPr>
            <w:fldChar w:fldCharType="end"/>
          </w:r>
        </w:p>
        <w:p w14:paraId="14EE4D87">
          <w:pPr>
            <w:pStyle w:val="19"/>
            <w:tabs>
              <w:tab w:val="right" w:leader="dot" w:pos="9016"/>
            </w:tabs>
            <w:rPr>
              <w:rFonts w:ascii="Arial" w:hAnsi="Arial" w:cs="Arial" w:eastAsiaTheme="minorEastAsia"/>
              <w:szCs w:val="24"/>
              <w:lang w:eastAsia="en-GB"/>
            </w:rPr>
          </w:pPr>
          <w:r>
            <w:fldChar w:fldCharType="begin"/>
          </w:r>
          <w:r>
            <w:instrText xml:space="preserve"> HYPERLINK \l "_Toc237530064" </w:instrText>
          </w:r>
          <w:r>
            <w:fldChar w:fldCharType="separate"/>
          </w:r>
          <w:r>
            <w:rPr>
              <w:rStyle w:val="12"/>
              <w:rFonts w:ascii="Arial" w:hAnsi="Arial" w:cs="Arial"/>
              <w:szCs w:val="24"/>
            </w:rPr>
            <w:t>3.2 Working Capital Problems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_Toc237530064 \h </w:instrText>
          </w:r>
          <w:r>
            <w:rPr>
              <w:rFonts w:ascii="Arial" w:hAnsi="Arial" w:cs="Arial"/>
              <w:szCs w:val="24"/>
            </w:rPr>
            <w:fldChar w:fldCharType="separate"/>
          </w:r>
          <w:r>
            <w:rPr>
              <w:rFonts w:ascii="Arial" w:hAnsi="Arial" w:cs="Arial"/>
              <w:szCs w:val="24"/>
            </w:rPr>
            <w:t>12</w:t>
          </w:r>
          <w:r>
            <w:rPr>
              <w:rFonts w:ascii="Arial" w:hAnsi="Arial" w:cs="Arial"/>
              <w:szCs w:val="24"/>
            </w:rPr>
            <w:fldChar w:fldCharType="end"/>
          </w:r>
          <w:r>
            <w:rPr>
              <w:rFonts w:ascii="Arial" w:hAnsi="Arial" w:cs="Arial"/>
              <w:szCs w:val="24"/>
            </w:rPr>
            <w:fldChar w:fldCharType="end"/>
          </w:r>
        </w:p>
        <w:p w14:paraId="1520E5B9">
          <w:pPr>
            <w:pStyle w:val="19"/>
            <w:tabs>
              <w:tab w:val="right" w:leader="dot" w:pos="9016"/>
            </w:tabs>
            <w:rPr>
              <w:rFonts w:ascii="Arial" w:hAnsi="Arial" w:cs="Arial" w:eastAsiaTheme="minorEastAsia"/>
              <w:szCs w:val="24"/>
              <w:lang w:eastAsia="en-GB"/>
            </w:rPr>
          </w:pPr>
          <w:r>
            <w:fldChar w:fldCharType="begin"/>
          </w:r>
          <w:r>
            <w:instrText xml:space="preserve"> HYPERLINK \l "_Toc237530065" </w:instrText>
          </w:r>
          <w:r>
            <w:fldChar w:fldCharType="separate"/>
          </w:r>
          <w:r>
            <w:rPr>
              <w:rStyle w:val="12"/>
              <w:rFonts w:ascii="Arial" w:hAnsi="Arial" w:cs="Arial"/>
              <w:szCs w:val="24"/>
            </w:rPr>
            <w:t>3.3 Working Capital Improvement Strategies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_Toc237530065 \h </w:instrText>
          </w:r>
          <w:r>
            <w:rPr>
              <w:rFonts w:ascii="Arial" w:hAnsi="Arial" w:cs="Arial"/>
              <w:szCs w:val="24"/>
            </w:rPr>
            <w:fldChar w:fldCharType="separate"/>
          </w:r>
          <w:r>
            <w:rPr>
              <w:rFonts w:ascii="Arial" w:hAnsi="Arial" w:cs="Arial"/>
              <w:szCs w:val="24"/>
            </w:rPr>
            <w:t>13</w:t>
          </w:r>
          <w:r>
            <w:rPr>
              <w:rFonts w:ascii="Arial" w:hAnsi="Arial" w:cs="Arial"/>
              <w:szCs w:val="24"/>
            </w:rPr>
            <w:fldChar w:fldCharType="end"/>
          </w:r>
          <w:r>
            <w:rPr>
              <w:rFonts w:ascii="Arial" w:hAnsi="Arial" w:cs="Arial"/>
              <w:szCs w:val="24"/>
            </w:rPr>
            <w:fldChar w:fldCharType="end"/>
          </w:r>
        </w:p>
        <w:p w14:paraId="2A19AE18">
          <w:pPr>
            <w:pStyle w:val="19"/>
            <w:tabs>
              <w:tab w:val="right" w:leader="dot" w:pos="9016"/>
            </w:tabs>
            <w:rPr>
              <w:rFonts w:ascii="Arial" w:hAnsi="Arial" w:cs="Arial" w:eastAsiaTheme="minorEastAsia"/>
              <w:szCs w:val="24"/>
              <w:lang w:eastAsia="en-GB"/>
            </w:rPr>
          </w:pPr>
          <w:r>
            <w:fldChar w:fldCharType="begin"/>
          </w:r>
          <w:r>
            <w:instrText xml:space="preserve"> HYPERLINK \l "_Toc237530066" </w:instrText>
          </w:r>
          <w:r>
            <w:fldChar w:fldCharType="separate"/>
          </w:r>
          <w:r>
            <w:rPr>
              <w:rStyle w:val="12"/>
              <w:rFonts w:ascii="Arial" w:hAnsi="Arial" w:cs="Arial"/>
              <w:szCs w:val="24"/>
            </w:rPr>
            <w:t>3.4 Short-Term vs Long-Term Financing</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_Toc237530066 \h </w:instrText>
          </w:r>
          <w:r>
            <w:rPr>
              <w:rFonts w:ascii="Arial" w:hAnsi="Arial" w:cs="Arial"/>
              <w:szCs w:val="24"/>
            </w:rPr>
            <w:fldChar w:fldCharType="separate"/>
          </w:r>
          <w:r>
            <w:rPr>
              <w:rFonts w:ascii="Arial" w:hAnsi="Arial" w:cs="Arial"/>
              <w:szCs w:val="24"/>
            </w:rPr>
            <w:t>13</w:t>
          </w:r>
          <w:r>
            <w:rPr>
              <w:rFonts w:ascii="Arial" w:hAnsi="Arial" w:cs="Arial"/>
              <w:szCs w:val="24"/>
            </w:rPr>
            <w:fldChar w:fldCharType="end"/>
          </w:r>
          <w:r>
            <w:rPr>
              <w:rFonts w:ascii="Arial" w:hAnsi="Arial" w:cs="Arial"/>
              <w:szCs w:val="24"/>
            </w:rPr>
            <w:fldChar w:fldCharType="end"/>
          </w:r>
        </w:p>
        <w:p w14:paraId="363897ED">
          <w:pPr>
            <w:pStyle w:val="18"/>
            <w:rPr>
              <w:rFonts w:ascii="Arial" w:hAnsi="Arial" w:cs="Arial"/>
              <w:lang w:val="en-GB" w:eastAsia="en-GB"/>
            </w:rPr>
          </w:pPr>
          <w:r>
            <w:fldChar w:fldCharType="begin"/>
          </w:r>
          <w:r>
            <w:instrText xml:space="preserve"> HYPERLINK \l "_Toc237530067" </w:instrText>
          </w:r>
          <w:r>
            <w:fldChar w:fldCharType="separate"/>
          </w:r>
          <w:r>
            <w:rPr>
              <w:rStyle w:val="12"/>
              <w:rFonts w:ascii="Arial" w:hAnsi="Arial" w:cs="Arial"/>
            </w:rPr>
            <w:t>4. Strategic Financial Restructuring Plan</w:t>
          </w:r>
          <w:r>
            <w:rPr>
              <w:rFonts w:ascii="Arial" w:hAnsi="Arial" w:cs="Arial"/>
            </w:rPr>
            <w:tab/>
          </w:r>
          <w:r>
            <w:rPr>
              <w:rFonts w:ascii="Arial" w:hAnsi="Arial" w:cs="Arial"/>
            </w:rPr>
            <w:fldChar w:fldCharType="begin"/>
          </w:r>
          <w:r>
            <w:rPr>
              <w:rFonts w:ascii="Arial" w:hAnsi="Arial" w:cs="Arial"/>
            </w:rPr>
            <w:instrText xml:space="preserve"> PAGEREF _Toc237530067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34292455">
          <w:pPr>
            <w:pStyle w:val="19"/>
            <w:tabs>
              <w:tab w:val="right" w:leader="dot" w:pos="9016"/>
            </w:tabs>
            <w:rPr>
              <w:rFonts w:ascii="Arial" w:hAnsi="Arial" w:cs="Arial" w:eastAsiaTheme="minorEastAsia"/>
              <w:szCs w:val="24"/>
              <w:lang w:eastAsia="en-GB"/>
            </w:rPr>
          </w:pPr>
          <w:r>
            <w:fldChar w:fldCharType="begin"/>
          </w:r>
          <w:r>
            <w:instrText xml:space="preserve"> HYPERLINK \l "_Toc237530068" </w:instrText>
          </w:r>
          <w:r>
            <w:fldChar w:fldCharType="separate"/>
          </w:r>
          <w:r>
            <w:rPr>
              <w:rStyle w:val="12"/>
              <w:rFonts w:ascii="Arial" w:hAnsi="Arial" w:cs="Arial"/>
              <w:szCs w:val="24"/>
            </w:rPr>
            <w:t>4.1 Need for Financial Restructuring</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_Toc237530068 \h </w:instrText>
          </w:r>
          <w:r>
            <w:rPr>
              <w:rFonts w:ascii="Arial" w:hAnsi="Arial" w:cs="Arial"/>
              <w:szCs w:val="24"/>
            </w:rPr>
            <w:fldChar w:fldCharType="separate"/>
          </w:r>
          <w:r>
            <w:rPr>
              <w:rFonts w:ascii="Arial" w:hAnsi="Arial" w:cs="Arial"/>
              <w:szCs w:val="24"/>
            </w:rPr>
            <w:t>15</w:t>
          </w:r>
          <w:r>
            <w:rPr>
              <w:rFonts w:ascii="Arial" w:hAnsi="Arial" w:cs="Arial"/>
              <w:szCs w:val="24"/>
            </w:rPr>
            <w:fldChar w:fldCharType="end"/>
          </w:r>
          <w:r>
            <w:rPr>
              <w:rFonts w:ascii="Arial" w:hAnsi="Arial" w:cs="Arial"/>
              <w:szCs w:val="24"/>
            </w:rPr>
            <w:fldChar w:fldCharType="end"/>
          </w:r>
        </w:p>
        <w:p w14:paraId="2963A46D">
          <w:pPr>
            <w:pStyle w:val="19"/>
            <w:tabs>
              <w:tab w:val="right" w:leader="dot" w:pos="9016"/>
            </w:tabs>
            <w:rPr>
              <w:rFonts w:ascii="Arial" w:hAnsi="Arial" w:cs="Arial" w:eastAsiaTheme="minorEastAsia"/>
              <w:szCs w:val="24"/>
              <w:lang w:eastAsia="en-GB"/>
            </w:rPr>
          </w:pPr>
          <w:r>
            <w:fldChar w:fldCharType="begin"/>
          </w:r>
          <w:r>
            <w:instrText xml:space="preserve"> HYPERLINK \l "_Toc237530069" </w:instrText>
          </w:r>
          <w:r>
            <w:fldChar w:fldCharType="separate"/>
          </w:r>
          <w:r>
            <w:rPr>
              <w:rStyle w:val="12"/>
              <w:rFonts w:ascii="Arial" w:hAnsi="Arial" w:cs="Arial"/>
              <w:szCs w:val="24"/>
            </w:rPr>
            <w:t>4.2 Financial Restructuring Options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_Toc237530069 \h </w:instrText>
          </w:r>
          <w:r>
            <w:rPr>
              <w:rFonts w:ascii="Arial" w:hAnsi="Arial" w:cs="Arial"/>
              <w:szCs w:val="24"/>
            </w:rPr>
            <w:fldChar w:fldCharType="separate"/>
          </w:r>
          <w:r>
            <w:rPr>
              <w:rFonts w:ascii="Arial" w:hAnsi="Arial" w:cs="Arial"/>
              <w:szCs w:val="24"/>
            </w:rPr>
            <w:t>15</w:t>
          </w:r>
          <w:r>
            <w:rPr>
              <w:rFonts w:ascii="Arial" w:hAnsi="Arial" w:cs="Arial"/>
              <w:szCs w:val="24"/>
            </w:rPr>
            <w:fldChar w:fldCharType="end"/>
          </w:r>
          <w:r>
            <w:rPr>
              <w:rFonts w:ascii="Arial" w:hAnsi="Arial" w:cs="Arial"/>
              <w:szCs w:val="24"/>
            </w:rPr>
            <w:fldChar w:fldCharType="end"/>
          </w:r>
        </w:p>
        <w:p w14:paraId="6EA7B160">
          <w:pPr>
            <w:pStyle w:val="19"/>
            <w:tabs>
              <w:tab w:val="right" w:leader="dot" w:pos="9016"/>
            </w:tabs>
            <w:rPr>
              <w:rFonts w:ascii="Arial" w:hAnsi="Arial" w:cs="Arial" w:eastAsiaTheme="minorEastAsia"/>
              <w:szCs w:val="24"/>
              <w:lang w:eastAsia="en-GB"/>
            </w:rPr>
          </w:pPr>
          <w:r>
            <w:fldChar w:fldCharType="begin"/>
          </w:r>
          <w:r>
            <w:instrText xml:space="preserve"> HYPERLINK \l "_Toc237530070" </w:instrText>
          </w:r>
          <w:r>
            <w:fldChar w:fldCharType="separate"/>
          </w:r>
          <w:r>
            <w:rPr>
              <w:rStyle w:val="12"/>
              <w:rFonts w:ascii="Arial" w:hAnsi="Arial" w:cs="Arial"/>
              <w:szCs w:val="24"/>
            </w:rPr>
            <w:t>4.3 Impact on Shareholder Value and Financial Structure</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_Toc237530070 \h </w:instrText>
          </w:r>
          <w:r>
            <w:rPr>
              <w:rFonts w:ascii="Arial" w:hAnsi="Arial" w:cs="Arial"/>
              <w:szCs w:val="24"/>
            </w:rPr>
            <w:fldChar w:fldCharType="separate"/>
          </w:r>
          <w:r>
            <w:rPr>
              <w:rFonts w:ascii="Arial" w:hAnsi="Arial" w:cs="Arial"/>
              <w:szCs w:val="24"/>
            </w:rPr>
            <w:t>16</w:t>
          </w:r>
          <w:r>
            <w:rPr>
              <w:rFonts w:ascii="Arial" w:hAnsi="Arial" w:cs="Arial"/>
              <w:szCs w:val="24"/>
            </w:rPr>
            <w:fldChar w:fldCharType="end"/>
          </w:r>
          <w:r>
            <w:rPr>
              <w:rFonts w:ascii="Arial" w:hAnsi="Arial" w:cs="Arial"/>
              <w:szCs w:val="24"/>
            </w:rPr>
            <w:fldChar w:fldCharType="end"/>
          </w:r>
        </w:p>
        <w:p w14:paraId="324CB087">
          <w:pPr>
            <w:pStyle w:val="19"/>
            <w:tabs>
              <w:tab w:val="right" w:leader="dot" w:pos="9016"/>
            </w:tabs>
            <w:rPr>
              <w:rFonts w:ascii="Arial" w:hAnsi="Arial" w:cs="Arial" w:eastAsiaTheme="minorEastAsia"/>
              <w:szCs w:val="24"/>
              <w:lang w:eastAsia="en-GB"/>
            </w:rPr>
          </w:pPr>
          <w:r>
            <w:fldChar w:fldCharType="begin"/>
          </w:r>
          <w:r>
            <w:instrText xml:space="preserve"> HYPERLINK \l "_Toc237530071" </w:instrText>
          </w:r>
          <w:r>
            <w:fldChar w:fldCharType="separate"/>
          </w:r>
          <w:r>
            <w:rPr>
              <w:rStyle w:val="12"/>
              <w:rFonts w:ascii="Arial" w:hAnsi="Arial" w:cs="Arial"/>
              <w:szCs w:val="24"/>
            </w:rPr>
            <w:t>4.4 International and Ethical Considerations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_Toc237530071 \h </w:instrText>
          </w:r>
          <w:r>
            <w:rPr>
              <w:rFonts w:ascii="Arial" w:hAnsi="Arial" w:cs="Arial"/>
              <w:szCs w:val="24"/>
            </w:rPr>
            <w:fldChar w:fldCharType="separate"/>
          </w:r>
          <w:r>
            <w:rPr>
              <w:rFonts w:ascii="Arial" w:hAnsi="Arial" w:cs="Arial"/>
              <w:szCs w:val="24"/>
            </w:rPr>
            <w:t>16</w:t>
          </w:r>
          <w:r>
            <w:rPr>
              <w:rFonts w:ascii="Arial" w:hAnsi="Arial" w:cs="Arial"/>
              <w:szCs w:val="24"/>
            </w:rPr>
            <w:fldChar w:fldCharType="end"/>
          </w:r>
          <w:r>
            <w:rPr>
              <w:rFonts w:ascii="Arial" w:hAnsi="Arial" w:cs="Arial"/>
              <w:szCs w:val="24"/>
            </w:rPr>
            <w:fldChar w:fldCharType="end"/>
          </w:r>
        </w:p>
        <w:p w14:paraId="431D003D">
          <w:pPr>
            <w:pStyle w:val="18"/>
            <w:rPr>
              <w:rFonts w:ascii="Arial" w:hAnsi="Arial" w:cs="Arial"/>
              <w:lang w:val="en-GB" w:eastAsia="en-GB"/>
            </w:rPr>
          </w:pPr>
          <w:r>
            <w:fldChar w:fldCharType="begin"/>
          </w:r>
          <w:r>
            <w:instrText xml:space="preserve"> HYPERLINK \l "_Toc237530072" </w:instrText>
          </w:r>
          <w:r>
            <w:fldChar w:fldCharType="separate"/>
          </w:r>
          <w:r>
            <w:rPr>
              <w:rStyle w:val="12"/>
              <w:rFonts w:ascii="Arial" w:hAnsi="Arial" w:cs="Arial"/>
              <w:lang w:val="en-GB"/>
            </w:rPr>
            <w:t>5. Investment Appraisal and Capital Budgeting</w:t>
          </w:r>
          <w:r>
            <w:rPr>
              <w:rFonts w:ascii="Arial" w:hAnsi="Arial" w:cs="Arial"/>
            </w:rPr>
            <w:tab/>
          </w:r>
          <w:r>
            <w:rPr>
              <w:rFonts w:ascii="Arial" w:hAnsi="Arial" w:cs="Arial"/>
            </w:rPr>
            <w:fldChar w:fldCharType="begin"/>
          </w:r>
          <w:r>
            <w:rPr>
              <w:rFonts w:ascii="Arial" w:hAnsi="Arial" w:cs="Arial"/>
            </w:rPr>
            <w:instrText xml:space="preserve"> PAGEREF _Toc237530072 \h </w:instrText>
          </w:r>
          <w:r>
            <w:rPr>
              <w:rFonts w:ascii="Arial" w:hAnsi="Arial" w:cs="Arial"/>
            </w:rPr>
            <w:fldChar w:fldCharType="separate"/>
          </w:r>
          <w:r>
            <w:rPr>
              <w:rFonts w:ascii="Arial" w:hAnsi="Arial" w:cs="Arial"/>
            </w:rPr>
            <w:t>17</w:t>
          </w:r>
          <w:r>
            <w:rPr>
              <w:rFonts w:ascii="Arial" w:hAnsi="Arial" w:cs="Arial"/>
            </w:rPr>
            <w:fldChar w:fldCharType="end"/>
          </w:r>
          <w:r>
            <w:rPr>
              <w:rFonts w:ascii="Arial" w:hAnsi="Arial" w:cs="Arial"/>
            </w:rPr>
            <w:fldChar w:fldCharType="end"/>
          </w:r>
        </w:p>
        <w:p w14:paraId="4A9EEBCB">
          <w:pPr>
            <w:pStyle w:val="19"/>
            <w:tabs>
              <w:tab w:val="right" w:leader="dot" w:pos="9016"/>
            </w:tabs>
            <w:rPr>
              <w:rFonts w:ascii="Arial" w:hAnsi="Arial" w:cs="Arial" w:eastAsiaTheme="minorEastAsia"/>
              <w:szCs w:val="24"/>
              <w:lang w:eastAsia="en-GB"/>
            </w:rPr>
          </w:pPr>
          <w:r>
            <w:fldChar w:fldCharType="begin"/>
          </w:r>
          <w:r>
            <w:instrText xml:space="preserve"> HYPERLINK \l "_Toc237530073" </w:instrText>
          </w:r>
          <w:r>
            <w:fldChar w:fldCharType="separate"/>
          </w:r>
          <w:r>
            <w:rPr>
              <w:rStyle w:val="12"/>
              <w:rFonts w:ascii="Arial" w:hAnsi="Arial" w:cs="Arial"/>
              <w:szCs w:val="24"/>
            </w:rPr>
            <w:t>5.1 Investment Appraisal Context</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_Toc237530073 \h </w:instrText>
          </w:r>
          <w:r>
            <w:rPr>
              <w:rFonts w:ascii="Arial" w:hAnsi="Arial" w:cs="Arial"/>
              <w:szCs w:val="24"/>
            </w:rPr>
            <w:fldChar w:fldCharType="separate"/>
          </w:r>
          <w:r>
            <w:rPr>
              <w:rFonts w:ascii="Arial" w:hAnsi="Arial" w:cs="Arial"/>
              <w:szCs w:val="24"/>
            </w:rPr>
            <w:t>17</w:t>
          </w:r>
          <w:r>
            <w:rPr>
              <w:rFonts w:ascii="Arial" w:hAnsi="Arial" w:cs="Arial"/>
              <w:szCs w:val="24"/>
            </w:rPr>
            <w:fldChar w:fldCharType="end"/>
          </w:r>
          <w:r>
            <w:rPr>
              <w:rFonts w:ascii="Arial" w:hAnsi="Arial" w:cs="Arial"/>
              <w:szCs w:val="24"/>
            </w:rPr>
            <w:fldChar w:fldCharType="end"/>
          </w:r>
        </w:p>
        <w:p w14:paraId="4DC89719">
          <w:pPr>
            <w:pStyle w:val="19"/>
            <w:tabs>
              <w:tab w:val="right" w:leader="dot" w:pos="9016"/>
            </w:tabs>
            <w:rPr>
              <w:rFonts w:ascii="Arial" w:hAnsi="Arial" w:cs="Arial" w:eastAsiaTheme="minorEastAsia"/>
              <w:szCs w:val="24"/>
              <w:lang w:eastAsia="en-GB"/>
            </w:rPr>
          </w:pPr>
          <w:r>
            <w:fldChar w:fldCharType="begin"/>
          </w:r>
          <w:r>
            <w:instrText xml:space="preserve"> HYPERLINK \l "_Toc237530074" </w:instrText>
          </w:r>
          <w:r>
            <w:fldChar w:fldCharType="separate"/>
          </w:r>
          <w:r>
            <w:rPr>
              <w:rStyle w:val="12"/>
              <w:rFonts w:ascii="Arial" w:hAnsi="Arial" w:cs="Arial"/>
              <w:szCs w:val="24"/>
            </w:rPr>
            <w:t>5.2 Project Details and Assumptions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_Toc237530074 \h </w:instrText>
          </w:r>
          <w:r>
            <w:rPr>
              <w:rFonts w:ascii="Arial" w:hAnsi="Arial" w:cs="Arial"/>
              <w:szCs w:val="24"/>
            </w:rPr>
            <w:fldChar w:fldCharType="separate"/>
          </w:r>
          <w:r>
            <w:rPr>
              <w:rFonts w:ascii="Arial" w:hAnsi="Arial" w:cs="Arial"/>
              <w:szCs w:val="24"/>
            </w:rPr>
            <w:t>17</w:t>
          </w:r>
          <w:r>
            <w:rPr>
              <w:rFonts w:ascii="Arial" w:hAnsi="Arial" w:cs="Arial"/>
              <w:szCs w:val="24"/>
            </w:rPr>
            <w:fldChar w:fldCharType="end"/>
          </w:r>
          <w:r>
            <w:rPr>
              <w:rFonts w:ascii="Arial" w:hAnsi="Arial" w:cs="Arial"/>
              <w:szCs w:val="24"/>
            </w:rPr>
            <w:fldChar w:fldCharType="end"/>
          </w:r>
        </w:p>
        <w:p w14:paraId="23597772">
          <w:pPr>
            <w:pStyle w:val="19"/>
            <w:tabs>
              <w:tab w:val="right" w:leader="dot" w:pos="9016"/>
            </w:tabs>
            <w:rPr>
              <w:rFonts w:ascii="Arial" w:hAnsi="Arial" w:cs="Arial" w:eastAsiaTheme="minorEastAsia"/>
              <w:szCs w:val="24"/>
              <w:lang w:eastAsia="en-GB"/>
            </w:rPr>
          </w:pPr>
          <w:r>
            <w:fldChar w:fldCharType="begin"/>
          </w:r>
          <w:r>
            <w:instrText xml:space="preserve"> HYPERLINK \l "_Toc237530075" </w:instrText>
          </w:r>
          <w:r>
            <w:fldChar w:fldCharType="separate"/>
          </w:r>
          <w:r>
            <w:rPr>
              <w:rStyle w:val="12"/>
              <w:rFonts w:ascii="Arial" w:hAnsi="Arial" w:cs="Arial"/>
              <w:szCs w:val="24"/>
            </w:rPr>
            <w:t>5.3 Payback Period</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_Toc237530075 \h </w:instrText>
          </w:r>
          <w:r>
            <w:rPr>
              <w:rFonts w:ascii="Arial" w:hAnsi="Arial" w:cs="Arial"/>
              <w:szCs w:val="24"/>
            </w:rPr>
            <w:fldChar w:fldCharType="separate"/>
          </w:r>
          <w:r>
            <w:rPr>
              <w:rFonts w:ascii="Arial" w:hAnsi="Arial" w:cs="Arial"/>
              <w:szCs w:val="24"/>
            </w:rPr>
            <w:t>17</w:t>
          </w:r>
          <w:r>
            <w:rPr>
              <w:rFonts w:ascii="Arial" w:hAnsi="Arial" w:cs="Arial"/>
              <w:szCs w:val="24"/>
            </w:rPr>
            <w:fldChar w:fldCharType="end"/>
          </w:r>
          <w:r>
            <w:rPr>
              <w:rFonts w:ascii="Arial" w:hAnsi="Arial" w:cs="Arial"/>
              <w:szCs w:val="24"/>
            </w:rPr>
            <w:fldChar w:fldCharType="end"/>
          </w:r>
        </w:p>
        <w:p w14:paraId="3A481054">
          <w:pPr>
            <w:pStyle w:val="19"/>
            <w:tabs>
              <w:tab w:val="right" w:leader="dot" w:pos="9016"/>
            </w:tabs>
            <w:rPr>
              <w:rFonts w:ascii="Arial" w:hAnsi="Arial" w:cs="Arial" w:eastAsiaTheme="minorEastAsia"/>
              <w:szCs w:val="24"/>
              <w:lang w:eastAsia="en-GB"/>
            </w:rPr>
          </w:pPr>
          <w:r>
            <w:fldChar w:fldCharType="begin"/>
          </w:r>
          <w:r>
            <w:instrText xml:space="preserve"> HYPERLINK \l "_Toc237530076" </w:instrText>
          </w:r>
          <w:r>
            <w:fldChar w:fldCharType="separate"/>
          </w:r>
          <w:r>
            <w:rPr>
              <w:rStyle w:val="12"/>
              <w:rFonts w:ascii="Arial" w:hAnsi="Arial" w:cs="Arial"/>
              <w:szCs w:val="24"/>
            </w:rPr>
            <w:t>5.4 Accounting Rate of Return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_Toc237530076 \h </w:instrText>
          </w:r>
          <w:r>
            <w:rPr>
              <w:rFonts w:ascii="Arial" w:hAnsi="Arial" w:cs="Arial"/>
              <w:szCs w:val="24"/>
            </w:rPr>
            <w:fldChar w:fldCharType="separate"/>
          </w:r>
          <w:r>
            <w:rPr>
              <w:rFonts w:ascii="Arial" w:hAnsi="Arial" w:cs="Arial"/>
              <w:szCs w:val="24"/>
            </w:rPr>
            <w:t>18</w:t>
          </w:r>
          <w:r>
            <w:rPr>
              <w:rFonts w:ascii="Arial" w:hAnsi="Arial" w:cs="Arial"/>
              <w:szCs w:val="24"/>
            </w:rPr>
            <w:fldChar w:fldCharType="end"/>
          </w:r>
          <w:r>
            <w:rPr>
              <w:rFonts w:ascii="Arial" w:hAnsi="Arial" w:cs="Arial"/>
              <w:szCs w:val="24"/>
            </w:rPr>
            <w:fldChar w:fldCharType="end"/>
          </w:r>
        </w:p>
        <w:p w14:paraId="79A73E07">
          <w:pPr>
            <w:pStyle w:val="19"/>
            <w:tabs>
              <w:tab w:val="right" w:leader="dot" w:pos="9016"/>
            </w:tabs>
            <w:rPr>
              <w:rFonts w:ascii="Arial" w:hAnsi="Arial" w:cs="Arial" w:eastAsiaTheme="minorEastAsia"/>
              <w:szCs w:val="24"/>
              <w:lang w:eastAsia="en-GB"/>
            </w:rPr>
          </w:pPr>
          <w:r>
            <w:fldChar w:fldCharType="begin"/>
          </w:r>
          <w:r>
            <w:instrText xml:space="preserve"> HYPERLINK \l "_Toc237530077" </w:instrText>
          </w:r>
          <w:r>
            <w:fldChar w:fldCharType="separate"/>
          </w:r>
          <w:r>
            <w:rPr>
              <w:rStyle w:val="12"/>
              <w:rFonts w:ascii="Arial" w:hAnsi="Arial" w:cs="Arial"/>
              <w:szCs w:val="24"/>
            </w:rPr>
            <w:t>5.5 Net Present Value</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_Toc237530077 \h </w:instrText>
          </w:r>
          <w:r>
            <w:rPr>
              <w:rFonts w:ascii="Arial" w:hAnsi="Arial" w:cs="Arial"/>
              <w:szCs w:val="24"/>
            </w:rPr>
            <w:fldChar w:fldCharType="separate"/>
          </w:r>
          <w:r>
            <w:rPr>
              <w:rFonts w:ascii="Arial" w:hAnsi="Arial" w:cs="Arial"/>
              <w:szCs w:val="24"/>
            </w:rPr>
            <w:t>18</w:t>
          </w:r>
          <w:r>
            <w:rPr>
              <w:rFonts w:ascii="Arial" w:hAnsi="Arial" w:cs="Arial"/>
              <w:szCs w:val="24"/>
            </w:rPr>
            <w:fldChar w:fldCharType="end"/>
          </w:r>
          <w:r>
            <w:rPr>
              <w:rFonts w:ascii="Arial" w:hAnsi="Arial" w:cs="Arial"/>
              <w:szCs w:val="24"/>
            </w:rPr>
            <w:fldChar w:fldCharType="end"/>
          </w:r>
        </w:p>
        <w:p w14:paraId="200398BE">
          <w:pPr>
            <w:pStyle w:val="19"/>
            <w:tabs>
              <w:tab w:val="right" w:leader="dot" w:pos="9016"/>
            </w:tabs>
            <w:rPr>
              <w:rFonts w:ascii="Arial" w:hAnsi="Arial" w:cs="Arial" w:eastAsiaTheme="minorEastAsia"/>
              <w:szCs w:val="24"/>
              <w:lang w:eastAsia="en-GB"/>
            </w:rPr>
          </w:pPr>
          <w:r>
            <w:fldChar w:fldCharType="begin"/>
          </w:r>
          <w:r>
            <w:instrText xml:space="preserve"> HYPERLINK \l "_Toc237530078" </w:instrText>
          </w:r>
          <w:r>
            <w:fldChar w:fldCharType="separate"/>
          </w:r>
          <w:r>
            <w:rPr>
              <w:rStyle w:val="12"/>
              <w:rFonts w:ascii="Arial" w:hAnsi="Arial" w:cs="Arial"/>
              <w:szCs w:val="24"/>
            </w:rPr>
            <w:t>5.6 Profitability Index</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_Toc237530078 \h </w:instrText>
          </w:r>
          <w:r>
            <w:rPr>
              <w:rFonts w:ascii="Arial" w:hAnsi="Arial" w:cs="Arial"/>
              <w:szCs w:val="24"/>
            </w:rPr>
            <w:fldChar w:fldCharType="separate"/>
          </w:r>
          <w:r>
            <w:rPr>
              <w:rFonts w:ascii="Arial" w:hAnsi="Arial" w:cs="Arial"/>
              <w:szCs w:val="24"/>
            </w:rPr>
            <w:t>19</w:t>
          </w:r>
          <w:r>
            <w:rPr>
              <w:rFonts w:ascii="Arial" w:hAnsi="Arial" w:cs="Arial"/>
              <w:szCs w:val="24"/>
            </w:rPr>
            <w:fldChar w:fldCharType="end"/>
          </w:r>
          <w:r>
            <w:rPr>
              <w:rFonts w:ascii="Arial" w:hAnsi="Arial" w:cs="Arial"/>
              <w:szCs w:val="24"/>
            </w:rPr>
            <w:fldChar w:fldCharType="end"/>
          </w:r>
        </w:p>
        <w:p w14:paraId="450770CA">
          <w:pPr>
            <w:pStyle w:val="19"/>
            <w:tabs>
              <w:tab w:val="right" w:leader="dot" w:pos="9016"/>
            </w:tabs>
            <w:rPr>
              <w:rFonts w:ascii="Arial" w:hAnsi="Arial" w:cs="Arial" w:eastAsiaTheme="minorEastAsia"/>
              <w:szCs w:val="24"/>
              <w:lang w:eastAsia="en-GB"/>
            </w:rPr>
          </w:pPr>
          <w:r>
            <w:fldChar w:fldCharType="begin"/>
          </w:r>
          <w:r>
            <w:instrText xml:space="preserve"> HYPERLINK \l "_Toc237530079" </w:instrText>
          </w:r>
          <w:r>
            <w:fldChar w:fldCharType="separate"/>
          </w:r>
          <w:r>
            <w:rPr>
              <w:rStyle w:val="12"/>
              <w:rFonts w:ascii="Arial" w:hAnsi="Arial" w:cs="Arial"/>
              <w:szCs w:val="24"/>
            </w:rPr>
            <w:t>5.7 Internal Rate of Return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_Toc237530079 \h </w:instrText>
          </w:r>
          <w:r>
            <w:rPr>
              <w:rFonts w:ascii="Arial" w:hAnsi="Arial" w:cs="Arial"/>
              <w:szCs w:val="24"/>
            </w:rPr>
            <w:fldChar w:fldCharType="separate"/>
          </w:r>
          <w:r>
            <w:rPr>
              <w:rFonts w:ascii="Arial" w:hAnsi="Arial" w:cs="Arial"/>
              <w:szCs w:val="24"/>
            </w:rPr>
            <w:t>20</w:t>
          </w:r>
          <w:r>
            <w:rPr>
              <w:rFonts w:ascii="Arial" w:hAnsi="Arial" w:cs="Arial"/>
              <w:szCs w:val="24"/>
            </w:rPr>
            <w:fldChar w:fldCharType="end"/>
          </w:r>
          <w:r>
            <w:rPr>
              <w:rFonts w:ascii="Arial" w:hAnsi="Arial" w:cs="Arial"/>
              <w:szCs w:val="24"/>
            </w:rPr>
            <w:fldChar w:fldCharType="end"/>
          </w:r>
        </w:p>
        <w:p w14:paraId="497EBEF6">
          <w:pPr>
            <w:pStyle w:val="19"/>
            <w:tabs>
              <w:tab w:val="right" w:leader="dot" w:pos="9016"/>
            </w:tabs>
            <w:rPr>
              <w:rFonts w:ascii="Arial" w:hAnsi="Arial" w:cs="Arial" w:eastAsiaTheme="minorEastAsia"/>
              <w:szCs w:val="24"/>
              <w:lang w:eastAsia="en-GB"/>
            </w:rPr>
          </w:pPr>
          <w:r>
            <w:fldChar w:fldCharType="begin"/>
          </w:r>
          <w:r>
            <w:instrText xml:space="preserve"> HYPERLINK \l "_Toc237530080" </w:instrText>
          </w:r>
          <w:r>
            <w:fldChar w:fldCharType="separate"/>
          </w:r>
          <w:r>
            <w:rPr>
              <w:rStyle w:val="12"/>
              <w:rFonts w:ascii="Arial" w:hAnsi="Arial" w:cs="Arial"/>
              <w:szCs w:val="24"/>
            </w:rPr>
            <w:t>5.8 Recommended Investment Project</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_Toc237530080 \h </w:instrText>
          </w:r>
          <w:r>
            <w:rPr>
              <w:rFonts w:ascii="Arial" w:hAnsi="Arial" w:cs="Arial"/>
              <w:szCs w:val="24"/>
            </w:rPr>
            <w:fldChar w:fldCharType="separate"/>
          </w:r>
          <w:r>
            <w:rPr>
              <w:rFonts w:ascii="Arial" w:hAnsi="Arial" w:cs="Arial"/>
              <w:szCs w:val="24"/>
            </w:rPr>
            <w:t>21</w:t>
          </w:r>
          <w:r>
            <w:rPr>
              <w:rFonts w:ascii="Arial" w:hAnsi="Arial" w:cs="Arial"/>
              <w:szCs w:val="24"/>
            </w:rPr>
            <w:fldChar w:fldCharType="end"/>
          </w:r>
          <w:r>
            <w:rPr>
              <w:rFonts w:ascii="Arial" w:hAnsi="Arial" w:cs="Arial"/>
              <w:szCs w:val="24"/>
            </w:rPr>
            <w:fldChar w:fldCharType="end"/>
          </w:r>
        </w:p>
        <w:p w14:paraId="1E70CB72">
          <w:pPr>
            <w:pStyle w:val="19"/>
            <w:tabs>
              <w:tab w:val="right" w:leader="dot" w:pos="9016"/>
            </w:tabs>
            <w:rPr>
              <w:rFonts w:ascii="Arial" w:hAnsi="Arial" w:cs="Arial" w:eastAsiaTheme="minorEastAsia"/>
              <w:szCs w:val="24"/>
              <w:lang w:eastAsia="en-GB"/>
            </w:rPr>
          </w:pPr>
          <w:r>
            <w:fldChar w:fldCharType="begin"/>
          </w:r>
          <w:r>
            <w:instrText xml:space="preserve"> HYPERLINK \l "_Toc237530081" </w:instrText>
          </w:r>
          <w:r>
            <w:fldChar w:fldCharType="separate"/>
          </w:r>
          <w:r>
            <w:rPr>
              <w:rStyle w:val="12"/>
              <w:rFonts w:ascii="Arial" w:hAnsi="Arial" w:cs="Arial"/>
              <w:szCs w:val="24"/>
            </w:rPr>
            <w:t>5.9 Capital Rationing</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_Toc237530081 \h </w:instrText>
          </w:r>
          <w:r>
            <w:rPr>
              <w:rFonts w:ascii="Arial" w:hAnsi="Arial" w:cs="Arial"/>
              <w:szCs w:val="24"/>
            </w:rPr>
            <w:fldChar w:fldCharType="separate"/>
          </w:r>
          <w:r>
            <w:rPr>
              <w:rFonts w:ascii="Arial" w:hAnsi="Arial" w:cs="Arial"/>
              <w:szCs w:val="24"/>
            </w:rPr>
            <w:t>21</w:t>
          </w:r>
          <w:r>
            <w:rPr>
              <w:rFonts w:ascii="Arial" w:hAnsi="Arial" w:cs="Arial"/>
              <w:szCs w:val="24"/>
            </w:rPr>
            <w:fldChar w:fldCharType="end"/>
          </w:r>
          <w:r>
            <w:rPr>
              <w:rFonts w:ascii="Arial" w:hAnsi="Arial" w:cs="Arial"/>
              <w:szCs w:val="24"/>
            </w:rPr>
            <w:fldChar w:fldCharType="end"/>
          </w:r>
        </w:p>
        <w:p w14:paraId="6839935A">
          <w:pPr>
            <w:pStyle w:val="18"/>
            <w:rPr>
              <w:rFonts w:ascii="Arial" w:hAnsi="Arial" w:cs="Arial"/>
              <w:lang w:val="en-GB" w:eastAsia="en-GB"/>
            </w:rPr>
          </w:pPr>
          <w:r>
            <w:fldChar w:fldCharType="begin"/>
          </w:r>
          <w:r>
            <w:instrText xml:space="preserve"> HYPERLINK \l "_Toc237530082" </w:instrText>
          </w:r>
          <w:r>
            <w:fldChar w:fldCharType="separate"/>
          </w:r>
          <w:r>
            <w:rPr>
              <w:rStyle w:val="12"/>
              <w:rFonts w:ascii="Arial" w:hAnsi="Arial" w:cs="Arial"/>
              <w:lang w:val="en-GB"/>
            </w:rPr>
            <w:t>6. Critical Reflection on AI Usage</w:t>
          </w:r>
          <w:r>
            <w:rPr>
              <w:rFonts w:ascii="Arial" w:hAnsi="Arial" w:cs="Arial"/>
            </w:rPr>
            <w:tab/>
          </w:r>
          <w:r>
            <w:rPr>
              <w:rFonts w:ascii="Arial" w:hAnsi="Arial" w:cs="Arial"/>
            </w:rPr>
            <w:fldChar w:fldCharType="begin"/>
          </w:r>
          <w:r>
            <w:rPr>
              <w:rFonts w:ascii="Arial" w:hAnsi="Arial" w:cs="Arial"/>
            </w:rPr>
            <w:instrText xml:space="preserve"> PAGEREF _Toc237530082 \h </w:instrText>
          </w:r>
          <w:r>
            <w:rPr>
              <w:rFonts w:ascii="Arial" w:hAnsi="Arial" w:cs="Arial"/>
            </w:rPr>
            <w:fldChar w:fldCharType="separate"/>
          </w:r>
          <w:r>
            <w:rPr>
              <w:rFonts w:ascii="Arial" w:hAnsi="Arial" w:cs="Arial"/>
            </w:rPr>
            <w:t>22</w:t>
          </w:r>
          <w:r>
            <w:rPr>
              <w:rFonts w:ascii="Arial" w:hAnsi="Arial" w:cs="Arial"/>
            </w:rPr>
            <w:fldChar w:fldCharType="end"/>
          </w:r>
          <w:r>
            <w:rPr>
              <w:rFonts w:ascii="Arial" w:hAnsi="Arial" w:cs="Arial"/>
            </w:rPr>
            <w:fldChar w:fldCharType="end"/>
          </w:r>
        </w:p>
        <w:p w14:paraId="03D6D3B8">
          <w:pPr>
            <w:pStyle w:val="19"/>
            <w:tabs>
              <w:tab w:val="right" w:leader="dot" w:pos="9016"/>
            </w:tabs>
            <w:rPr>
              <w:rFonts w:ascii="Arial" w:hAnsi="Arial" w:cs="Arial" w:eastAsiaTheme="minorEastAsia"/>
              <w:szCs w:val="24"/>
              <w:lang w:eastAsia="en-GB"/>
            </w:rPr>
          </w:pPr>
          <w:r>
            <w:fldChar w:fldCharType="begin"/>
          </w:r>
          <w:r>
            <w:instrText xml:space="preserve"> HYPERLINK \l "_Toc237530083" </w:instrText>
          </w:r>
          <w:r>
            <w:fldChar w:fldCharType="separate"/>
          </w:r>
          <w:r>
            <w:rPr>
              <w:rStyle w:val="12"/>
              <w:rFonts w:ascii="Arial" w:hAnsi="Arial" w:cs="Arial"/>
              <w:szCs w:val="24"/>
            </w:rPr>
            <w:t>6.1 AI Tools and Their Uses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_Toc237530083 \h </w:instrText>
          </w:r>
          <w:r>
            <w:rPr>
              <w:rFonts w:ascii="Arial" w:hAnsi="Arial" w:cs="Arial"/>
              <w:szCs w:val="24"/>
            </w:rPr>
            <w:fldChar w:fldCharType="separate"/>
          </w:r>
          <w:r>
            <w:rPr>
              <w:rFonts w:ascii="Arial" w:hAnsi="Arial" w:cs="Arial"/>
              <w:szCs w:val="24"/>
            </w:rPr>
            <w:t>22</w:t>
          </w:r>
          <w:r>
            <w:rPr>
              <w:rFonts w:ascii="Arial" w:hAnsi="Arial" w:cs="Arial"/>
              <w:szCs w:val="24"/>
            </w:rPr>
            <w:fldChar w:fldCharType="end"/>
          </w:r>
          <w:r>
            <w:rPr>
              <w:rFonts w:ascii="Arial" w:hAnsi="Arial" w:cs="Arial"/>
              <w:szCs w:val="24"/>
            </w:rPr>
            <w:fldChar w:fldCharType="end"/>
          </w:r>
        </w:p>
        <w:p w14:paraId="6384DC29">
          <w:pPr>
            <w:pStyle w:val="19"/>
            <w:tabs>
              <w:tab w:val="right" w:leader="dot" w:pos="9016"/>
            </w:tabs>
            <w:rPr>
              <w:rFonts w:ascii="Arial" w:hAnsi="Arial" w:cs="Arial" w:eastAsiaTheme="minorEastAsia"/>
              <w:szCs w:val="24"/>
              <w:lang w:eastAsia="en-GB"/>
            </w:rPr>
          </w:pPr>
          <w:r>
            <w:fldChar w:fldCharType="begin"/>
          </w:r>
          <w:r>
            <w:instrText xml:space="preserve"> HYPERLINK \l "_Toc237530084" </w:instrText>
          </w:r>
          <w:r>
            <w:fldChar w:fldCharType="separate"/>
          </w:r>
          <w:r>
            <w:rPr>
              <w:rStyle w:val="12"/>
              <w:rFonts w:ascii="Arial" w:hAnsi="Arial" w:cs="Arial"/>
              <w:szCs w:val="24"/>
            </w:rPr>
            <w:t>6.2 Verification of AI Outputs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_Toc237530084 \h </w:instrText>
          </w:r>
          <w:r>
            <w:rPr>
              <w:rFonts w:ascii="Arial" w:hAnsi="Arial" w:cs="Arial"/>
              <w:szCs w:val="24"/>
            </w:rPr>
            <w:fldChar w:fldCharType="separate"/>
          </w:r>
          <w:r>
            <w:rPr>
              <w:rFonts w:ascii="Arial" w:hAnsi="Arial" w:cs="Arial"/>
              <w:szCs w:val="24"/>
            </w:rPr>
            <w:t>22</w:t>
          </w:r>
          <w:r>
            <w:rPr>
              <w:rFonts w:ascii="Arial" w:hAnsi="Arial" w:cs="Arial"/>
              <w:szCs w:val="24"/>
            </w:rPr>
            <w:fldChar w:fldCharType="end"/>
          </w:r>
          <w:r>
            <w:rPr>
              <w:rFonts w:ascii="Arial" w:hAnsi="Arial" w:cs="Arial"/>
              <w:szCs w:val="24"/>
            </w:rPr>
            <w:fldChar w:fldCharType="end"/>
          </w:r>
        </w:p>
        <w:p w14:paraId="7AFEF213">
          <w:pPr>
            <w:pStyle w:val="19"/>
            <w:tabs>
              <w:tab w:val="right" w:leader="dot" w:pos="9016"/>
            </w:tabs>
            <w:rPr>
              <w:rFonts w:ascii="Arial" w:hAnsi="Arial" w:cs="Arial" w:eastAsiaTheme="minorEastAsia"/>
              <w:szCs w:val="24"/>
              <w:lang w:eastAsia="en-GB"/>
            </w:rPr>
          </w:pPr>
          <w:r>
            <w:fldChar w:fldCharType="begin"/>
          </w:r>
          <w:r>
            <w:instrText xml:space="preserve"> HYPERLINK \l "_Toc237530085" </w:instrText>
          </w:r>
          <w:r>
            <w:fldChar w:fldCharType="separate"/>
          </w:r>
          <w:r>
            <w:rPr>
              <w:rStyle w:val="12"/>
              <w:rFonts w:ascii="Arial" w:hAnsi="Arial" w:cs="Arial"/>
              <w:szCs w:val="24"/>
            </w:rPr>
            <w:t>6.3 AI Contribution vs Original Contribution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_Toc237530085 \h </w:instrText>
          </w:r>
          <w:r>
            <w:rPr>
              <w:rFonts w:ascii="Arial" w:hAnsi="Arial" w:cs="Arial"/>
              <w:szCs w:val="24"/>
            </w:rPr>
            <w:fldChar w:fldCharType="separate"/>
          </w:r>
          <w:r>
            <w:rPr>
              <w:rFonts w:ascii="Arial" w:hAnsi="Arial" w:cs="Arial"/>
              <w:szCs w:val="24"/>
            </w:rPr>
            <w:t>23</w:t>
          </w:r>
          <w:r>
            <w:rPr>
              <w:rFonts w:ascii="Arial" w:hAnsi="Arial" w:cs="Arial"/>
              <w:szCs w:val="24"/>
            </w:rPr>
            <w:fldChar w:fldCharType="end"/>
          </w:r>
          <w:r>
            <w:rPr>
              <w:rFonts w:ascii="Arial" w:hAnsi="Arial" w:cs="Arial"/>
              <w:szCs w:val="24"/>
            </w:rPr>
            <w:fldChar w:fldCharType="end"/>
          </w:r>
        </w:p>
        <w:p w14:paraId="2199B34C">
          <w:pPr>
            <w:pStyle w:val="18"/>
            <w:rPr>
              <w:rFonts w:ascii="Arial" w:hAnsi="Arial" w:cs="Arial"/>
              <w:lang w:val="en-GB" w:eastAsia="en-GB"/>
            </w:rPr>
          </w:pPr>
          <w:r>
            <w:fldChar w:fldCharType="begin"/>
          </w:r>
          <w:r>
            <w:instrText xml:space="preserve"> HYPERLINK \l "_Toc237530086" </w:instrText>
          </w:r>
          <w:r>
            <w:fldChar w:fldCharType="separate"/>
          </w:r>
          <w:r>
            <w:rPr>
              <w:rStyle w:val="12"/>
              <w:rFonts w:ascii="Arial" w:hAnsi="Arial" w:cs="Arial"/>
              <w:lang w:val="en-GB"/>
            </w:rPr>
            <w:t>7. Conclusion</w:t>
          </w:r>
          <w:r>
            <w:rPr>
              <w:rFonts w:ascii="Arial" w:hAnsi="Arial" w:cs="Arial"/>
            </w:rPr>
            <w:tab/>
          </w:r>
          <w:r>
            <w:rPr>
              <w:rFonts w:ascii="Arial" w:hAnsi="Arial" w:cs="Arial"/>
            </w:rPr>
            <w:fldChar w:fldCharType="begin"/>
          </w:r>
          <w:r>
            <w:rPr>
              <w:rFonts w:ascii="Arial" w:hAnsi="Arial" w:cs="Arial"/>
            </w:rPr>
            <w:instrText xml:space="preserve"> PAGEREF _Toc237530086 \h </w:instrText>
          </w:r>
          <w:r>
            <w:rPr>
              <w:rFonts w:ascii="Arial" w:hAnsi="Arial" w:cs="Arial"/>
            </w:rPr>
            <w:fldChar w:fldCharType="separate"/>
          </w:r>
          <w:r>
            <w:rPr>
              <w:rFonts w:ascii="Arial" w:hAnsi="Arial" w:cs="Arial"/>
            </w:rPr>
            <w:t>23</w:t>
          </w:r>
          <w:r>
            <w:rPr>
              <w:rFonts w:ascii="Arial" w:hAnsi="Arial" w:cs="Arial"/>
            </w:rPr>
            <w:fldChar w:fldCharType="end"/>
          </w:r>
          <w:r>
            <w:rPr>
              <w:rFonts w:ascii="Arial" w:hAnsi="Arial" w:cs="Arial"/>
            </w:rPr>
            <w:fldChar w:fldCharType="end"/>
          </w:r>
        </w:p>
        <w:p w14:paraId="20802FC5">
          <w:pPr>
            <w:pStyle w:val="18"/>
            <w:rPr>
              <w:rFonts w:ascii="Arial" w:hAnsi="Arial" w:cs="Arial"/>
              <w:lang w:val="en-GB" w:eastAsia="en-GB"/>
            </w:rPr>
          </w:pPr>
          <w:r>
            <w:fldChar w:fldCharType="begin"/>
          </w:r>
          <w:r>
            <w:instrText xml:space="preserve"> HYPERLINK \l "_Toc237530087" </w:instrText>
          </w:r>
          <w:r>
            <w:fldChar w:fldCharType="separate"/>
          </w:r>
          <w:r>
            <w:rPr>
              <w:rStyle w:val="12"/>
              <w:rFonts w:ascii="Arial" w:hAnsi="Arial" w:cs="Arial"/>
              <w:lang w:val="en-GB"/>
            </w:rPr>
            <w:t>8. References</w:t>
          </w:r>
          <w:r>
            <w:rPr>
              <w:rFonts w:ascii="Arial" w:hAnsi="Arial" w:cs="Arial"/>
            </w:rPr>
            <w:tab/>
          </w:r>
          <w:r>
            <w:rPr>
              <w:rFonts w:ascii="Arial" w:hAnsi="Arial" w:cs="Arial"/>
            </w:rPr>
            <w:fldChar w:fldCharType="begin"/>
          </w:r>
          <w:r>
            <w:rPr>
              <w:rFonts w:ascii="Arial" w:hAnsi="Arial" w:cs="Arial"/>
            </w:rPr>
            <w:instrText xml:space="preserve"> PAGEREF _Toc237530087 \h </w:instrText>
          </w:r>
          <w:r>
            <w:rPr>
              <w:rFonts w:ascii="Arial" w:hAnsi="Arial" w:cs="Arial"/>
            </w:rPr>
            <w:fldChar w:fldCharType="separate"/>
          </w:r>
          <w:r>
            <w:rPr>
              <w:rFonts w:ascii="Arial" w:hAnsi="Arial" w:cs="Arial"/>
            </w:rPr>
            <w:t>24</w:t>
          </w:r>
          <w:r>
            <w:rPr>
              <w:rFonts w:ascii="Arial" w:hAnsi="Arial" w:cs="Arial"/>
            </w:rPr>
            <w:fldChar w:fldCharType="end"/>
          </w:r>
          <w:r>
            <w:rPr>
              <w:rFonts w:ascii="Arial" w:hAnsi="Arial" w:cs="Arial"/>
            </w:rPr>
            <w:fldChar w:fldCharType="end"/>
          </w:r>
        </w:p>
        <w:p w14:paraId="70B56524">
          <w:pPr>
            <w:rPr>
              <w:rFonts w:ascii="Arial" w:hAnsi="Arial" w:cs="Arial"/>
              <w:szCs w:val="24"/>
            </w:rPr>
          </w:pPr>
          <w:r>
            <w:rPr>
              <w:rFonts w:ascii="Arial" w:hAnsi="Arial" w:cs="Arial"/>
              <w:b/>
              <w:bCs/>
              <w:szCs w:val="24"/>
            </w:rPr>
            <w:fldChar w:fldCharType="end"/>
          </w:r>
        </w:p>
      </w:sdtContent>
    </w:sdt>
    <w:p w14:paraId="79F60857">
      <w:pPr>
        <w:jc w:val="left"/>
        <w:rPr>
          <w:rFonts w:ascii="Arial" w:hAnsi="Arial" w:cs="Arial"/>
          <w:szCs w:val="24"/>
        </w:rPr>
      </w:pPr>
      <w:r>
        <w:rPr>
          <w:rFonts w:ascii="Arial" w:hAnsi="Arial" w:cs="Arial"/>
          <w:szCs w:val="24"/>
        </w:rPr>
        <w:br w:type="page"/>
      </w:r>
    </w:p>
    <w:p w14:paraId="6EAAF1F5">
      <w:pPr>
        <w:jc w:val="center"/>
        <w:rPr>
          <w:rFonts w:ascii="Arial" w:hAnsi="Arial" w:cs="Arial"/>
          <w:b/>
          <w:szCs w:val="24"/>
        </w:rPr>
      </w:pPr>
      <w:r>
        <w:rPr>
          <w:rFonts w:ascii="Arial" w:hAnsi="Arial" w:cs="Arial"/>
          <w:b/>
          <w:szCs w:val="24"/>
        </w:rPr>
        <w:t>List of Tables</w:t>
      </w:r>
    </w:p>
    <w:p w14:paraId="2F1123B0">
      <w:pPr>
        <w:pStyle w:val="16"/>
        <w:tabs>
          <w:tab w:val="right" w:leader="dot" w:pos="9016"/>
        </w:tabs>
        <w:spacing w:before="240"/>
        <w:rPr>
          <w:rFonts w:ascii="Arial" w:hAnsi="Arial" w:cs="Arial" w:eastAsiaTheme="minorEastAsia"/>
          <w:szCs w:val="24"/>
          <w:lang w:eastAsia="en-GB"/>
        </w:rPr>
      </w:pPr>
      <w:r>
        <w:rPr>
          <w:rFonts w:ascii="Arial" w:hAnsi="Arial" w:cs="Arial"/>
          <w:szCs w:val="24"/>
        </w:rPr>
        <w:fldChar w:fldCharType="begin"/>
      </w:r>
      <w:r>
        <w:rPr>
          <w:rFonts w:ascii="Arial" w:hAnsi="Arial" w:cs="Arial"/>
          <w:szCs w:val="24"/>
        </w:rPr>
        <w:instrText xml:space="preserve"> TOC \h \z \t "Heading 4" \c </w:instrText>
      </w:r>
      <w:r>
        <w:rPr>
          <w:rFonts w:ascii="Arial" w:hAnsi="Arial" w:cs="Arial"/>
          <w:szCs w:val="24"/>
        </w:rPr>
        <w:fldChar w:fldCharType="separate"/>
      </w:r>
      <w:r>
        <w:fldChar w:fldCharType="begin"/>
      </w:r>
      <w:r>
        <w:instrText xml:space="preserve"> HYPERLINK \l "_Toc237529857" </w:instrText>
      </w:r>
      <w:r>
        <w:fldChar w:fldCharType="separate"/>
      </w:r>
      <w:r>
        <w:rPr>
          <w:rStyle w:val="12"/>
          <w:rFonts w:ascii="Arial" w:hAnsi="Arial" w:cs="Arial"/>
          <w:szCs w:val="24"/>
        </w:rPr>
        <w:t>Table 1: Marriott’s Year Financial Performance, 2021–2025</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_Toc237529857 \h </w:instrText>
      </w:r>
      <w:r>
        <w:rPr>
          <w:rFonts w:ascii="Arial" w:hAnsi="Arial" w:cs="Arial"/>
          <w:szCs w:val="24"/>
        </w:rPr>
        <w:fldChar w:fldCharType="separate"/>
      </w:r>
      <w:r>
        <w:rPr>
          <w:rFonts w:ascii="Arial" w:hAnsi="Arial" w:cs="Arial"/>
          <w:szCs w:val="24"/>
        </w:rPr>
        <w:t>7</w:t>
      </w:r>
      <w:r>
        <w:rPr>
          <w:rFonts w:ascii="Arial" w:hAnsi="Arial" w:cs="Arial"/>
          <w:szCs w:val="24"/>
        </w:rPr>
        <w:fldChar w:fldCharType="end"/>
      </w:r>
      <w:r>
        <w:rPr>
          <w:rFonts w:ascii="Arial" w:hAnsi="Arial" w:cs="Arial"/>
          <w:szCs w:val="24"/>
        </w:rPr>
        <w:fldChar w:fldCharType="end"/>
      </w:r>
    </w:p>
    <w:p w14:paraId="3F92EF21">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"_Toc237529858" </w:instrText>
      </w:r>
      <w:r>
        <w:fldChar w:fldCharType="separate"/>
      </w:r>
      <w:r>
        <w:rPr>
          <w:rStyle w:val="12"/>
          <w:rFonts w:ascii="Arial" w:hAnsi="Arial" w:cs="Arial"/>
          <w:szCs w:val="24"/>
        </w:rPr>
        <w:t>Table 2: Marriott’s Profitability Performance, 2021–2025</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_Toc237529858 \h </w:instrText>
      </w:r>
      <w:r>
        <w:rPr>
          <w:rFonts w:ascii="Arial" w:hAnsi="Arial" w:cs="Arial"/>
          <w:szCs w:val="24"/>
        </w:rPr>
        <w:fldChar w:fldCharType="separate"/>
      </w:r>
      <w:r>
        <w:rPr>
          <w:rFonts w:ascii="Arial" w:hAnsi="Arial" w:cs="Arial"/>
          <w:szCs w:val="24"/>
        </w:rPr>
        <w:t>7</w:t>
      </w:r>
      <w:r>
        <w:rPr>
          <w:rFonts w:ascii="Arial" w:hAnsi="Arial" w:cs="Arial"/>
          <w:szCs w:val="24"/>
        </w:rPr>
        <w:fldChar w:fldCharType="end"/>
      </w:r>
      <w:r>
        <w:rPr>
          <w:rFonts w:ascii="Arial" w:hAnsi="Arial" w:cs="Arial"/>
          <w:szCs w:val="24"/>
        </w:rPr>
        <w:fldChar w:fldCharType="end"/>
      </w:r>
    </w:p>
    <w:p w14:paraId="02EC96D0">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"_Toc237529859" </w:instrText>
      </w:r>
      <w:r>
        <w:fldChar w:fldCharType="separate"/>
      </w:r>
      <w:r>
        <w:rPr>
          <w:rStyle w:val="12"/>
          <w:rFonts w:ascii="Arial" w:hAnsi="Arial" w:cs="Arial"/>
          <w:szCs w:val="24"/>
        </w:rPr>
        <w:t>Table 3: Marriott’s Liquidity Performance, 2021–2025</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_Toc237529859 \h </w:instrText>
      </w:r>
      <w:r>
        <w:rPr>
          <w:rFonts w:ascii="Arial" w:hAnsi="Arial" w:cs="Arial"/>
          <w:szCs w:val="24"/>
        </w:rPr>
        <w:fldChar w:fldCharType="separate"/>
      </w:r>
      <w:r>
        <w:rPr>
          <w:rFonts w:ascii="Arial" w:hAnsi="Arial" w:cs="Arial"/>
          <w:szCs w:val="24"/>
        </w:rPr>
        <w:t>8</w:t>
      </w:r>
      <w:r>
        <w:rPr>
          <w:rFonts w:ascii="Arial" w:hAnsi="Arial" w:cs="Arial"/>
          <w:szCs w:val="24"/>
        </w:rPr>
        <w:fldChar w:fldCharType="end"/>
      </w:r>
      <w:r>
        <w:rPr>
          <w:rFonts w:ascii="Arial" w:hAnsi="Arial" w:cs="Arial"/>
          <w:szCs w:val="24"/>
        </w:rPr>
        <w:fldChar w:fldCharType="end"/>
      </w:r>
    </w:p>
    <w:p w14:paraId="49626A86">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"_Toc237529860" </w:instrText>
      </w:r>
      <w:r>
        <w:fldChar w:fldCharType="separate"/>
      </w:r>
      <w:r>
        <w:rPr>
          <w:rStyle w:val="12"/>
          <w:rFonts w:ascii="Arial" w:hAnsi="Arial" w:cs="Arial"/>
          <w:szCs w:val="24"/>
        </w:rPr>
        <w:t>Table 4: Marriott’s Efficiency Ratios, 2021–2025</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_Toc237529860 \h </w:instrText>
      </w:r>
      <w:r>
        <w:rPr>
          <w:rFonts w:ascii="Arial" w:hAnsi="Arial" w:cs="Arial"/>
          <w:szCs w:val="24"/>
        </w:rPr>
        <w:fldChar w:fldCharType="separate"/>
      </w:r>
      <w:r>
        <w:rPr>
          <w:rFonts w:ascii="Arial" w:hAnsi="Arial" w:cs="Arial"/>
          <w:szCs w:val="24"/>
        </w:rPr>
        <w:t>9</w:t>
      </w:r>
      <w:r>
        <w:rPr>
          <w:rFonts w:ascii="Arial" w:hAnsi="Arial" w:cs="Arial"/>
          <w:szCs w:val="24"/>
        </w:rPr>
        <w:fldChar w:fldCharType="end"/>
      </w:r>
      <w:r>
        <w:rPr>
          <w:rFonts w:ascii="Arial" w:hAnsi="Arial" w:cs="Arial"/>
          <w:szCs w:val="24"/>
        </w:rPr>
        <w:fldChar w:fldCharType="end"/>
      </w:r>
    </w:p>
    <w:p w14:paraId="5F9D8307">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"_Toc237529861" </w:instrText>
      </w:r>
      <w:r>
        <w:fldChar w:fldCharType="separate"/>
      </w:r>
      <w:r>
        <w:rPr>
          <w:rStyle w:val="12"/>
          <w:rFonts w:ascii="Arial" w:hAnsi="Arial" w:cs="Arial"/>
          <w:szCs w:val="24"/>
        </w:rPr>
        <w:t>Table 5: Marriott’s Gearing and Financial Risk, 2021–2025</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_Toc237529861 \h </w:instrText>
      </w:r>
      <w:r>
        <w:rPr>
          <w:rFonts w:ascii="Arial" w:hAnsi="Arial" w:cs="Arial"/>
          <w:szCs w:val="24"/>
        </w:rPr>
        <w:fldChar w:fldCharType="separate"/>
      </w:r>
      <w:r>
        <w:rPr>
          <w:rFonts w:ascii="Arial" w:hAnsi="Arial" w:cs="Arial"/>
          <w:szCs w:val="24"/>
        </w:rPr>
        <w:t>9</w:t>
      </w:r>
      <w:r>
        <w:rPr>
          <w:rFonts w:ascii="Arial" w:hAnsi="Arial" w:cs="Arial"/>
          <w:szCs w:val="24"/>
        </w:rPr>
        <w:fldChar w:fldCharType="end"/>
      </w:r>
      <w:r>
        <w:rPr>
          <w:rFonts w:ascii="Arial" w:hAnsi="Arial" w:cs="Arial"/>
          <w:szCs w:val="24"/>
        </w:rPr>
        <w:fldChar w:fldCharType="end"/>
      </w:r>
    </w:p>
    <w:p w14:paraId="38B8870C">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"_Toc237529862" </w:instrText>
      </w:r>
      <w:r>
        <w:fldChar w:fldCharType="separate"/>
      </w:r>
      <w:r>
        <w:rPr>
          <w:rStyle w:val="12"/>
          <w:rFonts w:ascii="Arial" w:hAnsi="Arial" w:cs="Arial"/>
          <w:szCs w:val="24"/>
        </w:rPr>
        <w:t>Table 6: Marriott’s Investment and Cash-Flow Performance, 2021–2025</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_Toc237529862 \h </w:instrText>
      </w:r>
      <w:r>
        <w:rPr>
          <w:rFonts w:ascii="Arial" w:hAnsi="Arial" w:cs="Arial"/>
          <w:szCs w:val="24"/>
        </w:rPr>
        <w:fldChar w:fldCharType="separate"/>
      </w:r>
      <w:r>
        <w:rPr>
          <w:rFonts w:ascii="Arial" w:hAnsi="Arial" w:cs="Arial"/>
          <w:szCs w:val="24"/>
        </w:rPr>
        <w:t>10</w:t>
      </w:r>
      <w:r>
        <w:rPr>
          <w:rFonts w:ascii="Arial" w:hAnsi="Arial" w:cs="Arial"/>
          <w:szCs w:val="24"/>
        </w:rPr>
        <w:fldChar w:fldCharType="end"/>
      </w:r>
      <w:r>
        <w:rPr>
          <w:rFonts w:ascii="Arial" w:hAnsi="Arial" w:cs="Arial"/>
          <w:szCs w:val="24"/>
        </w:rPr>
        <w:fldChar w:fldCharType="end"/>
      </w:r>
    </w:p>
    <w:p w14:paraId="1A21B998">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"_Toc237529863" </w:instrText>
      </w:r>
      <w:r>
        <w:fldChar w:fldCharType="separate"/>
      </w:r>
      <w:r>
        <w:rPr>
          <w:rStyle w:val="12"/>
          <w:rFonts w:ascii="Arial" w:hAnsi="Arial" w:cs="Arial"/>
          <w:szCs w:val="24"/>
        </w:rPr>
        <w:t>Table 7: Cash Operating Cycles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_Toc237529863 \h </w:instrText>
      </w:r>
      <w:r>
        <w:rPr>
          <w:rFonts w:ascii="Arial" w:hAnsi="Arial" w:cs="Arial"/>
          <w:szCs w:val="24"/>
        </w:rPr>
        <w:fldChar w:fldCharType="separate"/>
      </w:r>
      <w:r>
        <w:rPr>
          <w:rFonts w:ascii="Arial" w:hAnsi="Arial" w:cs="Arial"/>
          <w:szCs w:val="24"/>
        </w:rPr>
        <w:t>12</w:t>
      </w:r>
      <w:r>
        <w:rPr>
          <w:rFonts w:ascii="Arial" w:hAnsi="Arial" w:cs="Arial"/>
          <w:szCs w:val="24"/>
        </w:rPr>
        <w:fldChar w:fldCharType="end"/>
      </w:r>
      <w:r>
        <w:rPr>
          <w:rFonts w:ascii="Arial" w:hAnsi="Arial" w:cs="Arial"/>
          <w:szCs w:val="24"/>
        </w:rPr>
        <w:fldChar w:fldCharType="end"/>
      </w:r>
    </w:p>
    <w:p w14:paraId="1AD9B4B8">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"_Toc237529864" </w:instrText>
      </w:r>
      <w:r>
        <w:fldChar w:fldCharType="separate"/>
      </w:r>
      <w:r>
        <w:rPr>
          <w:rStyle w:val="12"/>
          <w:rFonts w:ascii="Arial" w:hAnsi="Arial" w:cs="Arial"/>
          <w:szCs w:val="24"/>
        </w:rPr>
        <w:t>Table 9: Marriott Liquidity and Cash Position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_Toc237529864 \h </w:instrText>
      </w:r>
      <w:r>
        <w:rPr>
          <w:rFonts w:ascii="Arial" w:hAnsi="Arial" w:cs="Arial"/>
          <w:szCs w:val="24"/>
        </w:rPr>
        <w:fldChar w:fldCharType="separate"/>
      </w:r>
      <w:r>
        <w:rPr>
          <w:rFonts w:ascii="Arial" w:hAnsi="Arial" w:cs="Arial"/>
          <w:szCs w:val="24"/>
        </w:rPr>
        <w:t>13</w:t>
      </w:r>
      <w:r>
        <w:rPr>
          <w:rFonts w:ascii="Arial" w:hAnsi="Arial" w:cs="Arial"/>
          <w:szCs w:val="24"/>
        </w:rPr>
        <w:fldChar w:fldCharType="end"/>
      </w:r>
      <w:r>
        <w:rPr>
          <w:rFonts w:ascii="Arial" w:hAnsi="Arial" w:cs="Arial"/>
          <w:szCs w:val="24"/>
        </w:rPr>
        <w:fldChar w:fldCharType="end"/>
      </w:r>
    </w:p>
    <w:p w14:paraId="2CF6A8AC">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"_Toc237529865" </w:instrText>
      </w:r>
      <w:r>
        <w:fldChar w:fldCharType="separate"/>
      </w:r>
      <w:r>
        <w:rPr>
          <w:rStyle w:val="12"/>
          <w:rFonts w:ascii="Arial" w:hAnsi="Arial" w:cs="Arial"/>
          <w:szCs w:val="24"/>
        </w:rPr>
        <w:t>Table 9: Investment Project Cash Flows</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_Toc237529865 \h </w:instrText>
      </w:r>
      <w:r>
        <w:rPr>
          <w:rFonts w:ascii="Arial" w:hAnsi="Arial" w:cs="Arial"/>
          <w:szCs w:val="24"/>
        </w:rPr>
        <w:fldChar w:fldCharType="separate"/>
      </w:r>
      <w:r>
        <w:rPr>
          <w:rFonts w:ascii="Arial" w:hAnsi="Arial" w:cs="Arial"/>
          <w:szCs w:val="24"/>
        </w:rPr>
        <w:t>17</w:t>
      </w:r>
      <w:r>
        <w:rPr>
          <w:rFonts w:ascii="Arial" w:hAnsi="Arial" w:cs="Arial"/>
          <w:szCs w:val="24"/>
        </w:rPr>
        <w:fldChar w:fldCharType="end"/>
      </w:r>
      <w:r>
        <w:rPr>
          <w:rFonts w:ascii="Arial" w:hAnsi="Arial" w:cs="Arial"/>
          <w:szCs w:val="24"/>
        </w:rPr>
        <w:fldChar w:fldCharType="end"/>
      </w:r>
    </w:p>
    <w:p w14:paraId="0DB1A04F">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"_Toc237529866" </w:instrText>
      </w:r>
      <w:r>
        <w:fldChar w:fldCharType="separate"/>
      </w:r>
      <w:r>
        <w:rPr>
          <w:rStyle w:val="12"/>
          <w:rFonts w:ascii="Arial" w:hAnsi="Arial" w:cs="Arial"/>
          <w:szCs w:val="24"/>
        </w:rPr>
        <w:t>Table 10: Payback Period Calculation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_Toc237529866 \h </w:instrText>
      </w:r>
      <w:r>
        <w:rPr>
          <w:rFonts w:ascii="Arial" w:hAnsi="Arial" w:cs="Arial"/>
          <w:szCs w:val="24"/>
        </w:rPr>
        <w:fldChar w:fldCharType="separate"/>
      </w:r>
      <w:r>
        <w:rPr>
          <w:rFonts w:ascii="Arial" w:hAnsi="Arial" w:cs="Arial"/>
          <w:szCs w:val="24"/>
        </w:rPr>
        <w:t>18</w:t>
      </w:r>
      <w:r>
        <w:rPr>
          <w:rFonts w:ascii="Arial" w:hAnsi="Arial" w:cs="Arial"/>
          <w:szCs w:val="24"/>
        </w:rPr>
        <w:fldChar w:fldCharType="end"/>
      </w:r>
      <w:r>
        <w:rPr>
          <w:rFonts w:ascii="Arial" w:hAnsi="Arial" w:cs="Arial"/>
          <w:szCs w:val="24"/>
        </w:rPr>
        <w:fldChar w:fldCharType="end"/>
      </w:r>
    </w:p>
    <w:p w14:paraId="725FB7A9">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"_Toc237529867" </w:instrText>
      </w:r>
      <w:r>
        <w:fldChar w:fldCharType="separate"/>
      </w:r>
      <w:r>
        <w:rPr>
          <w:rStyle w:val="12"/>
          <w:rFonts w:ascii="Arial" w:hAnsi="Arial" w:cs="Arial"/>
          <w:szCs w:val="24"/>
        </w:rPr>
        <w:t>Table 11: NPV Comparison at 8%</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_Toc237529867 \h </w:instrText>
      </w:r>
      <w:r>
        <w:rPr>
          <w:rFonts w:ascii="Arial" w:hAnsi="Arial" w:cs="Arial"/>
          <w:szCs w:val="24"/>
        </w:rPr>
        <w:fldChar w:fldCharType="separate"/>
      </w:r>
      <w:r>
        <w:rPr>
          <w:rFonts w:ascii="Arial" w:hAnsi="Arial" w:cs="Arial"/>
          <w:szCs w:val="24"/>
        </w:rPr>
        <w:t>19</w:t>
      </w:r>
      <w:r>
        <w:rPr>
          <w:rFonts w:ascii="Arial" w:hAnsi="Arial" w:cs="Arial"/>
          <w:szCs w:val="24"/>
        </w:rPr>
        <w:fldChar w:fldCharType="end"/>
      </w:r>
      <w:r>
        <w:rPr>
          <w:rFonts w:ascii="Arial" w:hAnsi="Arial" w:cs="Arial"/>
          <w:szCs w:val="24"/>
        </w:rPr>
        <w:fldChar w:fldCharType="end"/>
      </w:r>
    </w:p>
    <w:p w14:paraId="5D15BABD">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"_Toc237529868" </w:instrText>
      </w:r>
      <w:r>
        <w:fldChar w:fldCharType="separate"/>
      </w:r>
      <w:r>
        <w:rPr>
          <w:rStyle w:val="12"/>
          <w:rFonts w:ascii="Arial" w:hAnsi="Arial" w:cs="Arial"/>
          <w:szCs w:val="24"/>
        </w:rPr>
        <w:t>Table 12: Profitability Index Comparison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_Toc237529868 \h </w:instrText>
      </w:r>
      <w:r>
        <w:rPr>
          <w:rFonts w:ascii="Arial" w:hAnsi="Arial" w:cs="Arial"/>
          <w:szCs w:val="24"/>
        </w:rPr>
        <w:fldChar w:fldCharType="separate"/>
      </w:r>
      <w:r>
        <w:rPr>
          <w:rFonts w:ascii="Arial" w:hAnsi="Arial" w:cs="Arial"/>
          <w:szCs w:val="24"/>
        </w:rPr>
        <w:t>20</w:t>
      </w:r>
      <w:r>
        <w:rPr>
          <w:rFonts w:ascii="Arial" w:hAnsi="Arial" w:cs="Arial"/>
          <w:szCs w:val="24"/>
        </w:rPr>
        <w:fldChar w:fldCharType="end"/>
      </w:r>
      <w:r>
        <w:rPr>
          <w:rFonts w:ascii="Arial" w:hAnsi="Arial" w:cs="Arial"/>
          <w:szCs w:val="24"/>
        </w:rPr>
        <w:fldChar w:fldCharType="end"/>
      </w:r>
    </w:p>
    <w:p w14:paraId="25A9D787">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"_Toc237529869" </w:instrText>
      </w:r>
      <w:r>
        <w:fldChar w:fldCharType="separate"/>
      </w:r>
      <w:r>
        <w:rPr>
          <w:rStyle w:val="12"/>
          <w:rFonts w:ascii="Arial" w:hAnsi="Arial" w:cs="Arial"/>
          <w:szCs w:val="24"/>
        </w:rPr>
        <w:t>Table 13: Internal Rate of Return</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_Toc237529869 \h </w:instrText>
      </w:r>
      <w:r>
        <w:rPr>
          <w:rFonts w:ascii="Arial" w:hAnsi="Arial" w:cs="Arial"/>
          <w:szCs w:val="24"/>
        </w:rPr>
        <w:fldChar w:fldCharType="separate"/>
      </w:r>
      <w:r>
        <w:rPr>
          <w:rFonts w:ascii="Arial" w:hAnsi="Arial" w:cs="Arial"/>
          <w:szCs w:val="24"/>
        </w:rPr>
        <w:t>20</w:t>
      </w:r>
      <w:r>
        <w:rPr>
          <w:rFonts w:ascii="Arial" w:hAnsi="Arial" w:cs="Arial"/>
          <w:szCs w:val="24"/>
        </w:rPr>
        <w:fldChar w:fldCharType="end"/>
      </w:r>
      <w:r>
        <w:rPr>
          <w:rFonts w:ascii="Arial" w:hAnsi="Arial" w:cs="Arial"/>
          <w:szCs w:val="24"/>
        </w:rPr>
        <w:fldChar w:fldCharType="end"/>
      </w:r>
    </w:p>
    <w:p w14:paraId="7FBE1AF9">
      <w:pPr>
        <w:pStyle w:val="16"/>
        <w:tabs>
          <w:tab w:val="right" w:leader="dot" w:pos="9016"/>
        </w:tabs>
        <w:spacing w:before="240"/>
        <w:rPr>
          <w:rFonts w:ascii="Arial" w:hAnsi="Arial" w:cs="Arial" w:eastAsiaTheme="minorEastAsia"/>
          <w:szCs w:val="24"/>
          <w:lang w:eastAsia="en-GB"/>
        </w:rPr>
      </w:pPr>
      <w:r>
        <w:fldChar w:fldCharType="begin"/>
      </w:r>
      <w:r>
        <w:instrText xml:space="preserve"> HYPERLINK \l "_Toc237529870" </w:instrText>
      </w:r>
      <w:r>
        <w:fldChar w:fldCharType="separate"/>
      </w:r>
      <w:r>
        <w:rPr>
          <w:rStyle w:val="12"/>
          <w:rFonts w:ascii="Arial" w:hAnsi="Arial" w:cs="Arial"/>
          <w:szCs w:val="24"/>
        </w:rPr>
        <w:t>Table 14: Capital Rationing</w:t>
      </w:r>
      <w:r>
        <w:rPr>
          <w:rFonts w:ascii="Arial" w:hAnsi="Arial" w:cs="Arial"/>
          <w:szCs w:val="24"/>
        </w:rPr>
        <w:tab/>
      </w:r>
      <w:r>
        <w:rPr>
          <w:rFonts w:ascii="Arial" w:hAnsi="Arial" w:cs="Arial"/>
          <w:szCs w:val="24"/>
        </w:rPr>
        <w:fldChar w:fldCharType="begin"/>
      </w:r>
      <w:r>
        <w:rPr>
          <w:rFonts w:ascii="Arial" w:hAnsi="Arial" w:cs="Arial"/>
          <w:szCs w:val="24"/>
        </w:rPr>
        <w:instrText xml:space="preserve"> PAGEREF _Toc237529870 \h </w:instrText>
      </w:r>
      <w:r>
        <w:rPr>
          <w:rFonts w:ascii="Arial" w:hAnsi="Arial" w:cs="Arial"/>
          <w:szCs w:val="24"/>
        </w:rPr>
        <w:fldChar w:fldCharType="separate"/>
      </w:r>
      <w:r>
        <w:rPr>
          <w:rFonts w:ascii="Arial" w:hAnsi="Arial" w:cs="Arial"/>
          <w:szCs w:val="24"/>
        </w:rPr>
        <w:t>22</w:t>
      </w:r>
      <w:r>
        <w:rPr>
          <w:rFonts w:ascii="Arial" w:hAnsi="Arial" w:cs="Arial"/>
          <w:szCs w:val="24"/>
        </w:rPr>
        <w:fldChar w:fldCharType="end"/>
      </w:r>
      <w:r>
        <w:rPr>
          <w:rFonts w:ascii="Arial" w:hAnsi="Arial" w:cs="Arial"/>
          <w:szCs w:val="24"/>
        </w:rPr>
        <w:fldChar w:fldCharType="end"/>
      </w:r>
    </w:p>
    <w:p w14:paraId="3B1DC6DB">
      <w:pPr>
        <w:spacing w:before="240" w:after="120"/>
        <w:rPr>
          <w:rFonts w:ascii="Arial" w:hAnsi="Arial" w:cs="Arial"/>
          <w:szCs w:val="24"/>
        </w:rPr>
      </w:pPr>
      <w:r>
        <w:rPr>
          <w:rFonts w:ascii="Arial" w:hAnsi="Arial" w:cs="Arial"/>
          <w:szCs w:val="24"/>
        </w:rPr>
        <w:fldChar w:fldCharType="end"/>
      </w:r>
      <w:r>
        <w:rPr>
          <w:rFonts w:ascii="Arial" w:hAnsi="Arial" w:cs="Arial"/>
          <w:szCs w:val="24"/>
        </w:rPr>
        <w:br w:type="page"/>
      </w:r>
    </w:p>
    <w:p w14:paraId="006297E7">
      <w:pPr>
        <w:pStyle w:val="2"/>
        <w:rPr>
          <w:rFonts w:ascii="Arial" w:hAnsi="Arial" w:cs="Arial"/>
          <w:sz w:val="24"/>
          <w:szCs w:val="24"/>
          <w:lang w:val="en-GB"/>
        </w:rPr>
      </w:pPr>
      <w:bookmarkStart w:id="0" w:name="_Toc237530051"/>
      <w:r>
        <w:rPr>
          <w:rFonts w:ascii="Arial" w:hAnsi="Arial" w:cs="Arial"/>
          <w:sz w:val="24"/>
          <w:szCs w:val="24"/>
          <w:lang w:val="en-GB"/>
        </w:rPr>
        <w:t>1. Introduction</w:t>
      </w:r>
      <w:bookmarkEnd w:id="0"/>
    </w:p>
    <w:p w14:paraId="616A3250">
      <w:pPr>
        <w:pStyle w:val="3"/>
        <w:rPr>
          <w:rFonts w:ascii="Arial" w:hAnsi="Arial" w:cs="Arial"/>
          <w:szCs w:val="24"/>
        </w:rPr>
      </w:pPr>
      <w:bookmarkStart w:id="1" w:name="_Toc237530052"/>
      <w:r>
        <w:rPr>
          <w:rFonts w:ascii="Arial" w:hAnsi="Arial" w:cs="Arial"/>
          <w:szCs w:val="24"/>
        </w:rPr>
        <w:t>1.1 Background of the Company</w:t>
      </w:r>
      <w:bookmarkEnd w:id="1"/>
    </w:p>
    <w:p w14:paraId="42190626">
      <w:pPr>
        <w:rPr>
          <w:rFonts w:ascii="Arial" w:hAnsi="Arial" w:cs="Arial"/>
          <w:szCs w:val="24"/>
        </w:rPr>
      </w:pPr>
      <w:r>
        <w:rPr>
          <w:rFonts w:ascii="Arial" w:hAnsi="Arial" w:cs="Arial"/>
          <w:szCs w:val="24"/>
        </w:rPr>
        <w:t>Marriott International, Inc. is a world leader in hospitality, and a company with a wide-ranging portfolio of hotel and resort and lodging brands in international markets. An asset light business model that allows it to generate significant fees from management fees and/or franchise fees is available in franchised, managed and owned (FMO) and/or leased properties. Given the company's global footprint, the risks and opportunities that Marriott faces are varied, including economic, currency, regulatory and geopolitical risks. As such, financial management is essential to ensure liquidity, debt control, and investment to sustain and value creation to shield (Marriott International, Inc, 2026). This report provides a five years performance analysis for Marriott along with recommendations on working capital management, financial restructuring, investment appraisal and financial sustainability of the company.</w:t>
      </w:r>
    </w:p>
    <w:p w14:paraId="550DB4EC">
      <w:pPr>
        <w:pStyle w:val="3"/>
        <w:rPr>
          <w:rFonts w:ascii="Arial" w:hAnsi="Arial" w:cs="Arial"/>
          <w:szCs w:val="24"/>
        </w:rPr>
      </w:pPr>
      <w:bookmarkStart w:id="2" w:name="_Toc237530053"/>
      <w:r>
        <w:rPr>
          <w:rFonts w:ascii="Arial" w:hAnsi="Arial" w:cs="Arial"/>
          <w:szCs w:val="24"/>
        </w:rPr>
        <w:t>1.2 Purpose of the Report</w:t>
      </w:r>
      <w:bookmarkEnd w:id="2"/>
    </w:p>
    <w:p w14:paraId="09E2A8C4">
      <w:pPr>
        <w:rPr>
          <w:rFonts w:ascii="Arial" w:hAnsi="Arial" w:cs="Arial"/>
          <w:szCs w:val="24"/>
        </w:rPr>
      </w:pPr>
      <w:r>
        <w:rPr>
          <w:rFonts w:ascii="Arial" w:hAnsi="Arial" w:cs="Arial"/>
          <w:szCs w:val="24"/>
        </w:rPr>
        <w:t>This report compares Marriott International, Inc.’s financial standing in the financial statements and ratio analysis over the last 5 years as it is the Chief Financial Officer (CFO) of Marriott. It discusses the profitability, liquidity, efficiency, gearing and investment performance and cash generation and concludes with an analysis of sources of key financial problems being encountered by the group. The report then covers Marriott International, Inc.’s working-capital problem, the financing requirements and suggests appropriate solutions for financial restructuring. Then, three possible investments are assessed using Payback Period, ARR, NPV, PI and IRR and finally a capital-rationing decision is made under an investment budget of £100,000. The analysis guides and informs evidence-based decisions to Marriott International, Inc.’s Board.</w:t>
      </w:r>
    </w:p>
    <w:p w14:paraId="57711150">
      <w:pPr>
        <w:pStyle w:val="2"/>
        <w:rPr>
          <w:rFonts w:ascii="Arial" w:hAnsi="Arial" w:cs="Arial"/>
          <w:sz w:val="24"/>
          <w:szCs w:val="24"/>
          <w:lang w:val="en-GB"/>
        </w:rPr>
      </w:pPr>
      <w:bookmarkStart w:id="3" w:name="_Toc237530054"/>
      <w:r>
        <w:rPr>
          <w:rFonts w:ascii="Arial" w:hAnsi="Arial" w:cs="Arial"/>
          <w:sz w:val="24"/>
          <w:szCs w:val="24"/>
          <w:lang w:val="en-GB"/>
        </w:rPr>
        <w:t>2. Financial Health Check</w:t>
      </w:r>
      <w:bookmarkEnd w:id="3"/>
      <w:r>
        <w:rPr>
          <w:rFonts w:ascii="Arial" w:hAnsi="Arial" w:cs="Arial"/>
          <w:sz w:val="24"/>
          <w:szCs w:val="24"/>
          <w:lang w:val="en-GB"/>
        </w:rPr>
        <w:t xml:space="preserve"> </w:t>
      </w:r>
    </w:p>
    <w:p w14:paraId="27B2070D">
      <w:pPr>
        <w:pStyle w:val="3"/>
        <w:rPr>
          <w:rFonts w:ascii="Arial" w:hAnsi="Arial" w:cs="Arial"/>
          <w:szCs w:val="24"/>
        </w:rPr>
      </w:pPr>
      <w:bookmarkStart w:id="4" w:name="_Toc237530055"/>
      <w:r>
        <w:rPr>
          <w:rFonts w:ascii="Arial" w:hAnsi="Arial" w:cs="Arial"/>
          <w:szCs w:val="24"/>
        </w:rPr>
        <w:t>2.1 Five-Year Financial Performance Overview</w:t>
      </w:r>
      <w:bookmarkEnd w:id="4"/>
    </w:p>
    <w:p w14:paraId="73C54128">
      <w:pPr>
        <w:rPr>
          <w:rFonts w:ascii="Arial" w:hAnsi="Arial" w:cs="Arial"/>
          <w:szCs w:val="24"/>
        </w:rPr>
      </w:pPr>
      <w:r>
        <w:rPr>
          <w:rFonts w:ascii="Arial" w:hAnsi="Arial" w:cs="Arial"/>
          <w:szCs w:val="24"/>
        </w:rPr>
        <w:t>The hotel group Marriott International has noted significant recovery and growth in financial standing in 2021-2025. The revenue has jumped from about $13.86 billion in 2021 to $26.19 billion during 2025, with an increase in operating income, from $1.75 billion to $4.14 billion. Net income also increased, increasing from $1.10 billion to $2.60 billion. The company's cash flow from operations generating power is getting better from the range of $1.18 billion to $3.21 billion, thus giving the company an enhanced ability to generate internal cash. In contrast, total debt surged to approximately US$ 16.20 billion in 2025 with the net value of stockholders becoming negative. As a result, it is important to have proper financial management, and capital allocation process must be disciplined for Marriott's increasing leverage and the stress that may be incurred in the balance sheet, high profitability and cash generation policies (Marriott International, Inc., 2026).</w:t>
      </w:r>
    </w:p>
    <w:p w14:paraId="716187A6">
      <w:pPr>
        <w:spacing w:after="0"/>
        <w:jc w:val="center"/>
        <w:rPr>
          <w:rFonts w:ascii="Arial" w:hAnsi="Arial" w:cs="Arial"/>
          <w:szCs w:val="24"/>
        </w:rPr>
      </w:pPr>
      <w:r>
        <w:rPr>
          <w:rFonts w:ascii="Arial" w:hAnsi="Arial" w:cs="Arial"/>
          <w:szCs w:val="24"/>
        </w:rPr>
        <w:drawing>
          <wp:inline distT="0" distB="0" distL="0" distR="0">
            <wp:extent cx="5731510" cy="24371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2437135"/>
                    </a:xfrm>
                    <a:prstGeom prst="rect">
                      <a:avLst/>
                    </a:prstGeom>
                    <a:noFill/>
                    <a:ln>
                      <a:noFill/>
                    </a:ln>
                  </pic:spPr>
                </pic:pic>
              </a:graphicData>
            </a:graphic>
          </wp:inline>
        </w:drawing>
      </w:r>
    </w:p>
    <w:p w14:paraId="459DEFB4">
      <w:pPr>
        <w:pStyle w:val="6"/>
        <w:rPr>
          <w:rFonts w:ascii="Arial" w:hAnsi="Arial" w:cs="Arial"/>
          <w:color w:val="auto"/>
          <w:lang w:val="en-GB"/>
        </w:rPr>
      </w:pPr>
      <w:bookmarkStart w:id="5" w:name="_Toc237529857"/>
      <w:r>
        <w:rPr>
          <w:rFonts w:ascii="Arial" w:hAnsi="Arial" w:cs="Arial"/>
          <w:color w:val="auto"/>
          <w:lang w:val="en-GB"/>
        </w:rPr>
        <w:t xml:space="preserve">Table 1: </w:t>
      </w:r>
      <w:r>
        <w:rPr>
          <w:rFonts w:ascii="Arial" w:hAnsi="Arial" w:cs="Arial"/>
          <w:lang w:val="en-GB"/>
        </w:rPr>
        <w:t>Marriott’s</w:t>
      </w:r>
      <w:r>
        <w:rPr>
          <w:rFonts w:ascii="Arial" w:hAnsi="Arial" w:cs="Arial"/>
          <w:color w:val="auto"/>
          <w:lang w:val="en-GB"/>
        </w:rPr>
        <w:t xml:space="preserve"> Year Financial Performance, 2021–2025</w:t>
      </w:r>
      <w:bookmarkEnd w:id="5"/>
    </w:p>
    <w:p w14:paraId="5701A4BB">
      <w:pPr>
        <w:jc w:val="center"/>
        <w:rPr>
          <w:rFonts w:ascii="Arial" w:hAnsi="Arial" w:cs="Arial"/>
          <w:szCs w:val="24"/>
        </w:rPr>
      </w:pPr>
      <w:r>
        <w:rPr>
          <w:rFonts w:ascii="Arial" w:hAnsi="Arial" w:cs="Arial"/>
          <w:szCs w:val="24"/>
        </w:rPr>
        <w:t xml:space="preserve">(Source: Compiled from Annual Reports and Financial Statements, 2021–2025)  </w:t>
      </w:r>
    </w:p>
    <w:p w14:paraId="751979B0">
      <w:pPr>
        <w:pStyle w:val="3"/>
        <w:rPr>
          <w:rFonts w:ascii="Arial" w:hAnsi="Arial" w:cs="Arial"/>
          <w:szCs w:val="24"/>
        </w:rPr>
      </w:pPr>
      <w:bookmarkStart w:id="6" w:name="_Toc237530056"/>
      <w:r>
        <w:rPr>
          <w:rFonts w:ascii="Arial" w:hAnsi="Arial" w:cs="Arial"/>
          <w:szCs w:val="24"/>
        </w:rPr>
        <w:t>2.2 Profitability Analysis</w:t>
      </w:r>
      <w:bookmarkEnd w:id="6"/>
    </w:p>
    <w:p w14:paraId="6D5E5A62">
      <w:pPr>
        <w:spacing w:after="0"/>
        <w:rPr>
          <w:rFonts w:ascii="Arial" w:hAnsi="Arial" w:cs="Arial"/>
          <w:szCs w:val="24"/>
        </w:rPr>
      </w:pPr>
      <w:r>
        <w:rPr>
          <w:rFonts w:ascii="Arial" w:hAnsi="Arial" w:cs="Arial"/>
          <w:szCs w:val="24"/>
        </w:rPr>
        <w:drawing>
          <wp:inline distT="0" distB="0" distL="0" distR="0">
            <wp:extent cx="5731510" cy="132905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1510" cy="1329275"/>
                    </a:xfrm>
                    <a:prstGeom prst="rect">
                      <a:avLst/>
                    </a:prstGeom>
                    <a:noFill/>
                    <a:ln>
                      <a:noFill/>
                    </a:ln>
                  </pic:spPr>
                </pic:pic>
              </a:graphicData>
            </a:graphic>
          </wp:inline>
        </w:drawing>
      </w:r>
    </w:p>
    <w:p w14:paraId="57BE4EC5">
      <w:pPr>
        <w:pStyle w:val="6"/>
        <w:rPr>
          <w:rFonts w:ascii="Arial" w:hAnsi="Arial" w:cs="Arial"/>
          <w:color w:val="auto"/>
          <w:lang w:val="en-GB"/>
        </w:rPr>
      </w:pPr>
      <w:bookmarkStart w:id="7" w:name="_Toc237529858"/>
      <w:r>
        <w:rPr>
          <w:rFonts w:ascii="Arial" w:hAnsi="Arial" w:cs="Arial"/>
          <w:color w:val="auto"/>
          <w:lang w:val="en-GB"/>
        </w:rPr>
        <w:t xml:space="preserve">Table 2: </w:t>
      </w:r>
      <w:r>
        <w:rPr>
          <w:rFonts w:ascii="Arial" w:hAnsi="Arial" w:cs="Arial"/>
          <w:lang w:val="en-GB"/>
        </w:rPr>
        <w:t>Marriott’s</w:t>
      </w:r>
      <w:r>
        <w:rPr>
          <w:rFonts w:ascii="Arial" w:hAnsi="Arial" w:cs="Arial"/>
          <w:color w:val="auto"/>
          <w:lang w:val="en-GB"/>
        </w:rPr>
        <w:t xml:space="preserve"> Profitability Performance, 2021–2025</w:t>
      </w:r>
      <w:bookmarkEnd w:id="7"/>
    </w:p>
    <w:p w14:paraId="3AE0CE6F">
      <w:pPr>
        <w:jc w:val="center"/>
        <w:rPr>
          <w:rFonts w:ascii="Arial" w:hAnsi="Arial" w:cs="Arial"/>
          <w:szCs w:val="24"/>
        </w:rPr>
      </w:pPr>
      <w:r>
        <w:rPr>
          <w:rFonts w:ascii="Arial" w:hAnsi="Arial" w:cs="Arial"/>
          <w:szCs w:val="24"/>
        </w:rPr>
        <w:t>(Source: Developed by Learner)</w:t>
      </w:r>
    </w:p>
    <w:p w14:paraId="5D5C3D42">
      <w:pPr>
        <w:spacing w:after="0"/>
        <w:rPr>
          <w:rFonts w:ascii="Arial" w:hAnsi="Arial" w:cs="Arial"/>
          <w:szCs w:val="24"/>
        </w:rPr>
      </w:pPr>
      <w:r>
        <w:rPr>
          <w:rFonts w:ascii="Arial" w:hAnsi="Arial" w:cs="Arial"/>
          <w:szCs w:val="24"/>
        </w:rPr>
        <w:t>While not always year-by-year, the profitability of Marriott increased during the Overall for the years 2021 – 2025. This resulted in the operating margin going up from c. 12.63% in 2021 to c. 15.82% in 2025, and the pandemic's impact was beneficial on both the operating income and the ability to generate revenue. Net profit margin increased from 7.93% to 9.93%, although it declined from 13.00% in 2023 to 9.46% in 2024 before recovering. ROA also increased from 4.30% to 9.45% due to more efficiency that translates assets to earnings. Marriott does not publish a typical gross-profit subtotal so the gross-profit margin cannot be calculated. An ROE value for 2023 and beyond does not make sense due to negative stockholders' equity. At the first level, it can even be said that the profitability is quite high, but the old fashioned term "return to the shareholders" remains. Each of the ratios would provide partial picture of the company's performance and hence set of ratios needs to be analysed together (Acharya and Rajan, 2023). This requires management to influence the operating margin and financing costs, the level of leverage as well as dividend distribution as they did at Marriott International, Inc. (2026).</w:t>
      </w:r>
    </w:p>
    <w:p w14:paraId="36A6EB03">
      <w:pPr>
        <w:pStyle w:val="3"/>
        <w:rPr>
          <w:rFonts w:ascii="Arial" w:hAnsi="Arial" w:cs="Arial"/>
          <w:szCs w:val="24"/>
        </w:rPr>
      </w:pPr>
      <w:bookmarkStart w:id="8" w:name="_Toc237530057"/>
      <w:r>
        <w:rPr>
          <w:rFonts w:ascii="Arial" w:hAnsi="Arial" w:cs="Arial"/>
          <w:szCs w:val="24"/>
        </w:rPr>
        <w:t>2.3 Liquidity Analysis and Industry Benchmark</w:t>
      </w:r>
      <w:bookmarkEnd w:id="8"/>
    </w:p>
    <w:p w14:paraId="3C92AA5B">
      <w:pPr>
        <w:spacing w:after="0"/>
        <w:rPr>
          <w:rFonts w:ascii="Arial" w:hAnsi="Arial" w:cs="Arial"/>
          <w:szCs w:val="24"/>
        </w:rPr>
      </w:pPr>
      <w:r>
        <w:rPr>
          <w:rFonts w:ascii="Arial" w:hAnsi="Arial" w:cs="Arial"/>
          <w:szCs w:val="24"/>
        </w:rPr>
        <w:drawing>
          <wp:inline distT="0" distB="0" distL="0" distR="0">
            <wp:extent cx="5731510" cy="1329055"/>
            <wp:effectExtent l="0" t="0" r="254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731510" cy="1329275"/>
                    </a:xfrm>
                    <a:prstGeom prst="rect">
                      <a:avLst/>
                    </a:prstGeom>
                    <a:noFill/>
                    <a:ln>
                      <a:noFill/>
                    </a:ln>
                  </pic:spPr>
                </pic:pic>
              </a:graphicData>
            </a:graphic>
          </wp:inline>
        </w:drawing>
      </w:r>
    </w:p>
    <w:p w14:paraId="619E3DD9">
      <w:pPr>
        <w:pStyle w:val="6"/>
        <w:rPr>
          <w:rFonts w:ascii="Arial" w:hAnsi="Arial" w:cs="Arial"/>
          <w:color w:val="auto"/>
          <w:lang w:val="en-GB"/>
        </w:rPr>
      </w:pPr>
      <w:bookmarkStart w:id="9" w:name="_Toc237529859"/>
      <w:r>
        <w:rPr>
          <w:rFonts w:ascii="Arial" w:hAnsi="Arial" w:cs="Arial"/>
          <w:color w:val="auto"/>
          <w:lang w:val="en-GB"/>
        </w:rPr>
        <w:t xml:space="preserve">Table 3: </w:t>
      </w:r>
      <w:r>
        <w:rPr>
          <w:rFonts w:ascii="Arial" w:hAnsi="Arial" w:cs="Arial"/>
          <w:lang w:val="en-GB"/>
        </w:rPr>
        <w:t>Marriott’s</w:t>
      </w:r>
      <w:r>
        <w:rPr>
          <w:rFonts w:ascii="Arial" w:hAnsi="Arial" w:cs="Arial"/>
          <w:color w:val="auto"/>
          <w:lang w:val="en-GB"/>
        </w:rPr>
        <w:t xml:space="preserve"> Liquidity Performance, 2021–2025</w:t>
      </w:r>
      <w:bookmarkEnd w:id="9"/>
    </w:p>
    <w:p w14:paraId="0EB7910A">
      <w:pPr>
        <w:jc w:val="center"/>
        <w:rPr>
          <w:rFonts w:ascii="Arial" w:hAnsi="Arial" w:cs="Arial"/>
          <w:szCs w:val="24"/>
        </w:rPr>
      </w:pPr>
      <w:r>
        <w:rPr>
          <w:rFonts w:ascii="Arial" w:hAnsi="Arial" w:cs="Arial"/>
          <w:szCs w:val="24"/>
        </w:rPr>
        <w:t>(Source: Developed by Learner)</w:t>
      </w:r>
    </w:p>
    <w:p w14:paraId="3343F2FE">
      <w:pPr>
        <w:rPr>
          <w:rFonts w:ascii="Arial" w:hAnsi="Arial" w:cs="Arial"/>
          <w:szCs w:val="24"/>
        </w:rPr>
      </w:pPr>
      <w:r>
        <w:rPr>
          <w:rFonts w:ascii="Arial" w:hAnsi="Arial" w:cs="Arial"/>
          <w:szCs w:val="24"/>
        </w:rPr>
        <w:t>The 5-year liquidity position of Marriott was weak. It is also lower than the close to 0.57× current ratio seen for 2021, and has not surpassed 1.00× as it has done in several years prior. In the same way as with the current ratio, the line item that isn't included on Marriott's consolidated balance sheet is inventory. Operating cash flow jumped up significantly to $3.21 billion, offsetting this by a massive drop in cash and equivalents from $1.39 billion, to $358 million. This is however partly offset by pressure exerted by the current ratio, which is as a result of good operating cash generation. Evaluating the liquidity would be more suitable if there is a consideration of a combination of current assets, current liabilities and other factors which generate cash flow (Acharya and Rajan, 2023). Hence, Marriott should address its working capital management process and must have cash reserve to improve cash flows (Marriott International, Inc., 2026).</w:t>
      </w:r>
    </w:p>
    <w:p w14:paraId="50CDC341">
      <w:pPr>
        <w:pStyle w:val="3"/>
        <w:rPr>
          <w:rFonts w:ascii="Arial" w:hAnsi="Arial" w:cs="Arial"/>
          <w:szCs w:val="24"/>
        </w:rPr>
      </w:pPr>
      <w:bookmarkStart w:id="10" w:name="_Toc237530058"/>
      <w:r>
        <w:rPr>
          <w:rFonts w:ascii="Arial" w:hAnsi="Arial" w:cs="Arial"/>
          <w:szCs w:val="24"/>
        </w:rPr>
        <w:t>2.4 Efficiency Analysis</w:t>
      </w:r>
      <w:bookmarkEnd w:id="10"/>
    </w:p>
    <w:p w14:paraId="00C86B4F">
      <w:pPr>
        <w:spacing w:after="0"/>
        <w:rPr>
          <w:rFonts w:ascii="Arial" w:hAnsi="Arial" w:cs="Arial"/>
          <w:szCs w:val="24"/>
        </w:rPr>
      </w:pPr>
      <w:r>
        <w:rPr>
          <w:rFonts w:ascii="Arial" w:hAnsi="Arial" w:cs="Arial"/>
          <w:szCs w:val="24"/>
        </w:rPr>
        <w:drawing>
          <wp:inline distT="0" distB="0" distL="0" distR="0">
            <wp:extent cx="5731510" cy="1478280"/>
            <wp:effectExtent l="0" t="0" r="254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731510" cy="1478463"/>
                    </a:xfrm>
                    <a:prstGeom prst="rect">
                      <a:avLst/>
                    </a:prstGeom>
                    <a:noFill/>
                    <a:ln>
                      <a:noFill/>
                    </a:ln>
                  </pic:spPr>
                </pic:pic>
              </a:graphicData>
            </a:graphic>
          </wp:inline>
        </w:drawing>
      </w:r>
    </w:p>
    <w:p w14:paraId="23C96F3F">
      <w:pPr>
        <w:pStyle w:val="6"/>
        <w:rPr>
          <w:rFonts w:ascii="Arial" w:hAnsi="Arial" w:cs="Arial"/>
          <w:color w:val="auto"/>
          <w:lang w:val="en-GB"/>
        </w:rPr>
      </w:pPr>
      <w:bookmarkStart w:id="11" w:name="_Toc237529860"/>
      <w:r>
        <w:rPr>
          <w:rFonts w:ascii="Arial" w:hAnsi="Arial" w:cs="Arial"/>
          <w:color w:val="auto"/>
          <w:lang w:val="en-GB"/>
        </w:rPr>
        <w:t xml:space="preserve">Table 4: </w:t>
      </w:r>
      <w:r>
        <w:rPr>
          <w:rFonts w:ascii="Arial" w:hAnsi="Arial" w:cs="Arial"/>
          <w:lang w:val="en-GB"/>
        </w:rPr>
        <w:t>Marriott’s</w:t>
      </w:r>
      <w:r>
        <w:rPr>
          <w:rFonts w:ascii="Arial" w:hAnsi="Arial" w:cs="Arial"/>
          <w:color w:val="auto"/>
          <w:lang w:val="en-GB"/>
        </w:rPr>
        <w:t xml:space="preserve"> Efficiency Ratios, 2021–2025</w:t>
      </w:r>
      <w:bookmarkEnd w:id="11"/>
    </w:p>
    <w:p w14:paraId="01BD8A8D">
      <w:pPr>
        <w:jc w:val="center"/>
        <w:rPr>
          <w:rFonts w:ascii="Arial" w:hAnsi="Arial" w:cs="Arial"/>
          <w:szCs w:val="24"/>
        </w:rPr>
      </w:pPr>
      <w:r>
        <w:rPr>
          <w:rFonts w:ascii="Arial" w:hAnsi="Arial" w:cs="Arial"/>
          <w:szCs w:val="24"/>
        </w:rPr>
        <w:t>(Source: Developed by Learner)</w:t>
      </w:r>
    </w:p>
    <w:p w14:paraId="5F78E6D9">
      <w:pPr>
        <w:rPr>
          <w:rFonts w:ascii="Arial" w:hAnsi="Arial" w:cs="Arial"/>
          <w:szCs w:val="24"/>
        </w:rPr>
      </w:pPr>
      <w:r>
        <w:rPr>
          <w:rFonts w:ascii="Arial" w:hAnsi="Arial" w:cs="Arial"/>
          <w:szCs w:val="24"/>
        </w:rPr>
        <w:t>Marriott's efficiency was enhanced across various aspects from 2021 to 2025. Increase in asset turnover from c. 0.54x to 0.95x indicates asset productivity and profitability in the generation of their revenues. Since Marriott does not report inventory separately, the “inventory-days” cannot be accurately determined and thus a normal cash conversion cycle is not applicable. Moreover, the collection of receivables was also quicker as it decreased from 52.20 days in 2021 to 40.54 days in 2025. The payables days has decreased, however, from around 19.12 days down to 11.35 days making the payables working capital lower. This resulted in the average receivables days - payables days being approximately 29.19 days or indicative operating cycle for 2025. Because of the short payment period of suppliers, cash needs will directly increase due to short period and also to increase the cash needs will utilize the cash collection system to a greater extent. This consist of the movements in receivables and payables as well as operating-cycle movements should thus be taken into account when assessing the efficiency of working-capital (Vasilev and Milkova, 2022). For making the money more liquid, Marriett should maintain the discipline in collections and have payments received from its suppliers (Marriott International, Inc, in 2026).</w:t>
      </w:r>
    </w:p>
    <w:p w14:paraId="3C3D0E0E">
      <w:pPr>
        <w:pStyle w:val="3"/>
        <w:rPr>
          <w:rFonts w:ascii="Arial" w:hAnsi="Arial" w:cs="Arial"/>
          <w:szCs w:val="24"/>
        </w:rPr>
      </w:pPr>
      <w:bookmarkStart w:id="12" w:name="_Toc237530059"/>
      <w:r>
        <w:rPr>
          <w:rFonts w:ascii="Arial" w:hAnsi="Arial" w:cs="Arial"/>
          <w:szCs w:val="24"/>
        </w:rPr>
        <w:t>2.5 Gearing and Financial Risk</w:t>
      </w:r>
      <w:bookmarkEnd w:id="12"/>
    </w:p>
    <w:p w14:paraId="0D510183">
      <w:pPr>
        <w:spacing w:after="0"/>
        <w:rPr>
          <w:rFonts w:ascii="Arial" w:hAnsi="Arial" w:cs="Arial"/>
          <w:szCs w:val="24"/>
        </w:rPr>
      </w:pPr>
      <w:r>
        <w:rPr>
          <w:rFonts w:ascii="Arial" w:hAnsi="Arial" w:cs="Arial"/>
          <w:szCs w:val="24"/>
        </w:rPr>
        <w:drawing>
          <wp:inline distT="0" distB="0" distL="0" distR="0">
            <wp:extent cx="5731510" cy="16275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731510" cy="1628046"/>
                    </a:xfrm>
                    <a:prstGeom prst="rect">
                      <a:avLst/>
                    </a:prstGeom>
                    <a:noFill/>
                    <a:ln>
                      <a:noFill/>
                    </a:ln>
                  </pic:spPr>
                </pic:pic>
              </a:graphicData>
            </a:graphic>
          </wp:inline>
        </w:drawing>
      </w:r>
    </w:p>
    <w:p w14:paraId="77B3AA92">
      <w:pPr>
        <w:pStyle w:val="6"/>
        <w:rPr>
          <w:rFonts w:ascii="Arial" w:hAnsi="Arial" w:cs="Arial"/>
          <w:color w:val="auto"/>
          <w:lang w:val="en-GB"/>
        </w:rPr>
      </w:pPr>
      <w:bookmarkStart w:id="13" w:name="_Toc237529861"/>
      <w:r>
        <w:rPr>
          <w:rFonts w:ascii="Arial" w:hAnsi="Arial" w:cs="Arial"/>
          <w:color w:val="auto"/>
          <w:lang w:val="en-GB"/>
        </w:rPr>
        <w:t xml:space="preserve">Table 5: </w:t>
      </w:r>
      <w:r>
        <w:rPr>
          <w:rFonts w:ascii="Arial" w:hAnsi="Arial" w:cs="Arial"/>
          <w:lang w:val="en-GB"/>
        </w:rPr>
        <w:t>Marriott’s</w:t>
      </w:r>
      <w:r>
        <w:rPr>
          <w:rFonts w:ascii="Arial" w:hAnsi="Arial" w:cs="Arial"/>
          <w:color w:val="auto"/>
          <w:lang w:val="en-GB"/>
        </w:rPr>
        <w:t xml:space="preserve"> Gearing and Financial Risk, 2021–2025</w:t>
      </w:r>
      <w:bookmarkEnd w:id="13"/>
    </w:p>
    <w:p w14:paraId="42A394C8">
      <w:pPr>
        <w:jc w:val="center"/>
        <w:rPr>
          <w:rFonts w:ascii="Arial" w:hAnsi="Arial" w:cs="Arial"/>
          <w:szCs w:val="24"/>
        </w:rPr>
      </w:pPr>
      <w:r>
        <w:rPr>
          <w:rFonts w:ascii="Arial" w:hAnsi="Arial" w:cs="Arial"/>
          <w:szCs w:val="24"/>
        </w:rPr>
        <w:t>(Source: Developed by Learner)</w:t>
      </w:r>
    </w:p>
    <w:p w14:paraId="188F8C28">
      <w:pPr>
        <w:rPr>
          <w:rFonts w:ascii="Arial" w:hAnsi="Arial" w:cs="Arial"/>
          <w:szCs w:val="24"/>
        </w:rPr>
      </w:pPr>
      <w:r>
        <w:rPr>
          <w:rFonts w:ascii="Arial" w:hAnsi="Arial" w:cs="Arial"/>
          <w:szCs w:val="24"/>
        </w:rPr>
        <w:t>An increase in the amount of debt, from approximately $10.14 billion up to $16.20 billion in 2025, was the factor that increased the gearing risk. The Debt to Equity ratio is not useable for the year 2023, due to having a negative stockholders equity. Net debt also went up significantly by stand up to $15.85 billion by 2025 and by 2.94× net debt ratios to adjusted EBITDA. An increase in interest expense to $809 m in 2025 contributed to the drop in interest coverage. Whilst operating earnings will still be adequate for coverage of interest, the higher leverage levels lead to a lower level of overall financial flexibility, which increases shareholder risk. Thus, evaluating gearing only is not recommended without analysing other aspects besides gearing such as debt structure, payment ability and funding obligation (Supriono, 2022). Hence, it is advised that Marriott's disciplined borrowing &amp; restructuring policies should be used.</w:t>
      </w:r>
    </w:p>
    <w:p w14:paraId="5600A9A8">
      <w:pPr>
        <w:pStyle w:val="3"/>
        <w:rPr>
          <w:rFonts w:ascii="Arial" w:hAnsi="Arial" w:cs="Arial"/>
          <w:szCs w:val="24"/>
        </w:rPr>
      </w:pPr>
      <w:bookmarkStart w:id="14" w:name="_Toc237530060"/>
      <w:r>
        <w:rPr>
          <w:rFonts w:ascii="Arial" w:hAnsi="Arial" w:cs="Arial"/>
          <w:szCs w:val="24"/>
        </w:rPr>
        <w:t>2.6 Investment and Cash-Flow Performance</w:t>
      </w:r>
      <w:bookmarkEnd w:id="14"/>
    </w:p>
    <w:p w14:paraId="727964AD">
      <w:pPr>
        <w:spacing w:after="0"/>
        <w:rPr>
          <w:rFonts w:ascii="Arial" w:hAnsi="Arial" w:cs="Arial"/>
          <w:szCs w:val="24"/>
        </w:rPr>
      </w:pPr>
      <w:r>
        <w:rPr>
          <w:rFonts w:ascii="Arial" w:hAnsi="Arial" w:cs="Arial"/>
          <w:szCs w:val="24"/>
        </w:rPr>
        <w:drawing>
          <wp:inline distT="0" distB="0" distL="0" distR="0">
            <wp:extent cx="5731510" cy="16275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731510" cy="1628046"/>
                    </a:xfrm>
                    <a:prstGeom prst="rect">
                      <a:avLst/>
                    </a:prstGeom>
                    <a:noFill/>
                    <a:ln>
                      <a:noFill/>
                    </a:ln>
                  </pic:spPr>
                </pic:pic>
              </a:graphicData>
            </a:graphic>
          </wp:inline>
        </w:drawing>
      </w:r>
    </w:p>
    <w:p w14:paraId="3618281A">
      <w:pPr>
        <w:pStyle w:val="6"/>
        <w:rPr>
          <w:rFonts w:ascii="Arial" w:hAnsi="Arial" w:cs="Arial"/>
          <w:color w:val="auto"/>
          <w:lang w:val="en-GB"/>
        </w:rPr>
      </w:pPr>
      <w:bookmarkStart w:id="15" w:name="_Toc237529862"/>
      <w:r>
        <w:rPr>
          <w:rFonts w:ascii="Arial" w:hAnsi="Arial" w:cs="Arial"/>
          <w:color w:val="auto"/>
          <w:lang w:val="en-GB"/>
        </w:rPr>
        <w:t>Table 6: Marriott’s Investment and Cash-Flow Performance, 2021–2025</w:t>
      </w:r>
      <w:bookmarkEnd w:id="15"/>
    </w:p>
    <w:p w14:paraId="57C72C75">
      <w:pPr>
        <w:jc w:val="center"/>
        <w:rPr>
          <w:rFonts w:ascii="Arial" w:hAnsi="Arial" w:cs="Arial"/>
          <w:szCs w:val="24"/>
        </w:rPr>
      </w:pPr>
      <w:r>
        <w:rPr>
          <w:rFonts w:ascii="Arial" w:hAnsi="Arial" w:cs="Arial"/>
          <w:szCs w:val="24"/>
        </w:rPr>
        <w:t>(Source: Developed by Learner)</w:t>
      </w:r>
    </w:p>
    <w:p w14:paraId="0F017B7E">
      <w:pPr>
        <w:rPr>
          <w:rFonts w:ascii="Arial" w:hAnsi="Arial" w:cs="Arial"/>
          <w:szCs w:val="24"/>
        </w:rPr>
      </w:pPr>
      <w:r>
        <w:rPr>
          <w:rFonts w:ascii="Arial" w:hAnsi="Arial" w:cs="Arial"/>
          <w:szCs w:val="24"/>
        </w:rPr>
        <w:t>The field of investment and cash-flows improved to a great extent with the help of Marriott. While fluctuating, basic EPS went up from $3.36 in 2021 to $9.53 in 2025. Operating cash-flow increased $1.18 billion to $3.21 billion, providing substantial funds to finance investment, debt service and paying out dividend to the shareholders. The cash outflows for investing rose by 43% to $187 million compared to the previous year, driven by higher capital and technology spending and asset acquisitions. In 2025, $2.32 billion of outflows were used to fund the Financing activities and significant outflows were seen to fund the Debt activity, Dividends and Share repurchases activities. Those gains in operating cash flow are enabling Marriott to make investments, although cash flows and loan repayments have been down year-after-year during the year, and they need to invest funds wisely. Following this rule of alignment – top alignment between investment performance and the sustainable generation of cash flow, investment choices should be made on the basis of projects which generate more and more cash flow over time and in a sustainable way, thereby maximising shareholder value.</w:t>
      </w:r>
    </w:p>
    <w:p w14:paraId="46EB5555">
      <w:pPr>
        <w:pStyle w:val="3"/>
        <w:rPr>
          <w:rFonts w:ascii="Arial" w:hAnsi="Arial" w:cs="Arial"/>
          <w:szCs w:val="24"/>
        </w:rPr>
      </w:pPr>
      <w:bookmarkStart w:id="16" w:name="_Toc237530061"/>
      <w:r>
        <w:rPr>
          <w:rFonts w:ascii="Arial" w:hAnsi="Arial" w:cs="Arial"/>
          <w:szCs w:val="24"/>
        </w:rPr>
        <w:t>2.7 Overall Financial Strength s and Threats</w:t>
      </w:r>
      <w:bookmarkEnd w:id="16"/>
    </w:p>
    <w:p w14:paraId="4D357F6F">
      <w:pPr>
        <w:rPr>
          <w:rFonts w:ascii="Arial" w:hAnsi="Arial" w:cs="Arial"/>
          <w:szCs w:val="24"/>
        </w:rPr>
      </w:pPr>
      <w:r>
        <w:rPr>
          <w:rFonts w:ascii="Arial" w:hAnsi="Arial" w:cs="Arial"/>
          <w:szCs w:val="24"/>
        </w:rPr>
        <w:t>The most important financial leverage becomes Asset Utilisation and Cash Generation of the operations, coupled with operating profitability improvement and solid revenue growth, are important financial strengths for Marriott. The revenue and the operating cash flow also increased significantly between 2021 and 2025, and for 2025 operating incomes were $4.14 billion, with operating cash flow of $3.21 billion (Marriott International, Inc., 2026). The chapter also highlights on receivables efficiency for making cash flow. However, there are still great challenges to be faced. There is now $16.20 billion in debt and $0 in shareholders' equity. Cash was mixed with a current ratio of even less than 1.00×, where the current ratio is also lower than current liabilities. Limited payback period of supplier finance also diminishes supplier's working capital. The existing literature has focused on the evaluation of financial risks based on the concept of liquidity, leverage and the overall financial structure of the firm (Acharya and Rajan, 2023; Supriono, 2022). These findings form the issues that needs to be addressed in Sections 3, 4 and 5, namely, improving working-capital and re-structuring financial and disciplining investment selection.</w:t>
      </w:r>
    </w:p>
    <w:p w14:paraId="1866B233">
      <w:pPr>
        <w:jc w:val="left"/>
        <w:rPr>
          <w:rFonts w:ascii="Arial" w:hAnsi="Arial" w:cs="Arial"/>
          <w:szCs w:val="24"/>
        </w:rPr>
      </w:pPr>
      <w:r>
        <w:rPr>
          <w:rFonts w:ascii="Arial" w:hAnsi="Arial" w:cs="Arial"/>
          <w:szCs w:val="24"/>
        </w:rPr>
        <w:br w:type="page"/>
      </w:r>
    </w:p>
    <w:p w14:paraId="36CEFF15">
      <w:pPr>
        <w:pStyle w:val="2"/>
        <w:rPr>
          <w:rFonts w:ascii="Arial" w:hAnsi="Arial" w:cs="Arial"/>
          <w:sz w:val="24"/>
          <w:szCs w:val="24"/>
        </w:rPr>
      </w:pPr>
      <w:bookmarkStart w:id="17" w:name="_Toc237530062"/>
      <w:r>
        <w:rPr>
          <w:rFonts w:ascii="Arial" w:hAnsi="Arial" w:cs="Arial"/>
          <w:sz w:val="24"/>
          <w:szCs w:val="24"/>
        </w:rPr>
        <w:t>3. Working Capital Management Analysis</w:t>
      </w:r>
      <w:bookmarkEnd w:id="17"/>
    </w:p>
    <w:p w14:paraId="3E1C9714">
      <w:pPr>
        <w:pStyle w:val="3"/>
        <w:rPr>
          <w:rFonts w:ascii="Arial" w:hAnsi="Arial" w:cs="Arial"/>
          <w:szCs w:val="24"/>
        </w:rPr>
      </w:pPr>
      <w:bookmarkStart w:id="18" w:name="_Toc237530063"/>
      <w:r>
        <w:rPr>
          <w:rFonts w:ascii="Arial" w:hAnsi="Arial" w:cs="Arial"/>
          <w:szCs w:val="24"/>
        </w:rPr>
        <w:t>3.1 Cash Operating Cycle</w:t>
      </w:r>
      <w:bookmarkEnd w:id="18"/>
    </w:p>
    <w:p w14:paraId="69DCBAEC">
      <w:pPr>
        <w:rPr>
          <w:rFonts w:ascii="Arial" w:hAnsi="Arial" w:cs="Arial"/>
          <w:szCs w:val="24"/>
        </w:rPr>
      </w:pPr>
      <w:r>
        <w:rPr>
          <w:rFonts w:ascii="Arial" w:hAnsi="Arial" w:cs="Arial"/>
          <w:szCs w:val="24"/>
        </w:rPr>
        <w:t>Upon closer inspection of Marriott's deals, the hotel business is a very asset light, and net debt of $206 billion Company. Due to the non-disclosure of inventories separately in the consolidated balance sheet, the number of inventory days cannot be calculated. This is why days cash operating cycle for this problem as shown in the workbook, times the books, is the difference between days receivables and days payables – although in the standard definitions this would be a negative number. There was an improvement for collection efficiency with a reduction in the Receivables days from 52.21 days in 2021 to 40.55 days in 2025. Payables days decreased from 19.12 days to 11.35 days, which decreased supplier financing, however. This led to the improvement in the indicative cash operating cycle, which went from 33.08 days to 29.20 days. This means that the credit utilization seems to be encouraging Marriott at this stage, hence in the case of supplementary credit from suppliers it should be in cash terms. They should be considered alongside the payment intervals for business bills, and the cash on hand—an important factor will be the business's reaction in the bills due. (Karim et al., 2024).</w:t>
      </w:r>
    </w:p>
    <w:p w14:paraId="53FBD5B6">
      <w:pPr>
        <w:jc w:val="center"/>
        <w:rPr>
          <w:rFonts w:ascii="Arial" w:hAnsi="Arial" w:cs="Arial"/>
          <w:color w:val="FF0000"/>
          <w:szCs w:val="24"/>
        </w:rPr>
      </w:pPr>
      <w:r>
        <w:rPr>
          <w:rFonts w:ascii="Arial" w:hAnsi="Arial" w:cs="Arial"/>
          <w:color w:val="FF0000"/>
          <w:szCs w:val="24"/>
        </w:rPr>
        <w:drawing>
          <wp:inline distT="0" distB="0" distL="0" distR="0">
            <wp:extent cx="5731510" cy="2562225"/>
            <wp:effectExtent l="0" t="0" r="25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731510" cy="2562712"/>
                    </a:xfrm>
                    <a:prstGeom prst="rect">
                      <a:avLst/>
                    </a:prstGeom>
                    <a:noFill/>
                    <a:ln>
                      <a:noFill/>
                    </a:ln>
                  </pic:spPr>
                </pic:pic>
              </a:graphicData>
            </a:graphic>
          </wp:inline>
        </w:drawing>
      </w:r>
    </w:p>
    <w:p w14:paraId="7F42891F">
      <w:pPr>
        <w:pStyle w:val="6"/>
        <w:rPr>
          <w:rFonts w:ascii="Arial" w:hAnsi="Arial" w:cs="Arial"/>
          <w:color w:val="auto"/>
          <w:lang w:val="en-GB"/>
        </w:rPr>
      </w:pPr>
      <w:bookmarkStart w:id="19" w:name="_Toc237529863"/>
      <w:r>
        <w:rPr>
          <w:rFonts w:ascii="Arial" w:hAnsi="Arial" w:cs="Arial"/>
          <w:color w:val="auto"/>
          <w:lang w:val="en-GB"/>
        </w:rPr>
        <w:t>Table 7: Cash Operating Cycles</w:t>
      </w:r>
      <w:bookmarkEnd w:id="19"/>
    </w:p>
    <w:p w14:paraId="36935A95">
      <w:pPr>
        <w:jc w:val="center"/>
        <w:rPr>
          <w:rFonts w:ascii="Arial" w:hAnsi="Arial" w:cs="Arial"/>
          <w:szCs w:val="24"/>
        </w:rPr>
      </w:pPr>
      <w:r>
        <w:rPr>
          <w:rFonts w:ascii="Arial" w:hAnsi="Arial" w:cs="Arial"/>
          <w:szCs w:val="24"/>
        </w:rPr>
        <w:t>(Source: Developed by Learner)</w:t>
      </w:r>
    </w:p>
    <w:p w14:paraId="4E06C465">
      <w:pPr>
        <w:pStyle w:val="3"/>
        <w:rPr>
          <w:rFonts w:ascii="Arial" w:hAnsi="Arial" w:cs="Arial"/>
          <w:szCs w:val="24"/>
        </w:rPr>
      </w:pPr>
      <w:bookmarkStart w:id="20" w:name="_Toc237530064"/>
      <w:r>
        <w:rPr>
          <w:rFonts w:ascii="Arial" w:hAnsi="Arial" w:cs="Arial"/>
          <w:szCs w:val="24"/>
        </w:rPr>
        <w:t>3.2 Working Capital Problems</w:t>
      </w:r>
      <w:bookmarkEnd w:id="20"/>
    </w:p>
    <w:p w14:paraId="74A92E5B">
      <w:pPr>
        <w:rPr>
          <w:rFonts w:ascii="Arial" w:hAnsi="Arial" w:cs="Arial"/>
          <w:szCs w:val="24"/>
        </w:rPr>
      </w:pPr>
      <w:r>
        <w:rPr>
          <w:rFonts w:ascii="Arial" w:hAnsi="Arial" w:cs="Arial"/>
          <w:szCs w:val="24"/>
        </w:rPr>
        <w:t>There's also been a deficiency in inventory exposure as there's no recorded separate exposure to inventory as a working capital recommendation for Marriott. Collection terms must be more of an emphasis than payment terms, in fact, the emphasis should be on the relationship between collection of receivables and payment to suppliers. While Receivables Days increased significantly it is not quite enough to offset the decrease in Payables Days, so that Marriott is paid more efficiently, but not through supplier credit as much. It will take a higher amount of retained funds to sustain their activities. Further, during the whole period the current ratio remained below 1.00 with current assets being less than current liabilities. The key point isn't that companies are not generating operating cash, it's that they don't optimize their operating cash, in the year 2025. Thus, the aim of working-capital management is to be able to use the cash without compromising supplier relationships (Badakhshan et al., 2026).</w:t>
      </w:r>
    </w:p>
    <w:p w14:paraId="196446D5">
      <w:pPr>
        <w:rPr>
          <w:rFonts w:ascii="Arial" w:hAnsi="Arial" w:cs="Arial"/>
          <w:color w:val="FF0000"/>
          <w:szCs w:val="24"/>
        </w:rPr>
      </w:pPr>
      <w:r>
        <w:rPr>
          <w:rFonts w:ascii="Arial" w:hAnsi="Arial" w:cs="Arial"/>
          <w:color w:val="FF0000"/>
          <w:szCs w:val="24"/>
        </w:rPr>
        <w:drawing>
          <wp:inline distT="0" distB="0" distL="0" distR="0">
            <wp:extent cx="5730240" cy="1815465"/>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731522" cy="1815870"/>
                    </a:xfrm>
                    <a:prstGeom prst="rect">
                      <a:avLst/>
                    </a:prstGeom>
                    <a:noFill/>
                    <a:ln>
                      <a:noFill/>
                    </a:ln>
                  </pic:spPr>
                </pic:pic>
              </a:graphicData>
            </a:graphic>
          </wp:inline>
        </w:drawing>
      </w:r>
    </w:p>
    <w:p w14:paraId="36FE10E7">
      <w:pPr>
        <w:pStyle w:val="6"/>
        <w:rPr>
          <w:rFonts w:ascii="Arial" w:hAnsi="Arial" w:cs="Arial"/>
        </w:rPr>
      </w:pPr>
      <w:bookmarkStart w:id="21" w:name="_Toc237529864"/>
      <w:r>
        <w:rPr>
          <w:rFonts w:ascii="Arial" w:hAnsi="Arial" w:cs="Arial"/>
        </w:rPr>
        <w:t>Table 9: Marriott Liquidity and Cash Position</w:t>
      </w:r>
      <w:bookmarkEnd w:id="21"/>
    </w:p>
    <w:p w14:paraId="4BDB383F">
      <w:pPr>
        <w:jc w:val="center"/>
        <w:rPr>
          <w:rFonts w:ascii="Arial" w:hAnsi="Arial" w:cs="Arial"/>
          <w:szCs w:val="24"/>
        </w:rPr>
      </w:pPr>
      <w:r>
        <w:rPr>
          <w:rFonts w:ascii="Arial" w:hAnsi="Arial" w:cs="Arial"/>
          <w:szCs w:val="24"/>
        </w:rPr>
        <w:t>(Source: Developed by Learner)</w:t>
      </w:r>
    </w:p>
    <w:p w14:paraId="3409A9EB">
      <w:pPr>
        <w:pStyle w:val="3"/>
        <w:rPr>
          <w:rFonts w:ascii="Arial" w:hAnsi="Arial" w:cs="Arial"/>
          <w:szCs w:val="24"/>
        </w:rPr>
      </w:pPr>
      <w:bookmarkStart w:id="22" w:name="_Toc237530065"/>
      <w:r>
        <w:rPr>
          <w:rFonts w:ascii="Arial" w:hAnsi="Arial" w:cs="Arial"/>
          <w:szCs w:val="24"/>
        </w:rPr>
        <w:t>3.3 Working Capital Improvement Strategies</w:t>
      </w:r>
      <w:bookmarkEnd w:id="22"/>
    </w:p>
    <w:p w14:paraId="71C87ED3">
      <w:pPr>
        <w:rPr>
          <w:rFonts w:ascii="Arial" w:hAnsi="Arial" w:cs="Arial"/>
          <w:szCs w:val="24"/>
        </w:rPr>
      </w:pPr>
      <w:r>
        <w:rPr>
          <w:rFonts w:ascii="Arial" w:hAnsi="Arial" w:cs="Arial"/>
          <w:szCs w:val="24"/>
        </w:rPr>
        <w:t>This is because measured – and targeted – spending cuts – not a blanket rejection – are crucial for Marriott to boost their working capital. All of the above, based on more stringent credit control and electronic invoicing/payment should enhance credit control. Also, a hierarchy of receivables needs to be created based on customer, market risk level and ageing risks in order to concentrate collections resources on the amounts that are past due. If it does not buy up inventory at time that matches with the time of use then Marriott in all likelihood is going to have leftover inventory which it will not get any return. Renegotiate with suppliers the accepted terms of these payables to obtain mutually acceptable relationship with supplier and service levels whilst maintaining the integrity of the supplier considerations. To plan for a rolling cash-flow forecast for main operating markets, 13 weeks ahead of time, to anticipate cash-flow gap in advance (Habib et al., 2024). Management should also establish a minimum cash operating cycle, and should review it monthly using the cash operating cycle indicator. They would enhance their liquid position, and they would be beneficial to the flexibility of the operations of Marriott.</w:t>
      </w:r>
    </w:p>
    <w:p w14:paraId="33B6586B">
      <w:pPr>
        <w:pStyle w:val="3"/>
        <w:rPr>
          <w:rFonts w:ascii="Arial" w:hAnsi="Arial" w:cs="Arial"/>
          <w:szCs w:val="24"/>
        </w:rPr>
      </w:pPr>
      <w:bookmarkStart w:id="23" w:name="_Toc237530066"/>
      <w:r>
        <w:rPr>
          <w:rFonts w:ascii="Arial" w:hAnsi="Arial" w:cs="Arial"/>
          <w:szCs w:val="24"/>
        </w:rPr>
        <w:t>3.4 Short-Term vs Long-Term Financing</w:t>
      </w:r>
      <w:bookmarkEnd w:id="23"/>
    </w:p>
    <w:p w14:paraId="756ACCC5">
      <w:pPr>
        <w:rPr>
          <w:rFonts w:ascii="Arial" w:hAnsi="Arial" w:cs="Arial"/>
          <w:szCs w:val="24"/>
        </w:rPr>
      </w:pPr>
      <w:r>
        <w:rPr>
          <w:rFonts w:ascii="Arial" w:hAnsi="Arial" w:cs="Arial"/>
          <w:szCs w:val="24"/>
        </w:rPr>
        <w:t>The short term financing (including trade credit and revolving credit facility) is flexible with respect to the working capital needs as they are of short-term nature. It can also provide Marriott flexibility when refinancing and with the risk of interest rates. Interest + leverage costs are higher in case of long term bank loan/bonds - or at least they provide some more than that - when it comes to the certainty of the maturity. The firm can also use equity financing to bolster their balance sheet and may definitely make a definite contribution to lighten the finance risk for the firm at the cost of its current shareholders. The use of retained earnings does not necessarily reduce a company's dependence on debt, but instead on findings, and is a competition with the announcement of dividends and share repurchases (Li et al., 2026). If financing, therefore, has to go hand-in-hand with the purpose of financing, and the duration of the financing requirements, Marriott has an escalating debt and negative equity position. Short term facilities should have short-term needs and long term facilities should have long term investments. This approach allows for consideration of the cost, risk, flexibility, liquidity, maturity/gearing and the support of sustainable Shareholder Value.</w:t>
      </w:r>
      <w:r>
        <w:rPr>
          <w:rFonts w:ascii="Arial" w:hAnsi="Arial" w:cs="Arial"/>
          <w:b/>
          <w:bCs/>
          <w:szCs w:val="24"/>
        </w:rPr>
        <w:br w:type="page"/>
      </w:r>
    </w:p>
    <w:p w14:paraId="1D3EA1D9">
      <w:pPr>
        <w:pStyle w:val="2"/>
        <w:rPr>
          <w:rFonts w:ascii="Arial" w:hAnsi="Arial" w:cs="Arial"/>
          <w:sz w:val="24"/>
          <w:szCs w:val="24"/>
        </w:rPr>
      </w:pPr>
      <w:bookmarkStart w:id="24" w:name="_Toc237530067"/>
      <w:r>
        <w:rPr>
          <w:rFonts w:ascii="Arial" w:hAnsi="Arial" w:cs="Arial"/>
          <w:sz w:val="24"/>
          <w:szCs w:val="24"/>
        </w:rPr>
        <w:t>4. Strategic Financial Restructuring Plan</w:t>
      </w:r>
      <w:bookmarkEnd w:id="24"/>
    </w:p>
    <w:p w14:paraId="06D3B41D">
      <w:pPr>
        <w:pStyle w:val="3"/>
        <w:rPr>
          <w:rFonts w:ascii="Arial" w:hAnsi="Arial" w:cs="Arial"/>
          <w:szCs w:val="24"/>
        </w:rPr>
      </w:pPr>
      <w:bookmarkStart w:id="25" w:name="_Toc237530068"/>
      <w:r>
        <w:rPr>
          <w:rFonts w:ascii="Arial" w:hAnsi="Arial" w:cs="Arial"/>
          <w:szCs w:val="24"/>
        </w:rPr>
        <w:t>4.1 Need for Financial Restructuring</w:t>
      </w:r>
      <w:bookmarkEnd w:id="25"/>
    </w:p>
    <w:p w14:paraId="02B16B72">
      <w:pPr>
        <w:rPr>
          <w:rFonts w:ascii="Arial" w:hAnsi="Arial" w:cs="Arial"/>
          <w:szCs w:val="24"/>
        </w:rPr>
      </w:pPr>
      <w:r>
        <w:rPr>
          <w:rFonts w:ascii="Arial" w:hAnsi="Arial" w:cs="Arial"/>
          <w:szCs w:val="24"/>
        </w:rPr>
        <w:t>The score on Marriott's profitability fundamentals in the context of profitability would be about $4.141 billion as their operating income for 2025 was at $3.212 billion (Marriott International, Inc., 2026). But such a small budget is crucial to its financial health. The reason is that the levels of debts have increased, exceeding the amount of money made through current assets gathered, so total stockholders' equity was at a lower level. The current ratio is now down to a tame 0.43x and investors are concerned that it will continue to be stressed short on assets. Net debt just kept increasing your debt in absolute terms but it also was increasing substantially as a percentage of operating capacity. So the unity need to be more oriented towards improving the liquidity and robust debt capacity and towards the correct allocation of investment to sustain the foreign expansion instead of to save an unprofitable business. There should therefore be a focus on financial restructuring for enhanced resilience with the minimum of restrictiveness to facilitate potential further expansion of Marriott's businesses.</w:t>
      </w:r>
    </w:p>
    <w:p w14:paraId="6B739CA6">
      <w:pPr>
        <w:pStyle w:val="3"/>
        <w:rPr>
          <w:rFonts w:ascii="Arial" w:hAnsi="Arial" w:cs="Arial"/>
          <w:szCs w:val="24"/>
        </w:rPr>
      </w:pPr>
      <w:bookmarkStart w:id="26" w:name="_Toc237530069"/>
      <w:r>
        <w:rPr>
          <w:rFonts w:ascii="Arial" w:hAnsi="Arial" w:cs="Arial"/>
          <w:szCs w:val="24"/>
        </w:rPr>
        <w:t>4.2 Financial Restructuring Options</w:t>
      </w:r>
      <w:bookmarkEnd w:id="26"/>
    </w:p>
    <w:p w14:paraId="4D4D7AE7">
      <w:pPr>
        <w:rPr>
          <w:rFonts w:ascii="Arial" w:hAnsi="Arial" w:cs="Arial"/>
          <w:szCs w:val="24"/>
        </w:rPr>
      </w:pPr>
      <w:r>
        <w:rPr>
          <w:rFonts w:ascii="Arial" w:hAnsi="Arial" w:cs="Arial"/>
          <w:b/>
          <w:bCs/>
          <w:szCs w:val="24"/>
        </w:rPr>
        <w:t>Equity injection:</w:t>
      </w:r>
      <w:r>
        <w:rPr>
          <w:rFonts w:ascii="Arial" w:hAnsi="Arial" w:cs="Arial"/>
          <w:szCs w:val="24"/>
        </w:rPr>
        <w:t xml:space="preserve"> Capital injection would provide capital to strengthen Marriott's capital structure, reduce the amount of debt that they need to rely on and strengthening the strength of the balance sheet, and would provide an additional boost to Marriott's capital structure. Along with this it may help to enhance resources capability for future investments. However, new equity will result in dilution of current shareholders' interests and a lower earnings per share. Strengthening may be beneficial for Marriott while it is an issue of negative equity, but it had better not be the primary focus (Davis, 2025).</w:t>
      </w:r>
    </w:p>
    <w:p w14:paraId="3070BE38">
      <w:pPr>
        <w:rPr>
          <w:rFonts w:ascii="Arial" w:hAnsi="Arial" w:cs="Arial"/>
          <w:szCs w:val="24"/>
        </w:rPr>
      </w:pPr>
      <w:r>
        <w:rPr>
          <w:rFonts w:ascii="Arial" w:hAnsi="Arial" w:cs="Arial"/>
          <w:b/>
          <w:bCs/>
          <w:szCs w:val="24"/>
        </w:rPr>
        <w:t>Divestiture:</w:t>
      </w:r>
      <w:r>
        <w:rPr>
          <w:rFonts w:ascii="Arial" w:hAnsi="Arial" w:cs="Arial"/>
          <w:szCs w:val="24"/>
        </w:rPr>
        <w:t xml:space="preserve"> If a company like Marriott is choosing to sell non-core investments or assets, it can use the funds to reduce debt. This can help lower up the leverage and assist in loosening up capital and it also allows management to focus on strategic actions (Potharla, 2025). But when assets deemed generally successful enough for a sale, a divestment can be costly in terms of future earnings and strategic possibilities.</w:t>
      </w:r>
    </w:p>
    <w:p w14:paraId="703E3D10">
      <w:pPr>
        <w:rPr>
          <w:rFonts w:ascii="Arial" w:hAnsi="Arial" w:cs="Arial"/>
          <w:szCs w:val="24"/>
        </w:rPr>
      </w:pPr>
      <w:r>
        <w:rPr>
          <w:rFonts w:ascii="Arial" w:hAnsi="Arial" w:cs="Arial"/>
          <w:b/>
          <w:bCs/>
          <w:szCs w:val="24"/>
        </w:rPr>
        <w:t>Merger/strategic acquisition:</w:t>
      </w:r>
      <w:r>
        <w:rPr>
          <w:rFonts w:ascii="Arial" w:hAnsi="Arial" w:cs="Arial"/>
          <w:szCs w:val="24"/>
        </w:rPr>
        <w:t xml:space="preserve"> Sure, if they could find something to get hold of, a smart they can do geo, It can do geo, It can do geo). In fact, these deals can be expected to bring about economies of scale and revenue synergies (Celestin, 2022). Financial risks could increase, however, because of acquisition finance requirements, uncertainty about the price of the acquisition and/or acquisition integration costs.</w:t>
      </w:r>
    </w:p>
    <w:p w14:paraId="1EB97D09">
      <w:pPr>
        <w:pStyle w:val="3"/>
        <w:rPr>
          <w:rFonts w:ascii="Arial" w:hAnsi="Arial" w:cs="Arial"/>
          <w:szCs w:val="24"/>
        </w:rPr>
      </w:pPr>
      <w:bookmarkStart w:id="27" w:name="_Toc237530070"/>
      <w:r>
        <w:rPr>
          <w:rFonts w:ascii="Arial" w:hAnsi="Arial" w:cs="Arial"/>
          <w:szCs w:val="24"/>
        </w:rPr>
        <w:t>4.3 Impact on Shareholder Value and Financial Structure</w:t>
      </w:r>
      <w:bookmarkEnd w:id="27"/>
    </w:p>
    <w:p w14:paraId="4CFE7D3D">
      <w:pPr>
        <w:rPr>
          <w:rFonts w:ascii="Arial" w:hAnsi="Arial" w:cs="Arial"/>
          <w:szCs w:val="24"/>
        </w:rPr>
      </w:pPr>
      <w:r>
        <w:rPr>
          <w:rFonts w:ascii="Arial" w:hAnsi="Arial" w:cs="Arial"/>
          <w:szCs w:val="24"/>
        </w:rPr>
        <w:t>The restructuring needs to be aimed at boosting shareholder value, rather than making distributions. This will also minimize the leverage and additional interest that will be required to pay, and equity will be added to the current shareholders, most likely resulting in share dilution. But whilst a divestment can provide immediate cash flows and debt reductions, the sale of successful businesses could have a negative impact on the flow of future income. Some advantages that may be gleaned from strategic purchases will be fee income, geographic distribution and profitability in addition to providing added funding and integration risks (Celestin, 2022). The debt level will make Marriott's current policy (distributions to shareholders and making investment allocations) right. This discretionary buy-back will ensure liquidity while the shortage of borrowing will gradually get reduced. Selective divestment (along with strategic growth targeting) would then help investments achieve their financial flexibility - without losing the growth.</w:t>
      </w:r>
    </w:p>
    <w:p w14:paraId="5A176520">
      <w:pPr>
        <w:pStyle w:val="3"/>
        <w:rPr>
          <w:rFonts w:ascii="Arial" w:hAnsi="Arial" w:cs="Arial"/>
          <w:szCs w:val="24"/>
        </w:rPr>
      </w:pPr>
      <w:bookmarkStart w:id="28" w:name="_Toc237530071"/>
      <w:r>
        <w:rPr>
          <w:rFonts w:ascii="Arial" w:hAnsi="Arial" w:cs="Arial"/>
          <w:szCs w:val="24"/>
        </w:rPr>
        <w:t>4.4 International and Ethical Considerations</w:t>
      </w:r>
      <w:bookmarkEnd w:id="28"/>
    </w:p>
    <w:p w14:paraId="4E8F5FE8">
      <w:pPr>
        <w:rPr>
          <w:rFonts w:ascii="Arial" w:hAnsi="Arial" w:cs="Arial"/>
          <w:szCs w:val="24"/>
        </w:rPr>
      </w:pPr>
      <w:r>
        <w:rPr>
          <w:rFonts w:ascii="Arial" w:hAnsi="Arial" w:cs="Arial"/>
          <w:szCs w:val="24"/>
        </w:rPr>
        <w:t>Structurally re-engineering a corporation on a global scale by the likes of Marriott has to consider the tax implications, currencies, inflation and geopolitical uncertainties of all 258 of Marriott's markets. Earnings and cash flows in foreign countries, along with investments in other countries may be impacted by the currency changes. It is important to mention, that restructuring has to be in line with local tax law, international tax concept and should do minimum possible tax leakage (Mirjana et al., 2022). Due to inflation and the increase in labour &amp; technological costs, property-service &amp; Suppliers’ Budget/Contract equates become equal to Area. Geographical diversification should also be kept as travellers’ flows can fluctuate due to the changes in economic and geopolitical conditions and hotels, due to travellers' flows, are exposed to the fluctuation in the travel demand.</w:t>
      </w:r>
    </w:p>
    <w:p w14:paraId="6D5F149B">
      <w:pPr>
        <w:rPr>
          <w:rFonts w:ascii="Arial" w:hAnsi="Arial" w:cs="Arial"/>
          <w:szCs w:val="24"/>
        </w:rPr>
      </w:pPr>
      <w:r>
        <w:rPr>
          <w:rFonts w:ascii="Arial" w:hAnsi="Arial" w:cs="Arial"/>
          <w:szCs w:val="24"/>
        </w:rPr>
        <w:t xml:space="preserve">Sustainability is an ethical issue and all the concerns of the complaint by shareholders, employees, customers, franchisee, supplier, local community and others need to be addressed during restructuring. For the decision to make the divestment or acquisition, different parties concerned (in any job function, customer service) shall be taken into consideration and the impact on employment will not be ignored (Khatter, 2025). So Marriott will have to make as effective and cost-efficient moves as they do, be fit for employers and implement necessary ESG commitments. The CFO is advised to venture into synergizing and aligning discipline, capital allocation and transparency and value creation, in the short and long-term and responsible governance. </w:t>
      </w:r>
    </w:p>
    <w:p w14:paraId="73A66987">
      <w:pPr>
        <w:pStyle w:val="2"/>
        <w:rPr>
          <w:rFonts w:ascii="Arial" w:hAnsi="Arial" w:cs="Arial"/>
          <w:sz w:val="24"/>
          <w:szCs w:val="24"/>
          <w:lang w:val="en-GB"/>
        </w:rPr>
      </w:pPr>
      <w:bookmarkStart w:id="29" w:name="_Toc237530072"/>
      <w:r>
        <w:rPr>
          <w:rFonts w:ascii="Arial" w:hAnsi="Arial" w:cs="Arial"/>
          <w:sz w:val="24"/>
          <w:szCs w:val="24"/>
          <w:lang w:val="en-GB"/>
        </w:rPr>
        <w:t>5. Investment Appraisal and Capital Budgeting</w:t>
      </w:r>
      <w:bookmarkEnd w:id="29"/>
    </w:p>
    <w:p w14:paraId="522B5D8C">
      <w:pPr>
        <w:pStyle w:val="3"/>
        <w:rPr>
          <w:rFonts w:ascii="Arial" w:hAnsi="Arial" w:cs="Arial"/>
          <w:szCs w:val="24"/>
        </w:rPr>
      </w:pPr>
      <w:bookmarkStart w:id="30" w:name="_Toc237530073"/>
      <w:r>
        <w:rPr>
          <w:rFonts w:ascii="Arial" w:hAnsi="Arial" w:cs="Arial"/>
          <w:szCs w:val="24"/>
        </w:rPr>
        <w:t>5.1 Investment Appraisal Context</w:t>
      </w:r>
      <w:bookmarkEnd w:id="30"/>
    </w:p>
    <w:p w14:paraId="64B0A74A">
      <w:pPr>
        <w:rPr>
          <w:rFonts w:ascii="Arial" w:hAnsi="Arial" w:cs="Arial"/>
          <w:szCs w:val="24"/>
        </w:rPr>
      </w:pPr>
      <w:r>
        <w:rPr>
          <w:rFonts w:ascii="Arial" w:hAnsi="Arial" w:cs="Arial"/>
          <w:szCs w:val="24"/>
        </w:rPr>
        <w:t>New capital investments power the benefits of development, technology &amp; operational for outposts at Marriott International. However, when the investment decision is made, the money received in a future year is discounted by its valuation of money (Krylovskyi, 2024). On this basis analysis of cash-flows is more valid criteria for analysing Projects A, B and C than is analysis of accounting profits. Marriott needs to assess all of these projects with the indicators of project payback period, Accounting rate of return, Net present value, Profitability index and Internal rate of return. These techniques can be used by management to assess profitability, liquidity and investment returns, as well as the risk created by these investments before putting their money to work. It is amazing indeed that in a company, the market of which has been cheapened with debt, a certain capital budget could be well-managed, which it is not in the present world.</w:t>
      </w:r>
    </w:p>
    <w:p w14:paraId="680E9D25">
      <w:pPr>
        <w:pStyle w:val="3"/>
        <w:rPr>
          <w:rFonts w:ascii="Arial" w:hAnsi="Arial" w:cs="Arial"/>
          <w:szCs w:val="24"/>
        </w:rPr>
      </w:pPr>
      <w:bookmarkStart w:id="31" w:name="_Toc237530074"/>
      <w:r>
        <w:rPr>
          <w:rFonts w:ascii="Arial" w:hAnsi="Arial" w:cs="Arial"/>
          <w:szCs w:val="24"/>
        </w:rPr>
        <w:t>5.2 Project Details and Assumptions</w:t>
      </w:r>
      <w:bookmarkEnd w:id="31"/>
    </w:p>
    <w:p w14:paraId="13AF776D">
      <w:pPr>
        <w:rPr>
          <w:rFonts w:ascii="Arial" w:hAnsi="Arial" w:cs="Arial"/>
          <w:szCs w:val="24"/>
        </w:rPr>
      </w:pPr>
      <w:r>
        <w:rPr>
          <w:rFonts w:ascii="Arial" w:hAnsi="Arial" w:cs="Arial"/>
          <w:szCs w:val="24"/>
        </w:rPr>
        <w:t>An investment appraisal is made for three projects that have the same initial investment, but different cash-flow patterns. This gives Marriott the ability to look at the size, and same the timing, of the returns on which they make an investment. There is a discount rate of 8% as given by the assessment and straight-line depreciation to zero for 5 years. Project Cash flow is typically considered as a yearly cash flow for appraisal purposes. Payback Period (PBP), Accounting Rate of Return (ARR), Net Present Value (NPV), Profitability Index (PI), and Internal Rate of Return (IRR) will then be used for evaluating the three projects. The results will also be used to support the final investment recommendation as well as the £100 million capital rationing decision.</w:t>
      </w:r>
    </w:p>
    <w:p w14:paraId="4D85420D">
      <w:pPr>
        <w:spacing w:after="0"/>
        <w:jc w:val="center"/>
        <w:rPr>
          <w:rFonts w:ascii="Arial" w:hAnsi="Arial" w:cs="Arial"/>
          <w:szCs w:val="24"/>
        </w:rPr>
      </w:pPr>
      <w:r>
        <w:rPr>
          <w:rFonts w:ascii="Arial" w:hAnsi="Arial" w:cs="Arial"/>
          <w:szCs w:val="24"/>
        </w:rPr>
        <w:drawing>
          <wp:inline distT="0" distB="0" distL="0" distR="0">
            <wp:extent cx="5731510" cy="10521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731510" cy="1052679"/>
                    </a:xfrm>
                    <a:prstGeom prst="rect">
                      <a:avLst/>
                    </a:prstGeom>
                    <a:noFill/>
                    <a:ln>
                      <a:noFill/>
                    </a:ln>
                  </pic:spPr>
                </pic:pic>
              </a:graphicData>
            </a:graphic>
          </wp:inline>
        </w:drawing>
      </w:r>
    </w:p>
    <w:p w14:paraId="0C43C212">
      <w:pPr>
        <w:pStyle w:val="6"/>
        <w:rPr>
          <w:rFonts w:ascii="Arial" w:hAnsi="Arial" w:cs="Arial"/>
          <w:color w:val="auto"/>
          <w:lang w:val="en-GB"/>
        </w:rPr>
      </w:pPr>
      <w:bookmarkStart w:id="32" w:name="_Toc237529865"/>
      <w:r>
        <w:rPr>
          <w:rFonts w:ascii="Arial" w:hAnsi="Arial" w:cs="Arial"/>
          <w:color w:val="auto"/>
          <w:lang w:val="en-GB"/>
        </w:rPr>
        <w:t>Table 9: Investment Project Cash Flows</w:t>
      </w:r>
      <w:bookmarkEnd w:id="32"/>
    </w:p>
    <w:p w14:paraId="1E78DBBF">
      <w:pPr>
        <w:jc w:val="center"/>
        <w:rPr>
          <w:rFonts w:ascii="Arial" w:hAnsi="Arial" w:cs="Arial"/>
          <w:szCs w:val="24"/>
        </w:rPr>
      </w:pPr>
      <w:r>
        <w:rPr>
          <w:rFonts w:ascii="Arial" w:hAnsi="Arial" w:cs="Arial"/>
          <w:szCs w:val="24"/>
        </w:rPr>
        <w:t>(Source: Developed by Learner)</w:t>
      </w:r>
    </w:p>
    <w:p w14:paraId="1D92F280">
      <w:pPr>
        <w:pStyle w:val="3"/>
        <w:rPr>
          <w:rFonts w:ascii="Arial" w:hAnsi="Arial" w:cs="Arial"/>
          <w:szCs w:val="24"/>
        </w:rPr>
      </w:pPr>
      <w:bookmarkStart w:id="33" w:name="_Toc237530075"/>
      <w:r>
        <w:rPr>
          <w:rFonts w:ascii="Arial" w:hAnsi="Arial" w:cs="Arial"/>
          <w:szCs w:val="24"/>
        </w:rPr>
        <w:t>5.3 Payback Period</w:t>
      </w:r>
      <w:bookmarkEnd w:id="33"/>
    </w:p>
    <w:p w14:paraId="296DD040">
      <w:pPr>
        <w:rPr>
          <w:rFonts w:ascii="Arial" w:hAnsi="Arial" w:cs="Arial"/>
          <w:szCs w:val="24"/>
        </w:rPr>
      </w:pPr>
      <w:r>
        <w:rPr>
          <w:rFonts w:ascii="Arial" w:hAnsi="Arial" w:cs="Arial"/>
          <w:szCs w:val="24"/>
        </w:rPr>
        <w:t>The time for each project to recover its original cash outlay of £50m is known as the Payback Period (PBP). Project C has the greatest cash flows during Years 3 and 4 and the shortest amount of recovery (3.60 years). It takes Project A about 4.50 years to get back its investment and Project B about 4.55 years. From a liquidity perspective, Project C would be most attractive to invest in as the derived flow would need to be realised sooner, thus Marriott’s investment would be protected early. Project B would then be the least desirable against all these particular points. The time value of money and the cash received after the investment has been recovered, however, is ignored by PBP which has a significant weakness (Sokolov, 2026). It can therefore be seen that it can actually deliver a return greater than the overall return on another project, even if it delivers lower overall return. For those investments, Marriott should always consider both PBP and NPV values, and not rely on PBP as the sole criterion.</w:t>
      </w:r>
    </w:p>
    <w:p w14:paraId="74DAE01E">
      <w:pPr>
        <w:spacing w:after="0"/>
        <w:rPr>
          <w:rFonts w:ascii="Arial" w:hAnsi="Arial" w:cs="Arial"/>
          <w:szCs w:val="24"/>
        </w:rPr>
      </w:pPr>
      <w:r>
        <w:rPr>
          <w:rFonts w:ascii="Arial" w:hAnsi="Arial" w:cs="Arial"/>
          <w:szCs w:val="24"/>
        </w:rPr>
        <w:drawing>
          <wp:inline distT="0" distB="0" distL="0" distR="0">
            <wp:extent cx="5731510" cy="1725295"/>
            <wp:effectExtent l="0" t="0" r="254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731510" cy="1725904"/>
                    </a:xfrm>
                    <a:prstGeom prst="rect">
                      <a:avLst/>
                    </a:prstGeom>
                    <a:noFill/>
                    <a:ln>
                      <a:noFill/>
                    </a:ln>
                  </pic:spPr>
                </pic:pic>
              </a:graphicData>
            </a:graphic>
          </wp:inline>
        </w:drawing>
      </w:r>
    </w:p>
    <w:p w14:paraId="0BD4D9EF">
      <w:pPr>
        <w:pStyle w:val="6"/>
        <w:rPr>
          <w:rFonts w:ascii="Arial" w:hAnsi="Arial" w:cs="Arial"/>
          <w:color w:val="auto"/>
          <w:lang w:val="en-GB"/>
        </w:rPr>
      </w:pPr>
      <w:bookmarkStart w:id="34" w:name="_Toc237529866"/>
      <w:r>
        <w:rPr>
          <w:rFonts w:ascii="Arial" w:hAnsi="Arial" w:cs="Arial"/>
          <w:color w:val="auto"/>
          <w:lang w:val="en-GB"/>
        </w:rPr>
        <w:t>Table 10: Payback Period Calculation</w:t>
      </w:r>
      <w:bookmarkEnd w:id="34"/>
    </w:p>
    <w:p w14:paraId="7FB96309">
      <w:pPr>
        <w:jc w:val="center"/>
        <w:rPr>
          <w:rFonts w:ascii="Arial" w:hAnsi="Arial" w:cs="Arial"/>
          <w:szCs w:val="24"/>
        </w:rPr>
      </w:pPr>
      <w:r>
        <w:rPr>
          <w:rFonts w:ascii="Arial" w:hAnsi="Arial" w:cs="Arial"/>
          <w:szCs w:val="24"/>
        </w:rPr>
        <w:t>(Source: Developed by Learner)</w:t>
      </w:r>
    </w:p>
    <w:p w14:paraId="06195FD6">
      <w:pPr>
        <w:pStyle w:val="3"/>
        <w:rPr>
          <w:rFonts w:ascii="Arial" w:hAnsi="Arial" w:cs="Arial"/>
          <w:szCs w:val="24"/>
        </w:rPr>
      </w:pPr>
      <w:bookmarkStart w:id="35" w:name="_Toc237530076"/>
      <w:r>
        <w:rPr>
          <w:rFonts w:ascii="Arial" w:hAnsi="Arial" w:cs="Arial"/>
          <w:szCs w:val="24"/>
        </w:rPr>
        <w:t>5.4 Accounting Rate of Return</w:t>
      </w:r>
      <w:bookmarkEnd w:id="35"/>
    </w:p>
    <w:p w14:paraId="167E491F">
      <w:pPr>
        <w:rPr>
          <w:rFonts w:ascii="Arial" w:hAnsi="Arial" w:cs="Arial"/>
          <w:szCs w:val="24"/>
        </w:rPr>
      </w:pPr>
      <w:r>
        <w:rPr>
          <w:rFonts w:ascii="Arial" w:hAnsi="Arial" w:cs="Arial"/>
          <w:szCs w:val="24"/>
        </w:rPr>
        <w:t>An accounting rate of return is used when analysing the profitability of an investment: Average annual accounting profit/Average investment. Project C would have the highest ARR of 12.00% and then Project B at 4.00% and last Project A with no residual value at 3.20%. Project C therefore earns a higher accounting return than project B since project C's massive cash inflows in Year 3 and Year 4 lead to the higher average accounting profits after depreciation. Project B wreaks a consistent – but low – accounting profit each year, while project A earns lower average accounting profit. ARR is not an optimum way of computing, however, as it is based on accounting profit and do not fully incorporate the time value of money (Gormsen and Huber, 2025). Therefore, Marriott cannot afford to be advised by ARR when deciding on decisions being taken to serve the interests of the shareholders in the context of shareholder value maximisation.</w:t>
      </w:r>
    </w:p>
    <w:p w14:paraId="05C7DC78">
      <w:pPr>
        <w:pStyle w:val="3"/>
        <w:rPr>
          <w:rFonts w:ascii="Arial" w:hAnsi="Arial" w:cs="Arial"/>
          <w:szCs w:val="24"/>
        </w:rPr>
      </w:pPr>
      <w:bookmarkStart w:id="36" w:name="_Toc237530077"/>
      <w:r>
        <w:rPr>
          <w:rFonts w:ascii="Arial" w:hAnsi="Arial" w:cs="Arial"/>
          <w:szCs w:val="24"/>
        </w:rPr>
        <w:t>5.5 Net Present Value</w:t>
      </w:r>
      <w:bookmarkEnd w:id="36"/>
    </w:p>
    <w:p w14:paraId="5F618F87">
      <w:pPr>
        <w:rPr>
          <w:rFonts w:ascii="Arial" w:hAnsi="Arial" w:cs="Arial"/>
          <w:szCs w:val="24"/>
        </w:rPr>
      </w:pPr>
      <w:r>
        <w:rPr>
          <w:rFonts w:ascii="Arial" w:hAnsi="Arial" w:cs="Arial"/>
          <w:szCs w:val="24"/>
        </w:rPr>
        <w:t>The projects are assessed based on: future cash inflow discounted at Marriott 's 8% discount rate - initial investment of £50 million. Unlike PBP, ARR considers the time value of money and is more effective in suggesting whether a project adds financial value. The highest cash inflows (NPV positive £0.86 million) that can be found from project C is £50.86 million. To determine the present values of projects A &amp; B, approximate answer to the following, and then calculate the corresponding NPVs of projects A &amp; B. project A project B £43.46 million £43.92 million NPVs – £6.54 million – £6.08 million So project C is the only project to pass the NPV &gt; 0 criterion of the traditional NPV decision rule. However, these projects, A and B, would be rejected based on financial constraints because they would destroy value at 8% discount rate. Project C's positive NPV means that the discounted cash inflows are just slightly over initial investment and are the best investment in terms of shareholder-value creation.</w:t>
      </w:r>
    </w:p>
    <w:p w14:paraId="3CCC2721">
      <w:pPr>
        <w:spacing w:after="0"/>
        <w:rPr>
          <w:rFonts w:ascii="Arial" w:hAnsi="Arial" w:cs="Arial"/>
          <w:szCs w:val="24"/>
        </w:rPr>
      </w:pPr>
      <w:r>
        <w:rPr>
          <w:rFonts w:ascii="Arial" w:hAnsi="Arial" w:cs="Arial"/>
          <w:szCs w:val="24"/>
        </w:rPr>
        <w:drawing>
          <wp:inline distT="0" distB="0" distL="0" distR="0">
            <wp:extent cx="5731510" cy="1332865"/>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731510" cy="1332983"/>
                    </a:xfrm>
                    <a:prstGeom prst="rect">
                      <a:avLst/>
                    </a:prstGeom>
                    <a:noFill/>
                    <a:ln>
                      <a:noFill/>
                    </a:ln>
                  </pic:spPr>
                </pic:pic>
              </a:graphicData>
            </a:graphic>
          </wp:inline>
        </w:drawing>
      </w:r>
    </w:p>
    <w:p w14:paraId="7F05E4D7">
      <w:pPr>
        <w:pStyle w:val="6"/>
        <w:rPr>
          <w:rFonts w:ascii="Arial" w:hAnsi="Arial" w:cs="Arial"/>
          <w:color w:val="auto"/>
          <w:lang w:val="en-GB"/>
        </w:rPr>
      </w:pPr>
      <w:bookmarkStart w:id="37" w:name="_Toc237529867"/>
      <w:r>
        <w:rPr>
          <w:rFonts w:ascii="Arial" w:hAnsi="Arial" w:cs="Arial"/>
          <w:color w:val="auto"/>
          <w:lang w:val="en-GB"/>
        </w:rPr>
        <w:t>Table 11: NPV Comparison at 8%</w:t>
      </w:r>
      <w:bookmarkEnd w:id="37"/>
    </w:p>
    <w:p w14:paraId="202913BA">
      <w:pPr>
        <w:jc w:val="center"/>
        <w:rPr>
          <w:rFonts w:ascii="Arial" w:hAnsi="Arial" w:cs="Arial"/>
          <w:szCs w:val="24"/>
        </w:rPr>
      </w:pPr>
      <w:r>
        <w:rPr>
          <w:rFonts w:ascii="Arial" w:hAnsi="Arial" w:cs="Arial"/>
          <w:szCs w:val="24"/>
        </w:rPr>
        <w:t>(Source: Developed by Learner)</w:t>
      </w:r>
    </w:p>
    <w:p w14:paraId="62E69791">
      <w:pPr>
        <w:pStyle w:val="3"/>
        <w:rPr>
          <w:rFonts w:ascii="Arial" w:hAnsi="Arial" w:cs="Arial"/>
          <w:szCs w:val="24"/>
        </w:rPr>
      </w:pPr>
      <w:bookmarkStart w:id="38" w:name="_Toc237530078"/>
      <w:r>
        <w:rPr>
          <w:rFonts w:ascii="Arial" w:hAnsi="Arial" w:cs="Arial"/>
          <w:szCs w:val="24"/>
        </w:rPr>
        <w:t>5.6 Profitability Index</w:t>
      </w:r>
      <w:bookmarkEnd w:id="38"/>
    </w:p>
    <w:p w14:paraId="43517D14">
      <w:pPr>
        <w:rPr>
          <w:rFonts w:ascii="Arial" w:hAnsi="Arial" w:cs="Arial"/>
          <w:szCs w:val="24"/>
        </w:rPr>
      </w:pPr>
      <w:r>
        <w:rPr>
          <w:rFonts w:ascii="Arial" w:hAnsi="Arial" w:cs="Arial"/>
          <w:szCs w:val="24"/>
        </w:rPr>
        <w:t>Profitability Index (PI) gives a measure of the amount of Present Value generated by each £1 of the initial capital invested. When the capital expenditure of a project is fixed and the projects being compared are by NPV, this is especially important. Project C has a PI of 1.02 – for every £1 invested, about 1.02 of discounted cash inflows is generated. Project B discounted cash inflow = -0.88, Project A discounted cash inflow = -0.87 indicate that discounted cash inflow is not within the limits of initial investment at 8% discount rate. This will then mean that C&gt;B&gt;A for the ranking of the PIs, consistent with the NPV choice (Chandra and Naik 2025). The only project with a PI greater than 1.0 is project C and as such will have a positive PI at this discount rate. Marriott 's only opinion is that this on the financial side brings together the investment preference of Project C. Prior to final approval, however, consider risks from a strategic, operational and international perspective.</w:t>
      </w:r>
    </w:p>
    <w:p w14:paraId="28383538">
      <w:pPr>
        <w:spacing w:after="0"/>
        <w:rPr>
          <w:rFonts w:ascii="Arial" w:hAnsi="Arial" w:cs="Arial"/>
          <w:szCs w:val="24"/>
        </w:rPr>
      </w:pPr>
      <w:r>
        <w:rPr>
          <w:rFonts w:ascii="Arial" w:hAnsi="Arial" w:cs="Arial"/>
          <w:szCs w:val="24"/>
        </w:rPr>
        <w:drawing>
          <wp:inline distT="0" distB="0" distL="0" distR="0">
            <wp:extent cx="5731510" cy="1171575"/>
            <wp:effectExtent l="0" t="0" r="254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731510" cy="1171722"/>
                    </a:xfrm>
                    <a:prstGeom prst="rect">
                      <a:avLst/>
                    </a:prstGeom>
                    <a:noFill/>
                    <a:ln>
                      <a:noFill/>
                    </a:ln>
                  </pic:spPr>
                </pic:pic>
              </a:graphicData>
            </a:graphic>
          </wp:inline>
        </w:drawing>
      </w:r>
    </w:p>
    <w:p w14:paraId="0F5E6DBA">
      <w:pPr>
        <w:pStyle w:val="6"/>
        <w:rPr>
          <w:rFonts w:ascii="Arial" w:hAnsi="Arial" w:cs="Arial"/>
          <w:color w:val="auto"/>
          <w:lang w:val="en-GB"/>
        </w:rPr>
      </w:pPr>
      <w:bookmarkStart w:id="39" w:name="_Toc237529868"/>
      <w:r>
        <w:rPr>
          <w:rFonts w:ascii="Arial" w:hAnsi="Arial" w:cs="Arial"/>
          <w:color w:val="auto"/>
          <w:lang w:val="en-GB"/>
        </w:rPr>
        <w:t>Table 12: Profitability Index Comparison</w:t>
      </w:r>
      <w:bookmarkEnd w:id="39"/>
    </w:p>
    <w:p w14:paraId="34A43DE1">
      <w:pPr>
        <w:jc w:val="center"/>
        <w:rPr>
          <w:rFonts w:ascii="Arial" w:hAnsi="Arial" w:cs="Arial"/>
          <w:szCs w:val="24"/>
        </w:rPr>
      </w:pPr>
      <w:r>
        <w:rPr>
          <w:rFonts w:ascii="Arial" w:hAnsi="Arial" w:cs="Arial"/>
          <w:szCs w:val="24"/>
        </w:rPr>
        <w:t>(Source: Developed by Learner)</w:t>
      </w:r>
    </w:p>
    <w:p w14:paraId="1BE6BB41">
      <w:pPr>
        <w:pStyle w:val="3"/>
        <w:rPr>
          <w:rFonts w:ascii="Arial" w:hAnsi="Arial" w:cs="Arial"/>
          <w:szCs w:val="24"/>
        </w:rPr>
      </w:pPr>
      <w:bookmarkStart w:id="40" w:name="_Toc237530079"/>
      <w:r>
        <w:rPr>
          <w:rFonts w:ascii="Arial" w:hAnsi="Arial" w:cs="Arial"/>
          <w:szCs w:val="24"/>
        </w:rPr>
        <w:t>5.7 Internal Rate of Return</w:t>
      </w:r>
      <w:bookmarkEnd w:id="40"/>
    </w:p>
    <w:p w14:paraId="7DAA7045">
      <w:pPr>
        <w:rPr>
          <w:rFonts w:ascii="Arial" w:hAnsi="Arial" w:cs="Arial"/>
          <w:szCs w:val="24"/>
        </w:rPr>
      </w:pPr>
      <w:r>
        <w:rPr>
          <w:rFonts w:ascii="Arial" w:hAnsi="Arial" w:cs="Arial"/>
          <w:szCs w:val="24"/>
        </w:rPr>
        <w:t>IRR is a discount rate which causes NPV to zero. Project A has an IRR of about 2.72% and Project B has an IRR of 3.26%. Project C has the highest IRR of approximately 8.59 %. The required return is 8%; thus Project C slightly meets its investment hurdle rate. The ranking by ARR, NPV and PI are same as that by IRR – C&gt;B&gt;A. Projects A and B should both be rejected due to the required return of 8% and their IRRs are both less than that (Wangchuk, 2022). The IRR for Project "C" is accepted because (8.59%) is a little above the required IRR of (8.09%). There are still two keys left to project C: NPV and IRR. Two more keys for Project C: NPV and IRR. In these situations, however, NPV would be preferred to IRR, which works on a percentage basis and may present problems when dealing with special cash-flows. Therefore, IRR cannot be depended upon solely for Marriott 's investment decision, but should be used in conjunction with NPV.</w:t>
      </w:r>
    </w:p>
    <w:p w14:paraId="0EA20819">
      <w:pPr>
        <w:rPr>
          <w:rFonts w:ascii="Arial" w:hAnsi="Arial" w:cs="Arial"/>
          <w:szCs w:val="24"/>
        </w:rPr>
      </w:pPr>
      <w:r>
        <w:rPr>
          <w:rFonts w:ascii="Arial" w:hAnsi="Arial" w:cs="Arial"/>
          <w:szCs w:val="24"/>
        </w:rPr>
        <w:drawing>
          <wp:inline distT="0" distB="0" distL="0" distR="0">
            <wp:extent cx="5731510" cy="133794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731510" cy="1338145"/>
                    </a:xfrm>
                    <a:prstGeom prst="rect">
                      <a:avLst/>
                    </a:prstGeom>
                    <a:noFill/>
                    <a:ln>
                      <a:noFill/>
                    </a:ln>
                  </pic:spPr>
                </pic:pic>
              </a:graphicData>
            </a:graphic>
          </wp:inline>
        </w:drawing>
      </w:r>
    </w:p>
    <w:p w14:paraId="791D5250">
      <w:pPr>
        <w:pStyle w:val="6"/>
        <w:rPr>
          <w:rFonts w:ascii="Arial" w:hAnsi="Arial" w:cs="Arial"/>
          <w:color w:val="auto"/>
          <w:lang w:val="en-GB"/>
        </w:rPr>
      </w:pPr>
      <w:bookmarkStart w:id="41" w:name="_Toc237529869"/>
      <w:r>
        <w:rPr>
          <w:rFonts w:ascii="Arial" w:hAnsi="Arial" w:cs="Arial"/>
          <w:color w:val="auto"/>
          <w:lang w:val="en-GB"/>
        </w:rPr>
        <w:t>Table 13: Internal Rate of Return</w:t>
      </w:r>
      <w:bookmarkEnd w:id="41"/>
    </w:p>
    <w:p w14:paraId="74EBBFD8">
      <w:pPr>
        <w:jc w:val="center"/>
        <w:rPr>
          <w:rFonts w:ascii="Arial" w:hAnsi="Arial" w:cs="Arial"/>
          <w:szCs w:val="24"/>
        </w:rPr>
      </w:pPr>
      <w:r>
        <w:rPr>
          <w:rFonts w:ascii="Arial" w:hAnsi="Arial" w:cs="Arial"/>
          <w:szCs w:val="24"/>
        </w:rPr>
        <w:t>(Source: Developed by Learner)</w:t>
      </w:r>
    </w:p>
    <w:p w14:paraId="132BBA2E">
      <w:pPr>
        <w:rPr>
          <w:rFonts w:ascii="Arial" w:hAnsi="Arial" w:cs="Arial"/>
          <w:b/>
          <w:bCs/>
          <w:i/>
          <w:szCs w:val="24"/>
        </w:rPr>
      </w:pPr>
      <w:r>
        <w:rPr>
          <w:rFonts w:ascii="Arial" w:hAnsi="Arial" w:cs="Arial"/>
          <w:b/>
          <w:bCs/>
          <w:i/>
          <w:szCs w:val="24"/>
        </w:rPr>
        <w:t>Critical comparison</w:t>
      </w:r>
    </w:p>
    <w:p w14:paraId="0F92422B">
      <w:pPr>
        <w:rPr>
          <w:rFonts w:ascii="Arial" w:hAnsi="Arial" w:cs="Arial"/>
          <w:szCs w:val="24"/>
        </w:rPr>
      </w:pPr>
      <w:r>
        <w:rPr>
          <w:rFonts w:ascii="Arial" w:hAnsi="Arial" w:cs="Arial"/>
          <w:szCs w:val="24"/>
        </w:rPr>
        <w:t>Ranking across the various investment techniques give a consistent overall ranking: from A to B to C with Project C being top for each. However, there are various techniques methods to assess the performance of the investment. The factors PBP emphasizes are fast recovery, while those of ARR are accounting profitability, NPV emphasizes absolute value creation, and PI emphasizes value per pound of invested. The consistency is crucial given the strong result that Project C would get despite a significant increase in cash inflows later in life.</w:t>
      </w:r>
    </w:p>
    <w:p w14:paraId="79011BB9">
      <w:pPr>
        <w:pStyle w:val="3"/>
        <w:rPr>
          <w:rFonts w:ascii="Arial" w:hAnsi="Arial" w:cs="Arial"/>
          <w:szCs w:val="24"/>
        </w:rPr>
      </w:pPr>
      <w:bookmarkStart w:id="42" w:name="_Toc237530080"/>
      <w:r>
        <w:rPr>
          <w:rFonts w:ascii="Arial" w:hAnsi="Arial" w:cs="Arial"/>
          <w:szCs w:val="24"/>
        </w:rPr>
        <w:t>5.8 Recommended Investment Project</w:t>
      </w:r>
      <w:bookmarkEnd w:id="42"/>
    </w:p>
    <w:p w14:paraId="3A917993">
      <w:pPr>
        <w:rPr>
          <w:rFonts w:ascii="Arial" w:hAnsi="Arial" w:cs="Arial"/>
          <w:szCs w:val="24"/>
        </w:rPr>
      </w:pPr>
      <w:r>
        <w:rPr>
          <w:rFonts w:ascii="Arial" w:hAnsi="Arial" w:cs="Arial"/>
          <w:szCs w:val="24"/>
        </w:rPr>
        <w:t>As can be seen from the analysis above, the method employed by the appraisal process intended for the Project C will benefit the most financially to the appraisal firm through the three appraisal methods that have been analysed by Marriott International, Inc. The project pays back investment £50 million the quickest – 3.60 years – against the other two projects, helping to ease the initial £50m investment back investment faster - with less liquidity risk. It is important of note that Project C can make a profit in terms of ARR 51.94% which is much greater than the other projects which are A and B with NFPV values of £6.54 million and £6.08 million respectively. It has a PV of the cash inflows of 1.02; therefore, slightly more than the PV of the cash outflows and an IRR of 8.59% which is slightly above an 8% discount rate. In addition to finances, other qualities required for selection are Marriott's strategic positioning, customer-friendly and operations to enhance the hotel's functional efficiency. However, political, operational, and market risk should be considered prior to the implementation. Project C has the highest liquidity, value and strategic potential of the other projects. The best possible balance of profits, liquidity recovered, value added, and strategic opportunity gained from these projects (Marriott International, Inc., 2026).</w:t>
      </w:r>
    </w:p>
    <w:p w14:paraId="79F1CF7F">
      <w:pPr>
        <w:pStyle w:val="3"/>
        <w:rPr>
          <w:rFonts w:ascii="Arial" w:hAnsi="Arial" w:cs="Arial"/>
          <w:szCs w:val="24"/>
        </w:rPr>
      </w:pPr>
      <w:bookmarkStart w:id="43" w:name="_Toc237530081"/>
      <w:r>
        <w:rPr>
          <w:rFonts w:ascii="Arial" w:hAnsi="Arial" w:cs="Arial"/>
          <w:szCs w:val="24"/>
        </w:rPr>
        <w:t>5.9 Capital Rationing</w:t>
      </w:r>
      <w:bookmarkEnd w:id="43"/>
    </w:p>
    <w:p w14:paraId="4CB225D6">
      <w:pPr>
        <w:rPr>
          <w:rFonts w:ascii="Arial" w:hAnsi="Arial" w:cs="Arial"/>
          <w:szCs w:val="24"/>
        </w:rPr>
      </w:pPr>
      <w:r>
        <w:rPr>
          <w:rFonts w:ascii="Arial" w:hAnsi="Arial" w:cs="Arial"/>
          <w:szCs w:val="24"/>
        </w:rPr>
        <w:t>Marriott will invest up to £100 million and could invest in each of the following projects which costs £50 million. The projections are A+B, A+C and B+C. For each of these combinations the combined NPV is negative though, and if one were to decide on investment based on the combined investment of £100 million, they would be losing shareholder value at the 8% expected return. With all three combinations, the lowest combined NPV is for B+C, with a combined NPV of just about −£5.22 million, with A+C being the second highest with a combined NPV of −£5.69 million and A+B being the highest with a combined NPV of −£12.62 million (Khan, 2024). Therefore it is not valid to accept any combination, to maximise the NPV. There must be a balance of £50m kept to invest in a suitable "value creating investment", not Project C.</w:t>
      </w:r>
    </w:p>
    <w:p w14:paraId="69624F64">
      <w:pPr>
        <w:jc w:val="center"/>
        <w:rPr>
          <w:rFonts w:ascii="Arial" w:hAnsi="Arial" w:cs="Arial"/>
          <w:szCs w:val="24"/>
        </w:rPr>
      </w:pPr>
      <w:r>
        <w:rPr>
          <w:rFonts w:ascii="Arial" w:hAnsi="Arial" w:cs="Arial"/>
          <w:szCs w:val="24"/>
        </w:rPr>
        <w:drawing>
          <wp:inline distT="0" distB="0" distL="0" distR="0">
            <wp:extent cx="5731510" cy="12852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731510" cy="1285860"/>
                    </a:xfrm>
                    <a:prstGeom prst="rect">
                      <a:avLst/>
                    </a:prstGeom>
                    <a:noFill/>
                    <a:ln>
                      <a:noFill/>
                    </a:ln>
                  </pic:spPr>
                </pic:pic>
              </a:graphicData>
            </a:graphic>
          </wp:inline>
        </w:drawing>
      </w:r>
    </w:p>
    <w:p w14:paraId="7B8CA88F">
      <w:pPr>
        <w:pStyle w:val="6"/>
        <w:rPr>
          <w:rFonts w:ascii="Arial" w:hAnsi="Arial" w:cs="Arial"/>
          <w:color w:val="auto"/>
          <w:lang w:val="en-GB"/>
        </w:rPr>
      </w:pPr>
      <w:bookmarkStart w:id="44" w:name="_Toc237529870"/>
      <w:r>
        <w:rPr>
          <w:rFonts w:ascii="Arial" w:hAnsi="Arial" w:cs="Arial"/>
          <w:color w:val="auto"/>
          <w:lang w:val="en-GB"/>
        </w:rPr>
        <w:t>Table 14: Capital Rationing</w:t>
      </w:r>
      <w:bookmarkEnd w:id="44"/>
    </w:p>
    <w:p w14:paraId="5E2B721B">
      <w:pPr>
        <w:jc w:val="center"/>
        <w:rPr>
          <w:rFonts w:ascii="Arial" w:hAnsi="Arial" w:cs="Arial"/>
          <w:szCs w:val="24"/>
        </w:rPr>
      </w:pPr>
      <w:r>
        <w:rPr>
          <w:rFonts w:ascii="Arial" w:hAnsi="Arial" w:cs="Arial"/>
          <w:szCs w:val="24"/>
        </w:rPr>
        <w:t>(Source: Developed by Learner)</w:t>
      </w:r>
    </w:p>
    <w:p w14:paraId="43C54EE6">
      <w:pPr>
        <w:rPr>
          <w:rFonts w:ascii="Arial" w:hAnsi="Arial" w:cs="Arial"/>
          <w:szCs w:val="24"/>
        </w:rPr>
      </w:pPr>
      <w:r>
        <w:rPr>
          <w:rFonts w:ascii="Arial" w:hAnsi="Arial" w:cs="Arial"/>
          <w:b/>
          <w:bCs/>
          <w:szCs w:val="24"/>
        </w:rPr>
        <w:t>Recommended capital allocation:</w:t>
      </w:r>
    </w:p>
    <w:p w14:paraId="0370A646">
      <w:pPr>
        <w:jc w:val="left"/>
        <w:rPr>
          <w:rFonts w:ascii="Arial" w:hAnsi="Arial" w:cs="Arial"/>
          <w:szCs w:val="24"/>
        </w:rPr>
      </w:pPr>
      <w:r>
        <w:rPr>
          <w:rFonts w:ascii="Arial" w:hAnsi="Arial" w:cs="Arial"/>
          <w:b/>
          <w:bCs/>
          <w:szCs w:val="24"/>
        </w:rPr>
        <w:t xml:space="preserve">Project C = </w:t>
      </w:r>
      <w:r>
        <w:rPr>
          <w:rFonts w:ascii="Arial" w:hAnsi="Arial" w:cs="Arial"/>
          <w:bCs/>
          <w:szCs w:val="24"/>
        </w:rPr>
        <w:t>£50 million</w:t>
      </w:r>
      <w:r>
        <w:rPr>
          <w:rFonts w:ascii="Arial" w:hAnsi="Arial" w:cs="Arial"/>
          <w:szCs w:val="24"/>
        </w:rPr>
        <w:t xml:space="preserve"> </w:t>
      </w:r>
      <w:r>
        <w:rPr>
          <w:rFonts w:ascii="Arial" w:hAnsi="Arial" w:cs="Arial"/>
          <w:szCs w:val="24"/>
        </w:rPr>
        <w:br w:type="textWrapping"/>
      </w:r>
      <w:r>
        <w:rPr>
          <w:rFonts w:ascii="Arial" w:hAnsi="Arial" w:cs="Arial"/>
          <w:b/>
          <w:bCs/>
          <w:szCs w:val="24"/>
        </w:rPr>
        <w:t xml:space="preserve">Uncommitted capital = </w:t>
      </w:r>
      <w:r>
        <w:rPr>
          <w:rFonts w:ascii="Arial" w:hAnsi="Arial" w:cs="Arial"/>
          <w:bCs/>
          <w:szCs w:val="24"/>
        </w:rPr>
        <w:t>£50 million</w:t>
      </w:r>
    </w:p>
    <w:p w14:paraId="13A7814E">
      <w:pPr>
        <w:rPr>
          <w:rFonts w:ascii="Arial" w:hAnsi="Arial" w:cs="Arial"/>
          <w:szCs w:val="24"/>
        </w:rPr>
      </w:pPr>
      <w:r>
        <w:rPr>
          <w:rFonts w:ascii="Arial" w:hAnsi="Arial" w:cs="Arial"/>
          <w:szCs w:val="24"/>
        </w:rPr>
        <w:t>This is better than spreading the £100m out amongst a series of joint value destructive projects.</w:t>
      </w:r>
    </w:p>
    <w:p w14:paraId="1C1857D1">
      <w:pPr>
        <w:pStyle w:val="2"/>
        <w:rPr>
          <w:rFonts w:ascii="Arial" w:hAnsi="Arial" w:cs="Arial"/>
          <w:sz w:val="24"/>
          <w:szCs w:val="24"/>
          <w:lang w:val="en-GB"/>
        </w:rPr>
      </w:pPr>
      <w:bookmarkStart w:id="45" w:name="_Toc237530082"/>
      <w:r>
        <w:rPr>
          <w:rFonts w:ascii="Arial" w:hAnsi="Arial" w:cs="Arial"/>
          <w:sz w:val="24"/>
          <w:szCs w:val="24"/>
          <w:lang w:val="en-GB"/>
        </w:rPr>
        <w:t>6. Critical Reflection on AI Usage</w:t>
      </w:r>
      <w:bookmarkEnd w:id="45"/>
      <w:r>
        <w:rPr>
          <w:rFonts w:ascii="Arial" w:hAnsi="Arial" w:cs="Arial"/>
          <w:sz w:val="24"/>
          <w:szCs w:val="24"/>
          <w:lang w:val="en-GB"/>
        </w:rPr>
        <w:t xml:space="preserve">  </w:t>
      </w:r>
    </w:p>
    <w:p w14:paraId="6CEDB587">
      <w:pPr>
        <w:pStyle w:val="3"/>
        <w:rPr>
          <w:rFonts w:ascii="Arial" w:hAnsi="Arial" w:cs="Arial"/>
          <w:szCs w:val="24"/>
        </w:rPr>
      </w:pPr>
      <w:bookmarkStart w:id="46" w:name="_Toc237530083"/>
      <w:r>
        <w:rPr>
          <w:rFonts w:ascii="Arial" w:hAnsi="Arial" w:cs="Arial"/>
          <w:szCs w:val="24"/>
        </w:rPr>
        <w:t>6.1 AI Tools and Their Uses</w:t>
      </w:r>
      <w:bookmarkEnd w:id="46"/>
    </w:p>
    <w:p w14:paraId="7659FC9E">
      <w:pPr>
        <w:rPr>
          <w:rFonts w:ascii="Arial" w:hAnsi="Arial" w:cs="Arial"/>
          <w:szCs w:val="24"/>
        </w:rPr>
      </w:pPr>
      <w:r>
        <w:rPr>
          <w:rFonts w:ascii="Arial" w:hAnsi="Arial" w:cs="Arial"/>
          <w:szCs w:val="24"/>
        </w:rPr>
        <w:t>AI tools were used as permitted support for research, data analysis and proofreading. The AI Assistant was used to understand financial concepts, ideas and to identify areas that needed to be confirmed. The Excel application was used to present 5 year financial data, undertake formula calculations, profitability, liquidity and efficiency analysis, to present profit statements, cash flow statements, investment appraisal statements and gearing statements. AI also offered assistance with identifying inconsistencies in language, Grammar, clarity and repetition enhanced by proofreading. So, AI was not used as a tool for a financial analysis or academic decision making but as an assistant.</w:t>
      </w:r>
    </w:p>
    <w:p w14:paraId="753D2DE9">
      <w:pPr>
        <w:pStyle w:val="3"/>
        <w:rPr>
          <w:rFonts w:ascii="Arial" w:hAnsi="Arial" w:cs="Arial"/>
          <w:szCs w:val="24"/>
        </w:rPr>
      </w:pPr>
      <w:bookmarkStart w:id="47" w:name="_Toc237530084"/>
      <w:r>
        <w:rPr>
          <w:rFonts w:ascii="Arial" w:hAnsi="Arial" w:cs="Arial"/>
          <w:szCs w:val="24"/>
        </w:rPr>
        <w:t>6.2 Verification of AI Outputs</w:t>
      </w:r>
      <w:bookmarkEnd w:id="47"/>
    </w:p>
    <w:p w14:paraId="47172EDE">
      <w:pPr>
        <w:rPr>
          <w:rFonts w:ascii="Arial" w:hAnsi="Arial" w:cs="Arial"/>
          <w:szCs w:val="24"/>
        </w:rPr>
      </w:pPr>
      <w:r>
        <w:rPr>
          <w:rFonts w:ascii="Arial" w:hAnsi="Arial" w:cs="Arial"/>
          <w:szCs w:val="24"/>
        </w:rPr>
        <w:t>All the information generated by AI is verified independently before use. Financial data was compared with the company’s annual reports and original financial statements, to verify revenue, profit, assets, hence liabilities and cash flow and debt. Raw data was used and checked with existing formulas in an independent Excel calculation. These tests were made of ratio analysis, cash operating cycle calculations and the results of investment appraisal, rather than them being accepted directly from AI. Academic ideas were compared with academic and professional texts. Claims from sources were compared and recalculated for inconsistencies or unsupported claims. Valid evidence was used to correct errors, minimizing the risk of hallucination to assure a faithful and repeatable analysis.</w:t>
      </w:r>
    </w:p>
    <w:p w14:paraId="5F6DD1CA">
      <w:pPr>
        <w:pStyle w:val="3"/>
        <w:rPr>
          <w:rFonts w:ascii="Arial" w:hAnsi="Arial" w:cs="Arial"/>
          <w:szCs w:val="24"/>
        </w:rPr>
      </w:pPr>
      <w:bookmarkStart w:id="48" w:name="_Toc237530085"/>
      <w:r>
        <w:rPr>
          <w:rFonts w:ascii="Arial" w:hAnsi="Arial" w:cs="Arial"/>
          <w:szCs w:val="24"/>
        </w:rPr>
        <w:t>6.3 AI Contribution vs Original Contribution</w:t>
      </w:r>
      <w:bookmarkEnd w:id="48"/>
    </w:p>
    <w:p w14:paraId="131615BE">
      <w:pPr>
        <w:rPr>
          <w:rFonts w:ascii="Arial" w:hAnsi="Arial" w:cs="Arial"/>
          <w:szCs w:val="24"/>
        </w:rPr>
      </w:pPr>
      <w:r>
        <w:rPr>
          <w:rFonts w:ascii="Arial" w:hAnsi="Arial" w:cs="Arial"/>
          <w:szCs w:val="24"/>
        </w:rPr>
        <w:t>Another area of using AI in learning: studying, calculating, advising or providing feedback, checking and proofreading. Other tasks that I found very significant were Selection of Input data, Trend Analysis over 5 years, Liquidity analysis and Risk analysis, Input Evaluation and Investment/Restructuring Recommendation. AI has helped with a financial analysis and/or with strategic judgement/investment decision, but not by themselves or without and/or without some support.</w:t>
      </w:r>
    </w:p>
    <w:p w14:paraId="514CC7F4">
      <w:pPr>
        <w:rPr>
          <w:rFonts w:ascii="Arial" w:hAnsi="Arial" w:cs="Arial"/>
          <w:b/>
          <w:bCs/>
          <w:szCs w:val="24"/>
        </w:rPr>
      </w:pPr>
      <w:r>
        <w:rPr>
          <w:rFonts w:ascii="Arial" w:hAnsi="Arial" w:cs="Arial"/>
          <w:b/>
          <w:bCs/>
          <w:szCs w:val="24"/>
        </w:rPr>
        <w:t xml:space="preserve">6.4 Ethical and Professional Reflection </w:t>
      </w:r>
    </w:p>
    <w:p w14:paraId="099FC2BF">
      <w:pPr>
        <w:rPr>
          <w:rFonts w:ascii="Arial" w:hAnsi="Arial" w:cs="Arial"/>
          <w:szCs w:val="24"/>
        </w:rPr>
      </w:pPr>
      <w:r>
        <w:rPr>
          <w:rFonts w:ascii="Arial" w:hAnsi="Arial" w:cs="Arial"/>
          <w:szCs w:val="24"/>
        </w:rPr>
        <w:t>Transparency, confidentiality and accountability are key to responsible AI usage. The use of AI hallucinations and overreliance could impact the financial analysis. Hence, the output was verified with authoritative sources and independent calculations. AI can be used to assist with research, analysis and proofreading, but human judgment is needed for the subsequent interpretation, recommendations and CFO decision making.</w:t>
      </w:r>
    </w:p>
    <w:p w14:paraId="50FECA77">
      <w:pPr>
        <w:pStyle w:val="2"/>
        <w:rPr>
          <w:rFonts w:ascii="Arial" w:hAnsi="Arial" w:cs="Arial"/>
          <w:sz w:val="24"/>
          <w:szCs w:val="24"/>
          <w:lang w:val="en-GB"/>
        </w:rPr>
      </w:pPr>
      <w:bookmarkStart w:id="49" w:name="_Toc237530086"/>
      <w:r>
        <w:rPr>
          <w:rFonts w:ascii="Arial" w:hAnsi="Arial" w:cs="Arial"/>
          <w:sz w:val="24"/>
          <w:szCs w:val="24"/>
          <w:lang w:val="en-GB"/>
        </w:rPr>
        <w:t>7. Conclusion</w:t>
      </w:r>
      <w:bookmarkEnd w:id="49"/>
    </w:p>
    <w:p w14:paraId="59AA1018">
      <w:pPr>
        <w:rPr>
          <w:rFonts w:ascii="Arial" w:hAnsi="Arial" w:cs="Arial"/>
          <w:szCs w:val="24"/>
        </w:rPr>
      </w:pPr>
      <w:r>
        <w:rPr>
          <w:rFonts w:ascii="Arial" w:hAnsi="Arial" w:cs="Arial"/>
          <w:szCs w:val="24"/>
        </w:rPr>
        <w:t>Despite the noticeable improvement in profitability, asset utilisation and generation of operating cash, Marriott's financial condition is still recovering and worries exist about its debt and the persistent liquidity pressure. The main financial dilemma is unmatched current liquidity with an increased ratio of leverage and less financing by suppliers. Working capital improvements should look to realise quicker times, create sound payment timelines with suppliers and be directed towards cash-flow forecasting tools. A restructuring that is focused on debt utilisation and other targeted actions such as divestment combined with selectively chosen equity financing at the right times and price levels will increase financial flexibility. In terms of investment options, project C is the best choice since it has positive NPV, positive PI, highest ARR, IRR and the shortest payback period.</w:t>
      </w:r>
    </w:p>
    <w:p w14:paraId="6C3852E4">
      <w:pPr>
        <w:jc w:val="left"/>
        <w:rPr>
          <w:rFonts w:ascii="Arial" w:hAnsi="Arial" w:cs="Arial"/>
          <w:szCs w:val="24"/>
        </w:rPr>
      </w:pPr>
      <w:r>
        <w:rPr>
          <w:rFonts w:ascii="Arial" w:hAnsi="Arial" w:cs="Arial"/>
          <w:szCs w:val="24"/>
        </w:rPr>
        <w:br w:type="page"/>
      </w:r>
    </w:p>
    <w:p w14:paraId="47D0DD6E">
      <w:pPr>
        <w:pStyle w:val="2"/>
        <w:rPr>
          <w:rFonts w:ascii="Arial" w:hAnsi="Arial" w:cs="Arial"/>
          <w:sz w:val="24"/>
          <w:szCs w:val="24"/>
          <w:lang w:val="en-GB"/>
        </w:rPr>
      </w:pPr>
      <w:bookmarkStart w:id="50" w:name="_Toc237530087"/>
      <w:r>
        <w:rPr>
          <w:rFonts w:ascii="Arial" w:hAnsi="Arial" w:cs="Arial"/>
          <w:sz w:val="24"/>
          <w:szCs w:val="24"/>
          <w:lang w:val="en-GB"/>
        </w:rPr>
        <w:t>8. References</w:t>
      </w:r>
      <w:bookmarkEnd w:id="50"/>
    </w:p>
    <w:p w14:paraId="32CB8E51">
      <w:pPr>
        <w:spacing w:before="240" w:after="0"/>
        <w:rPr>
          <w:rFonts w:ascii="Arial" w:hAnsi="Arial" w:cs="Arial"/>
          <w:szCs w:val="24"/>
        </w:rPr>
      </w:pPr>
      <w:r>
        <w:rPr>
          <w:rFonts w:ascii="Arial" w:hAnsi="Arial" w:cs="Arial"/>
          <w:szCs w:val="24"/>
        </w:rPr>
        <w:t xml:space="preserve">Acharya, V.V. and Rajan, R., (2023). Liquidity, liquidity everywhere, not a drop to use. </w:t>
      </w:r>
      <w:r>
        <w:rPr>
          <w:rFonts w:ascii="Arial" w:hAnsi="Arial" w:cs="Arial"/>
          <w:i/>
          <w:iCs/>
          <w:szCs w:val="24"/>
        </w:rPr>
        <w:t>NBER Working Paper</w:t>
      </w:r>
      <w:r>
        <w:rPr>
          <w:rFonts w:ascii="Arial" w:hAnsi="Arial" w:cs="Arial"/>
          <w:szCs w:val="24"/>
        </w:rPr>
        <w:t xml:space="preserve">, </w:t>
      </w:r>
      <w:r>
        <w:rPr>
          <w:rFonts w:ascii="Arial" w:hAnsi="Arial" w:cs="Arial"/>
          <w:i/>
          <w:iCs/>
          <w:szCs w:val="24"/>
        </w:rPr>
        <w:t>29680</w:t>
      </w:r>
      <w:r>
        <w:rPr>
          <w:rFonts w:ascii="Arial" w:hAnsi="Arial" w:cs="Arial"/>
          <w:szCs w:val="24"/>
        </w:rPr>
        <w:t xml:space="preserve">, p.100823. </w:t>
      </w:r>
      <w:r>
        <w:fldChar w:fldCharType="begin"/>
      </w:r>
      <w:r>
        <w:instrText xml:space="preserve"> HYPERLINK "https://as.nyu.edu/content/dam/nyu-as/econ/documents/2021-fall/SternFinance/Liquidity%20Everywhere_v20_CLEAN.pdf" </w:instrText>
      </w:r>
      <w:r>
        <w:fldChar w:fldCharType="separate"/>
      </w:r>
      <w:r>
        <w:rPr>
          <w:rStyle w:val="12"/>
          <w:rFonts w:ascii="Arial" w:hAnsi="Arial" w:cs="Arial"/>
          <w:szCs w:val="24"/>
        </w:rPr>
        <w:t>https://as.nyu.edu/content/dam/nyu-as/econ/documents/2021-fall/SternFinance/Liquidity%20Everywhere_v20_CLEAN.pdf</w:t>
      </w:r>
      <w:r>
        <w:rPr>
          <w:rStyle w:val="12"/>
          <w:rFonts w:ascii="Arial" w:hAnsi="Arial" w:cs="Arial"/>
          <w:szCs w:val="24"/>
        </w:rPr>
        <w:fldChar w:fldCharType="end"/>
      </w:r>
      <w:r>
        <w:rPr>
          <w:rFonts w:ascii="Arial" w:hAnsi="Arial" w:cs="Arial"/>
          <w:szCs w:val="24"/>
        </w:rPr>
        <w:t> </w:t>
      </w:r>
    </w:p>
    <w:p w14:paraId="461F8C99">
      <w:pPr>
        <w:spacing w:before="240" w:after="0"/>
        <w:rPr>
          <w:rFonts w:ascii="Arial" w:hAnsi="Arial" w:cs="Arial"/>
          <w:szCs w:val="24"/>
        </w:rPr>
      </w:pPr>
      <w:r>
        <w:rPr>
          <w:rFonts w:ascii="Arial" w:hAnsi="Arial" w:cs="Arial"/>
          <w:szCs w:val="24"/>
        </w:rPr>
        <w:t xml:space="preserve">Ahmad, K.K., Sangawi, S.S. and Ahmad, D.T., (2026). Effects of total asset turnover, current ratio, and debt-to-equity ratio on the profit margin ratios. </w:t>
      </w:r>
      <w:r>
        <w:rPr>
          <w:rFonts w:ascii="Arial" w:hAnsi="Arial" w:cs="Arial"/>
          <w:i/>
          <w:iCs/>
          <w:szCs w:val="24"/>
        </w:rPr>
        <w:t>Journal of Economics and Business Letters</w:t>
      </w:r>
      <w:r>
        <w:rPr>
          <w:rFonts w:ascii="Arial" w:hAnsi="Arial" w:cs="Arial"/>
          <w:szCs w:val="24"/>
        </w:rPr>
        <w:t xml:space="preserve">, </w:t>
      </w:r>
      <w:r>
        <w:rPr>
          <w:rFonts w:ascii="Arial" w:hAnsi="Arial" w:cs="Arial"/>
          <w:i/>
          <w:iCs/>
          <w:szCs w:val="24"/>
        </w:rPr>
        <w:t>6</w:t>
      </w:r>
      <w:r>
        <w:rPr>
          <w:rFonts w:ascii="Arial" w:hAnsi="Arial" w:cs="Arial"/>
          <w:szCs w:val="24"/>
        </w:rPr>
        <w:t xml:space="preserve">(2), pp.1-17. </w:t>
      </w:r>
      <w:r>
        <w:fldChar w:fldCharType="begin"/>
      </w:r>
      <w:r>
        <w:instrText xml:space="preserve"> HYPERLINK "https://journal.privietlab.org/index.php/JEBL/article/download/1451/801" </w:instrText>
      </w:r>
      <w:r>
        <w:fldChar w:fldCharType="separate"/>
      </w:r>
      <w:r>
        <w:rPr>
          <w:rStyle w:val="12"/>
          <w:rFonts w:ascii="Arial" w:hAnsi="Arial" w:cs="Arial"/>
          <w:szCs w:val="24"/>
        </w:rPr>
        <w:t>https://journal.privietlab.org/index.php/JEBL/article/download/1451/801</w:t>
      </w:r>
      <w:r>
        <w:rPr>
          <w:rStyle w:val="12"/>
          <w:rFonts w:ascii="Arial" w:hAnsi="Arial" w:cs="Arial"/>
          <w:szCs w:val="24"/>
        </w:rPr>
        <w:fldChar w:fldCharType="end"/>
      </w:r>
      <w:r>
        <w:rPr>
          <w:rFonts w:ascii="Arial" w:hAnsi="Arial" w:cs="Arial"/>
          <w:szCs w:val="24"/>
        </w:rPr>
        <w:t> </w:t>
      </w:r>
    </w:p>
    <w:p w14:paraId="436194E3">
      <w:pPr>
        <w:spacing w:before="240" w:after="0"/>
        <w:rPr>
          <w:rFonts w:ascii="Arial" w:hAnsi="Arial" w:cs="Arial"/>
          <w:szCs w:val="24"/>
        </w:rPr>
      </w:pPr>
      <w:r>
        <w:rPr>
          <w:rFonts w:ascii="Arial" w:hAnsi="Arial" w:cs="Arial"/>
          <w:szCs w:val="24"/>
        </w:rPr>
        <w:t xml:space="preserve">Badakhshan, A., Badakhshan, E., Saad, S.M. and Bahadori, R., (2026). Integrating simulation and reinforcement learning for optimized working capital management in supply chains. </w:t>
      </w:r>
      <w:r>
        <w:rPr>
          <w:rFonts w:ascii="Arial" w:hAnsi="Arial" w:cs="Arial"/>
          <w:i/>
          <w:iCs/>
          <w:szCs w:val="24"/>
        </w:rPr>
        <w:t>Procedia Computer Science</w:t>
      </w:r>
      <w:r>
        <w:rPr>
          <w:rFonts w:ascii="Arial" w:hAnsi="Arial" w:cs="Arial"/>
          <w:szCs w:val="24"/>
        </w:rPr>
        <w:t xml:space="preserve">, </w:t>
      </w:r>
      <w:r>
        <w:rPr>
          <w:rFonts w:ascii="Arial" w:hAnsi="Arial" w:cs="Arial"/>
          <w:i/>
          <w:iCs/>
          <w:szCs w:val="24"/>
        </w:rPr>
        <w:t>277</w:t>
      </w:r>
      <w:r>
        <w:rPr>
          <w:rFonts w:ascii="Arial" w:hAnsi="Arial" w:cs="Arial"/>
          <w:szCs w:val="24"/>
        </w:rPr>
        <w:t xml:space="preserve">, pp.263-270. </w:t>
      </w:r>
      <w:r>
        <w:fldChar w:fldCharType="begin"/>
      </w:r>
      <w:r>
        <w:instrText xml:space="preserve"> HYPERLINK "https://www.sciencedirect.com/science/article/pii/S1877050926001845/pdf?md5=464df03dd0c031ac03adcafd816b7f6f&amp;pid=1-s2.0-S1877050926001845-main.pdf" </w:instrText>
      </w:r>
      <w:r>
        <w:fldChar w:fldCharType="separate"/>
      </w:r>
      <w:r>
        <w:rPr>
          <w:rStyle w:val="12"/>
          <w:rFonts w:ascii="Arial" w:hAnsi="Arial" w:cs="Arial"/>
          <w:szCs w:val="24"/>
        </w:rPr>
        <w:t>https://www.sciencedirect.com/science/article/pii/S1877050926001845/pdf?md5=464df03dd0c031ac03adcafd816b7f6f&amp;pid=1-s2.0-S1877050926001845-main.pdf</w:t>
      </w:r>
      <w:r>
        <w:rPr>
          <w:rStyle w:val="12"/>
          <w:rFonts w:ascii="Arial" w:hAnsi="Arial" w:cs="Arial"/>
          <w:szCs w:val="24"/>
        </w:rPr>
        <w:fldChar w:fldCharType="end"/>
      </w:r>
      <w:r>
        <w:rPr>
          <w:rFonts w:ascii="Arial" w:hAnsi="Arial" w:cs="Arial"/>
          <w:szCs w:val="24"/>
        </w:rPr>
        <w:t> </w:t>
      </w:r>
    </w:p>
    <w:p w14:paraId="11999100">
      <w:pPr>
        <w:spacing w:before="240" w:after="0"/>
        <w:rPr>
          <w:rFonts w:ascii="Arial" w:hAnsi="Arial" w:cs="Arial"/>
          <w:szCs w:val="24"/>
        </w:rPr>
      </w:pPr>
      <w:r>
        <w:rPr>
          <w:rFonts w:ascii="Arial" w:hAnsi="Arial" w:cs="Arial"/>
          <w:szCs w:val="24"/>
        </w:rPr>
        <w:t xml:space="preserve">Celestin, M., (2022). The Role of Corporate Mergers and Acquisitions in Financial Performance: Analyzing the Success and Failures of Major M&amp;A Deals. </w:t>
      </w:r>
      <w:r>
        <w:rPr>
          <w:rFonts w:ascii="Arial" w:hAnsi="Arial" w:cs="Arial"/>
          <w:i/>
          <w:iCs/>
          <w:szCs w:val="24"/>
        </w:rPr>
        <w:t>Brainae Journal of Business, Sciences and Technology</w:t>
      </w:r>
      <w:r>
        <w:rPr>
          <w:rFonts w:ascii="Arial" w:hAnsi="Arial" w:cs="Arial"/>
          <w:szCs w:val="24"/>
        </w:rPr>
        <w:t xml:space="preserve">, </w:t>
      </w:r>
      <w:r>
        <w:rPr>
          <w:rFonts w:ascii="Arial" w:hAnsi="Arial" w:cs="Arial"/>
          <w:i/>
          <w:iCs/>
          <w:szCs w:val="24"/>
        </w:rPr>
        <w:t>6</w:t>
      </w:r>
      <w:r>
        <w:rPr>
          <w:rFonts w:ascii="Arial" w:hAnsi="Arial" w:cs="Arial"/>
          <w:szCs w:val="24"/>
        </w:rPr>
        <w:t xml:space="preserve">(4), pp.930-940. </w:t>
      </w:r>
      <w:r>
        <w:fldChar w:fldCharType="begin"/>
      </w:r>
      <w:r>
        <w:instrText xml:space="preserve"> HYPERLINK "https://www.researchgate.net/profile/Prof-Celestin/publication/390142055_The_Role_of_Corporate_Mergers_and_Acquisitions_in_Financial_Performance_Analyzing_the_Success_and_Failures_of_Major_MA_Deals/links/67e22bcde62c604a0d135bfc/The-Role-of-Corporate-Mergers-and-Acquisitions-in-Financial-Performance-Analyzing-the-Success-and-Failures-of-Major-M-A-Deals.pdf" </w:instrText>
      </w:r>
      <w:r>
        <w:fldChar w:fldCharType="separate"/>
      </w:r>
      <w:r>
        <w:rPr>
          <w:rStyle w:val="12"/>
          <w:rFonts w:ascii="Arial" w:hAnsi="Arial" w:cs="Arial"/>
          <w:szCs w:val="24"/>
        </w:rPr>
        <w:t>https://www.researchgate.net/profile/Prof-Celestin/publication/390142055_The_Role_of_Corporate_Mergers_and_Acquisitions_in_Financial_Performance_Analyzing_the_Success_and_Failures_of_Major_MA_Deals/links/67e22bcde62c604a0d135bfc/The-Role-of-Corporate-Mergers-and-Acquisitions-in-Financial-Performance-Analyzing-the-Success-and-Failures-of-Major-M-A-Deals.pdf</w:t>
      </w:r>
      <w:r>
        <w:rPr>
          <w:rStyle w:val="12"/>
          <w:rFonts w:ascii="Arial" w:hAnsi="Arial" w:cs="Arial"/>
          <w:szCs w:val="24"/>
        </w:rPr>
        <w:fldChar w:fldCharType="end"/>
      </w:r>
      <w:r>
        <w:rPr>
          <w:rFonts w:ascii="Arial" w:hAnsi="Arial" w:cs="Arial"/>
          <w:szCs w:val="24"/>
        </w:rPr>
        <w:t> </w:t>
      </w:r>
    </w:p>
    <w:p w14:paraId="4B5C59E2">
      <w:pPr>
        <w:spacing w:before="240" w:after="0"/>
        <w:rPr>
          <w:rFonts w:ascii="Arial" w:hAnsi="Arial" w:cs="Arial"/>
          <w:szCs w:val="24"/>
        </w:rPr>
      </w:pPr>
      <w:r>
        <w:rPr>
          <w:rFonts w:ascii="Arial" w:hAnsi="Arial" w:cs="Arial"/>
          <w:szCs w:val="24"/>
        </w:rPr>
        <w:t xml:space="preserve">Chandra, S.R. and Naik M, D., (2025). Net Present Index Rate The Dcf-Method For Product Lifecycle Cost Based Capital Budgeting-An Innovative Application Of Profitability Index. </w:t>
      </w:r>
      <w:r>
        <w:rPr>
          <w:rFonts w:ascii="Arial" w:hAnsi="Arial" w:cs="Arial"/>
          <w:i/>
          <w:iCs/>
          <w:szCs w:val="24"/>
        </w:rPr>
        <w:t>Advances in Consumer Research</w:t>
      </w:r>
      <w:r>
        <w:rPr>
          <w:rFonts w:ascii="Arial" w:hAnsi="Arial" w:cs="Arial"/>
          <w:szCs w:val="24"/>
        </w:rPr>
        <w:t xml:space="preserve">, </w:t>
      </w:r>
      <w:r>
        <w:rPr>
          <w:rFonts w:ascii="Arial" w:hAnsi="Arial" w:cs="Arial"/>
          <w:i/>
          <w:iCs/>
          <w:szCs w:val="24"/>
        </w:rPr>
        <w:t>2</w:t>
      </w:r>
      <w:r>
        <w:rPr>
          <w:rFonts w:ascii="Arial" w:hAnsi="Arial" w:cs="Arial"/>
          <w:szCs w:val="24"/>
        </w:rPr>
        <w:t xml:space="preserve">(2). </w:t>
      </w:r>
      <w:r>
        <w:fldChar w:fldCharType="begin"/>
      </w:r>
      <w:r>
        <w:instrText xml:space="preserve"> HYPERLINK "https://openurl.ebsco.com/contentitem/gcd:190173029?sid=ebsco:plink:crawler-gcd&amp;id=ebsco:gcd:190173029&amp;crl=c&amp;jrnl=00989258" </w:instrText>
      </w:r>
      <w:r>
        <w:fldChar w:fldCharType="separate"/>
      </w:r>
      <w:r>
        <w:rPr>
          <w:rStyle w:val="12"/>
          <w:rFonts w:ascii="Arial" w:hAnsi="Arial" w:cs="Arial"/>
          <w:szCs w:val="24"/>
        </w:rPr>
        <w:t>https://openurl.ebsco.com/contentitem/gcd:190173029?sid=ebsco:plink:crawler-gcd&amp;id=ebsco:gcd:190173029&amp;crl=c&amp;jrnl=00989258</w:t>
      </w:r>
      <w:r>
        <w:rPr>
          <w:rStyle w:val="12"/>
          <w:rFonts w:ascii="Arial" w:hAnsi="Arial" w:cs="Arial"/>
          <w:szCs w:val="24"/>
        </w:rPr>
        <w:fldChar w:fldCharType="end"/>
      </w:r>
      <w:r>
        <w:rPr>
          <w:rFonts w:ascii="Arial" w:hAnsi="Arial" w:cs="Arial"/>
          <w:szCs w:val="24"/>
        </w:rPr>
        <w:t> </w:t>
      </w:r>
    </w:p>
    <w:p w14:paraId="30F10560">
      <w:pPr>
        <w:spacing w:before="240" w:after="0"/>
        <w:rPr>
          <w:rFonts w:ascii="Arial" w:hAnsi="Arial" w:cs="Arial"/>
          <w:szCs w:val="24"/>
        </w:rPr>
      </w:pPr>
      <w:r>
        <w:rPr>
          <w:rFonts w:ascii="Arial" w:hAnsi="Arial" w:cs="Arial"/>
          <w:szCs w:val="24"/>
        </w:rPr>
        <w:t xml:space="preserve">Davis, D., (2025). Beyond traditional equity: innovative debt financing strategies for property developers. </w:t>
      </w:r>
      <w:r>
        <w:rPr>
          <w:rFonts w:ascii="Arial" w:hAnsi="Arial" w:cs="Arial"/>
          <w:i/>
          <w:iCs/>
          <w:szCs w:val="24"/>
        </w:rPr>
        <w:t>Journal of Risk and Financial Studies</w:t>
      </w:r>
      <w:r>
        <w:rPr>
          <w:rFonts w:ascii="Arial" w:hAnsi="Arial" w:cs="Arial"/>
          <w:szCs w:val="24"/>
        </w:rPr>
        <w:t xml:space="preserve">, </w:t>
      </w:r>
      <w:r>
        <w:rPr>
          <w:rFonts w:ascii="Arial" w:hAnsi="Arial" w:cs="Arial"/>
          <w:i/>
          <w:iCs/>
          <w:szCs w:val="24"/>
        </w:rPr>
        <w:t>6</w:t>
      </w:r>
      <w:r>
        <w:rPr>
          <w:rFonts w:ascii="Arial" w:hAnsi="Arial" w:cs="Arial"/>
          <w:szCs w:val="24"/>
        </w:rPr>
        <w:t xml:space="preserve">(1), pp.33-58. </w:t>
      </w:r>
      <w:r>
        <w:fldChar w:fldCharType="begin"/>
      </w:r>
      <w:r>
        <w:instrText xml:space="preserve"> HYPERLINK "https://www.arfjournals.com/image/catalog/Journals%20Papers/JRFS/2025/No%201%20(2025)/2_Dayne%20Davis.pdf" </w:instrText>
      </w:r>
      <w:r>
        <w:fldChar w:fldCharType="separate"/>
      </w:r>
      <w:r>
        <w:rPr>
          <w:rStyle w:val="12"/>
          <w:rFonts w:ascii="Arial" w:hAnsi="Arial" w:cs="Arial"/>
          <w:szCs w:val="24"/>
        </w:rPr>
        <w:t>https://www.arfjournals.com/image/catalog/Journals%20Papers/JRFS/2025/No%201%20(2025)/2_Dayne%20Davis.pdf</w:t>
      </w:r>
      <w:r>
        <w:rPr>
          <w:rStyle w:val="12"/>
          <w:rFonts w:ascii="Arial" w:hAnsi="Arial" w:cs="Arial"/>
          <w:szCs w:val="24"/>
        </w:rPr>
        <w:fldChar w:fldCharType="end"/>
      </w:r>
      <w:r>
        <w:rPr>
          <w:rFonts w:ascii="Arial" w:hAnsi="Arial" w:cs="Arial"/>
          <w:szCs w:val="24"/>
        </w:rPr>
        <w:t> </w:t>
      </w:r>
    </w:p>
    <w:p w14:paraId="2967F849">
      <w:pPr>
        <w:spacing w:before="240" w:after="0"/>
        <w:rPr>
          <w:rFonts w:ascii="Arial" w:hAnsi="Arial" w:cs="Arial"/>
          <w:szCs w:val="24"/>
        </w:rPr>
      </w:pPr>
      <w:r>
        <w:rPr>
          <w:rFonts w:ascii="Arial" w:hAnsi="Arial" w:cs="Arial"/>
          <w:szCs w:val="24"/>
        </w:rPr>
        <w:t xml:space="preserve">Figlioli, B., Antônio, R.M., Gatsios, R.C. and Lima, F.G., (2024). Influence of the cash conversion cycle on firm's financial performance: Evidence from publicly traded firms in the Latin American context. </w:t>
      </w:r>
      <w:r>
        <w:rPr>
          <w:rFonts w:ascii="Arial" w:hAnsi="Arial" w:cs="Arial"/>
          <w:i/>
          <w:iCs/>
          <w:szCs w:val="24"/>
        </w:rPr>
        <w:t>Accounting &amp; Finance</w:t>
      </w:r>
      <w:r>
        <w:rPr>
          <w:rFonts w:ascii="Arial" w:hAnsi="Arial" w:cs="Arial"/>
          <w:szCs w:val="24"/>
        </w:rPr>
        <w:t xml:space="preserve">, </w:t>
      </w:r>
      <w:r>
        <w:rPr>
          <w:rFonts w:ascii="Arial" w:hAnsi="Arial" w:cs="Arial"/>
          <w:i/>
          <w:iCs/>
          <w:szCs w:val="24"/>
        </w:rPr>
        <w:t>64</w:t>
      </w:r>
      <w:r>
        <w:rPr>
          <w:rFonts w:ascii="Arial" w:hAnsi="Arial" w:cs="Arial"/>
          <w:szCs w:val="24"/>
        </w:rPr>
        <w:t xml:space="preserve">(3), pp.2375-2401. </w:t>
      </w:r>
      <w:r>
        <w:fldChar w:fldCharType="begin"/>
      </w:r>
      <w:r>
        <w:instrText xml:space="preserve"> HYPERLINK "https://onlinelibrary.wiley.com/doi/abs/10.1111/acfi.13220" </w:instrText>
      </w:r>
      <w:r>
        <w:fldChar w:fldCharType="separate"/>
      </w:r>
      <w:r>
        <w:rPr>
          <w:rStyle w:val="12"/>
          <w:rFonts w:ascii="Arial" w:hAnsi="Arial" w:cs="Arial"/>
          <w:szCs w:val="24"/>
        </w:rPr>
        <w:t>https://onlinelibrary.wiley.com/doi/abs/10.1111/acfi.13220</w:t>
      </w:r>
      <w:r>
        <w:rPr>
          <w:rStyle w:val="12"/>
          <w:rFonts w:ascii="Arial" w:hAnsi="Arial" w:cs="Arial"/>
          <w:szCs w:val="24"/>
        </w:rPr>
        <w:fldChar w:fldCharType="end"/>
      </w:r>
      <w:r>
        <w:rPr>
          <w:rFonts w:ascii="Arial" w:hAnsi="Arial" w:cs="Arial"/>
          <w:szCs w:val="24"/>
        </w:rPr>
        <w:t> </w:t>
      </w:r>
    </w:p>
    <w:p w14:paraId="14ACDC24">
      <w:pPr>
        <w:spacing w:before="240" w:after="0"/>
        <w:rPr>
          <w:rFonts w:ascii="Arial" w:hAnsi="Arial" w:cs="Arial"/>
          <w:szCs w:val="24"/>
        </w:rPr>
      </w:pPr>
      <w:r>
        <w:rPr>
          <w:rFonts w:ascii="Arial" w:hAnsi="Arial" w:cs="Arial"/>
          <w:szCs w:val="24"/>
        </w:rPr>
        <w:t xml:space="preserve">Gormsen, N.J. and Huber, K., (2025). Corporate discount rates. </w:t>
      </w:r>
      <w:r>
        <w:rPr>
          <w:rFonts w:ascii="Arial" w:hAnsi="Arial" w:cs="Arial"/>
          <w:i/>
          <w:iCs/>
          <w:szCs w:val="24"/>
        </w:rPr>
        <w:t>American Economic Review</w:t>
      </w:r>
      <w:r>
        <w:rPr>
          <w:rFonts w:ascii="Arial" w:hAnsi="Arial" w:cs="Arial"/>
          <w:szCs w:val="24"/>
        </w:rPr>
        <w:t xml:space="preserve">, </w:t>
      </w:r>
      <w:r>
        <w:rPr>
          <w:rFonts w:ascii="Arial" w:hAnsi="Arial" w:cs="Arial"/>
          <w:i/>
          <w:iCs/>
          <w:szCs w:val="24"/>
        </w:rPr>
        <w:t>115</w:t>
      </w:r>
      <w:r>
        <w:rPr>
          <w:rFonts w:ascii="Arial" w:hAnsi="Arial" w:cs="Arial"/>
          <w:szCs w:val="24"/>
        </w:rPr>
        <w:t xml:space="preserve">(6), pp.2001-2049. </w:t>
      </w:r>
      <w:r>
        <w:fldChar w:fldCharType="begin"/>
      </w:r>
      <w:r>
        <w:instrText xml:space="preserve"> HYPERLINK "https://www.aeaweb.org/conference/2023/program/paper/htzAeY3b" </w:instrText>
      </w:r>
      <w:r>
        <w:fldChar w:fldCharType="separate"/>
      </w:r>
      <w:r>
        <w:rPr>
          <w:rStyle w:val="12"/>
          <w:rFonts w:ascii="Arial" w:hAnsi="Arial" w:cs="Arial"/>
          <w:szCs w:val="24"/>
        </w:rPr>
        <w:t>https://www.aeaweb.org/conference/2023/program/paper/htzAeY3b</w:t>
      </w:r>
      <w:r>
        <w:rPr>
          <w:rStyle w:val="12"/>
          <w:rFonts w:ascii="Arial" w:hAnsi="Arial" w:cs="Arial"/>
          <w:szCs w:val="24"/>
        </w:rPr>
        <w:fldChar w:fldCharType="end"/>
      </w:r>
      <w:r>
        <w:rPr>
          <w:rFonts w:ascii="Arial" w:hAnsi="Arial" w:cs="Arial"/>
          <w:szCs w:val="24"/>
        </w:rPr>
        <w:t> </w:t>
      </w:r>
    </w:p>
    <w:p w14:paraId="46861FD4">
      <w:pPr>
        <w:spacing w:before="240" w:after="0"/>
        <w:rPr>
          <w:rFonts w:ascii="Arial" w:hAnsi="Arial" w:cs="Arial"/>
          <w:szCs w:val="24"/>
        </w:rPr>
      </w:pPr>
      <w:r>
        <w:rPr>
          <w:rFonts w:ascii="Arial" w:hAnsi="Arial" w:cs="Arial"/>
          <w:szCs w:val="24"/>
        </w:rPr>
        <w:t xml:space="preserve">Habib, A.M., Yang, G.L. and Cui, Y., (2024). Do competitive strategies affect working capital management efficiency?. </w:t>
      </w:r>
      <w:r>
        <w:rPr>
          <w:rFonts w:ascii="Arial" w:hAnsi="Arial" w:cs="Arial"/>
          <w:i/>
          <w:iCs/>
          <w:szCs w:val="24"/>
        </w:rPr>
        <w:t>Business Process Management Journal</w:t>
      </w:r>
      <w:r>
        <w:rPr>
          <w:rFonts w:ascii="Arial" w:hAnsi="Arial" w:cs="Arial"/>
          <w:szCs w:val="24"/>
        </w:rPr>
        <w:t xml:space="preserve">, </w:t>
      </w:r>
      <w:r>
        <w:rPr>
          <w:rFonts w:ascii="Arial" w:hAnsi="Arial" w:cs="Arial"/>
          <w:i/>
          <w:iCs/>
          <w:szCs w:val="24"/>
        </w:rPr>
        <w:t>30</w:t>
      </w:r>
      <w:r>
        <w:rPr>
          <w:rFonts w:ascii="Arial" w:hAnsi="Arial" w:cs="Arial"/>
          <w:szCs w:val="24"/>
        </w:rPr>
        <w:t xml:space="preserve">(5), pp.1716-1736. </w:t>
      </w:r>
      <w:r>
        <w:fldChar w:fldCharType="begin"/>
      </w:r>
      <w:r>
        <w:instrText xml:space="preserve"> HYPERLINK "https://www.emerald.com/bpmj/article/30/5/1716/1235819" </w:instrText>
      </w:r>
      <w:r>
        <w:fldChar w:fldCharType="separate"/>
      </w:r>
      <w:r>
        <w:rPr>
          <w:rStyle w:val="12"/>
          <w:rFonts w:ascii="Arial" w:hAnsi="Arial" w:cs="Arial"/>
          <w:szCs w:val="24"/>
        </w:rPr>
        <w:t>https://www.emerald.com/bpmj/article/30/5/1716/1235819</w:t>
      </w:r>
      <w:r>
        <w:rPr>
          <w:rStyle w:val="12"/>
          <w:rFonts w:ascii="Arial" w:hAnsi="Arial" w:cs="Arial"/>
          <w:szCs w:val="24"/>
        </w:rPr>
        <w:fldChar w:fldCharType="end"/>
      </w:r>
      <w:r>
        <w:rPr>
          <w:rFonts w:ascii="Arial" w:hAnsi="Arial" w:cs="Arial"/>
          <w:szCs w:val="24"/>
        </w:rPr>
        <w:t> </w:t>
      </w:r>
    </w:p>
    <w:p w14:paraId="227FDE2F">
      <w:pPr>
        <w:spacing w:before="240" w:after="0"/>
        <w:rPr>
          <w:rFonts w:ascii="Arial" w:hAnsi="Arial" w:cs="Arial"/>
          <w:szCs w:val="24"/>
        </w:rPr>
      </w:pPr>
      <w:r>
        <w:rPr>
          <w:rFonts w:ascii="Arial" w:hAnsi="Arial" w:cs="Arial"/>
          <w:szCs w:val="24"/>
        </w:rPr>
        <w:t xml:space="preserve">Karim, R., Mamun, M.A.A. and Kamruzzaman, A.S.M., (2024). Cash conversion cycle and financial performance: evidence from manufacturing firms of Bangladesh. </w:t>
      </w:r>
      <w:r>
        <w:rPr>
          <w:rFonts w:ascii="Arial" w:hAnsi="Arial" w:cs="Arial"/>
          <w:i/>
          <w:iCs/>
          <w:szCs w:val="24"/>
        </w:rPr>
        <w:t>Asian Journal of Economics and Banking</w:t>
      </w:r>
      <w:r>
        <w:rPr>
          <w:rFonts w:ascii="Arial" w:hAnsi="Arial" w:cs="Arial"/>
          <w:szCs w:val="24"/>
        </w:rPr>
        <w:t xml:space="preserve">, </w:t>
      </w:r>
      <w:r>
        <w:rPr>
          <w:rFonts w:ascii="Arial" w:hAnsi="Arial" w:cs="Arial"/>
          <w:i/>
          <w:iCs/>
          <w:szCs w:val="24"/>
        </w:rPr>
        <w:t>8</w:t>
      </w:r>
      <w:r>
        <w:rPr>
          <w:rFonts w:ascii="Arial" w:hAnsi="Arial" w:cs="Arial"/>
          <w:szCs w:val="24"/>
        </w:rPr>
        <w:t xml:space="preserve">(1), pp.67-82. </w:t>
      </w:r>
      <w:r>
        <w:fldChar w:fldCharType="begin"/>
      </w:r>
      <w:r>
        <w:instrText xml:space="preserve"> HYPERLINK "https://www.emerald.com/ajeb/article-pdf/8/1/67/9525823/ajeb-03-2022-0033.pdf" </w:instrText>
      </w:r>
      <w:r>
        <w:fldChar w:fldCharType="separate"/>
      </w:r>
      <w:r>
        <w:rPr>
          <w:rStyle w:val="12"/>
          <w:rFonts w:ascii="Arial" w:hAnsi="Arial" w:cs="Arial"/>
          <w:szCs w:val="24"/>
        </w:rPr>
        <w:t>https://www.emerald.com/ajeb/article-pdf/8/1/67/9525823/ajeb-03-2022-0033.pdf</w:t>
      </w:r>
      <w:r>
        <w:rPr>
          <w:rStyle w:val="12"/>
          <w:rFonts w:ascii="Arial" w:hAnsi="Arial" w:cs="Arial"/>
          <w:szCs w:val="24"/>
        </w:rPr>
        <w:fldChar w:fldCharType="end"/>
      </w:r>
      <w:r>
        <w:rPr>
          <w:rFonts w:ascii="Arial" w:hAnsi="Arial" w:cs="Arial"/>
          <w:szCs w:val="24"/>
        </w:rPr>
        <w:t> </w:t>
      </w:r>
    </w:p>
    <w:p w14:paraId="1E7B8692">
      <w:pPr>
        <w:spacing w:before="240" w:after="0"/>
        <w:rPr>
          <w:rFonts w:ascii="Arial" w:hAnsi="Arial" w:cs="Arial"/>
          <w:szCs w:val="24"/>
        </w:rPr>
      </w:pPr>
      <w:r>
        <w:rPr>
          <w:rFonts w:ascii="Arial" w:hAnsi="Arial" w:cs="Arial"/>
          <w:szCs w:val="24"/>
        </w:rPr>
        <w:t xml:space="preserve">Khan, A., (2024). Capital Rationing and Budget Allocation. In </w:t>
      </w:r>
      <w:r>
        <w:rPr>
          <w:rFonts w:ascii="Arial" w:hAnsi="Arial" w:cs="Arial"/>
          <w:i/>
          <w:iCs/>
          <w:szCs w:val="24"/>
        </w:rPr>
        <w:t>Fundamentals of Public Budgeting and Finance</w:t>
      </w:r>
      <w:r>
        <w:rPr>
          <w:rFonts w:ascii="Arial" w:hAnsi="Arial" w:cs="Arial"/>
          <w:szCs w:val="24"/>
        </w:rPr>
        <w:t xml:space="preserve"> (pp. 329-367). Cham: Springer International Publishing. </w:t>
      </w:r>
      <w:r>
        <w:fldChar w:fldCharType="begin"/>
      </w:r>
      <w:r>
        <w:instrText xml:space="preserve"> HYPERLINK "https://link.springer.com/chapter/10.1007/978-3-031-53674-8_9" </w:instrText>
      </w:r>
      <w:r>
        <w:fldChar w:fldCharType="separate"/>
      </w:r>
      <w:r>
        <w:rPr>
          <w:rStyle w:val="12"/>
          <w:rFonts w:ascii="Arial" w:hAnsi="Arial" w:cs="Arial"/>
          <w:szCs w:val="24"/>
        </w:rPr>
        <w:t>https://link.springer.com/chapter/10.1007/978-3-031-53674-8_9</w:t>
      </w:r>
      <w:r>
        <w:rPr>
          <w:rStyle w:val="12"/>
          <w:rFonts w:ascii="Arial" w:hAnsi="Arial" w:cs="Arial"/>
          <w:szCs w:val="24"/>
        </w:rPr>
        <w:fldChar w:fldCharType="end"/>
      </w:r>
      <w:r>
        <w:rPr>
          <w:rFonts w:ascii="Arial" w:hAnsi="Arial" w:cs="Arial"/>
          <w:szCs w:val="24"/>
        </w:rPr>
        <w:t> </w:t>
      </w:r>
    </w:p>
    <w:p w14:paraId="03E64C2F">
      <w:pPr>
        <w:spacing w:before="240" w:after="0"/>
        <w:rPr>
          <w:rFonts w:ascii="Arial" w:hAnsi="Arial" w:cs="Arial"/>
          <w:szCs w:val="24"/>
        </w:rPr>
      </w:pPr>
      <w:r>
        <w:rPr>
          <w:rFonts w:ascii="Arial" w:hAnsi="Arial" w:cs="Arial"/>
          <w:szCs w:val="24"/>
        </w:rPr>
        <w:t xml:space="preserve">Khatter, A., (2025). Challenges and solutions for corporate social responsibility in the hospitality industry. </w:t>
      </w:r>
      <w:r>
        <w:rPr>
          <w:rFonts w:ascii="Arial" w:hAnsi="Arial" w:cs="Arial"/>
          <w:i/>
          <w:iCs/>
          <w:szCs w:val="24"/>
        </w:rPr>
        <w:t>Challenges</w:t>
      </w:r>
      <w:r>
        <w:rPr>
          <w:rFonts w:ascii="Arial" w:hAnsi="Arial" w:cs="Arial"/>
          <w:szCs w:val="24"/>
        </w:rPr>
        <w:t xml:space="preserve">, </w:t>
      </w:r>
      <w:r>
        <w:rPr>
          <w:rFonts w:ascii="Arial" w:hAnsi="Arial" w:cs="Arial"/>
          <w:i/>
          <w:iCs/>
          <w:szCs w:val="24"/>
        </w:rPr>
        <w:t>16</w:t>
      </w:r>
      <w:r>
        <w:rPr>
          <w:rFonts w:ascii="Arial" w:hAnsi="Arial" w:cs="Arial"/>
          <w:szCs w:val="24"/>
        </w:rPr>
        <w:t xml:space="preserve">(1), p.9. </w:t>
      </w:r>
      <w:r>
        <w:fldChar w:fldCharType="begin"/>
      </w:r>
      <w:r>
        <w:instrText xml:space="preserve"> HYPERLINK "https://www.mdpi.com/2078-1547/16/1/9" </w:instrText>
      </w:r>
      <w:r>
        <w:fldChar w:fldCharType="separate"/>
      </w:r>
      <w:r>
        <w:rPr>
          <w:rStyle w:val="12"/>
          <w:rFonts w:ascii="Arial" w:hAnsi="Arial" w:cs="Arial"/>
          <w:szCs w:val="24"/>
        </w:rPr>
        <w:t>https://www.mdpi.com/2078-1547/16/1/9</w:t>
      </w:r>
      <w:r>
        <w:rPr>
          <w:rStyle w:val="12"/>
          <w:rFonts w:ascii="Arial" w:hAnsi="Arial" w:cs="Arial"/>
          <w:szCs w:val="24"/>
        </w:rPr>
        <w:fldChar w:fldCharType="end"/>
      </w:r>
      <w:r>
        <w:rPr>
          <w:rFonts w:ascii="Arial" w:hAnsi="Arial" w:cs="Arial"/>
          <w:szCs w:val="24"/>
        </w:rPr>
        <w:t> </w:t>
      </w:r>
    </w:p>
    <w:p w14:paraId="350562F1">
      <w:pPr>
        <w:spacing w:before="240" w:after="0"/>
        <w:rPr>
          <w:rFonts w:ascii="Arial" w:hAnsi="Arial" w:cs="Arial"/>
          <w:szCs w:val="24"/>
        </w:rPr>
      </w:pPr>
      <w:r>
        <w:rPr>
          <w:rFonts w:ascii="Arial" w:hAnsi="Arial" w:cs="Arial"/>
          <w:szCs w:val="24"/>
        </w:rPr>
        <w:t xml:space="preserve">Krylovskyi, V., (2024). Increasing the financial potential of investment activity of business entities. </w:t>
      </w:r>
      <w:r>
        <w:rPr>
          <w:rFonts w:ascii="Arial" w:hAnsi="Arial" w:cs="Arial"/>
          <w:i/>
          <w:iCs/>
          <w:szCs w:val="24"/>
        </w:rPr>
        <w:t>Economics, Entrepreneurship, Management</w:t>
      </w:r>
      <w:r>
        <w:rPr>
          <w:rFonts w:ascii="Arial" w:hAnsi="Arial" w:cs="Arial"/>
          <w:szCs w:val="24"/>
        </w:rPr>
        <w:t xml:space="preserve">, </w:t>
      </w:r>
      <w:r>
        <w:rPr>
          <w:rFonts w:ascii="Arial" w:hAnsi="Arial" w:cs="Arial"/>
          <w:i/>
          <w:iCs/>
          <w:szCs w:val="24"/>
        </w:rPr>
        <w:t>11</w:t>
      </w:r>
      <w:r>
        <w:rPr>
          <w:rFonts w:ascii="Arial" w:hAnsi="Arial" w:cs="Arial"/>
          <w:szCs w:val="24"/>
        </w:rPr>
        <w:t xml:space="preserve">(2), pp.65-76. </w:t>
      </w:r>
      <w:r>
        <w:fldChar w:fldCharType="begin"/>
      </w:r>
      <w:r>
        <w:instrText xml:space="preserve"> HYPERLINK "https://eem.com.ua/web/uploads/pdf/Economics,%20Entrepreneurship,%20Management,%20Vol%2011,%20No%202,%202024-65-76.pdf" </w:instrText>
      </w:r>
      <w:r>
        <w:fldChar w:fldCharType="separate"/>
      </w:r>
      <w:r>
        <w:rPr>
          <w:rStyle w:val="12"/>
          <w:rFonts w:ascii="Arial" w:hAnsi="Arial" w:cs="Arial"/>
          <w:szCs w:val="24"/>
        </w:rPr>
        <w:t>https://eem.com.ua/web/uploads/pdf/Economics,%20Entrepreneurship,%20Management,%20Vol%2011,%20No%202,%202024-65-76.pdf</w:t>
      </w:r>
      <w:r>
        <w:rPr>
          <w:rStyle w:val="12"/>
          <w:rFonts w:ascii="Arial" w:hAnsi="Arial" w:cs="Arial"/>
          <w:szCs w:val="24"/>
        </w:rPr>
        <w:fldChar w:fldCharType="end"/>
      </w:r>
      <w:r>
        <w:rPr>
          <w:rFonts w:ascii="Arial" w:hAnsi="Arial" w:cs="Arial"/>
          <w:szCs w:val="24"/>
        </w:rPr>
        <w:t> </w:t>
      </w:r>
    </w:p>
    <w:p w14:paraId="2AB19669">
      <w:pPr>
        <w:spacing w:before="240" w:after="0"/>
        <w:rPr>
          <w:rFonts w:ascii="Arial" w:hAnsi="Arial" w:cs="Arial"/>
          <w:szCs w:val="24"/>
        </w:rPr>
      </w:pPr>
      <w:r>
        <w:rPr>
          <w:rFonts w:ascii="Arial" w:hAnsi="Arial" w:cs="Arial"/>
          <w:szCs w:val="24"/>
        </w:rPr>
        <w:t xml:space="preserve">Li, X., Shen, Y. and Meng, X., (2026). Credit Crowding-Out and Risk Transmission: The Impact of Extended Local Government Debt Maturity on Corporate Debt Structure. </w:t>
      </w:r>
      <w:r>
        <w:rPr>
          <w:rFonts w:ascii="Arial" w:hAnsi="Arial" w:cs="Arial"/>
          <w:i/>
          <w:iCs/>
          <w:szCs w:val="24"/>
        </w:rPr>
        <w:t>Emerging Markets Finance and Trade</w:t>
      </w:r>
      <w:r>
        <w:rPr>
          <w:rFonts w:ascii="Arial" w:hAnsi="Arial" w:cs="Arial"/>
          <w:szCs w:val="24"/>
        </w:rPr>
        <w:t xml:space="preserve">, </w:t>
      </w:r>
      <w:r>
        <w:rPr>
          <w:rFonts w:ascii="Arial" w:hAnsi="Arial" w:cs="Arial"/>
          <w:i/>
          <w:iCs/>
          <w:szCs w:val="24"/>
        </w:rPr>
        <w:t>62</w:t>
      </w:r>
      <w:r>
        <w:rPr>
          <w:rFonts w:ascii="Arial" w:hAnsi="Arial" w:cs="Arial"/>
          <w:szCs w:val="24"/>
        </w:rPr>
        <w:t xml:space="preserve">(1), pp.290-310. </w:t>
      </w:r>
      <w:r>
        <w:fldChar w:fldCharType="begin"/>
      </w:r>
      <w:r>
        <w:instrText xml:space="preserve"> HYPERLINK "https://www.tandfonline.com/doi/abs/10.1080/1540496X.2025.2569718" </w:instrText>
      </w:r>
      <w:r>
        <w:fldChar w:fldCharType="separate"/>
      </w:r>
      <w:r>
        <w:rPr>
          <w:rStyle w:val="12"/>
          <w:rFonts w:ascii="Arial" w:hAnsi="Arial" w:cs="Arial"/>
          <w:szCs w:val="24"/>
        </w:rPr>
        <w:t>https://www.tandfonline.com/doi/abs/10.1080/1540496X.2025.2569718</w:t>
      </w:r>
      <w:r>
        <w:rPr>
          <w:rStyle w:val="12"/>
          <w:rFonts w:ascii="Arial" w:hAnsi="Arial" w:cs="Arial"/>
          <w:szCs w:val="24"/>
        </w:rPr>
        <w:fldChar w:fldCharType="end"/>
      </w:r>
      <w:r>
        <w:rPr>
          <w:rFonts w:ascii="Arial" w:hAnsi="Arial" w:cs="Arial"/>
          <w:szCs w:val="24"/>
        </w:rPr>
        <w:t> </w:t>
      </w:r>
    </w:p>
    <w:p w14:paraId="79E41255">
      <w:pPr>
        <w:spacing w:before="240" w:after="0"/>
        <w:rPr>
          <w:rFonts w:ascii="Arial" w:hAnsi="Arial" w:cs="Arial"/>
          <w:szCs w:val="24"/>
        </w:rPr>
      </w:pPr>
      <w:r>
        <w:rPr>
          <w:rFonts w:ascii="Arial" w:hAnsi="Arial" w:cs="Arial"/>
          <w:szCs w:val="24"/>
        </w:rPr>
        <w:t xml:space="preserve">Marriott International, Inc. (2026) </w:t>
      </w:r>
      <w:r>
        <w:rPr>
          <w:rFonts w:ascii="Arial" w:hAnsi="Arial" w:cs="Arial"/>
          <w:i/>
          <w:iCs/>
          <w:szCs w:val="24"/>
        </w:rPr>
        <w:t>About Marriott International</w:t>
      </w:r>
      <w:r>
        <w:rPr>
          <w:rFonts w:ascii="Arial" w:hAnsi="Arial" w:cs="Arial"/>
          <w:szCs w:val="24"/>
        </w:rPr>
        <w:t xml:space="preserve">. Available at: </w:t>
      </w:r>
      <w:r>
        <w:fldChar w:fldCharType="begin"/>
      </w:r>
      <w:r>
        <w:instrText xml:space="preserve"> HYPERLINK "https://www.marriott.com/marriott/aboutmarriott.mi?utm_source=chatgpt.com" \t "_blank" </w:instrText>
      </w:r>
      <w:r>
        <w:fldChar w:fldCharType="separate"/>
      </w:r>
      <w:r>
        <w:rPr>
          <w:rStyle w:val="12"/>
          <w:rFonts w:ascii="Arial" w:hAnsi="Arial" w:cs="Arial"/>
          <w:szCs w:val="24"/>
        </w:rPr>
        <w:t>https://www.marriott.com/marriott/aboutmarriott.mi</w:t>
      </w:r>
      <w:r>
        <w:rPr>
          <w:rStyle w:val="12"/>
          <w:rFonts w:ascii="Arial" w:hAnsi="Arial" w:cs="Arial"/>
          <w:szCs w:val="24"/>
        </w:rPr>
        <w:fldChar w:fldCharType="end"/>
      </w:r>
      <w:r>
        <w:rPr>
          <w:rFonts w:ascii="Arial" w:hAnsi="Arial" w:cs="Arial"/>
          <w:szCs w:val="24"/>
        </w:rPr>
        <w:t xml:space="preserve"> (Accessed: 13 August 2026).</w:t>
      </w:r>
    </w:p>
    <w:p w14:paraId="3DA03F10">
      <w:pPr>
        <w:spacing w:before="240" w:after="0"/>
        <w:rPr>
          <w:rFonts w:ascii="Arial" w:hAnsi="Arial" w:cs="Arial"/>
          <w:szCs w:val="24"/>
        </w:rPr>
      </w:pPr>
      <w:r>
        <w:rPr>
          <w:rFonts w:ascii="Arial" w:hAnsi="Arial" w:cs="Arial"/>
          <w:szCs w:val="24"/>
        </w:rPr>
        <w:t xml:space="preserve">Mirjana, R.M., Vesić, T. and DJEKIĆ, M., (2022). Monetary and financial cash flows as drivers of foreign direct investments at the global level. </w:t>
      </w:r>
      <w:r>
        <w:rPr>
          <w:rFonts w:ascii="Arial" w:hAnsi="Arial" w:cs="Arial"/>
          <w:i/>
          <w:iCs/>
          <w:szCs w:val="24"/>
        </w:rPr>
        <w:t>International Review</w:t>
      </w:r>
      <w:r>
        <w:rPr>
          <w:rFonts w:ascii="Arial" w:hAnsi="Arial" w:cs="Arial"/>
          <w:szCs w:val="24"/>
        </w:rPr>
        <w:t xml:space="preserve">, (1-2), pp.10-16. </w:t>
      </w:r>
      <w:r>
        <w:fldChar w:fldCharType="begin"/>
      </w:r>
      <w:r>
        <w:instrText xml:space="preserve"> HYPERLINK "https://pdfs.semanticscholar.org/bb17/cd6d23125fa5bf0d6ffc51b1248d9ff56bed.pdf" </w:instrText>
      </w:r>
      <w:r>
        <w:fldChar w:fldCharType="separate"/>
      </w:r>
      <w:r>
        <w:rPr>
          <w:rStyle w:val="12"/>
          <w:rFonts w:ascii="Arial" w:hAnsi="Arial" w:cs="Arial"/>
          <w:szCs w:val="24"/>
        </w:rPr>
        <w:t>https://pdfs.semanticscholar.org/bb17/cd6d23125fa5bf0d6ffc51b1248d9ff56bed.pdf</w:t>
      </w:r>
      <w:r>
        <w:rPr>
          <w:rStyle w:val="12"/>
          <w:rFonts w:ascii="Arial" w:hAnsi="Arial" w:cs="Arial"/>
          <w:szCs w:val="24"/>
        </w:rPr>
        <w:fldChar w:fldCharType="end"/>
      </w:r>
      <w:r>
        <w:rPr>
          <w:rFonts w:ascii="Arial" w:hAnsi="Arial" w:cs="Arial"/>
          <w:szCs w:val="24"/>
        </w:rPr>
        <w:t> </w:t>
      </w:r>
    </w:p>
    <w:p w14:paraId="47A03023">
      <w:pPr>
        <w:spacing w:before="240" w:after="0"/>
        <w:rPr>
          <w:rFonts w:ascii="Arial" w:hAnsi="Arial" w:cs="Arial"/>
          <w:szCs w:val="24"/>
        </w:rPr>
      </w:pPr>
      <w:r>
        <w:rPr>
          <w:rFonts w:ascii="Arial" w:hAnsi="Arial" w:cs="Arial"/>
          <w:szCs w:val="24"/>
        </w:rPr>
        <w:t xml:space="preserve">Potharla, S., (2025). From Debt to Divestiture: How Indian and Global Firms Reshaped through Corporate Restructuring. </w:t>
      </w:r>
      <w:r>
        <w:rPr>
          <w:rFonts w:ascii="Arial" w:hAnsi="Arial" w:cs="Arial"/>
          <w:i/>
          <w:iCs/>
          <w:szCs w:val="24"/>
        </w:rPr>
        <w:t>Available at SSRN 5348941</w:t>
      </w:r>
      <w:r>
        <w:rPr>
          <w:rFonts w:ascii="Arial" w:hAnsi="Arial" w:cs="Arial"/>
          <w:szCs w:val="24"/>
        </w:rPr>
        <w:t xml:space="preserve">. </w:t>
      </w:r>
      <w:r>
        <w:fldChar w:fldCharType="begin"/>
      </w:r>
      <w:r>
        <w:instrText xml:space="preserve"> HYPERLINK "https://papers.ssrn.com/sol3/Delivery.cfm?abstractid=5348941" </w:instrText>
      </w:r>
      <w:r>
        <w:fldChar w:fldCharType="separate"/>
      </w:r>
      <w:r>
        <w:rPr>
          <w:rStyle w:val="12"/>
          <w:rFonts w:ascii="Arial" w:hAnsi="Arial" w:cs="Arial"/>
          <w:szCs w:val="24"/>
        </w:rPr>
        <w:t>https://papers.ssrn.com/sol3/Delivery.cfm?abstractid=5348941</w:t>
      </w:r>
      <w:r>
        <w:rPr>
          <w:rStyle w:val="12"/>
          <w:rFonts w:ascii="Arial" w:hAnsi="Arial" w:cs="Arial"/>
          <w:szCs w:val="24"/>
        </w:rPr>
        <w:fldChar w:fldCharType="end"/>
      </w:r>
      <w:r>
        <w:rPr>
          <w:rFonts w:ascii="Arial" w:hAnsi="Arial" w:cs="Arial"/>
          <w:szCs w:val="24"/>
        </w:rPr>
        <w:t> </w:t>
      </w:r>
    </w:p>
    <w:p w14:paraId="67639B0F">
      <w:pPr>
        <w:spacing w:before="240" w:after="0"/>
        <w:rPr>
          <w:rFonts w:ascii="Arial" w:hAnsi="Arial" w:cs="Arial"/>
          <w:szCs w:val="24"/>
        </w:rPr>
      </w:pPr>
      <w:r>
        <w:rPr>
          <w:rFonts w:ascii="Arial" w:hAnsi="Arial" w:cs="Arial"/>
          <w:szCs w:val="24"/>
        </w:rPr>
        <w:t xml:space="preserve">Sokolov, M.V., (2026). Defining the payback period for nonconventional cash flows: An axiomatic approach. </w:t>
      </w:r>
      <w:r>
        <w:rPr>
          <w:rFonts w:ascii="Arial" w:hAnsi="Arial" w:cs="Arial"/>
          <w:i/>
          <w:iCs/>
          <w:szCs w:val="24"/>
        </w:rPr>
        <w:t>The Engineering Economist</w:t>
      </w:r>
      <w:r>
        <w:rPr>
          <w:rFonts w:ascii="Arial" w:hAnsi="Arial" w:cs="Arial"/>
          <w:szCs w:val="24"/>
        </w:rPr>
        <w:t xml:space="preserve">, </w:t>
      </w:r>
      <w:r>
        <w:rPr>
          <w:rFonts w:ascii="Arial" w:hAnsi="Arial" w:cs="Arial"/>
          <w:i/>
          <w:iCs/>
          <w:szCs w:val="24"/>
        </w:rPr>
        <w:t>71</w:t>
      </w:r>
      <w:r>
        <w:rPr>
          <w:rFonts w:ascii="Arial" w:hAnsi="Arial" w:cs="Arial"/>
          <w:szCs w:val="24"/>
        </w:rPr>
        <w:t xml:space="preserve">(2), pp.159-173. </w:t>
      </w:r>
      <w:r>
        <w:fldChar w:fldCharType="begin"/>
      </w:r>
      <w:r>
        <w:instrText xml:space="preserve"> HYPERLINK "https://arxiv.org/pdf/2511.03568" </w:instrText>
      </w:r>
      <w:r>
        <w:fldChar w:fldCharType="separate"/>
      </w:r>
      <w:r>
        <w:rPr>
          <w:rStyle w:val="12"/>
          <w:rFonts w:ascii="Arial" w:hAnsi="Arial" w:cs="Arial"/>
          <w:szCs w:val="24"/>
        </w:rPr>
        <w:t>https://arxiv.org/pdf/2511.03568</w:t>
      </w:r>
      <w:r>
        <w:rPr>
          <w:rStyle w:val="12"/>
          <w:rFonts w:ascii="Arial" w:hAnsi="Arial" w:cs="Arial"/>
          <w:szCs w:val="24"/>
        </w:rPr>
        <w:fldChar w:fldCharType="end"/>
      </w:r>
      <w:r>
        <w:rPr>
          <w:rFonts w:ascii="Arial" w:hAnsi="Arial" w:cs="Arial"/>
          <w:szCs w:val="24"/>
        </w:rPr>
        <w:t> </w:t>
      </w:r>
    </w:p>
    <w:p w14:paraId="73408150">
      <w:pPr>
        <w:spacing w:before="240" w:after="0"/>
        <w:rPr>
          <w:rFonts w:ascii="Arial" w:hAnsi="Arial" w:cs="Arial"/>
          <w:szCs w:val="24"/>
        </w:rPr>
      </w:pPr>
      <w:r>
        <w:rPr>
          <w:rFonts w:ascii="Arial" w:hAnsi="Arial" w:cs="Arial"/>
          <w:szCs w:val="24"/>
        </w:rPr>
        <w:t xml:space="preserve">Supriono, S., (2022). Analysis of the effect of return on equity, debt-to-equity, net profit margin on price-to-earnings Ratio. </w:t>
      </w:r>
      <w:r>
        <w:rPr>
          <w:rFonts w:ascii="Arial" w:hAnsi="Arial" w:cs="Arial"/>
          <w:i/>
          <w:iCs/>
          <w:szCs w:val="24"/>
        </w:rPr>
        <w:t>Economic and Business Horizon</w:t>
      </w:r>
      <w:r>
        <w:rPr>
          <w:rFonts w:ascii="Arial" w:hAnsi="Arial" w:cs="Arial"/>
          <w:szCs w:val="24"/>
        </w:rPr>
        <w:t xml:space="preserve">, </w:t>
      </w:r>
      <w:r>
        <w:rPr>
          <w:rFonts w:ascii="Arial" w:hAnsi="Arial" w:cs="Arial"/>
          <w:i/>
          <w:iCs/>
          <w:szCs w:val="24"/>
        </w:rPr>
        <w:t>1</w:t>
      </w:r>
      <w:r>
        <w:rPr>
          <w:rFonts w:ascii="Arial" w:hAnsi="Arial" w:cs="Arial"/>
          <w:szCs w:val="24"/>
        </w:rPr>
        <w:t xml:space="preserve">(1), pp.9-23. </w:t>
      </w:r>
      <w:r>
        <w:fldChar w:fldCharType="begin"/>
      </w:r>
      <w:r>
        <w:instrText xml:space="preserve"> HYPERLINK "http://journal.lifescifi.com/index.php/ebh/article/download/70/46" </w:instrText>
      </w:r>
      <w:r>
        <w:fldChar w:fldCharType="separate"/>
      </w:r>
      <w:r>
        <w:rPr>
          <w:rStyle w:val="12"/>
          <w:rFonts w:ascii="Arial" w:hAnsi="Arial" w:cs="Arial"/>
          <w:szCs w:val="24"/>
        </w:rPr>
        <w:t>http://journal.lifescifi.com/index.php/ebh/article/download/70/46</w:t>
      </w:r>
      <w:r>
        <w:rPr>
          <w:rStyle w:val="12"/>
          <w:rFonts w:ascii="Arial" w:hAnsi="Arial" w:cs="Arial"/>
          <w:szCs w:val="24"/>
        </w:rPr>
        <w:fldChar w:fldCharType="end"/>
      </w:r>
      <w:r>
        <w:rPr>
          <w:rFonts w:ascii="Arial" w:hAnsi="Arial" w:cs="Arial"/>
          <w:szCs w:val="24"/>
        </w:rPr>
        <w:t> </w:t>
      </w:r>
    </w:p>
    <w:p w14:paraId="0CADC55D">
      <w:pPr>
        <w:spacing w:before="240" w:after="0"/>
        <w:rPr>
          <w:rFonts w:ascii="Arial" w:hAnsi="Arial" w:cs="Arial"/>
          <w:szCs w:val="24"/>
        </w:rPr>
      </w:pPr>
      <w:r>
        <w:rPr>
          <w:rFonts w:ascii="Arial" w:hAnsi="Arial" w:cs="Arial"/>
          <w:szCs w:val="24"/>
        </w:rPr>
        <w:t xml:space="preserve">Vasilev, J. and Milkova, T., (2022). Optimisation Models for Inventory Management with Limited Number of Stock Items. </w:t>
      </w:r>
      <w:r>
        <w:rPr>
          <w:rFonts w:ascii="Arial" w:hAnsi="Arial" w:cs="Arial"/>
          <w:i/>
          <w:iCs/>
          <w:szCs w:val="24"/>
        </w:rPr>
        <w:t>Logistics</w:t>
      </w:r>
      <w:r>
        <w:rPr>
          <w:rFonts w:ascii="Arial" w:hAnsi="Arial" w:cs="Arial"/>
          <w:szCs w:val="24"/>
        </w:rPr>
        <w:t xml:space="preserve">, </w:t>
      </w:r>
      <w:r>
        <w:rPr>
          <w:rFonts w:ascii="Arial" w:hAnsi="Arial" w:cs="Arial"/>
          <w:i/>
          <w:iCs/>
          <w:szCs w:val="24"/>
        </w:rPr>
        <w:t>6</w:t>
      </w:r>
      <w:r>
        <w:rPr>
          <w:rFonts w:ascii="Arial" w:hAnsi="Arial" w:cs="Arial"/>
          <w:szCs w:val="24"/>
        </w:rPr>
        <w:t xml:space="preserve">(3), p.54. </w:t>
      </w:r>
      <w:r>
        <w:fldChar w:fldCharType="begin"/>
      </w:r>
      <w:r>
        <w:instrText xml:space="preserve"> HYPERLINK "https://www.mdpi.com/2305-6290/6/3/54" </w:instrText>
      </w:r>
      <w:r>
        <w:fldChar w:fldCharType="separate"/>
      </w:r>
      <w:r>
        <w:rPr>
          <w:rStyle w:val="12"/>
          <w:rFonts w:ascii="Arial" w:hAnsi="Arial" w:cs="Arial"/>
          <w:szCs w:val="24"/>
        </w:rPr>
        <w:t>https://www.mdpi.com/2305-6290/6/3/54</w:t>
      </w:r>
      <w:r>
        <w:rPr>
          <w:rStyle w:val="12"/>
          <w:rFonts w:ascii="Arial" w:hAnsi="Arial" w:cs="Arial"/>
          <w:szCs w:val="24"/>
        </w:rPr>
        <w:fldChar w:fldCharType="end"/>
      </w:r>
      <w:r>
        <w:rPr>
          <w:rFonts w:ascii="Arial" w:hAnsi="Arial" w:cs="Arial"/>
          <w:szCs w:val="24"/>
        </w:rPr>
        <w:t> </w:t>
      </w:r>
    </w:p>
    <w:p w14:paraId="01793876">
      <w:pPr>
        <w:spacing w:before="240" w:after="0"/>
        <w:rPr>
          <w:rFonts w:ascii="Arial" w:hAnsi="Arial" w:cs="Arial"/>
          <w:szCs w:val="24"/>
        </w:rPr>
      </w:pPr>
      <w:r>
        <w:rPr>
          <w:rFonts w:ascii="Arial" w:hAnsi="Arial" w:cs="Arial"/>
          <w:szCs w:val="24"/>
        </w:rPr>
        <w:t xml:space="preserve">Wangchuk, P., (2022). Application of depreciation net present value and internal rate of return in engineering projects a brief literature review. </w:t>
      </w:r>
      <w:r>
        <w:rPr>
          <w:rFonts w:ascii="Arial" w:hAnsi="Arial" w:cs="Arial"/>
          <w:i/>
          <w:iCs/>
          <w:szCs w:val="24"/>
        </w:rPr>
        <w:t>Journal of Applied Engineering, Technology and Management</w:t>
      </w:r>
      <w:r>
        <w:rPr>
          <w:rFonts w:ascii="Arial" w:hAnsi="Arial" w:cs="Arial"/>
          <w:szCs w:val="24"/>
        </w:rPr>
        <w:t xml:space="preserve">, </w:t>
      </w:r>
      <w:r>
        <w:rPr>
          <w:rFonts w:ascii="Arial" w:hAnsi="Arial" w:cs="Arial"/>
          <w:i/>
          <w:iCs/>
          <w:szCs w:val="24"/>
        </w:rPr>
        <w:t>2</w:t>
      </w:r>
      <w:r>
        <w:rPr>
          <w:rFonts w:ascii="Arial" w:hAnsi="Arial" w:cs="Arial"/>
          <w:szCs w:val="24"/>
        </w:rPr>
        <w:t xml:space="preserve">(1), pp.25-30. </w:t>
      </w:r>
      <w:r>
        <w:fldChar w:fldCharType="begin"/>
      </w:r>
      <w:r>
        <w:instrText xml:space="preserve"> HYPERLINK "https://journal.jnec.edu.bt/index.php/jaetm/article/download/55/26" </w:instrText>
      </w:r>
      <w:r>
        <w:fldChar w:fldCharType="separate"/>
      </w:r>
      <w:r>
        <w:rPr>
          <w:rStyle w:val="12"/>
          <w:rFonts w:ascii="Arial" w:hAnsi="Arial" w:cs="Arial"/>
          <w:szCs w:val="24"/>
        </w:rPr>
        <w:t>https://journal.jnec.edu.bt/index.php/jaetm/article/download/55/26</w:t>
      </w:r>
      <w:r>
        <w:rPr>
          <w:rStyle w:val="12"/>
          <w:rFonts w:ascii="Arial" w:hAnsi="Arial" w:cs="Arial"/>
          <w:szCs w:val="24"/>
        </w:rPr>
        <w:fldChar w:fldCharType="end"/>
      </w:r>
      <w:r>
        <w:rPr>
          <w:rFonts w:ascii="Arial" w:hAnsi="Arial" w:cs="Arial"/>
          <w:szCs w:val="24"/>
        </w:rPr>
        <w:t> </w:t>
      </w:r>
    </w:p>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5808120"/>
      <w:docPartObj>
        <w:docPartGallery w:val="AutoText"/>
      </w:docPartObj>
    </w:sdtPr>
    <w:sdtEndPr>
      <w:rPr>
        <w:color w:val="808080" w:themeColor="background1" w:themeShade="80"/>
        <w:spacing w:val="60"/>
      </w:rPr>
    </w:sdtEndPr>
    <w:sdtContent>
      <w:p w14:paraId="517BCFBA">
        <w:pPr>
          <w:pStyle w:val="10"/>
          <w:pBdr>
            <w:top w:val="single" w:color="D8D8D8" w:themeColor="background1" w:themeShade="D9" w:sz="4" w:space="1"/>
          </w:pBdr>
          <w:jc w:val="right"/>
        </w:pPr>
        <w:r>
          <w:fldChar w:fldCharType="begin"/>
        </w:r>
        <w:r>
          <w:instrText xml:space="preserve"> PAGE   \* MERGEFORMAT </w:instrText>
        </w:r>
        <w:r>
          <w:fldChar w:fldCharType="separate"/>
        </w:r>
        <w:r>
          <w:t>4</w:t>
        </w:r>
        <w:r>
          <w:fldChar w:fldCharType="end"/>
        </w:r>
        <w:r>
          <w:t xml:space="preserve"> | </w:t>
        </w:r>
        <w:r>
          <w:rPr>
            <w:color w:val="808080" w:themeColor="background1" w:themeShade="80"/>
            <w:spacing w:val="60"/>
          </w:rPr>
          <w:t>Page</w:t>
        </w:r>
      </w:p>
    </w:sdtContent>
  </w:sdt>
  <w:p w14:paraId="15DCF182">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300"/>
    <w:rsid w:val="000217B3"/>
    <w:rsid w:val="00023681"/>
    <w:rsid w:val="00023BD7"/>
    <w:rsid w:val="0002431E"/>
    <w:rsid w:val="00025940"/>
    <w:rsid w:val="00026E26"/>
    <w:rsid w:val="00044E32"/>
    <w:rsid w:val="000702CC"/>
    <w:rsid w:val="00075709"/>
    <w:rsid w:val="0008226A"/>
    <w:rsid w:val="00087DF7"/>
    <w:rsid w:val="00093FD3"/>
    <w:rsid w:val="000A1542"/>
    <w:rsid w:val="000B2E90"/>
    <w:rsid w:val="000C2D32"/>
    <w:rsid w:val="000D3D5B"/>
    <w:rsid w:val="000E5927"/>
    <w:rsid w:val="000F6506"/>
    <w:rsid w:val="00106D61"/>
    <w:rsid w:val="00115CFF"/>
    <w:rsid w:val="001275AF"/>
    <w:rsid w:val="00157671"/>
    <w:rsid w:val="00174052"/>
    <w:rsid w:val="00180D05"/>
    <w:rsid w:val="00181E43"/>
    <w:rsid w:val="00184F6E"/>
    <w:rsid w:val="001A4196"/>
    <w:rsid w:val="001B3E90"/>
    <w:rsid w:val="001B762A"/>
    <w:rsid w:val="001D0A11"/>
    <w:rsid w:val="001E064B"/>
    <w:rsid w:val="001E2FEA"/>
    <w:rsid w:val="001F2329"/>
    <w:rsid w:val="001F5B81"/>
    <w:rsid w:val="00216EE1"/>
    <w:rsid w:val="00224DD1"/>
    <w:rsid w:val="00233011"/>
    <w:rsid w:val="0023478F"/>
    <w:rsid w:val="00245EC1"/>
    <w:rsid w:val="0025469D"/>
    <w:rsid w:val="00256298"/>
    <w:rsid w:val="00275C16"/>
    <w:rsid w:val="00281A18"/>
    <w:rsid w:val="002A6559"/>
    <w:rsid w:val="002B0471"/>
    <w:rsid w:val="002B5036"/>
    <w:rsid w:val="002D4902"/>
    <w:rsid w:val="002E07FC"/>
    <w:rsid w:val="002E686C"/>
    <w:rsid w:val="003025FF"/>
    <w:rsid w:val="00323066"/>
    <w:rsid w:val="00330206"/>
    <w:rsid w:val="003326EB"/>
    <w:rsid w:val="00335F3F"/>
    <w:rsid w:val="00342F2A"/>
    <w:rsid w:val="00347523"/>
    <w:rsid w:val="00355887"/>
    <w:rsid w:val="00364D6C"/>
    <w:rsid w:val="00372E55"/>
    <w:rsid w:val="00373408"/>
    <w:rsid w:val="00373A5E"/>
    <w:rsid w:val="00393F30"/>
    <w:rsid w:val="00396A31"/>
    <w:rsid w:val="003A4863"/>
    <w:rsid w:val="003B71EE"/>
    <w:rsid w:val="003F6DCA"/>
    <w:rsid w:val="004160C3"/>
    <w:rsid w:val="0042473A"/>
    <w:rsid w:val="00425DAF"/>
    <w:rsid w:val="00451A3E"/>
    <w:rsid w:val="004613C8"/>
    <w:rsid w:val="0046303B"/>
    <w:rsid w:val="004716CA"/>
    <w:rsid w:val="00476A69"/>
    <w:rsid w:val="00486D07"/>
    <w:rsid w:val="004876DC"/>
    <w:rsid w:val="0049397F"/>
    <w:rsid w:val="004972F8"/>
    <w:rsid w:val="004A41A5"/>
    <w:rsid w:val="004A6444"/>
    <w:rsid w:val="004A7D0F"/>
    <w:rsid w:val="004B575F"/>
    <w:rsid w:val="004C0813"/>
    <w:rsid w:val="004D5F5C"/>
    <w:rsid w:val="004E22F3"/>
    <w:rsid w:val="004E69B7"/>
    <w:rsid w:val="004F0B1B"/>
    <w:rsid w:val="004F57CD"/>
    <w:rsid w:val="005508EC"/>
    <w:rsid w:val="0058395A"/>
    <w:rsid w:val="0058550B"/>
    <w:rsid w:val="005B1871"/>
    <w:rsid w:val="005B5667"/>
    <w:rsid w:val="005D25CD"/>
    <w:rsid w:val="005D4D1E"/>
    <w:rsid w:val="005E1B54"/>
    <w:rsid w:val="005E6667"/>
    <w:rsid w:val="005F0CD7"/>
    <w:rsid w:val="005F1195"/>
    <w:rsid w:val="005F5695"/>
    <w:rsid w:val="006014BA"/>
    <w:rsid w:val="006065E9"/>
    <w:rsid w:val="006104EF"/>
    <w:rsid w:val="006127A2"/>
    <w:rsid w:val="00644CF5"/>
    <w:rsid w:val="00645C02"/>
    <w:rsid w:val="00654896"/>
    <w:rsid w:val="00657528"/>
    <w:rsid w:val="006624FF"/>
    <w:rsid w:val="0066311D"/>
    <w:rsid w:val="00671359"/>
    <w:rsid w:val="0069018C"/>
    <w:rsid w:val="00694E02"/>
    <w:rsid w:val="006A1DDE"/>
    <w:rsid w:val="006A2B90"/>
    <w:rsid w:val="006A6C93"/>
    <w:rsid w:val="006B5CF1"/>
    <w:rsid w:val="006D7C33"/>
    <w:rsid w:val="006E4570"/>
    <w:rsid w:val="006F7EC8"/>
    <w:rsid w:val="00704BB6"/>
    <w:rsid w:val="00707BF3"/>
    <w:rsid w:val="007107D6"/>
    <w:rsid w:val="00717ADF"/>
    <w:rsid w:val="0073563F"/>
    <w:rsid w:val="007510FC"/>
    <w:rsid w:val="007575BC"/>
    <w:rsid w:val="00764C4D"/>
    <w:rsid w:val="00772FCC"/>
    <w:rsid w:val="00773B86"/>
    <w:rsid w:val="00780DAA"/>
    <w:rsid w:val="00786521"/>
    <w:rsid w:val="007B52BB"/>
    <w:rsid w:val="007B5CFD"/>
    <w:rsid w:val="007D2F20"/>
    <w:rsid w:val="007D3ED2"/>
    <w:rsid w:val="007E1496"/>
    <w:rsid w:val="007E4C8A"/>
    <w:rsid w:val="007F27AA"/>
    <w:rsid w:val="008073A7"/>
    <w:rsid w:val="00812B0F"/>
    <w:rsid w:val="00820E38"/>
    <w:rsid w:val="0084501A"/>
    <w:rsid w:val="00850E8F"/>
    <w:rsid w:val="00856FED"/>
    <w:rsid w:val="0086059C"/>
    <w:rsid w:val="0086520F"/>
    <w:rsid w:val="00871D0D"/>
    <w:rsid w:val="00875643"/>
    <w:rsid w:val="00876444"/>
    <w:rsid w:val="008A4D4C"/>
    <w:rsid w:val="008B0E73"/>
    <w:rsid w:val="008B4AED"/>
    <w:rsid w:val="008B5F32"/>
    <w:rsid w:val="008B6AEC"/>
    <w:rsid w:val="008B76FA"/>
    <w:rsid w:val="008C647D"/>
    <w:rsid w:val="008D3E66"/>
    <w:rsid w:val="008E1ADB"/>
    <w:rsid w:val="008E500D"/>
    <w:rsid w:val="008F4322"/>
    <w:rsid w:val="00902647"/>
    <w:rsid w:val="0091481E"/>
    <w:rsid w:val="0091575E"/>
    <w:rsid w:val="0091708F"/>
    <w:rsid w:val="009323E5"/>
    <w:rsid w:val="0093638A"/>
    <w:rsid w:val="009711EC"/>
    <w:rsid w:val="00981A77"/>
    <w:rsid w:val="009908E0"/>
    <w:rsid w:val="009916F2"/>
    <w:rsid w:val="00995300"/>
    <w:rsid w:val="009B07E6"/>
    <w:rsid w:val="009B7C3F"/>
    <w:rsid w:val="009D688F"/>
    <w:rsid w:val="009F4A55"/>
    <w:rsid w:val="009F6088"/>
    <w:rsid w:val="00A03457"/>
    <w:rsid w:val="00A069CA"/>
    <w:rsid w:val="00A07D49"/>
    <w:rsid w:val="00A17265"/>
    <w:rsid w:val="00A25F8B"/>
    <w:rsid w:val="00A26E72"/>
    <w:rsid w:val="00A37B6B"/>
    <w:rsid w:val="00A40606"/>
    <w:rsid w:val="00A653D1"/>
    <w:rsid w:val="00A80677"/>
    <w:rsid w:val="00A86A29"/>
    <w:rsid w:val="00A91D38"/>
    <w:rsid w:val="00A92039"/>
    <w:rsid w:val="00AA5034"/>
    <w:rsid w:val="00AB54F9"/>
    <w:rsid w:val="00AB74B8"/>
    <w:rsid w:val="00AC1152"/>
    <w:rsid w:val="00AE4996"/>
    <w:rsid w:val="00AF2523"/>
    <w:rsid w:val="00AF631D"/>
    <w:rsid w:val="00B003FB"/>
    <w:rsid w:val="00B007E0"/>
    <w:rsid w:val="00B02389"/>
    <w:rsid w:val="00B02768"/>
    <w:rsid w:val="00B066EB"/>
    <w:rsid w:val="00B139C3"/>
    <w:rsid w:val="00B15BEF"/>
    <w:rsid w:val="00B16C01"/>
    <w:rsid w:val="00B21353"/>
    <w:rsid w:val="00B31767"/>
    <w:rsid w:val="00B3753F"/>
    <w:rsid w:val="00B51795"/>
    <w:rsid w:val="00B52CF9"/>
    <w:rsid w:val="00B53A06"/>
    <w:rsid w:val="00B742C5"/>
    <w:rsid w:val="00B812E1"/>
    <w:rsid w:val="00B82190"/>
    <w:rsid w:val="00BA399B"/>
    <w:rsid w:val="00BA55D5"/>
    <w:rsid w:val="00BC0684"/>
    <w:rsid w:val="00BC22D4"/>
    <w:rsid w:val="00BC579E"/>
    <w:rsid w:val="00BD5197"/>
    <w:rsid w:val="00BD739F"/>
    <w:rsid w:val="00BF323E"/>
    <w:rsid w:val="00BF5B07"/>
    <w:rsid w:val="00C04100"/>
    <w:rsid w:val="00C07E01"/>
    <w:rsid w:val="00C162C3"/>
    <w:rsid w:val="00C47212"/>
    <w:rsid w:val="00C534E2"/>
    <w:rsid w:val="00C53A23"/>
    <w:rsid w:val="00C62050"/>
    <w:rsid w:val="00C62CFE"/>
    <w:rsid w:val="00C638B4"/>
    <w:rsid w:val="00C6449E"/>
    <w:rsid w:val="00C648E6"/>
    <w:rsid w:val="00C66B22"/>
    <w:rsid w:val="00C769E7"/>
    <w:rsid w:val="00C772D5"/>
    <w:rsid w:val="00C85D7B"/>
    <w:rsid w:val="00CA0AE4"/>
    <w:rsid w:val="00CA1E58"/>
    <w:rsid w:val="00CA330D"/>
    <w:rsid w:val="00CA3BA3"/>
    <w:rsid w:val="00CA513C"/>
    <w:rsid w:val="00CB4443"/>
    <w:rsid w:val="00CC0482"/>
    <w:rsid w:val="00CE2F72"/>
    <w:rsid w:val="00CE3628"/>
    <w:rsid w:val="00CE5B60"/>
    <w:rsid w:val="00D02FC0"/>
    <w:rsid w:val="00D23B71"/>
    <w:rsid w:val="00D24167"/>
    <w:rsid w:val="00D34BA0"/>
    <w:rsid w:val="00D66B0E"/>
    <w:rsid w:val="00D7259D"/>
    <w:rsid w:val="00D75226"/>
    <w:rsid w:val="00D761F0"/>
    <w:rsid w:val="00D808B0"/>
    <w:rsid w:val="00DA6B46"/>
    <w:rsid w:val="00DB1B69"/>
    <w:rsid w:val="00DB4117"/>
    <w:rsid w:val="00DD29E2"/>
    <w:rsid w:val="00DF56A7"/>
    <w:rsid w:val="00DF63BE"/>
    <w:rsid w:val="00E016CB"/>
    <w:rsid w:val="00E14B86"/>
    <w:rsid w:val="00E1588F"/>
    <w:rsid w:val="00E26B07"/>
    <w:rsid w:val="00E3000B"/>
    <w:rsid w:val="00E315AA"/>
    <w:rsid w:val="00E32191"/>
    <w:rsid w:val="00E333E9"/>
    <w:rsid w:val="00E53A43"/>
    <w:rsid w:val="00E55087"/>
    <w:rsid w:val="00E64167"/>
    <w:rsid w:val="00E66476"/>
    <w:rsid w:val="00E72284"/>
    <w:rsid w:val="00EB30AA"/>
    <w:rsid w:val="00EB687C"/>
    <w:rsid w:val="00EC5368"/>
    <w:rsid w:val="00ED39AD"/>
    <w:rsid w:val="00EE59B7"/>
    <w:rsid w:val="00EF4456"/>
    <w:rsid w:val="00F20815"/>
    <w:rsid w:val="00F226F9"/>
    <w:rsid w:val="00F237D8"/>
    <w:rsid w:val="00F34471"/>
    <w:rsid w:val="00F34B8D"/>
    <w:rsid w:val="00F51AA5"/>
    <w:rsid w:val="00F54925"/>
    <w:rsid w:val="00F658A7"/>
    <w:rsid w:val="00F6723C"/>
    <w:rsid w:val="00F73666"/>
    <w:rsid w:val="00F75022"/>
    <w:rsid w:val="00F90045"/>
    <w:rsid w:val="00FA2DB3"/>
    <w:rsid w:val="00FC6A0A"/>
    <w:rsid w:val="00FC7D87"/>
    <w:rsid w:val="00FC7E86"/>
    <w:rsid w:val="00FD3C8B"/>
    <w:rsid w:val="00FF1330"/>
    <w:rsid w:val="2F997E2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20"/>
    <w:qFormat/>
    <w:uiPriority w:val="9"/>
    <w:pPr>
      <w:spacing w:after="0"/>
      <w:outlineLvl w:val="0"/>
    </w:pPr>
    <w:rPr>
      <w:rFonts w:cs="Times New Roman"/>
      <w:b/>
      <w:sz w:val="28"/>
      <w:lang w:val="en-US"/>
    </w:rPr>
  </w:style>
  <w:style w:type="paragraph" w:styleId="3">
    <w:name w:val="heading 2"/>
    <w:basedOn w:val="1"/>
    <w:next w:val="1"/>
    <w:link w:val="21"/>
    <w:autoRedefine/>
    <w:unhideWhenUsed/>
    <w:qFormat/>
    <w:uiPriority w:val="9"/>
    <w:pPr>
      <w:spacing w:after="0"/>
      <w:outlineLvl w:val="1"/>
    </w:pPr>
    <w:rPr>
      <w:b/>
    </w:rPr>
  </w:style>
  <w:style w:type="paragraph" w:styleId="4">
    <w:name w:val="heading 3"/>
    <w:basedOn w:val="5"/>
    <w:next w:val="1"/>
    <w:link w:val="22"/>
    <w:unhideWhenUsed/>
    <w:qFormat/>
    <w:uiPriority w:val="9"/>
    <w:pPr>
      <w:jc w:val="left"/>
      <w:outlineLvl w:val="2"/>
    </w:pPr>
    <w:rPr>
      <w:b w:val="0"/>
      <w:sz w:val="24"/>
    </w:rPr>
  </w:style>
  <w:style w:type="paragraph" w:styleId="6">
    <w:name w:val="heading 4"/>
    <w:basedOn w:val="1"/>
    <w:next w:val="1"/>
    <w:link w:val="26"/>
    <w:qFormat/>
    <w:uiPriority w:val="0"/>
    <w:pPr>
      <w:keepNext/>
      <w:keepLines/>
      <w:spacing w:after="0"/>
      <w:jc w:val="center"/>
      <w:outlineLvl w:val="3"/>
    </w:pPr>
    <w:rPr>
      <w:rFonts w:eastAsia="Times New Roman" w:cs="Times New Roman"/>
      <w:b/>
      <w:color w:val="000000" w:themeColor="text1"/>
      <w:szCs w:val="24"/>
      <w:lang w:val="en-IN" w:eastAsia="en-IN"/>
      <w14:textFill>
        <w14:solidFill>
          <w14:schemeClr w14:val="tx1"/>
        </w14:solidFill>
      </w14:textFill>
    </w:rPr>
  </w:style>
  <w:style w:type="paragraph" w:styleId="7">
    <w:name w:val="heading 5"/>
    <w:basedOn w:val="1"/>
    <w:next w:val="1"/>
    <w:link w:val="27"/>
    <w:qFormat/>
    <w:uiPriority w:val="0"/>
    <w:pPr>
      <w:keepNext/>
      <w:keepLines/>
      <w:spacing w:before="240" w:after="80"/>
      <w:outlineLvl w:val="4"/>
    </w:pPr>
    <w:rPr>
      <w:rFonts w:eastAsia="Times New Roman" w:cs="Times New Roman"/>
      <w:b/>
      <w:lang w:val="en-IN" w:eastAsia="en-IN"/>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Subtitle"/>
    <w:basedOn w:val="1"/>
    <w:next w:val="1"/>
    <w:link w:val="23"/>
    <w:qFormat/>
    <w:uiPriority w:val="11"/>
    <w:pPr>
      <w:jc w:val="center"/>
    </w:pPr>
    <w:rPr>
      <w:b/>
      <w:sz w:val="32"/>
    </w:rPr>
  </w:style>
  <w:style w:type="paragraph" w:styleId="10">
    <w:name w:val="footer"/>
    <w:basedOn w:val="1"/>
    <w:link w:val="29"/>
    <w:unhideWhenUsed/>
    <w:qFormat/>
    <w:uiPriority w:val="99"/>
    <w:pPr>
      <w:tabs>
        <w:tab w:val="center" w:pos="4513"/>
        <w:tab w:val="right" w:pos="9026"/>
      </w:tabs>
      <w:spacing w:after="0" w:line="240" w:lineRule="auto"/>
    </w:pPr>
  </w:style>
  <w:style w:type="paragraph" w:styleId="11">
    <w:name w:val="header"/>
    <w:basedOn w:val="1"/>
    <w:link w:val="28"/>
    <w:unhideWhenUsed/>
    <w:qFormat/>
    <w:uiPriority w:val="99"/>
    <w:pPr>
      <w:tabs>
        <w:tab w:val="center" w:pos="4513"/>
        <w:tab w:val="right" w:pos="9026"/>
      </w:tabs>
      <w:spacing w:after="0" w:line="240" w:lineRule="auto"/>
    </w:pPr>
  </w:style>
  <w:style w:type="character" w:styleId="12">
    <w:name w:val="Hyperlink"/>
    <w:basedOn w:val="8"/>
    <w:unhideWhenUsed/>
    <w:qFormat/>
    <w:uiPriority w:val="99"/>
    <w:rPr>
      <w:rFonts w:ascii="Times New Roman" w:hAnsi="Times New Roman"/>
      <w:color w:val="0563C1" w:themeColor="hyperlink"/>
      <w:sz w:val="24"/>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jc w:val="left"/>
    </w:pPr>
    <w:rPr>
      <w:rFonts w:eastAsia="Times New Roman" w:cs="Times New Roman"/>
      <w:szCs w:val="24"/>
      <w:lang w:eastAsia="en-GB"/>
    </w:rPr>
  </w:style>
  <w:style w:type="character" w:styleId="14">
    <w:name w:val="Strong"/>
    <w:basedOn w:val="8"/>
    <w:qFormat/>
    <w:uiPriority w:val="22"/>
    <w:rPr>
      <w:b/>
      <w:bCs/>
    </w:rPr>
  </w:style>
  <w:style w:type="table" w:styleId="15">
    <w:name w:val="Table Grid"/>
    <w:basedOn w:val="9"/>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able of figures"/>
    <w:basedOn w:val="1"/>
    <w:next w:val="1"/>
    <w:unhideWhenUsed/>
    <w:qFormat/>
    <w:uiPriority w:val="99"/>
    <w:pPr>
      <w:spacing w:after="0"/>
    </w:pPr>
  </w:style>
  <w:style w:type="paragraph" w:styleId="17">
    <w:name w:val="Title"/>
    <w:basedOn w:val="1"/>
    <w:next w:val="1"/>
    <w:link w:val="24"/>
    <w:qFormat/>
    <w:uiPriority w:val="10"/>
    <w:pPr>
      <w:jc w:val="center"/>
    </w:pPr>
    <w:rPr>
      <w:b/>
      <w:sz w:val="36"/>
    </w:rPr>
  </w:style>
  <w:style w:type="paragraph" w:styleId="18">
    <w:name w:val="toc 1"/>
    <w:basedOn w:val="1"/>
    <w:next w:val="1"/>
    <w:autoRedefine/>
    <w:unhideWhenUsed/>
    <w:qFormat/>
    <w:uiPriority w:val="39"/>
    <w:pPr>
      <w:tabs>
        <w:tab w:val="right" w:leader="dot" w:pos="9016"/>
      </w:tabs>
      <w:spacing w:after="120"/>
      <w:jc w:val="left"/>
    </w:pPr>
    <w:rPr>
      <w:rFonts w:cs="Times New Roman" w:eastAsiaTheme="minorEastAsia"/>
      <w:szCs w:val="24"/>
      <w:lang w:val="en-US"/>
    </w:rPr>
  </w:style>
  <w:style w:type="paragraph" w:styleId="19">
    <w:name w:val="toc 2"/>
    <w:basedOn w:val="1"/>
    <w:next w:val="1"/>
    <w:autoRedefine/>
    <w:unhideWhenUsed/>
    <w:qFormat/>
    <w:uiPriority w:val="39"/>
    <w:pPr>
      <w:spacing w:after="100"/>
      <w:ind w:left="240"/>
    </w:pPr>
  </w:style>
  <w:style w:type="character" w:customStyle="1" w:styleId="20">
    <w:name w:val="Heading 1 Char"/>
    <w:basedOn w:val="8"/>
    <w:link w:val="2"/>
    <w:qFormat/>
    <w:uiPriority w:val="9"/>
    <w:rPr>
      <w:rFonts w:ascii="Times New Roman" w:hAnsi="Times New Roman" w:cs="Times New Roman"/>
      <w:b/>
      <w:sz w:val="28"/>
      <w:lang w:val="en-US"/>
    </w:rPr>
  </w:style>
  <w:style w:type="character" w:customStyle="1" w:styleId="21">
    <w:name w:val="Heading 2 Char"/>
    <w:basedOn w:val="8"/>
    <w:link w:val="3"/>
    <w:qFormat/>
    <w:uiPriority w:val="9"/>
    <w:rPr>
      <w:rFonts w:ascii="Times New Roman" w:hAnsi="Times New Roman"/>
      <w:b/>
      <w:sz w:val="24"/>
      <w:lang w:val="en-GB"/>
    </w:rPr>
  </w:style>
  <w:style w:type="character" w:customStyle="1" w:styleId="22">
    <w:name w:val="Heading 3 Char"/>
    <w:basedOn w:val="8"/>
    <w:link w:val="4"/>
    <w:uiPriority w:val="9"/>
    <w:rPr>
      <w:rFonts w:ascii="Times New Roman" w:hAnsi="Times New Roman" w:cs="Times New Roman"/>
      <w:b/>
      <w:sz w:val="24"/>
      <w:lang w:val="en-US"/>
    </w:rPr>
  </w:style>
  <w:style w:type="character" w:customStyle="1" w:styleId="23">
    <w:name w:val="Subtitle Char"/>
    <w:basedOn w:val="8"/>
    <w:link w:val="5"/>
    <w:qFormat/>
    <w:uiPriority w:val="11"/>
    <w:rPr>
      <w:rFonts w:ascii="Times New Roman" w:hAnsi="Times New Roman"/>
      <w:b/>
      <w:sz w:val="32"/>
      <w:lang w:val="en-GB"/>
    </w:rPr>
  </w:style>
  <w:style w:type="character" w:customStyle="1" w:styleId="24">
    <w:name w:val="Title Char"/>
    <w:basedOn w:val="8"/>
    <w:link w:val="17"/>
    <w:qFormat/>
    <w:uiPriority w:val="10"/>
    <w:rPr>
      <w:rFonts w:ascii="Times New Roman" w:hAnsi="Times New Roman"/>
      <w:b/>
      <w:sz w:val="36"/>
      <w:lang w:val="en-GB"/>
    </w:rPr>
  </w:style>
  <w:style w:type="paragraph" w:customStyle="1" w:styleId="25">
    <w:name w:val="TOC Heading"/>
    <w:basedOn w:val="1"/>
    <w:next w:val="1"/>
    <w:unhideWhenUsed/>
    <w:qFormat/>
    <w:uiPriority w:val="39"/>
    <w:pPr>
      <w:jc w:val="center"/>
    </w:pPr>
    <w:rPr>
      <w:b/>
    </w:rPr>
  </w:style>
  <w:style w:type="character" w:customStyle="1" w:styleId="26">
    <w:name w:val="Heading 4 Char"/>
    <w:basedOn w:val="8"/>
    <w:link w:val="6"/>
    <w:uiPriority w:val="0"/>
    <w:rPr>
      <w:rFonts w:ascii="Times New Roman" w:hAnsi="Times New Roman" w:eastAsia="Times New Roman" w:cs="Times New Roman"/>
      <w:b/>
      <w:color w:val="000000" w:themeColor="text1"/>
      <w:sz w:val="24"/>
      <w:szCs w:val="24"/>
      <w:lang w:eastAsia="en-IN"/>
      <w14:textFill>
        <w14:solidFill>
          <w14:schemeClr w14:val="tx1"/>
        </w14:solidFill>
      </w14:textFill>
    </w:rPr>
  </w:style>
  <w:style w:type="character" w:customStyle="1" w:styleId="27">
    <w:name w:val="Heading 5 Char"/>
    <w:basedOn w:val="8"/>
    <w:link w:val="7"/>
    <w:qFormat/>
    <w:uiPriority w:val="0"/>
    <w:rPr>
      <w:rFonts w:ascii="Times New Roman" w:hAnsi="Times New Roman" w:eastAsia="Times New Roman" w:cs="Times New Roman"/>
      <w:b/>
      <w:sz w:val="24"/>
      <w:lang w:eastAsia="en-IN"/>
    </w:rPr>
  </w:style>
  <w:style w:type="character" w:customStyle="1" w:styleId="28">
    <w:name w:val="Header Char"/>
    <w:basedOn w:val="8"/>
    <w:link w:val="11"/>
    <w:qFormat/>
    <w:uiPriority w:val="99"/>
    <w:rPr>
      <w:rFonts w:ascii="Times New Roman" w:hAnsi="Times New Roman"/>
      <w:sz w:val="24"/>
      <w:lang w:val="en-GB"/>
    </w:rPr>
  </w:style>
  <w:style w:type="character" w:customStyle="1" w:styleId="29">
    <w:name w:val="Footer Char"/>
    <w:basedOn w:val="8"/>
    <w:link w:val="10"/>
    <w:qFormat/>
    <w:uiPriority w:val="99"/>
    <w:rPr>
      <w:rFonts w:ascii="Times New Roman" w:hAnsi="Times New Roman"/>
      <w:sz w:val="24"/>
      <w:lang w:val="en-GB"/>
    </w:rPr>
  </w:style>
  <w:style w:type="paragraph" w:styleId="30">
    <w:name w:val="List Paragraph"/>
    <w:basedOn w:val="1"/>
    <w:qFormat/>
    <w:uiPriority w:val="34"/>
    <w:pPr>
      <w:ind w:left="720"/>
      <w:contextualSpacing/>
    </w:pPr>
  </w:style>
  <w:style w:type="table" w:customStyle="1" w:styleId="31">
    <w:name w:val="Plain Table 5"/>
    <w:basedOn w:val="9"/>
    <w:qFormat/>
    <w:uiPriority w:val="45"/>
    <w:pPr>
      <w:spacing w:after="0" w:line="240" w:lineRule="auto"/>
    </w:pPr>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2">
    <w:name w:val="Plain Table 4"/>
    <w:basedOn w:val="9"/>
    <w:qFormat/>
    <w:uiPriority w:val="44"/>
    <w:pPr>
      <w:spacing w:after="0" w:line="240" w:lineRule="auto"/>
    </w:p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3">
    <w:name w:val="Plain Table 3"/>
    <w:basedOn w:val="9"/>
    <w:qFormat/>
    <w:uiPriority w:val="43"/>
    <w:pPr>
      <w:spacing w:after="0" w:line="240" w:lineRule="auto"/>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34">
    <w:name w:val="Plain Table 1"/>
    <w:basedOn w:val="9"/>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5">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image" Target="media/image2.emf"/><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5.emf"/><Relationship Id="rId20" Type="http://schemas.openxmlformats.org/officeDocument/2006/relationships/image" Target="media/image14.emf"/><Relationship Id="rId2" Type="http://schemas.openxmlformats.org/officeDocument/2006/relationships/settings" Target="settings.xml"/><Relationship Id="rId19" Type="http://schemas.openxmlformats.org/officeDocument/2006/relationships/image" Target="media/image13.emf"/><Relationship Id="rId18" Type="http://schemas.openxmlformats.org/officeDocument/2006/relationships/image" Target="media/image12.emf"/><Relationship Id="rId17" Type="http://schemas.openxmlformats.org/officeDocument/2006/relationships/image" Target="media/image11.emf"/><Relationship Id="rId16" Type="http://schemas.openxmlformats.org/officeDocument/2006/relationships/image" Target="media/image10.emf"/><Relationship Id="rId15" Type="http://schemas.openxmlformats.org/officeDocument/2006/relationships/image" Target="media/image9.emf"/><Relationship Id="rId14" Type="http://schemas.openxmlformats.org/officeDocument/2006/relationships/image" Target="media/image8.emf"/><Relationship Id="rId13" Type="http://schemas.openxmlformats.org/officeDocument/2006/relationships/image" Target="media/image7.emf"/><Relationship Id="rId12" Type="http://schemas.openxmlformats.org/officeDocument/2006/relationships/image" Target="media/image6.emf"/><Relationship Id="rId11" Type="http://schemas.openxmlformats.org/officeDocument/2006/relationships/image" Target="media/image5.emf"/><Relationship Id="rId10" Type="http://schemas.openxmlformats.org/officeDocument/2006/relationships/image" Target="media/image4.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9ECBB-21A6-4C36-B7BC-F09A4A04E271}">
  <ds:schemaRefs/>
</ds:datastoreItem>
</file>

<file path=docProps/app.xml><?xml version="1.0" encoding="utf-8"?>
<Properties xmlns="http://schemas.openxmlformats.org/officeDocument/2006/extended-properties" xmlns:vt="http://schemas.openxmlformats.org/officeDocument/2006/docPropsVTypes">
  <Template>Normal.dotm</Template>
  <Pages>27</Pages>
  <Words>5419</Words>
  <Characters>29266</Characters>
  <Lines>356</Lines>
  <Paragraphs>100</Paragraphs>
  <TotalTime>1</TotalTime>
  <ScaleCrop>false</ScaleCrop>
  <LinksUpToDate>false</LinksUpToDate>
  <CharactersWithSpaces>34609</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2026-08-11T12:21:00Z</dcterms:created>
  <dcterms:modified xsi:type="dcterms:W3CDTF">2026-08-13T11:04:09Z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eyJoZGlkIjoiOTY2Y2JhZTdjY2E5OGZiZWUzZDRkYjM5MmY4OWI5MWQifQ==</vt:lpwstr>
  </property>
  <property fmtid="{D5CDD505-2E9C-101B-9397-08002B2CF9AE}" pid="3" name="KSOProductBuildVer">
    <vt:lpwstr>1033-12.1.0.28032</vt:lpwstr>
  </property>
  <property fmtid="{D5CDD505-2E9C-101B-9397-08002B2CF9AE}" pid="4" name="ICV">
    <vt:lpwstr>B5482530C8E643F6AC191DD94781DCE9_12</vt:lpwstr>
  </property>
</Properties>
</file>