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553D08" wp14:paraId="2C078E63" wp14:textId="7A20F6C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2"/>
          <w:szCs w:val="22"/>
          <w:u w:val="single"/>
        </w:rPr>
      </w:pPr>
      <w:r w:rsidRPr="4D9144B4" w:rsidR="674C47B5">
        <w:rPr>
          <w:rFonts w:ascii="Aptos" w:hAnsi="Aptos" w:eastAsia="Aptos" w:cs="Aptos" w:asciiTheme="minorAscii" w:hAnsiTheme="minorAscii" w:eastAsiaTheme="minorAscii" w:cstheme="minorAscii"/>
          <w:sz w:val="22"/>
          <w:szCs w:val="22"/>
          <w:u w:val="single"/>
        </w:rPr>
        <w:t>Alexander</w:t>
      </w:r>
      <w:r w:rsidRPr="4D9144B4" w:rsidR="674C47B5">
        <w:rPr>
          <w:rFonts w:ascii="Aptos" w:hAnsi="Aptos" w:eastAsia="Aptos" w:cs="Aptos" w:asciiTheme="minorAscii" w:hAnsiTheme="minorAscii" w:eastAsiaTheme="minorAscii" w:cstheme="minorAscii"/>
          <w:sz w:val="22"/>
          <w:szCs w:val="22"/>
          <w:u w:val="single"/>
        </w:rPr>
        <w:t xml:space="preserve"> </w:t>
      </w:r>
      <w:r w:rsidRPr="4D9144B4" w:rsidR="674C47B5">
        <w:rPr>
          <w:rFonts w:ascii="Aptos" w:hAnsi="Aptos" w:eastAsia="Aptos" w:cs="Aptos" w:asciiTheme="minorAscii" w:hAnsiTheme="minorAscii" w:eastAsiaTheme="minorAscii" w:cstheme="minorAscii"/>
          <w:sz w:val="22"/>
          <w:szCs w:val="22"/>
          <w:u w:val="single"/>
        </w:rPr>
        <w:t xml:space="preserve">and Roxanne in Arrian, Plutarch, </w:t>
      </w:r>
      <w:r w:rsidRPr="4D9144B4" w:rsidR="706CCC99">
        <w:rPr>
          <w:rFonts w:ascii="Aptos" w:hAnsi="Aptos" w:eastAsia="Aptos" w:cs="Aptos" w:asciiTheme="minorAscii" w:hAnsiTheme="minorAscii" w:eastAsiaTheme="minorAscii" w:cstheme="minorAscii"/>
          <w:sz w:val="22"/>
          <w:szCs w:val="22"/>
          <w:u w:val="single"/>
        </w:rPr>
        <w:t xml:space="preserve">and </w:t>
      </w:r>
      <w:r w:rsidRPr="4D9144B4" w:rsidR="674C47B5">
        <w:rPr>
          <w:rFonts w:ascii="Aptos" w:hAnsi="Aptos" w:eastAsia="Aptos" w:cs="Aptos" w:asciiTheme="minorAscii" w:hAnsiTheme="minorAscii" w:eastAsiaTheme="minorAscii" w:cstheme="minorAscii"/>
          <w:sz w:val="22"/>
          <w:szCs w:val="22"/>
          <w:u w:val="single"/>
        </w:rPr>
        <w:t>Curtius Rufus</w:t>
      </w:r>
    </w:p>
    <w:p w:rsidR="674C47B5" w:rsidP="4D9144B4" w:rsidRDefault="674C47B5" w14:paraId="4122E3A3" w14:textId="0B25D1EC">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sz w:val="22"/>
          <w:szCs w:val="22"/>
          <w:u w:val="none"/>
        </w:rPr>
        <w:t xml:space="preserve">Although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Roxanne occupies only a marginal place in the surviving narratives of Alexander the Great, </w:t>
      </w:r>
      <w:r w:rsidRPr="4D9144B4" w:rsidR="250C163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their</w:t>
      </w:r>
      <w:r w:rsidRPr="4D9144B4" w:rsidR="250C163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marriage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327 BCE carries substantial interpretative weight. As a Sogdian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noblewoman</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incorporated into the Macedonian royal household, Roxanne becomes a focal figure through which historians articulate broader judgements about Alexander’s evolving kingship, character, and</w:t>
      </w:r>
      <w:r w:rsidRPr="4D9144B4" w:rsidR="5C6AC23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relationship with power. Arrian, Plutarch, and Curtius all record the marriage, but they do so in markedly different terms: Arrian presents it as a rational act of political integration, Plutarch as an instance of passion disciplined by self-control, and Curtius as a symptom of Alexander’s moral and political decline. For modern scholars, these divergent portrayals arise </w:t>
      </w:r>
      <w:r w:rsidRPr="4D9144B4" w:rsidR="24C0E5D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from each author’s genre and ideological assumptions, rather than disagreement over the historical event itself.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Roxanne’s significance therefore lies in her function as a symbolic figure within competing ancient interpretations of Alexander’s imperial transformation.</w:t>
      </w:r>
    </w:p>
    <w:p w:rsidR="674C47B5" w:rsidP="4D9144B4" w:rsidRDefault="674C47B5" w14:paraId="312F3D07" w14:textId="2B722E7E">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Historical Context and Significance</w:t>
      </w:r>
      <w:r>
        <w:br/>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Alexander's marriage to Roxanne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took place during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protracted and viole</w:t>
      </w:r>
      <w:r w:rsidRPr="4D9144B4" w:rsidR="1449001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nt</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campaigns beyond Bactria, in regions that proved far more resistant to Macedonian rule than earlier conquests. Unlike the defeat of the Persian king, these campaigns required sustained </w:t>
      </w:r>
      <w:r w:rsidRPr="4D9144B4" w:rsidR="596F7BF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military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operations and the cooperation of local elites. Roxanne, the daughter of prominent Sogdian noble Oxyartes, therefore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represented</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crucial point of contact between Macedonian authority and native power structures. As Baynham emphasises, the marriage offered Alexander a means of securing loyalty in a strategically unstable region against the background of his increasing reliance on Eastern elites</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5067"/>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674C47B5" w:rsidP="4D9144B4" w:rsidRDefault="674C47B5" w14:paraId="0FF9C602" w14:textId="653D3159">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timing of the marriage is equally significant. It followed closely after the Philotas affair and the execution of Parmenion, episodes which ancient authors treat as decisive turning points in Alexander’s reign. From this point onward, Alexander is increasingly depicted as isolated from his Macedonian companions </w:t>
      </w:r>
      <w:r w:rsidRPr="4D9144B4" w:rsidR="02DB964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but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more receptive to external customs and alliances. Roxanne’s entrance into the narrative thus coincides with a broader reconfiguration of kingship, in which frankness gives way to hierarchy and suspicion. As a result, </w:t>
      </w:r>
      <w:r w:rsidRPr="4D9144B4" w:rsidR="3B9020E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sources never show the marriage as a neutral event.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Instead, it becomes a charged agent through which ancient authors explore the legitimacy, morality, and consequences of Alexander’s evolving imperial rule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06553D08" w:rsidP="06553D08" w:rsidRDefault="06553D08" w14:paraId="7BBE7B6F" w14:textId="751DC4E1">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06553D08" w:rsidRDefault="674C47B5" w14:paraId="4C5ACE76" w14:textId="62729FA7">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Arrian: Political Integration and Rational Kingship</w:t>
      </w:r>
    </w:p>
    <w:p w:rsidR="674C47B5" w:rsidP="4D9144B4" w:rsidRDefault="674C47B5" w14:paraId="5F3CBD26" w14:textId="5C463C11">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Arrian's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account of </w:t>
      </w:r>
      <w:r w:rsidRPr="4D9144B4" w:rsidR="20E290C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marriage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is brief and unemotional. In </w:t>
      </w:r>
      <w:r w:rsidRPr="4D9144B4" w:rsidR="674C47B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Anabasis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4.19.5</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he records that Roxanne was, ‘the daughter of Oxyartes, a man of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great influence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among the Sogdians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adding that the marriage helped reconcile the local population</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21692"/>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There is no reference to love, beauty, or even desire. Roxanne functions solely as a diplomatic bridge between conqueror and conquered. </w:t>
      </w:r>
    </w:p>
    <w:p w:rsidR="674C47B5" w:rsidP="4D9144B4" w:rsidRDefault="674C47B5" w14:paraId="1E2C0365" w14:textId="5F735D44">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4D9144B4" w:rsidRDefault="674C47B5" w14:paraId="2B8C2E9B" w14:textId="5CF91FD4">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This presentation reflects Arrian’s broader interpretative framework. As Baynham notes, Arrian consistently avoids sensational or emotive material, preferring explanations grounded in strategy and necessity</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8168"/>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marriage is treated in the same manner as troop movements or administrative decisions. </w:t>
      </w:r>
      <w:r w:rsidRPr="4D9144B4" w:rsidR="7555111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His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reliance on Ptolemy and Aristobulus, both sympathetic to Alexander, further encourages a reading in which potentially controversial or condemnable actions are justified as prudent statecraft. </w:t>
      </w:r>
    </w:p>
    <w:p w:rsidR="674C47B5" w:rsidP="4D9144B4" w:rsidRDefault="674C47B5" w14:paraId="78D5B1C8" w14:textId="2BA8492D">
      <w:pPr>
        <w:pStyle w:val="Normal"/>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Müller argues that Arrian’s Alexander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represents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 ‘model of rational kingship</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which personal emotion is deliberately suppressed</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14689"/>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Roxanne’s individuality disappears because acknowledging romantic motivation would undermine Arrian’s apologetic portrait. In </w:t>
      </w:r>
      <w:r w:rsidRPr="4D9144B4" w:rsidR="786805E9">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Anabasis,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Roxanne becomes invisible precisely </w:t>
      </w:r>
      <w:r w:rsidRPr="4D9144B4" w:rsidR="7196151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to</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preserve Alexander’s image as a disciplined commander rather than a man who succumbs or indulges.</w:t>
      </w:r>
    </w:p>
    <w:p w:rsidR="674C47B5" w:rsidP="4D9144B4" w:rsidRDefault="674C47B5" w14:paraId="7796752A" w14:textId="2347BA7B">
      <w:pPr>
        <w:pStyle w:val="Normal"/>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Plutarch: Desire Disciplined by Virtue</w:t>
      </w:r>
      <w:r>
        <w:br/>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Plutarch's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treatment of Roxanne in </w:t>
      </w:r>
      <w:r w:rsidRPr="4D9144B4" w:rsidR="674C47B5">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Life of Alexander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47 is more expansive and morally charged. </w:t>
      </w:r>
      <w:r w:rsidRPr="4D9144B4" w:rsidR="647DDC9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Describing </w:t>
      </w:r>
      <w:r w:rsidRPr="4D9144B4" w:rsidR="2BE1437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their</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first encounter in Sogdiana, </w:t>
      </w:r>
      <w:r w:rsidRPr="4D9144B4" w:rsidR="4DCDDBB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he emphasises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her exceptional beauty and Alexander’s immediate attraction. Plutarch remarks that Alexander ‘fell in love with her at first sight</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yet stresses that he ‘would not touch her until he had made her his lawful wife’</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3256"/>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For Plutarch, this episode functions as a moral example. As Müller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observes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Plutarch’s biographies are structured around moments that test character rather than explain policy</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3955"/>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Roxanne becomes a vehicle through which Plutarch explores the virtue </w:t>
      </w:r>
      <w:r w:rsidRPr="4D9144B4" w:rsidR="2C4BEDD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of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self</w:t>
      </w:r>
      <w:r w:rsidRPr="4D9144B4" w:rsidR="3986C66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control. Passion is not condemned, but its regulation through marriage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demonstrates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Alexander’s continued moral capacity. </w:t>
      </w:r>
    </w:p>
    <w:p w:rsidR="06553D08" w:rsidP="06553D08" w:rsidRDefault="06553D08" w14:paraId="6066D479" w14:textId="30994CDC">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4D9144B4" w:rsidRDefault="674C47B5" w14:paraId="76663549" w14:textId="1CF374F2">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At the same time, Plutarch’s account is not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wholly uncritical</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Baynham notes that Plutarch subtly juxtaposes this episode with growing Macedonian unease </w:t>
      </w:r>
      <w:r w:rsidRPr="4D9144B4" w:rsidR="136F2917">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over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the erosion of traditional openness at court</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18462"/>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Roxanne thus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represents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both attraction and transition: Alexander is still virtuous, but the social and cultural framework that once supported that virtue is weakening. Unlike Arrian, Plutarch allows emotion into the narrative, but only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insofar as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it can be morally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contained</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06553D08" w:rsidP="06553D08" w:rsidRDefault="06553D08" w14:paraId="03316DBA" w14:textId="03C5708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06553D08" w:rsidRDefault="674C47B5" w14:paraId="25D0A7A7" w14:textId="44A5ECB5">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Curtius Rufus: Passion, Power, and Decline</w:t>
      </w:r>
    </w:p>
    <w:p w:rsidR="674C47B5" w:rsidP="4D9144B4" w:rsidRDefault="674C47B5" w14:paraId="17919200" w14:textId="707BD781">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Curtius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offers the most critical portrayal of Alexander’s relationship with Roxanne. Writing in a highly rhetorical style, </w:t>
      </w:r>
      <w:r w:rsidRPr="4D9144B4" w:rsidR="76A22B0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he 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ituates the marriage within a wider narrative of fear and moral deterioration following the Philotas affair. Roxanne appears as part of Alexander’s increasing susceptibility to passion and Eastern influence. </w:t>
      </w:r>
    </w:p>
    <w:p w:rsidR="06553D08" w:rsidP="06553D08" w:rsidRDefault="06553D08" w14:paraId="1A40692E" w14:textId="179B9F5F">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4D9144B4" w:rsidRDefault="674C47B5" w14:paraId="7199DABB" w14:textId="326D01E4">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Curtius emphasises the emotional dimension of the marriage and associates it with luxury, excess, and the abandonment of Macedonian restraint. Although Roxanne’s noble status is acknowledged, </w:t>
      </w:r>
      <w:r w:rsidRPr="4D9144B4" w:rsidR="76AC3BA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he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represents</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union less as a calculated alliance than an indulgence</w:t>
      </w:r>
      <w:r w:rsidRPr="4D9144B4" w:rsidR="501FDEE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noting that Alexander ‘was carried away by his desire and took Roxanne’ to be his wife</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21302"/>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As Müller argues, Curtius consistently uses female figures and erotic desire to symbolise the dangers of autocracy</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5684"/>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Roxanne thus becomes a narrative device through which Curtius explores how absolute power </w:t>
      </w:r>
      <w:r w:rsidRPr="4D9144B4" w:rsidR="5861526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corrupts. </w:t>
      </w:r>
    </w:p>
    <w:p w:rsidR="674C47B5" w:rsidP="4D9144B4" w:rsidRDefault="674C47B5" w14:paraId="4B5437E9" w14:textId="0646149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Baynham further notes that Curtius’ Alexander is shaped by Roman anxieties about tyranny under the Principate</w:t>
      </w:r>
      <w:r w:rsidRPr="4D9144B4">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6609"/>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 marriage to Roxanne fits a trajectory in which emotion overwhelms reason and fear replaces consensus. Unlike Plutarch, Curtius does not portray</w:t>
      </w:r>
      <w:r w:rsidRPr="4D9144B4" w:rsidR="219A3AE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marriage as moral resolution</w:t>
      </w:r>
      <w:r w:rsidRPr="4D9144B4" w:rsidR="2197180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but as driving Alexander’s transformation into a despot.</w:t>
      </w:r>
      <w:r w:rsidRPr="4D9144B4" w:rsidR="14193BD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06553D08" w:rsidP="06553D08" w:rsidRDefault="06553D08" w14:paraId="26761EC4" w14:textId="16064F6B">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06553D08" w:rsidRDefault="674C47B5" w14:paraId="1A7F38C4" w14:textId="51F80A9B">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pP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Explaining the Differences</w:t>
      </w:r>
    </w:p>
    <w:p w:rsidR="674C47B5" w:rsidP="06553D08" w:rsidRDefault="674C47B5" w14:paraId="681A5393" w14:textId="44F1B14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The </w:t>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contrasting portrayals of Roxanne reflect fundamental differences in genre, purpose, and ideological context. Arrian’s military historiography privileges explanation and justification, producing Roxanne as a figure who matters only as a political instrument. Plutarch’s moral biography foregrounds inner-character, transforming Roxanne into a test of virtue. Curtius’ rhetorical history, shaped by Roman political experience, transforms Roxanne into a symbol of certain moral collapse. </w:t>
      </w:r>
    </w:p>
    <w:p w:rsidR="674C47B5" w:rsidP="06553D08" w:rsidRDefault="674C47B5" w14:paraId="0EC3CEA7" w14:textId="74CFD3CB">
      <w:pPr>
        <w:pStyle w:val="Normal"/>
        <w:suppressLineNumbers w:val="0"/>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As both Baynham and Müller emphasise, Roxanne herself </w:t>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remains</w:t>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largely silent</w:t>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in all three accounts</w:t>
      </w:r>
      <w:r w:rsidRPr="06553D08">
        <w:rPr>
          <w:rStyle w:val="FootnoteReference"/>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footnoteReference w:id="19433"/>
      </w:r>
      <w:r w:rsidRPr="06553D08"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Her historiographical function is as a symbolic representation rather than an agent. The differences between the sources therefore tell us more about how Alexander’s rule was interpreted than about Roxanne as an historical individual. </w:t>
      </w:r>
    </w:p>
    <w:p w:rsidR="06553D08" w:rsidP="06553D08" w:rsidRDefault="06553D08" w14:paraId="33407C8C" w14:textId="0BCAF61D">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74C47B5" w:rsidP="4D9144B4" w:rsidRDefault="674C47B5" w14:paraId="4552A016" w14:textId="7CB2A7B3">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Roxanne’s marriage to Alexander is thus a minor event narratively, but a major one interpretively. Arrian presents it as rational statecraft, Plutarch as desire disciplined by good virtue, and Curtius</w:t>
      </w:r>
      <w:r w:rsidRPr="4D9144B4" w:rsidR="6A56673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as evidence of moral decline. Modern scholarship shows that these differences arise from each author’s sources, personal perspectives, and political assumptions.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U</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ltimately, Roxanne</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4D9144B4" w:rsidR="674C4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functions as a mirror through which competing visions of Alexander’s kingship can be articulated.</w:t>
      </w:r>
    </w:p>
    <w:p w:rsidR="06553D08" w:rsidP="06553D08" w:rsidRDefault="06553D08" w14:paraId="09B4FC05" w14:textId="63D33B44">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6AE4ABDF" w:rsidP="06553D08" w:rsidRDefault="6AE4ABDF" w14:paraId="5CA3BF0B" w14:textId="6E02B259">
      <w:p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6AE4ABD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single"/>
          <w:lang w:val="en-GB"/>
        </w:rPr>
        <w:t>Reference List</w:t>
      </w:r>
    </w:p>
    <w:p w:rsidR="234E5E42" w:rsidP="06553D08" w:rsidRDefault="234E5E42" w14:paraId="2FE2DB9C" w14:textId="248FCBF5">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234E5E4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Arrian, </w:t>
      </w:r>
      <w:r w:rsidRPr="06553D08" w:rsidR="234E5E42">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Anabasis </w:t>
      </w:r>
      <w:r w:rsidRPr="06553D08" w:rsidR="234E5E42">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Alexandri</w:t>
      </w:r>
      <w:r w:rsidRPr="06553D08" w:rsidR="234E5E4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4.19.5</w:t>
      </w:r>
    </w:p>
    <w:p w:rsidR="6AE4ABDF" w:rsidP="06553D08" w:rsidRDefault="6AE4ABDF" w14:paraId="4D65B2B1" w14:textId="0198C601">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6AE4ABD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Baynham, Elizabeth, </w:t>
      </w:r>
      <w:r w:rsidRPr="06553D08" w:rsidR="6AE4ABD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Alexander the Great: The Unique History of Quintus Curtius Rufus </w:t>
      </w:r>
      <w:r w:rsidRPr="06553D08" w:rsidR="6AE4ABD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(Ann Arbor, 1998)</w:t>
      </w:r>
    </w:p>
    <w:p w:rsidR="5A3F9CE0" w:rsidP="06553D08" w:rsidRDefault="5A3F9CE0" w14:paraId="3497EE0C" w14:textId="39B6BBCD">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06553D08" w:rsidR="5A3F9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Curtius Rufus, </w:t>
      </w:r>
      <w:r w:rsidRPr="06553D08" w:rsidR="5A3F9CE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Historiae</w:t>
      </w:r>
      <w:r w:rsidRPr="06553D08" w:rsidR="5A3F9CE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w:t>
      </w:r>
      <w:r w:rsidRPr="06553D08" w:rsidR="5A3F9CE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Alexandri</w:t>
      </w:r>
      <w:r w:rsidRPr="06553D08" w:rsidR="5A3F9CE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 Magni</w:t>
      </w:r>
      <w:r w:rsidRPr="06553D08" w:rsidR="5A3F9CE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8.4.21</w:t>
      </w:r>
    </w:p>
    <w:p w:rsidR="06E65046" w:rsidP="06553D08" w:rsidRDefault="06E65046" w14:paraId="13DD0DE9" w14:textId="4C926C11">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pPr>
      <w:r w:rsidRPr="06553D08" w:rsidR="06E6504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Müller, Sabine, </w:t>
      </w:r>
      <w:r w:rsidRPr="06553D08" w:rsidR="06E6504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Alexander der Große: Eroberung, Politik, Rezeption</w:t>
      </w:r>
      <w:r w:rsidRPr="06553D08" w:rsidR="06E6504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(Stuttgart, 2012)</w:t>
      </w:r>
    </w:p>
    <w:p w:rsidR="06E65046" w:rsidP="06553D08" w:rsidRDefault="06E65046" w14:paraId="1A132836" w14:textId="7DBCB7F1">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pPr>
      <w:r w:rsidRPr="06553D08" w:rsidR="06E6504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Plutarch, </w:t>
      </w:r>
      <w:r w:rsidRPr="06553D08" w:rsidR="06E65046">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2"/>
          <w:szCs w:val="22"/>
          <w:u w:val="none"/>
          <w:lang w:val="en-GB"/>
        </w:rPr>
        <w:t xml:space="preserve">Life of Alexander </w:t>
      </w:r>
      <w:r w:rsidRPr="06553D08" w:rsidR="06E6504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47.7</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06553D08" w:rsidRDefault="06553D08" w14:paraId="5492D356" w14:textId="6378D654">
      <w:pPr>
        <w:spacing w:after="0" w:line="240" w:lineRule="auto"/>
      </w:pPr>
      <w:r>
        <w:separator/>
      </w:r>
    </w:p>
  </w:footnote>
  <w:footnote w:type="continuationSeparator" w:id="0">
    <w:p w:rsidR="06553D08" w:rsidRDefault="06553D08" w14:paraId="26A4CAEB" w14:textId="70D03410">
      <w:pPr>
        <w:spacing w:after="0" w:line="240" w:lineRule="auto"/>
      </w:pPr>
      <w:r>
        <w:continuationSeparator/>
      </w:r>
    </w:p>
  </w:footnote>
  <w:footnote w:id="5067">
    <w:p w:rsidR="06553D08" w:rsidP="06553D08" w:rsidRDefault="06553D08" w14:paraId="1BF296D8" w14:textId="48473942">
      <w:pPr>
        <w:pStyle w:val="FootnoteText"/>
        <w:bidi w:val="0"/>
        <w:rPr>
          <w:i w:val="0"/>
          <w:iCs w:val="0"/>
        </w:rPr>
      </w:pPr>
      <w:r w:rsidRPr="06553D08">
        <w:rPr>
          <w:rStyle w:val="FootnoteReference"/>
        </w:rPr>
        <w:footnoteRef/>
      </w:r>
      <w:r w:rsidR="06553D08">
        <w:rPr/>
        <w:t xml:space="preserve"> Elizabeth Baynham, </w:t>
      </w:r>
      <w:r w:rsidRPr="06553D08" w:rsidR="06553D08">
        <w:rPr>
          <w:i w:val="1"/>
          <w:iCs w:val="1"/>
        </w:rPr>
        <w:t xml:space="preserve">Alexander the Great: The Unique History of Quintus Curtius Rufus </w:t>
      </w:r>
      <w:r w:rsidRPr="06553D08" w:rsidR="06553D08">
        <w:rPr>
          <w:i w:val="0"/>
          <w:iCs w:val="0"/>
        </w:rPr>
        <w:t xml:space="preserve">(Ann Arbor, 1998), pp. 119-22. </w:t>
      </w:r>
    </w:p>
  </w:footnote>
  <w:footnote w:id="21692">
    <w:p w:rsidR="06553D08" w:rsidP="06553D08" w:rsidRDefault="06553D08" w14:paraId="590616E8" w14:textId="7AEC72E6">
      <w:pPr>
        <w:pStyle w:val="FootnoteText"/>
        <w:bidi w:val="0"/>
        <w:rPr>
          <w:i w:val="0"/>
          <w:iCs w:val="0"/>
        </w:rPr>
      </w:pPr>
      <w:r w:rsidRPr="06553D08">
        <w:rPr>
          <w:rStyle w:val="FootnoteReference"/>
        </w:rPr>
        <w:footnoteRef/>
      </w:r>
      <w:r w:rsidR="06553D08">
        <w:rPr/>
        <w:t xml:space="preserve"> Arrian, </w:t>
      </w:r>
      <w:r w:rsidRPr="06553D08" w:rsidR="06553D08">
        <w:rPr>
          <w:i w:val="1"/>
          <w:iCs w:val="1"/>
        </w:rPr>
        <w:t xml:space="preserve">Anabasis </w:t>
      </w:r>
      <w:r w:rsidRPr="06553D08" w:rsidR="06553D08">
        <w:rPr>
          <w:i w:val="1"/>
          <w:iCs w:val="1"/>
        </w:rPr>
        <w:t>Alexandri</w:t>
      </w:r>
      <w:r w:rsidRPr="06553D08" w:rsidR="06553D08">
        <w:rPr>
          <w:i w:val="0"/>
          <w:iCs w:val="0"/>
        </w:rPr>
        <w:t xml:space="preserve"> 4.19.5.</w:t>
      </w:r>
    </w:p>
  </w:footnote>
  <w:footnote w:id="8168">
    <w:p w:rsidR="06553D08" w:rsidP="06553D08" w:rsidRDefault="06553D08" w14:paraId="7ADD35BD" w14:textId="7877F391">
      <w:pPr>
        <w:pStyle w:val="FootnoteText"/>
        <w:bidi w:val="0"/>
      </w:pPr>
      <w:r w:rsidRPr="06553D08">
        <w:rPr>
          <w:rStyle w:val="FootnoteReference"/>
        </w:rPr>
        <w:footnoteRef/>
      </w:r>
      <w:r w:rsidR="06553D08">
        <w:rPr/>
        <w:t xml:space="preserve"> Baynham, </w:t>
      </w:r>
      <w:r w:rsidRPr="06553D08" w:rsidR="06553D08">
        <w:rPr>
          <w:i w:val="1"/>
          <w:iCs w:val="1"/>
        </w:rPr>
        <w:t>Alexander the Great</w:t>
      </w:r>
      <w:r w:rsidRPr="06553D08" w:rsidR="06553D08">
        <w:rPr>
          <w:i w:val="0"/>
          <w:iCs w:val="0"/>
        </w:rPr>
        <w:t>,</w:t>
      </w:r>
      <w:r w:rsidR="06553D08">
        <w:rPr/>
        <w:t xml:space="preserve"> pp. 34-36. </w:t>
      </w:r>
    </w:p>
  </w:footnote>
  <w:footnote w:id="14689">
    <w:p w:rsidR="06553D08" w:rsidP="06553D08" w:rsidRDefault="06553D08" w14:paraId="03958A53" w14:textId="459DE2A8">
      <w:pPr>
        <w:pStyle w:val="FootnoteText"/>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06553D08">
        <w:rPr>
          <w:rStyle w:val="FootnoteReference"/>
          <w:rFonts w:ascii="Aptos" w:hAnsi="Aptos" w:eastAsia="Aptos" w:cs="Aptos" w:asciiTheme="minorAscii" w:hAnsiTheme="minorAscii" w:eastAsiaTheme="minorAscii" w:cstheme="minorAscii"/>
          <w:sz w:val="20"/>
          <w:szCs w:val="20"/>
        </w:rPr>
        <w:footnoteRef/>
      </w:r>
      <w:r w:rsidRPr="06553D08" w:rsidR="06553D08">
        <w:rPr>
          <w:rFonts w:ascii="Aptos" w:hAnsi="Aptos" w:eastAsia="Aptos" w:cs="Aptos" w:asciiTheme="minorAscii" w:hAnsiTheme="minorAscii" w:eastAsiaTheme="minorAscii" w:cstheme="minorAscii"/>
          <w:sz w:val="20"/>
          <w:szCs w:val="20"/>
        </w:rPr>
        <w:t xml:space="preserve"> </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Sabine Müller,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Alexander der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Große</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Eroberung</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Politik</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Rezeption</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(Stuttgart, 2012), pp. 167-69.</w:t>
      </w:r>
    </w:p>
  </w:footnote>
  <w:footnote w:id="3256">
    <w:p w:rsidR="06553D08" w:rsidP="06553D08" w:rsidRDefault="06553D08" w14:paraId="1B2D2B2F" w14:textId="33272590">
      <w:pPr>
        <w:pStyle w:val="FootnoteText"/>
        <w:bidi w:val="0"/>
        <w:rPr>
          <w:i w:val="0"/>
          <w:iCs w:val="0"/>
        </w:rPr>
      </w:pPr>
      <w:r w:rsidRPr="06553D08">
        <w:rPr>
          <w:rStyle w:val="FootnoteReference"/>
        </w:rPr>
        <w:footnoteRef/>
      </w:r>
      <w:r w:rsidR="06553D08">
        <w:rPr/>
        <w:t xml:space="preserve"> Plutarch, </w:t>
      </w:r>
      <w:r w:rsidRPr="06553D08" w:rsidR="06553D08">
        <w:rPr>
          <w:i w:val="1"/>
          <w:iCs w:val="1"/>
        </w:rPr>
        <w:t xml:space="preserve">Life of Alexander </w:t>
      </w:r>
      <w:r w:rsidRPr="06553D08" w:rsidR="06553D08">
        <w:rPr>
          <w:i w:val="0"/>
          <w:iCs w:val="0"/>
        </w:rPr>
        <w:t>47.4.</w:t>
      </w:r>
    </w:p>
  </w:footnote>
  <w:footnote w:id="3955">
    <w:p w:rsidR="06553D08" w:rsidP="06553D08" w:rsidRDefault="06553D08" w14:paraId="4B5EAB8D" w14:textId="31E12B75">
      <w:pPr>
        <w:pStyle w:val="FootnoteText"/>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06553D08">
        <w:rPr>
          <w:rStyle w:val="FootnoteReference"/>
        </w:rPr>
        <w:footnoteRef/>
      </w:r>
      <w:r w:rsidR="06553D08">
        <w:rPr/>
        <w:t xml:space="preserve"> </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Müller,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Alexander der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Große</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pp. 154-56.</w:t>
      </w:r>
    </w:p>
  </w:footnote>
  <w:footnote w:id="18462">
    <w:p w:rsidR="06553D08" w:rsidP="06553D08" w:rsidRDefault="06553D08" w14:paraId="63069091" w14:textId="119F8B4A">
      <w:pPr>
        <w:pStyle w:val="FootnoteText"/>
        <w:bidi w:val="0"/>
        <w:rPr>
          <w:i w:val="0"/>
          <w:iCs w:val="0"/>
        </w:rPr>
      </w:pPr>
      <w:r w:rsidRPr="06553D08">
        <w:rPr>
          <w:rStyle w:val="FootnoteReference"/>
        </w:rPr>
        <w:footnoteRef/>
      </w:r>
      <w:r w:rsidR="06553D08">
        <w:rPr/>
        <w:t xml:space="preserve"> Baynham, </w:t>
      </w:r>
      <w:r w:rsidRPr="06553D08" w:rsidR="06553D08">
        <w:rPr>
          <w:i w:val="1"/>
          <w:iCs w:val="1"/>
        </w:rPr>
        <w:t xml:space="preserve">Alexander the Great, </w:t>
      </w:r>
      <w:r w:rsidRPr="06553D08" w:rsidR="06553D08">
        <w:rPr>
          <w:i w:val="0"/>
          <w:iCs w:val="0"/>
        </w:rPr>
        <w:t xml:space="preserve">pp. 141-43. </w:t>
      </w:r>
    </w:p>
  </w:footnote>
  <w:footnote w:id="5684">
    <w:p w:rsidR="06553D08" w:rsidP="06553D08" w:rsidRDefault="06553D08" w14:paraId="36AA05A2" w14:textId="70C52FDB">
      <w:pPr>
        <w:pStyle w:val="FootnoteText"/>
        <w:bidi w:val="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r w:rsidRPr="06553D08">
        <w:rPr>
          <w:rStyle w:val="FootnoteReference"/>
        </w:rPr>
        <w:footnoteRef/>
      </w:r>
      <w:r w:rsidR="06553D08">
        <w:rPr/>
        <w:t xml:space="preserve"> </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Müller,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Alexander der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Große</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pp. 181-84.</w:t>
      </w:r>
    </w:p>
  </w:footnote>
  <w:footnote w:id="6609">
    <w:p w:rsidR="06553D08" w:rsidP="06553D08" w:rsidRDefault="06553D08" w14:paraId="7FE4DE47" w14:textId="1742B752">
      <w:pPr>
        <w:pStyle w:val="FootnoteText"/>
        <w:bidi w:val="0"/>
      </w:pPr>
      <w:r w:rsidRPr="06553D08">
        <w:rPr>
          <w:rStyle w:val="FootnoteReference"/>
        </w:rPr>
        <w:footnoteRef/>
      </w:r>
      <w:r w:rsidR="06553D08">
        <w:rPr/>
        <w:t xml:space="preserve"> Baynham, </w:t>
      </w:r>
      <w:r w:rsidRPr="06553D08" w:rsidR="06553D08">
        <w:rPr>
          <w:i w:val="1"/>
          <w:iCs w:val="1"/>
        </w:rPr>
        <w:t>Alexander the Great</w:t>
      </w:r>
      <w:r w:rsidR="06553D08">
        <w:rPr/>
        <w:t xml:space="preserve">, pp. 88-91. </w:t>
      </w:r>
    </w:p>
  </w:footnote>
  <w:footnote w:id="19433">
    <w:p w:rsidR="06553D08" w:rsidP="06553D08" w:rsidRDefault="06553D08" w14:paraId="62118604" w14:textId="51D8B992">
      <w:pPr>
        <w:pStyle w:val="FootnoteText"/>
        <w:bidi w:val="0"/>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pPr>
      <w:r w:rsidRPr="06553D08">
        <w:rPr>
          <w:rStyle w:val="FootnoteReference"/>
        </w:rPr>
        <w:footnoteRef/>
      </w:r>
      <w:r w:rsidR="06553D08">
        <w:rPr/>
        <w:t xml:space="preserve"> Baynham, </w:t>
      </w:r>
      <w:r w:rsidRPr="06553D08" w:rsidR="06553D08">
        <w:rPr>
          <w:i w:val="1"/>
          <w:iCs w:val="1"/>
        </w:rPr>
        <w:t>Alexander the Great</w:t>
      </w:r>
      <w:r w:rsidRPr="06553D08" w:rsidR="06553D08">
        <w:rPr>
          <w:i w:val="0"/>
          <w:iCs w:val="0"/>
        </w:rPr>
        <w:t xml:space="preserve">, p. 145; </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Müller,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 xml:space="preserve">Alexander der </w:t>
      </w:r>
      <w:r w:rsidRPr="06553D08" w:rsidR="06553D08">
        <w:rPr>
          <w:rFonts w:ascii="Aptos" w:hAnsi="Aptos" w:eastAsia="Aptos" w:cs="Aptos" w:asciiTheme="minorAscii" w:hAnsiTheme="minorAscii" w:eastAsiaTheme="minorAscii" w:cstheme="minorAscii"/>
          <w:b w:val="0"/>
          <w:bCs w:val="0"/>
          <w:i w:val="1"/>
          <w:iCs w:val="1"/>
          <w:strike w:val="0"/>
          <w:dstrike w:val="0"/>
          <w:noProof w:val="0"/>
          <w:color w:val="000000" w:themeColor="text1" w:themeTint="FF" w:themeShade="FF"/>
          <w:sz w:val="20"/>
          <w:szCs w:val="20"/>
          <w:u w:val="none"/>
          <w:lang w:val="en-GB"/>
        </w:rPr>
        <w:t>Große</w:t>
      </w:r>
      <w:r w:rsidRPr="06553D08" w:rsidR="06553D0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p. 170. </w:t>
      </w:r>
    </w:p>
  </w:footnote>
  <w:footnote w:id="21302">
    <w:p w:rsidR="06553D08" w:rsidP="06553D08" w:rsidRDefault="06553D08" w14:paraId="2E1F9CD1" w14:textId="6EB94071">
      <w:pPr>
        <w:pStyle w:val="FootnoteText"/>
        <w:bidi w:val="0"/>
        <w:rPr>
          <w:i w:val="1"/>
          <w:iCs w:val="1"/>
        </w:rPr>
      </w:pPr>
      <w:r w:rsidRPr="06553D08">
        <w:rPr>
          <w:rStyle w:val="FootnoteReference"/>
        </w:rPr>
        <w:footnoteRef/>
      </w:r>
      <w:r w:rsidR="06553D08">
        <w:rPr/>
        <w:t xml:space="preserve"> Curtius Rufus, </w:t>
      </w:r>
      <w:r w:rsidRPr="06553D08" w:rsidR="06553D08">
        <w:rPr>
          <w:i w:val="1"/>
          <w:iCs w:val="1"/>
        </w:rPr>
        <w:t xml:space="preserve">Historiae </w:t>
      </w:r>
      <w:r w:rsidRPr="06553D08" w:rsidR="06553D08">
        <w:rPr>
          <w:i w:val="1"/>
          <w:iCs w:val="1"/>
        </w:rPr>
        <w:t>Alexandri</w:t>
      </w:r>
      <w:r w:rsidRPr="06553D08" w:rsidR="06553D08">
        <w:rPr>
          <w:i w:val="1"/>
          <w:iCs w:val="1"/>
        </w:rPr>
        <w:t xml:space="preserve"> Magni </w:t>
      </w:r>
      <w:r w:rsidRPr="06553D08" w:rsidR="06553D08">
        <w:rPr>
          <w:i w:val="0"/>
          <w:iCs w:val="0"/>
        </w:rPr>
        <w:t>8.4.21.</w:t>
      </w:r>
    </w:p>
  </w:footnote>
</w:footnotes>
</file>

<file path=word/numbering.xml><?xml version="1.0" encoding="utf-8"?>
<w:numbering xmlns:w="http://schemas.openxmlformats.org/wordprocessingml/2006/main">
  <w:abstractNum xmlns:w="http://schemas.openxmlformats.org/wordprocessingml/2006/main" w:abstractNumId="1">
    <w:nsid w:val="7a0edd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666EC5"/>
    <w:rsid w:val="02DB9641"/>
    <w:rsid w:val="0421F8AA"/>
    <w:rsid w:val="045C5994"/>
    <w:rsid w:val="06553D08"/>
    <w:rsid w:val="06E65046"/>
    <w:rsid w:val="08F248B3"/>
    <w:rsid w:val="136F2917"/>
    <w:rsid w:val="14193BDF"/>
    <w:rsid w:val="1449001D"/>
    <w:rsid w:val="14806599"/>
    <w:rsid w:val="149DEF26"/>
    <w:rsid w:val="1DF4346F"/>
    <w:rsid w:val="20C92369"/>
    <w:rsid w:val="20E290C0"/>
    <w:rsid w:val="21971802"/>
    <w:rsid w:val="219A3AE5"/>
    <w:rsid w:val="234E5E42"/>
    <w:rsid w:val="24C0E5D1"/>
    <w:rsid w:val="250C163A"/>
    <w:rsid w:val="257BA814"/>
    <w:rsid w:val="27EC5C12"/>
    <w:rsid w:val="2A52653B"/>
    <w:rsid w:val="2ABD55A7"/>
    <w:rsid w:val="2BE1437E"/>
    <w:rsid w:val="2C47FE98"/>
    <w:rsid w:val="2C4BEDDE"/>
    <w:rsid w:val="2C6EDE7F"/>
    <w:rsid w:val="2DA4CE75"/>
    <w:rsid w:val="3084C4C1"/>
    <w:rsid w:val="30BEE93B"/>
    <w:rsid w:val="30DCC937"/>
    <w:rsid w:val="3533B5A3"/>
    <w:rsid w:val="35666EC5"/>
    <w:rsid w:val="3986C66C"/>
    <w:rsid w:val="3B9020E7"/>
    <w:rsid w:val="49A8E5F6"/>
    <w:rsid w:val="4ABDE0C2"/>
    <w:rsid w:val="4D9144B4"/>
    <w:rsid w:val="4DCDDBB6"/>
    <w:rsid w:val="4FB46941"/>
    <w:rsid w:val="501FDEED"/>
    <w:rsid w:val="5131209A"/>
    <w:rsid w:val="577A4F11"/>
    <w:rsid w:val="58615266"/>
    <w:rsid w:val="596F7BF4"/>
    <w:rsid w:val="5A3F9CE0"/>
    <w:rsid w:val="5C6AC23D"/>
    <w:rsid w:val="5F73F5E7"/>
    <w:rsid w:val="647DDC99"/>
    <w:rsid w:val="6604A186"/>
    <w:rsid w:val="674C47B5"/>
    <w:rsid w:val="69C9BB6B"/>
    <w:rsid w:val="6A207CF6"/>
    <w:rsid w:val="6A566734"/>
    <w:rsid w:val="6AA8C813"/>
    <w:rsid w:val="6AE4ABDF"/>
    <w:rsid w:val="6EA576C0"/>
    <w:rsid w:val="6FE8C276"/>
    <w:rsid w:val="706CCC99"/>
    <w:rsid w:val="71961515"/>
    <w:rsid w:val="723A8154"/>
    <w:rsid w:val="73536DCD"/>
    <w:rsid w:val="745E4E58"/>
    <w:rsid w:val="7468796F"/>
    <w:rsid w:val="7555111C"/>
    <w:rsid w:val="76A22B02"/>
    <w:rsid w:val="76AC3BAA"/>
    <w:rsid w:val="786805E9"/>
    <w:rsid w:val="78D71F75"/>
    <w:rsid w:val="7A79AABD"/>
    <w:rsid w:val="7BA0E1FB"/>
    <w:rsid w:val="7BCB25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4EC52"/>
  <w15:chartTrackingRefBased/>
  <w15:docId w15:val="{63C8CDA8-8185-42AA-84EF-9C34C459D8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553D0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06553D08"/>
    <w:rPr>
      <w:sz w:val="20"/>
      <w:szCs w:val="20"/>
    </w:rPr>
    <w:pPr>
      <w:spacing w:after="0" w:line="240" w:lineRule="auto"/>
    </w:pPr>
  </w:style>
  <w:style w:type="character" w:styleId="FootnoteReference">
    <w:uiPriority w:val="99"/>
    <w:name w:val="footnote reference"/>
    <w:basedOn w:val="DefaultParagraphFont"/>
    <w:semiHidden/>
    <w:unhideWhenUsed/>
    <w:rsid w:val="06553D08"/>
    <w:rPr>
      <w:vertAlign w:val="superscript"/>
    </w:rPr>
  </w:style>
  <w:style w:type="paragraph" w:styleId="ListParagraph">
    <w:uiPriority w:val="34"/>
    <w:name w:val="List Paragraph"/>
    <w:basedOn w:val="Normal"/>
    <w:qFormat/>
    <w:rsid w:val="06553D0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565c4516fd03435d" /><Relationship Type="http://schemas.openxmlformats.org/officeDocument/2006/relationships/numbering" Target="numbering.xml" Id="R152666c806fa48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2026-01-31T19:34:57.6485756Z</dcterms:created>
  <dcterms:modified xsi:type="dcterms:W3CDTF">2026-02-01T16:45:23.0602708Z</dcterms:modified>
  <dc:creator>Caitlin Clyne (2304935)</dc:creator>
  <lastModifiedBy>Caitlin Clyne (2304935)</lastModifiedBy>
</coreProperties>
</file>