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41E1AE" w14:textId="77777777" w:rsidR="00DF5BC7" w:rsidRDefault="00DF5BC7" w:rsidP="00DF5BC7">
      <w:pPr>
        <w:spacing w:line="480" w:lineRule="auto"/>
        <w:jc w:val="center"/>
        <w:rPr>
          <w:rFonts w:cstheme="minorHAnsi"/>
          <w:b/>
          <w:bCs/>
          <w:color w:val="333333"/>
          <w:sz w:val="24"/>
          <w:szCs w:val="24"/>
          <w:u w:val="single"/>
          <w:shd w:val="clear" w:color="auto" w:fill="FCFDFD"/>
        </w:rPr>
      </w:pPr>
      <w:bookmarkStart w:id="0" w:name="_Hlk48858539"/>
      <w:r w:rsidRPr="00EA2AA2">
        <w:rPr>
          <w:rFonts w:cstheme="minorHAnsi"/>
          <w:b/>
          <w:bCs/>
          <w:color w:val="333333"/>
          <w:sz w:val="24"/>
          <w:szCs w:val="24"/>
          <w:u w:val="single"/>
          <w:shd w:val="clear" w:color="auto" w:fill="FCFDFD"/>
        </w:rPr>
        <w:t>Discuss the support provided and compare with the key principles/ approaches and policies that guide inclusive practice.</w:t>
      </w:r>
    </w:p>
    <w:p w14:paraId="1E7BC254" w14:textId="77777777" w:rsidR="00DF5BC7" w:rsidRDefault="00DF5BC7" w:rsidP="00DF5BC7">
      <w:pPr>
        <w:spacing w:before="240" w:after="0" w:line="480" w:lineRule="auto"/>
        <w:jc w:val="both"/>
        <w:rPr>
          <w:rFonts w:cstheme="minorHAnsi"/>
          <w:sz w:val="24"/>
          <w:szCs w:val="24"/>
        </w:rPr>
      </w:pPr>
      <w:r w:rsidRPr="00EA2AA2">
        <w:rPr>
          <w:rFonts w:cstheme="minorHAnsi"/>
          <w:color w:val="333333"/>
          <w:sz w:val="24"/>
          <w:szCs w:val="24"/>
          <w:shd w:val="clear" w:color="auto" w:fill="FCFDFD"/>
        </w:rPr>
        <w:t xml:space="preserve">This case study will take place in a secondary school for pupils aged between 11 and 18.  The school is in a rural part of Wales in a deprived area and has an </w:t>
      </w:r>
      <w:r w:rsidRPr="00EA2AA2">
        <w:rPr>
          <w:rFonts w:cstheme="minorHAnsi"/>
          <w:sz w:val="24"/>
          <w:szCs w:val="24"/>
        </w:rPr>
        <w:t>LRC which is a local authority provision for pupils with a diagnosis of ASD</w:t>
      </w:r>
      <w:r>
        <w:rPr>
          <w:rFonts w:cstheme="minorHAnsi"/>
          <w:sz w:val="24"/>
          <w:szCs w:val="24"/>
        </w:rPr>
        <w:t xml:space="preserve"> (Autistic Spectrum Disorder)</w:t>
      </w:r>
      <w:r w:rsidRPr="00EA2AA2">
        <w:rPr>
          <w:rFonts w:cstheme="minorHAnsi"/>
          <w:sz w:val="24"/>
          <w:szCs w:val="24"/>
        </w:rPr>
        <w:t>. The current capacity is 24.  Nearly all pupils in the LRC</w:t>
      </w:r>
      <w:r>
        <w:rPr>
          <w:rFonts w:cstheme="minorHAnsi"/>
          <w:sz w:val="24"/>
          <w:szCs w:val="24"/>
        </w:rPr>
        <w:t xml:space="preserve"> (Learning Resource </w:t>
      </w:r>
      <w:proofErr w:type="gramStart"/>
      <w:r>
        <w:rPr>
          <w:rFonts w:cstheme="minorHAnsi"/>
          <w:sz w:val="24"/>
          <w:szCs w:val="24"/>
        </w:rPr>
        <w:t>Centre)</w:t>
      </w:r>
      <w:r w:rsidRPr="00EA2AA2">
        <w:rPr>
          <w:rFonts w:cstheme="minorHAnsi"/>
          <w:sz w:val="24"/>
          <w:szCs w:val="24"/>
        </w:rPr>
        <w:t xml:space="preserve">  access</w:t>
      </w:r>
      <w:proofErr w:type="gramEnd"/>
      <w:r w:rsidRPr="00EA2AA2">
        <w:rPr>
          <w:rFonts w:cstheme="minorHAnsi"/>
          <w:sz w:val="24"/>
          <w:szCs w:val="24"/>
        </w:rPr>
        <w:t xml:space="preserve"> the National Curriculum via mainstream lessons and access interventions within the LRC</w:t>
      </w:r>
      <w:r>
        <w:rPr>
          <w:rFonts w:cstheme="minorHAnsi"/>
          <w:sz w:val="24"/>
          <w:szCs w:val="24"/>
        </w:rPr>
        <w:t xml:space="preserve"> (Learning Resource Centre)</w:t>
      </w:r>
      <w:r w:rsidRPr="00EA2AA2">
        <w:rPr>
          <w:rFonts w:cstheme="minorHAnsi"/>
          <w:sz w:val="24"/>
          <w:szCs w:val="24"/>
        </w:rPr>
        <w:t>. Not all pupils with ASD</w:t>
      </w:r>
      <w:r>
        <w:rPr>
          <w:rFonts w:cstheme="minorHAnsi"/>
          <w:sz w:val="24"/>
          <w:szCs w:val="24"/>
        </w:rPr>
        <w:t xml:space="preserve"> (Autistic Spectrum Disorder)</w:t>
      </w:r>
      <w:r w:rsidRPr="00EA2AA2">
        <w:rPr>
          <w:rFonts w:cstheme="minorHAnsi"/>
          <w:sz w:val="24"/>
          <w:szCs w:val="24"/>
        </w:rPr>
        <w:t xml:space="preserve"> are linked with the LRC</w:t>
      </w:r>
      <w:r>
        <w:rPr>
          <w:rFonts w:cstheme="minorHAnsi"/>
          <w:sz w:val="24"/>
          <w:szCs w:val="24"/>
        </w:rPr>
        <w:t xml:space="preserve"> (Learning Resource Centre)</w:t>
      </w:r>
      <w:r w:rsidRPr="00EA2AA2">
        <w:rPr>
          <w:rFonts w:cstheme="minorHAnsi"/>
          <w:sz w:val="24"/>
          <w:szCs w:val="24"/>
        </w:rPr>
        <w:t xml:space="preserve"> and the school has an SLC</w:t>
      </w:r>
      <w:r>
        <w:rPr>
          <w:rFonts w:cstheme="minorHAnsi"/>
          <w:sz w:val="24"/>
          <w:szCs w:val="24"/>
        </w:rPr>
        <w:t xml:space="preserve"> (Supported Learning Centre)</w:t>
      </w:r>
      <w:r w:rsidRPr="00EA2AA2">
        <w:rPr>
          <w:rFonts w:cstheme="minorHAnsi"/>
          <w:sz w:val="24"/>
          <w:szCs w:val="24"/>
        </w:rPr>
        <w:t xml:space="preserve"> provision for these pupils.  Pupils with ASD </w:t>
      </w:r>
      <w:r>
        <w:rPr>
          <w:rFonts w:cstheme="minorHAnsi"/>
          <w:sz w:val="24"/>
          <w:szCs w:val="24"/>
        </w:rPr>
        <w:t xml:space="preserve">(Autistic Spectrum Disorder) </w:t>
      </w:r>
      <w:r w:rsidRPr="00EA2AA2">
        <w:rPr>
          <w:rFonts w:cstheme="minorHAnsi"/>
          <w:sz w:val="24"/>
          <w:szCs w:val="24"/>
        </w:rPr>
        <w:t>require highly individualised planning to meet their learning needs.</w:t>
      </w:r>
      <w:r w:rsidRPr="00EA2AA2">
        <w:rPr>
          <w:rFonts w:cstheme="minorHAnsi"/>
          <w:color w:val="333333"/>
          <w:sz w:val="24"/>
          <w:szCs w:val="24"/>
          <w:shd w:val="clear" w:color="auto" w:fill="FCFDFD"/>
        </w:rPr>
        <w:t xml:space="preserve"> The focus will be on Pupil A, a 12-year-old male in year 7.  Pupil A has a diagnosis of ASD</w:t>
      </w:r>
      <w:r>
        <w:rPr>
          <w:rFonts w:cstheme="minorHAnsi"/>
          <w:color w:val="333333"/>
          <w:sz w:val="24"/>
          <w:szCs w:val="24"/>
          <w:shd w:val="clear" w:color="auto" w:fill="FCFDFD"/>
        </w:rPr>
        <w:t xml:space="preserve"> </w:t>
      </w:r>
      <w:r>
        <w:rPr>
          <w:rFonts w:cstheme="minorHAnsi"/>
          <w:sz w:val="24"/>
          <w:szCs w:val="24"/>
        </w:rPr>
        <w:t>(Autistic Spectrum Disorder)</w:t>
      </w:r>
      <w:r w:rsidRPr="00EA2AA2">
        <w:rPr>
          <w:rFonts w:cstheme="minorHAnsi"/>
          <w:color w:val="333333"/>
          <w:sz w:val="24"/>
          <w:szCs w:val="24"/>
          <w:shd w:val="clear" w:color="auto" w:fill="FCFDFD"/>
        </w:rPr>
        <w:t xml:space="preserve">.  He also has </w:t>
      </w:r>
      <w:r w:rsidRPr="00EA2AA2">
        <w:rPr>
          <w:rFonts w:cstheme="minorHAnsi"/>
          <w:sz w:val="24"/>
          <w:szCs w:val="24"/>
        </w:rPr>
        <w:t>PMD (Physical Medical difficulties). He is at risk of choking due to PICA. PICA is an eating disorder that involves eating items that are not typically thought of as food and that do not contain significant nutritional value, such as hair, dirt, wrappers, paint chips and stones</w:t>
      </w:r>
      <w:r w:rsidRPr="00EA2AA2">
        <w:rPr>
          <w:rFonts w:cstheme="minorHAnsi"/>
          <w:color w:val="333333"/>
          <w:sz w:val="24"/>
          <w:szCs w:val="24"/>
          <w:shd w:val="clear" w:color="auto" w:fill="FCFDFD"/>
        </w:rPr>
        <w:t xml:space="preserve"> (</w:t>
      </w:r>
      <w:r w:rsidRPr="00EA2AA2">
        <w:rPr>
          <w:rFonts w:cstheme="minorHAnsi"/>
          <w:color w:val="222222"/>
          <w:sz w:val="24"/>
          <w:szCs w:val="24"/>
          <w:shd w:val="clear" w:color="auto" w:fill="FFFFFF"/>
        </w:rPr>
        <w:t>Nayak et al., 2017)</w:t>
      </w:r>
      <w:r w:rsidRPr="00EA2AA2">
        <w:rPr>
          <w:rFonts w:cstheme="minorHAnsi"/>
          <w:sz w:val="24"/>
          <w:szCs w:val="24"/>
        </w:rPr>
        <w:t xml:space="preserve">. </w:t>
      </w:r>
    </w:p>
    <w:p w14:paraId="0CDADC92" w14:textId="77777777" w:rsidR="00DF5BC7" w:rsidRDefault="00DF5BC7" w:rsidP="00DF5BC7">
      <w:pPr>
        <w:spacing w:after="0" w:line="480" w:lineRule="auto"/>
        <w:jc w:val="both"/>
        <w:rPr>
          <w:rFonts w:cstheme="minorHAnsi"/>
          <w:color w:val="333333"/>
          <w:sz w:val="24"/>
          <w:szCs w:val="24"/>
          <w:shd w:val="clear" w:color="auto" w:fill="FCFDFD"/>
        </w:rPr>
      </w:pPr>
    </w:p>
    <w:p w14:paraId="434C8E87" w14:textId="77777777" w:rsidR="00DF5BC7" w:rsidRDefault="00DF5BC7" w:rsidP="00DF5BC7">
      <w:pPr>
        <w:spacing w:after="0" w:line="480" w:lineRule="auto"/>
        <w:jc w:val="both"/>
        <w:rPr>
          <w:rFonts w:cstheme="minorHAnsi"/>
          <w:color w:val="333333"/>
          <w:sz w:val="24"/>
          <w:szCs w:val="24"/>
          <w:shd w:val="clear" w:color="auto" w:fill="FCFDFD"/>
        </w:rPr>
      </w:pPr>
      <w:r w:rsidRPr="00EA2AA2">
        <w:rPr>
          <w:rFonts w:cstheme="minorHAnsi"/>
          <w:sz w:val="24"/>
          <w:szCs w:val="24"/>
        </w:rPr>
        <w:t xml:space="preserve">Pupil A has Moderate Learning difficulties and is extremely vulnerable and can be a target from other pupils. Pupil A is a safeguarding risk as he has not turned up to school previously and taken himself to the park.  Pupil A has Social communication difficulties which hinder his learning and social interaction. He is immature for his age and enjoys playing on a 1-1 basis, often in the middle of chaos. Pupil A tends to revert to almost </w:t>
      </w:r>
      <w:proofErr w:type="spellStart"/>
      <w:r w:rsidRPr="00EA2AA2">
        <w:rPr>
          <w:rFonts w:cstheme="minorHAnsi"/>
          <w:sz w:val="24"/>
          <w:szCs w:val="24"/>
        </w:rPr>
        <w:t>child</w:t>
      </w:r>
      <w:r>
        <w:rPr>
          <w:rFonts w:cstheme="minorHAnsi"/>
          <w:sz w:val="24"/>
          <w:szCs w:val="24"/>
        </w:rPr>
        <w:t xml:space="preserve"> like</w:t>
      </w:r>
      <w:proofErr w:type="spellEnd"/>
      <w:r w:rsidRPr="00EA2AA2">
        <w:rPr>
          <w:rFonts w:cstheme="minorHAnsi"/>
          <w:sz w:val="24"/>
          <w:szCs w:val="24"/>
        </w:rPr>
        <w:t xml:space="preserve"> wanting only to play with his toys, drawing or colouring. Pupil A is happy when he can concentrate on playing or talking about Thomas The Tank Engine.  Every conversation is about Thomas. Even when Pupil </w:t>
      </w:r>
      <w:r w:rsidRPr="00EA2AA2">
        <w:rPr>
          <w:rFonts w:cstheme="minorHAnsi"/>
          <w:sz w:val="24"/>
          <w:szCs w:val="24"/>
        </w:rPr>
        <w:lastRenderedPageBreak/>
        <w:t>A is sitting at the desk, he is humming the theme song to Thomas the Tank. In mainstream lessons Pupil A will walk around the class thinking he is a train and singing Thomas and his friends. He will often walk around school clutching a soft toy or Thomas toys. Strengths of pupil A are that he loves Drawing Thomas the Tank Engine.  He engages well with targeted games and has an excellent relationship with staff who very often can be seen playing Thomas the tank with the fat controller in a hi-vis coat singing down the corridor.</w:t>
      </w:r>
    </w:p>
    <w:p w14:paraId="6B04A170" w14:textId="77777777" w:rsidR="00DF5BC7" w:rsidRDefault="00DF5BC7" w:rsidP="00DF5BC7">
      <w:pPr>
        <w:spacing w:line="480" w:lineRule="auto"/>
        <w:jc w:val="both"/>
        <w:rPr>
          <w:rFonts w:cstheme="minorHAnsi"/>
          <w:color w:val="333333"/>
          <w:sz w:val="24"/>
          <w:szCs w:val="24"/>
          <w:shd w:val="clear" w:color="auto" w:fill="FCFDFD"/>
        </w:rPr>
      </w:pPr>
    </w:p>
    <w:p w14:paraId="2BB24212" w14:textId="77777777" w:rsidR="00DF5BC7" w:rsidRDefault="00DF5BC7" w:rsidP="00DF5BC7">
      <w:pPr>
        <w:spacing w:line="480" w:lineRule="auto"/>
        <w:jc w:val="both"/>
        <w:rPr>
          <w:rFonts w:eastAsia="Arial Unicode MS" w:cstheme="minorHAnsi"/>
          <w:iCs/>
          <w:color w:val="000000"/>
          <w:sz w:val="24"/>
          <w:szCs w:val="24"/>
          <w:shd w:val="clear" w:color="auto" w:fill="FFFFFF"/>
        </w:rPr>
      </w:pPr>
      <w:r w:rsidRPr="00EA2AA2">
        <w:rPr>
          <w:rFonts w:eastAsia="Arial Unicode MS" w:cstheme="minorHAnsi"/>
          <w:color w:val="000000"/>
          <w:sz w:val="24"/>
          <w:szCs w:val="24"/>
          <w:shd w:val="clear" w:color="auto" w:fill="FFFFFF"/>
        </w:rPr>
        <w:t>Additional Learning Needs and Education Tribunal (Wales) Act 2018</w:t>
      </w:r>
      <w:r w:rsidRPr="00EA2AA2">
        <w:rPr>
          <w:rFonts w:eastAsia="Arial Unicode MS" w:cstheme="minorHAnsi"/>
          <w:iCs/>
          <w:color w:val="000000"/>
          <w:sz w:val="24"/>
          <w:szCs w:val="24"/>
          <w:shd w:val="clear" w:color="auto" w:fill="FFFFFF"/>
        </w:rPr>
        <w:t xml:space="preserve"> acknowledges the need for supporting young people and children with</w:t>
      </w:r>
      <w:r>
        <w:rPr>
          <w:rFonts w:eastAsia="Arial Unicode MS" w:cstheme="minorHAnsi"/>
          <w:iCs/>
          <w:color w:val="000000"/>
          <w:sz w:val="24"/>
          <w:szCs w:val="24"/>
          <w:shd w:val="clear" w:color="auto" w:fill="FFFFFF"/>
        </w:rPr>
        <w:t xml:space="preserve"> </w:t>
      </w:r>
      <w:r w:rsidRPr="00EA2AA2">
        <w:rPr>
          <w:rFonts w:eastAsia="Arial Unicode MS" w:cstheme="minorHAnsi"/>
          <w:iCs/>
          <w:color w:val="000000"/>
          <w:sz w:val="24"/>
          <w:szCs w:val="24"/>
          <w:shd w:val="clear" w:color="auto" w:fill="FFFFFF"/>
        </w:rPr>
        <w:t xml:space="preserve">ALN </w:t>
      </w:r>
      <w:r>
        <w:rPr>
          <w:rFonts w:eastAsia="Arial Unicode MS" w:cstheme="minorHAnsi"/>
          <w:iCs/>
          <w:color w:val="000000"/>
          <w:sz w:val="24"/>
          <w:szCs w:val="24"/>
          <w:shd w:val="clear" w:color="auto" w:fill="FFFFFF"/>
        </w:rPr>
        <w:t>(</w:t>
      </w:r>
      <w:r w:rsidRPr="00EA2AA2">
        <w:rPr>
          <w:rFonts w:eastAsia="Arial Unicode MS" w:cstheme="minorHAnsi"/>
          <w:iCs/>
          <w:color w:val="000000"/>
          <w:sz w:val="24"/>
          <w:szCs w:val="24"/>
          <w:shd w:val="clear" w:color="auto" w:fill="FFFFFF"/>
        </w:rPr>
        <w:t>Additional Learning Needs</w:t>
      </w:r>
      <w:r>
        <w:rPr>
          <w:rFonts w:eastAsia="Arial Unicode MS" w:cstheme="minorHAnsi"/>
          <w:iCs/>
          <w:color w:val="000000"/>
          <w:sz w:val="24"/>
          <w:szCs w:val="24"/>
          <w:shd w:val="clear" w:color="auto" w:fill="FFFFFF"/>
        </w:rPr>
        <w:t>)</w:t>
      </w:r>
      <w:r w:rsidRPr="00EA2AA2">
        <w:rPr>
          <w:rFonts w:eastAsia="Arial Unicode MS" w:cstheme="minorHAnsi"/>
          <w:iCs/>
          <w:color w:val="000000"/>
          <w:sz w:val="24"/>
          <w:szCs w:val="24"/>
          <w:shd w:val="clear" w:color="auto" w:fill="FFFFFF"/>
        </w:rPr>
        <w:t xml:space="preserve">. Among other things, the Act advocates for promotion of health and alleviation of disabilities and mental disorders and improving social welfare of children and young people. </w:t>
      </w:r>
      <w:proofErr w:type="gramStart"/>
      <w:r w:rsidRPr="00EA2AA2">
        <w:rPr>
          <w:rFonts w:eastAsia="Arial Unicode MS" w:cstheme="minorHAnsi"/>
          <w:iCs/>
          <w:color w:val="000000"/>
          <w:sz w:val="24"/>
          <w:szCs w:val="24"/>
          <w:shd w:val="clear" w:color="auto" w:fill="FFFFFF"/>
        </w:rPr>
        <w:t>In order to</w:t>
      </w:r>
      <w:proofErr w:type="gramEnd"/>
      <w:r w:rsidRPr="00EA2AA2">
        <w:rPr>
          <w:rFonts w:eastAsia="Arial Unicode MS" w:cstheme="minorHAnsi"/>
          <w:iCs/>
          <w:color w:val="000000"/>
          <w:sz w:val="24"/>
          <w:szCs w:val="24"/>
          <w:shd w:val="clear" w:color="auto" w:fill="FFFFFF"/>
        </w:rPr>
        <w:t xml:space="preserve"> ensure that Pupil A gets the right treatment in the society and receives the best-possible education, it is fundamental to avoid terminology that stigmatise young people and children. Other than addressing the systemic issues associated with stigmatising terminologies, adoption of the guidelines of the Act would enable Pupil A to receive the required attention in school as it creates a clear distinction between pupils requiring Special Education Needs (SEN) and those who do not need SEN (</w:t>
      </w:r>
      <w:r w:rsidRPr="00EA2AA2">
        <w:rPr>
          <w:rFonts w:eastAsia="Arial Unicode MS" w:cstheme="minorHAnsi"/>
          <w:color w:val="000000"/>
          <w:sz w:val="24"/>
          <w:szCs w:val="24"/>
          <w:shd w:val="clear" w:color="auto" w:fill="FFFFFF"/>
        </w:rPr>
        <w:t>Welsh Government, 2018</w:t>
      </w:r>
      <w:r w:rsidRPr="00EA2AA2">
        <w:rPr>
          <w:rFonts w:eastAsia="Arial Unicode MS" w:cstheme="minorHAnsi"/>
          <w:iCs/>
          <w:color w:val="000000"/>
          <w:sz w:val="24"/>
          <w:szCs w:val="24"/>
          <w:shd w:val="clear" w:color="auto" w:fill="FFFFFF"/>
        </w:rPr>
        <w:t xml:space="preserve">). </w:t>
      </w:r>
    </w:p>
    <w:p w14:paraId="709D7418" w14:textId="77777777" w:rsidR="00DF5BC7" w:rsidRDefault="00DF5BC7" w:rsidP="00DF5BC7">
      <w:pPr>
        <w:spacing w:line="480" w:lineRule="auto"/>
        <w:jc w:val="both"/>
        <w:rPr>
          <w:rFonts w:eastAsia="Arial Unicode MS" w:cstheme="minorHAnsi"/>
          <w:iCs/>
          <w:color w:val="000000"/>
          <w:sz w:val="24"/>
          <w:szCs w:val="24"/>
          <w:shd w:val="clear" w:color="auto" w:fill="FFFFFF"/>
        </w:rPr>
      </w:pPr>
    </w:p>
    <w:p w14:paraId="637BA877" w14:textId="77777777" w:rsidR="00DF5BC7" w:rsidRDefault="00DF5BC7" w:rsidP="00DF5BC7">
      <w:pPr>
        <w:spacing w:line="480" w:lineRule="auto"/>
        <w:jc w:val="both"/>
        <w:rPr>
          <w:rFonts w:cstheme="minorHAnsi"/>
          <w:sz w:val="24"/>
          <w:szCs w:val="24"/>
        </w:rPr>
      </w:pPr>
      <w:r w:rsidRPr="00EA2AA2">
        <w:rPr>
          <w:rFonts w:cstheme="minorHAnsi"/>
          <w:sz w:val="24"/>
          <w:szCs w:val="24"/>
        </w:rPr>
        <w:t>To support Pupil A with Cognition and Learning he has been placed in a basic skills group with students of similar academic ability and a wide range of needs with a trained ALN</w:t>
      </w:r>
      <w:r>
        <w:rPr>
          <w:rFonts w:cstheme="minorHAnsi"/>
          <w:sz w:val="24"/>
          <w:szCs w:val="24"/>
        </w:rPr>
        <w:t xml:space="preserve"> (Additional Learning Needs)</w:t>
      </w:r>
      <w:r w:rsidRPr="00EA2AA2">
        <w:rPr>
          <w:rFonts w:cstheme="minorHAnsi"/>
          <w:sz w:val="24"/>
          <w:szCs w:val="24"/>
        </w:rPr>
        <w:t xml:space="preserve"> teacher and LSA</w:t>
      </w:r>
      <w:r>
        <w:rPr>
          <w:rFonts w:cstheme="minorHAnsi"/>
          <w:sz w:val="24"/>
          <w:szCs w:val="24"/>
        </w:rPr>
        <w:t xml:space="preserve"> (Learning Support Assistant)</w:t>
      </w:r>
      <w:r w:rsidRPr="00EA2AA2">
        <w:rPr>
          <w:rFonts w:cstheme="minorHAnsi"/>
          <w:sz w:val="24"/>
          <w:szCs w:val="24"/>
        </w:rPr>
        <w:t xml:space="preserve"> support.  Lessons incorporate RWI (Read, Write, Ink), Lexia literacy, Drama, Humanities, I.T and Maths. All the work is differentiated so all pupils can access. He is aware that he needs to seek help and support </w:t>
      </w:r>
      <w:r w:rsidRPr="00EA2AA2">
        <w:rPr>
          <w:rFonts w:cstheme="minorHAnsi"/>
          <w:sz w:val="24"/>
          <w:szCs w:val="24"/>
        </w:rPr>
        <w:lastRenderedPageBreak/>
        <w:t>from the teacher and LSA</w:t>
      </w:r>
      <w:r>
        <w:rPr>
          <w:rFonts w:cstheme="minorHAnsi"/>
          <w:sz w:val="24"/>
          <w:szCs w:val="24"/>
        </w:rPr>
        <w:t xml:space="preserve"> (Learning Support Assistant)</w:t>
      </w:r>
      <w:r w:rsidRPr="00EA2AA2">
        <w:rPr>
          <w:rFonts w:cstheme="minorHAnsi"/>
          <w:sz w:val="24"/>
          <w:szCs w:val="24"/>
        </w:rPr>
        <w:t xml:space="preserve"> within the classroom. Pupil A receives praise and encouragement when he has followed the rules on the flash cards and posters and stayed on task and is rewarded with time on his favourite game or drawing.  Pupil A is encouraged not to talk too much or draw Thomas the Tank Engine in the classroom.  Pupil A is being supported by ELSA</w:t>
      </w:r>
      <w:r>
        <w:rPr>
          <w:rFonts w:cstheme="minorHAnsi"/>
          <w:sz w:val="24"/>
          <w:szCs w:val="24"/>
        </w:rPr>
        <w:t xml:space="preserve"> (Emotional Literacy Support Assistant)</w:t>
      </w:r>
      <w:r w:rsidRPr="00EA2AA2">
        <w:rPr>
          <w:rFonts w:cstheme="minorHAnsi"/>
          <w:sz w:val="24"/>
          <w:szCs w:val="24"/>
        </w:rPr>
        <w:t>.  Pupil A has regular appointments and support is given through intervention programmes, regular meetings, target setting and confidence building strategies. Pupil A will be supported with the Year 8 SULP (Social Use of Language Programme): To develop specific language</w:t>
      </w:r>
      <w:r>
        <w:rPr>
          <w:rFonts w:cstheme="minorHAnsi"/>
          <w:sz w:val="24"/>
          <w:szCs w:val="24"/>
        </w:rPr>
        <w:t>/Learning</w:t>
      </w:r>
      <w:r w:rsidRPr="00EA2AA2">
        <w:rPr>
          <w:rFonts w:cstheme="minorHAnsi"/>
          <w:sz w:val="24"/>
          <w:szCs w:val="24"/>
        </w:rPr>
        <w:t xml:space="preserve"> difficulties, sensory impairments and enhance personal, </w:t>
      </w:r>
      <w:proofErr w:type="gramStart"/>
      <w:r w:rsidRPr="00EA2AA2">
        <w:rPr>
          <w:rFonts w:cstheme="minorHAnsi"/>
          <w:sz w:val="24"/>
          <w:szCs w:val="24"/>
        </w:rPr>
        <w:t>emotional</w:t>
      </w:r>
      <w:proofErr w:type="gramEnd"/>
      <w:r w:rsidRPr="00EA2AA2">
        <w:rPr>
          <w:rFonts w:cstheme="minorHAnsi"/>
          <w:sz w:val="24"/>
          <w:szCs w:val="24"/>
        </w:rPr>
        <w:t xml:space="preserve"> and social development from a communication and thinking skills perspective. The program will provide multi-sensory activities incorporating interactive stories, talking pictures, </w:t>
      </w:r>
      <w:proofErr w:type="gramStart"/>
      <w:r w:rsidRPr="00EA2AA2">
        <w:rPr>
          <w:rFonts w:cstheme="minorHAnsi"/>
          <w:sz w:val="24"/>
          <w:szCs w:val="24"/>
        </w:rPr>
        <w:t>modelling</w:t>
      </w:r>
      <w:proofErr w:type="gramEnd"/>
      <w:r w:rsidRPr="00EA2AA2">
        <w:rPr>
          <w:rFonts w:cstheme="minorHAnsi"/>
          <w:sz w:val="24"/>
          <w:szCs w:val="24"/>
        </w:rPr>
        <w:t xml:space="preserve"> and communication games.  </w:t>
      </w:r>
    </w:p>
    <w:p w14:paraId="19FABEDD" w14:textId="77777777" w:rsidR="00DF5BC7" w:rsidRPr="00856B6E" w:rsidRDefault="00DF5BC7" w:rsidP="00DF5BC7">
      <w:pPr>
        <w:spacing w:line="480" w:lineRule="auto"/>
        <w:jc w:val="both"/>
        <w:rPr>
          <w:rFonts w:eastAsia="Arial Unicode MS" w:cstheme="minorHAnsi"/>
          <w:iCs/>
          <w:color w:val="000000"/>
          <w:sz w:val="24"/>
          <w:szCs w:val="24"/>
          <w:shd w:val="clear" w:color="auto" w:fill="FFFFFF"/>
        </w:rPr>
      </w:pPr>
    </w:p>
    <w:p w14:paraId="4378F1C3" w14:textId="77777777" w:rsidR="00DF5BC7" w:rsidRDefault="00DF5BC7" w:rsidP="00DF5BC7">
      <w:pPr>
        <w:spacing w:before="240" w:line="480" w:lineRule="auto"/>
        <w:jc w:val="both"/>
        <w:rPr>
          <w:rFonts w:cstheme="minorHAnsi"/>
          <w:sz w:val="24"/>
          <w:szCs w:val="24"/>
        </w:rPr>
      </w:pPr>
      <w:r w:rsidRPr="00EA2AA2">
        <w:rPr>
          <w:rFonts w:cstheme="minorHAnsi"/>
          <w:sz w:val="24"/>
          <w:szCs w:val="24"/>
        </w:rPr>
        <w:t xml:space="preserve">Pupil A is supported by the SLC </w:t>
      </w:r>
      <w:r>
        <w:rPr>
          <w:rFonts w:cstheme="minorHAnsi"/>
          <w:sz w:val="24"/>
          <w:szCs w:val="24"/>
        </w:rPr>
        <w:t>(Supported Learning Centre)</w:t>
      </w:r>
      <w:r w:rsidRPr="00EA2AA2">
        <w:rPr>
          <w:rFonts w:cstheme="minorHAnsi"/>
          <w:sz w:val="24"/>
          <w:szCs w:val="24"/>
        </w:rPr>
        <w:t>.  He has regular withdrawal sessions for 4 hours per week.  He also has a timeout card to withdraw himself from class if he feels the need.  Pupil A has a safe room that he attends at break</w:t>
      </w:r>
      <w:r>
        <w:rPr>
          <w:rFonts w:cstheme="minorHAnsi"/>
          <w:sz w:val="24"/>
          <w:szCs w:val="24"/>
        </w:rPr>
        <w:t>times</w:t>
      </w:r>
      <w:r w:rsidRPr="00EA2AA2">
        <w:rPr>
          <w:rFonts w:cstheme="minorHAnsi"/>
          <w:sz w:val="24"/>
          <w:szCs w:val="24"/>
        </w:rPr>
        <w:t xml:space="preserve"> where he can express himself freely and play with what he loves “Thomas the tank”. Pupil A has safe adults assigned to him who he will spend time with when he has a particular bad day.  An annual review of the IEP</w:t>
      </w:r>
      <w:r>
        <w:rPr>
          <w:rFonts w:cstheme="minorHAnsi"/>
          <w:sz w:val="24"/>
          <w:szCs w:val="24"/>
        </w:rPr>
        <w:t xml:space="preserve"> (Individual Education Plan)</w:t>
      </w:r>
      <w:r w:rsidRPr="00EA2AA2">
        <w:rPr>
          <w:rFonts w:cstheme="minorHAnsi"/>
          <w:sz w:val="24"/>
          <w:szCs w:val="24"/>
        </w:rPr>
        <w:t xml:space="preserve"> happens with the parents, SENCO</w:t>
      </w:r>
      <w:r>
        <w:rPr>
          <w:rFonts w:cstheme="minorHAnsi"/>
          <w:sz w:val="24"/>
          <w:szCs w:val="24"/>
        </w:rPr>
        <w:t xml:space="preserve"> </w:t>
      </w:r>
      <w:r w:rsidRPr="00177272">
        <w:rPr>
          <w:rFonts w:cstheme="minorHAnsi"/>
          <w:sz w:val="24"/>
          <w:szCs w:val="24"/>
        </w:rPr>
        <w:t>(</w:t>
      </w:r>
      <w:r w:rsidRPr="00177272">
        <w:rPr>
          <w:rFonts w:cstheme="minorHAnsi"/>
          <w:sz w:val="24"/>
          <w:szCs w:val="24"/>
          <w:shd w:val="clear" w:color="auto" w:fill="FFFFFF"/>
        </w:rPr>
        <w:t>special educational needs co-ordinator)</w:t>
      </w:r>
      <w:r w:rsidRPr="00177272">
        <w:rPr>
          <w:rFonts w:cstheme="minorHAnsi"/>
          <w:sz w:val="24"/>
          <w:szCs w:val="24"/>
        </w:rPr>
        <w:t xml:space="preserve"> </w:t>
      </w:r>
      <w:r w:rsidRPr="00EA2AA2">
        <w:rPr>
          <w:rFonts w:cstheme="minorHAnsi"/>
          <w:sz w:val="24"/>
          <w:szCs w:val="24"/>
        </w:rPr>
        <w:t xml:space="preserve">and teacher in charge and any additional support needed agreed within the plan.  School has an open path of communication with the parents and any concerns or problems are put into a plan to support.  An example of this is when Pupil A attended the park instead of arriving at school.  The Pastoral Manager had to call the parents and the police </w:t>
      </w:r>
      <w:r w:rsidRPr="00EA2AA2">
        <w:rPr>
          <w:rFonts w:cstheme="minorHAnsi"/>
          <w:sz w:val="24"/>
          <w:szCs w:val="24"/>
        </w:rPr>
        <w:lastRenderedPageBreak/>
        <w:t xml:space="preserve">were called to find a missing pupil.  Luckily, Pupil A was located by a provision pupil offsite and escorted back to the school.  As a school the plan was to contact the local authority and ask for transport provision for the </w:t>
      </w:r>
      <w:r>
        <w:rPr>
          <w:rFonts w:cstheme="minorHAnsi"/>
          <w:sz w:val="24"/>
          <w:szCs w:val="24"/>
        </w:rPr>
        <w:t>pupil</w:t>
      </w:r>
      <w:r w:rsidRPr="00EA2AA2">
        <w:rPr>
          <w:rFonts w:cstheme="minorHAnsi"/>
          <w:sz w:val="24"/>
          <w:szCs w:val="24"/>
        </w:rPr>
        <w:t xml:space="preserve"> to and from school due to the vulnerabilities of Pupil A and the situation at home.  The secondary school secured a transport provision for pupil A which supported the safeguarding of Pupil A.  An open line of communication with parents is a huge factor in the success of the </w:t>
      </w:r>
      <w:r>
        <w:rPr>
          <w:rFonts w:cstheme="minorHAnsi"/>
          <w:sz w:val="24"/>
          <w:szCs w:val="24"/>
        </w:rPr>
        <w:t>pupil</w:t>
      </w:r>
      <w:r w:rsidRPr="00EA2AA2">
        <w:rPr>
          <w:rFonts w:cstheme="minorHAnsi"/>
          <w:sz w:val="24"/>
          <w:szCs w:val="24"/>
        </w:rPr>
        <w:t xml:space="preserve"> and home and school relationship.</w:t>
      </w:r>
    </w:p>
    <w:p w14:paraId="11DF98A4" w14:textId="77777777" w:rsidR="00DF5BC7" w:rsidRPr="00EA2AA2" w:rsidRDefault="00DF5BC7" w:rsidP="00DF5BC7">
      <w:pPr>
        <w:spacing w:line="480" w:lineRule="auto"/>
        <w:jc w:val="both"/>
        <w:rPr>
          <w:rFonts w:eastAsia="Arial Unicode MS" w:cstheme="minorHAnsi"/>
          <w:iCs/>
          <w:color w:val="000000"/>
          <w:sz w:val="24"/>
          <w:szCs w:val="24"/>
          <w:shd w:val="clear" w:color="auto" w:fill="FFFFFF"/>
        </w:rPr>
      </w:pPr>
    </w:p>
    <w:p w14:paraId="49EF740A" w14:textId="77777777" w:rsidR="00DF5BC7" w:rsidRPr="00620C7E" w:rsidRDefault="00DF5BC7" w:rsidP="00DF5BC7">
      <w:pPr>
        <w:spacing w:line="480" w:lineRule="auto"/>
        <w:rPr>
          <w:sz w:val="24"/>
          <w:szCs w:val="24"/>
        </w:rPr>
      </w:pPr>
      <w:r w:rsidRPr="00620C7E">
        <w:rPr>
          <w:rFonts w:eastAsia="Arial Unicode MS" w:cstheme="minorHAnsi"/>
          <w:iCs/>
          <w:color w:val="000000"/>
          <w:sz w:val="24"/>
          <w:szCs w:val="24"/>
          <w:shd w:val="clear" w:color="auto" w:fill="FFFFFF"/>
        </w:rPr>
        <w:t xml:space="preserve">Proper support for Pupil A towards attaining his full potential and achieving his lifelong dreams require that SEN Code of Practice </w:t>
      </w:r>
      <w:sdt>
        <w:sdtPr>
          <w:rPr>
            <w:sz w:val="24"/>
            <w:szCs w:val="24"/>
          </w:rPr>
          <w:id w:val="1338730187"/>
          <w:citation/>
        </w:sdtPr>
        <w:sdtContent>
          <w:r w:rsidRPr="00620C7E">
            <w:rPr>
              <w:sz w:val="24"/>
              <w:szCs w:val="24"/>
            </w:rPr>
            <w:fldChar w:fldCharType="begin"/>
          </w:r>
          <w:r w:rsidRPr="00620C7E">
            <w:rPr>
              <w:sz w:val="24"/>
              <w:szCs w:val="24"/>
            </w:rPr>
            <w:instrText xml:space="preserve"> CITATION Wel201 \l 2057 </w:instrText>
          </w:r>
          <w:r w:rsidRPr="00620C7E">
            <w:rPr>
              <w:sz w:val="24"/>
              <w:szCs w:val="24"/>
            </w:rPr>
            <w:fldChar w:fldCharType="separate"/>
          </w:r>
          <w:r w:rsidRPr="00620C7E">
            <w:rPr>
              <w:noProof/>
              <w:sz w:val="24"/>
              <w:szCs w:val="24"/>
            </w:rPr>
            <w:t>(Welsh Government, 2020)</w:t>
          </w:r>
          <w:r w:rsidRPr="00620C7E">
            <w:rPr>
              <w:sz w:val="24"/>
              <w:szCs w:val="24"/>
            </w:rPr>
            <w:fldChar w:fldCharType="end"/>
          </w:r>
        </w:sdtContent>
      </w:sdt>
      <w:r>
        <w:rPr>
          <w:sz w:val="24"/>
          <w:szCs w:val="24"/>
        </w:rPr>
        <w:t xml:space="preserve"> </w:t>
      </w:r>
      <w:r>
        <w:rPr>
          <w:rFonts w:eastAsia="Arial Unicode MS" w:cstheme="minorHAnsi"/>
          <w:iCs/>
          <w:color w:val="000000"/>
          <w:sz w:val="24"/>
          <w:szCs w:val="24"/>
          <w:shd w:val="clear" w:color="auto" w:fill="FFFFFF"/>
        </w:rPr>
        <w:t>to</w:t>
      </w:r>
      <w:r w:rsidRPr="00EA2AA2">
        <w:rPr>
          <w:rFonts w:eastAsia="Arial Unicode MS" w:cstheme="minorHAnsi"/>
          <w:iCs/>
          <w:color w:val="000000"/>
          <w:sz w:val="24"/>
          <w:szCs w:val="24"/>
          <w:shd w:val="clear" w:color="auto" w:fill="FFFFFF"/>
        </w:rPr>
        <w:t xml:space="preserve"> be applied rigorously and is interpreted homogeneously by different local authorities and individuals engaged in the child’s welfare. To avoid disputes and enhance achievement of best-possible care, parents, </w:t>
      </w:r>
      <w:proofErr w:type="gramStart"/>
      <w:r w:rsidRPr="00EA2AA2">
        <w:rPr>
          <w:rFonts w:eastAsia="Arial Unicode MS" w:cstheme="minorHAnsi"/>
          <w:iCs/>
          <w:color w:val="000000"/>
          <w:sz w:val="24"/>
          <w:szCs w:val="24"/>
          <w:shd w:val="clear" w:color="auto" w:fill="FFFFFF"/>
        </w:rPr>
        <w:t>school</w:t>
      </w:r>
      <w:proofErr w:type="gramEnd"/>
      <w:r w:rsidRPr="00EA2AA2">
        <w:rPr>
          <w:rFonts w:eastAsia="Arial Unicode MS" w:cstheme="minorHAnsi"/>
          <w:iCs/>
          <w:color w:val="000000"/>
          <w:sz w:val="24"/>
          <w:szCs w:val="24"/>
          <w:shd w:val="clear" w:color="auto" w:fill="FFFFFF"/>
        </w:rPr>
        <w:t xml:space="preserve"> and local authorities need to be sufficiently involved in the child’s care (</w:t>
      </w:r>
      <w:proofErr w:type="spellStart"/>
      <w:r w:rsidRPr="00EA2AA2">
        <w:rPr>
          <w:rFonts w:cstheme="minorHAnsi"/>
          <w:color w:val="222222"/>
          <w:sz w:val="24"/>
          <w:szCs w:val="24"/>
          <w:shd w:val="clear" w:color="auto" w:fill="FFFFFF"/>
        </w:rPr>
        <w:t>Lithari</w:t>
      </w:r>
      <w:proofErr w:type="spellEnd"/>
      <w:r w:rsidRPr="00EA2AA2">
        <w:rPr>
          <w:rFonts w:cstheme="minorHAnsi"/>
          <w:color w:val="222222"/>
          <w:sz w:val="24"/>
          <w:szCs w:val="24"/>
          <w:shd w:val="clear" w:color="auto" w:fill="FFFFFF"/>
        </w:rPr>
        <w:t xml:space="preserve"> &amp; Rogers, 2017</w:t>
      </w:r>
      <w:r w:rsidRPr="00EA2AA2">
        <w:rPr>
          <w:rFonts w:eastAsia="Arial Unicode MS" w:cstheme="minorHAnsi"/>
          <w:iCs/>
          <w:color w:val="000000"/>
          <w:sz w:val="24"/>
          <w:szCs w:val="24"/>
          <w:shd w:val="clear" w:color="auto" w:fill="FFFFFF"/>
        </w:rPr>
        <w:t xml:space="preserve">). Bureaucracies, </w:t>
      </w:r>
      <w:proofErr w:type="gramStart"/>
      <w:r w:rsidRPr="00EA2AA2">
        <w:rPr>
          <w:rFonts w:eastAsia="Arial Unicode MS" w:cstheme="minorHAnsi"/>
          <w:iCs/>
          <w:color w:val="000000"/>
          <w:sz w:val="24"/>
          <w:szCs w:val="24"/>
          <w:shd w:val="clear" w:color="auto" w:fill="FFFFFF"/>
        </w:rPr>
        <w:t>inefficiencies</w:t>
      </w:r>
      <w:proofErr w:type="gramEnd"/>
      <w:r w:rsidRPr="00EA2AA2">
        <w:rPr>
          <w:rFonts w:eastAsia="Arial Unicode MS" w:cstheme="minorHAnsi"/>
          <w:iCs/>
          <w:color w:val="000000"/>
          <w:sz w:val="24"/>
          <w:szCs w:val="24"/>
          <w:shd w:val="clear" w:color="auto" w:fill="FFFFFF"/>
        </w:rPr>
        <w:t xml:space="preserve"> and perceived impenetrability should, therefore, be avoided by involving the parents</w:t>
      </w:r>
      <w:r>
        <w:rPr>
          <w:rFonts w:eastAsia="Arial Unicode MS" w:cstheme="minorHAnsi"/>
          <w:iCs/>
          <w:color w:val="000000"/>
          <w:sz w:val="24"/>
          <w:szCs w:val="24"/>
          <w:shd w:val="clear" w:color="auto" w:fill="FFFFFF"/>
        </w:rPr>
        <w:t>/</w:t>
      </w:r>
      <w:r w:rsidRPr="00EA2AA2">
        <w:rPr>
          <w:rFonts w:eastAsia="Arial Unicode MS" w:cstheme="minorHAnsi"/>
          <w:iCs/>
          <w:color w:val="000000"/>
          <w:sz w:val="24"/>
          <w:szCs w:val="24"/>
          <w:shd w:val="clear" w:color="auto" w:fill="FFFFFF"/>
        </w:rPr>
        <w:t>family of Pupil A so that they do not feel excluded from the processes surrounding the statements of SEN</w:t>
      </w:r>
      <w:r>
        <w:rPr>
          <w:rFonts w:eastAsia="Arial Unicode MS" w:cstheme="minorHAnsi"/>
          <w:iCs/>
          <w:color w:val="000000"/>
          <w:sz w:val="24"/>
          <w:szCs w:val="24"/>
          <w:shd w:val="clear" w:color="auto" w:fill="FFFFFF"/>
        </w:rPr>
        <w:t xml:space="preserve"> (Special Educational Need)</w:t>
      </w:r>
      <w:r w:rsidRPr="00EA2AA2">
        <w:rPr>
          <w:rFonts w:eastAsia="Arial Unicode MS" w:cstheme="minorHAnsi"/>
          <w:iCs/>
          <w:color w:val="000000"/>
          <w:sz w:val="24"/>
          <w:szCs w:val="24"/>
          <w:shd w:val="clear" w:color="auto" w:fill="FFFFFF"/>
        </w:rPr>
        <w:t>. In addition, it is necessary that a new system of care is adopted promptly following a change of the child’s needs, worsening o</w:t>
      </w:r>
      <w:r>
        <w:rPr>
          <w:rFonts w:eastAsia="Arial Unicode MS" w:cstheme="minorHAnsi"/>
          <w:iCs/>
          <w:color w:val="000000"/>
          <w:sz w:val="24"/>
          <w:szCs w:val="24"/>
          <w:shd w:val="clear" w:color="auto" w:fill="FFFFFF"/>
        </w:rPr>
        <w:t xml:space="preserve">r </w:t>
      </w:r>
      <w:r w:rsidRPr="00EA2AA2">
        <w:rPr>
          <w:rFonts w:eastAsia="Arial Unicode MS" w:cstheme="minorHAnsi"/>
          <w:iCs/>
          <w:color w:val="000000"/>
          <w:sz w:val="24"/>
          <w:szCs w:val="24"/>
          <w:shd w:val="clear" w:color="auto" w:fill="FFFFFF"/>
        </w:rPr>
        <w:t xml:space="preserve">improvement of his </w:t>
      </w:r>
      <w:r>
        <w:rPr>
          <w:rFonts w:eastAsia="Arial Unicode MS" w:cstheme="minorHAnsi"/>
          <w:iCs/>
          <w:color w:val="000000"/>
          <w:sz w:val="24"/>
          <w:szCs w:val="24"/>
          <w:shd w:val="clear" w:color="auto" w:fill="FFFFFF"/>
        </w:rPr>
        <w:t>need</w:t>
      </w:r>
      <w:r w:rsidRPr="00EA2AA2">
        <w:rPr>
          <w:rFonts w:eastAsia="Arial Unicode MS" w:cstheme="minorHAnsi"/>
          <w:iCs/>
          <w:color w:val="000000"/>
          <w:sz w:val="24"/>
          <w:szCs w:val="24"/>
          <w:shd w:val="clear" w:color="auto" w:fill="FFFFFF"/>
        </w:rPr>
        <w:t xml:space="preserve">. Adoption of the </w:t>
      </w:r>
      <w:r w:rsidRPr="00EA2AA2">
        <w:rPr>
          <w:rFonts w:eastAsia="Arial Unicode MS" w:cstheme="minorHAnsi"/>
          <w:color w:val="000000"/>
          <w:sz w:val="24"/>
          <w:szCs w:val="24"/>
          <w:shd w:val="clear" w:color="auto" w:fill="FFFFFF"/>
        </w:rPr>
        <w:t>Additional Learning Needs and Education Tribunal (Wales) Act 2018</w:t>
      </w:r>
      <w:r w:rsidRPr="00EA2AA2">
        <w:rPr>
          <w:rFonts w:eastAsia="Arial Unicode MS" w:cstheme="minorHAnsi"/>
          <w:iCs/>
          <w:color w:val="000000"/>
          <w:sz w:val="24"/>
          <w:szCs w:val="24"/>
          <w:shd w:val="clear" w:color="auto" w:fill="FFFFFF"/>
        </w:rPr>
        <w:t xml:space="preserve"> offers a platform that enables the achievement of these desired outcomes. The Act creates a unifying legislative framework supporting all young people and children of compulsory school age and below with ALN (Conn &amp; Hutt, 2020). By adhering to its guidelines, it is possible to achieve integrated, collaborative process of assessment, monitoring and planning that would facilitate effective interventions on time. </w:t>
      </w:r>
    </w:p>
    <w:p w14:paraId="024380C6" w14:textId="77777777" w:rsidR="00DF5BC7" w:rsidRPr="00EA2AA2" w:rsidRDefault="00DF5BC7" w:rsidP="00DF5BC7">
      <w:pPr>
        <w:spacing w:line="480" w:lineRule="auto"/>
        <w:jc w:val="both"/>
        <w:rPr>
          <w:rFonts w:eastAsia="Arial Unicode MS" w:cstheme="minorHAnsi"/>
          <w:iCs/>
          <w:color w:val="000000"/>
          <w:sz w:val="24"/>
          <w:szCs w:val="24"/>
          <w:shd w:val="clear" w:color="auto" w:fill="FFFFFF"/>
        </w:rPr>
      </w:pPr>
    </w:p>
    <w:p w14:paraId="72AFD6F0" w14:textId="77777777" w:rsidR="00DF5BC7" w:rsidRDefault="00DF5BC7" w:rsidP="00DF5BC7">
      <w:pPr>
        <w:spacing w:line="480" w:lineRule="auto"/>
        <w:jc w:val="both"/>
        <w:rPr>
          <w:rFonts w:cstheme="minorHAnsi"/>
          <w:sz w:val="24"/>
          <w:szCs w:val="24"/>
        </w:rPr>
      </w:pPr>
      <w:r w:rsidRPr="00EA2AA2">
        <w:rPr>
          <w:rFonts w:eastAsia="Arial Unicode MS" w:cstheme="minorHAnsi"/>
          <w:iCs/>
          <w:color w:val="000000"/>
          <w:sz w:val="24"/>
          <w:szCs w:val="24"/>
          <w:shd w:val="clear" w:color="auto" w:fill="FFFFFF"/>
        </w:rPr>
        <w:t xml:space="preserve">Based on the steps taken to manage Pupil A’s conditions, it is evident that the pupil’s case is perceived from the Medical Model of Disability. In the view of </w:t>
      </w:r>
      <w:r w:rsidRPr="00EA2AA2">
        <w:rPr>
          <w:rFonts w:cstheme="minorHAnsi"/>
          <w:color w:val="222222"/>
          <w:sz w:val="24"/>
          <w:szCs w:val="24"/>
          <w:shd w:val="clear" w:color="auto" w:fill="FFFFFF"/>
        </w:rPr>
        <w:t xml:space="preserve">Smith and </w:t>
      </w:r>
      <w:proofErr w:type="spellStart"/>
      <w:r w:rsidRPr="00EA2AA2">
        <w:rPr>
          <w:rFonts w:cstheme="minorHAnsi"/>
          <w:color w:val="222222"/>
          <w:sz w:val="24"/>
          <w:szCs w:val="24"/>
          <w:shd w:val="clear" w:color="auto" w:fill="FFFFFF"/>
        </w:rPr>
        <w:t>Bundon</w:t>
      </w:r>
      <w:proofErr w:type="spellEnd"/>
      <w:r w:rsidRPr="00EA2AA2">
        <w:rPr>
          <w:rFonts w:cstheme="minorHAnsi"/>
          <w:color w:val="222222"/>
          <w:sz w:val="24"/>
          <w:szCs w:val="24"/>
          <w:shd w:val="clear" w:color="auto" w:fill="FFFFFF"/>
        </w:rPr>
        <w:t xml:space="preserve"> (2018)</w:t>
      </w:r>
      <w:r w:rsidRPr="00EA2AA2">
        <w:rPr>
          <w:rFonts w:eastAsia="Arial Unicode MS" w:cstheme="minorHAnsi"/>
          <w:iCs/>
          <w:color w:val="000000"/>
          <w:sz w:val="24"/>
          <w:szCs w:val="24"/>
          <w:shd w:val="clear" w:color="auto" w:fill="FFFFFF"/>
        </w:rPr>
        <w:t xml:space="preserve">, the Medical Model of Disability recognizes disability as the result of a physical condition that is intrinsic to the individual and may reduce the person’s quality of life. In the long run, the model beholds that such disabilities cause clear disadvantages to an affected individual. In the case of </w:t>
      </w:r>
      <w:proofErr w:type="gramStart"/>
      <w:r w:rsidRPr="00EA2AA2">
        <w:rPr>
          <w:rFonts w:eastAsia="Arial Unicode MS" w:cstheme="minorHAnsi"/>
          <w:iCs/>
          <w:color w:val="000000"/>
          <w:sz w:val="24"/>
          <w:szCs w:val="24"/>
          <w:shd w:val="clear" w:color="auto" w:fill="FFFFFF"/>
        </w:rPr>
        <w:t>Pupil</w:t>
      </w:r>
      <w:proofErr w:type="gramEnd"/>
      <w:r w:rsidRPr="00EA2AA2">
        <w:rPr>
          <w:rFonts w:eastAsia="Arial Unicode MS" w:cstheme="minorHAnsi"/>
          <w:iCs/>
          <w:color w:val="000000"/>
          <w:sz w:val="24"/>
          <w:szCs w:val="24"/>
          <w:shd w:val="clear" w:color="auto" w:fill="FFFFFF"/>
        </w:rPr>
        <w:t xml:space="preserve"> A, management of his myriad of psychological conditions are pegged on identification of the disability from in-depth clinical perspective, understanding it and altering its cause or learning to control it. The use of </w:t>
      </w:r>
      <w:r w:rsidRPr="00EA2AA2">
        <w:rPr>
          <w:rFonts w:cstheme="minorHAnsi"/>
          <w:sz w:val="24"/>
          <w:szCs w:val="24"/>
        </w:rPr>
        <w:t xml:space="preserve">Year 8 SULP </w:t>
      </w:r>
      <w:r>
        <w:rPr>
          <w:rFonts w:cstheme="minorHAnsi"/>
          <w:sz w:val="24"/>
          <w:szCs w:val="24"/>
        </w:rPr>
        <w:t>(</w:t>
      </w:r>
      <w:r w:rsidRPr="00EA2AA2">
        <w:rPr>
          <w:rFonts w:cstheme="minorHAnsi"/>
          <w:sz w:val="24"/>
          <w:szCs w:val="24"/>
        </w:rPr>
        <w:t>Social Use of Language Programme</w:t>
      </w:r>
      <w:r>
        <w:rPr>
          <w:rFonts w:cstheme="minorHAnsi"/>
          <w:sz w:val="24"/>
          <w:szCs w:val="24"/>
        </w:rPr>
        <w:t>)</w:t>
      </w:r>
      <w:r w:rsidRPr="00EA2AA2">
        <w:rPr>
          <w:rFonts w:cstheme="minorHAnsi"/>
          <w:sz w:val="24"/>
          <w:szCs w:val="24"/>
        </w:rPr>
        <w:t xml:space="preserve"> to develop specific language</w:t>
      </w:r>
      <w:r>
        <w:rPr>
          <w:rFonts w:cstheme="minorHAnsi"/>
          <w:sz w:val="24"/>
          <w:szCs w:val="24"/>
        </w:rPr>
        <w:t>/Learning</w:t>
      </w:r>
      <w:r w:rsidRPr="00EA2AA2">
        <w:rPr>
          <w:rFonts w:cstheme="minorHAnsi"/>
          <w:sz w:val="24"/>
          <w:szCs w:val="24"/>
        </w:rPr>
        <w:t xml:space="preserve"> difficulties, sensory impairments and enhance personal, </w:t>
      </w:r>
      <w:proofErr w:type="gramStart"/>
      <w:r w:rsidRPr="00EA2AA2">
        <w:rPr>
          <w:rFonts w:cstheme="minorHAnsi"/>
          <w:sz w:val="24"/>
          <w:szCs w:val="24"/>
        </w:rPr>
        <w:t>emotional</w:t>
      </w:r>
      <w:proofErr w:type="gramEnd"/>
      <w:r w:rsidRPr="00EA2AA2">
        <w:rPr>
          <w:rFonts w:cstheme="minorHAnsi"/>
          <w:sz w:val="24"/>
          <w:szCs w:val="24"/>
        </w:rPr>
        <w:t xml:space="preserve"> and social development from a communication and thinking skills perspective has been adopted to manage his medical situation. Using praises whenever the pupil does what is required is a demonstration that his innate difficulty to abide by flashcards and posters is understood and tolerated. Moreover, cognition and learning aids by being placed in a basic skills group with students of similar academic ability and a wide range of needs with a trained ALN</w:t>
      </w:r>
      <w:r>
        <w:rPr>
          <w:rFonts w:cstheme="minorHAnsi"/>
          <w:sz w:val="24"/>
          <w:szCs w:val="24"/>
        </w:rPr>
        <w:t xml:space="preserve"> (Additional Learning Needs)</w:t>
      </w:r>
      <w:r w:rsidRPr="00EA2AA2">
        <w:rPr>
          <w:rFonts w:cstheme="minorHAnsi"/>
          <w:sz w:val="24"/>
          <w:szCs w:val="24"/>
        </w:rPr>
        <w:t xml:space="preserve"> teacher and LSA</w:t>
      </w:r>
      <w:r>
        <w:rPr>
          <w:rFonts w:cstheme="minorHAnsi"/>
          <w:sz w:val="24"/>
          <w:szCs w:val="24"/>
        </w:rPr>
        <w:t xml:space="preserve"> (Learning support Assistant) </w:t>
      </w:r>
      <w:r w:rsidRPr="00EA2AA2">
        <w:rPr>
          <w:rFonts w:cstheme="minorHAnsi"/>
          <w:sz w:val="24"/>
          <w:szCs w:val="24"/>
        </w:rPr>
        <w:t xml:space="preserve"> in class is evidence that the pupil’s medical condition is not in contest. Other support steps that define the strategies as medically oriented include regular appointments and support given to the pupil through intervention programmes, regular meetings, target setting and confidence building strategies as well as focused literacy support with Lexia/Read Write Inc.  </w:t>
      </w:r>
    </w:p>
    <w:p w14:paraId="5ED59911" w14:textId="77777777" w:rsidR="00DF5BC7" w:rsidRPr="00EA2AA2" w:rsidRDefault="00DF5BC7" w:rsidP="00DF5BC7">
      <w:pPr>
        <w:spacing w:line="480" w:lineRule="auto"/>
        <w:jc w:val="both"/>
        <w:rPr>
          <w:rFonts w:eastAsia="Arial Unicode MS" w:cstheme="minorHAnsi"/>
          <w:iCs/>
          <w:color w:val="000000"/>
          <w:sz w:val="24"/>
          <w:szCs w:val="24"/>
          <w:shd w:val="clear" w:color="auto" w:fill="FFFFFF"/>
        </w:rPr>
      </w:pPr>
    </w:p>
    <w:p w14:paraId="435E16E3" w14:textId="77777777" w:rsidR="00DF5BC7" w:rsidRDefault="00DF5BC7" w:rsidP="00DF5BC7">
      <w:pPr>
        <w:spacing w:line="480" w:lineRule="auto"/>
        <w:jc w:val="both"/>
        <w:rPr>
          <w:rFonts w:cstheme="minorHAnsi"/>
          <w:color w:val="222222"/>
          <w:sz w:val="24"/>
          <w:szCs w:val="24"/>
          <w:shd w:val="clear" w:color="auto" w:fill="FFFFFF"/>
        </w:rPr>
      </w:pPr>
      <w:r w:rsidRPr="00EA2AA2">
        <w:rPr>
          <w:rFonts w:cstheme="minorHAnsi"/>
          <w:color w:val="222222"/>
          <w:sz w:val="24"/>
          <w:szCs w:val="24"/>
          <w:shd w:val="clear" w:color="auto" w:fill="FFFFFF"/>
        </w:rPr>
        <w:lastRenderedPageBreak/>
        <w:t xml:space="preserve">Booth and Ainscow (2002) outline the need for inclusion of students seen to have SEN or impairments. Such strategies are aimed at eliminating effects of disability on children as viewed from the Social Model of Disability perspective. </w:t>
      </w:r>
      <w:r w:rsidRPr="00EA2AA2">
        <w:rPr>
          <w:rFonts w:cstheme="minorHAnsi"/>
          <w:sz w:val="24"/>
          <w:szCs w:val="24"/>
        </w:rPr>
        <w:t xml:space="preserve">In the view of </w:t>
      </w:r>
      <w:r w:rsidRPr="00EA2AA2">
        <w:rPr>
          <w:rFonts w:cstheme="minorHAnsi"/>
          <w:color w:val="222222"/>
          <w:sz w:val="24"/>
          <w:szCs w:val="24"/>
          <w:shd w:val="clear" w:color="auto" w:fill="FFFFFF"/>
        </w:rPr>
        <w:t>Levitt (2017)</w:t>
      </w:r>
      <w:r w:rsidRPr="00EA2AA2">
        <w:rPr>
          <w:rFonts w:cstheme="minorHAnsi"/>
          <w:sz w:val="24"/>
          <w:szCs w:val="24"/>
        </w:rPr>
        <w:t xml:space="preserve">, social model of disability is a proposal that what makes </w:t>
      </w:r>
      <w:proofErr w:type="gramStart"/>
      <w:r w:rsidRPr="00EA2AA2">
        <w:rPr>
          <w:rFonts w:cstheme="minorHAnsi"/>
          <w:sz w:val="24"/>
          <w:szCs w:val="24"/>
        </w:rPr>
        <w:t>an individual disabled</w:t>
      </w:r>
      <w:proofErr w:type="gramEnd"/>
      <w:r w:rsidRPr="00EA2AA2">
        <w:rPr>
          <w:rFonts w:cstheme="minorHAnsi"/>
          <w:sz w:val="24"/>
          <w:szCs w:val="24"/>
        </w:rPr>
        <w:t xml:space="preserve"> is not their medical condition, but the structure of the society in which they live and their attitudes. This model is a civil rights approach to disability and envisions a situation of total inclusion and non-restriction of persons with disabilities where modern life is set up in a way that it is accessible to people with disabilities. The society places additional disadvantages that treat people’s impairments [individual problems that prevent doing some things] as abnormal. The abnormality bestowed upon impairments by the society exclude people from full participation in the society and brand them ‘disabled’. Essentially, the society ‘disables’ the ‘impaired’ people. By subscribing to the </w:t>
      </w:r>
      <w:r w:rsidRPr="00EA2AA2">
        <w:rPr>
          <w:rFonts w:cstheme="minorHAnsi"/>
          <w:i/>
          <w:sz w:val="24"/>
          <w:szCs w:val="24"/>
        </w:rPr>
        <w:t>Index</w:t>
      </w:r>
      <w:r w:rsidRPr="00EA2AA2">
        <w:rPr>
          <w:rFonts w:cstheme="minorHAnsi"/>
          <w:sz w:val="24"/>
          <w:szCs w:val="24"/>
        </w:rPr>
        <w:t xml:space="preserve"> as outlined in </w:t>
      </w:r>
      <w:r w:rsidRPr="00EA2AA2">
        <w:rPr>
          <w:rFonts w:cstheme="minorHAnsi"/>
          <w:color w:val="222222"/>
          <w:sz w:val="24"/>
          <w:szCs w:val="24"/>
          <w:shd w:val="clear" w:color="auto" w:fill="FFFFFF"/>
        </w:rPr>
        <w:t xml:space="preserve">Booth and Ainscow (2002), schools are capable of adopting a supportive process of development and self-review, which draws on the views of caregivers and parents, students, governors, staff </w:t>
      </w:r>
      <w:r>
        <w:rPr>
          <w:rFonts w:cstheme="minorHAnsi"/>
          <w:color w:val="222222"/>
          <w:sz w:val="24"/>
          <w:szCs w:val="24"/>
          <w:shd w:val="clear" w:color="auto" w:fill="FFFFFF"/>
        </w:rPr>
        <w:t>and</w:t>
      </w:r>
      <w:r w:rsidRPr="00EA2AA2">
        <w:rPr>
          <w:rFonts w:cstheme="minorHAnsi"/>
          <w:color w:val="222222"/>
          <w:sz w:val="24"/>
          <w:szCs w:val="24"/>
          <w:shd w:val="clear" w:color="auto" w:fill="FFFFFF"/>
        </w:rPr>
        <w:t xml:space="preserve"> members of the community towards creating an enabling environment for learners such as Pupil A. Such measures ensure that detailed examination of the </w:t>
      </w:r>
      <w:proofErr w:type="gramStart"/>
      <w:r w:rsidRPr="00EA2AA2">
        <w:rPr>
          <w:rFonts w:cstheme="minorHAnsi"/>
          <w:color w:val="222222"/>
          <w:sz w:val="24"/>
          <w:szCs w:val="24"/>
          <w:shd w:val="clear" w:color="auto" w:fill="FFFFFF"/>
        </w:rPr>
        <w:t>manner in which</w:t>
      </w:r>
      <w:proofErr w:type="gramEnd"/>
      <w:r w:rsidRPr="00EA2AA2">
        <w:rPr>
          <w:rFonts w:cstheme="minorHAnsi"/>
          <w:color w:val="222222"/>
          <w:sz w:val="24"/>
          <w:szCs w:val="24"/>
          <w:shd w:val="clear" w:color="auto" w:fill="FFFFFF"/>
        </w:rPr>
        <w:t xml:space="preserve"> barriers to participation and learning are conducted and appropriate steps are undertaken for their reduction/elimination. </w:t>
      </w:r>
    </w:p>
    <w:p w14:paraId="0BA0EA05" w14:textId="77777777" w:rsidR="00DF5BC7" w:rsidRPr="00EA2AA2" w:rsidRDefault="00DF5BC7" w:rsidP="00DF5BC7">
      <w:pPr>
        <w:spacing w:line="480" w:lineRule="auto"/>
        <w:jc w:val="both"/>
        <w:rPr>
          <w:rFonts w:cstheme="minorHAnsi"/>
          <w:color w:val="222222"/>
          <w:sz w:val="24"/>
          <w:szCs w:val="24"/>
          <w:shd w:val="clear" w:color="auto" w:fill="FFFFFF"/>
        </w:rPr>
      </w:pPr>
    </w:p>
    <w:p w14:paraId="373E7658" w14:textId="77777777" w:rsidR="00DF5BC7" w:rsidRDefault="00DF5BC7" w:rsidP="00DF5BC7">
      <w:pPr>
        <w:spacing w:line="480" w:lineRule="auto"/>
        <w:jc w:val="both"/>
        <w:rPr>
          <w:rFonts w:cstheme="minorHAnsi"/>
          <w:color w:val="222222"/>
          <w:sz w:val="24"/>
          <w:szCs w:val="24"/>
          <w:shd w:val="clear" w:color="auto" w:fill="FFFFFF"/>
        </w:rPr>
      </w:pPr>
      <w:r w:rsidRPr="00EA2AA2">
        <w:rPr>
          <w:rFonts w:cstheme="minorHAnsi"/>
          <w:color w:val="222222"/>
          <w:sz w:val="24"/>
          <w:szCs w:val="24"/>
          <w:shd w:val="clear" w:color="auto" w:fill="FFFFFF"/>
        </w:rPr>
        <w:t xml:space="preserve">In the case of </w:t>
      </w:r>
      <w:proofErr w:type="gramStart"/>
      <w:r w:rsidRPr="00EA2AA2">
        <w:rPr>
          <w:rFonts w:cstheme="minorHAnsi"/>
          <w:color w:val="222222"/>
          <w:sz w:val="24"/>
          <w:szCs w:val="24"/>
          <w:shd w:val="clear" w:color="auto" w:fill="FFFFFF"/>
        </w:rPr>
        <w:t>Pupil</w:t>
      </w:r>
      <w:proofErr w:type="gramEnd"/>
      <w:r w:rsidRPr="00EA2AA2">
        <w:rPr>
          <w:rFonts w:cstheme="minorHAnsi"/>
          <w:color w:val="222222"/>
          <w:sz w:val="24"/>
          <w:szCs w:val="24"/>
          <w:shd w:val="clear" w:color="auto" w:fill="FFFFFF"/>
        </w:rPr>
        <w:t xml:space="preserve"> A, it is important to create an environment that encourages drawing within the school so that his obsession for drawing </w:t>
      </w:r>
      <w:r w:rsidRPr="00EA2AA2">
        <w:rPr>
          <w:rFonts w:cstheme="minorHAnsi"/>
          <w:sz w:val="24"/>
          <w:szCs w:val="24"/>
        </w:rPr>
        <w:t xml:space="preserve">Thomas the Tank Engine does not make him odd. Nonetheless, it is not possible to change the school environment to an extent that it accommodates the obsession of Pupil A, make his PICA behaviour more universally acceptable </w:t>
      </w:r>
      <w:r w:rsidRPr="00EA2AA2">
        <w:rPr>
          <w:rFonts w:cstheme="minorHAnsi"/>
          <w:sz w:val="24"/>
          <w:szCs w:val="24"/>
        </w:rPr>
        <w:lastRenderedPageBreak/>
        <w:t>as well as get children his age to behave as immaturely as he does. Such inabilities should not outweigh importance of building collaborative relationships and improvements in the learning environment. Inclusion can help sustain improvements in schools by attending to conditions and values for learning and teaching (</w:t>
      </w:r>
      <w:r w:rsidRPr="00EA2AA2">
        <w:rPr>
          <w:rFonts w:cstheme="minorHAnsi"/>
          <w:color w:val="222222"/>
          <w:sz w:val="24"/>
          <w:szCs w:val="24"/>
          <w:shd w:val="clear" w:color="auto" w:fill="FFFFFF"/>
        </w:rPr>
        <w:t>Booth &amp; Ainscow, 2002</w:t>
      </w:r>
      <w:r w:rsidRPr="00EA2AA2">
        <w:rPr>
          <w:rFonts w:cstheme="minorHAnsi"/>
          <w:sz w:val="24"/>
          <w:szCs w:val="24"/>
        </w:rPr>
        <w:t xml:space="preserve">). </w:t>
      </w:r>
      <w:r w:rsidRPr="00EA2AA2">
        <w:rPr>
          <w:rFonts w:cstheme="minorHAnsi"/>
          <w:color w:val="222222"/>
          <w:sz w:val="24"/>
          <w:szCs w:val="24"/>
          <w:shd w:val="clear" w:color="auto" w:fill="FFFFFF"/>
        </w:rPr>
        <w:t xml:space="preserve">Booth and Ainscow (2002) reiterate that inclusion is important as it encourages a perspective in learning which young people and children are actively involved and integrate their experiences with what they are taught. </w:t>
      </w:r>
    </w:p>
    <w:p w14:paraId="724ECE1B" w14:textId="77777777" w:rsidR="00DF5BC7" w:rsidRPr="00EA2AA2" w:rsidRDefault="00DF5BC7" w:rsidP="00DF5BC7">
      <w:pPr>
        <w:spacing w:line="480" w:lineRule="auto"/>
        <w:jc w:val="both"/>
        <w:rPr>
          <w:rFonts w:cstheme="minorHAnsi"/>
          <w:color w:val="222222"/>
          <w:sz w:val="24"/>
          <w:szCs w:val="24"/>
          <w:shd w:val="clear" w:color="auto" w:fill="FFFFFF"/>
        </w:rPr>
      </w:pPr>
    </w:p>
    <w:p w14:paraId="5445CE3B" w14:textId="77777777" w:rsidR="00DF5BC7" w:rsidRPr="00EA2AA2" w:rsidRDefault="00DF5BC7" w:rsidP="00DF5BC7">
      <w:pPr>
        <w:spacing w:line="480" w:lineRule="auto"/>
        <w:jc w:val="both"/>
        <w:rPr>
          <w:rFonts w:cstheme="minorHAnsi"/>
          <w:sz w:val="24"/>
          <w:szCs w:val="24"/>
        </w:rPr>
      </w:pPr>
      <w:r w:rsidRPr="00EA2AA2">
        <w:rPr>
          <w:rFonts w:cstheme="minorHAnsi"/>
          <w:sz w:val="24"/>
          <w:szCs w:val="24"/>
        </w:rPr>
        <w:t xml:space="preserve">In </w:t>
      </w:r>
      <w:r>
        <w:rPr>
          <w:rFonts w:cstheme="minorHAnsi"/>
          <w:sz w:val="24"/>
          <w:szCs w:val="24"/>
        </w:rPr>
        <w:t xml:space="preserve">an </w:t>
      </w:r>
      <w:r w:rsidRPr="00EA2AA2">
        <w:rPr>
          <w:rFonts w:cstheme="minorHAnsi"/>
          <w:sz w:val="24"/>
          <w:szCs w:val="24"/>
        </w:rPr>
        <w:t xml:space="preserve">educational system, enabling disabled students calls for inclusion. According to </w:t>
      </w:r>
      <w:proofErr w:type="spellStart"/>
      <w:r w:rsidRPr="00EA2AA2">
        <w:rPr>
          <w:rFonts w:cstheme="minorHAnsi"/>
          <w:color w:val="222222"/>
          <w:sz w:val="24"/>
          <w:szCs w:val="24"/>
          <w:shd w:val="clear" w:color="auto" w:fill="FFFFFF"/>
        </w:rPr>
        <w:t>Berghs</w:t>
      </w:r>
      <w:proofErr w:type="spellEnd"/>
      <w:r w:rsidRPr="00EA2AA2">
        <w:rPr>
          <w:rFonts w:cstheme="minorHAnsi"/>
          <w:color w:val="222222"/>
          <w:sz w:val="24"/>
          <w:szCs w:val="24"/>
          <w:shd w:val="clear" w:color="auto" w:fill="FFFFFF"/>
        </w:rPr>
        <w:t xml:space="preserve"> et al. (2019)</w:t>
      </w:r>
      <w:r w:rsidRPr="00EA2AA2">
        <w:rPr>
          <w:rFonts w:cstheme="minorHAnsi"/>
          <w:sz w:val="24"/>
          <w:szCs w:val="24"/>
        </w:rPr>
        <w:t xml:space="preserve">, inclusion in education involves reducing exclusion of all students from, and increasing their inclusion in the curricula, </w:t>
      </w:r>
      <w:proofErr w:type="gramStart"/>
      <w:r w:rsidRPr="00EA2AA2">
        <w:rPr>
          <w:rFonts w:cstheme="minorHAnsi"/>
          <w:sz w:val="24"/>
          <w:szCs w:val="24"/>
        </w:rPr>
        <w:t>cultures</w:t>
      </w:r>
      <w:proofErr w:type="gramEnd"/>
      <w:r w:rsidRPr="00EA2AA2">
        <w:rPr>
          <w:rFonts w:cstheme="minorHAnsi"/>
          <w:sz w:val="24"/>
          <w:szCs w:val="24"/>
        </w:rPr>
        <w:t xml:space="preserve"> and communities of local schools. Valuing all staff and students equally and perceiving the differences between students as resources of supporting learning instead of problems that need to be overcome are also fundamental steps. Furthermore, fostering mutually sustainable relationships between communities and schools, improving schools’ infrastructure for both students and staff should be ascertained. Schools and local authorities should ensure learning from attempts to overcome barriers to the participation and access of various students to create widespread changes for the benefit of other students through restructuring policies, cultures and practices in schools to respond to the locality’s diversity in students. Finally, eradicating barriers to participation and learning to all students, including those categorized as having special education needs, those with impairments and those without any known impairments should be ensured. </w:t>
      </w:r>
    </w:p>
    <w:p w14:paraId="150580FB" w14:textId="77777777" w:rsidR="00DF5BC7" w:rsidRPr="00EA2AA2" w:rsidRDefault="00DF5BC7" w:rsidP="00DF5BC7">
      <w:pPr>
        <w:spacing w:line="480" w:lineRule="auto"/>
        <w:ind w:firstLine="720"/>
        <w:jc w:val="both"/>
        <w:rPr>
          <w:rFonts w:cstheme="minorHAnsi"/>
          <w:b/>
          <w:bCs/>
          <w:sz w:val="24"/>
          <w:szCs w:val="24"/>
          <w:u w:val="single"/>
        </w:rPr>
      </w:pPr>
    </w:p>
    <w:p w14:paraId="0F31E4F8" w14:textId="77777777" w:rsidR="00DF5BC7" w:rsidRPr="00EA2AA2" w:rsidRDefault="00DF5BC7" w:rsidP="00DF5BC7">
      <w:pPr>
        <w:spacing w:line="480" w:lineRule="auto"/>
        <w:jc w:val="both"/>
        <w:rPr>
          <w:rFonts w:cstheme="minorHAnsi"/>
          <w:sz w:val="24"/>
          <w:szCs w:val="24"/>
        </w:rPr>
      </w:pPr>
      <w:r w:rsidRPr="00EA2AA2">
        <w:rPr>
          <w:rFonts w:cstheme="minorHAnsi"/>
          <w:sz w:val="24"/>
          <w:szCs w:val="24"/>
        </w:rPr>
        <w:lastRenderedPageBreak/>
        <w:t>From the support given to Pupil A, it becomes apparent that no single model of disability and principles/ approaches and policies that guide inclusive practice is sufficient on its own. Inasmuch as inclusion possesses immense potential</w:t>
      </w:r>
      <w:r>
        <w:rPr>
          <w:rFonts w:cstheme="minorHAnsi"/>
          <w:sz w:val="24"/>
          <w:szCs w:val="24"/>
        </w:rPr>
        <w:t>,</w:t>
      </w:r>
      <w:r w:rsidRPr="00EA2AA2">
        <w:rPr>
          <w:rFonts w:cstheme="minorHAnsi"/>
          <w:sz w:val="24"/>
          <w:szCs w:val="24"/>
        </w:rPr>
        <w:t xml:space="preserve"> achieving support for people with impairment, it works best on assumption of Social Model of Disability. In a case such as Pupil A, however, the Social Model of Disability may not hold given the obvious psychological challenges that impede his ability to act akin to every other child in a harmonized environment. As such, therapies and compassionate care are the most effective ways to provide support to Pupil A. integrating inclusion policies that incorporate the input of the school, local authorities, students, staff and community is fundamental in achieving proper support and care for similarly disabled children and young persons. </w:t>
      </w:r>
    </w:p>
    <w:p w14:paraId="3FE5EA31" w14:textId="77777777" w:rsidR="00EA2AA2" w:rsidRPr="00EA2AA2" w:rsidRDefault="004A37DE" w:rsidP="00EA2AA2">
      <w:pPr>
        <w:spacing w:line="480" w:lineRule="auto"/>
        <w:rPr>
          <w:rFonts w:cstheme="minorHAnsi"/>
          <w:b/>
          <w:bCs/>
          <w:sz w:val="24"/>
          <w:szCs w:val="24"/>
          <w:u w:val="single"/>
        </w:rPr>
      </w:pPr>
      <w:r w:rsidRPr="00EA2AA2">
        <w:rPr>
          <w:rFonts w:cstheme="minorHAnsi"/>
          <w:b/>
          <w:bCs/>
          <w:sz w:val="24"/>
          <w:szCs w:val="24"/>
          <w:u w:val="single"/>
        </w:rPr>
        <w:br w:type="page"/>
      </w:r>
      <w:bookmarkEnd w:id="0"/>
      <w:r w:rsidR="00EA2AA2" w:rsidRPr="00EA2AA2">
        <w:rPr>
          <w:rFonts w:cstheme="minorHAnsi"/>
          <w:b/>
          <w:bCs/>
          <w:sz w:val="24"/>
          <w:szCs w:val="24"/>
          <w:u w:val="single"/>
        </w:rPr>
        <w:lastRenderedPageBreak/>
        <w:t>References</w:t>
      </w:r>
    </w:p>
    <w:p w14:paraId="72563AC1" w14:textId="4A32A764" w:rsidR="00EA2AA2" w:rsidRPr="00EA2AA2" w:rsidRDefault="00EA2AA2" w:rsidP="00EA2AA2">
      <w:pPr>
        <w:pStyle w:val="Bibliography"/>
        <w:ind w:left="720" w:hanging="720"/>
        <w:rPr>
          <w:rFonts w:cstheme="minorHAnsi"/>
          <w:color w:val="222222"/>
          <w:sz w:val="24"/>
          <w:szCs w:val="24"/>
          <w:shd w:val="clear" w:color="auto" w:fill="FFFFFF"/>
        </w:rPr>
      </w:pPr>
      <w:proofErr w:type="spellStart"/>
      <w:r w:rsidRPr="00EA2AA2">
        <w:rPr>
          <w:rFonts w:cstheme="minorHAnsi"/>
          <w:color w:val="222222"/>
          <w:sz w:val="24"/>
          <w:szCs w:val="24"/>
          <w:shd w:val="clear" w:color="auto" w:fill="FFFFFF"/>
        </w:rPr>
        <w:t>Berghs</w:t>
      </w:r>
      <w:proofErr w:type="spellEnd"/>
      <w:r w:rsidRPr="00EA2AA2">
        <w:rPr>
          <w:rFonts w:cstheme="minorHAnsi"/>
          <w:color w:val="222222"/>
          <w:sz w:val="24"/>
          <w:szCs w:val="24"/>
          <w:shd w:val="clear" w:color="auto" w:fill="FFFFFF"/>
        </w:rPr>
        <w:t xml:space="preserve">, M., Atkin, K., Hatton, C. and Thomas, C., </w:t>
      </w:r>
      <w:r w:rsidR="0094029A">
        <w:rPr>
          <w:rFonts w:cstheme="minorHAnsi"/>
          <w:color w:val="FF0000"/>
          <w:sz w:val="24"/>
          <w:szCs w:val="24"/>
          <w:shd w:val="clear" w:color="auto" w:fill="FFFFFF"/>
        </w:rPr>
        <w:t>(</w:t>
      </w:r>
      <w:r w:rsidRPr="00EA2AA2">
        <w:rPr>
          <w:rFonts w:cstheme="minorHAnsi"/>
          <w:color w:val="222222"/>
          <w:sz w:val="24"/>
          <w:szCs w:val="24"/>
          <w:shd w:val="clear" w:color="auto" w:fill="FFFFFF"/>
        </w:rPr>
        <w:t>2019</w:t>
      </w:r>
      <w:r w:rsidR="0094029A" w:rsidRPr="0094029A">
        <w:rPr>
          <w:rFonts w:cstheme="minorHAnsi"/>
          <w:color w:val="FF0000"/>
          <w:sz w:val="24"/>
          <w:szCs w:val="24"/>
          <w:shd w:val="clear" w:color="auto" w:fill="FFFFFF"/>
        </w:rPr>
        <w:t>)</w:t>
      </w:r>
      <w:r w:rsidRPr="00EA2AA2">
        <w:rPr>
          <w:rFonts w:cstheme="minorHAnsi"/>
          <w:color w:val="222222"/>
          <w:sz w:val="24"/>
          <w:szCs w:val="24"/>
          <w:shd w:val="clear" w:color="auto" w:fill="FFFFFF"/>
        </w:rPr>
        <w:t xml:space="preserve">. Do disabled people need a stronger social model: a social model of human </w:t>
      </w:r>
      <w:proofErr w:type="gramStart"/>
      <w:r w:rsidRPr="00EA2AA2">
        <w:rPr>
          <w:rFonts w:cstheme="minorHAnsi"/>
          <w:color w:val="222222"/>
          <w:sz w:val="24"/>
          <w:szCs w:val="24"/>
          <w:shd w:val="clear" w:color="auto" w:fill="FFFFFF"/>
        </w:rPr>
        <w:t>rights?.</w:t>
      </w:r>
      <w:proofErr w:type="gramEnd"/>
      <w:r w:rsidRPr="00EA2AA2">
        <w:rPr>
          <w:rFonts w:cstheme="minorHAnsi"/>
          <w:color w:val="222222"/>
          <w:sz w:val="24"/>
          <w:szCs w:val="24"/>
          <w:shd w:val="clear" w:color="auto" w:fill="FFFFFF"/>
        </w:rPr>
        <w:t> </w:t>
      </w:r>
      <w:r w:rsidRPr="00EA2AA2">
        <w:rPr>
          <w:rFonts w:cstheme="minorHAnsi"/>
          <w:i/>
          <w:iCs/>
          <w:color w:val="222222"/>
          <w:sz w:val="24"/>
          <w:szCs w:val="24"/>
          <w:shd w:val="clear" w:color="auto" w:fill="FFFFFF"/>
        </w:rPr>
        <w:t>Disability &amp; Society</w:t>
      </w:r>
      <w:r w:rsidRPr="00EA2AA2">
        <w:rPr>
          <w:rFonts w:cstheme="minorHAnsi"/>
          <w:color w:val="222222"/>
          <w:sz w:val="24"/>
          <w:szCs w:val="24"/>
          <w:shd w:val="clear" w:color="auto" w:fill="FFFFFF"/>
        </w:rPr>
        <w:t>, </w:t>
      </w:r>
      <w:r w:rsidRPr="00EA2AA2">
        <w:rPr>
          <w:rFonts w:cstheme="minorHAnsi"/>
          <w:i/>
          <w:iCs/>
          <w:color w:val="222222"/>
          <w:sz w:val="24"/>
          <w:szCs w:val="24"/>
          <w:shd w:val="clear" w:color="auto" w:fill="FFFFFF"/>
        </w:rPr>
        <w:t>34</w:t>
      </w:r>
      <w:r w:rsidRPr="00EA2AA2">
        <w:rPr>
          <w:rFonts w:cstheme="minorHAnsi"/>
          <w:color w:val="222222"/>
          <w:sz w:val="24"/>
          <w:szCs w:val="24"/>
          <w:shd w:val="clear" w:color="auto" w:fill="FFFFFF"/>
        </w:rPr>
        <w:t>(7-8), pp.1034-1039.</w:t>
      </w:r>
    </w:p>
    <w:p w14:paraId="7118FFF6" w14:textId="176365BF" w:rsidR="00EA2AA2" w:rsidRPr="00EA2AA2" w:rsidRDefault="00EA2AA2" w:rsidP="00EA2AA2">
      <w:pPr>
        <w:pStyle w:val="Bibliography"/>
        <w:ind w:left="720" w:hanging="720"/>
        <w:rPr>
          <w:rFonts w:cstheme="minorHAnsi"/>
          <w:color w:val="222222"/>
          <w:sz w:val="24"/>
          <w:szCs w:val="24"/>
          <w:shd w:val="clear" w:color="auto" w:fill="FFFFFF"/>
        </w:rPr>
      </w:pPr>
      <w:r w:rsidRPr="00EA2AA2">
        <w:rPr>
          <w:rFonts w:cstheme="minorHAnsi"/>
          <w:color w:val="222222"/>
          <w:sz w:val="24"/>
          <w:szCs w:val="24"/>
          <w:shd w:val="clear" w:color="auto" w:fill="FFFFFF"/>
        </w:rPr>
        <w:t>Booth, T. and Ainscow, M</w:t>
      </w:r>
      <w:r w:rsidRPr="00177272">
        <w:rPr>
          <w:rFonts w:cstheme="minorHAnsi"/>
          <w:sz w:val="24"/>
          <w:szCs w:val="24"/>
          <w:shd w:val="clear" w:color="auto" w:fill="FFFFFF"/>
        </w:rPr>
        <w:t xml:space="preserve">., </w:t>
      </w:r>
      <w:r w:rsidR="0094029A" w:rsidRPr="00177272">
        <w:rPr>
          <w:rFonts w:cstheme="minorHAnsi"/>
          <w:sz w:val="24"/>
          <w:szCs w:val="24"/>
          <w:shd w:val="clear" w:color="auto" w:fill="FFFFFF"/>
        </w:rPr>
        <w:t>(</w:t>
      </w:r>
      <w:r w:rsidRPr="00177272">
        <w:rPr>
          <w:rFonts w:cstheme="minorHAnsi"/>
          <w:sz w:val="24"/>
          <w:szCs w:val="24"/>
          <w:shd w:val="clear" w:color="auto" w:fill="FFFFFF"/>
        </w:rPr>
        <w:t>2002</w:t>
      </w:r>
      <w:r w:rsidR="0094029A" w:rsidRPr="00177272">
        <w:rPr>
          <w:rFonts w:cstheme="minorHAnsi"/>
          <w:sz w:val="24"/>
          <w:szCs w:val="24"/>
          <w:shd w:val="clear" w:color="auto" w:fill="FFFFFF"/>
        </w:rPr>
        <w:t>)</w:t>
      </w:r>
      <w:r w:rsidRPr="00177272">
        <w:rPr>
          <w:rFonts w:cstheme="minorHAnsi"/>
          <w:sz w:val="24"/>
          <w:szCs w:val="24"/>
          <w:shd w:val="clear" w:color="auto" w:fill="FFFFFF"/>
        </w:rPr>
        <w:t>. </w:t>
      </w:r>
      <w:r w:rsidRPr="00EA2AA2">
        <w:rPr>
          <w:rFonts w:cstheme="minorHAnsi"/>
          <w:i/>
          <w:iCs/>
          <w:color w:val="222222"/>
          <w:sz w:val="24"/>
          <w:szCs w:val="24"/>
          <w:shd w:val="clear" w:color="auto" w:fill="FFFFFF"/>
        </w:rPr>
        <w:t>Index for inclusion: Developing learning and participation in schools</w:t>
      </w:r>
      <w:r w:rsidRPr="00EA2AA2">
        <w:rPr>
          <w:rFonts w:cstheme="minorHAnsi"/>
          <w:color w:val="222222"/>
          <w:sz w:val="24"/>
          <w:szCs w:val="24"/>
          <w:shd w:val="clear" w:color="auto" w:fill="FFFFFF"/>
        </w:rPr>
        <w:t>. Centre for Studies on Inclusive Education</w:t>
      </w:r>
      <w:r w:rsidR="0094029A">
        <w:rPr>
          <w:rFonts w:cstheme="minorHAnsi"/>
          <w:color w:val="222222"/>
          <w:sz w:val="24"/>
          <w:szCs w:val="24"/>
          <w:shd w:val="clear" w:color="auto" w:fill="FFFFFF"/>
        </w:rPr>
        <w:t>.</w:t>
      </w:r>
      <w:r w:rsidRPr="00EA2AA2">
        <w:rPr>
          <w:rFonts w:cstheme="minorHAnsi"/>
          <w:color w:val="222222"/>
          <w:sz w:val="24"/>
          <w:szCs w:val="24"/>
          <w:shd w:val="clear" w:color="auto" w:fill="FFFFFF"/>
        </w:rPr>
        <w:t xml:space="preserve"> CSIE</w:t>
      </w:r>
      <w:r w:rsidR="0094029A">
        <w:rPr>
          <w:rFonts w:cstheme="minorHAnsi"/>
          <w:color w:val="222222"/>
          <w:sz w:val="24"/>
          <w:szCs w:val="24"/>
          <w:shd w:val="clear" w:color="auto" w:fill="FFFFFF"/>
        </w:rPr>
        <w:t xml:space="preserve">. </w:t>
      </w:r>
      <w:r w:rsidRPr="00EA2AA2">
        <w:rPr>
          <w:rFonts w:cstheme="minorHAnsi"/>
          <w:color w:val="222222"/>
          <w:sz w:val="24"/>
          <w:szCs w:val="24"/>
          <w:shd w:val="clear" w:color="auto" w:fill="FFFFFF"/>
        </w:rPr>
        <w:t>England</w:t>
      </w:r>
    </w:p>
    <w:p w14:paraId="67207853" w14:textId="369E93F2" w:rsidR="00EA2AA2" w:rsidRPr="00EA2AA2" w:rsidRDefault="00EA2AA2" w:rsidP="00EA2AA2">
      <w:pPr>
        <w:pStyle w:val="Bibliography"/>
        <w:ind w:left="720" w:hanging="720"/>
        <w:rPr>
          <w:rFonts w:cstheme="minorHAnsi"/>
          <w:color w:val="222222"/>
          <w:sz w:val="24"/>
          <w:szCs w:val="24"/>
          <w:shd w:val="clear" w:color="auto" w:fill="FFFFFF"/>
        </w:rPr>
      </w:pPr>
      <w:r w:rsidRPr="00EA2AA2">
        <w:rPr>
          <w:rFonts w:cstheme="minorHAnsi"/>
          <w:color w:val="222222"/>
          <w:sz w:val="24"/>
          <w:szCs w:val="24"/>
          <w:shd w:val="clear" w:color="auto" w:fill="FFFFFF"/>
        </w:rPr>
        <w:t>Conn, C. and Hutt, M</w:t>
      </w:r>
      <w:r w:rsidRPr="00177272">
        <w:rPr>
          <w:rFonts w:cstheme="minorHAnsi"/>
          <w:sz w:val="24"/>
          <w:szCs w:val="24"/>
          <w:shd w:val="clear" w:color="auto" w:fill="FFFFFF"/>
        </w:rPr>
        <w:t xml:space="preserve">., </w:t>
      </w:r>
      <w:r w:rsidR="0094029A" w:rsidRPr="00177272">
        <w:rPr>
          <w:rFonts w:cstheme="minorHAnsi"/>
          <w:sz w:val="24"/>
          <w:szCs w:val="24"/>
          <w:shd w:val="clear" w:color="auto" w:fill="FFFFFF"/>
        </w:rPr>
        <w:t>(</w:t>
      </w:r>
      <w:r w:rsidRPr="00177272">
        <w:rPr>
          <w:rFonts w:cstheme="minorHAnsi"/>
          <w:sz w:val="24"/>
          <w:szCs w:val="24"/>
          <w:shd w:val="clear" w:color="auto" w:fill="FFFFFF"/>
        </w:rPr>
        <w:t>2020</w:t>
      </w:r>
      <w:r w:rsidR="0094029A" w:rsidRPr="00177272">
        <w:rPr>
          <w:rFonts w:cstheme="minorHAnsi"/>
          <w:sz w:val="24"/>
          <w:szCs w:val="24"/>
          <w:shd w:val="clear" w:color="auto" w:fill="FFFFFF"/>
        </w:rPr>
        <w:t>)</w:t>
      </w:r>
      <w:r w:rsidRPr="00177272">
        <w:rPr>
          <w:rFonts w:cstheme="minorHAnsi"/>
          <w:sz w:val="24"/>
          <w:szCs w:val="24"/>
          <w:shd w:val="clear" w:color="auto" w:fill="FFFFFF"/>
        </w:rPr>
        <w:t xml:space="preserve">. </w:t>
      </w:r>
      <w:r w:rsidRPr="00EA2AA2">
        <w:rPr>
          <w:rFonts w:cstheme="minorHAnsi"/>
          <w:color w:val="222222"/>
          <w:sz w:val="24"/>
          <w:szCs w:val="24"/>
          <w:shd w:val="clear" w:color="auto" w:fill="FFFFFF"/>
        </w:rPr>
        <w:t>Successful futures for all? Additional learning needs in Wales in the light of curriculum reform. </w:t>
      </w:r>
      <w:r w:rsidRPr="00EA2AA2">
        <w:rPr>
          <w:rFonts w:cstheme="minorHAnsi"/>
          <w:i/>
          <w:iCs/>
          <w:color w:val="222222"/>
          <w:sz w:val="24"/>
          <w:szCs w:val="24"/>
          <w:shd w:val="clear" w:color="auto" w:fill="FFFFFF"/>
        </w:rPr>
        <w:t>British Journal of Special Education</w:t>
      </w:r>
      <w:r w:rsidRPr="00EA2AA2">
        <w:rPr>
          <w:rFonts w:cstheme="minorHAnsi"/>
          <w:color w:val="222222"/>
          <w:sz w:val="24"/>
          <w:szCs w:val="24"/>
          <w:shd w:val="clear" w:color="auto" w:fill="FFFFFF"/>
        </w:rPr>
        <w:t>, </w:t>
      </w:r>
      <w:r w:rsidRPr="00EA2AA2">
        <w:rPr>
          <w:rFonts w:cstheme="minorHAnsi"/>
          <w:i/>
          <w:iCs/>
          <w:color w:val="222222"/>
          <w:sz w:val="24"/>
          <w:szCs w:val="24"/>
          <w:shd w:val="clear" w:color="auto" w:fill="FFFFFF"/>
        </w:rPr>
        <w:t>47</w:t>
      </w:r>
      <w:r w:rsidRPr="00EA2AA2">
        <w:rPr>
          <w:rFonts w:cstheme="minorHAnsi"/>
          <w:color w:val="222222"/>
          <w:sz w:val="24"/>
          <w:szCs w:val="24"/>
          <w:shd w:val="clear" w:color="auto" w:fill="FFFFFF"/>
        </w:rPr>
        <w:t>(2), pp.152-169.</w:t>
      </w:r>
    </w:p>
    <w:p w14:paraId="63B50103" w14:textId="77777777" w:rsidR="00EA2AA2" w:rsidRPr="00EA2AA2" w:rsidRDefault="00EA2AA2" w:rsidP="00EA2AA2">
      <w:pPr>
        <w:pStyle w:val="Bibliography"/>
        <w:ind w:left="720" w:hanging="720"/>
        <w:rPr>
          <w:rFonts w:cstheme="minorHAnsi"/>
          <w:color w:val="222222"/>
          <w:sz w:val="24"/>
          <w:szCs w:val="24"/>
          <w:shd w:val="clear" w:color="auto" w:fill="FFFFFF"/>
        </w:rPr>
      </w:pPr>
      <w:r w:rsidRPr="00EA2AA2">
        <w:rPr>
          <w:rFonts w:cstheme="minorHAnsi"/>
          <w:color w:val="222222"/>
          <w:sz w:val="24"/>
          <w:szCs w:val="24"/>
          <w:shd w:val="clear" w:color="auto" w:fill="FFFFFF"/>
        </w:rPr>
        <w:t>Levitt, J.M., 2017. Exploring how the social model of disability can be re-invigorated: in response to Mike Oliver. </w:t>
      </w:r>
      <w:r w:rsidRPr="00EA2AA2">
        <w:rPr>
          <w:rFonts w:cstheme="minorHAnsi"/>
          <w:i/>
          <w:iCs/>
          <w:color w:val="222222"/>
          <w:sz w:val="24"/>
          <w:szCs w:val="24"/>
          <w:shd w:val="clear" w:color="auto" w:fill="FFFFFF"/>
        </w:rPr>
        <w:t>Disability &amp; Society</w:t>
      </w:r>
      <w:r w:rsidRPr="00EA2AA2">
        <w:rPr>
          <w:rFonts w:cstheme="minorHAnsi"/>
          <w:color w:val="222222"/>
          <w:sz w:val="24"/>
          <w:szCs w:val="24"/>
          <w:shd w:val="clear" w:color="auto" w:fill="FFFFFF"/>
        </w:rPr>
        <w:t>, </w:t>
      </w:r>
      <w:r w:rsidRPr="00EA2AA2">
        <w:rPr>
          <w:rFonts w:cstheme="minorHAnsi"/>
          <w:i/>
          <w:iCs/>
          <w:color w:val="222222"/>
          <w:sz w:val="24"/>
          <w:szCs w:val="24"/>
          <w:shd w:val="clear" w:color="auto" w:fill="FFFFFF"/>
        </w:rPr>
        <w:t>32</w:t>
      </w:r>
      <w:r w:rsidRPr="00EA2AA2">
        <w:rPr>
          <w:rFonts w:cstheme="minorHAnsi"/>
          <w:color w:val="222222"/>
          <w:sz w:val="24"/>
          <w:szCs w:val="24"/>
          <w:shd w:val="clear" w:color="auto" w:fill="FFFFFF"/>
        </w:rPr>
        <w:t>(4), pp.589-594.</w:t>
      </w:r>
    </w:p>
    <w:p w14:paraId="31F4A968" w14:textId="0C9D654F" w:rsidR="00EA2AA2" w:rsidRPr="00EA2AA2" w:rsidRDefault="00EA2AA2" w:rsidP="00EA2AA2">
      <w:pPr>
        <w:pStyle w:val="Bibliography"/>
        <w:ind w:left="720" w:hanging="720"/>
        <w:rPr>
          <w:rFonts w:cstheme="minorHAnsi"/>
          <w:color w:val="222222"/>
          <w:sz w:val="24"/>
          <w:szCs w:val="24"/>
          <w:shd w:val="clear" w:color="auto" w:fill="FFFFFF"/>
        </w:rPr>
      </w:pPr>
      <w:proofErr w:type="spellStart"/>
      <w:r w:rsidRPr="00EA2AA2">
        <w:rPr>
          <w:rFonts w:cstheme="minorHAnsi"/>
          <w:color w:val="222222"/>
          <w:sz w:val="24"/>
          <w:szCs w:val="24"/>
          <w:shd w:val="clear" w:color="auto" w:fill="FFFFFF"/>
        </w:rPr>
        <w:t>Lithari</w:t>
      </w:r>
      <w:proofErr w:type="spellEnd"/>
      <w:r w:rsidRPr="00EA2AA2">
        <w:rPr>
          <w:rFonts w:cstheme="minorHAnsi"/>
          <w:color w:val="222222"/>
          <w:sz w:val="24"/>
          <w:szCs w:val="24"/>
          <w:shd w:val="clear" w:color="auto" w:fill="FFFFFF"/>
        </w:rPr>
        <w:t xml:space="preserve">, E. and Rogers, C., </w:t>
      </w:r>
      <w:r w:rsidR="00177272">
        <w:rPr>
          <w:rFonts w:cstheme="minorHAnsi"/>
          <w:color w:val="222222"/>
          <w:sz w:val="24"/>
          <w:szCs w:val="24"/>
          <w:shd w:val="clear" w:color="auto" w:fill="FFFFFF"/>
        </w:rPr>
        <w:t>(</w:t>
      </w:r>
      <w:r w:rsidRPr="00EA2AA2">
        <w:rPr>
          <w:rFonts w:cstheme="minorHAnsi"/>
          <w:color w:val="222222"/>
          <w:sz w:val="24"/>
          <w:szCs w:val="24"/>
          <w:shd w:val="clear" w:color="auto" w:fill="FFFFFF"/>
        </w:rPr>
        <w:t>2017</w:t>
      </w:r>
      <w:r w:rsidR="00177272">
        <w:rPr>
          <w:rFonts w:cstheme="minorHAnsi"/>
          <w:color w:val="222222"/>
          <w:sz w:val="24"/>
          <w:szCs w:val="24"/>
          <w:shd w:val="clear" w:color="auto" w:fill="FFFFFF"/>
        </w:rPr>
        <w:t>)</w:t>
      </w:r>
      <w:r w:rsidRPr="00EA2AA2">
        <w:rPr>
          <w:rFonts w:cstheme="minorHAnsi"/>
          <w:color w:val="222222"/>
          <w:sz w:val="24"/>
          <w:szCs w:val="24"/>
          <w:shd w:val="clear" w:color="auto" w:fill="FFFFFF"/>
        </w:rPr>
        <w:t>. Care-less spaces and identity construction: transition to secondary school for disabled children. </w:t>
      </w:r>
      <w:r w:rsidRPr="00EA2AA2">
        <w:rPr>
          <w:rFonts w:cstheme="minorHAnsi"/>
          <w:i/>
          <w:iCs/>
          <w:color w:val="222222"/>
          <w:sz w:val="24"/>
          <w:szCs w:val="24"/>
          <w:shd w:val="clear" w:color="auto" w:fill="FFFFFF"/>
        </w:rPr>
        <w:t>Children's Geographies</w:t>
      </w:r>
      <w:r w:rsidRPr="00EA2AA2">
        <w:rPr>
          <w:rFonts w:cstheme="minorHAnsi"/>
          <w:color w:val="222222"/>
          <w:sz w:val="24"/>
          <w:szCs w:val="24"/>
          <w:shd w:val="clear" w:color="auto" w:fill="FFFFFF"/>
        </w:rPr>
        <w:t>, </w:t>
      </w:r>
      <w:r w:rsidRPr="00EA2AA2">
        <w:rPr>
          <w:rFonts w:cstheme="minorHAnsi"/>
          <w:i/>
          <w:iCs/>
          <w:color w:val="222222"/>
          <w:sz w:val="24"/>
          <w:szCs w:val="24"/>
          <w:shd w:val="clear" w:color="auto" w:fill="FFFFFF"/>
        </w:rPr>
        <w:t>15</w:t>
      </w:r>
      <w:r w:rsidRPr="00EA2AA2">
        <w:rPr>
          <w:rFonts w:cstheme="minorHAnsi"/>
          <w:color w:val="222222"/>
          <w:sz w:val="24"/>
          <w:szCs w:val="24"/>
          <w:shd w:val="clear" w:color="auto" w:fill="FFFFFF"/>
        </w:rPr>
        <w:t>(3), pp.259-273.</w:t>
      </w:r>
    </w:p>
    <w:p w14:paraId="1213C20B" w14:textId="77777777" w:rsidR="00EA2AA2" w:rsidRPr="00EA2AA2" w:rsidRDefault="00EA2AA2" w:rsidP="00EA2AA2">
      <w:pPr>
        <w:pStyle w:val="Bibliography"/>
        <w:ind w:left="720" w:hanging="720"/>
        <w:rPr>
          <w:rFonts w:cstheme="minorHAnsi"/>
          <w:color w:val="222222"/>
          <w:sz w:val="24"/>
          <w:szCs w:val="24"/>
          <w:shd w:val="clear" w:color="auto" w:fill="FFFFFF"/>
        </w:rPr>
      </w:pPr>
      <w:r w:rsidRPr="00EA2AA2">
        <w:rPr>
          <w:rFonts w:cstheme="minorHAnsi"/>
          <w:color w:val="222222"/>
          <w:sz w:val="24"/>
          <w:szCs w:val="24"/>
          <w:shd w:val="clear" w:color="auto" w:fill="FFFFFF"/>
        </w:rPr>
        <w:t xml:space="preserve">Nayak, S.V., </w:t>
      </w:r>
      <w:proofErr w:type="spellStart"/>
      <w:r w:rsidRPr="00EA2AA2">
        <w:rPr>
          <w:rFonts w:cstheme="minorHAnsi"/>
          <w:color w:val="222222"/>
          <w:sz w:val="24"/>
          <w:szCs w:val="24"/>
          <w:shd w:val="clear" w:color="auto" w:fill="FFFFFF"/>
        </w:rPr>
        <w:t>Kini</w:t>
      </w:r>
      <w:proofErr w:type="spellEnd"/>
      <w:r w:rsidRPr="00EA2AA2">
        <w:rPr>
          <w:rFonts w:cstheme="minorHAnsi"/>
          <w:color w:val="222222"/>
          <w:sz w:val="24"/>
          <w:szCs w:val="24"/>
          <w:shd w:val="clear" w:color="auto" w:fill="FFFFFF"/>
        </w:rPr>
        <w:t>, R., Shetty, U., Rao, P.K., Kashyap, R.R. and Bhandarkar, G., 2017. Pica-an eating disorder: A report and review. </w:t>
      </w:r>
      <w:r w:rsidRPr="00EA2AA2">
        <w:rPr>
          <w:rFonts w:cstheme="minorHAnsi"/>
          <w:i/>
          <w:iCs/>
          <w:color w:val="222222"/>
          <w:sz w:val="24"/>
          <w:szCs w:val="24"/>
          <w:shd w:val="clear" w:color="auto" w:fill="FFFFFF"/>
        </w:rPr>
        <w:t>Archives of Medicine and Health Sciences</w:t>
      </w:r>
      <w:r w:rsidRPr="00EA2AA2">
        <w:rPr>
          <w:rFonts w:cstheme="minorHAnsi"/>
          <w:color w:val="222222"/>
          <w:sz w:val="24"/>
          <w:szCs w:val="24"/>
          <w:shd w:val="clear" w:color="auto" w:fill="FFFFFF"/>
        </w:rPr>
        <w:t>, </w:t>
      </w:r>
      <w:r w:rsidRPr="00EA2AA2">
        <w:rPr>
          <w:rFonts w:cstheme="minorHAnsi"/>
          <w:i/>
          <w:iCs/>
          <w:color w:val="222222"/>
          <w:sz w:val="24"/>
          <w:szCs w:val="24"/>
          <w:shd w:val="clear" w:color="auto" w:fill="FFFFFF"/>
        </w:rPr>
        <w:t>5</w:t>
      </w:r>
      <w:r w:rsidRPr="00EA2AA2">
        <w:rPr>
          <w:rFonts w:cstheme="minorHAnsi"/>
          <w:color w:val="222222"/>
          <w:sz w:val="24"/>
          <w:szCs w:val="24"/>
          <w:shd w:val="clear" w:color="auto" w:fill="FFFFFF"/>
        </w:rPr>
        <w:t>(1), p.82.</w:t>
      </w:r>
    </w:p>
    <w:p w14:paraId="1B07C982" w14:textId="77777777" w:rsidR="00EA2AA2" w:rsidRPr="00EA2AA2" w:rsidRDefault="00EA2AA2" w:rsidP="00EA2AA2">
      <w:pPr>
        <w:pStyle w:val="Bibliography"/>
        <w:ind w:left="720" w:hanging="720"/>
        <w:rPr>
          <w:rFonts w:cstheme="minorHAnsi"/>
          <w:color w:val="222222"/>
          <w:sz w:val="24"/>
          <w:szCs w:val="24"/>
          <w:shd w:val="clear" w:color="auto" w:fill="FFFFFF"/>
        </w:rPr>
      </w:pPr>
      <w:r w:rsidRPr="00EA2AA2">
        <w:rPr>
          <w:rFonts w:cstheme="minorHAnsi"/>
          <w:color w:val="222222"/>
          <w:sz w:val="24"/>
          <w:szCs w:val="24"/>
          <w:shd w:val="clear" w:color="auto" w:fill="FFFFFF"/>
        </w:rPr>
        <w:t xml:space="preserve">Smith, B. and </w:t>
      </w:r>
      <w:proofErr w:type="spellStart"/>
      <w:r w:rsidRPr="00EA2AA2">
        <w:rPr>
          <w:rFonts w:cstheme="minorHAnsi"/>
          <w:color w:val="222222"/>
          <w:sz w:val="24"/>
          <w:szCs w:val="24"/>
          <w:shd w:val="clear" w:color="auto" w:fill="FFFFFF"/>
        </w:rPr>
        <w:t>Bundon</w:t>
      </w:r>
      <w:proofErr w:type="spellEnd"/>
      <w:r w:rsidRPr="00EA2AA2">
        <w:rPr>
          <w:rFonts w:cstheme="minorHAnsi"/>
          <w:color w:val="222222"/>
          <w:sz w:val="24"/>
          <w:szCs w:val="24"/>
          <w:shd w:val="clear" w:color="auto" w:fill="FFFFFF"/>
        </w:rPr>
        <w:t>, A., 2018. Disability models: Explaining and understanding disability sport in different ways. In </w:t>
      </w:r>
      <w:proofErr w:type="gramStart"/>
      <w:r w:rsidRPr="00EA2AA2">
        <w:rPr>
          <w:rFonts w:cstheme="minorHAnsi"/>
          <w:i/>
          <w:iCs/>
          <w:color w:val="222222"/>
          <w:sz w:val="24"/>
          <w:szCs w:val="24"/>
          <w:shd w:val="clear" w:color="auto" w:fill="FFFFFF"/>
        </w:rPr>
        <w:t>The</w:t>
      </w:r>
      <w:proofErr w:type="gramEnd"/>
      <w:r w:rsidRPr="00EA2AA2">
        <w:rPr>
          <w:rFonts w:cstheme="minorHAnsi"/>
          <w:i/>
          <w:iCs/>
          <w:color w:val="222222"/>
          <w:sz w:val="24"/>
          <w:szCs w:val="24"/>
          <w:shd w:val="clear" w:color="auto" w:fill="FFFFFF"/>
        </w:rPr>
        <w:t xml:space="preserve"> Palgrave handbook of Paralympic studies</w:t>
      </w:r>
      <w:r w:rsidRPr="00EA2AA2">
        <w:rPr>
          <w:rFonts w:cstheme="minorHAnsi"/>
          <w:color w:val="222222"/>
          <w:sz w:val="24"/>
          <w:szCs w:val="24"/>
          <w:shd w:val="clear" w:color="auto" w:fill="FFFFFF"/>
        </w:rPr>
        <w:t> (pp. 15-34). Palgrave Macmillan, London.</w:t>
      </w:r>
    </w:p>
    <w:p w14:paraId="14CA4BD5" w14:textId="1AC7FC85" w:rsidR="00EA2AA2" w:rsidRDefault="00EA2AA2" w:rsidP="00EA2AA2">
      <w:pPr>
        <w:pStyle w:val="Bibliography"/>
        <w:ind w:left="720" w:hanging="720"/>
        <w:rPr>
          <w:rFonts w:eastAsia="Arial Unicode MS" w:cstheme="minorHAnsi"/>
          <w:color w:val="000000"/>
          <w:sz w:val="24"/>
          <w:szCs w:val="24"/>
          <w:shd w:val="clear" w:color="auto" w:fill="FFFFFF"/>
        </w:rPr>
      </w:pPr>
      <w:r w:rsidRPr="00EA2AA2">
        <w:rPr>
          <w:rFonts w:eastAsia="Arial Unicode MS" w:cstheme="minorHAnsi"/>
          <w:color w:val="000000"/>
          <w:sz w:val="24"/>
          <w:szCs w:val="24"/>
          <w:shd w:val="clear" w:color="auto" w:fill="FFFFFF"/>
        </w:rPr>
        <w:t>Welsh Government. 2018. </w:t>
      </w:r>
      <w:r w:rsidRPr="00EA2AA2">
        <w:rPr>
          <w:rFonts w:eastAsia="Arial Unicode MS" w:cstheme="minorHAnsi"/>
          <w:i/>
          <w:iCs/>
          <w:color w:val="000000"/>
          <w:sz w:val="24"/>
          <w:szCs w:val="24"/>
          <w:shd w:val="clear" w:color="auto" w:fill="FFFFFF"/>
        </w:rPr>
        <w:t>Additional Learning Needs and Education Tribunal (Wales) Act 2018</w:t>
      </w:r>
      <w:r w:rsidRPr="00EA2AA2">
        <w:rPr>
          <w:rFonts w:eastAsia="Arial Unicode MS" w:cstheme="minorHAnsi"/>
          <w:color w:val="000000"/>
          <w:sz w:val="24"/>
          <w:szCs w:val="24"/>
          <w:shd w:val="clear" w:color="auto" w:fill="FFFFFF"/>
        </w:rPr>
        <w:t>. Welsh Assembly Government (Wales).</w:t>
      </w:r>
    </w:p>
    <w:sdt>
      <w:sdtPr>
        <w:id w:val="-573587230"/>
        <w:bibliography/>
      </w:sdtPr>
      <w:sdtContent>
        <w:p w14:paraId="026083DB" w14:textId="77777777" w:rsidR="00620C7E" w:rsidRPr="00620C7E" w:rsidRDefault="00620C7E" w:rsidP="00620C7E">
          <w:pPr>
            <w:pStyle w:val="Bibliography"/>
            <w:ind w:left="720" w:hanging="720"/>
            <w:rPr>
              <w:noProof/>
              <w:sz w:val="24"/>
              <w:szCs w:val="24"/>
            </w:rPr>
          </w:pPr>
          <w:r w:rsidRPr="00620C7E">
            <w:rPr>
              <w:sz w:val="24"/>
              <w:szCs w:val="24"/>
            </w:rPr>
            <w:fldChar w:fldCharType="begin"/>
          </w:r>
          <w:r w:rsidRPr="00620C7E">
            <w:rPr>
              <w:sz w:val="24"/>
              <w:szCs w:val="24"/>
            </w:rPr>
            <w:instrText xml:space="preserve"> BIBLIOGRAPHY </w:instrText>
          </w:r>
          <w:r w:rsidRPr="00620C7E">
            <w:rPr>
              <w:sz w:val="24"/>
              <w:szCs w:val="24"/>
            </w:rPr>
            <w:fldChar w:fldCharType="separate"/>
          </w:r>
          <w:r w:rsidRPr="00620C7E">
            <w:rPr>
              <w:noProof/>
              <w:sz w:val="24"/>
              <w:szCs w:val="24"/>
            </w:rPr>
            <w:t xml:space="preserve">Welsh Government. (2020, 8 20). </w:t>
          </w:r>
          <w:r w:rsidRPr="00620C7E">
            <w:rPr>
              <w:i/>
              <w:iCs/>
              <w:noProof/>
              <w:sz w:val="24"/>
              <w:szCs w:val="24"/>
            </w:rPr>
            <w:t>Gov.Wales.</w:t>
          </w:r>
          <w:r w:rsidRPr="00620C7E">
            <w:rPr>
              <w:noProof/>
              <w:sz w:val="24"/>
              <w:szCs w:val="24"/>
            </w:rPr>
            <w:t xml:space="preserve"> Retrieved from https://gov.wales/sites/default/files/publications/2018-03/special-educational-needs-code-of-practice-for-wales.pdf</w:t>
          </w:r>
        </w:p>
        <w:p w14:paraId="4BAF1B82" w14:textId="77777777" w:rsidR="00620C7E" w:rsidRDefault="00620C7E" w:rsidP="00620C7E">
          <w:r w:rsidRPr="00620C7E">
            <w:rPr>
              <w:b/>
              <w:bCs/>
              <w:noProof/>
              <w:sz w:val="24"/>
              <w:szCs w:val="24"/>
            </w:rPr>
            <w:fldChar w:fldCharType="end"/>
          </w:r>
        </w:p>
      </w:sdtContent>
    </w:sdt>
    <w:p w14:paraId="052F4B18" w14:textId="77777777" w:rsidR="00620C7E" w:rsidRPr="00620C7E" w:rsidRDefault="00620C7E" w:rsidP="00620C7E"/>
    <w:p w14:paraId="0E08C888" w14:textId="2FCBE86C" w:rsidR="004A37DE" w:rsidRPr="00EA2AA2" w:rsidRDefault="004A37DE">
      <w:pPr>
        <w:rPr>
          <w:rFonts w:cstheme="minorHAnsi"/>
          <w:b/>
          <w:bCs/>
          <w:sz w:val="24"/>
          <w:szCs w:val="24"/>
          <w:u w:val="single"/>
        </w:rPr>
      </w:pPr>
    </w:p>
    <w:sectPr w:rsidR="004A37DE" w:rsidRPr="00EA2AA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AE1B3" w14:textId="77777777" w:rsidR="004726B4" w:rsidRDefault="004726B4" w:rsidP="004A37DE">
      <w:pPr>
        <w:spacing w:after="0" w:line="240" w:lineRule="auto"/>
      </w:pPr>
      <w:r>
        <w:separator/>
      </w:r>
    </w:p>
  </w:endnote>
  <w:endnote w:type="continuationSeparator" w:id="0">
    <w:p w14:paraId="534AD7E2" w14:textId="77777777" w:rsidR="004726B4" w:rsidRDefault="004726B4" w:rsidP="004A3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993963"/>
      <w:docPartObj>
        <w:docPartGallery w:val="Page Numbers (Bottom of Page)"/>
        <w:docPartUnique/>
      </w:docPartObj>
    </w:sdtPr>
    <w:sdtEndPr>
      <w:rPr>
        <w:noProof/>
      </w:rPr>
    </w:sdtEndPr>
    <w:sdtContent>
      <w:p w14:paraId="10CC0166" w14:textId="28E81935" w:rsidR="006F5321" w:rsidRDefault="006F53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36C4FC" w14:textId="77777777" w:rsidR="006F5321" w:rsidRDefault="006F53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162CF4" w14:textId="77777777" w:rsidR="004726B4" w:rsidRDefault="004726B4" w:rsidP="004A37DE">
      <w:pPr>
        <w:spacing w:after="0" w:line="240" w:lineRule="auto"/>
      </w:pPr>
      <w:r>
        <w:separator/>
      </w:r>
    </w:p>
  </w:footnote>
  <w:footnote w:type="continuationSeparator" w:id="0">
    <w:p w14:paraId="5492AADE" w14:textId="77777777" w:rsidR="004726B4" w:rsidRDefault="004726B4" w:rsidP="004A37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543936557"/>
      <w:docPartObj>
        <w:docPartGallery w:val="Page Numbers (Top of Page)"/>
        <w:docPartUnique/>
      </w:docPartObj>
    </w:sdtPr>
    <w:sdtEndPr>
      <w:rPr>
        <w:noProof/>
      </w:rPr>
    </w:sdtEndPr>
    <w:sdtContent>
      <w:p w14:paraId="1A4AF08C" w14:textId="5BB8A4BD" w:rsidR="004A37DE" w:rsidRPr="004A37DE" w:rsidRDefault="006F5321" w:rsidP="009F5E3D">
        <w:pPr>
          <w:pStyle w:val="Header"/>
          <w:rPr>
            <w:rFonts w:ascii="Times New Roman" w:hAnsi="Times New Roman" w:cs="Times New Roman"/>
            <w:sz w:val="24"/>
            <w:szCs w:val="24"/>
          </w:rPr>
        </w:pPr>
        <w:r>
          <w:rPr>
            <w:rFonts w:ascii="Times New Roman" w:hAnsi="Times New Roman" w:cs="Times New Roman"/>
            <w:sz w:val="24"/>
            <w:szCs w:val="24"/>
          </w:rPr>
          <w:t>Tanya Newton</w:t>
        </w:r>
        <w:r w:rsidR="009F5E3D">
          <w:rPr>
            <w:rFonts w:ascii="Times New Roman" w:hAnsi="Times New Roman" w:cs="Times New Roman"/>
            <w:sz w:val="24"/>
            <w:szCs w:val="24"/>
          </w:rPr>
          <w:t xml:space="preserve"> </w:t>
        </w:r>
        <w:r w:rsidR="009F5E3D">
          <w:rPr>
            <w:rFonts w:ascii="Times New Roman" w:hAnsi="Times New Roman" w:cs="Times New Roman"/>
            <w:sz w:val="24"/>
            <w:szCs w:val="24"/>
          </w:rPr>
          <w:tab/>
          <w:t xml:space="preserve">                                                                                    Student Number:1905293</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D3D03"/>
    <w:multiLevelType w:val="multilevel"/>
    <w:tmpl w:val="DD56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5765BE"/>
    <w:multiLevelType w:val="hybridMultilevel"/>
    <w:tmpl w:val="D554A1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F050855"/>
    <w:multiLevelType w:val="multilevel"/>
    <w:tmpl w:val="8E2A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4C2105"/>
    <w:multiLevelType w:val="multilevel"/>
    <w:tmpl w:val="FC0C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D07C08"/>
    <w:multiLevelType w:val="hybridMultilevel"/>
    <w:tmpl w:val="109C724C"/>
    <w:lvl w:ilvl="0" w:tplc="27369FF6">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A641E4"/>
    <w:multiLevelType w:val="multilevel"/>
    <w:tmpl w:val="0D0E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1A1B31"/>
    <w:multiLevelType w:val="multilevel"/>
    <w:tmpl w:val="B546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F45347"/>
    <w:multiLevelType w:val="multilevel"/>
    <w:tmpl w:val="0922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FA6811"/>
    <w:multiLevelType w:val="multilevel"/>
    <w:tmpl w:val="36246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08671F"/>
    <w:multiLevelType w:val="multilevel"/>
    <w:tmpl w:val="DD5E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D06B76"/>
    <w:multiLevelType w:val="multilevel"/>
    <w:tmpl w:val="A4DA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7"/>
  </w:num>
  <w:num w:numId="4">
    <w:abstractNumId w:val="8"/>
  </w:num>
  <w:num w:numId="5">
    <w:abstractNumId w:val="3"/>
  </w:num>
  <w:num w:numId="6">
    <w:abstractNumId w:val="9"/>
  </w:num>
  <w:num w:numId="7">
    <w:abstractNumId w:val="6"/>
  </w:num>
  <w:num w:numId="8">
    <w:abstractNumId w:val="0"/>
  </w:num>
  <w:num w:numId="9">
    <w:abstractNumId w:val="10"/>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E99"/>
    <w:rsid w:val="0001758B"/>
    <w:rsid w:val="00020F84"/>
    <w:rsid w:val="00040860"/>
    <w:rsid w:val="00044B49"/>
    <w:rsid w:val="00080217"/>
    <w:rsid w:val="000936BC"/>
    <w:rsid w:val="000A552C"/>
    <w:rsid w:val="000D144F"/>
    <w:rsid w:val="000D50F5"/>
    <w:rsid w:val="00100691"/>
    <w:rsid w:val="00125CDF"/>
    <w:rsid w:val="0015136E"/>
    <w:rsid w:val="00152929"/>
    <w:rsid w:val="00173288"/>
    <w:rsid w:val="00177272"/>
    <w:rsid w:val="00180DB2"/>
    <w:rsid w:val="001B0DD1"/>
    <w:rsid w:val="001F5DD0"/>
    <w:rsid w:val="0020506C"/>
    <w:rsid w:val="002273CE"/>
    <w:rsid w:val="00240907"/>
    <w:rsid w:val="00240E02"/>
    <w:rsid w:val="00266EE3"/>
    <w:rsid w:val="00287AEE"/>
    <w:rsid w:val="002A0E3B"/>
    <w:rsid w:val="002C7F8D"/>
    <w:rsid w:val="002E011C"/>
    <w:rsid w:val="002F604D"/>
    <w:rsid w:val="00302D45"/>
    <w:rsid w:val="00310C32"/>
    <w:rsid w:val="00320CBE"/>
    <w:rsid w:val="0032520C"/>
    <w:rsid w:val="00330D72"/>
    <w:rsid w:val="003C2E16"/>
    <w:rsid w:val="003E2B17"/>
    <w:rsid w:val="00412E1C"/>
    <w:rsid w:val="004726B4"/>
    <w:rsid w:val="00490E42"/>
    <w:rsid w:val="0049537C"/>
    <w:rsid w:val="004A0B57"/>
    <w:rsid w:val="004A37DE"/>
    <w:rsid w:val="004A4BCC"/>
    <w:rsid w:val="004B2881"/>
    <w:rsid w:val="004D64F0"/>
    <w:rsid w:val="004E6E83"/>
    <w:rsid w:val="005162A8"/>
    <w:rsid w:val="00521B17"/>
    <w:rsid w:val="005455C6"/>
    <w:rsid w:val="00560182"/>
    <w:rsid w:val="00566684"/>
    <w:rsid w:val="00570828"/>
    <w:rsid w:val="00572E85"/>
    <w:rsid w:val="005925CA"/>
    <w:rsid w:val="005931EF"/>
    <w:rsid w:val="005B2244"/>
    <w:rsid w:val="005B584F"/>
    <w:rsid w:val="005C3EB2"/>
    <w:rsid w:val="006155FA"/>
    <w:rsid w:val="00620C7E"/>
    <w:rsid w:val="006316AE"/>
    <w:rsid w:val="00644DA0"/>
    <w:rsid w:val="006456D5"/>
    <w:rsid w:val="006776C0"/>
    <w:rsid w:val="00681E38"/>
    <w:rsid w:val="0069319B"/>
    <w:rsid w:val="0069520B"/>
    <w:rsid w:val="006D584E"/>
    <w:rsid w:val="006F05C7"/>
    <w:rsid w:val="006F3E9E"/>
    <w:rsid w:val="006F5321"/>
    <w:rsid w:val="00701004"/>
    <w:rsid w:val="00702535"/>
    <w:rsid w:val="007152F7"/>
    <w:rsid w:val="00730DB9"/>
    <w:rsid w:val="00730F48"/>
    <w:rsid w:val="00740FA5"/>
    <w:rsid w:val="00764F1D"/>
    <w:rsid w:val="007C2994"/>
    <w:rsid w:val="007C70EF"/>
    <w:rsid w:val="007C790F"/>
    <w:rsid w:val="008061E0"/>
    <w:rsid w:val="0082712F"/>
    <w:rsid w:val="00833956"/>
    <w:rsid w:val="00856B6E"/>
    <w:rsid w:val="008738D1"/>
    <w:rsid w:val="00873A07"/>
    <w:rsid w:val="00887DC9"/>
    <w:rsid w:val="008A3871"/>
    <w:rsid w:val="008A53AF"/>
    <w:rsid w:val="008D5006"/>
    <w:rsid w:val="00907F51"/>
    <w:rsid w:val="00912EB6"/>
    <w:rsid w:val="00916ACE"/>
    <w:rsid w:val="0092338E"/>
    <w:rsid w:val="0094029A"/>
    <w:rsid w:val="00985288"/>
    <w:rsid w:val="00994DC7"/>
    <w:rsid w:val="00996A31"/>
    <w:rsid w:val="009A0727"/>
    <w:rsid w:val="009A248A"/>
    <w:rsid w:val="009B7E62"/>
    <w:rsid w:val="009D188B"/>
    <w:rsid w:val="009E35FA"/>
    <w:rsid w:val="009E37DE"/>
    <w:rsid w:val="009F5E3D"/>
    <w:rsid w:val="00A319D2"/>
    <w:rsid w:val="00A45C21"/>
    <w:rsid w:val="00A9716B"/>
    <w:rsid w:val="00AA50FB"/>
    <w:rsid w:val="00AB43B3"/>
    <w:rsid w:val="00AC15EB"/>
    <w:rsid w:val="00AC71F8"/>
    <w:rsid w:val="00AD777E"/>
    <w:rsid w:val="00AF25BE"/>
    <w:rsid w:val="00B21E8B"/>
    <w:rsid w:val="00B767FE"/>
    <w:rsid w:val="00B83A79"/>
    <w:rsid w:val="00B870D5"/>
    <w:rsid w:val="00BA79FE"/>
    <w:rsid w:val="00BB6BB7"/>
    <w:rsid w:val="00BD375D"/>
    <w:rsid w:val="00BE246A"/>
    <w:rsid w:val="00C023B9"/>
    <w:rsid w:val="00C13E99"/>
    <w:rsid w:val="00C45745"/>
    <w:rsid w:val="00C80CC7"/>
    <w:rsid w:val="00C82664"/>
    <w:rsid w:val="00C905D6"/>
    <w:rsid w:val="00CB5F95"/>
    <w:rsid w:val="00D0302B"/>
    <w:rsid w:val="00D03F76"/>
    <w:rsid w:val="00D21DDB"/>
    <w:rsid w:val="00D343AE"/>
    <w:rsid w:val="00D4170E"/>
    <w:rsid w:val="00D63CDE"/>
    <w:rsid w:val="00DA0375"/>
    <w:rsid w:val="00DA05A2"/>
    <w:rsid w:val="00DB4C20"/>
    <w:rsid w:val="00DD1E04"/>
    <w:rsid w:val="00DF5BC7"/>
    <w:rsid w:val="00E57998"/>
    <w:rsid w:val="00E73CBC"/>
    <w:rsid w:val="00E90A8E"/>
    <w:rsid w:val="00EA2AA2"/>
    <w:rsid w:val="00EA6E01"/>
    <w:rsid w:val="00EB2B9B"/>
    <w:rsid w:val="00EC1319"/>
    <w:rsid w:val="00EC33DE"/>
    <w:rsid w:val="00EC67E2"/>
    <w:rsid w:val="00EF4F68"/>
    <w:rsid w:val="00F02FB3"/>
    <w:rsid w:val="00F461C1"/>
    <w:rsid w:val="00F66FC1"/>
    <w:rsid w:val="00F82051"/>
    <w:rsid w:val="00F95D85"/>
    <w:rsid w:val="00FF6116"/>
    <w:rsid w:val="00FF6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C35A3"/>
  <w15:docId w15:val="{DE451898-5F14-4694-9686-2C904D2C7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0F5"/>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A5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552C"/>
  </w:style>
  <w:style w:type="character" w:customStyle="1" w:styleId="eop">
    <w:name w:val="eop"/>
    <w:basedOn w:val="DefaultParagraphFont"/>
    <w:rsid w:val="000A552C"/>
  </w:style>
  <w:style w:type="paragraph" w:styleId="NormalWeb">
    <w:name w:val="Normal (Web)"/>
    <w:basedOn w:val="Normal"/>
    <w:uiPriority w:val="99"/>
    <w:semiHidden/>
    <w:unhideWhenUsed/>
    <w:rsid w:val="00EB2B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B2B9B"/>
    <w:rPr>
      <w:b/>
      <w:bCs/>
    </w:rPr>
  </w:style>
  <w:style w:type="paragraph" w:styleId="BalloonText">
    <w:name w:val="Balloon Text"/>
    <w:basedOn w:val="Normal"/>
    <w:link w:val="BalloonTextChar"/>
    <w:uiPriority w:val="99"/>
    <w:semiHidden/>
    <w:unhideWhenUsed/>
    <w:rsid w:val="007152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2F7"/>
    <w:rPr>
      <w:rFonts w:ascii="Tahoma" w:hAnsi="Tahoma" w:cs="Tahoma"/>
      <w:sz w:val="16"/>
      <w:szCs w:val="16"/>
    </w:rPr>
  </w:style>
  <w:style w:type="paragraph" w:styleId="ListParagraph">
    <w:name w:val="List Paragraph"/>
    <w:basedOn w:val="Normal"/>
    <w:uiPriority w:val="34"/>
    <w:qFormat/>
    <w:rsid w:val="00C82664"/>
    <w:pPr>
      <w:spacing w:after="200" w:line="276" w:lineRule="auto"/>
      <w:ind w:left="720"/>
      <w:contextualSpacing/>
    </w:pPr>
    <w:rPr>
      <w:lang w:val="en-US"/>
    </w:rPr>
  </w:style>
  <w:style w:type="paragraph" w:styleId="Header">
    <w:name w:val="header"/>
    <w:basedOn w:val="Normal"/>
    <w:link w:val="HeaderChar"/>
    <w:uiPriority w:val="99"/>
    <w:unhideWhenUsed/>
    <w:rsid w:val="004A37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7DE"/>
  </w:style>
  <w:style w:type="paragraph" w:styleId="Footer">
    <w:name w:val="footer"/>
    <w:basedOn w:val="Normal"/>
    <w:link w:val="FooterChar"/>
    <w:uiPriority w:val="99"/>
    <w:unhideWhenUsed/>
    <w:rsid w:val="004A37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7DE"/>
  </w:style>
  <w:style w:type="character" w:customStyle="1" w:styleId="Heading1Char">
    <w:name w:val="Heading 1 Char"/>
    <w:basedOn w:val="DefaultParagraphFont"/>
    <w:link w:val="Heading1"/>
    <w:uiPriority w:val="9"/>
    <w:rsid w:val="000D50F5"/>
    <w:rPr>
      <w:rFonts w:asciiTheme="majorHAnsi" w:eastAsiaTheme="majorEastAsia" w:hAnsiTheme="majorHAnsi" w:cstheme="majorBidi"/>
      <w:b/>
      <w:bCs/>
      <w:color w:val="2F5496" w:themeColor="accent1" w:themeShade="BF"/>
      <w:sz w:val="28"/>
      <w:szCs w:val="28"/>
      <w:lang w:val="en-US" w:eastAsia="ja-JP"/>
    </w:rPr>
  </w:style>
  <w:style w:type="paragraph" w:styleId="Bibliography">
    <w:name w:val="Bibliography"/>
    <w:basedOn w:val="Normal"/>
    <w:next w:val="Normal"/>
    <w:uiPriority w:val="37"/>
    <w:unhideWhenUsed/>
    <w:rsid w:val="000D5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85255">
      <w:bodyDiv w:val="1"/>
      <w:marLeft w:val="0"/>
      <w:marRight w:val="0"/>
      <w:marTop w:val="0"/>
      <w:marBottom w:val="0"/>
      <w:divBdr>
        <w:top w:val="none" w:sz="0" w:space="0" w:color="auto"/>
        <w:left w:val="none" w:sz="0" w:space="0" w:color="auto"/>
        <w:bottom w:val="none" w:sz="0" w:space="0" w:color="auto"/>
        <w:right w:val="none" w:sz="0" w:space="0" w:color="auto"/>
      </w:divBdr>
    </w:div>
    <w:div w:id="149947583">
      <w:bodyDiv w:val="1"/>
      <w:marLeft w:val="0"/>
      <w:marRight w:val="0"/>
      <w:marTop w:val="0"/>
      <w:marBottom w:val="0"/>
      <w:divBdr>
        <w:top w:val="none" w:sz="0" w:space="0" w:color="auto"/>
        <w:left w:val="none" w:sz="0" w:space="0" w:color="auto"/>
        <w:bottom w:val="none" w:sz="0" w:space="0" w:color="auto"/>
        <w:right w:val="none" w:sz="0" w:space="0" w:color="auto"/>
      </w:divBdr>
    </w:div>
    <w:div w:id="439759606">
      <w:bodyDiv w:val="1"/>
      <w:marLeft w:val="0"/>
      <w:marRight w:val="0"/>
      <w:marTop w:val="0"/>
      <w:marBottom w:val="0"/>
      <w:divBdr>
        <w:top w:val="none" w:sz="0" w:space="0" w:color="auto"/>
        <w:left w:val="none" w:sz="0" w:space="0" w:color="auto"/>
        <w:bottom w:val="none" w:sz="0" w:space="0" w:color="auto"/>
        <w:right w:val="none" w:sz="0" w:space="0" w:color="auto"/>
      </w:divBdr>
      <w:divsChild>
        <w:div w:id="78908323">
          <w:marLeft w:val="0"/>
          <w:marRight w:val="0"/>
          <w:marTop w:val="0"/>
          <w:marBottom w:val="480"/>
          <w:divBdr>
            <w:top w:val="single" w:sz="36" w:space="0" w:color="36BDB2"/>
            <w:left w:val="none" w:sz="0" w:space="0" w:color="auto"/>
            <w:bottom w:val="none" w:sz="0" w:space="0" w:color="auto"/>
            <w:right w:val="none" w:sz="0" w:space="0" w:color="auto"/>
          </w:divBdr>
          <w:divsChild>
            <w:div w:id="121312474">
              <w:marLeft w:val="0"/>
              <w:marRight w:val="0"/>
              <w:marTop w:val="0"/>
              <w:marBottom w:val="0"/>
              <w:divBdr>
                <w:top w:val="single" w:sz="6" w:space="12" w:color="DEDEDE"/>
                <w:left w:val="none" w:sz="0" w:space="0" w:color="auto"/>
                <w:bottom w:val="none" w:sz="0" w:space="0" w:color="auto"/>
                <w:right w:val="none" w:sz="0" w:space="0" w:color="auto"/>
              </w:divBdr>
            </w:div>
          </w:divsChild>
        </w:div>
        <w:div w:id="1672371297">
          <w:marLeft w:val="0"/>
          <w:marRight w:val="0"/>
          <w:marTop w:val="0"/>
          <w:marBottom w:val="0"/>
          <w:divBdr>
            <w:top w:val="none" w:sz="0" w:space="0" w:color="auto"/>
            <w:left w:val="none" w:sz="0" w:space="0" w:color="auto"/>
            <w:bottom w:val="none" w:sz="0" w:space="0" w:color="auto"/>
            <w:right w:val="none" w:sz="0" w:space="0" w:color="auto"/>
          </w:divBdr>
        </w:div>
      </w:divsChild>
    </w:div>
    <w:div w:id="692413786">
      <w:bodyDiv w:val="1"/>
      <w:marLeft w:val="0"/>
      <w:marRight w:val="0"/>
      <w:marTop w:val="0"/>
      <w:marBottom w:val="0"/>
      <w:divBdr>
        <w:top w:val="none" w:sz="0" w:space="0" w:color="auto"/>
        <w:left w:val="none" w:sz="0" w:space="0" w:color="auto"/>
        <w:bottom w:val="none" w:sz="0" w:space="0" w:color="auto"/>
        <w:right w:val="none" w:sz="0" w:space="0" w:color="auto"/>
      </w:divBdr>
      <w:divsChild>
        <w:div w:id="325865578">
          <w:marLeft w:val="0"/>
          <w:marRight w:val="0"/>
          <w:marTop w:val="0"/>
          <w:marBottom w:val="0"/>
          <w:divBdr>
            <w:top w:val="none" w:sz="0" w:space="0" w:color="auto"/>
            <w:left w:val="none" w:sz="0" w:space="0" w:color="auto"/>
            <w:bottom w:val="none" w:sz="0" w:space="0" w:color="auto"/>
            <w:right w:val="none" w:sz="0" w:space="0" w:color="auto"/>
          </w:divBdr>
          <w:divsChild>
            <w:div w:id="1295673199">
              <w:marLeft w:val="0"/>
              <w:marRight w:val="0"/>
              <w:marTop w:val="0"/>
              <w:marBottom w:val="0"/>
              <w:divBdr>
                <w:top w:val="none" w:sz="0" w:space="0" w:color="auto"/>
                <w:left w:val="none" w:sz="0" w:space="0" w:color="auto"/>
                <w:bottom w:val="none" w:sz="0" w:space="0" w:color="auto"/>
                <w:right w:val="none" w:sz="0" w:space="0" w:color="auto"/>
              </w:divBdr>
            </w:div>
            <w:div w:id="1642229782">
              <w:marLeft w:val="0"/>
              <w:marRight w:val="0"/>
              <w:marTop w:val="0"/>
              <w:marBottom w:val="0"/>
              <w:divBdr>
                <w:top w:val="none" w:sz="0" w:space="0" w:color="auto"/>
                <w:left w:val="none" w:sz="0" w:space="0" w:color="auto"/>
                <w:bottom w:val="none" w:sz="0" w:space="0" w:color="auto"/>
                <w:right w:val="none" w:sz="0" w:space="0" w:color="auto"/>
              </w:divBdr>
            </w:div>
            <w:div w:id="700589830">
              <w:marLeft w:val="0"/>
              <w:marRight w:val="0"/>
              <w:marTop w:val="0"/>
              <w:marBottom w:val="0"/>
              <w:divBdr>
                <w:top w:val="none" w:sz="0" w:space="0" w:color="auto"/>
                <w:left w:val="none" w:sz="0" w:space="0" w:color="auto"/>
                <w:bottom w:val="none" w:sz="0" w:space="0" w:color="auto"/>
                <w:right w:val="none" w:sz="0" w:space="0" w:color="auto"/>
              </w:divBdr>
            </w:div>
            <w:div w:id="501504977">
              <w:marLeft w:val="0"/>
              <w:marRight w:val="0"/>
              <w:marTop w:val="0"/>
              <w:marBottom w:val="0"/>
              <w:divBdr>
                <w:top w:val="none" w:sz="0" w:space="0" w:color="auto"/>
                <w:left w:val="none" w:sz="0" w:space="0" w:color="auto"/>
                <w:bottom w:val="none" w:sz="0" w:space="0" w:color="auto"/>
                <w:right w:val="none" w:sz="0" w:space="0" w:color="auto"/>
              </w:divBdr>
            </w:div>
          </w:divsChild>
        </w:div>
        <w:div w:id="371543161">
          <w:marLeft w:val="0"/>
          <w:marRight w:val="0"/>
          <w:marTop w:val="0"/>
          <w:marBottom w:val="0"/>
          <w:divBdr>
            <w:top w:val="none" w:sz="0" w:space="0" w:color="auto"/>
            <w:left w:val="none" w:sz="0" w:space="0" w:color="auto"/>
            <w:bottom w:val="none" w:sz="0" w:space="0" w:color="auto"/>
            <w:right w:val="none" w:sz="0" w:space="0" w:color="auto"/>
          </w:divBdr>
          <w:divsChild>
            <w:div w:id="332682603">
              <w:marLeft w:val="0"/>
              <w:marRight w:val="0"/>
              <w:marTop w:val="0"/>
              <w:marBottom w:val="0"/>
              <w:divBdr>
                <w:top w:val="none" w:sz="0" w:space="0" w:color="auto"/>
                <w:left w:val="none" w:sz="0" w:space="0" w:color="auto"/>
                <w:bottom w:val="none" w:sz="0" w:space="0" w:color="auto"/>
                <w:right w:val="none" w:sz="0" w:space="0" w:color="auto"/>
              </w:divBdr>
            </w:div>
            <w:div w:id="2146122174">
              <w:marLeft w:val="0"/>
              <w:marRight w:val="0"/>
              <w:marTop w:val="0"/>
              <w:marBottom w:val="0"/>
              <w:divBdr>
                <w:top w:val="none" w:sz="0" w:space="0" w:color="auto"/>
                <w:left w:val="none" w:sz="0" w:space="0" w:color="auto"/>
                <w:bottom w:val="none" w:sz="0" w:space="0" w:color="auto"/>
                <w:right w:val="none" w:sz="0" w:space="0" w:color="auto"/>
              </w:divBdr>
            </w:div>
            <w:div w:id="287517108">
              <w:marLeft w:val="0"/>
              <w:marRight w:val="0"/>
              <w:marTop w:val="0"/>
              <w:marBottom w:val="0"/>
              <w:divBdr>
                <w:top w:val="none" w:sz="0" w:space="0" w:color="auto"/>
                <w:left w:val="none" w:sz="0" w:space="0" w:color="auto"/>
                <w:bottom w:val="none" w:sz="0" w:space="0" w:color="auto"/>
                <w:right w:val="none" w:sz="0" w:space="0" w:color="auto"/>
              </w:divBdr>
            </w:div>
            <w:div w:id="73089835">
              <w:marLeft w:val="0"/>
              <w:marRight w:val="0"/>
              <w:marTop w:val="0"/>
              <w:marBottom w:val="0"/>
              <w:divBdr>
                <w:top w:val="none" w:sz="0" w:space="0" w:color="auto"/>
                <w:left w:val="none" w:sz="0" w:space="0" w:color="auto"/>
                <w:bottom w:val="none" w:sz="0" w:space="0" w:color="auto"/>
                <w:right w:val="none" w:sz="0" w:space="0" w:color="auto"/>
              </w:divBdr>
            </w:div>
            <w:div w:id="1426150139">
              <w:marLeft w:val="0"/>
              <w:marRight w:val="0"/>
              <w:marTop w:val="0"/>
              <w:marBottom w:val="0"/>
              <w:divBdr>
                <w:top w:val="none" w:sz="0" w:space="0" w:color="auto"/>
                <w:left w:val="none" w:sz="0" w:space="0" w:color="auto"/>
                <w:bottom w:val="none" w:sz="0" w:space="0" w:color="auto"/>
                <w:right w:val="none" w:sz="0" w:space="0" w:color="auto"/>
              </w:divBdr>
            </w:div>
          </w:divsChild>
        </w:div>
        <w:div w:id="1473139811">
          <w:marLeft w:val="0"/>
          <w:marRight w:val="0"/>
          <w:marTop w:val="0"/>
          <w:marBottom w:val="0"/>
          <w:divBdr>
            <w:top w:val="none" w:sz="0" w:space="0" w:color="auto"/>
            <w:left w:val="none" w:sz="0" w:space="0" w:color="auto"/>
            <w:bottom w:val="none" w:sz="0" w:space="0" w:color="auto"/>
            <w:right w:val="none" w:sz="0" w:space="0" w:color="auto"/>
          </w:divBdr>
          <w:divsChild>
            <w:div w:id="1600063046">
              <w:marLeft w:val="0"/>
              <w:marRight w:val="0"/>
              <w:marTop w:val="0"/>
              <w:marBottom w:val="0"/>
              <w:divBdr>
                <w:top w:val="none" w:sz="0" w:space="0" w:color="auto"/>
                <w:left w:val="none" w:sz="0" w:space="0" w:color="auto"/>
                <w:bottom w:val="none" w:sz="0" w:space="0" w:color="auto"/>
                <w:right w:val="none" w:sz="0" w:space="0" w:color="auto"/>
              </w:divBdr>
            </w:div>
            <w:div w:id="369111732">
              <w:marLeft w:val="0"/>
              <w:marRight w:val="0"/>
              <w:marTop w:val="0"/>
              <w:marBottom w:val="0"/>
              <w:divBdr>
                <w:top w:val="none" w:sz="0" w:space="0" w:color="auto"/>
                <w:left w:val="none" w:sz="0" w:space="0" w:color="auto"/>
                <w:bottom w:val="none" w:sz="0" w:space="0" w:color="auto"/>
                <w:right w:val="none" w:sz="0" w:space="0" w:color="auto"/>
              </w:divBdr>
            </w:div>
            <w:div w:id="1256095187">
              <w:marLeft w:val="0"/>
              <w:marRight w:val="0"/>
              <w:marTop w:val="0"/>
              <w:marBottom w:val="0"/>
              <w:divBdr>
                <w:top w:val="none" w:sz="0" w:space="0" w:color="auto"/>
                <w:left w:val="none" w:sz="0" w:space="0" w:color="auto"/>
                <w:bottom w:val="none" w:sz="0" w:space="0" w:color="auto"/>
                <w:right w:val="none" w:sz="0" w:space="0" w:color="auto"/>
              </w:divBdr>
            </w:div>
            <w:div w:id="1075586550">
              <w:marLeft w:val="0"/>
              <w:marRight w:val="0"/>
              <w:marTop w:val="0"/>
              <w:marBottom w:val="0"/>
              <w:divBdr>
                <w:top w:val="none" w:sz="0" w:space="0" w:color="auto"/>
                <w:left w:val="none" w:sz="0" w:space="0" w:color="auto"/>
                <w:bottom w:val="none" w:sz="0" w:space="0" w:color="auto"/>
                <w:right w:val="none" w:sz="0" w:space="0" w:color="auto"/>
              </w:divBdr>
            </w:div>
            <w:div w:id="1902054386">
              <w:marLeft w:val="0"/>
              <w:marRight w:val="0"/>
              <w:marTop w:val="0"/>
              <w:marBottom w:val="0"/>
              <w:divBdr>
                <w:top w:val="none" w:sz="0" w:space="0" w:color="auto"/>
                <w:left w:val="none" w:sz="0" w:space="0" w:color="auto"/>
                <w:bottom w:val="none" w:sz="0" w:space="0" w:color="auto"/>
                <w:right w:val="none" w:sz="0" w:space="0" w:color="auto"/>
              </w:divBdr>
            </w:div>
          </w:divsChild>
        </w:div>
        <w:div w:id="2071071226">
          <w:marLeft w:val="0"/>
          <w:marRight w:val="0"/>
          <w:marTop w:val="0"/>
          <w:marBottom w:val="0"/>
          <w:divBdr>
            <w:top w:val="none" w:sz="0" w:space="0" w:color="auto"/>
            <w:left w:val="none" w:sz="0" w:space="0" w:color="auto"/>
            <w:bottom w:val="none" w:sz="0" w:space="0" w:color="auto"/>
            <w:right w:val="none" w:sz="0" w:space="0" w:color="auto"/>
          </w:divBdr>
          <w:divsChild>
            <w:div w:id="73477149">
              <w:marLeft w:val="0"/>
              <w:marRight w:val="0"/>
              <w:marTop w:val="0"/>
              <w:marBottom w:val="0"/>
              <w:divBdr>
                <w:top w:val="none" w:sz="0" w:space="0" w:color="auto"/>
                <w:left w:val="none" w:sz="0" w:space="0" w:color="auto"/>
                <w:bottom w:val="none" w:sz="0" w:space="0" w:color="auto"/>
                <w:right w:val="none" w:sz="0" w:space="0" w:color="auto"/>
              </w:divBdr>
            </w:div>
            <w:div w:id="1114668619">
              <w:marLeft w:val="0"/>
              <w:marRight w:val="0"/>
              <w:marTop w:val="0"/>
              <w:marBottom w:val="0"/>
              <w:divBdr>
                <w:top w:val="none" w:sz="0" w:space="0" w:color="auto"/>
                <w:left w:val="none" w:sz="0" w:space="0" w:color="auto"/>
                <w:bottom w:val="none" w:sz="0" w:space="0" w:color="auto"/>
                <w:right w:val="none" w:sz="0" w:space="0" w:color="auto"/>
              </w:divBdr>
            </w:div>
            <w:div w:id="930088578">
              <w:marLeft w:val="0"/>
              <w:marRight w:val="0"/>
              <w:marTop w:val="0"/>
              <w:marBottom w:val="0"/>
              <w:divBdr>
                <w:top w:val="none" w:sz="0" w:space="0" w:color="auto"/>
                <w:left w:val="none" w:sz="0" w:space="0" w:color="auto"/>
                <w:bottom w:val="none" w:sz="0" w:space="0" w:color="auto"/>
                <w:right w:val="none" w:sz="0" w:space="0" w:color="auto"/>
              </w:divBdr>
            </w:div>
            <w:div w:id="333649121">
              <w:marLeft w:val="0"/>
              <w:marRight w:val="0"/>
              <w:marTop w:val="0"/>
              <w:marBottom w:val="0"/>
              <w:divBdr>
                <w:top w:val="none" w:sz="0" w:space="0" w:color="auto"/>
                <w:left w:val="none" w:sz="0" w:space="0" w:color="auto"/>
                <w:bottom w:val="none" w:sz="0" w:space="0" w:color="auto"/>
                <w:right w:val="none" w:sz="0" w:space="0" w:color="auto"/>
              </w:divBdr>
            </w:div>
          </w:divsChild>
        </w:div>
        <w:div w:id="1484735184">
          <w:marLeft w:val="0"/>
          <w:marRight w:val="0"/>
          <w:marTop w:val="0"/>
          <w:marBottom w:val="0"/>
          <w:divBdr>
            <w:top w:val="none" w:sz="0" w:space="0" w:color="auto"/>
            <w:left w:val="none" w:sz="0" w:space="0" w:color="auto"/>
            <w:bottom w:val="none" w:sz="0" w:space="0" w:color="auto"/>
            <w:right w:val="none" w:sz="0" w:space="0" w:color="auto"/>
          </w:divBdr>
        </w:div>
        <w:div w:id="965623873">
          <w:marLeft w:val="0"/>
          <w:marRight w:val="0"/>
          <w:marTop w:val="0"/>
          <w:marBottom w:val="0"/>
          <w:divBdr>
            <w:top w:val="none" w:sz="0" w:space="0" w:color="auto"/>
            <w:left w:val="none" w:sz="0" w:space="0" w:color="auto"/>
            <w:bottom w:val="none" w:sz="0" w:space="0" w:color="auto"/>
            <w:right w:val="none" w:sz="0" w:space="0" w:color="auto"/>
          </w:divBdr>
        </w:div>
        <w:div w:id="676998766">
          <w:marLeft w:val="0"/>
          <w:marRight w:val="0"/>
          <w:marTop w:val="0"/>
          <w:marBottom w:val="0"/>
          <w:divBdr>
            <w:top w:val="none" w:sz="0" w:space="0" w:color="auto"/>
            <w:left w:val="none" w:sz="0" w:space="0" w:color="auto"/>
            <w:bottom w:val="none" w:sz="0" w:space="0" w:color="auto"/>
            <w:right w:val="none" w:sz="0" w:space="0" w:color="auto"/>
          </w:divBdr>
        </w:div>
        <w:div w:id="1198737178">
          <w:marLeft w:val="0"/>
          <w:marRight w:val="0"/>
          <w:marTop w:val="0"/>
          <w:marBottom w:val="0"/>
          <w:divBdr>
            <w:top w:val="none" w:sz="0" w:space="0" w:color="auto"/>
            <w:left w:val="none" w:sz="0" w:space="0" w:color="auto"/>
            <w:bottom w:val="none" w:sz="0" w:space="0" w:color="auto"/>
            <w:right w:val="none" w:sz="0" w:space="0" w:color="auto"/>
          </w:divBdr>
        </w:div>
        <w:div w:id="1268657959">
          <w:marLeft w:val="0"/>
          <w:marRight w:val="0"/>
          <w:marTop w:val="0"/>
          <w:marBottom w:val="0"/>
          <w:divBdr>
            <w:top w:val="none" w:sz="0" w:space="0" w:color="auto"/>
            <w:left w:val="none" w:sz="0" w:space="0" w:color="auto"/>
            <w:bottom w:val="none" w:sz="0" w:space="0" w:color="auto"/>
            <w:right w:val="none" w:sz="0" w:space="0" w:color="auto"/>
          </w:divBdr>
        </w:div>
        <w:div w:id="310717694">
          <w:marLeft w:val="0"/>
          <w:marRight w:val="0"/>
          <w:marTop w:val="0"/>
          <w:marBottom w:val="0"/>
          <w:divBdr>
            <w:top w:val="none" w:sz="0" w:space="0" w:color="auto"/>
            <w:left w:val="none" w:sz="0" w:space="0" w:color="auto"/>
            <w:bottom w:val="none" w:sz="0" w:space="0" w:color="auto"/>
            <w:right w:val="none" w:sz="0" w:space="0" w:color="auto"/>
          </w:divBdr>
        </w:div>
      </w:divsChild>
    </w:div>
    <w:div w:id="811410300">
      <w:bodyDiv w:val="1"/>
      <w:marLeft w:val="0"/>
      <w:marRight w:val="0"/>
      <w:marTop w:val="0"/>
      <w:marBottom w:val="0"/>
      <w:divBdr>
        <w:top w:val="none" w:sz="0" w:space="0" w:color="auto"/>
        <w:left w:val="none" w:sz="0" w:space="0" w:color="auto"/>
        <w:bottom w:val="none" w:sz="0" w:space="0" w:color="auto"/>
        <w:right w:val="none" w:sz="0" w:space="0" w:color="auto"/>
      </w:divBdr>
    </w:div>
    <w:div w:id="1220820371">
      <w:bodyDiv w:val="1"/>
      <w:marLeft w:val="0"/>
      <w:marRight w:val="0"/>
      <w:marTop w:val="0"/>
      <w:marBottom w:val="0"/>
      <w:divBdr>
        <w:top w:val="none" w:sz="0" w:space="0" w:color="auto"/>
        <w:left w:val="none" w:sz="0" w:space="0" w:color="auto"/>
        <w:bottom w:val="none" w:sz="0" w:space="0" w:color="auto"/>
        <w:right w:val="none" w:sz="0" w:space="0" w:color="auto"/>
      </w:divBdr>
    </w:div>
    <w:div w:id="1260605951">
      <w:bodyDiv w:val="1"/>
      <w:marLeft w:val="0"/>
      <w:marRight w:val="0"/>
      <w:marTop w:val="0"/>
      <w:marBottom w:val="0"/>
      <w:divBdr>
        <w:top w:val="none" w:sz="0" w:space="0" w:color="auto"/>
        <w:left w:val="none" w:sz="0" w:space="0" w:color="auto"/>
        <w:bottom w:val="none" w:sz="0" w:space="0" w:color="auto"/>
        <w:right w:val="none" w:sz="0" w:space="0" w:color="auto"/>
      </w:divBdr>
    </w:div>
    <w:div w:id="1529635175">
      <w:bodyDiv w:val="1"/>
      <w:marLeft w:val="0"/>
      <w:marRight w:val="0"/>
      <w:marTop w:val="0"/>
      <w:marBottom w:val="0"/>
      <w:divBdr>
        <w:top w:val="none" w:sz="0" w:space="0" w:color="auto"/>
        <w:left w:val="none" w:sz="0" w:space="0" w:color="auto"/>
        <w:bottom w:val="none" w:sz="0" w:space="0" w:color="auto"/>
        <w:right w:val="none" w:sz="0" w:space="0" w:color="auto"/>
      </w:divBdr>
    </w:div>
    <w:div w:id="1576744020">
      <w:bodyDiv w:val="1"/>
      <w:marLeft w:val="0"/>
      <w:marRight w:val="0"/>
      <w:marTop w:val="0"/>
      <w:marBottom w:val="0"/>
      <w:divBdr>
        <w:top w:val="none" w:sz="0" w:space="0" w:color="auto"/>
        <w:left w:val="none" w:sz="0" w:space="0" w:color="auto"/>
        <w:bottom w:val="none" w:sz="0" w:space="0" w:color="auto"/>
        <w:right w:val="none" w:sz="0" w:space="0" w:color="auto"/>
      </w:divBdr>
    </w:div>
    <w:div w:id="179313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The20</b:Tag>
    <b:SourceType>InternetSite</b:SourceType>
    <b:Guid>{E7B1E4C9-C912-439D-B633-084DC1A62D0D}</b:Guid>
    <b:LCID>en-GB</b:LCID>
    <b:Author>
      <b:Author>
        <b:Corporate>The National Autistic Society</b:Corporate>
      </b:Author>
    </b:Author>
    <b:Title>The National Autistic Society</b:Title>
    <b:InternetSiteTitle>www.autism.org.uk</b:InternetSiteTitle>
    <b:Year>2020</b:Year>
    <b:Month>08</b:Month>
    <b:Day>04</b:Day>
    <b:URL>https://www.autism.org.uk/about/behaviour/challenging-behaviour/pica.aspx</b:URL>
    <b:RefOrder>1</b:RefOrder>
  </b:Source>
  <b:Source>
    <b:Tag>20020</b:Tag>
    <b:SourceType>InternetSite</b:SourceType>
    <b:Guid>{B5FFC6C3-DE1C-41BF-8A4F-53D25B6DBFA6}</b:Guid>
    <b:LCID>en-GB</b:LCID>
    <b:Author>
      <b:Author>
        <b:Corporate>2005 - 2020 WebMD LLC</b:Corporate>
      </b:Author>
    </b:Author>
    <b:Title>WebMD</b:Title>
    <b:InternetSiteTitle>www.webmd.com</b:InternetSiteTitle>
    <b:Year>2020</b:Year>
    <b:Month>08</b:Month>
    <b:Day>04</b:Day>
    <b:URL>https://www.webmd.com/mental-health/mental-health-pica#1</b:URL>
    <b:RefOrder>2</b:RefOrder>
  </b:Source>
  <b:Source>
    <b:Tag>Wel20</b:Tag>
    <b:SourceType>DocumentFromInternetSite</b:SourceType>
    <b:Guid>{562A5254-CDC5-43BC-A0B5-23EF33081122}</b:Guid>
    <b:Title>gov.wales</b:Title>
    <b:Year>2020</b:Year>
    <b:Month>08</b:Month>
    <b:Day>04</b:Day>
    <b:URL>https://gov.wales/special-educational-needs-code-practice</b:URL>
    <b:LCID>en-GB</b:LCID>
    <b:Author>
      <b:Author>
        <b:NameList>
          <b:Person>
            <b:Last>Governent</b:Last>
            <b:First>Welsh</b:First>
            <b:Middle>Assembly</b:Middle>
          </b:Person>
        </b:NameList>
      </b:Author>
    </b:Author>
    <b:RefOrder>3</b:RefOrder>
  </b:Source>
  <b:Source>
    <b:Tag>Kab</b:Tag>
    <b:SourceType>Book</b:SourceType>
    <b:Guid>{514E73FC-BE30-46A1-BD0D-56859BD6701A}</b:Guid>
    <b:Author>
      <b:Author>
        <b:NameList>
          <b:Person>
            <b:Last>Kabaka</b:Last>
          </b:Person>
        </b:NameList>
      </b:Author>
    </b:Author>
    <b:Title>2020</b:Title>
    <b:RefOrder>4</b:RefOrder>
  </b:Source>
  <b:Source>
    <b:Tag>Wel201</b:Tag>
    <b:SourceType>DocumentFromInternetSite</b:SourceType>
    <b:Guid>{1E249DB4-C3F6-4650-A3E0-B8531EF591AE}</b:Guid>
    <b:Title>Gov.Wales</b:Title>
    <b:Year>2020</b:Year>
    <b:Month>8</b:Month>
    <b:Day>20</b:Day>
    <b:URL>https://gov.wales/sites/default/files/publications/2018-03/special-educational-needs-code-of-practice-for-wales.pdf</b:URL>
    <b:LCID>en-GB</b:LCID>
    <b:Author>
      <b:Author>
        <b:Corporate>Welsh Government</b:Corporate>
      </b:Author>
    </b:Author>
    <b:RefOrder>1</b:RefOrder>
  </b:Source>
</b:Sources>
</file>

<file path=customXml/itemProps1.xml><?xml version="1.0" encoding="utf-8"?>
<ds:datastoreItem xmlns:ds="http://schemas.openxmlformats.org/officeDocument/2006/customXml" ds:itemID="{274ECA19-E1EE-469D-9927-31F2E910E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2330</Words>
  <Characters>13285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Newton</dc:creator>
  <cp:lastModifiedBy>Tanya Newton</cp:lastModifiedBy>
  <cp:revision>2</cp:revision>
  <dcterms:created xsi:type="dcterms:W3CDTF">2020-08-20T23:03:00Z</dcterms:created>
  <dcterms:modified xsi:type="dcterms:W3CDTF">2020-08-20T23:03:00Z</dcterms:modified>
</cp:coreProperties>
</file>