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2F2D6" w14:textId="77777777" w:rsidR="006C4D06" w:rsidRDefault="006C4D06" w:rsidP="005F5084">
      <w:pPr>
        <w:spacing w:line="360" w:lineRule="auto"/>
        <w:jc w:val="center"/>
        <w:rPr>
          <w:rFonts w:ascii="Arial" w:hAnsi="Arial" w:cs="Arial"/>
          <w:b/>
          <w:bCs/>
          <w:sz w:val="32"/>
          <w:szCs w:val="32"/>
        </w:rPr>
      </w:pPr>
    </w:p>
    <w:p w14:paraId="310897D9" w14:textId="77777777" w:rsidR="004A5C1C" w:rsidRDefault="004A5C1C" w:rsidP="005F5084">
      <w:pPr>
        <w:spacing w:line="360" w:lineRule="auto"/>
        <w:jc w:val="center"/>
        <w:rPr>
          <w:rFonts w:ascii="Arial" w:hAnsi="Arial" w:cs="Arial"/>
          <w:b/>
          <w:bCs/>
          <w:sz w:val="32"/>
          <w:szCs w:val="32"/>
        </w:rPr>
      </w:pPr>
    </w:p>
    <w:p w14:paraId="14E63B4E" w14:textId="77777777" w:rsidR="006C4D06" w:rsidRDefault="006C4D06" w:rsidP="006C4D06">
      <w:pPr>
        <w:spacing w:line="360" w:lineRule="auto"/>
        <w:jc w:val="center"/>
        <w:rPr>
          <w:rFonts w:ascii="Arial" w:hAnsi="Arial" w:cs="Arial"/>
          <w:b/>
          <w:bCs/>
          <w:sz w:val="32"/>
          <w:szCs w:val="32"/>
        </w:rPr>
      </w:pPr>
    </w:p>
    <w:p w14:paraId="79C53EF4" w14:textId="77777777" w:rsidR="006C4D06" w:rsidRDefault="006C4D06" w:rsidP="006C4D06">
      <w:pPr>
        <w:spacing w:line="360" w:lineRule="auto"/>
        <w:jc w:val="center"/>
        <w:rPr>
          <w:rFonts w:ascii="Arial" w:hAnsi="Arial" w:cs="Arial"/>
          <w:b/>
          <w:bCs/>
          <w:sz w:val="32"/>
          <w:szCs w:val="32"/>
        </w:rPr>
      </w:pPr>
    </w:p>
    <w:p w14:paraId="67E6B044" w14:textId="1F0D1B31" w:rsidR="005F5084" w:rsidRDefault="005F5084" w:rsidP="006C4D06">
      <w:pPr>
        <w:spacing w:line="360" w:lineRule="auto"/>
        <w:jc w:val="center"/>
        <w:rPr>
          <w:rFonts w:ascii="Arial" w:hAnsi="Arial" w:cs="Arial"/>
          <w:sz w:val="32"/>
          <w:szCs w:val="32"/>
        </w:rPr>
      </w:pPr>
      <w:r w:rsidRPr="004A5C1C">
        <w:rPr>
          <w:rFonts w:ascii="Arial" w:hAnsi="Arial" w:cs="Arial"/>
          <w:b/>
          <w:bCs/>
          <w:sz w:val="28"/>
          <w:szCs w:val="28"/>
        </w:rPr>
        <w:t>Module</w:t>
      </w:r>
      <w:r w:rsidRPr="00957280">
        <w:rPr>
          <w:rFonts w:ascii="Arial" w:hAnsi="Arial" w:cs="Arial"/>
          <w:b/>
          <w:bCs/>
          <w:sz w:val="32"/>
          <w:szCs w:val="32"/>
        </w:rPr>
        <w:t>:</w:t>
      </w:r>
      <w:r w:rsidRPr="00957280">
        <w:rPr>
          <w:rFonts w:ascii="Arial" w:hAnsi="Arial" w:cs="Arial"/>
          <w:sz w:val="32"/>
          <w:szCs w:val="32"/>
        </w:rPr>
        <w:t xml:space="preserve"> </w:t>
      </w:r>
      <w:r w:rsidR="001C00E3">
        <w:rPr>
          <w:rFonts w:ascii="Arial" w:hAnsi="Arial" w:cs="Arial"/>
          <w:sz w:val="32"/>
          <w:szCs w:val="32"/>
        </w:rPr>
        <w:t xml:space="preserve">Social Epidemiology and Public </w:t>
      </w:r>
      <w:r w:rsidR="000752B9">
        <w:rPr>
          <w:rFonts w:ascii="Arial" w:hAnsi="Arial" w:cs="Arial"/>
          <w:sz w:val="32"/>
          <w:szCs w:val="32"/>
        </w:rPr>
        <w:t>Health D</w:t>
      </w:r>
      <w:r w:rsidR="000752B9" w:rsidRPr="004A5C1C">
        <w:rPr>
          <w:rFonts w:ascii="Arial" w:hAnsi="Arial" w:cs="Arial"/>
          <w:sz w:val="28"/>
          <w:szCs w:val="28"/>
        </w:rPr>
        <w:t>evelopment</w:t>
      </w:r>
    </w:p>
    <w:p w14:paraId="1C94A19B" w14:textId="7E8F1A98" w:rsidR="004A5C1C" w:rsidRDefault="004A5C1C" w:rsidP="006C4D06">
      <w:pPr>
        <w:spacing w:line="360" w:lineRule="auto"/>
        <w:jc w:val="center"/>
        <w:rPr>
          <w:rFonts w:ascii="Arial" w:hAnsi="Arial" w:cs="Arial"/>
          <w:sz w:val="32"/>
          <w:szCs w:val="32"/>
        </w:rPr>
      </w:pPr>
      <w:r w:rsidRPr="004A5C1C">
        <w:rPr>
          <w:rFonts w:ascii="Arial" w:hAnsi="Arial" w:cs="Arial"/>
          <w:b/>
          <w:bCs/>
          <w:sz w:val="28"/>
          <w:szCs w:val="28"/>
        </w:rPr>
        <w:t>Module Code</w:t>
      </w:r>
      <w:r>
        <w:rPr>
          <w:rFonts w:ascii="Arial" w:hAnsi="Arial" w:cs="Arial"/>
          <w:sz w:val="32"/>
          <w:szCs w:val="32"/>
        </w:rPr>
        <w:t>: LCHS7000</w:t>
      </w:r>
    </w:p>
    <w:p w14:paraId="247F50FD" w14:textId="77777777" w:rsidR="004A5C1C" w:rsidRPr="004A5C1C" w:rsidRDefault="004A5C1C" w:rsidP="004A5C1C">
      <w:pPr>
        <w:spacing w:line="360" w:lineRule="auto"/>
        <w:ind w:right="100"/>
        <w:jc w:val="center"/>
        <w:rPr>
          <w:rFonts w:ascii="Arial" w:hAnsi="Arial" w:cs="Arial"/>
          <w:sz w:val="28"/>
          <w:szCs w:val="28"/>
        </w:rPr>
      </w:pPr>
      <w:r w:rsidRPr="004A5C1C">
        <w:rPr>
          <w:rFonts w:ascii="Arial" w:hAnsi="Arial" w:cs="Arial"/>
          <w:b/>
          <w:bCs/>
          <w:sz w:val="28"/>
          <w:szCs w:val="28"/>
        </w:rPr>
        <w:t>Lecturer</w:t>
      </w:r>
      <w:r w:rsidRPr="004A5C1C">
        <w:rPr>
          <w:rFonts w:ascii="Arial" w:hAnsi="Arial" w:cs="Arial"/>
          <w:sz w:val="28"/>
          <w:szCs w:val="28"/>
        </w:rPr>
        <w:t>: Junaid Shaikh</w:t>
      </w:r>
    </w:p>
    <w:p w14:paraId="101C308D" w14:textId="77777777" w:rsidR="004A5C1C" w:rsidRDefault="004A5C1C" w:rsidP="006C4D06">
      <w:pPr>
        <w:spacing w:line="360" w:lineRule="auto"/>
        <w:jc w:val="center"/>
        <w:rPr>
          <w:rFonts w:ascii="Arial" w:hAnsi="Arial" w:cs="Arial"/>
          <w:sz w:val="32"/>
          <w:szCs w:val="32"/>
        </w:rPr>
      </w:pPr>
    </w:p>
    <w:p w14:paraId="0D2301B7" w14:textId="77777777" w:rsidR="004A5C1C" w:rsidRPr="00957280" w:rsidRDefault="004A5C1C" w:rsidP="006C4D06">
      <w:pPr>
        <w:spacing w:line="360" w:lineRule="auto"/>
        <w:jc w:val="center"/>
        <w:rPr>
          <w:rFonts w:ascii="Arial" w:hAnsi="Arial" w:cs="Arial"/>
          <w:b/>
          <w:bCs/>
          <w:sz w:val="32"/>
          <w:szCs w:val="32"/>
        </w:rPr>
      </w:pPr>
    </w:p>
    <w:p w14:paraId="2F363362" w14:textId="2B2C75DC" w:rsidR="007D5D6F" w:rsidRPr="004A5C1C" w:rsidRDefault="007D5D6F" w:rsidP="006C4D06">
      <w:pPr>
        <w:spacing w:line="360" w:lineRule="auto"/>
        <w:ind w:right="100"/>
        <w:jc w:val="center"/>
        <w:rPr>
          <w:rFonts w:ascii="Arial" w:hAnsi="Arial" w:cs="Arial"/>
          <w:sz w:val="28"/>
          <w:szCs w:val="28"/>
        </w:rPr>
      </w:pPr>
      <w:r w:rsidRPr="004A5C1C">
        <w:rPr>
          <w:rFonts w:ascii="Arial" w:hAnsi="Arial" w:cs="Arial"/>
          <w:b/>
          <w:bCs/>
          <w:sz w:val="28"/>
          <w:szCs w:val="28"/>
        </w:rPr>
        <w:t xml:space="preserve">Assignment Title: </w:t>
      </w:r>
      <w:r w:rsidRPr="004A5C1C">
        <w:rPr>
          <w:rFonts w:ascii="Arial" w:hAnsi="Arial" w:cs="Arial"/>
          <w:sz w:val="28"/>
          <w:szCs w:val="28"/>
        </w:rPr>
        <w:t>An Analytical Report on Physical Disability and Health Inequalities among Adults in the United Kingdom</w:t>
      </w:r>
    </w:p>
    <w:p w14:paraId="54AE93A4" w14:textId="77777777" w:rsidR="004A5C1C" w:rsidRPr="004A5C1C" w:rsidRDefault="004A5C1C" w:rsidP="006C4D06">
      <w:pPr>
        <w:spacing w:line="360" w:lineRule="auto"/>
        <w:ind w:right="100"/>
        <w:jc w:val="center"/>
        <w:rPr>
          <w:rFonts w:ascii="Arial" w:hAnsi="Arial" w:cs="Arial"/>
          <w:sz w:val="28"/>
          <w:szCs w:val="28"/>
        </w:rPr>
      </w:pPr>
    </w:p>
    <w:p w14:paraId="13936695" w14:textId="4D5DFBFC" w:rsidR="005F5084" w:rsidRPr="004A5C1C" w:rsidRDefault="005F5084" w:rsidP="006C4D06">
      <w:pPr>
        <w:spacing w:line="360" w:lineRule="auto"/>
        <w:jc w:val="center"/>
        <w:rPr>
          <w:rFonts w:ascii="Arial" w:hAnsi="Arial" w:cs="Arial"/>
          <w:b/>
          <w:bCs/>
          <w:sz w:val="28"/>
          <w:szCs w:val="28"/>
        </w:rPr>
      </w:pPr>
    </w:p>
    <w:p w14:paraId="18D32425" w14:textId="77777777" w:rsidR="005F5084" w:rsidRPr="004A5C1C" w:rsidRDefault="005F5084" w:rsidP="006C4D06">
      <w:pPr>
        <w:spacing w:line="360" w:lineRule="auto"/>
        <w:jc w:val="center"/>
        <w:rPr>
          <w:rFonts w:ascii="Arial" w:hAnsi="Arial" w:cs="Arial"/>
          <w:sz w:val="28"/>
          <w:szCs w:val="28"/>
        </w:rPr>
      </w:pPr>
    </w:p>
    <w:p w14:paraId="771E53E3" w14:textId="77777777" w:rsidR="005F5084" w:rsidRPr="004A5C1C" w:rsidRDefault="005F5084" w:rsidP="006C4D06">
      <w:pPr>
        <w:spacing w:line="360" w:lineRule="auto"/>
        <w:jc w:val="center"/>
        <w:rPr>
          <w:rFonts w:ascii="Arial" w:hAnsi="Arial" w:cs="Arial"/>
          <w:sz w:val="28"/>
          <w:szCs w:val="28"/>
        </w:rPr>
      </w:pPr>
    </w:p>
    <w:p w14:paraId="6185315C" w14:textId="77777777" w:rsidR="005F5084" w:rsidRPr="004A5C1C" w:rsidRDefault="005F5084" w:rsidP="006C4D06">
      <w:pPr>
        <w:spacing w:line="360" w:lineRule="auto"/>
        <w:jc w:val="center"/>
        <w:rPr>
          <w:rFonts w:ascii="Arial" w:hAnsi="Arial" w:cs="Arial"/>
          <w:sz w:val="28"/>
          <w:szCs w:val="28"/>
        </w:rPr>
      </w:pPr>
      <w:r w:rsidRPr="004A5C1C">
        <w:rPr>
          <w:rFonts w:ascii="Arial" w:hAnsi="Arial" w:cs="Arial"/>
          <w:b/>
          <w:bCs/>
          <w:sz w:val="28"/>
          <w:szCs w:val="28"/>
        </w:rPr>
        <w:t>Student ID</w:t>
      </w:r>
      <w:r w:rsidRPr="004A5C1C">
        <w:rPr>
          <w:rFonts w:ascii="Arial" w:hAnsi="Arial" w:cs="Arial"/>
          <w:sz w:val="28"/>
          <w:szCs w:val="28"/>
        </w:rPr>
        <w:t>: 2217492</w:t>
      </w:r>
    </w:p>
    <w:p w14:paraId="4DC3870A" w14:textId="7E1B8837" w:rsidR="005F5084" w:rsidRPr="004A5C1C" w:rsidRDefault="005F5084" w:rsidP="006C4D06">
      <w:pPr>
        <w:spacing w:line="360" w:lineRule="auto"/>
        <w:jc w:val="center"/>
        <w:rPr>
          <w:rFonts w:ascii="Arial" w:hAnsi="Arial" w:cs="Arial"/>
          <w:sz w:val="28"/>
          <w:szCs w:val="28"/>
        </w:rPr>
      </w:pPr>
      <w:r w:rsidRPr="004A5C1C">
        <w:rPr>
          <w:rFonts w:ascii="Arial" w:hAnsi="Arial" w:cs="Arial"/>
          <w:b/>
          <w:bCs/>
          <w:sz w:val="28"/>
          <w:szCs w:val="28"/>
        </w:rPr>
        <w:t>Student Name</w:t>
      </w:r>
      <w:r w:rsidRPr="004A5C1C">
        <w:rPr>
          <w:rFonts w:ascii="Arial" w:hAnsi="Arial" w:cs="Arial"/>
          <w:sz w:val="28"/>
          <w:szCs w:val="28"/>
        </w:rPr>
        <w:t xml:space="preserve">: Ivana Konjevod </w:t>
      </w:r>
      <w:r w:rsidR="006C4D06" w:rsidRPr="004A5C1C">
        <w:rPr>
          <w:rFonts w:ascii="Arial" w:hAnsi="Arial" w:cs="Arial"/>
          <w:sz w:val="28"/>
          <w:szCs w:val="28"/>
        </w:rPr>
        <w:t>Novosel</w:t>
      </w:r>
    </w:p>
    <w:p w14:paraId="64ED89E1" w14:textId="77777777" w:rsidR="003A3CE5" w:rsidRPr="00A406E5" w:rsidRDefault="003A3CE5" w:rsidP="006C4D06">
      <w:pPr>
        <w:jc w:val="center"/>
        <w:rPr>
          <w:rFonts w:ascii="Arial" w:hAnsi="Arial" w:cs="Arial"/>
          <w:b/>
          <w:i/>
          <w:sz w:val="32"/>
        </w:rPr>
      </w:pPr>
    </w:p>
    <w:p w14:paraId="510A08FD" w14:textId="77777777" w:rsidR="00721EF9" w:rsidRDefault="00721EF9" w:rsidP="006C4D06">
      <w:pPr>
        <w:spacing w:line="360" w:lineRule="auto"/>
        <w:ind w:right="100"/>
        <w:jc w:val="center"/>
        <w:rPr>
          <w:rFonts w:eastAsia="Arial"/>
          <w:b/>
          <w:bCs/>
          <w:i/>
          <w:iCs/>
          <w:sz w:val="24"/>
          <w:szCs w:val="24"/>
        </w:rPr>
      </w:pPr>
    </w:p>
    <w:p w14:paraId="05776062" w14:textId="77777777" w:rsidR="00721EF9" w:rsidRDefault="00721EF9" w:rsidP="002C6910">
      <w:pPr>
        <w:spacing w:line="360" w:lineRule="auto"/>
        <w:ind w:right="100"/>
        <w:jc w:val="both"/>
        <w:rPr>
          <w:rFonts w:eastAsia="Arial"/>
          <w:b/>
          <w:bCs/>
          <w:i/>
          <w:iCs/>
          <w:sz w:val="24"/>
          <w:szCs w:val="24"/>
        </w:rPr>
      </w:pPr>
    </w:p>
    <w:p w14:paraId="12CD76BD" w14:textId="77777777" w:rsidR="00721EF9" w:rsidRDefault="00721EF9" w:rsidP="002C6910">
      <w:pPr>
        <w:spacing w:line="360" w:lineRule="auto"/>
        <w:ind w:right="100"/>
        <w:jc w:val="both"/>
        <w:rPr>
          <w:rFonts w:eastAsia="Arial"/>
          <w:b/>
          <w:bCs/>
          <w:i/>
          <w:iCs/>
          <w:sz w:val="24"/>
          <w:szCs w:val="24"/>
        </w:rPr>
      </w:pPr>
    </w:p>
    <w:p w14:paraId="1154D5F6" w14:textId="77777777" w:rsidR="00721EF9" w:rsidRDefault="00721EF9" w:rsidP="002C6910">
      <w:pPr>
        <w:spacing w:line="360" w:lineRule="auto"/>
        <w:ind w:right="100"/>
        <w:jc w:val="both"/>
        <w:rPr>
          <w:rFonts w:eastAsia="Arial"/>
          <w:b/>
          <w:bCs/>
          <w:i/>
          <w:iCs/>
          <w:sz w:val="24"/>
          <w:szCs w:val="24"/>
        </w:rPr>
      </w:pPr>
    </w:p>
    <w:p w14:paraId="01DD60F4" w14:textId="77777777" w:rsidR="00721EF9" w:rsidRDefault="00721EF9" w:rsidP="002C6910">
      <w:pPr>
        <w:spacing w:line="360" w:lineRule="auto"/>
        <w:ind w:right="100"/>
        <w:jc w:val="both"/>
        <w:rPr>
          <w:rFonts w:eastAsia="Arial"/>
          <w:b/>
          <w:bCs/>
          <w:i/>
          <w:iCs/>
          <w:sz w:val="24"/>
          <w:szCs w:val="24"/>
        </w:rPr>
      </w:pPr>
    </w:p>
    <w:p w14:paraId="50470106" w14:textId="77777777" w:rsidR="00721EF9" w:rsidRDefault="00721EF9" w:rsidP="002C6910">
      <w:pPr>
        <w:spacing w:line="360" w:lineRule="auto"/>
        <w:ind w:right="100"/>
        <w:jc w:val="both"/>
        <w:rPr>
          <w:rFonts w:eastAsia="Arial"/>
          <w:b/>
          <w:bCs/>
          <w:i/>
          <w:iCs/>
          <w:sz w:val="24"/>
          <w:szCs w:val="24"/>
        </w:rPr>
      </w:pPr>
    </w:p>
    <w:p w14:paraId="2D4DEBE0" w14:textId="77777777" w:rsidR="00721EF9" w:rsidRDefault="00721EF9" w:rsidP="002C6910">
      <w:pPr>
        <w:spacing w:line="360" w:lineRule="auto"/>
        <w:ind w:right="100"/>
        <w:jc w:val="both"/>
        <w:rPr>
          <w:rFonts w:eastAsia="Arial"/>
          <w:b/>
          <w:bCs/>
          <w:i/>
          <w:iCs/>
          <w:sz w:val="24"/>
          <w:szCs w:val="24"/>
        </w:rPr>
      </w:pPr>
    </w:p>
    <w:p w14:paraId="4BA31B9C" w14:textId="77777777" w:rsidR="00721EF9" w:rsidRDefault="00721EF9" w:rsidP="002C6910">
      <w:pPr>
        <w:spacing w:line="360" w:lineRule="auto"/>
        <w:ind w:right="100"/>
        <w:jc w:val="both"/>
        <w:rPr>
          <w:rFonts w:eastAsia="Arial"/>
          <w:b/>
          <w:bCs/>
          <w:i/>
          <w:iCs/>
          <w:sz w:val="24"/>
          <w:szCs w:val="24"/>
        </w:rPr>
      </w:pPr>
    </w:p>
    <w:p w14:paraId="4C630710" w14:textId="77777777" w:rsidR="00721EF9" w:rsidRDefault="00721EF9" w:rsidP="002C6910">
      <w:pPr>
        <w:spacing w:line="360" w:lineRule="auto"/>
        <w:ind w:right="100"/>
        <w:jc w:val="both"/>
        <w:rPr>
          <w:rFonts w:eastAsia="Arial"/>
          <w:b/>
          <w:bCs/>
          <w:i/>
          <w:iCs/>
          <w:sz w:val="24"/>
          <w:szCs w:val="24"/>
        </w:rPr>
      </w:pPr>
    </w:p>
    <w:p w14:paraId="003D6E22" w14:textId="77777777" w:rsidR="00721EF9" w:rsidRDefault="00721EF9" w:rsidP="002C6910">
      <w:pPr>
        <w:spacing w:line="360" w:lineRule="auto"/>
        <w:ind w:right="100"/>
        <w:jc w:val="both"/>
        <w:rPr>
          <w:rFonts w:eastAsia="Arial"/>
          <w:b/>
          <w:bCs/>
          <w:i/>
          <w:iCs/>
          <w:sz w:val="24"/>
          <w:szCs w:val="24"/>
        </w:rPr>
      </w:pPr>
    </w:p>
    <w:p w14:paraId="2DE6B9D7" w14:textId="77777777" w:rsidR="00721EF9" w:rsidRDefault="00721EF9" w:rsidP="002C6910">
      <w:pPr>
        <w:spacing w:line="360" w:lineRule="auto"/>
        <w:ind w:right="100"/>
        <w:jc w:val="both"/>
        <w:rPr>
          <w:rFonts w:eastAsia="Arial"/>
          <w:b/>
          <w:bCs/>
          <w:i/>
          <w:iCs/>
          <w:sz w:val="24"/>
          <w:szCs w:val="24"/>
        </w:rPr>
      </w:pPr>
    </w:p>
    <w:p w14:paraId="6C223666" w14:textId="77777777" w:rsidR="004A5C1C" w:rsidRDefault="004A5C1C" w:rsidP="002C6910">
      <w:pPr>
        <w:spacing w:line="360" w:lineRule="auto"/>
        <w:jc w:val="both"/>
        <w:rPr>
          <w:rFonts w:eastAsia="Arial"/>
          <w:b/>
          <w:bCs/>
          <w:i/>
          <w:iCs/>
          <w:sz w:val="24"/>
          <w:szCs w:val="24"/>
        </w:rPr>
      </w:pPr>
    </w:p>
    <w:p w14:paraId="42211DF1" w14:textId="7A56B9C8" w:rsidR="00152E9D" w:rsidRPr="006D3DDC" w:rsidRDefault="079D2FA6" w:rsidP="002C6910">
      <w:pPr>
        <w:spacing w:line="360" w:lineRule="auto"/>
        <w:jc w:val="both"/>
        <w:rPr>
          <w:rFonts w:ascii="Arial" w:eastAsia="Arial" w:hAnsi="Arial" w:cs="Arial"/>
          <w:b/>
          <w:bCs/>
          <w:sz w:val="22"/>
          <w:szCs w:val="22"/>
        </w:rPr>
      </w:pPr>
      <w:r w:rsidRPr="006D3DDC">
        <w:rPr>
          <w:rFonts w:ascii="Arial" w:eastAsia="Arial" w:hAnsi="Arial" w:cs="Arial"/>
          <w:b/>
          <w:bCs/>
          <w:sz w:val="22"/>
          <w:szCs w:val="22"/>
        </w:rPr>
        <w:lastRenderedPageBreak/>
        <w:t xml:space="preserve">Introduction:  </w:t>
      </w:r>
    </w:p>
    <w:p w14:paraId="5022B3FE" w14:textId="218A62F2" w:rsidR="00112036" w:rsidRPr="006D3DDC" w:rsidRDefault="00112036" w:rsidP="002C6910">
      <w:pPr>
        <w:spacing w:line="360" w:lineRule="auto"/>
        <w:ind w:right="100"/>
        <w:jc w:val="both"/>
        <w:rPr>
          <w:rFonts w:ascii="Arial" w:hAnsi="Arial" w:cs="Arial"/>
          <w:sz w:val="22"/>
          <w:szCs w:val="22"/>
        </w:rPr>
      </w:pPr>
      <w:r w:rsidRPr="006D3DDC">
        <w:rPr>
          <w:rFonts w:ascii="Arial" w:hAnsi="Arial" w:cs="Arial"/>
          <w:sz w:val="22"/>
          <w:szCs w:val="22"/>
        </w:rPr>
        <w:t>Health inequalities are systematic, unfair and avoidable differences in health status, access to healthcare and wider quality of life that is noted in dissimilar population groups over a specific time frame</w:t>
      </w:r>
      <w:r w:rsidR="00C838F6" w:rsidRPr="006D3DDC">
        <w:rPr>
          <w:rFonts w:ascii="Arial" w:hAnsi="Arial" w:cs="Arial"/>
          <w:sz w:val="22"/>
          <w:szCs w:val="22"/>
        </w:rPr>
        <w:t xml:space="preserve"> (</w:t>
      </w:r>
      <w:proofErr w:type="spellStart"/>
      <w:r w:rsidR="00C838F6" w:rsidRPr="006D3DDC">
        <w:rPr>
          <w:rFonts w:ascii="Arial" w:hAnsi="Arial" w:cs="Arial"/>
          <w:sz w:val="22"/>
          <w:szCs w:val="22"/>
        </w:rPr>
        <w:t>Vineis</w:t>
      </w:r>
      <w:proofErr w:type="spellEnd"/>
      <w:r w:rsidR="00C838F6" w:rsidRPr="006D3DDC">
        <w:rPr>
          <w:rFonts w:ascii="Arial" w:hAnsi="Arial" w:cs="Arial"/>
          <w:sz w:val="22"/>
          <w:szCs w:val="22"/>
        </w:rPr>
        <w:t xml:space="preserve"> et al., 2020)</w:t>
      </w:r>
      <w:r w:rsidRPr="006D3DDC">
        <w:rPr>
          <w:rFonts w:ascii="Arial" w:hAnsi="Arial" w:cs="Arial"/>
          <w:sz w:val="22"/>
          <w:szCs w:val="22"/>
        </w:rPr>
        <w:t>. National statistics indicate that about 24% of the UK population is registered with any form of long-term disability of which mobility impairment and physical functioning limitations constitute a giant fraction of the target group</w:t>
      </w:r>
      <w:r w:rsidR="00C838F6" w:rsidRPr="006D3DDC">
        <w:rPr>
          <w:rFonts w:ascii="Arial" w:hAnsi="Arial" w:cs="Arial"/>
          <w:sz w:val="22"/>
          <w:szCs w:val="22"/>
        </w:rPr>
        <w:t xml:space="preserve"> (Activity Alliance, 2024)</w:t>
      </w:r>
      <w:r w:rsidRPr="006D3DDC">
        <w:rPr>
          <w:rFonts w:ascii="Arial" w:hAnsi="Arial" w:cs="Arial"/>
          <w:sz w:val="22"/>
          <w:szCs w:val="22"/>
        </w:rPr>
        <w:t xml:space="preserve">. Physical disability refers to a chronic impairment of your physical abilities </w:t>
      </w:r>
      <w:proofErr w:type="gramStart"/>
      <w:r w:rsidRPr="006D3DDC">
        <w:rPr>
          <w:rFonts w:ascii="Arial" w:hAnsi="Arial" w:cs="Arial"/>
          <w:sz w:val="22"/>
          <w:szCs w:val="22"/>
        </w:rPr>
        <w:t>in regard to</w:t>
      </w:r>
      <w:proofErr w:type="gramEnd"/>
      <w:r w:rsidRPr="006D3DDC">
        <w:rPr>
          <w:rFonts w:ascii="Arial" w:hAnsi="Arial" w:cs="Arial"/>
          <w:sz w:val="22"/>
          <w:szCs w:val="22"/>
        </w:rPr>
        <w:t xml:space="preserve"> body functionality, strength, or physical mobility, which predisposes people in a structurally disadvantaged position to be vulnerable to poor health outcomes</w:t>
      </w:r>
      <w:r w:rsidR="00C838F6" w:rsidRPr="006D3DDC">
        <w:rPr>
          <w:rFonts w:ascii="Arial" w:hAnsi="Arial" w:cs="Arial"/>
          <w:sz w:val="22"/>
          <w:szCs w:val="22"/>
        </w:rPr>
        <w:t xml:space="preserve"> (Martins et al., 2020)</w:t>
      </w:r>
      <w:r w:rsidRPr="006D3DDC">
        <w:rPr>
          <w:rFonts w:ascii="Arial" w:hAnsi="Arial" w:cs="Arial"/>
          <w:sz w:val="22"/>
          <w:szCs w:val="22"/>
        </w:rPr>
        <w:t>. The social model of disability explains that this vulnerability is not a mere biological unavoidability of underlying physical disability of a person. Rather, it is motivated by those environmental barriers functioning on a systemic level, inflexible institutional patterns, and social exclusion that are far-reaching and inhibit access to primary health resources</w:t>
      </w:r>
      <w:r w:rsidR="00C838F6" w:rsidRPr="006D3DDC">
        <w:rPr>
          <w:rFonts w:ascii="Arial" w:hAnsi="Arial" w:cs="Arial"/>
          <w:sz w:val="22"/>
          <w:szCs w:val="22"/>
        </w:rPr>
        <w:t xml:space="preserve"> </w:t>
      </w:r>
      <w:r w:rsidR="00912885" w:rsidRPr="006D3DDC">
        <w:rPr>
          <w:rFonts w:ascii="Arial" w:hAnsi="Arial" w:cs="Arial"/>
          <w:sz w:val="22"/>
          <w:szCs w:val="22"/>
        </w:rPr>
        <w:t>(Park et al., 2025)</w:t>
      </w:r>
      <w:r w:rsidRPr="006D3DDC">
        <w:rPr>
          <w:rFonts w:ascii="Arial" w:hAnsi="Arial" w:cs="Arial"/>
          <w:sz w:val="22"/>
          <w:szCs w:val="22"/>
        </w:rPr>
        <w:t>.</w:t>
      </w:r>
    </w:p>
    <w:p w14:paraId="64C02E3F" w14:textId="77777777" w:rsidR="00912885" w:rsidRPr="006D3DDC" w:rsidRDefault="00112036" w:rsidP="002C6910">
      <w:pPr>
        <w:spacing w:line="360" w:lineRule="auto"/>
        <w:ind w:right="100"/>
        <w:jc w:val="both"/>
        <w:rPr>
          <w:rFonts w:ascii="Arial" w:hAnsi="Arial" w:cs="Arial"/>
          <w:b/>
          <w:bCs/>
          <w:sz w:val="22"/>
          <w:szCs w:val="22"/>
        </w:rPr>
      </w:pPr>
      <w:r w:rsidRPr="006D3DDC">
        <w:rPr>
          <w:rFonts w:ascii="Arial" w:hAnsi="Arial" w:cs="Arial"/>
          <w:b/>
          <w:bCs/>
          <w:sz w:val="22"/>
          <w:szCs w:val="22"/>
        </w:rPr>
        <w:t>Background and context</w:t>
      </w:r>
    </w:p>
    <w:p w14:paraId="7D09A43F" w14:textId="77777777" w:rsidR="00112036" w:rsidRPr="006D3DDC" w:rsidRDefault="00112036" w:rsidP="002C6910">
      <w:pPr>
        <w:spacing w:line="360" w:lineRule="auto"/>
        <w:ind w:right="100"/>
        <w:jc w:val="both"/>
        <w:rPr>
          <w:rFonts w:ascii="Arial" w:eastAsia="Arial" w:hAnsi="Arial" w:cs="Arial"/>
          <w:b/>
          <w:bCs/>
          <w:i/>
          <w:iCs/>
          <w:sz w:val="22"/>
          <w:szCs w:val="22"/>
        </w:rPr>
      </w:pPr>
      <w:r w:rsidRPr="006D3DDC">
        <w:rPr>
          <w:rFonts w:ascii="Arial" w:eastAsia="Arial" w:hAnsi="Arial" w:cs="Arial"/>
          <w:b/>
          <w:bCs/>
          <w:i/>
          <w:iCs/>
          <w:sz w:val="22"/>
          <w:szCs w:val="22"/>
        </w:rPr>
        <w:t>Higher Rates of Cardiovascular Disease</w:t>
      </w:r>
    </w:p>
    <w:p w14:paraId="50A12C71" w14:textId="79FCCC16" w:rsidR="00112036" w:rsidRPr="006D3DDC" w:rsidRDefault="00112036" w:rsidP="002C6910">
      <w:pPr>
        <w:spacing w:line="360" w:lineRule="auto"/>
        <w:ind w:right="100"/>
        <w:jc w:val="both"/>
        <w:rPr>
          <w:rFonts w:ascii="Arial" w:eastAsia="Arial" w:hAnsi="Arial" w:cs="Arial"/>
          <w:sz w:val="22"/>
          <w:szCs w:val="22"/>
        </w:rPr>
      </w:pPr>
      <w:r w:rsidRPr="006D3DDC">
        <w:rPr>
          <w:rFonts w:ascii="Arial" w:eastAsia="Arial" w:hAnsi="Arial" w:cs="Arial"/>
          <w:sz w:val="22"/>
          <w:szCs w:val="22"/>
        </w:rPr>
        <w:t>Physically challenged adults in the UK demonstrate much higher levels of cardiovascular disease as compared to other population groups that do not have any physical challenges</w:t>
      </w:r>
      <w:r w:rsidR="00912885" w:rsidRPr="006D3DDC">
        <w:rPr>
          <w:rFonts w:ascii="Arial" w:eastAsia="Arial" w:hAnsi="Arial" w:cs="Arial"/>
          <w:sz w:val="22"/>
          <w:szCs w:val="22"/>
        </w:rPr>
        <w:t xml:space="preserve"> (Robinson, 2021)</w:t>
      </w:r>
      <w:r w:rsidRPr="006D3DDC">
        <w:rPr>
          <w:rFonts w:ascii="Arial" w:eastAsia="Arial" w:hAnsi="Arial" w:cs="Arial"/>
          <w:sz w:val="22"/>
          <w:szCs w:val="22"/>
        </w:rPr>
        <w:t xml:space="preserve">. According to </w:t>
      </w:r>
      <w:r w:rsidR="00912885" w:rsidRPr="006D3DDC">
        <w:rPr>
          <w:rFonts w:ascii="Arial" w:eastAsia="Arial" w:hAnsi="Arial" w:cs="Arial"/>
          <w:sz w:val="22"/>
          <w:szCs w:val="22"/>
        </w:rPr>
        <w:t>Broderick et al. (2025)</w:t>
      </w:r>
      <w:r w:rsidRPr="006D3DDC">
        <w:rPr>
          <w:rFonts w:ascii="Arial" w:eastAsia="Arial" w:hAnsi="Arial" w:cs="Arial"/>
          <w:sz w:val="22"/>
          <w:szCs w:val="22"/>
        </w:rPr>
        <w:t>, people with severe mobility or neuromotor impairment are at risk of coronary heart disease or ischemic stroke nearly twice. Such discrepancy occurs due to compelled recessive physical activities and lack of access to adaptive fitness facilities</w:t>
      </w:r>
      <w:r w:rsidR="00176499" w:rsidRPr="006D3DDC">
        <w:rPr>
          <w:rFonts w:ascii="Arial" w:eastAsia="Arial" w:hAnsi="Arial" w:cs="Arial"/>
          <w:sz w:val="22"/>
          <w:szCs w:val="22"/>
        </w:rPr>
        <w:t xml:space="preserve"> </w:t>
      </w:r>
      <w:r w:rsidR="00912885" w:rsidRPr="006D3DDC">
        <w:rPr>
          <w:rFonts w:ascii="Arial" w:eastAsia="Arial" w:hAnsi="Arial" w:cs="Arial"/>
          <w:sz w:val="22"/>
          <w:szCs w:val="22"/>
        </w:rPr>
        <w:t>(</w:t>
      </w:r>
      <w:r w:rsidR="0073632F" w:rsidRPr="006D3DDC">
        <w:rPr>
          <w:rFonts w:ascii="Arial" w:eastAsia="Arial" w:hAnsi="Arial" w:cs="Arial"/>
          <w:sz w:val="22"/>
          <w:szCs w:val="22"/>
        </w:rPr>
        <w:t>Banks et al., 2023</w:t>
      </w:r>
      <w:r w:rsidR="00912885" w:rsidRPr="006D3DDC">
        <w:rPr>
          <w:rFonts w:ascii="Arial" w:eastAsia="Arial" w:hAnsi="Arial" w:cs="Arial"/>
          <w:sz w:val="22"/>
          <w:szCs w:val="22"/>
        </w:rPr>
        <w:t>)</w:t>
      </w:r>
      <w:r w:rsidRPr="006D3DDC">
        <w:rPr>
          <w:rFonts w:ascii="Arial" w:eastAsia="Arial" w:hAnsi="Arial" w:cs="Arial"/>
          <w:sz w:val="22"/>
          <w:szCs w:val="22"/>
        </w:rPr>
        <w:t xml:space="preserve">. To eradicate this undue obstacle, community fitness facilities should be put in place by the public health networks and local clinical pathways should be developed to have exercise prescription programs. </w:t>
      </w:r>
    </w:p>
    <w:p w14:paraId="6074492D" w14:textId="77777777" w:rsidR="00112036" w:rsidRPr="006D3DDC" w:rsidRDefault="00112036" w:rsidP="002C6910">
      <w:pPr>
        <w:spacing w:line="360" w:lineRule="auto"/>
        <w:ind w:right="100"/>
        <w:jc w:val="both"/>
        <w:rPr>
          <w:rFonts w:ascii="Arial" w:eastAsia="Arial" w:hAnsi="Arial" w:cs="Arial"/>
          <w:b/>
          <w:bCs/>
          <w:i/>
          <w:iCs/>
          <w:sz w:val="22"/>
          <w:szCs w:val="22"/>
        </w:rPr>
      </w:pPr>
      <w:r w:rsidRPr="006D3DDC">
        <w:rPr>
          <w:rFonts w:ascii="Arial" w:eastAsia="Arial" w:hAnsi="Arial" w:cs="Arial"/>
          <w:b/>
          <w:bCs/>
          <w:i/>
          <w:iCs/>
          <w:sz w:val="22"/>
          <w:szCs w:val="22"/>
        </w:rPr>
        <w:t>Elevated Prevalence of Chronic Mental Illness</w:t>
      </w:r>
    </w:p>
    <w:p w14:paraId="00A9D127" w14:textId="722E57A2" w:rsidR="00112036" w:rsidRPr="006D3DDC" w:rsidRDefault="00112036" w:rsidP="002C6910">
      <w:pPr>
        <w:spacing w:line="360" w:lineRule="auto"/>
        <w:ind w:right="100"/>
        <w:jc w:val="both"/>
        <w:rPr>
          <w:rFonts w:ascii="Arial" w:eastAsia="Arial" w:hAnsi="Arial" w:cs="Arial"/>
          <w:sz w:val="22"/>
          <w:szCs w:val="22"/>
        </w:rPr>
      </w:pPr>
      <w:r w:rsidRPr="006D3DDC">
        <w:rPr>
          <w:rFonts w:ascii="Arial" w:eastAsia="Arial" w:hAnsi="Arial" w:cs="Arial"/>
          <w:sz w:val="22"/>
          <w:szCs w:val="22"/>
        </w:rPr>
        <w:t xml:space="preserve">The combination of long-term physical disabilities and systematic social and discrimination means that there is a </w:t>
      </w:r>
      <w:proofErr w:type="spellStart"/>
      <w:r w:rsidRPr="006D3DDC">
        <w:rPr>
          <w:rFonts w:ascii="Arial" w:eastAsia="Arial" w:hAnsi="Arial" w:cs="Arial"/>
          <w:sz w:val="22"/>
          <w:szCs w:val="22"/>
        </w:rPr>
        <w:t>disportionately</w:t>
      </w:r>
      <w:proofErr w:type="spellEnd"/>
      <w:r w:rsidRPr="006D3DDC">
        <w:rPr>
          <w:rFonts w:ascii="Arial" w:eastAsia="Arial" w:hAnsi="Arial" w:cs="Arial"/>
          <w:sz w:val="22"/>
          <w:szCs w:val="22"/>
        </w:rPr>
        <w:t xml:space="preserve"> high level of mental health in this group. Compared to the non-disabled adult populations, disabled adults are more likely to report having experienced major depressive disorder and severe generali</w:t>
      </w:r>
      <w:r w:rsidR="00024924" w:rsidRPr="006D3DDC">
        <w:rPr>
          <w:rFonts w:ascii="Arial" w:eastAsia="Arial" w:hAnsi="Arial" w:cs="Arial"/>
          <w:sz w:val="22"/>
          <w:szCs w:val="22"/>
        </w:rPr>
        <w:t>s</w:t>
      </w:r>
      <w:r w:rsidRPr="006D3DDC">
        <w:rPr>
          <w:rFonts w:ascii="Arial" w:eastAsia="Arial" w:hAnsi="Arial" w:cs="Arial"/>
          <w:sz w:val="22"/>
          <w:szCs w:val="22"/>
        </w:rPr>
        <w:t>ed anxiety more than three times</w:t>
      </w:r>
      <w:r w:rsidR="00912885" w:rsidRPr="006D3DDC">
        <w:rPr>
          <w:rFonts w:ascii="Arial" w:eastAsia="Arial" w:hAnsi="Arial" w:cs="Arial"/>
          <w:sz w:val="22"/>
          <w:szCs w:val="22"/>
        </w:rPr>
        <w:t xml:space="preserve"> (Halstead et al., 2024)</w:t>
      </w:r>
      <w:r w:rsidRPr="006D3DDC">
        <w:rPr>
          <w:rFonts w:ascii="Arial" w:eastAsia="Arial" w:hAnsi="Arial" w:cs="Arial"/>
          <w:sz w:val="22"/>
          <w:szCs w:val="22"/>
        </w:rPr>
        <w:t>. Addressing this health disparity needs to occur through structural incorporation of preventative mental health check-ups into physical care rehabilitation, and broadening of available, virtual, and locali</w:t>
      </w:r>
      <w:r w:rsidR="00024924" w:rsidRPr="006D3DDC">
        <w:rPr>
          <w:rFonts w:ascii="Arial" w:eastAsia="Arial" w:hAnsi="Arial" w:cs="Arial"/>
          <w:sz w:val="22"/>
          <w:szCs w:val="22"/>
        </w:rPr>
        <w:t>s</w:t>
      </w:r>
      <w:r w:rsidRPr="006D3DDC">
        <w:rPr>
          <w:rFonts w:ascii="Arial" w:eastAsia="Arial" w:hAnsi="Arial" w:cs="Arial"/>
          <w:sz w:val="22"/>
          <w:szCs w:val="22"/>
        </w:rPr>
        <w:t xml:space="preserve">ed cognitive therapy systems. </w:t>
      </w:r>
    </w:p>
    <w:p w14:paraId="17080218" w14:textId="77777777" w:rsidR="004A5C1C" w:rsidRPr="006D3DDC" w:rsidRDefault="004A5C1C" w:rsidP="002C6910">
      <w:pPr>
        <w:spacing w:line="360" w:lineRule="auto"/>
        <w:ind w:right="100"/>
        <w:jc w:val="both"/>
        <w:rPr>
          <w:rFonts w:ascii="Arial" w:eastAsia="Arial" w:hAnsi="Arial" w:cs="Arial"/>
          <w:sz w:val="22"/>
          <w:szCs w:val="22"/>
        </w:rPr>
      </w:pPr>
    </w:p>
    <w:p w14:paraId="5764C556" w14:textId="77777777" w:rsidR="004A5C1C" w:rsidRPr="006D3DDC" w:rsidRDefault="004A5C1C" w:rsidP="002C6910">
      <w:pPr>
        <w:spacing w:line="360" w:lineRule="auto"/>
        <w:ind w:right="100"/>
        <w:jc w:val="both"/>
        <w:rPr>
          <w:rFonts w:ascii="Arial" w:eastAsia="Arial" w:hAnsi="Arial" w:cs="Arial"/>
          <w:sz w:val="22"/>
          <w:szCs w:val="22"/>
        </w:rPr>
      </w:pPr>
    </w:p>
    <w:p w14:paraId="43E7755C" w14:textId="77777777" w:rsidR="00112036" w:rsidRPr="006D3DDC" w:rsidRDefault="00112036" w:rsidP="002C6910">
      <w:pPr>
        <w:spacing w:line="360" w:lineRule="auto"/>
        <w:ind w:right="100"/>
        <w:jc w:val="both"/>
        <w:rPr>
          <w:rFonts w:ascii="Arial" w:eastAsia="Arial" w:hAnsi="Arial" w:cs="Arial"/>
          <w:b/>
          <w:bCs/>
          <w:i/>
          <w:iCs/>
          <w:sz w:val="22"/>
          <w:szCs w:val="22"/>
        </w:rPr>
      </w:pPr>
      <w:r w:rsidRPr="006D3DDC">
        <w:rPr>
          <w:rFonts w:ascii="Arial" w:eastAsia="Arial" w:hAnsi="Arial" w:cs="Arial"/>
          <w:b/>
          <w:bCs/>
          <w:i/>
          <w:iCs/>
          <w:sz w:val="22"/>
          <w:szCs w:val="22"/>
        </w:rPr>
        <w:t>Increased Mortality Rates</w:t>
      </w:r>
    </w:p>
    <w:p w14:paraId="026BA30B" w14:textId="661F38DC" w:rsidR="00112036" w:rsidRPr="006D3DDC" w:rsidRDefault="00112036" w:rsidP="002C6910">
      <w:pPr>
        <w:spacing w:line="360" w:lineRule="auto"/>
        <w:ind w:right="100"/>
        <w:jc w:val="both"/>
        <w:rPr>
          <w:rFonts w:ascii="Arial" w:eastAsia="Arial" w:hAnsi="Arial" w:cs="Arial"/>
          <w:sz w:val="22"/>
          <w:szCs w:val="22"/>
        </w:rPr>
      </w:pPr>
      <w:r w:rsidRPr="006D3DDC">
        <w:rPr>
          <w:rFonts w:ascii="Arial" w:eastAsia="Arial" w:hAnsi="Arial" w:cs="Arial"/>
          <w:sz w:val="22"/>
          <w:szCs w:val="22"/>
        </w:rPr>
        <w:t>The tracking of adult health outcome across England illustrates a definite social differentiation as physically impaired people experience high premature mortality rates.</w:t>
      </w:r>
      <w:r w:rsidR="00912885" w:rsidRPr="006D3DDC">
        <w:rPr>
          <w:rFonts w:ascii="Arial" w:eastAsia="Arial" w:hAnsi="Arial" w:cs="Arial"/>
          <w:sz w:val="22"/>
          <w:szCs w:val="22"/>
        </w:rPr>
        <w:t xml:space="preserve"> The proportion of deaths attributable to socioeconomic inequality is </w:t>
      </w:r>
      <w:r w:rsidR="00912885" w:rsidRPr="006D3DDC">
        <w:rPr>
          <w:rFonts w:ascii="Arial" w:eastAsia="Arial" w:hAnsi="Arial" w:cs="Arial"/>
          <w:b/>
          <w:bCs/>
          <w:sz w:val="22"/>
          <w:szCs w:val="22"/>
        </w:rPr>
        <w:t xml:space="preserve">higher in men (37%) than in women </w:t>
      </w:r>
      <w:r w:rsidR="00912885" w:rsidRPr="006D3DDC">
        <w:rPr>
          <w:rFonts w:ascii="Arial" w:eastAsia="Arial" w:hAnsi="Arial" w:cs="Arial"/>
          <w:b/>
          <w:bCs/>
          <w:sz w:val="22"/>
          <w:szCs w:val="22"/>
        </w:rPr>
        <w:lastRenderedPageBreak/>
        <w:t>(33%)</w:t>
      </w:r>
      <w:r w:rsidR="00912885" w:rsidRPr="006D3DDC">
        <w:rPr>
          <w:rFonts w:ascii="Arial" w:eastAsia="Arial" w:hAnsi="Arial" w:cs="Arial"/>
          <w:sz w:val="22"/>
          <w:szCs w:val="22"/>
        </w:rPr>
        <w:t xml:space="preserve"> (Lewer et al., 2020).</w:t>
      </w:r>
      <w:r w:rsidRPr="006D3DDC">
        <w:rPr>
          <w:rFonts w:ascii="Arial" w:eastAsia="Arial" w:hAnsi="Arial" w:cs="Arial"/>
          <w:sz w:val="22"/>
          <w:szCs w:val="22"/>
        </w:rPr>
        <w:t xml:space="preserve"> Reducing this death gap needs local health boards to </w:t>
      </w:r>
      <w:r w:rsidR="00222D6E" w:rsidRPr="006D3DDC">
        <w:rPr>
          <w:rFonts w:ascii="Arial" w:eastAsia="Arial" w:hAnsi="Arial" w:cs="Arial"/>
          <w:sz w:val="22"/>
          <w:szCs w:val="22"/>
        </w:rPr>
        <w:t>support</w:t>
      </w:r>
      <w:r w:rsidRPr="006D3DDC">
        <w:rPr>
          <w:rFonts w:ascii="Arial" w:eastAsia="Arial" w:hAnsi="Arial" w:cs="Arial"/>
          <w:sz w:val="22"/>
          <w:szCs w:val="22"/>
        </w:rPr>
        <w:t xml:space="preserve"> convenient screening hubs on cell phones, implement compulsory access to heightened scanning bed, and subsidize selective clinical outreach programs. </w:t>
      </w:r>
    </w:p>
    <w:p w14:paraId="765A9F7E" w14:textId="77777777" w:rsidR="00112036" w:rsidRPr="006D3DDC" w:rsidRDefault="00112036" w:rsidP="002C6910">
      <w:pPr>
        <w:spacing w:line="360" w:lineRule="auto"/>
        <w:ind w:right="100"/>
        <w:jc w:val="both"/>
        <w:rPr>
          <w:rFonts w:ascii="Arial" w:eastAsia="Arial" w:hAnsi="Arial" w:cs="Arial"/>
          <w:b/>
          <w:bCs/>
          <w:i/>
          <w:iCs/>
          <w:sz w:val="22"/>
          <w:szCs w:val="22"/>
        </w:rPr>
      </w:pPr>
      <w:r w:rsidRPr="006D3DDC">
        <w:rPr>
          <w:rFonts w:ascii="Arial" w:eastAsia="Arial" w:hAnsi="Arial" w:cs="Arial"/>
          <w:b/>
          <w:bCs/>
          <w:i/>
          <w:iCs/>
          <w:sz w:val="22"/>
          <w:szCs w:val="22"/>
        </w:rPr>
        <w:t>Socioeconomic Poverty</w:t>
      </w:r>
    </w:p>
    <w:p w14:paraId="0DA599B4" w14:textId="4B7EE633" w:rsidR="00112036" w:rsidRPr="006D3DDC" w:rsidRDefault="00112036" w:rsidP="002C6910">
      <w:pPr>
        <w:spacing w:line="360" w:lineRule="auto"/>
        <w:ind w:right="100"/>
        <w:jc w:val="both"/>
        <w:rPr>
          <w:rFonts w:ascii="Arial" w:eastAsia="Arial" w:hAnsi="Arial" w:cs="Arial"/>
          <w:sz w:val="22"/>
          <w:szCs w:val="22"/>
        </w:rPr>
      </w:pPr>
      <w:r w:rsidRPr="006D3DDC">
        <w:rPr>
          <w:rFonts w:ascii="Arial" w:eastAsia="Arial" w:hAnsi="Arial" w:cs="Arial"/>
          <w:sz w:val="22"/>
          <w:szCs w:val="22"/>
        </w:rPr>
        <w:t>The inequalities in health are predominantly dependent on the socioeconomic factor in the UK. Adults living with physical disabilities face an urgent loss of employment, and the full-time employment proportions of them are significantly lower than non-disabled groups, about 30 percent points less</w:t>
      </w:r>
      <w:r w:rsidR="00912885" w:rsidRPr="006D3DDC">
        <w:rPr>
          <w:rFonts w:ascii="Arial" w:eastAsia="Arial" w:hAnsi="Arial" w:cs="Arial"/>
          <w:sz w:val="22"/>
          <w:szCs w:val="22"/>
        </w:rPr>
        <w:t xml:space="preserve"> (Banks et al., 2023)</w:t>
      </w:r>
      <w:r w:rsidRPr="006D3DDC">
        <w:rPr>
          <w:rFonts w:ascii="Arial" w:eastAsia="Arial" w:hAnsi="Arial" w:cs="Arial"/>
          <w:sz w:val="22"/>
          <w:szCs w:val="22"/>
        </w:rPr>
        <w:t xml:space="preserve">. Such institutional exclusion puts disabled people at risk of everywhere material deprivation, food insecurity, and fuel poverty. </w:t>
      </w:r>
    </w:p>
    <w:p w14:paraId="25065700" w14:textId="77777777" w:rsidR="00112036" w:rsidRPr="006D3DDC" w:rsidRDefault="00112036" w:rsidP="002C6910">
      <w:pPr>
        <w:spacing w:line="360" w:lineRule="auto"/>
        <w:ind w:right="100"/>
        <w:jc w:val="both"/>
        <w:rPr>
          <w:rFonts w:ascii="Arial" w:eastAsia="Arial" w:hAnsi="Arial" w:cs="Arial"/>
          <w:b/>
          <w:bCs/>
          <w:i/>
          <w:iCs/>
          <w:sz w:val="22"/>
          <w:szCs w:val="22"/>
        </w:rPr>
      </w:pPr>
      <w:r w:rsidRPr="006D3DDC">
        <w:rPr>
          <w:rFonts w:ascii="Arial" w:eastAsia="Arial" w:hAnsi="Arial" w:cs="Arial"/>
          <w:b/>
          <w:bCs/>
          <w:i/>
          <w:iCs/>
          <w:sz w:val="22"/>
          <w:szCs w:val="22"/>
        </w:rPr>
        <w:t>Housing Issues</w:t>
      </w:r>
    </w:p>
    <w:p w14:paraId="7F444ED9" w14:textId="295FC9CE" w:rsidR="00112036" w:rsidRPr="006D3DDC" w:rsidRDefault="00112036" w:rsidP="002C6910">
      <w:pPr>
        <w:spacing w:line="360" w:lineRule="auto"/>
        <w:ind w:right="100"/>
        <w:jc w:val="both"/>
        <w:rPr>
          <w:rFonts w:ascii="Arial" w:eastAsia="Arial" w:hAnsi="Arial" w:cs="Arial"/>
          <w:sz w:val="22"/>
          <w:szCs w:val="22"/>
        </w:rPr>
      </w:pPr>
      <w:r w:rsidRPr="006D3DDC">
        <w:rPr>
          <w:rFonts w:ascii="Arial" w:eastAsia="Arial" w:hAnsi="Arial" w:cs="Arial"/>
          <w:sz w:val="22"/>
          <w:szCs w:val="22"/>
        </w:rPr>
        <w:t xml:space="preserve">Direct effect of the domestic physical environment on the </w:t>
      </w:r>
      <w:proofErr w:type="gramStart"/>
      <w:r w:rsidRPr="006D3DDC">
        <w:rPr>
          <w:rFonts w:ascii="Arial" w:eastAsia="Arial" w:hAnsi="Arial" w:cs="Arial"/>
          <w:sz w:val="22"/>
          <w:szCs w:val="22"/>
        </w:rPr>
        <w:t>long term</w:t>
      </w:r>
      <w:proofErr w:type="gramEnd"/>
      <w:r w:rsidRPr="006D3DDC">
        <w:rPr>
          <w:rFonts w:ascii="Arial" w:eastAsia="Arial" w:hAnsi="Arial" w:cs="Arial"/>
          <w:sz w:val="22"/>
          <w:szCs w:val="22"/>
        </w:rPr>
        <w:t xml:space="preserve"> health is overwhelming but a large percentage of UK adults living with physical disabilities live in inaccessible homes. Modifications included in the current stock of social and private housing are seriously deficient in the basic changes, although such points as step-free access, broad doorways, or wet rooms</w:t>
      </w:r>
      <w:r w:rsidR="00912885" w:rsidRPr="006D3DDC">
        <w:rPr>
          <w:rFonts w:ascii="Arial" w:eastAsia="Arial" w:hAnsi="Arial" w:cs="Arial"/>
          <w:sz w:val="22"/>
          <w:szCs w:val="22"/>
        </w:rPr>
        <w:t xml:space="preserve"> (Murphy &amp; Emily, 2024)</w:t>
      </w:r>
      <w:r w:rsidRPr="006D3DDC">
        <w:rPr>
          <w:rFonts w:ascii="Arial" w:eastAsia="Arial" w:hAnsi="Arial" w:cs="Arial"/>
          <w:sz w:val="22"/>
          <w:szCs w:val="22"/>
        </w:rPr>
        <w:t>. Solutions to public health need to be implemented at local government on both ends, with tighter building codes as a requirement to ensure universal-accessibility designs on any new building, as well as grant-based funding of home upgrades.</w:t>
      </w:r>
    </w:p>
    <w:p w14:paraId="7A91CF58" w14:textId="75B85E43" w:rsidR="00112036" w:rsidRPr="006D3DDC" w:rsidRDefault="00112036" w:rsidP="002C6910">
      <w:pPr>
        <w:spacing w:line="360" w:lineRule="auto"/>
        <w:ind w:right="100"/>
        <w:jc w:val="both"/>
        <w:rPr>
          <w:rFonts w:ascii="Arial" w:eastAsia="Arial" w:hAnsi="Arial" w:cs="Arial"/>
          <w:b/>
          <w:bCs/>
          <w:i/>
          <w:iCs/>
          <w:sz w:val="22"/>
          <w:szCs w:val="22"/>
        </w:rPr>
      </w:pPr>
      <w:r w:rsidRPr="006D3DDC">
        <w:rPr>
          <w:rFonts w:ascii="Arial" w:eastAsia="Arial" w:hAnsi="Arial" w:cs="Arial"/>
          <w:b/>
          <w:bCs/>
          <w:i/>
          <w:iCs/>
          <w:sz w:val="22"/>
          <w:szCs w:val="22"/>
        </w:rPr>
        <w:t>Loneliness and Social Isolation</w:t>
      </w:r>
    </w:p>
    <w:p w14:paraId="46CC4E31" w14:textId="0E26F303" w:rsidR="00112036" w:rsidRPr="006D3DDC" w:rsidRDefault="00112036" w:rsidP="002C6910">
      <w:pPr>
        <w:spacing w:line="360" w:lineRule="auto"/>
        <w:ind w:right="100"/>
        <w:jc w:val="both"/>
        <w:rPr>
          <w:rFonts w:ascii="Arial" w:eastAsia="Arial" w:hAnsi="Arial" w:cs="Arial"/>
          <w:sz w:val="22"/>
          <w:szCs w:val="22"/>
        </w:rPr>
      </w:pPr>
      <w:r w:rsidRPr="006D3DDC">
        <w:rPr>
          <w:rFonts w:ascii="Arial" w:eastAsia="Arial" w:hAnsi="Arial" w:cs="Arial"/>
          <w:sz w:val="22"/>
          <w:szCs w:val="22"/>
        </w:rPr>
        <w:t>The socially isolated and perpetually lonely are the physically disabled who are disproportionately targets of predatory environments around infrastructural exclusion</w:t>
      </w:r>
      <w:r w:rsidR="00912885" w:rsidRPr="006D3DDC">
        <w:rPr>
          <w:rFonts w:ascii="Arial" w:eastAsia="Arial" w:hAnsi="Arial" w:cs="Arial"/>
          <w:sz w:val="22"/>
          <w:szCs w:val="22"/>
        </w:rPr>
        <w:t xml:space="preserve"> (Emerson et al., 2021)</w:t>
      </w:r>
      <w:r w:rsidRPr="006D3DDC">
        <w:rPr>
          <w:rFonts w:ascii="Arial" w:eastAsia="Arial" w:hAnsi="Arial" w:cs="Arial"/>
          <w:sz w:val="22"/>
          <w:szCs w:val="22"/>
        </w:rPr>
        <w:t>. Nationwide statistics point out that chronically lonely adults with disabilities are four times more than non-disabled adults are</w:t>
      </w:r>
      <w:r w:rsidR="00912885" w:rsidRPr="006D3DDC">
        <w:rPr>
          <w:rFonts w:ascii="Arial" w:eastAsia="Arial" w:hAnsi="Arial" w:cs="Arial"/>
          <w:sz w:val="22"/>
          <w:szCs w:val="22"/>
        </w:rPr>
        <w:t xml:space="preserve"> (Disability Unit, 2025)</w:t>
      </w:r>
      <w:r w:rsidRPr="006D3DDC">
        <w:rPr>
          <w:rFonts w:ascii="Arial" w:eastAsia="Arial" w:hAnsi="Arial" w:cs="Arial"/>
          <w:sz w:val="22"/>
          <w:szCs w:val="22"/>
        </w:rPr>
        <w:t>. This social exclusion has occurred due to unavailable public transport, physical inability of accessing community hubs and financial poverty.</w:t>
      </w:r>
    </w:p>
    <w:p w14:paraId="3BEFBFE4" w14:textId="77777777" w:rsidR="00112036" w:rsidRPr="006D3DDC" w:rsidRDefault="00112036" w:rsidP="002C6910">
      <w:pPr>
        <w:spacing w:line="360" w:lineRule="auto"/>
        <w:ind w:right="100"/>
        <w:jc w:val="both"/>
        <w:rPr>
          <w:rFonts w:ascii="Arial" w:eastAsia="Arial" w:hAnsi="Arial" w:cs="Arial"/>
          <w:b/>
          <w:bCs/>
          <w:i/>
          <w:iCs/>
          <w:sz w:val="22"/>
          <w:szCs w:val="22"/>
        </w:rPr>
      </w:pPr>
      <w:r w:rsidRPr="006D3DDC">
        <w:rPr>
          <w:rFonts w:ascii="Arial" w:eastAsia="Arial" w:hAnsi="Arial" w:cs="Arial"/>
          <w:b/>
          <w:bCs/>
          <w:i/>
          <w:iCs/>
          <w:sz w:val="22"/>
          <w:szCs w:val="22"/>
        </w:rPr>
        <w:t>National Response to reduce health inequalities in your chosen group</w:t>
      </w:r>
    </w:p>
    <w:p w14:paraId="7A36C430" w14:textId="1FD85A7A" w:rsidR="0073632F" w:rsidRDefault="00112036" w:rsidP="002C6910">
      <w:pPr>
        <w:spacing w:line="360" w:lineRule="auto"/>
        <w:ind w:right="100"/>
        <w:jc w:val="both"/>
        <w:rPr>
          <w:rFonts w:ascii="Arial" w:eastAsia="Arial" w:hAnsi="Arial" w:cs="Arial"/>
          <w:sz w:val="22"/>
          <w:szCs w:val="22"/>
        </w:rPr>
      </w:pPr>
      <w:r w:rsidRPr="006D3DDC">
        <w:rPr>
          <w:rFonts w:ascii="Arial" w:eastAsia="Arial" w:hAnsi="Arial" w:cs="Arial"/>
          <w:sz w:val="22"/>
          <w:szCs w:val="22"/>
        </w:rPr>
        <w:t xml:space="preserve">To cure health inequalities and lessen social injustice towards disabled people, the United Kingdom has put in place national systems of legislation and structure. The legal backbone of this initiative is the Equality Act in 2010 that safeguards the disabled in terms of </w:t>
      </w:r>
      <w:proofErr w:type="gramStart"/>
      <w:r w:rsidRPr="006D3DDC">
        <w:rPr>
          <w:rFonts w:ascii="Arial" w:eastAsia="Arial" w:hAnsi="Arial" w:cs="Arial"/>
          <w:sz w:val="22"/>
          <w:szCs w:val="22"/>
        </w:rPr>
        <w:t>discrimination</w:t>
      </w:r>
      <w:proofErr w:type="gramEnd"/>
      <w:r w:rsidRPr="006D3DDC">
        <w:rPr>
          <w:rFonts w:ascii="Arial" w:eastAsia="Arial" w:hAnsi="Arial" w:cs="Arial"/>
          <w:sz w:val="22"/>
          <w:szCs w:val="22"/>
        </w:rPr>
        <w:t xml:space="preserve"> and which creates the Public Sector Equality Duty</w:t>
      </w:r>
      <w:r w:rsidR="00912885" w:rsidRPr="006D3DDC">
        <w:rPr>
          <w:rFonts w:ascii="Arial" w:eastAsia="Arial" w:hAnsi="Arial" w:cs="Arial"/>
          <w:sz w:val="22"/>
          <w:szCs w:val="22"/>
        </w:rPr>
        <w:t xml:space="preserve"> (Bhopal, 2022)</w:t>
      </w:r>
      <w:r w:rsidRPr="006D3DDC">
        <w:rPr>
          <w:rFonts w:ascii="Arial" w:eastAsia="Arial" w:hAnsi="Arial" w:cs="Arial"/>
          <w:sz w:val="22"/>
          <w:szCs w:val="22"/>
        </w:rPr>
        <w:t xml:space="preserve">. </w:t>
      </w:r>
      <w:r w:rsidR="0073632F" w:rsidRPr="006D3DDC">
        <w:rPr>
          <w:rFonts w:ascii="Arial" w:eastAsia="Arial" w:hAnsi="Arial" w:cs="Arial"/>
          <w:sz w:val="22"/>
          <w:szCs w:val="22"/>
        </w:rPr>
        <w:t>However, despite its strong legal framework, enforcement remains inconsistent, meaning many disabled people continue to experience barriers to accessing equitable healthcare and public services</w:t>
      </w:r>
      <w:r w:rsidRPr="006D3DDC">
        <w:rPr>
          <w:rFonts w:ascii="Arial" w:eastAsia="Arial" w:hAnsi="Arial" w:cs="Arial"/>
          <w:sz w:val="22"/>
          <w:szCs w:val="22"/>
        </w:rPr>
        <w:t>. Simultaneously, the Core20PLUS5 framework that is aimed at eliminating healthcare inequalities was introduced in the NHS England</w:t>
      </w:r>
      <w:r w:rsidR="00CE6837" w:rsidRPr="006D3DDC">
        <w:rPr>
          <w:rFonts w:ascii="Arial" w:eastAsia="Arial" w:hAnsi="Arial" w:cs="Arial"/>
          <w:sz w:val="22"/>
          <w:szCs w:val="22"/>
        </w:rPr>
        <w:t xml:space="preserve"> (Elliott et al., 2025)</w:t>
      </w:r>
      <w:r w:rsidRPr="006D3DDC">
        <w:rPr>
          <w:rFonts w:ascii="Arial" w:eastAsia="Arial" w:hAnsi="Arial" w:cs="Arial"/>
          <w:sz w:val="22"/>
          <w:szCs w:val="22"/>
        </w:rPr>
        <w:t xml:space="preserve">. </w:t>
      </w:r>
      <w:r w:rsidR="0073632F" w:rsidRPr="006D3DDC">
        <w:rPr>
          <w:rFonts w:ascii="Arial" w:eastAsia="Arial" w:hAnsi="Arial" w:cs="Arial"/>
          <w:sz w:val="22"/>
          <w:szCs w:val="22"/>
        </w:rPr>
        <w:t xml:space="preserve">This is a legal obligation of the public authorities such as the NHS </w:t>
      </w:r>
      <w:proofErr w:type="gramStart"/>
      <w:r w:rsidR="0073632F" w:rsidRPr="006D3DDC">
        <w:rPr>
          <w:rFonts w:ascii="Arial" w:eastAsia="Arial" w:hAnsi="Arial" w:cs="Arial"/>
          <w:sz w:val="22"/>
          <w:szCs w:val="22"/>
        </w:rPr>
        <w:t>England</w:t>
      </w:r>
      <w:proofErr w:type="gramEnd"/>
      <w:r w:rsidR="0073632F" w:rsidRPr="006D3DDC">
        <w:rPr>
          <w:rFonts w:ascii="Arial" w:eastAsia="Arial" w:hAnsi="Arial" w:cs="Arial"/>
          <w:sz w:val="22"/>
          <w:szCs w:val="22"/>
        </w:rPr>
        <w:t xml:space="preserve"> and they must actively design services that would remove inequality of opportunity.</w:t>
      </w:r>
    </w:p>
    <w:p w14:paraId="4D5935E3" w14:textId="77777777" w:rsidR="006D3DDC" w:rsidRDefault="006D3DDC" w:rsidP="002C6910">
      <w:pPr>
        <w:spacing w:line="360" w:lineRule="auto"/>
        <w:ind w:right="100"/>
        <w:jc w:val="both"/>
        <w:rPr>
          <w:rFonts w:ascii="Arial" w:eastAsia="Arial" w:hAnsi="Arial" w:cs="Arial"/>
          <w:sz w:val="22"/>
          <w:szCs w:val="22"/>
        </w:rPr>
      </w:pPr>
    </w:p>
    <w:p w14:paraId="1394D59F" w14:textId="77777777" w:rsidR="006D3DDC" w:rsidRPr="006D3DDC" w:rsidRDefault="006D3DDC" w:rsidP="002C6910">
      <w:pPr>
        <w:spacing w:line="360" w:lineRule="auto"/>
        <w:ind w:right="100"/>
        <w:jc w:val="both"/>
        <w:rPr>
          <w:rFonts w:ascii="Arial" w:eastAsia="Arial" w:hAnsi="Arial" w:cs="Arial"/>
          <w:sz w:val="22"/>
          <w:szCs w:val="22"/>
        </w:rPr>
      </w:pPr>
    </w:p>
    <w:p w14:paraId="0C583159" w14:textId="7C9AFAB3" w:rsidR="00112036" w:rsidRPr="006D3DDC" w:rsidRDefault="00112036" w:rsidP="002C6910">
      <w:pPr>
        <w:spacing w:line="360" w:lineRule="auto"/>
        <w:ind w:right="100"/>
        <w:jc w:val="both"/>
        <w:rPr>
          <w:rFonts w:ascii="Arial" w:eastAsia="Arial" w:hAnsi="Arial" w:cs="Arial"/>
          <w:sz w:val="22"/>
          <w:szCs w:val="22"/>
        </w:rPr>
      </w:pPr>
      <w:r w:rsidRPr="006D3DDC">
        <w:rPr>
          <w:rFonts w:ascii="Arial" w:hAnsi="Arial" w:cs="Arial"/>
          <w:b/>
          <w:bCs/>
          <w:i/>
          <w:iCs/>
          <w:sz w:val="22"/>
          <w:szCs w:val="22"/>
        </w:rPr>
        <w:lastRenderedPageBreak/>
        <w:t>Organisations that support chosen group</w:t>
      </w:r>
    </w:p>
    <w:p w14:paraId="6D6D8E96" w14:textId="0CB7976A" w:rsidR="00112036" w:rsidRPr="006D3DDC" w:rsidRDefault="00112036" w:rsidP="002C6910">
      <w:pPr>
        <w:spacing w:line="360" w:lineRule="auto"/>
        <w:ind w:right="100"/>
        <w:jc w:val="both"/>
        <w:rPr>
          <w:rFonts w:ascii="Arial" w:hAnsi="Arial" w:cs="Arial"/>
          <w:sz w:val="22"/>
          <w:szCs w:val="22"/>
        </w:rPr>
      </w:pPr>
      <w:r w:rsidRPr="006D3DDC">
        <w:rPr>
          <w:rFonts w:ascii="Arial" w:hAnsi="Arial" w:cs="Arial"/>
          <w:sz w:val="22"/>
          <w:szCs w:val="22"/>
        </w:rPr>
        <w:t>The organi</w:t>
      </w:r>
      <w:r w:rsidR="00024924" w:rsidRPr="006D3DDC">
        <w:rPr>
          <w:rFonts w:ascii="Arial" w:hAnsi="Arial" w:cs="Arial"/>
          <w:sz w:val="22"/>
          <w:szCs w:val="22"/>
        </w:rPr>
        <w:t>s</w:t>
      </w:r>
      <w:r w:rsidRPr="006D3DDC">
        <w:rPr>
          <w:rFonts w:ascii="Arial" w:hAnsi="Arial" w:cs="Arial"/>
          <w:sz w:val="22"/>
          <w:szCs w:val="22"/>
        </w:rPr>
        <w:t>ations in the voluntary sector and the national charities play a critical role in the identification and minimi</w:t>
      </w:r>
      <w:r w:rsidR="00024924" w:rsidRPr="006D3DDC">
        <w:rPr>
          <w:rFonts w:ascii="Arial" w:hAnsi="Arial" w:cs="Arial"/>
          <w:sz w:val="22"/>
          <w:szCs w:val="22"/>
        </w:rPr>
        <w:t>s</w:t>
      </w:r>
      <w:r w:rsidRPr="006D3DDC">
        <w:rPr>
          <w:rFonts w:ascii="Arial" w:hAnsi="Arial" w:cs="Arial"/>
          <w:sz w:val="22"/>
          <w:szCs w:val="22"/>
        </w:rPr>
        <w:t>ation of the health inequalities and social injustices of adults with physical disabilities in the UK. Scope UK is a leading charity in disability equality, which aims at providing systemic structural equality and breaking ableist biases in the society</w:t>
      </w:r>
      <w:r w:rsidR="00CE6837" w:rsidRPr="006D3DDC">
        <w:rPr>
          <w:rFonts w:ascii="Arial" w:hAnsi="Arial" w:cs="Arial"/>
          <w:sz w:val="22"/>
          <w:szCs w:val="22"/>
        </w:rPr>
        <w:t xml:space="preserve"> (Scope UK, 2019)</w:t>
      </w:r>
      <w:r w:rsidRPr="006D3DDC">
        <w:rPr>
          <w:rFonts w:ascii="Arial" w:hAnsi="Arial" w:cs="Arial"/>
          <w:sz w:val="22"/>
          <w:szCs w:val="22"/>
        </w:rPr>
        <w:t>. Scope UK offers a host of direct services with Support to Work program being one of them, which remotely coaches job seekers with disabilities to obtain and sustain jobs. The charity also has a free helpline which is independent and is available to advise on getting through social care, getting adaptations to housing, and benefits based on disability</w:t>
      </w:r>
      <w:r w:rsidR="00CE6837" w:rsidRPr="006D3DDC">
        <w:rPr>
          <w:rFonts w:ascii="Arial" w:hAnsi="Arial" w:cs="Arial"/>
          <w:sz w:val="22"/>
          <w:szCs w:val="22"/>
        </w:rPr>
        <w:t xml:space="preserve"> (Scope UK, 2019)</w:t>
      </w:r>
      <w:r w:rsidRPr="006D3DDC">
        <w:rPr>
          <w:rFonts w:ascii="Arial" w:hAnsi="Arial" w:cs="Arial"/>
          <w:sz w:val="22"/>
          <w:szCs w:val="22"/>
        </w:rPr>
        <w:t xml:space="preserve">. Their landmark series of research on Disability Price Tag indicates that typical disabled households are striving to meet an identical standard of living because of having extra average, but unavoidable, costs adding up to a total of £975 of extra monthly living costs. </w:t>
      </w:r>
    </w:p>
    <w:p w14:paraId="1F04036F" w14:textId="77777777" w:rsidR="00112036" w:rsidRPr="006D3DDC" w:rsidRDefault="00112036" w:rsidP="002C6910">
      <w:pPr>
        <w:spacing w:line="360" w:lineRule="auto"/>
        <w:ind w:right="100"/>
        <w:jc w:val="both"/>
        <w:rPr>
          <w:rFonts w:ascii="Arial" w:hAnsi="Arial" w:cs="Arial"/>
          <w:b/>
          <w:bCs/>
          <w:i/>
          <w:iCs/>
          <w:sz w:val="22"/>
          <w:szCs w:val="22"/>
        </w:rPr>
      </w:pPr>
      <w:r w:rsidRPr="006D3DDC">
        <w:rPr>
          <w:rFonts w:ascii="Arial" w:hAnsi="Arial" w:cs="Arial"/>
          <w:b/>
          <w:bCs/>
          <w:i/>
          <w:iCs/>
          <w:sz w:val="22"/>
          <w:szCs w:val="22"/>
        </w:rPr>
        <w:t>Conclusion</w:t>
      </w:r>
    </w:p>
    <w:p w14:paraId="778175D6" w14:textId="7A3869DD" w:rsidR="00152E9D" w:rsidRPr="006D3DDC" w:rsidRDefault="00112036" w:rsidP="002C6910">
      <w:pPr>
        <w:spacing w:line="360" w:lineRule="auto"/>
        <w:ind w:right="100"/>
        <w:jc w:val="both"/>
        <w:rPr>
          <w:rFonts w:ascii="Arial" w:hAnsi="Arial" w:cs="Arial"/>
          <w:sz w:val="22"/>
          <w:szCs w:val="22"/>
        </w:rPr>
      </w:pPr>
      <w:r w:rsidRPr="006D3DDC">
        <w:rPr>
          <w:rFonts w:ascii="Arial" w:hAnsi="Arial" w:cs="Arial"/>
          <w:sz w:val="22"/>
          <w:szCs w:val="22"/>
        </w:rPr>
        <w:t>To sum up, physical disabled adults in the United Kingdom are still vehemently affected by interacting health disparities and profound social injustice. This social epidemiological study has revealed that high levels of cardiovascular disease, mental illness and premature mortality are not mere biological givenness. Rather, they are propelled by systemic failures of the social determinants of health of economic marginali</w:t>
      </w:r>
      <w:r w:rsidR="00024924" w:rsidRPr="006D3DDC">
        <w:rPr>
          <w:rFonts w:ascii="Arial" w:hAnsi="Arial" w:cs="Arial"/>
          <w:sz w:val="22"/>
          <w:szCs w:val="22"/>
        </w:rPr>
        <w:t>s</w:t>
      </w:r>
      <w:r w:rsidRPr="006D3DDC">
        <w:rPr>
          <w:rFonts w:ascii="Arial" w:hAnsi="Arial" w:cs="Arial"/>
          <w:sz w:val="22"/>
          <w:szCs w:val="22"/>
        </w:rPr>
        <w:t xml:space="preserve">ation, inadequately adapted housing and compelled social isolation. Although legislative procedures such as the Equality Act 2010 and specific advocacy by charities such as the Scope UK offer a substantial base, to eradicate such inequalities, it is likely to take a significant change. </w:t>
      </w:r>
      <w:r w:rsidR="0073632F" w:rsidRPr="006D3DDC">
        <w:rPr>
          <w:rFonts w:ascii="Arial" w:hAnsi="Arial" w:cs="Arial"/>
          <w:sz w:val="22"/>
          <w:szCs w:val="22"/>
        </w:rPr>
        <w:t xml:space="preserve">Going forward, these inequalities </w:t>
      </w:r>
      <w:proofErr w:type="spellStart"/>
      <w:r w:rsidR="0073632F" w:rsidRPr="006D3DDC">
        <w:rPr>
          <w:rFonts w:ascii="Arial" w:hAnsi="Arial" w:cs="Arial"/>
          <w:sz w:val="22"/>
          <w:szCs w:val="22"/>
        </w:rPr>
        <w:t>can not</w:t>
      </w:r>
      <w:proofErr w:type="spellEnd"/>
      <w:r w:rsidR="0073632F" w:rsidRPr="006D3DDC">
        <w:rPr>
          <w:rFonts w:ascii="Arial" w:hAnsi="Arial" w:cs="Arial"/>
          <w:sz w:val="22"/>
          <w:szCs w:val="22"/>
        </w:rPr>
        <w:t xml:space="preserve"> be eliminated unless there is a continued focus on building accessible healthcare facilities, enhanced co-operation between health, social care and housing services, regular tracking of disability outcomes and meaningful representation of disabled people in the co-design and assessment of public health policies and programmes.</w:t>
      </w:r>
    </w:p>
    <w:p w14:paraId="084271D2" w14:textId="78152E59" w:rsidR="00112036" w:rsidRPr="006D3DDC" w:rsidRDefault="00112036" w:rsidP="002C6910">
      <w:pPr>
        <w:spacing w:line="360" w:lineRule="auto"/>
        <w:jc w:val="both"/>
        <w:rPr>
          <w:rFonts w:ascii="Arial" w:hAnsi="Arial" w:cs="Arial"/>
          <w:sz w:val="22"/>
          <w:szCs w:val="22"/>
        </w:rPr>
      </w:pPr>
      <w:r w:rsidRPr="006D3DDC">
        <w:rPr>
          <w:rFonts w:ascii="Arial" w:hAnsi="Arial" w:cs="Arial"/>
          <w:sz w:val="22"/>
          <w:szCs w:val="22"/>
        </w:rPr>
        <w:br w:type="page"/>
      </w:r>
    </w:p>
    <w:p w14:paraId="1204FF9B" w14:textId="67306AF9" w:rsidR="00152E9D" w:rsidRPr="006D3DDC" w:rsidRDefault="079D2FA6" w:rsidP="002C6910">
      <w:pPr>
        <w:spacing w:line="360" w:lineRule="auto"/>
        <w:ind w:left="715" w:hanging="10"/>
        <w:jc w:val="both"/>
        <w:rPr>
          <w:rFonts w:ascii="Arial" w:hAnsi="Arial" w:cs="Arial"/>
          <w:sz w:val="22"/>
          <w:szCs w:val="22"/>
        </w:rPr>
      </w:pPr>
      <w:r w:rsidRPr="006D3DDC">
        <w:rPr>
          <w:rFonts w:ascii="Arial" w:eastAsia="Arial" w:hAnsi="Arial" w:cs="Arial"/>
          <w:b/>
          <w:bCs/>
          <w:sz w:val="22"/>
          <w:szCs w:val="22"/>
        </w:rPr>
        <w:lastRenderedPageBreak/>
        <w:t xml:space="preserve">Task 2:  Epidemiological Analysis (1500 words) </w:t>
      </w:r>
    </w:p>
    <w:p w14:paraId="4D3CAC6E" w14:textId="77777777" w:rsidR="00112036" w:rsidRPr="006D3DDC" w:rsidRDefault="00112036" w:rsidP="002C6910">
      <w:pPr>
        <w:spacing w:line="360" w:lineRule="auto"/>
        <w:jc w:val="both"/>
        <w:rPr>
          <w:rFonts w:ascii="Arial" w:eastAsia="Arial" w:hAnsi="Arial" w:cs="Arial"/>
          <w:b/>
          <w:bCs/>
          <w:i/>
          <w:iCs/>
          <w:sz w:val="22"/>
          <w:szCs w:val="22"/>
        </w:rPr>
      </w:pPr>
      <w:r w:rsidRPr="006D3DDC">
        <w:rPr>
          <w:rFonts w:ascii="Arial" w:eastAsia="Arial" w:hAnsi="Arial" w:cs="Arial"/>
          <w:b/>
          <w:bCs/>
          <w:i/>
          <w:iCs/>
          <w:sz w:val="22"/>
          <w:szCs w:val="22"/>
        </w:rPr>
        <w:t>Introduction</w:t>
      </w:r>
    </w:p>
    <w:p w14:paraId="2BAFD39A" w14:textId="406998B3" w:rsidR="00112036" w:rsidRPr="006D3DDC" w:rsidRDefault="00112036" w:rsidP="002C6910">
      <w:pPr>
        <w:spacing w:line="360" w:lineRule="auto"/>
        <w:jc w:val="both"/>
        <w:rPr>
          <w:rFonts w:ascii="Arial" w:eastAsia="Arial" w:hAnsi="Arial" w:cs="Arial"/>
          <w:sz w:val="22"/>
          <w:szCs w:val="22"/>
        </w:rPr>
      </w:pPr>
      <w:r w:rsidRPr="006D3DDC">
        <w:rPr>
          <w:rFonts w:ascii="Arial" w:eastAsia="Arial" w:hAnsi="Arial" w:cs="Arial"/>
          <w:sz w:val="22"/>
          <w:szCs w:val="22"/>
        </w:rPr>
        <w:t>Cerebrovascular disease as an acute ischemic stroke leads to a huge public health concern with high mortality rates, morbidity and significant socio-cultural devastation</w:t>
      </w:r>
      <w:r w:rsidR="00CE6837" w:rsidRPr="006D3DDC">
        <w:rPr>
          <w:rFonts w:ascii="Arial" w:eastAsia="Arial" w:hAnsi="Arial" w:cs="Arial"/>
          <w:sz w:val="22"/>
          <w:szCs w:val="22"/>
        </w:rPr>
        <w:t xml:space="preserve"> (Al-Kawaz et al., 2022)</w:t>
      </w:r>
      <w:r w:rsidRPr="006D3DDC">
        <w:rPr>
          <w:rFonts w:ascii="Arial" w:eastAsia="Arial" w:hAnsi="Arial" w:cs="Arial"/>
          <w:sz w:val="22"/>
          <w:szCs w:val="22"/>
        </w:rPr>
        <w:t>. Cerebrovascular disease results in long term disability in the world and is the cause of about 6.8 million deaths every year. Stroke has the population prevalence of approximately 2.2 in the United Kingdom, which leads to the occurrence of more than 100,000 acute events annually and represents an incredible percentage regarding disability-adjusted life years</w:t>
      </w:r>
      <w:r w:rsidR="00CE6837" w:rsidRPr="006D3DDC">
        <w:rPr>
          <w:rFonts w:ascii="Arial" w:eastAsia="Arial" w:hAnsi="Arial" w:cs="Arial"/>
          <w:sz w:val="22"/>
          <w:szCs w:val="22"/>
        </w:rPr>
        <w:t xml:space="preserve"> (Stroke Association, 2024)</w:t>
      </w:r>
      <w:r w:rsidRPr="006D3DDC">
        <w:rPr>
          <w:rFonts w:ascii="Arial" w:eastAsia="Arial" w:hAnsi="Arial" w:cs="Arial"/>
          <w:sz w:val="22"/>
          <w:szCs w:val="22"/>
        </w:rPr>
        <w:t xml:space="preserve">. The analytical report is a professional report, in which I am a Regional Epidemiologist, to look at the epidemiological processes that inform the identification, assessment and management of stroke in physically disabled adults in the London Borough of Lambeth. </w:t>
      </w:r>
    </w:p>
    <w:p w14:paraId="1355740B" w14:textId="77777777" w:rsidR="00112036" w:rsidRPr="006D3DDC" w:rsidRDefault="00112036" w:rsidP="002C6910">
      <w:pPr>
        <w:spacing w:line="360" w:lineRule="auto"/>
        <w:jc w:val="both"/>
        <w:rPr>
          <w:rFonts w:ascii="Arial" w:eastAsia="Arial" w:hAnsi="Arial" w:cs="Arial"/>
          <w:b/>
          <w:bCs/>
          <w:sz w:val="22"/>
          <w:szCs w:val="22"/>
        </w:rPr>
      </w:pPr>
      <w:r w:rsidRPr="006D3DDC">
        <w:rPr>
          <w:rFonts w:ascii="Arial" w:eastAsia="Arial" w:hAnsi="Arial" w:cs="Arial"/>
          <w:b/>
          <w:bCs/>
          <w:sz w:val="22"/>
          <w:szCs w:val="22"/>
        </w:rPr>
        <w:t>Main Body</w:t>
      </w:r>
    </w:p>
    <w:p w14:paraId="50518D35" w14:textId="61511693" w:rsidR="00112036" w:rsidRPr="006D3DDC" w:rsidRDefault="00112036" w:rsidP="002C6910">
      <w:pPr>
        <w:spacing w:line="360" w:lineRule="auto"/>
        <w:jc w:val="both"/>
        <w:rPr>
          <w:rFonts w:ascii="Arial" w:eastAsia="Arial" w:hAnsi="Arial" w:cs="Arial"/>
          <w:b/>
          <w:bCs/>
          <w:i/>
          <w:iCs/>
          <w:sz w:val="22"/>
          <w:szCs w:val="22"/>
        </w:rPr>
      </w:pPr>
      <w:r w:rsidRPr="006D3DDC">
        <w:rPr>
          <w:rFonts w:ascii="Arial" w:eastAsia="Arial" w:hAnsi="Arial" w:cs="Arial"/>
          <w:b/>
          <w:bCs/>
          <w:i/>
          <w:iCs/>
          <w:sz w:val="22"/>
          <w:szCs w:val="22"/>
        </w:rPr>
        <w:t>Public health measures available</w:t>
      </w:r>
    </w:p>
    <w:p w14:paraId="63A30178" w14:textId="4988499E" w:rsidR="00112036" w:rsidRPr="006D3DDC" w:rsidRDefault="00112036" w:rsidP="002C6910">
      <w:pPr>
        <w:spacing w:line="360" w:lineRule="auto"/>
        <w:jc w:val="both"/>
        <w:rPr>
          <w:rFonts w:ascii="Arial" w:eastAsia="Arial" w:hAnsi="Arial" w:cs="Arial"/>
          <w:sz w:val="22"/>
          <w:szCs w:val="22"/>
        </w:rPr>
      </w:pPr>
      <w:proofErr w:type="gramStart"/>
      <w:r w:rsidRPr="006D3DDC">
        <w:rPr>
          <w:rFonts w:ascii="Arial" w:eastAsia="Arial" w:hAnsi="Arial" w:cs="Arial"/>
          <w:sz w:val="22"/>
          <w:szCs w:val="22"/>
        </w:rPr>
        <w:t>In order to</w:t>
      </w:r>
      <w:proofErr w:type="gramEnd"/>
      <w:r w:rsidRPr="006D3DDC">
        <w:rPr>
          <w:rFonts w:ascii="Arial" w:eastAsia="Arial" w:hAnsi="Arial" w:cs="Arial"/>
          <w:sz w:val="22"/>
          <w:szCs w:val="22"/>
        </w:rPr>
        <w:t xml:space="preserve"> manage and mitigate the effects of ischemic stroke in physically disabled adults in Lambeth, the community should plan public health activities against the main framework of prevention, protection and promotion</w:t>
      </w:r>
      <w:r w:rsidR="00CE6837" w:rsidRPr="006D3DDC">
        <w:rPr>
          <w:rFonts w:ascii="Arial" w:eastAsia="Arial" w:hAnsi="Arial" w:cs="Arial"/>
          <w:sz w:val="22"/>
          <w:szCs w:val="22"/>
        </w:rPr>
        <w:t xml:space="preserve"> (Guy’s and St Thomas’ NHS Foundation Trust, 2024)</w:t>
      </w:r>
      <w:r w:rsidRPr="006D3DDC">
        <w:rPr>
          <w:rFonts w:ascii="Arial" w:eastAsia="Arial" w:hAnsi="Arial" w:cs="Arial"/>
          <w:sz w:val="22"/>
          <w:szCs w:val="22"/>
        </w:rPr>
        <w:t>. The primary prevention is aimed at maximi</w:t>
      </w:r>
      <w:r w:rsidR="00024924" w:rsidRPr="006D3DDC">
        <w:rPr>
          <w:rFonts w:ascii="Arial" w:eastAsia="Arial" w:hAnsi="Arial" w:cs="Arial"/>
          <w:sz w:val="22"/>
          <w:szCs w:val="22"/>
        </w:rPr>
        <w:t>s</w:t>
      </w:r>
      <w:r w:rsidRPr="006D3DDC">
        <w:rPr>
          <w:rFonts w:ascii="Arial" w:eastAsia="Arial" w:hAnsi="Arial" w:cs="Arial"/>
          <w:sz w:val="22"/>
          <w:szCs w:val="22"/>
        </w:rPr>
        <w:t xml:space="preserve">ing the treatment of underlying risk factors: that is, hypertension and atrial fibrillation in the context of primary care. In the case of disabled individuals, this will involve the use of mobile clinical teams that are able to administer NHS health check at homes </w:t>
      </w:r>
      <w:proofErr w:type="gramStart"/>
      <w:r w:rsidRPr="006D3DDC">
        <w:rPr>
          <w:rFonts w:ascii="Arial" w:eastAsia="Arial" w:hAnsi="Arial" w:cs="Arial"/>
          <w:sz w:val="22"/>
          <w:szCs w:val="22"/>
        </w:rPr>
        <w:t>so as to</w:t>
      </w:r>
      <w:proofErr w:type="gramEnd"/>
      <w:r w:rsidRPr="006D3DDC">
        <w:rPr>
          <w:rFonts w:ascii="Arial" w:eastAsia="Arial" w:hAnsi="Arial" w:cs="Arial"/>
          <w:sz w:val="22"/>
          <w:szCs w:val="22"/>
        </w:rPr>
        <w:t xml:space="preserve"> avoid obstacles of physical transport. </w:t>
      </w:r>
      <w:r w:rsidR="0073632F" w:rsidRPr="006D3DDC">
        <w:rPr>
          <w:rFonts w:ascii="Arial" w:eastAsia="Arial" w:hAnsi="Arial" w:cs="Arial"/>
          <w:sz w:val="22"/>
          <w:szCs w:val="22"/>
        </w:rPr>
        <w:t>This is backed up by Guy's and St Thomas' NHS Foundation Trust (2024) who offer community-based stroke and neuro-rehabilitation services with evidence that services that are closer to patients' homes can increase access, continuity of care and levels of functional recovery, particularly for those with mobility challenges</w:t>
      </w:r>
      <w:r w:rsidRPr="006D3DDC">
        <w:rPr>
          <w:rFonts w:ascii="Arial" w:eastAsia="Arial" w:hAnsi="Arial" w:cs="Arial"/>
          <w:sz w:val="22"/>
          <w:szCs w:val="22"/>
        </w:rPr>
        <w:t>. Health promotion emphasises the empowerment of disabled communities by interventions that are personalised with lifestyle. This involves collaborative designing of physical activity campaigns with disabled-led organi</w:t>
      </w:r>
      <w:r w:rsidR="00024924" w:rsidRPr="006D3DDC">
        <w:rPr>
          <w:rFonts w:ascii="Arial" w:eastAsia="Arial" w:hAnsi="Arial" w:cs="Arial"/>
          <w:sz w:val="22"/>
          <w:szCs w:val="22"/>
        </w:rPr>
        <w:t>s</w:t>
      </w:r>
      <w:r w:rsidRPr="006D3DDC">
        <w:rPr>
          <w:rFonts w:ascii="Arial" w:eastAsia="Arial" w:hAnsi="Arial" w:cs="Arial"/>
          <w:sz w:val="22"/>
          <w:szCs w:val="22"/>
        </w:rPr>
        <w:t xml:space="preserve">ations with a view of advocating adaptive exercises, and provision of stroke symptom awareness </w:t>
      </w:r>
      <w:proofErr w:type="spellStart"/>
      <w:r w:rsidRPr="006D3DDC">
        <w:rPr>
          <w:rFonts w:ascii="Arial" w:eastAsia="Arial" w:hAnsi="Arial" w:cs="Arial"/>
          <w:sz w:val="22"/>
          <w:szCs w:val="22"/>
        </w:rPr>
        <w:t>materals</w:t>
      </w:r>
      <w:proofErr w:type="spellEnd"/>
      <w:r w:rsidRPr="006D3DDC">
        <w:rPr>
          <w:rFonts w:ascii="Arial" w:eastAsia="Arial" w:hAnsi="Arial" w:cs="Arial"/>
          <w:sz w:val="22"/>
          <w:szCs w:val="22"/>
        </w:rPr>
        <w:t xml:space="preserve"> in accessible digital formats.</w:t>
      </w:r>
    </w:p>
    <w:p w14:paraId="5969A714" w14:textId="77777777" w:rsidR="00112036" w:rsidRPr="006D3DDC" w:rsidRDefault="00112036" w:rsidP="002C6910">
      <w:pPr>
        <w:spacing w:line="360" w:lineRule="auto"/>
        <w:jc w:val="both"/>
        <w:rPr>
          <w:rFonts w:ascii="Arial" w:eastAsia="Arial" w:hAnsi="Arial" w:cs="Arial"/>
          <w:b/>
          <w:bCs/>
          <w:i/>
          <w:iCs/>
          <w:sz w:val="22"/>
          <w:szCs w:val="22"/>
        </w:rPr>
      </w:pPr>
      <w:r w:rsidRPr="006D3DDC">
        <w:rPr>
          <w:rFonts w:ascii="Arial" w:eastAsia="Arial" w:hAnsi="Arial" w:cs="Arial"/>
          <w:b/>
          <w:bCs/>
          <w:i/>
          <w:iCs/>
          <w:sz w:val="22"/>
          <w:szCs w:val="22"/>
        </w:rPr>
        <w:t>The key determinants/risk factors of the chosen disease</w:t>
      </w:r>
    </w:p>
    <w:p w14:paraId="5D20018B" w14:textId="343452DE" w:rsidR="00112036" w:rsidRPr="006D3DDC" w:rsidRDefault="00112036" w:rsidP="002C6910">
      <w:pPr>
        <w:spacing w:line="360" w:lineRule="auto"/>
        <w:jc w:val="both"/>
        <w:rPr>
          <w:rFonts w:ascii="Arial" w:eastAsia="Arial" w:hAnsi="Arial" w:cs="Arial"/>
          <w:sz w:val="22"/>
          <w:szCs w:val="22"/>
        </w:rPr>
      </w:pPr>
      <w:r w:rsidRPr="006D3DDC">
        <w:rPr>
          <w:rFonts w:ascii="Arial" w:eastAsia="Arial" w:hAnsi="Arial" w:cs="Arial"/>
          <w:sz w:val="22"/>
          <w:szCs w:val="22"/>
        </w:rPr>
        <w:t xml:space="preserve">An interplay between biological, </w:t>
      </w:r>
      <w:proofErr w:type="spellStart"/>
      <w:r w:rsidRPr="006D3DDC">
        <w:rPr>
          <w:rFonts w:ascii="Arial" w:eastAsia="Arial" w:hAnsi="Arial" w:cs="Arial"/>
          <w:sz w:val="22"/>
          <w:szCs w:val="22"/>
        </w:rPr>
        <w:t>behavioral</w:t>
      </w:r>
      <w:proofErr w:type="spellEnd"/>
      <w:r w:rsidRPr="006D3DDC">
        <w:rPr>
          <w:rFonts w:ascii="Arial" w:eastAsia="Arial" w:hAnsi="Arial" w:cs="Arial"/>
          <w:sz w:val="22"/>
          <w:szCs w:val="22"/>
        </w:rPr>
        <w:t>, and environmental factors is contributing to the risk of physical disabled adults developing an ischemic stroke. Endothelial damage and atherosclerosis have direct precursors that are biological in nature: uncontrolled arterial hypertension, hypercholesterolemia and insulin resistance</w:t>
      </w:r>
      <w:r w:rsidR="00604932" w:rsidRPr="006D3DDC">
        <w:rPr>
          <w:rFonts w:ascii="Arial" w:eastAsia="Arial" w:hAnsi="Arial" w:cs="Arial"/>
          <w:sz w:val="22"/>
          <w:szCs w:val="22"/>
        </w:rPr>
        <w:t xml:space="preserve"> (Ding et al., 2022)</w:t>
      </w:r>
      <w:r w:rsidRPr="006D3DDC">
        <w:rPr>
          <w:rFonts w:ascii="Arial" w:eastAsia="Arial" w:hAnsi="Arial" w:cs="Arial"/>
          <w:sz w:val="22"/>
          <w:szCs w:val="22"/>
        </w:rPr>
        <w:t xml:space="preserve">. Yet, among this target group, these biological vulnerabilities are grossly enhanced by the </w:t>
      </w:r>
      <w:proofErr w:type="spellStart"/>
      <w:r w:rsidRPr="006D3DDC">
        <w:rPr>
          <w:rFonts w:ascii="Arial" w:eastAsia="Arial" w:hAnsi="Arial" w:cs="Arial"/>
          <w:sz w:val="22"/>
          <w:szCs w:val="22"/>
        </w:rPr>
        <w:t>behavioral</w:t>
      </w:r>
      <w:proofErr w:type="spellEnd"/>
      <w:r w:rsidRPr="006D3DDC">
        <w:rPr>
          <w:rFonts w:ascii="Arial" w:eastAsia="Arial" w:hAnsi="Arial" w:cs="Arial"/>
          <w:sz w:val="22"/>
          <w:szCs w:val="22"/>
        </w:rPr>
        <w:t xml:space="preserve"> risk factors which are constrained structurally. The forced physical inactivity occurs at high levels under the influence of systemic environmental challenges, e.g., the absence of inclusive recreational areas, and promotes the development of metabolic syndrome. Moreover, the </w:t>
      </w:r>
      <w:r w:rsidRPr="006D3DDC">
        <w:rPr>
          <w:rFonts w:ascii="Arial" w:eastAsia="Arial" w:hAnsi="Arial" w:cs="Arial"/>
          <w:sz w:val="22"/>
          <w:szCs w:val="22"/>
        </w:rPr>
        <w:lastRenderedPageBreak/>
        <w:t>broader determinants of health are a driving force. The unconscious chronic activation of hypothalamic-pituitary-adrenal axis is induced by pervasive economic poverty and the psychological stress of travelling in an inaccessible society.</w:t>
      </w:r>
    </w:p>
    <w:p w14:paraId="12ECB807" w14:textId="77777777" w:rsidR="00112036" w:rsidRPr="006D3DDC" w:rsidRDefault="00112036" w:rsidP="002C6910">
      <w:pPr>
        <w:spacing w:line="360" w:lineRule="auto"/>
        <w:jc w:val="both"/>
        <w:rPr>
          <w:rFonts w:ascii="Arial" w:eastAsia="Arial" w:hAnsi="Arial" w:cs="Arial"/>
          <w:b/>
          <w:bCs/>
          <w:i/>
          <w:iCs/>
          <w:sz w:val="22"/>
          <w:szCs w:val="22"/>
        </w:rPr>
      </w:pPr>
      <w:r w:rsidRPr="006D3DDC">
        <w:rPr>
          <w:rFonts w:ascii="Arial" w:eastAsia="Arial" w:hAnsi="Arial" w:cs="Arial"/>
          <w:b/>
          <w:bCs/>
          <w:i/>
          <w:iCs/>
          <w:sz w:val="22"/>
          <w:szCs w:val="22"/>
        </w:rPr>
        <w:t>Using epidemiological studies and a health needs assessment</w:t>
      </w:r>
    </w:p>
    <w:p w14:paraId="292A0D48" w14:textId="1E129F2C" w:rsidR="00112036" w:rsidRPr="006D3DDC" w:rsidRDefault="00112036" w:rsidP="002C6910">
      <w:pPr>
        <w:spacing w:line="360" w:lineRule="auto"/>
        <w:jc w:val="both"/>
        <w:rPr>
          <w:rFonts w:ascii="Arial" w:eastAsia="Arial" w:hAnsi="Arial" w:cs="Arial"/>
          <w:sz w:val="22"/>
          <w:szCs w:val="22"/>
        </w:rPr>
      </w:pPr>
      <w:proofErr w:type="gramStart"/>
      <w:r w:rsidRPr="006D3DDC">
        <w:rPr>
          <w:rFonts w:ascii="Arial" w:eastAsia="Arial" w:hAnsi="Arial" w:cs="Arial"/>
          <w:sz w:val="22"/>
          <w:szCs w:val="22"/>
        </w:rPr>
        <w:t>In order to</w:t>
      </w:r>
      <w:proofErr w:type="gramEnd"/>
      <w:r w:rsidRPr="006D3DDC">
        <w:rPr>
          <w:rFonts w:ascii="Arial" w:eastAsia="Arial" w:hAnsi="Arial" w:cs="Arial"/>
          <w:sz w:val="22"/>
          <w:szCs w:val="22"/>
        </w:rPr>
        <w:t xml:space="preserve"> create certain high-risk populations in the London Borough of Lambeth, a multi-approach Epidemiological Health Needs Assessment should be utilised by the public health teams. It is a systematic process, which combines epidemiological, comparative research and corporate research. The epidemiological aspect will be based on data extraction on the Quality and Outcomes Framework, and Hospital Episode Statistics. This will enable the mapping of diagnostic codes of stroke, hypertension, and atrial fibrillation and overlapping this with the local social care disability registers at the Lambeth wards</w:t>
      </w:r>
      <w:r w:rsidR="00604932" w:rsidRPr="006D3DDC">
        <w:rPr>
          <w:rFonts w:ascii="Arial" w:eastAsia="Arial" w:hAnsi="Arial" w:cs="Arial"/>
          <w:sz w:val="22"/>
          <w:szCs w:val="22"/>
        </w:rPr>
        <w:t xml:space="preserve"> (</w:t>
      </w:r>
      <w:proofErr w:type="spellStart"/>
      <w:r w:rsidR="00604932" w:rsidRPr="006D3DDC">
        <w:rPr>
          <w:rFonts w:ascii="Arial" w:eastAsia="Arial" w:hAnsi="Arial" w:cs="Arial"/>
          <w:sz w:val="22"/>
          <w:szCs w:val="22"/>
        </w:rPr>
        <w:t>Ziaeian</w:t>
      </w:r>
      <w:proofErr w:type="spellEnd"/>
      <w:r w:rsidR="00604932" w:rsidRPr="006D3DDC">
        <w:rPr>
          <w:rFonts w:ascii="Arial" w:eastAsia="Arial" w:hAnsi="Arial" w:cs="Arial"/>
          <w:sz w:val="22"/>
          <w:szCs w:val="22"/>
        </w:rPr>
        <w:t xml:space="preserve"> et al., 2022)</w:t>
      </w:r>
      <w:r w:rsidRPr="006D3DDC">
        <w:rPr>
          <w:rFonts w:ascii="Arial" w:eastAsia="Arial" w:hAnsi="Arial" w:cs="Arial"/>
          <w:sz w:val="22"/>
          <w:szCs w:val="22"/>
        </w:rPr>
        <w:t xml:space="preserve">. At the last stage, the corporate dimension will have the qualitative evidence via focus groups and semi-structured interviews with disabled inhabitants, general practitioners, and social workers. Such corporate feedback is useful to identify certain access obstacles in the system, including </w:t>
      </w:r>
      <w:proofErr w:type="spellStart"/>
      <w:r w:rsidRPr="006D3DDC">
        <w:rPr>
          <w:rFonts w:ascii="Arial" w:eastAsia="Arial" w:hAnsi="Arial" w:cs="Arial"/>
          <w:sz w:val="22"/>
          <w:szCs w:val="22"/>
        </w:rPr>
        <w:t>unadapted</w:t>
      </w:r>
      <w:proofErr w:type="spellEnd"/>
      <w:r w:rsidRPr="006D3DDC">
        <w:rPr>
          <w:rFonts w:ascii="Arial" w:eastAsia="Arial" w:hAnsi="Arial" w:cs="Arial"/>
          <w:sz w:val="22"/>
          <w:szCs w:val="22"/>
        </w:rPr>
        <w:t xml:space="preserve"> clinical spaces or lack of transport, which can restrict frequent attendance at preventive health check-ups.</w:t>
      </w:r>
    </w:p>
    <w:p w14:paraId="4D4C49AA" w14:textId="59A023A7" w:rsidR="00112036" w:rsidRPr="006D3DDC" w:rsidRDefault="00112036" w:rsidP="002C6910">
      <w:pPr>
        <w:spacing w:line="360" w:lineRule="auto"/>
        <w:jc w:val="both"/>
        <w:rPr>
          <w:rFonts w:ascii="Arial" w:eastAsia="Arial" w:hAnsi="Arial" w:cs="Arial"/>
          <w:b/>
          <w:bCs/>
          <w:i/>
          <w:iCs/>
          <w:sz w:val="22"/>
          <w:szCs w:val="22"/>
        </w:rPr>
      </w:pPr>
      <w:r w:rsidRPr="006D3DDC">
        <w:rPr>
          <w:rFonts w:ascii="Arial" w:eastAsia="Arial" w:hAnsi="Arial" w:cs="Arial"/>
          <w:b/>
          <w:bCs/>
          <w:i/>
          <w:iCs/>
          <w:sz w:val="22"/>
          <w:szCs w:val="22"/>
        </w:rPr>
        <w:t>Explain the main public health approaches and strategies used to monitor the incidence</w:t>
      </w:r>
    </w:p>
    <w:p w14:paraId="02B2D5AE" w14:textId="4B711C8C" w:rsidR="00112036" w:rsidRPr="006D3DDC" w:rsidRDefault="00112036" w:rsidP="002C6910">
      <w:pPr>
        <w:spacing w:line="360" w:lineRule="auto"/>
        <w:jc w:val="both"/>
        <w:rPr>
          <w:rFonts w:ascii="Arial" w:eastAsia="Arial" w:hAnsi="Arial" w:cs="Arial"/>
          <w:sz w:val="22"/>
          <w:szCs w:val="22"/>
        </w:rPr>
      </w:pPr>
      <w:r w:rsidRPr="006D3DDC">
        <w:rPr>
          <w:rFonts w:ascii="Arial" w:eastAsia="Arial" w:hAnsi="Arial" w:cs="Arial"/>
          <w:sz w:val="22"/>
          <w:szCs w:val="22"/>
        </w:rPr>
        <w:t>To effectively monitor and track the occurrence of stroke among the physically disabled population in Lambeth, there is a need to have a multi-tiered public health surveillance system which utili</w:t>
      </w:r>
      <w:r w:rsidR="00024924" w:rsidRPr="006D3DDC">
        <w:rPr>
          <w:rFonts w:ascii="Arial" w:eastAsia="Arial" w:hAnsi="Arial" w:cs="Arial"/>
          <w:sz w:val="22"/>
          <w:szCs w:val="22"/>
        </w:rPr>
        <w:t>s</w:t>
      </w:r>
      <w:r w:rsidRPr="006D3DDC">
        <w:rPr>
          <w:rFonts w:ascii="Arial" w:eastAsia="Arial" w:hAnsi="Arial" w:cs="Arial"/>
          <w:sz w:val="22"/>
          <w:szCs w:val="22"/>
        </w:rPr>
        <w:t>es the various data-gathering mechanisms. Passive surveillance is the core of operation as it uses normal, automated streams of data.</w:t>
      </w:r>
      <w:r w:rsidR="00517EA9" w:rsidRPr="006D3DDC">
        <w:rPr>
          <w:rFonts w:ascii="Arial" w:eastAsia="Arial" w:hAnsi="Arial" w:cs="Arial"/>
          <w:sz w:val="22"/>
          <w:szCs w:val="22"/>
        </w:rPr>
        <w:t xml:space="preserve"> However, passive surveillance will rely on the accuracy and completeness of routine clinical coding however, </w:t>
      </w:r>
      <w:proofErr w:type="gramStart"/>
      <w:r w:rsidR="00517EA9" w:rsidRPr="006D3DDC">
        <w:rPr>
          <w:rFonts w:ascii="Arial" w:eastAsia="Arial" w:hAnsi="Arial" w:cs="Arial"/>
          <w:sz w:val="22"/>
          <w:szCs w:val="22"/>
        </w:rPr>
        <w:t>in order to</w:t>
      </w:r>
      <w:proofErr w:type="gramEnd"/>
      <w:r w:rsidR="00517EA9" w:rsidRPr="006D3DDC">
        <w:rPr>
          <w:rFonts w:ascii="Arial" w:eastAsia="Arial" w:hAnsi="Arial" w:cs="Arial"/>
          <w:sz w:val="22"/>
          <w:szCs w:val="22"/>
        </w:rPr>
        <w:t xml:space="preserve"> calculate the incidence of stroke among physically disabled adults, consistent reporting of data and timeliness of reporting are imperative.</w:t>
      </w:r>
      <w:r w:rsidRPr="006D3DDC">
        <w:rPr>
          <w:rFonts w:ascii="Arial" w:eastAsia="Arial" w:hAnsi="Arial" w:cs="Arial"/>
          <w:sz w:val="22"/>
          <w:szCs w:val="22"/>
        </w:rPr>
        <w:t xml:space="preserve"> General practice electronic health records supply data to diagnostic databases of local health departments as a continuous stream of diagnostic data when the registration of a new stroke or TIA code occurs. It is complemented with HES data monitoring acute hospital admissions and ONS mortality data to trace the local stroke survival patterns. Active surveillance entails active research in the field of health by the public. As a Regional Epidemiologist, this involves the development of a </w:t>
      </w:r>
      <w:proofErr w:type="gramStart"/>
      <w:r w:rsidRPr="006D3DDC">
        <w:rPr>
          <w:rFonts w:ascii="Arial" w:eastAsia="Arial" w:hAnsi="Arial" w:cs="Arial"/>
          <w:sz w:val="22"/>
          <w:szCs w:val="22"/>
        </w:rPr>
        <w:t>broad based</w:t>
      </w:r>
      <w:proofErr w:type="gramEnd"/>
      <w:r w:rsidRPr="006D3DDC">
        <w:rPr>
          <w:rFonts w:ascii="Arial" w:eastAsia="Arial" w:hAnsi="Arial" w:cs="Arial"/>
          <w:sz w:val="22"/>
          <w:szCs w:val="22"/>
        </w:rPr>
        <w:t xml:space="preserve"> post-stroke registry which systematically follows up functional recovery and secondary outcome of physically disabled persons following discharge. Syndromic surveillance is based on pre-diagnostic data systems, which are real time.</w:t>
      </w:r>
      <w:r w:rsidR="00604932" w:rsidRPr="006D3DDC">
        <w:rPr>
          <w:rFonts w:ascii="Arial" w:eastAsia="Arial" w:hAnsi="Arial" w:cs="Arial"/>
          <w:sz w:val="22"/>
          <w:szCs w:val="22"/>
        </w:rPr>
        <w:t xml:space="preserve"> </w:t>
      </w:r>
      <w:r w:rsidRPr="006D3DDC">
        <w:rPr>
          <w:rFonts w:ascii="Arial" w:eastAsia="Arial" w:hAnsi="Arial" w:cs="Arial"/>
          <w:sz w:val="22"/>
          <w:szCs w:val="22"/>
        </w:rPr>
        <w:t xml:space="preserve">Public health teams use London ambulance service </w:t>
      </w:r>
      <w:proofErr w:type="spellStart"/>
      <w:r w:rsidRPr="006D3DDC">
        <w:rPr>
          <w:rFonts w:ascii="Arial" w:eastAsia="Arial" w:hAnsi="Arial" w:cs="Arial"/>
          <w:sz w:val="22"/>
          <w:szCs w:val="22"/>
        </w:rPr>
        <w:t>logarithon</w:t>
      </w:r>
      <w:proofErr w:type="spellEnd"/>
      <w:r w:rsidRPr="006D3DDC">
        <w:rPr>
          <w:rFonts w:ascii="Arial" w:eastAsia="Arial" w:hAnsi="Arial" w:cs="Arial"/>
          <w:sz w:val="22"/>
          <w:szCs w:val="22"/>
        </w:rPr>
        <w:t xml:space="preserve"> of emergency dispatching and NHS111/999 call triages that contain key word clusters that are indicative of acute stroke symptoms to give an early signal of acute peak or geographic patterns, prior to official laboratory or imaging confirmation</w:t>
      </w:r>
      <w:r w:rsidR="00604932" w:rsidRPr="006D3DDC">
        <w:rPr>
          <w:rFonts w:ascii="Arial" w:eastAsia="Arial" w:hAnsi="Arial" w:cs="Arial"/>
          <w:sz w:val="22"/>
          <w:szCs w:val="22"/>
        </w:rPr>
        <w:t xml:space="preserve"> (Papakonstantinou, 2026)</w:t>
      </w:r>
      <w:r w:rsidRPr="006D3DDC">
        <w:rPr>
          <w:rFonts w:ascii="Arial" w:eastAsia="Arial" w:hAnsi="Arial" w:cs="Arial"/>
          <w:sz w:val="22"/>
          <w:szCs w:val="22"/>
        </w:rPr>
        <w:t xml:space="preserve">. These are conducted practices which perform high-resolution and intensive reporting on </w:t>
      </w:r>
      <w:r w:rsidRPr="006D3DDC">
        <w:rPr>
          <w:rFonts w:ascii="Arial" w:eastAsia="Arial" w:hAnsi="Arial" w:cs="Arial"/>
          <w:sz w:val="22"/>
          <w:szCs w:val="22"/>
        </w:rPr>
        <w:lastRenderedPageBreak/>
        <w:t>cardiovascular risk profiles and medication adherence among disabled cohorts with an analytical sample that can be used to test the overall patterns in the population.</w:t>
      </w:r>
    </w:p>
    <w:p w14:paraId="7B3590EC" w14:textId="77777777" w:rsidR="00112036" w:rsidRPr="006D3DDC" w:rsidRDefault="00112036" w:rsidP="002C6910">
      <w:pPr>
        <w:spacing w:line="360" w:lineRule="auto"/>
        <w:jc w:val="both"/>
        <w:rPr>
          <w:rFonts w:ascii="Arial" w:eastAsia="Arial" w:hAnsi="Arial" w:cs="Arial"/>
          <w:b/>
          <w:bCs/>
          <w:i/>
          <w:iCs/>
          <w:sz w:val="22"/>
          <w:szCs w:val="22"/>
        </w:rPr>
      </w:pPr>
      <w:r w:rsidRPr="006D3DDC">
        <w:rPr>
          <w:rFonts w:ascii="Arial" w:eastAsia="Arial" w:hAnsi="Arial" w:cs="Arial"/>
          <w:b/>
          <w:bCs/>
          <w:i/>
          <w:iCs/>
          <w:sz w:val="22"/>
          <w:szCs w:val="22"/>
        </w:rPr>
        <w:t>Plan and use epidemiology to determine the public health impact</w:t>
      </w:r>
    </w:p>
    <w:p w14:paraId="48967045" w14:textId="1D05C8F8" w:rsidR="00112036" w:rsidRPr="006D3DDC" w:rsidRDefault="00112036" w:rsidP="002C6910">
      <w:pPr>
        <w:spacing w:line="360" w:lineRule="auto"/>
        <w:jc w:val="both"/>
        <w:rPr>
          <w:rFonts w:ascii="Arial" w:eastAsia="Arial" w:hAnsi="Arial" w:cs="Arial"/>
          <w:sz w:val="22"/>
          <w:szCs w:val="22"/>
        </w:rPr>
      </w:pPr>
      <w:r w:rsidRPr="006D3DDC">
        <w:rPr>
          <w:rFonts w:ascii="Arial" w:eastAsia="Arial" w:hAnsi="Arial" w:cs="Arial"/>
          <w:sz w:val="22"/>
          <w:szCs w:val="22"/>
        </w:rPr>
        <w:t xml:space="preserve">The issue of public health of the physically disabled in Lambeth following a stroke is disastrous, bringing in a vortex of physical, social and economic deterioration. The </w:t>
      </w:r>
      <w:proofErr w:type="gramStart"/>
      <w:r w:rsidRPr="006D3DDC">
        <w:rPr>
          <w:rFonts w:ascii="Arial" w:eastAsia="Arial" w:hAnsi="Arial" w:cs="Arial"/>
          <w:sz w:val="22"/>
          <w:szCs w:val="22"/>
        </w:rPr>
        <w:t>short term</w:t>
      </w:r>
      <w:proofErr w:type="gramEnd"/>
      <w:r w:rsidRPr="006D3DDC">
        <w:rPr>
          <w:rFonts w:ascii="Arial" w:eastAsia="Arial" w:hAnsi="Arial" w:cs="Arial"/>
          <w:sz w:val="22"/>
          <w:szCs w:val="22"/>
        </w:rPr>
        <w:t xml:space="preserve"> outcomes of an acute cerebral vascular event include the fact that the remaining physical function is lost, debilitating cognitive impairment, dysphagia and soaring risks of hospital-acquired aspiration pneumonia</w:t>
      </w:r>
      <w:r w:rsidR="00604932" w:rsidRPr="006D3DDC">
        <w:rPr>
          <w:rFonts w:ascii="Arial" w:eastAsia="Arial" w:hAnsi="Arial" w:cs="Arial"/>
          <w:sz w:val="22"/>
          <w:szCs w:val="22"/>
        </w:rPr>
        <w:t xml:space="preserve"> (Mosconi &amp; </w:t>
      </w:r>
      <w:proofErr w:type="spellStart"/>
      <w:r w:rsidR="00604932" w:rsidRPr="006D3DDC">
        <w:rPr>
          <w:rFonts w:ascii="Arial" w:eastAsia="Arial" w:hAnsi="Arial" w:cs="Arial"/>
          <w:sz w:val="22"/>
          <w:szCs w:val="22"/>
        </w:rPr>
        <w:t>Paciaroni</w:t>
      </w:r>
      <w:proofErr w:type="spellEnd"/>
      <w:r w:rsidR="00604932" w:rsidRPr="006D3DDC">
        <w:rPr>
          <w:rFonts w:ascii="Arial" w:eastAsia="Arial" w:hAnsi="Arial" w:cs="Arial"/>
          <w:sz w:val="22"/>
          <w:szCs w:val="22"/>
        </w:rPr>
        <w:t>, 2022)</w:t>
      </w:r>
      <w:r w:rsidRPr="006D3DDC">
        <w:rPr>
          <w:rFonts w:ascii="Arial" w:eastAsia="Arial" w:hAnsi="Arial" w:cs="Arial"/>
          <w:sz w:val="22"/>
          <w:szCs w:val="22"/>
        </w:rPr>
        <w:t>. In a person who already has a base physical disability, the acute stroke may destroy independent coping process in people and make the partially disabled become functionally dependen</w:t>
      </w:r>
      <w:r w:rsidR="00517EA9" w:rsidRPr="006D3DDC">
        <w:rPr>
          <w:rFonts w:ascii="Arial" w:eastAsia="Arial" w:hAnsi="Arial" w:cs="Arial"/>
          <w:sz w:val="22"/>
          <w:szCs w:val="22"/>
        </w:rPr>
        <w:t>t. This increased reliance can often exacerbate the problem of access to housing, financial insecurity and social isolation, leading to reduced access to rehab options and decreased recovery opportunities, as well as increasing existing health inequities</w:t>
      </w:r>
      <w:r w:rsidRPr="006D3DDC">
        <w:rPr>
          <w:rFonts w:ascii="Arial" w:eastAsia="Arial" w:hAnsi="Arial" w:cs="Arial"/>
          <w:sz w:val="22"/>
          <w:szCs w:val="22"/>
        </w:rPr>
        <w:t xml:space="preserve">. The structural needs of the individual can often need </w:t>
      </w:r>
      <w:proofErr w:type="spellStart"/>
      <w:r w:rsidRPr="006D3DDC">
        <w:rPr>
          <w:rFonts w:ascii="Arial" w:eastAsia="Arial" w:hAnsi="Arial" w:cs="Arial"/>
          <w:sz w:val="22"/>
          <w:szCs w:val="22"/>
        </w:rPr>
        <w:t>a</w:t>
      </w:r>
      <w:proofErr w:type="spellEnd"/>
      <w:r w:rsidRPr="006D3DDC">
        <w:rPr>
          <w:rFonts w:ascii="Arial" w:eastAsia="Arial" w:hAnsi="Arial" w:cs="Arial"/>
          <w:sz w:val="22"/>
          <w:szCs w:val="22"/>
        </w:rPr>
        <w:t xml:space="preserve"> up-gradation of the social care packages, speciali</w:t>
      </w:r>
      <w:r w:rsidR="00024924" w:rsidRPr="006D3DDC">
        <w:rPr>
          <w:rFonts w:ascii="Arial" w:eastAsia="Arial" w:hAnsi="Arial" w:cs="Arial"/>
          <w:sz w:val="22"/>
          <w:szCs w:val="22"/>
        </w:rPr>
        <w:t>s</w:t>
      </w:r>
      <w:r w:rsidRPr="006D3DDC">
        <w:rPr>
          <w:rFonts w:ascii="Arial" w:eastAsia="Arial" w:hAnsi="Arial" w:cs="Arial"/>
          <w:sz w:val="22"/>
          <w:szCs w:val="22"/>
        </w:rPr>
        <w:t>ed residential placements and intricate long-term institutional support. This burdens local authority funds and those of the family caregivers. In a broader sense, such functional deficit increases the health life expectancy gap on the local level, establishing health inequality in the borough.</w:t>
      </w:r>
    </w:p>
    <w:p w14:paraId="4E5DDDAF" w14:textId="746C1548" w:rsidR="00112036" w:rsidRPr="006D3DDC" w:rsidRDefault="00112036" w:rsidP="002C6910">
      <w:pPr>
        <w:spacing w:line="360" w:lineRule="auto"/>
        <w:jc w:val="both"/>
        <w:rPr>
          <w:rFonts w:ascii="Arial" w:eastAsia="Arial" w:hAnsi="Arial" w:cs="Arial"/>
          <w:b/>
          <w:bCs/>
          <w:i/>
          <w:iCs/>
          <w:sz w:val="22"/>
          <w:szCs w:val="22"/>
        </w:rPr>
      </w:pPr>
      <w:r w:rsidRPr="006D3DDC">
        <w:rPr>
          <w:rFonts w:ascii="Arial" w:eastAsia="Arial" w:hAnsi="Arial" w:cs="Arial"/>
          <w:b/>
          <w:bCs/>
          <w:i/>
          <w:iCs/>
          <w:sz w:val="22"/>
          <w:szCs w:val="22"/>
        </w:rPr>
        <w:t>Design an appropriate health intervention programme and evaluate the impacts</w:t>
      </w:r>
    </w:p>
    <w:p w14:paraId="020E5B85" w14:textId="2C50C068" w:rsidR="00112036" w:rsidRPr="006D3DDC" w:rsidRDefault="00112036" w:rsidP="002C6910">
      <w:pPr>
        <w:spacing w:line="360" w:lineRule="auto"/>
        <w:jc w:val="both"/>
        <w:rPr>
          <w:rFonts w:ascii="Arial" w:eastAsia="Arial" w:hAnsi="Arial" w:cs="Arial"/>
          <w:sz w:val="22"/>
          <w:szCs w:val="22"/>
        </w:rPr>
      </w:pPr>
      <w:proofErr w:type="gramStart"/>
      <w:r w:rsidRPr="006D3DDC">
        <w:rPr>
          <w:rFonts w:ascii="Arial" w:eastAsia="Arial" w:hAnsi="Arial" w:cs="Arial"/>
          <w:sz w:val="22"/>
          <w:szCs w:val="22"/>
        </w:rPr>
        <w:t>In order to</w:t>
      </w:r>
      <w:proofErr w:type="gramEnd"/>
      <w:r w:rsidRPr="006D3DDC">
        <w:rPr>
          <w:rFonts w:ascii="Arial" w:eastAsia="Arial" w:hAnsi="Arial" w:cs="Arial"/>
          <w:sz w:val="22"/>
          <w:szCs w:val="22"/>
        </w:rPr>
        <w:t xml:space="preserve"> counter the compounding health disparities, this report recommends the adoption of Lambeth Accessible Cardiovascular Optimi</w:t>
      </w:r>
      <w:r w:rsidR="00024924" w:rsidRPr="006D3DDC">
        <w:rPr>
          <w:rFonts w:ascii="Arial" w:eastAsia="Arial" w:hAnsi="Arial" w:cs="Arial"/>
          <w:sz w:val="22"/>
          <w:szCs w:val="22"/>
        </w:rPr>
        <w:t>s</w:t>
      </w:r>
      <w:r w:rsidRPr="006D3DDC">
        <w:rPr>
          <w:rFonts w:ascii="Arial" w:eastAsia="Arial" w:hAnsi="Arial" w:cs="Arial"/>
          <w:sz w:val="22"/>
          <w:szCs w:val="22"/>
        </w:rPr>
        <w:t>ation and Rehabilitation Network. The goal of this public health program is to optimi</w:t>
      </w:r>
      <w:r w:rsidR="00024924" w:rsidRPr="006D3DDC">
        <w:rPr>
          <w:rFonts w:ascii="Arial" w:eastAsia="Arial" w:hAnsi="Arial" w:cs="Arial"/>
          <w:sz w:val="22"/>
          <w:szCs w:val="22"/>
        </w:rPr>
        <w:t>s</w:t>
      </w:r>
      <w:r w:rsidRPr="006D3DDC">
        <w:rPr>
          <w:rFonts w:ascii="Arial" w:eastAsia="Arial" w:hAnsi="Arial" w:cs="Arial"/>
          <w:sz w:val="22"/>
          <w:szCs w:val="22"/>
        </w:rPr>
        <w:t xml:space="preserve">e cardiovascular care, stroke risk reduction and make recoveries among individuals with physical disabilities more </w:t>
      </w:r>
      <w:proofErr w:type="spellStart"/>
      <w:r w:rsidRPr="006D3DDC">
        <w:rPr>
          <w:rFonts w:ascii="Arial" w:eastAsia="Arial" w:hAnsi="Arial" w:cs="Arial"/>
          <w:sz w:val="22"/>
          <w:szCs w:val="22"/>
        </w:rPr>
        <w:t>favorable</w:t>
      </w:r>
      <w:proofErr w:type="spellEnd"/>
      <w:r w:rsidRPr="006D3DDC">
        <w:rPr>
          <w:rFonts w:ascii="Arial" w:eastAsia="Arial" w:hAnsi="Arial" w:cs="Arial"/>
          <w:sz w:val="22"/>
          <w:szCs w:val="22"/>
        </w:rPr>
        <w:t xml:space="preserve"> in adults. LACORN operationally will roll over mobile health units that will provide home-based cardiovascular tests and blood pressure checks by directing trained clinical nurses instead of using a transit system, which will pose a limitation.</w:t>
      </w:r>
    </w:p>
    <w:p w14:paraId="7BD9A1BA" w14:textId="51624054" w:rsidR="00112036" w:rsidRDefault="00112036" w:rsidP="002C6910">
      <w:pPr>
        <w:spacing w:line="360" w:lineRule="auto"/>
        <w:jc w:val="both"/>
        <w:rPr>
          <w:rFonts w:ascii="Arial" w:eastAsia="Arial" w:hAnsi="Arial" w:cs="Arial"/>
          <w:sz w:val="22"/>
          <w:szCs w:val="22"/>
        </w:rPr>
      </w:pPr>
      <w:r w:rsidRPr="006D3DDC">
        <w:rPr>
          <w:rFonts w:ascii="Arial" w:eastAsia="Arial" w:hAnsi="Arial" w:cs="Arial"/>
          <w:sz w:val="22"/>
          <w:szCs w:val="22"/>
        </w:rPr>
        <w:t xml:space="preserve">A multi-faceted approach that covers process, impact and outcome evaluation will help to assess the effectiveness of the program. Process evaluation will gauge the operational implementation of the program and its reach through the number of mobile health clinics established, general practitioner referral rates, attendance at the target population and qualitative patient experience with physical access. Intermediate changes in </w:t>
      </w:r>
      <w:proofErr w:type="spellStart"/>
      <w:r w:rsidRPr="006D3DDC">
        <w:rPr>
          <w:rFonts w:ascii="Arial" w:eastAsia="Arial" w:hAnsi="Arial" w:cs="Arial"/>
          <w:sz w:val="22"/>
          <w:szCs w:val="22"/>
        </w:rPr>
        <w:t>behavior</w:t>
      </w:r>
      <w:proofErr w:type="spellEnd"/>
      <w:r w:rsidRPr="006D3DDC">
        <w:rPr>
          <w:rFonts w:ascii="Arial" w:eastAsia="Arial" w:hAnsi="Arial" w:cs="Arial"/>
          <w:sz w:val="22"/>
          <w:szCs w:val="22"/>
        </w:rPr>
        <w:t xml:space="preserve"> and clinical results will be evaluated after 12 months, which will monitor the proportion of individuals with a disability who should attain target blood pressure (&lt;140/90mmHg) and the intake of high intensity statins, and the duration that the disabled take to reach the specialist secondary assessment. Outcome evaluation will measure the relative change in the acute stroke incidence rates</w:t>
      </w:r>
      <w:r w:rsidR="00176499" w:rsidRPr="006D3DDC">
        <w:rPr>
          <w:rFonts w:ascii="Arial" w:eastAsia="Arial" w:hAnsi="Arial" w:cs="Arial"/>
          <w:sz w:val="22"/>
          <w:szCs w:val="22"/>
        </w:rPr>
        <w:t xml:space="preserve"> and </w:t>
      </w:r>
      <w:r w:rsidRPr="006D3DDC">
        <w:rPr>
          <w:rFonts w:ascii="Arial" w:eastAsia="Arial" w:hAnsi="Arial" w:cs="Arial"/>
          <w:sz w:val="22"/>
          <w:szCs w:val="22"/>
        </w:rPr>
        <w:t>decrease in the number of strokes-related emergency departments.</w:t>
      </w:r>
    </w:p>
    <w:p w14:paraId="10B1F020" w14:textId="77777777" w:rsidR="006D3DDC" w:rsidRPr="006D3DDC" w:rsidRDefault="006D3DDC" w:rsidP="002C6910">
      <w:pPr>
        <w:spacing w:line="360" w:lineRule="auto"/>
        <w:jc w:val="both"/>
        <w:rPr>
          <w:rFonts w:ascii="Arial" w:eastAsia="Arial" w:hAnsi="Arial" w:cs="Arial"/>
          <w:sz w:val="22"/>
          <w:szCs w:val="22"/>
        </w:rPr>
      </w:pPr>
    </w:p>
    <w:p w14:paraId="5A3DD869" w14:textId="65534441" w:rsidR="00112036" w:rsidRPr="006D3DDC" w:rsidRDefault="00112036" w:rsidP="002C6910">
      <w:pPr>
        <w:spacing w:line="360" w:lineRule="auto"/>
        <w:jc w:val="both"/>
        <w:rPr>
          <w:rFonts w:ascii="Arial" w:eastAsia="Arial" w:hAnsi="Arial" w:cs="Arial"/>
          <w:b/>
          <w:bCs/>
          <w:i/>
          <w:iCs/>
          <w:sz w:val="22"/>
          <w:szCs w:val="22"/>
        </w:rPr>
      </w:pPr>
      <w:r w:rsidRPr="006D3DDC">
        <w:rPr>
          <w:rFonts w:ascii="Arial" w:eastAsia="Arial" w:hAnsi="Arial" w:cs="Arial"/>
          <w:b/>
          <w:bCs/>
          <w:i/>
          <w:iCs/>
          <w:sz w:val="22"/>
          <w:szCs w:val="22"/>
        </w:rPr>
        <w:lastRenderedPageBreak/>
        <w:t>Show an understanding of the strengths, and weaknesses of your epidemiological approach</w:t>
      </w:r>
    </w:p>
    <w:p w14:paraId="34ED5B12" w14:textId="6AD4F3C9" w:rsidR="00112036" w:rsidRPr="006D3DDC" w:rsidRDefault="00112036" w:rsidP="002C6910">
      <w:pPr>
        <w:spacing w:line="360" w:lineRule="auto"/>
        <w:jc w:val="both"/>
        <w:rPr>
          <w:rFonts w:ascii="Arial" w:eastAsia="Arial" w:hAnsi="Arial" w:cs="Arial"/>
          <w:sz w:val="22"/>
          <w:szCs w:val="22"/>
        </w:rPr>
      </w:pPr>
      <w:r w:rsidRPr="006D3DDC">
        <w:rPr>
          <w:rFonts w:ascii="Arial" w:eastAsia="Arial" w:hAnsi="Arial" w:cs="Arial"/>
          <w:sz w:val="22"/>
          <w:szCs w:val="22"/>
        </w:rPr>
        <w:t xml:space="preserve">There are certain operational advantages and disadvantages of the epidemiological framework, which was used in this report. The main strength is that it combines the multi-level surveillance data with local health needs data, which enables pinpointing the risk and allocating the resources effectively and efficiently. Moreover, the implementation of a structured, mixed-methods, evaluation process will guarantee accountability and sound clinical validation of the suggested intervention of LACORN. </w:t>
      </w:r>
      <w:r w:rsidR="00517EA9" w:rsidRPr="006D3DDC">
        <w:rPr>
          <w:rFonts w:ascii="Arial" w:eastAsia="Arial" w:hAnsi="Arial" w:cs="Arial"/>
          <w:sz w:val="22"/>
          <w:szCs w:val="22"/>
        </w:rPr>
        <w:t xml:space="preserve"> </w:t>
      </w:r>
      <w:r w:rsidRPr="006D3DDC">
        <w:rPr>
          <w:rFonts w:ascii="Arial" w:eastAsia="Arial" w:hAnsi="Arial" w:cs="Arial"/>
          <w:sz w:val="22"/>
          <w:szCs w:val="22"/>
        </w:rPr>
        <w:t>Moreover, cross-sectional health needs assessment studies are inadequate to draw firm causal lineage in the relationship between certain societal factors and subsequent instances of strokes. It is strongly advised that Lambeth Public Health, so as to escape these drawbacks, has invested in the system of longitudinal cohort tracking, formulated obligatory, standardi</w:t>
      </w:r>
      <w:r w:rsidR="00024924" w:rsidRPr="006D3DDC">
        <w:rPr>
          <w:rFonts w:ascii="Arial" w:eastAsia="Arial" w:hAnsi="Arial" w:cs="Arial"/>
          <w:sz w:val="22"/>
          <w:szCs w:val="22"/>
        </w:rPr>
        <w:t>s</w:t>
      </w:r>
      <w:r w:rsidRPr="006D3DDC">
        <w:rPr>
          <w:rFonts w:ascii="Arial" w:eastAsia="Arial" w:hAnsi="Arial" w:cs="Arial"/>
          <w:sz w:val="22"/>
          <w:szCs w:val="22"/>
        </w:rPr>
        <w:t>ed parameter of disability coding across all the NHS trusts, and has co-produced all future intervention designs, in collaboration with disabled advocacy groups to ensure maximum community participation.</w:t>
      </w:r>
    </w:p>
    <w:p w14:paraId="6A7433AE" w14:textId="466E5BB6" w:rsidR="00112036" w:rsidRPr="006D3DDC" w:rsidRDefault="00112036" w:rsidP="002C6910">
      <w:pPr>
        <w:spacing w:line="360" w:lineRule="auto"/>
        <w:jc w:val="both"/>
        <w:rPr>
          <w:rFonts w:ascii="Arial" w:eastAsia="Arial" w:hAnsi="Arial" w:cs="Arial"/>
          <w:sz w:val="22"/>
          <w:szCs w:val="22"/>
        </w:rPr>
      </w:pPr>
      <w:r w:rsidRPr="006D3DDC">
        <w:rPr>
          <w:rFonts w:ascii="Arial" w:eastAsia="Arial" w:hAnsi="Arial" w:cs="Arial"/>
          <w:sz w:val="22"/>
          <w:szCs w:val="22"/>
        </w:rPr>
        <w:br w:type="page"/>
      </w:r>
    </w:p>
    <w:p w14:paraId="2E94FA2C" w14:textId="635E0EF7" w:rsidR="00604932" w:rsidRPr="002C6910" w:rsidRDefault="00112036" w:rsidP="002C6910">
      <w:pPr>
        <w:spacing w:line="360" w:lineRule="auto"/>
        <w:jc w:val="both"/>
        <w:rPr>
          <w:rFonts w:eastAsia="Arial"/>
          <w:b/>
          <w:bCs/>
          <w:sz w:val="24"/>
          <w:szCs w:val="24"/>
        </w:rPr>
      </w:pPr>
      <w:r w:rsidRPr="002C6910">
        <w:rPr>
          <w:rFonts w:eastAsia="Arial"/>
          <w:b/>
          <w:bCs/>
          <w:sz w:val="24"/>
          <w:szCs w:val="24"/>
        </w:rPr>
        <w:lastRenderedPageBreak/>
        <w:t>Reference</w:t>
      </w:r>
      <w:r w:rsidR="006D3DDC">
        <w:rPr>
          <w:rFonts w:eastAsia="Arial"/>
          <w:b/>
          <w:bCs/>
          <w:sz w:val="24"/>
          <w:szCs w:val="24"/>
        </w:rPr>
        <w:t>s</w:t>
      </w:r>
    </w:p>
    <w:p w14:paraId="47BAE4CE" w14:textId="77777777" w:rsidR="002C6910" w:rsidRPr="002C6910" w:rsidRDefault="002C6910" w:rsidP="002C6910">
      <w:pPr>
        <w:spacing w:line="360" w:lineRule="auto"/>
        <w:ind w:left="720" w:hanging="720"/>
        <w:jc w:val="both"/>
        <w:rPr>
          <w:sz w:val="24"/>
          <w:szCs w:val="24"/>
          <w:lang w:val="en-US" w:eastAsia="en-US"/>
        </w:rPr>
      </w:pPr>
      <w:r w:rsidRPr="002C6910">
        <w:rPr>
          <w:sz w:val="24"/>
          <w:szCs w:val="24"/>
          <w:lang w:val="en-US" w:eastAsia="en-US"/>
        </w:rPr>
        <w:t xml:space="preserve">Activity Alliance. (2024), “Number of disabled people in UK increasing over time”, </w:t>
      </w:r>
      <w:r w:rsidRPr="002C6910">
        <w:rPr>
          <w:i/>
          <w:iCs/>
          <w:sz w:val="24"/>
          <w:szCs w:val="24"/>
          <w:lang w:val="en-US" w:eastAsia="en-US"/>
        </w:rPr>
        <w:t>Activity Alliance</w:t>
      </w:r>
      <w:r w:rsidRPr="002C6910">
        <w:rPr>
          <w:sz w:val="24"/>
          <w:szCs w:val="24"/>
          <w:lang w:val="en-US" w:eastAsia="en-US"/>
        </w:rPr>
        <w:t>, 21 March, available at: https://www.activityalliance.org.uk/news/8871-number-of-disabled-people-in-uk-increasing-over-time (accessed 14 July 2026).</w:t>
      </w:r>
    </w:p>
    <w:p w14:paraId="67E89CEF" w14:textId="77777777" w:rsidR="002C6910" w:rsidRPr="002C6910" w:rsidRDefault="002C6910" w:rsidP="002C6910">
      <w:pPr>
        <w:spacing w:line="360" w:lineRule="auto"/>
        <w:ind w:left="720" w:hanging="720"/>
        <w:jc w:val="both"/>
        <w:rPr>
          <w:sz w:val="24"/>
          <w:szCs w:val="24"/>
          <w:lang w:val="en-US" w:eastAsia="en-US"/>
        </w:rPr>
      </w:pPr>
      <w:r w:rsidRPr="002C6910">
        <w:rPr>
          <w:sz w:val="24"/>
          <w:szCs w:val="24"/>
          <w:lang w:val="en-US" w:eastAsia="en-US"/>
        </w:rPr>
        <w:t xml:space="preserve">Al-Kawaz, M., Cho, S.-M., Gottesman, R.F., Suarez, J.I. and Rivera-Lara, L. (2022), “Impact of Cerebral Autoregulation Monitoring in Cerebrovascular Disease: A Systematic Review”, </w:t>
      </w:r>
      <w:r w:rsidRPr="002C6910">
        <w:rPr>
          <w:i/>
          <w:iCs/>
          <w:sz w:val="24"/>
          <w:szCs w:val="24"/>
          <w:lang w:val="en-US" w:eastAsia="en-US"/>
        </w:rPr>
        <w:t>Neurocritical Care</w:t>
      </w:r>
      <w:r w:rsidRPr="002C6910">
        <w:rPr>
          <w:sz w:val="24"/>
          <w:szCs w:val="24"/>
          <w:lang w:val="en-US" w:eastAsia="en-US"/>
        </w:rPr>
        <w:t xml:space="preserve">, Vol. 36 No. 3, pp. 1053–1070, </w:t>
      </w:r>
      <w:proofErr w:type="spellStart"/>
      <w:r w:rsidRPr="002C6910">
        <w:rPr>
          <w:sz w:val="24"/>
          <w:szCs w:val="24"/>
          <w:lang w:val="en-US" w:eastAsia="en-US"/>
        </w:rPr>
        <w:t>doi</w:t>
      </w:r>
      <w:proofErr w:type="spellEnd"/>
      <w:r w:rsidRPr="002C6910">
        <w:rPr>
          <w:sz w:val="24"/>
          <w:szCs w:val="24"/>
          <w:lang w:val="en-US" w:eastAsia="en-US"/>
        </w:rPr>
        <w:t>: 10.1007/s12028-022-01484-5.</w:t>
      </w:r>
    </w:p>
    <w:p w14:paraId="6CC14831" w14:textId="23A7F93D" w:rsidR="002C6910" w:rsidRPr="002C6910" w:rsidRDefault="002C6910" w:rsidP="0073632F">
      <w:pPr>
        <w:spacing w:line="360" w:lineRule="auto"/>
        <w:ind w:left="720" w:hanging="720"/>
        <w:jc w:val="both"/>
        <w:rPr>
          <w:sz w:val="24"/>
          <w:szCs w:val="24"/>
          <w:lang w:val="en-US" w:eastAsia="en-US"/>
        </w:rPr>
      </w:pPr>
      <w:r w:rsidRPr="002C6910">
        <w:rPr>
          <w:sz w:val="24"/>
          <w:szCs w:val="24"/>
          <w:lang w:val="en-US" w:eastAsia="en-US"/>
        </w:rPr>
        <w:t xml:space="preserve">Banks, J., Karjalainen, H. and Waters, T. (2023), </w:t>
      </w:r>
      <w:r w:rsidRPr="002C6910">
        <w:rPr>
          <w:i/>
          <w:iCs/>
          <w:sz w:val="24"/>
          <w:szCs w:val="24"/>
          <w:lang w:val="en-US" w:eastAsia="en-US"/>
        </w:rPr>
        <w:t>Inequalities in Disability Inequalities in Disability</w:t>
      </w:r>
      <w:r w:rsidRPr="002C6910">
        <w:rPr>
          <w:sz w:val="24"/>
          <w:szCs w:val="24"/>
          <w:lang w:val="en-US" w:eastAsia="en-US"/>
        </w:rPr>
        <w:t>.</w:t>
      </w:r>
    </w:p>
    <w:p w14:paraId="4DFB6840" w14:textId="77777777" w:rsidR="002C6910" w:rsidRPr="002C6910" w:rsidRDefault="002C6910" w:rsidP="002C6910">
      <w:pPr>
        <w:spacing w:line="360" w:lineRule="auto"/>
        <w:ind w:left="720" w:hanging="720"/>
        <w:jc w:val="both"/>
        <w:rPr>
          <w:sz w:val="24"/>
          <w:szCs w:val="24"/>
          <w:lang w:val="en-US" w:eastAsia="en-US"/>
        </w:rPr>
      </w:pPr>
      <w:r w:rsidRPr="002C6910">
        <w:rPr>
          <w:sz w:val="24"/>
          <w:szCs w:val="24"/>
          <w:lang w:val="en-US" w:eastAsia="en-US"/>
        </w:rPr>
        <w:t xml:space="preserve">Bhopal, K. (2022), “‘We can talk the talk, but we’re not allowed to walk the walk’: The role of equality and diversity staff in higher education institutions in England”, </w:t>
      </w:r>
      <w:r w:rsidRPr="002C6910">
        <w:rPr>
          <w:i/>
          <w:iCs/>
          <w:sz w:val="24"/>
          <w:szCs w:val="24"/>
          <w:lang w:val="en-US" w:eastAsia="en-US"/>
        </w:rPr>
        <w:t>Higher Education</w:t>
      </w:r>
      <w:r w:rsidRPr="002C6910">
        <w:rPr>
          <w:sz w:val="24"/>
          <w:szCs w:val="24"/>
          <w:lang w:val="en-US" w:eastAsia="en-US"/>
        </w:rPr>
        <w:t xml:space="preserve">, Vol. 85, </w:t>
      </w:r>
      <w:proofErr w:type="spellStart"/>
      <w:r w:rsidRPr="002C6910">
        <w:rPr>
          <w:sz w:val="24"/>
          <w:szCs w:val="24"/>
          <w:lang w:val="en-US" w:eastAsia="en-US"/>
        </w:rPr>
        <w:t>doi</w:t>
      </w:r>
      <w:proofErr w:type="spellEnd"/>
      <w:r w:rsidRPr="002C6910">
        <w:rPr>
          <w:sz w:val="24"/>
          <w:szCs w:val="24"/>
          <w:lang w:val="en-US" w:eastAsia="en-US"/>
        </w:rPr>
        <w:t>: 10.1007/s10734-022-00835-7.</w:t>
      </w:r>
    </w:p>
    <w:p w14:paraId="36606B10" w14:textId="310A8D9C" w:rsidR="002C6910" w:rsidRPr="002C6910" w:rsidRDefault="002C6910" w:rsidP="00517EA9">
      <w:pPr>
        <w:spacing w:line="360" w:lineRule="auto"/>
        <w:ind w:left="720" w:hanging="720"/>
        <w:jc w:val="both"/>
        <w:rPr>
          <w:sz w:val="24"/>
          <w:szCs w:val="24"/>
          <w:lang w:val="en-US" w:eastAsia="en-US"/>
        </w:rPr>
      </w:pPr>
      <w:r w:rsidRPr="002C6910">
        <w:rPr>
          <w:sz w:val="24"/>
          <w:szCs w:val="24"/>
          <w:lang w:val="en-US" w:eastAsia="en-US"/>
        </w:rPr>
        <w:t xml:space="preserve">Broderick, C., Stewart, M., Thomson, K., Sellers, C., Fenton, C., Cowie, J., Xu, W., </w:t>
      </w:r>
      <w:r w:rsidRPr="002C6910">
        <w:rPr>
          <w:i/>
          <w:iCs/>
          <w:sz w:val="24"/>
          <w:szCs w:val="24"/>
          <w:lang w:val="en-US" w:eastAsia="en-US"/>
        </w:rPr>
        <w:t>et al.</w:t>
      </w:r>
      <w:r w:rsidRPr="002C6910">
        <w:rPr>
          <w:sz w:val="24"/>
          <w:szCs w:val="24"/>
          <w:lang w:val="en-US" w:eastAsia="en-US"/>
        </w:rPr>
        <w:t xml:space="preserve"> (2025), “The effects of exercise on secondary prevention and health-related quality of life in people with existing vascular disease: Systematic review and meta-analysis of </w:t>
      </w:r>
      <w:proofErr w:type="spellStart"/>
      <w:r w:rsidRPr="002C6910">
        <w:rPr>
          <w:sz w:val="24"/>
          <w:szCs w:val="24"/>
          <w:lang w:val="en-US" w:eastAsia="en-US"/>
        </w:rPr>
        <w:t>randomised</w:t>
      </w:r>
      <w:proofErr w:type="spellEnd"/>
      <w:r w:rsidRPr="002C6910">
        <w:rPr>
          <w:sz w:val="24"/>
          <w:szCs w:val="24"/>
          <w:lang w:val="en-US" w:eastAsia="en-US"/>
        </w:rPr>
        <w:t xml:space="preserve"> controlled trials”, </w:t>
      </w:r>
      <w:proofErr w:type="spellStart"/>
      <w:r w:rsidRPr="002C6910">
        <w:rPr>
          <w:i/>
          <w:iCs/>
          <w:sz w:val="24"/>
          <w:szCs w:val="24"/>
          <w:lang w:val="en-US" w:eastAsia="en-US"/>
        </w:rPr>
        <w:t>eClinicalMedicine</w:t>
      </w:r>
      <w:proofErr w:type="spellEnd"/>
      <w:r w:rsidRPr="002C6910">
        <w:rPr>
          <w:sz w:val="24"/>
          <w:szCs w:val="24"/>
          <w:lang w:val="en-US" w:eastAsia="en-US"/>
        </w:rPr>
        <w:t xml:space="preserve">, Elsevier BV, Vol. 83, p. 103201, </w:t>
      </w:r>
      <w:proofErr w:type="spellStart"/>
      <w:r w:rsidRPr="002C6910">
        <w:rPr>
          <w:sz w:val="24"/>
          <w:szCs w:val="24"/>
          <w:lang w:val="en-US" w:eastAsia="en-US"/>
        </w:rPr>
        <w:t>doi</w:t>
      </w:r>
      <w:proofErr w:type="spellEnd"/>
      <w:r w:rsidRPr="002C6910">
        <w:rPr>
          <w:sz w:val="24"/>
          <w:szCs w:val="24"/>
          <w:lang w:val="en-US" w:eastAsia="en-US"/>
        </w:rPr>
        <w:t>: 10.1016/j.eclinm.2025.103201.</w:t>
      </w:r>
      <w:r w:rsidR="00D95814" w:rsidRPr="00D95814">
        <w:t xml:space="preserve"> </w:t>
      </w:r>
      <w:r w:rsidR="00D95814" w:rsidRPr="00D95814">
        <w:rPr>
          <w:sz w:val="24"/>
          <w:szCs w:val="24"/>
          <w:lang w:val="en-US" w:eastAsia="en-US"/>
        </w:rPr>
        <w:t xml:space="preserve">There </w:t>
      </w:r>
      <w:proofErr w:type="gramStart"/>
      <w:r w:rsidR="00D95814" w:rsidRPr="00D95814">
        <w:rPr>
          <w:sz w:val="24"/>
          <w:szCs w:val="24"/>
          <w:lang w:val="en-US" w:eastAsia="en-US"/>
        </w:rPr>
        <w:t>is</w:t>
      </w:r>
      <w:proofErr w:type="gramEnd"/>
      <w:r w:rsidR="00D95814" w:rsidRPr="00D95814">
        <w:rPr>
          <w:sz w:val="24"/>
          <w:szCs w:val="24"/>
          <w:lang w:val="en-US" w:eastAsia="en-US"/>
        </w:rPr>
        <w:t xml:space="preserve"> regular intersectional barriers faced by physically disabled adults throughout the social determinants of health, which systematically lead to the low prevalence of</w:t>
      </w:r>
    </w:p>
    <w:p w14:paraId="2BF80720" w14:textId="77777777" w:rsidR="002C6910" w:rsidRPr="002C6910" w:rsidRDefault="002C6910" w:rsidP="002C6910">
      <w:pPr>
        <w:spacing w:line="360" w:lineRule="auto"/>
        <w:ind w:left="720" w:hanging="720"/>
        <w:jc w:val="both"/>
        <w:rPr>
          <w:sz w:val="24"/>
          <w:szCs w:val="24"/>
          <w:lang w:val="en-US" w:eastAsia="en-US"/>
        </w:rPr>
      </w:pPr>
      <w:r w:rsidRPr="002C6910">
        <w:rPr>
          <w:sz w:val="24"/>
          <w:szCs w:val="24"/>
          <w:lang w:val="en-US" w:eastAsia="en-US"/>
        </w:rPr>
        <w:t xml:space="preserve">Centers for Disease Control and Prevention. (2012), </w:t>
      </w:r>
      <w:r w:rsidRPr="002C6910">
        <w:rPr>
          <w:i/>
          <w:iCs/>
          <w:sz w:val="24"/>
          <w:szCs w:val="24"/>
          <w:lang w:val="en-US" w:eastAsia="en-US"/>
        </w:rPr>
        <w:t>Introduction to Epidemiology: Concepts of Disease Occurrence. Centers for Disease Control and Prevention</w:t>
      </w:r>
      <w:r w:rsidRPr="002C6910">
        <w:rPr>
          <w:sz w:val="24"/>
          <w:szCs w:val="24"/>
          <w:lang w:val="en-US" w:eastAsia="en-US"/>
        </w:rPr>
        <w:t>.</w:t>
      </w:r>
    </w:p>
    <w:p w14:paraId="653626F2" w14:textId="77777777" w:rsidR="002C6910" w:rsidRPr="002C6910" w:rsidRDefault="002C6910" w:rsidP="002C6910">
      <w:pPr>
        <w:spacing w:line="360" w:lineRule="auto"/>
        <w:ind w:left="720" w:hanging="720"/>
        <w:jc w:val="both"/>
        <w:rPr>
          <w:sz w:val="24"/>
          <w:szCs w:val="24"/>
          <w:lang w:val="en-US" w:eastAsia="en-US"/>
        </w:rPr>
      </w:pPr>
      <w:r w:rsidRPr="002C6910">
        <w:rPr>
          <w:sz w:val="24"/>
          <w:szCs w:val="24"/>
          <w:lang w:val="en-US" w:eastAsia="en-US"/>
        </w:rPr>
        <w:t xml:space="preserve">Centers for Disease Control and Prevention. (2019), “Social Determinants of Health among Adults with Diagnosed HIV Infection, 2019”, </w:t>
      </w:r>
      <w:r w:rsidRPr="002C6910">
        <w:rPr>
          <w:i/>
          <w:iCs/>
          <w:sz w:val="24"/>
          <w:szCs w:val="24"/>
          <w:lang w:val="en-US" w:eastAsia="en-US"/>
        </w:rPr>
        <w:t>Cdc.Gov</w:t>
      </w:r>
      <w:r w:rsidRPr="002C6910">
        <w:rPr>
          <w:sz w:val="24"/>
          <w:szCs w:val="24"/>
          <w:lang w:val="en-US" w:eastAsia="en-US"/>
        </w:rPr>
        <w:t>, Centers for Disease Control and Prevention (CDC) (U.S.), Vol. 27.</w:t>
      </w:r>
    </w:p>
    <w:p w14:paraId="69810753" w14:textId="77777777" w:rsidR="002C6910" w:rsidRPr="002C6910" w:rsidRDefault="002C6910" w:rsidP="002C6910">
      <w:pPr>
        <w:spacing w:line="360" w:lineRule="auto"/>
        <w:ind w:left="720" w:hanging="720"/>
        <w:jc w:val="both"/>
        <w:rPr>
          <w:sz w:val="24"/>
          <w:szCs w:val="24"/>
          <w:lang w:val="en-US" w:eastAsia="en-US"/>
        </w:rPr>
      </w:pPr>
      <w:r w:rsidRPr="002C6910">
        <w:rPr>
          <w:sz w:val="24"/>
          <w:szCs w:val="24"/>
          <w:lang w:val="en-US" w:eastAsia="en-US"/>
        </w:rPr>
        <w:t xml:space="preserve">Cleveland Clinic. (2021), “Infectious Disease”, </w:t>
      </w:r>
      <w:r w:rsidRPr="002C6910">
        <w:rPr>
          <w:i/>
          <w:iCs/>
          <w:sz w:val="24"/>
          <w:szCs w:val="24"/>
          <w:lang w:val="en-US" w:eastAsia="en-US"/>
        </w:rPr>
        <w:t>Cleveland Clinic</w:t>
      </w:r>
      <w:r w:rsidRPr="002C6910">
        <w:rPr>
          <w:sz w:val="24"/>
          <w:szCs w:val="24"/>
          <w:lang w:val="en-US" w:eastAsia="en-US"/>
        </w:rPr>
        <w:t>, available at: https://my.clevelandclinic.org/departments/respiratory/depts/infectious-disease (accessed 14 July 2026).</w:t>
      </w:r>
    </w:p>
    <w:p w14:paraId="1602ED32" w14:textId="77777777" w:rsidR="002C6910" w:rsidRPr="002C6910" w:rsidRDefault="002C6910" w:rsidP="002C6910">
      <w:pPr>
        <w:spacing w:line="360" w:lineRule="auto"/>
        <w:ind w:left="720" w:hanging="720"/>
        <w:jc w:val="both"/>
        <w:rPr>
          <w:sz w:val="24"/>
          <w:szCs w:val="24"/>
          <w:lang w:val="en-US" w:eastAsia="en-US"/>
        </w:rPr>
      </w:pPr>
      <w:r w:rsidRPr="002C6910">
        <w:rPr>
          <w:sz w:val="24"/>
          <w:szCs w:val="24"/>
          <w:lang w:val="en-US" w:eastAsia="en-US"/>
        </w:rPr>
        <w:t xml:space="preserve">Derbyshire County Council. (2019), “Other factors affecting health - Derbyshire County Council”, </w:t>
      </w:r>
      <w:proofErr w:type="gramStart"/>
      <w:r w:rsidRPr="002C6910">
        <w:rPr>
          <w:i/>
          <w:iCs/>
          <w:sz w:val="24"/>
          <w:szCs w:val="24"/>
          <w:lang w:val="en-US" w:eastAsia="en-US"/>
        </w:rPr>
        <w:t>Www.Derbyshire.Gov.Uk</w:t>
      </w:r>
      <w:proofErr w:type="gramEnd"/>
      <w:r w:rsidRPr="002C6910">
        <w:rPr>
          <w:sz w:val="24"/>
          <w:szCs w:val="24"/>
          <w:lang w:val="en-US" w:eastAsia="en-US"/>
        </w:rPr>
        <w:t>, available at: https://www.derbyshire.gov.uk/social-health/health-and-wellbeing/your-communitys-health/other-factors-affecting-health/other-factors-affecting-health.aspx (accessed 14 July 2026).</w:t>
      </w:r>
    </w:p>
    <w:p w14:paraId="09525C2D" w14:textId="77777777" w:rsidR="002C6910" w:rsidRPr="002C6910" w:rsidRDefault="002C6910" w:rsidP="002C6910">
      <w:pPr>
        <w:spacing w:line="360" w:lineRule="auto"/>
        <w:ind w:left="720" w:hanging="720"/>
        <w:jc w:val="both"/>
        <w:rPr>
          <w:sz w:val="24"/>
          <w:szCs w:val="24"/>
          <w:lang w:val="en-US" w:eastAsia="en-US"/>
        </w:rPr>
      </w:pPr>
      <w:r w:rsidRPr="002C6910">
        <w:rPr>
          <w:sz w:val="24"/>
          <w:szCs w:val="24"/>
          <w:lang w:val="en-US" w:eastAsia="en-US"/>
        </w:rPr>
        <w:lastRenderedPageBreak/>
        <w:t xml:space="preserve">Ding, P.-F., Zhang, H.-S., Wang, J., Gao, Y.-Y., Mao, J.-N., Hang, C.-H. and Li, W. (2022), “Insulin resistance in ischemic stroke: Mechanisms and therapeutic approaches”, </w:t>
      </w:r>
      <w:r w:rsidRPr="002C6910">
        <w:rPr>
          <w:i/>
          <w:iCs/>
          <w:sz w:val="24"/>
          <w:szCs w:val="24"/>
          <w:lang w:val="en-US" w:eastAsia="en-US"/>
        </w:rPr>
        <w:t>Frontiers in Endocrinology</w:t>
      </w:r>
      <w:r w:rsidRPr="002C6910">
        <w:rPr>
          <w:sz w:val="24"/>
          <w:szCs w:val="24"/>
          <w:lang w:val="en-US" w:eastAsia="en-US"/>
        </w:rPr>
        <w:t xml:space="preserve">, Vol. 13, </w:t>
      </w:r>
      <w:proofErr w:type="spellStart"/>
      <w:r w:rsidRPr="002C6910">
        <w:rPr>
          <w:sz w:val="24"/>
          <w:szCs w:val="24"/>
          <w:lang w:val="en-US" w:eastAsia="en-US"/>
        </w:rPr>
        <w:t>doi</w:t>
      </w:r>
      <w:proofErr w:type="spellEnd"/>
      <w:r w:rsidRPr="002C6910">
        <w:rPr>
          <w:sz w:val="24"/>
          <w:szCs w:val="24"/>
          <w:lang w:val="en-US" w:eastAsia="en-US"/>
        </w:rPr>
        <w:t>: 10.3389/fendo.2022.1092431.</w:t>
      </w:r>
    </w:p>
    <w:p w14:paraId="37A6E8FD" w14:textId="77777777" w:rsidR="002C6910" w:rsidRPr="002C6910" w:rsidRDefault="002C6910" w:rsidP="002C6910">
      <w:pPr>
        <w:spacing w:line="360" w:lineRule="auto"/>
        <w:ind w:left="720" w:hanging="720"/>
        <w:jc w:val="both"/>
        <w:rPr>
          <w:sz w:val="24"/>
          <w:szCs w:val="24"/>
          <w:lang w:val="en-US" w:eastAsia="en-US"/>
        </w:rPr>
      </w:pPr>
      <w:r w:rsidRPr="002C6910">
        <w:rPr>
          <w:sz w:val="24"/>
          <w:szCs w:val="24"/>
          <w:lang w:val="en-US" w:eastAsia="en-US"/>
        </w:rPr>
        <w:t xml:space="preserve">Disability Unit. (2025), “Disability, loneliness and relationships: A thematic report”, </w:t>
      </w:r>
      <w:r w:rsidRPr="002C6910">
        <w:rPr>
          <w:i/>
          <w:iCs/>
          <w:sz w:val="24"/>
          <w:szCs w:val="24"/>
          <w:lang w:val="en-US" w:eastAsia="en-US"/>
        </w:rPr>
        <w:t>GOV.UK</w:t>
      </w:r>
      <w:r w:rsidRPr="002C6910">
        <w:rPr>
          <w:sz w:val="24"/>
          <w:szCs w:val="24"/>
          <w:lang w:val="en-US" w:eastAsia="en-US"/>
        </w:rPr>
        <w:t>, available at: https://www.gov.uk/government/publications/disability-loneliness-and-relationships-a-thematic-report/disability-loneliness-and-relationships-a-thematic-report (accessed 14 July 2026).</w:t>
      </w:r>
    </w:p>
    <w:p w14:paraId="1945060F" w14:textId="77777777" w:rsidR="002C6910" w:rsidRPr="002C6910" w:rsidRDefault="002C6910" w:rsidP="002C6910">
      <w:pPr>
        <w:spacing w:line="360" w:lineRule="auto"/>
        <w:ind w:left="720" w:hanging="720"/>
        <w:jc w:val="both"/>
        <w:rPr>
          <w:sz w:val="24"/>
          <w:szCs w:val="24"/>
          <w:lang w:val="en-US" w:eastAsia="en-US"/>
        </w:rPr>
      </w:pPr>
      <w:r w:rsidRPr="002C6910">
        <w:rPr>
          <w:sz w:val="24"/>
          <w:szCs w:val="24"/>
          <w:lang w:val="en-US" w:eastAsia="en-US"/>
        </w:rPr>
        <w:t xml:space="preserve">Elliott, H., Tozer, C., Fenton, A., Powers, C., Lines, C., Hill, M., Owolabi, B., </w:t>
      </w:r>
      <w:r w:rsidRPr="002C6910">
        <w:rPr>
          <w:i/>
          <w:iCs/>
          <w:sz w:val="24"/>
          <w:szCs w:val="24"/>
          <w:lang w:val="en-US" w:eastAsia="en-US"/>
        </w:rPr>
        <w:t>et al.</w:t>
      </w:r>
      <w:r w:rsidRPr="002C6910">
        <w:rPr>
          <w:sz w:val="24"/>
          <w:szCs w:val="24"/>
          <w:lang w:val="en-US" w:eastAsia="en-US"/>
        </w:rPr>
        <w:t xml:space="preserve"> (2025), “From policy to action: A document content analysis reviewing the adoption of the healthcare inequalities </w:t>
      </w:r>
      <w:proofErr w:type="spellStart"/>
      <w:r w:rsidRPr="002C6910">
        <w:rPr>
          <w:sz w:val="24"/>
          <w:szCs w:val="24"/>
          <w:lang w:val="en-US" w:eastAsia="en-US"/>
        </w:rPr>
        <w:t>programme</w:t>
      </w:r>
      <w:proofErr w:type="spellEnd"/>
      <w:r w:rsidRPr="002C6910">
        <w:rPr>
          <w:sz w:val="24"/>
          <w:szCs w:val="24"/>
          <w:lang w:val="en-US" w:eastAsia="en-US"/>
        </w:rPr>
        <w:t xml:space="preserve"> in local health system plans in England”, </w:t>
      </w:r>
      <w:r w:rsidRPr="002C6910">
        <w:rPr>
          <w:i/>
          <w:iCs/>
          <w:sz w:val="24"/>
          <w:szCs w:val="24"/>
          <w:lang w:val="en-US" w:eastAsia="en-US"/>
        </w:rPr>
        <w:t>BMJ Open</w:t>
      </w:r>
      <w:r w:rsidRPr="002C6910">
        <w:rPr>
          <w:sz w:val="24"/>
          <w:szCs w:val="24"/>
          <w:lang w:val="en-US" w:eastAsia="en-US"/>
        </w:rPr>
        <w:t xml:space="preserve">, BMJ, Vol. 15 No. 10, p. e102163, </w:t>
      </w:r>
      <w:proofErr w:type="spellStart"/>
      <w:r w:rsidRPr="002C6910">
        <w:rPr>
          <w:sz w:val="24"/>
          <w:szCs w:val="24"/>
          <w:lang w:val="en-US" w:eastAsia="en-US"/>
        </w:rPr>
        <w:t>doi</w:t>
      </w:r>
      <w:proofErr w:type="spellEnd"/>
      <w:r w:rsidRPr="002C6910">
        <w:rPr>
          <w:sz w:val="24"/>
          <w:szCs w:val="24"/>
          <w:lang w:val="en-US" w:eastAsia="en-US"/>
        </w:rPr>
        <w:t>: 10.1136/bmjopen-2025-102163.</w:t>
      </w:r>
    </w:p>
    <w:p w14:paraId="08062041" w14:textId="77777777" w:rsidR="002C6910" w:rsidRPr="002C6910" w:rsidRDefault="002C6910" w:rsidP="002C6910">
      <w:pPr>
        <w:spacing w:line="360" w:lineRule="auto"/>
        <w:ind w:left="720" w:hanging="720"/>
        <w:jc w:val="both"/>
        <w:rPr>
          <w:sz w:val="24"/>
          <w:szCs w:val="24"/>
          <w:lang w:val="en-US" w:eastAsia="en-US"/>
        </w:rPr>
      </w:pPr>
      <w:r w:rsidRPr="002C6910">
        <w:rPr>
          <w:sz w:val="24"/>
          <w:szCs w:val="24"/>
          <w:lang w:val="en-US" w:eastAsia="en-US"/>
        </w:rPr>
        <w:t xml:space="preserve">Emerson, E., Stancliffe, R., Fortune, N. and Llewellyn, G. (2021), “Disability, Loneliness and Health in the UK: Cross-sectional survey”, </w:t>
      </w:r>
      <w:r w:rsidRPr="002C6910">
        <w:rPr>
          <w:i/>
          <w:iCs/>
          <w:sz w:val="24"/>
          <w:szCs w:val="24"/>
          <w:lang w:val="en-US" w:eastAsia="en-US"/>
        </w:rPr>
        <w:t>European Journal of Public Health</w:t>
      </w:r>
      <w:r w:rsidRPr="002C6910">
        <w:rPr>
          <w:sz w:val="24"/>
          <w:szCs w:val="24"/>
          <w:lang w:val="en-US" w:eastAsia="en-US"/>
        </w:rPr>
        <w:t>, Oxford Academic, Vol. 31 No. 3, pp. 533–538.</w:t>
      </w:r>
    </w:p>
    <w:p w14:paraId="6E1016EE" w14:textId="77777777" w:rsidR="002C6910" w:rsidRPr="002C6910" w:rsidRDefault="002C6910" w:rsidP="002C6910">
      <w:pPr>
        <w:spacing w:line="360" w:lineRule="auto"/>
        <w:ind w:left="720" w:hanging="720"/>
        <w:jc w:val="both"/>
        <w:rPr>
          <w:sz w:val="24"/>
          <w:szCs w:val="24"/>
          <w:lang w:val="en-US" w:eastAsia="en-US"/>
        </w:rPr>
      </w:pPr>
      <w:r w:rsidRPr="002C6910">
        <w:rPr>
          <w:sz w:val="24"/>
          <w:szCs w:val="24"/>
          <w:lang w:val="en-US" w:eastAsia="en-US"/>
        </w:rPr>
        <w:t xml:space="preserve">Feigin, R. D, Garg, R. and Christie, A.B. (2020), “Infectious Disease | Definition, Types, &amp; Causes | Britannica”, </w:t>
      </w:r>
      <w:proofErr w:type="spellStart"/>
      <w:r w:rsidRPr="002C6910">
        <w:rPr>
          <w:i/>
          <w:iCs/>
          <w:sz w:val="24"/>
          <w:szCs w:val="24"/>
          <w:lang w:val="en-US" w:eastAsia="en-US"/>
        </w:rPr>
        <w:t>Encyclopædia</w:t>
      </w:r>
      <w:proofErr w:type="spellEnd"/>
      <w:r w:rsidRPr="002C6910">
        <w:rPr>
          <w:i/>
          <w:iCs/>
          <w:sz w:val="24"/>
          <w:szCs w:val="24"/>
          <w:lang w:val="en-US" w:eastAsia="en-US"/>
        </w:rPr>
        <w:t xml:space="preserve"> Britannica</w:t>
      </w:r>
      <w:r w:rsidRPr="002C6910">
        <w:rPr>
          <w:sz w:val="24"/>
          <w:szCs w:val="24"/>
          <w:lang w:val="en-US" w:eastAsia="en-US"/>
        </w:rPr>
        <w:t>.</w:t>
      </w:r>
    </w:p>
    <w:p w14:paraId="7A4CA6F0" w14:textId="77777777" w:rsidR="002C6910" w:rsidRPr="002C6910" w:rsidRDefault="002C6910" w:rsidP="002C6910">
      <w:pPr>
        <w:spacing w:line="360" w:lineRule="auto"/>
        <w:ind w:left="720" w:hanging="720"/>
        <w:jc w:val="both"/>
        <w:rPr>
          <w:sz w:val="24"/>
          <w:szCs w:val="24"/>
          <w:lang w:val="en-US" w:eastAsia="en-US"/>
        </w:rPr>
      </w:pPr>
      <w:r w:rsidRPr="002C6910">
        <w:rPr>
          <w:sz w:val="24"/>
          <w:szCs w:val="24"/>
          <w:lang w:val="en-US" w:eastAsia="en-US"/>
        </w:rPr>
        <w:t xml:space="preserve">Giesecke, J. (2017), </w:t>
      </w:r>
      <w:r w:rsidRPr="002C6910">
        <w:rPr>
          <w:i/>
          <w:iCs/>
          <w:sz w:val="24"/>
          <w:szCs w:val="24"/>
          <w:lang w:val="en-US" w:eastAsia="en-US"/>
        </w:rPr>
        <w:t>Modern Infectious Disease Epidemiology, Third Edition</w:t>
      </w:r>
      <w:r w:rsidRPr="002C6910">
        <w:rPr>
          <w:sz w:val="24"/>
          <w:szCs w:val="24"/>
          <w:lang w:val="en-US" w:eastAsia="en-US"/>
        </w:rPr>
        <w:t xml:space="preserve">, CRC Press, </w:t>
      </w:r>
      <w:proofErr w:type="spellStart"/>
      <w:r w:rsidRPr="002C6910">
        <w:rPr>
          <w:sz w:val="24"/>
          <w:szCs w:val="24"/>
          <w:lang w:val="en-US" w:eastAsia="en-US"/>
        </w:rPr>
        <w:t>doi</w:t>
      </w:r>
      <w:proofErr w:type="spellEnd"/>
      <w:r w:rsidRPr="002C6910">
        <w:rPr>
          <w:sz w:val="24"/>
          <w:szCs w:val="24"/>
          <w:lang w:val="en-US" w:eastAsia="en-US"/>
        </w:rPr>
        <w:t>: 10.1201/9781315222714.</w:t>
      </w:r>
    </w:p>
    <w:p w14:paraId="69AD3667" w14:textId="77777777" w:rsidR="002C6910" w:rsidRPr="002C6910" w:rsidRDefault="002C6910" w:rsidP="002C6910">
      <w:pPr>
        <w:spacing w:line="360" w:lineRule="auto"/>
        <w:ind w:left="720" w:hanging="720"/>
        <w:jc w:val="both"/>
        <w:rPr>
          <w:sz w:val="24"/>
          <w:szCs w:val="24"/>
          <w:lang w:val="en-US" w:eastAsia="en-US"/>
        </w:rPr>
      </w:pPr>
      <w:proofErr w:type="spellStart"/>
      <w:r w:rsidRPr="002C6910">
        <w:rPr>
          <w:sz w:val="24"/>
          <w:szCs w:val="24"/>
          <w:lang w:val="en-US" w:eastAsia="en-US"/>
        </w:rPr>
        <w:t>Godlee</w:t>
      </w:r>
      <w:proofErr w:type="spellEnd"/>
      <w:r w:rsidRPr="002C6910">
        <w:rPr>
          <w:sz w:val="24"/>
          <w:szCs w:val="24"/>
          <w:lang w:val="en-US" w:eastAsia="en-US"/>
        </w:rPr>
        <w:t xml:space="preserve">, F. (2011), “What is health?”, </w:t>
      </w:r>
      <w:r w:rsidRPr="002C6910">
        <w:rPr>
          <w:i/>
          <w:iCs/>
          <w:sz w:val="24"/>
          <w:szCs w:val="24"/>
          <w:lang w:val="en-US" w:eastAsia="en-US"/>
        </w:rPr>
        <w:t>BMJ</w:t>
      </w:r>
      <w:r w:rsidRPr="002C6910">
        <w:rPr>
          <w:sz w:val="24"/>
          <w:szCs w:val="24"/>
          <w:lang w:val="en-US" w:eastAsia="en-US"/>
        </w:rPr>
        <w:t xml:space="preserve">, Vol. 343 No. jul27 2, pp. d4817-d4817, </w:t>
      </w:r>
      <w:proofErr w:type="spellStart"/>
      <w:r w:rsidRPr="002C6910">
        <w:rPr>
          <w:sz w:val="24"/>
          <w:szCs w:val="24"/>
          <w:lang w:val="en-US" w:eastAsia="en-US"/>
        </w:rPr>
        <w:t>doi</w:t>
      </w:r>
      <w:proofErr w:type="spellEnd"/>
      <w:r w:rsidRPr="002C6910">
        <w:rPr>
          <w:sz w:val="24"/>
          <w:szCs w:val="24"/>
          <w:lang w:val="en-US" w:eastAsia="en-US"/>
        </w:rPr>
        <w:t>: 10.1136/</w:t>
      </w:r>
      <w:proofErr w:type="gramStart"/>
      <w:r w:rsidRPr="002C6910">
        <w:rPr>
          <w:sz w:val="24"/>
          <w:szCs w:val="24"/>
          <w:lang w:val="en-US" w:eastAsia="en-US"/>
        </w:rPr>
        <w:t>bmj.d</w:t>
      </w:r>
      <w:proofErr w:type="gramEnd"/>
      <w:r w:rsidRPr="002C6910">
        <w:rPr>
          <w:sz w:val="24"/>
          <w:szCs w:val="24"/>
          <w:lang w:val="en-US" w:eastAsia="en-US"/>
        </w:rPr>
        <w:t>4817.</w:t>
      </w:r>
    </w:p>
    <w:p w14:paraId="350CF8F1" w14:textId="77777777" w:rsidR="002C6910" w:rsidRPr="002C6910" w:rsidRDefault="002C6910" w:rsidP="002C6910">
      <w:pPr>
        <w:spacing w:line="360" w:lineRule="auto"/>
        <w:ind w:left="720" w:hanging="720"/>
        <w:jc w:val="both"/>
        <w:rPr>
          <w:sz w:val="24"/>
          <w:szCs w:val="24"/>
          <w:lang w:val="en-US" w:eastAsia="en-US"/>
        </w:rPr>
      </w:pPr>
      <w:r w:rsidRPr="002C6910">
        <w:rPr>
          <w:sz w:val="24"/>
          <w:szCs w:val="24"/>
          <w:lang w:val="en-US" w:eastAsia="en-US"/>
        </w:rPr>
        <w:t xml:space="preserve">GOV.UK. (2020), “Health Inequalities Annual Report 2020”, </w:t>
      </w:r>
      <w:r w:rsidRPr="002C6910">
        <w:rPr>
          <w:i/>
          <w:iCs/>
          <w:sz w:val="24"/>
          <w:szCs w:val="24"/>
          <w:lang w:val="en-US" w:eastAsia="en-US"/>
        </w:rPr>
        <w:t>GOV.UK</w:t>
      </w:r>
      <w:r w:rsidRPr="002C6910">
        <w:rPr>
          <w:sz w:val="24"/>
          <w:szCs w:val="24"/>
          <w:lang w:val="en-US" w:eastAsia="en-US"/>
        </w:rPr>
        <w:t>, available at: https://www.gov.uk/government/statistics/health-inequalities-annual-report-2020 (accessed 14 July 2026).</w:t>
      </w:r>
    </w:p>
    <w:p w14:paraId="4DB70221" w14:textId="77777777" w:rsidR="002C6910" w:rsidRPr="002C6910" w:rsidRDefault="002C6910" w:rsidP="002C6910">
      <w:pPr>
        <w:spacing w:line="360" w:lineRule="auto"/>
        <w:ind w:left="720" w:hanging="720"/>
        <w:jc w:val="both"/>
        <w:rPr>
          <w:sz w:val="24"/>
          <w:szCs w:val="24"/>
          <w:lang w:val="en-US" w:eastAsia="en-US"/>
        </w:rPr>
      </w:pPr>
      <w:r w:rsidRPr="002C6910">
        <w:rPr>
          <w:sz w:val="24"/>
          <w:szCs w:val="24"/>
          <w:lang w:val="en-US" w:eastAsia="en-US"/>
        </w:rPr>
        <w:t xml:space="preserve">Guy’s and St Thomas’ NHS Foundation Trust. (2024), “Community stroke and neuro-rehabilitation - Overview”, </w:t>
      </w:r>
      <w:r w:rsidRPr="002C6910">
        <w:rPr>
          <w:i/>
          <w:iCs/>
          <w:sz w:val="24"/>
          <w:szCs w:val="24"/>
          <w:lang w:val="en-US" w:eastAsia="en-US"/>
        </w:rPr>
        <w:t>Guy’s and St Thomas” NHS Foundation Trust</w:t>
      </w:r>
      <w:r w:rsidRPr="002C6910">
        <w:rPr>
          <w:sz w:val="24"/>
          <w:szCs w:val="24"/>
          <w:lang w:val="en-US" w:eastAsia="en-US"/>
        </w:rPr>
        <w:t>, available at: https://www.guysandstthomas.nhs.uk/our-services/community-stroke-and-neuro-rehabilitation (accessed 14 July 2026).</w:t>
      </w:r>
    </w:p>
    <w:p w14:paraId="00D977E5" w14:textId="77777777" w:rsidR="002C6910" w:rsidRPr="002C6910" w:rsidRDefault="002C6910" w:rsidP="002C6910">
      <w:pPr>
        <w:spacing w:line="360" w:lineRule="auto"/>
        <w:ind w:left="720" w:hanging="720"/>
        <w:jc w:val="both"/>
        <w:rPr>
          <w:sz w:val="24"/>
          <w:szCs w:val="24"/>
          <w:lang w:val="en-US" w:eastAsia="en-US"/>
        </w:rPr>
      </w:pPr>
      <w:r w:rsidRPr="002C6910">
        <w:rPr>
          <w:sz w:val="24"/>
          <w:szCs w:val="24"/>
          <w:lang w:val="en-US" w:eastAsia="en-US"/>
        </w:rPr>
        <w:t xml:space="preserve">Halstead, S., Cao, C., Grímur Høgnason Mohr, Ebdrup, B.H., Pillinger, T., McCutcheon, R.A., Firth, J., </w:t>
      </w:r>
      <w:r w:rsidRPr="002C6910">
        <w:rPr>
          <w:i/>
          <w:iCs/>
          <w:sz w:val="24"/>
          <w:szCs w:val="24"/>
          <w:lang w:val="en-US" w:eastAsia="en-US"/>
        </w:rPr>
        <w:t>et al.</w:t>
      </w:r>
      <w:r w:rsidRPr="002C6910">
        <w:rPr>
          <w:sz w:val="24"/>
          <w:szCs w:val="24"/>
          <w:lang w:val="en-US" w:eastAsia="en-US"/>
        </w:rPr>
        <w:t xml:space="preserve"> (2024), “Prevalence of multimorbidity in people with and without severe mental illness: A systematic review and meta-analysis”, </w:t>
      </w:r>
      <w:r w:rsidRPr="002C6910">
        <w:rPr>
          <w:i/>
          <w:iCs/>
          <w:sz w:val="24"/>
          <w:szCs w:val="24"/>
          <w:lang w:val="en-US" w:eastAsia="en-US"/>
        </w:rPr>
        <w:t>The Lancet. Psychiatry</w:t>
      </w:r>
      <w:r w:rsidRPr="002C6910">
        <w:rPr>
          <w:sz w:val="24"/>
          <w:szCs w:val="24"/>
          <w:lang w:val="en-US" w:eastAsia="en-US"/>
        </w:rPr>
        <w:t xml:space="preserve">, Elsevier BV, Vol. 11 No. 6, </w:t>
      </w:r>
      <w:proofErr w:type="spellStart"/>
      <w:r w:rsidRPr="002C6910">
        <w:rPr>
          <w:sz w:val="24"/>
          <w:szCs w:val="24"/>
          <w:lang w:val="en-US" w:eastAsia="en-US"/>
        </w:rPr>
        <w:t>doi</w:t>
      </w:r>
      <w:proofErr w:type="spellEnd"/>
      <w:r w:rsidRPr="002C6910">
        <w:rPr>
          <w:sz w:val="24"/>
          <w:szCs w:val="24"/>
          <w:lang w:val="en-US" w:eastAsia="en-US"/>
        </w:rPr>
        <w:t>: 10.1016/s2215-0366(24)00091-9.</w:t>
      </w:r>
    </w:p>
    <w:p w14:paraId="31D93FBE" w14:textId="77777777" w:rsidR="002C6910" w:rsidRPr="002C6910" w:rsidRDefault="002C6910" w:rsidP="002C6910">
      <w:pPr>
        <w:spacing w:line="360" w:lineRule="auto"/>
        <w:ind w:left="720" w:hanging="720"/>
        <w:jc w:val="both"/>
        <w:rPr>
          <w:sz w:val="24"/>
          <w:szCs w:val="24"/>
          <w:lang w:val="en-US" w:eastAsia="en-US"/>
        </w:rPr>
      </w:pPr>
      <w:r w:rsidRPr="002C6910">
        <w:rPr>
          <w:sz w:val="24"/>
          <w:szCs w:val="24"/>
          <w:lang w:val="en-US" w:eastAsia="en-US"/>
        </w:rPr>
        <w:t xml:space="preserve">Lewer, D., </w:t>
      </w:r>
      <w:proofErr w:type="spellStart"/>
      <w:r w:rsidRPr="002C6910">
        <w:rPr>
          <w:sz w:val="24"/>
          <w:szCs w:val="24"/>
          <w:lang w:val="en-US" w:eastAsia="en-US"/>
        </w:rPr>
        <w:t>Jayatunga</w:t>
      </w:r>
      <w:proofErr w:type="spellEnd"/>
      <w:r w:rsidRPr="002C6910">
        <w:rPr>
          <w:sz w:val="24"/>
          <w:szCs w:val="24"/>
          <w:lang w:val="en-US" w:eastAsia="en-US"/>
        </w:rPr>
        <w:t xml:space="preserve">, W., Aldridge, R.W., Edge, C., Marmot, M., Story, A. and Hayward, A. (2020), “Premature mortality attributable to socioeconomic inequality in England </w:t>
      </w:r>
      <w:r w:rsidRPr="002C6910">
        <w:rPr>
          <w:sz w:val="24"/>
          <w:szCs w:val="24"/>
          <w:lang w:val="en-US" w:eastAsia="en-US"/>
        </w:rPr>
        <w:lastRenderedPageBreak/>
        <w:t xml:space="preserve">between 2003 and 2018: An observational study”, </w:t>
      </w:r>
      <w:r w:rsidRPr="002C6910">
        <w:rPr>
          <w:i/>
          <w:iCs/>
          <w:sz w:val="24"/>
          <w:szCs w:val="24"/>
          <w:lang w:val="en-US" w:eastAsia="en-US"/>
        </w:rPr>
        <w:t>The Lancet Public Health</w:t>
      </w:r>
      <w:r w:rsidRPr="002C6910">
        <w:rPr>
          <w:sz w:val="24"/>
          <w:szCs w:val="24"/>
          <w:lang w:val="en-US" w:eastAsia="en-US"/>
        </w:rPr>
        <w:t xml:space="preserve">, Vol. 5 No. 1, pp. e33-e41, </w:t>
      </w:r>
      <w:proofErr w:type="spellStart"/>
      <w:r w:rsidRPr="002C6910">
        <w:rPr>
          <w:sz w:val="24"/>
          <w:szCs w:val="24"/>
          <w:lang w:val="en-US" w:eastAsia="en-US"/>
        </w:rPr>
        <w:t>doi</w:t>
      </w:r>
      <w:proofErr w:type="spellEnd"/>
      <w:r w:rsidRPr="002C6910">
        <w:rPr>
          <w:sz w:val="24"/>
          <w:szCs w:val="24"/>
          <w:lang w:val="en-US" w:eastAsia="en-US"/>
        </w:rPr>
        <w:t>: 10.1016/s2468-2667(19)30219-1.</w:t>
      </w:r>
    </w:p>
    <w:p w14:paraId="766F34A9" w14:textId="77777777" w:rsidR="002C6910" w:rsidRPr="002C6910" w:rsidRDefault="002C6910" w:rsidP="002C6910">
      <w:pPr>
        <w:spacing w:line="360" w:lineRule="auto"/>
        <w:ind w:left="720" w:hanging="720"/>
        <w:jc w:val="both"/>
        <w:rPr>
          <w:sz w:val="24"/>
          <w:szCs w:val="24"/>
          <w:lang w:val="en-US" w:eastAsia="en-US"/>
        </w:rPr>
      </w:pPr>
      <w:r w:rsidRPr="002C6910">
        <w:rPr>
          <w:sz w:val="24"/>
          <w:szCs w:val="24"/>
          <w:lang w:val="en-US" w:eastAsia="en-US"/>
        </w:rPr>
        <w:t xml:space="preserve">Longdom.org. (2026), “Health Behavior: List of High Impact Articles. </w:t>
      </w:r>
      <w:proofErr w:type="spellStart"/>
      <w:r w:rsidRPr="002C6910">
        <w:rPr>
          <w:sz w:val="24"/>
          <w:szCs w:val="24"/>
          <w:lang w:val="en-US" w:eastAsia="en-US"/>
        </w:rPr>
        <w:t>Longdom</w:t>
      </w:r>
      <w:proofErr w:type="spellEnd"/>
      <w:r w:rsidRPr="002C6910">
        <w:rPr>
          <w:sz w:val="24"/>
          <w:szCs w:val="24"/>
          <w:lang w:val="en-US" w:eastAsia="en-US"/>
        </w:rPr>
        <w:t xml:space="preserve"> Publishing”, </w:t>
      </w:r>
      <w:proofErr w:type="spellStart"/>
      <w:r w:rsidRPr="002C6910">
        <w:rPr>
          <w:i/>
          <w:iCs/>
          <w:sz w:val="24"/>
          <w:szCs w:val="24"/>
          <w:lang w:val="en-US" w:eastAsia="en-US"/>
        </w:rPr>
        <w:t>Longdom</w:t>
      </w:r>
      <w:proofErr w:type="spellEnd"/>
      <w:r w:rsidRPr="002C6910">
        <w:rPr>
          <w:sz w:val="24"/>
          <w:szCs w:val="24"/>
          <w:lang w:val="en-US" w:eastAsia="en-US"/>
        </w:rPr>
        <w:t>, available at: https://www.longdom.org/scholarly/healthy-aging-journals-articles-ppts-list-1643.html (accessed 14 July 2026).</w:t>
      </w:r>
    </w:p>
    <w:p w14:paraId="23443E88" w14:textId="77777777" w:rsidR="002C6910" w:rsidRPr="002C6910" w:rsidRDefault="002C6910" w:rsidP="002C6910">
      <w:pPr>
        <w:spacing w:line="360" w:lineRule="auto"/>
        <w:ind w:left="720" w:hanging="720"/>
        <w:jc w:val="both"/>
        <w:rPr>
          <w:sz w:val="24"/>
          <w:szCs w:val="24"/>
          <w:lang w:val="en-US" w:eastAsia="en-US"/>
        </w:rPr>
      </w:pPr>
      <w:r w:rsidRPr="002C6910">
        <w:rPr>
          <w:sz w:val="24"/>
          <w:szCs w:val="24"/>
          <w:lang w:val="en-US" w:eastAsia="en-US"/>
        </w:rPr>
        <w:t xml:space="preserve">Martins, J.A., Watanabe, H.A.W., Braga, V.A.S., Jesus, M.C.P. de, </w:t>
      </w:r>
      <w:proofErr w:type="spellStart"/>
      <w:r w:rsidRPr="002C6910">
        <w:rPr>
          <w:sz w:val="24"/>
          <w:szCs w:val="24"/>
          <w:lang w:val="en-US" w:eastAsia="en-US"/>
        </w:rPr>
        <w:t>Merighi</w:t>
      </w:r>
      <w:proofErr w:type="spellEnd"/>
      <w:r w:rsidRPr="002C6910">
        <w:rPr>
          <w:sz w:val="24"/>
          <w:szCs w:val="24"/>
          <w:lang w:val="en-US" w:eastAsia="en-US"/>
        </w:rPr>
        <w:t xml:space="preserve">, M.A.B., Martins, J.A., Watanabe, H.A.W., </w:t>
      </w:r>
      <w:r w:rsidRPr="002C6910">
        <w:rPr>
          <w:i/>
          <w:iCs/>
          <w:sz w:val="24"/>
          <w:szCs w:val="24"/>
          <w:lang w:val="en-US" w:eastAsia="en-US"/>
        </w:rPr>
        <w:t>et al.</w:t>
      </w:r>
      <w:r w:rsidRPr="002C6910">
        <w:rPr>
          <w:sz w:val="24"/>
          <w:szCs w:val="24"/>
          <w:lang w:val="en-US" w:eastAsia="en-US"/>
        </w:rPr>
        <w:t xml:space="preserve"> (2020), “Older adults with physical disabilities: Vulnerabilities relative to the body, the physical and social environment”, </w:t>
      </w:r>
      <w:r w:rsidRPr="002C6910">
        <w:rPr>
          <w:i/>
          <w:iCs/>
          <w:sz w:val="24"/>
          <w:szCs w:val="24"/>
          <w:lang w:val="en-US" w:eastAsia="en-US"/>
        </w:rPr>
        <w:t>Revista Brasileira de Enfermagem</w:t>
      </w:r>
      <w:r w:rsidRPr="002C6910">
        <w:rPr>
          <w:sz w:val="24"/>
          <w:szCs w:val="24"/>
          <w:lang w:val="en-US" w:eastAsia="en-US"/>
        </w:rPr>
        <w:t xml:space="preserve">, Vol. 73, </w:t>
      </w:r>
      <w:proofErr w:type="spellStart"/>
      <w:r w:rsidRPr="002C6910">
        <w:rPr>
          <w:sz w:val="24"/>
          <w:szCs w:val="24"/>
          <w:lang w:val="en-US" w:eastAsia="en-US"/>
        </w:rPr>
        <w:t>doi</w:t>
      </w:r>
      <w:proofErr w:type="spellEnd"/>
      <w:r w:rsidRPr="002C6910">
        <w:rPr>
          <w:sz w:val="24"/>
          <w:szCs w:val="24"/>
          <w:lang w:val="en-US" w:eastAsia="en-US"/>
        </w:rPr>
        <w:t>: 10.1590/0034-7167-2019-0175.</w:t>
      </w:r>
    </w:p>
    <w:p w14:paraId="0C1F9E55" w14:textId="77777777" w:rsidR="002C6910" w:rsidRPr="002C6910" w:rsidRDefault="002C6910" w:rsidP="002C6910">
      <w:pPr>
        <w:spacing w:line="360" w:lineRule="auto"/>
        <w:ind w:left="720" w:hanging="720"/>
        <w:jc w:val="both"/>
        <w:rPr>
          <w:sz w:val="24"/>
          <w:szCs w:val="24"/>
          <w:lang w:val="en-US" w:eastAsia="en-US"/>
        </w:rPr>
      </w:pPr>
      <w:r w:rsidRPr="002C6910">
        <w:rPr>
          <w:sz w:val="24"/>
          <w:szCs w:val="24"/>
          <w:lang w:val="en-US" w:eastAsia="en-US"/>
        </w:rPr>
        <w:t xml:space="preserve">Mosconi, M.G. and </w:t>
      </w:r>
      <w:proofErr w:type="spellStart"/>
      <w:r w:rsidRPr="002C6910">
        <w:rPr>
          <w:sz w:val="24"/>
          <w:szCs w:val="24"/>
          <w:lang w:val="en-US" w:eastAsia="en-US"/>
        </w:rPr>
        <w:t>Paciaroni</w:t>
      </w:r>
      <w:proofErr w:type="spellEnd"/>
      <w:r w:rsidRPr="002C6910">
        <w:rPr>
          <w:sz w:val="24"/>
          <w:szCs w:val="24"/>
          <w:lang w:val="en-US" w:eastAsia="en-US"/>
        </w:rPr>
        <w:t xml:space="preserve">, M. (2022), “Treatments in Ischemic Stroke: Current and Future”, </w:t>
      </w:r>
      <w:r w:rsidRPr="002C6910">
        <w:rPr>
          <w:i/>
          <w:iCs/>
          <w:sz w:val="24"/>
          <w:szCs w:val="24"/>
          <w:lang w:val="en-US" w:eastAsia="en-US"/>
        </w:rPr>
        <w:t>European Neurology</w:t>
      </w:r>
      <w:r w:rsidRPr="002C6910">
        <w:rPr>
          <w:sz w:val="24"/>
          <w:szCs w:val="24"/>
          <w:lang w:val="en-US" w:eastAsia="en-US"/>
        </w:rPr>
        <w:t xml:space="preserve">, Vol. 85 No. 5, pp. 1–18, </w:t>
      </w:r>
      <w:proofErr w:type="spellStart"/>
      <w:r w:rsidRPr="002C6910">
        <w:rPr>
          <w:sz w:val="24"/>
          <w:szCs w:val="24"/>
          <w:lang w:val="en-US" w:eastAsia="en-US"/>
        </w:rPr>
        <w:t>doi</w:t>
      </w:r>
      <w:proofErr w:type="spellEnd"/>
      <w:r w:rsidRPr="002C6910">
        <w:rPr>
          <w:sz w:val="24"/>
          <w:szCs w:val="24"/>
          <w:lang w:val="en-US" w:eastAsia="en-US"/>
        </w:rPr>
        <w:t>: 10.1159/000525822.</w:t>
      </w:r>
    </w:p>
    <w:p w14:paraId="3409DBD3" w14:textId="77777777" w:rsidR="002C6910" w:rsidRPr="002C6910" w:rsidRDefault="002C6910" w:rsidP="002C6910">
      <w:pPr>
        <w:spacing w:line="360" w:lineRule="auto"/>
        <w:ind w:left="720" w:hanging="720"/>
        <w:jc w:val="both"/>
        <w:rPr>
          <w:sz w:val="24"/>
          <w:szCs w:val="24"/>
          <w:lang w:val="en-US" w:eastAsia="en-US"/>
        </w:rPr>
      </w:pPr>
      <w:r w:rsidRPr="002C6910">
        <w:rPr>
          <w:sz w:val="24"/>
          <w:szCs w:val="24"/>
          <w:lang w:val="en-US" w:eastAsia="en-US"/>
        </w:rPr>
        <w:t xml:space="preserve">Murphy, M. and Emily. (2024), “Housing tenure and disability in the UK: Trends and projections 2004–2030”, </w:t>
      </w:r>
      <w:r w:rsidRPr="002C6910">
        <w:rPr>
          <w:i/>
          <w:iCs/>
          <w:sz w:val="24"/>
          <w:szCs w:val="24"/>
          <w:lang w:val="en-US" w:eastAsia="en-US"/>
        </w:rPr>
        <w:t>Frontiers in Public Health</w:t>
      </w:r>
      <w:r w:rsidRPr="002C6910">
        <w:rPr>
          <w:sz w:val="24"/>
          <w:szCs w:val="24"/>
          <w:lang w:val="en-US" w:eastAsia="en-US"/>
        </w:rPr>
        <w:t xml:space="preserve">, Frontiers Media, Vol. 11, </w:t>
      </w:r>
      <w:proofErr w:type="spellStart"/>
      <w:r w:rsidRPr="002C6910">
        <w:rPr>
          <w:sz w:val="24"/>
          <w:szCs w:val="24"/>
          <w:lang w:val="en-US" w:eastAsia="en-US"/>
        </w:rPr>
        <w:t>doi</w:t>
      </w:r>
      <w:proofErr w:type="spellEnd"/>
      <w:r w:rsidRPr="002C6910">
        <w:rPr>
          <w:sz w:val="24"/>
          <w:szCs w:val="24"/>
          <w:lang w:val="en-US" w:eastAsia="en-US"/>
        </w:rPr>
        <w:t>: 10.3389/fpubh.2023.1248909.</w:t>
      </w:r>
    </w:p>
    <w:p w14:paraId="79430949" w14:textId="77777777" w:rsidR="002C6910" w:rsidRPr="002C6910" w:rsidRDefault="002C6910" w:rsidP="002C6910">
      <w:pPr>
        <w:spacing w:line="360" w:lineRule="auto"/>
        <w:ind w:left="720" w:hanging="720"/>
        <w:jc w:val="both"/>
        <w:rPr>
          <w:sz w:val="24"/>
          <w:szCs w:val="24"/>
          <w:lang w:val="en-US" w:eastAsia="en-US"/>
        </w:rPr>
      </w:pPr>
      <w:r w:rsidRPr="002C6910">
        <w:rPr>
          <w:sz w:val="24"/>
          <w:szCs w:val="24"/>
          <w:lang w:val="en-US" w:eastAsia="en-US"/>
        </w:rPr>
        <w:t xml:space="preserve">Papakonstantinou, K. (2026), “Emergency call triage priority predicts transport decisions and patient disposition in the London Ambulance Service”, Springer Science and Business Media LLC, </w:t>
      </w:r>
      <w:proofErr w:type="spellStart"/>
      <w:r w:rsidRPr="002C6910">
        <w:rPr>
          <w:sz w:val="24"/>
          <w:szCs w:val="24"/>
          <w:lang w:val="en-US" w:eastAsia="en-US"/>
        </w:rPr>
        <w:t>doi</w:t>
      </w:r>
      <w:proofErr w:type="spellEnd"/>
      <w:r w:rsidRPr="002C6910">
        <w:rPr>
          <w:sz w:val="24"/>
          <w:szCs w:val="24"/>
          <w:lang w:val="en-US" w:eastAsia="en-US"/>
        </w:rPr>
        <w:t>: 10.21203/rs.3.rs-8314214/v1.</w:t>
      </w:r>
    </w:p>
    <w:p w14:paraId="1BC83B58" w14:textId="77777777" w:rsidR="002C6910" w:rsidRPr="002C6910" w:rsidRDefault="002C6910" w:rsidP="002C6910">
      <w:pPr>
        <w:spacing w:line="360" w:lineRule="auto"/>
        <w:ind w:left="720" w:hanging="720"/>
        <w:jc w:val="both"/>
        <w:rPr>
          <w:sz w:val="24"/>
          <w:szCs w:val="24"/>
          <w:lang w:val="en-US" w:eastAsia="en-US"/>
        </w:rPr>
      </w:pPr>
      <w:r w:rsidRPr="002C6910">
        <w:rPr>
          <w:sz w:val="24"/>
          <w:szCs w:val="24"/>
          <w:lang w:val="en-US" w:eastAsia="en-US"/>
        </w:rPr>
        <w:t xml:space="preserve">Park, S., Thomas, N., </w:t>
      </w:r>
      <w:proofErr w:type="spellStart"/>
      <w:r w:rsidRPr="002C6910">
        <w:rPr>
          <w:sz w:val="24"/>
          <w:szCs w:val="24"/>
          <w:lang w:val="en-US" w:eastAsia="en-US"/>
        </w:rPr>
        <w:t>Ersig</w:t>
      </w:r>
      <w:proofErr w:type="spellEnd"/>
      <w:r w:rsidRPr="002C6910">
        <w:rPr>
          <w:sz w:val="24"/>
          <w:szCs w:val="24"/>
          <w:lang w:val="en-US" w:eastAsia="en-US"/>
        </w:rPr>
        <w:t xml:space="preserve">, A. and </w:t>
      </w:r>
      <w:proofErr w:type="spellStart"/>
      <w:r w:rsidRPr="002C6910">
        <w:rPr>
          <w:sz w:val="24"/>
          <w:szCs w:val="24"/>
          <w:lang w:val="en-US" w:eastAsia="en-US"/>
        </w:rPr>
        <w:t>Bratzke</w:t>
      </w:r>
      <w:proofErr w:type="spellEnd"/>
      <w:r w:rsidRPr="002C6910">
        <w:rPr>
          <w:sz w:val="24"/>
          <w:szCs w:val="24"/>
          <w:lang w:val="en-US" w:eastAsia="en-US"/>
        </w:rPr>
        <w:t xml:space="preserve">, L. (2025), “Aging </w:t>
      </w:r>
      <w:proofErr w:type="gramStart"/>
      <w:r w:rsidRPr="002C6910">
        <w:rPr>
          <w:sz w:val="24"/>
          <w:szCs w:val="24"/>
          <w:lang w:val="en-US" w:eastAsia="en-US"/>
        </w:rPr>
        <w:t>With</w:t>
      </w:r>
      <w:proofErr w:type="gramEnd"/>
      <w:r w:rsidRPr="002C6910">
        <w:rPr>
          <w:sz w:val="24"/>
          <w:szCs w:val="24"/>
          <w:lang w:val="en-US" w:eastAsia="en-US"/>
        </w:rPr>
        <w:t xml:space="preserve"> Long-Term Physical Disabilities and Its Implications for Nursing: A Scoping Review”, </w:t>
      </w:r>
      <w:r w:rsidRPr="002C6910">
        <w:rPr>
          <w:i/>
          <w:iCs/>
          <w:sz w:val="24"/>
          <w:szCs w:val="24"/>
          <w:lang w:val="en-US" w:eastAsia="en-US"/>
        </w:rPr>
        <w:t>Journal of Advanced Nursing</w:t>
      </w:r>
      <w:r w:rsidRPr="002C6910">
        <w:rPr>
          <w:sz w:val="24"/>
          <w:szCs w:val="24"/>
          <w:lang w:val="en-US" w:eastAsia="en-US"/>
        </w:rPr>
        <w:t xml:space="preserve">, England, p. 10.1111/jan.16731, </w:t>
      </w:r>
      <w:proofErr w:type="spellStart"/>
      <w:r w:rsidRPr="002C6910">
        <w:rPr>
          <w:sz w:val="24"/>
          <w:szCs w:val="24"/>
          <w:lang w:val="en-US" w:eastAsia="en-US"/>
        </w:rPr>
        <w:t>doi</w:t>
      </w:r>
      <w:proofErr w:type="spellEnd"/>
      <w:r w:rsidRPr="002C6910">
        <w:rPr>
          <w:sz w:val="24"/>
          <w:szCs w:val="24"/>
          <w:lang w:val="en-US" w:eastAsia="en-US"/>
        </w:rPr>
        <w:t>: 10.1111/jan.16731.</w:t>
      </w:r>
    </w:p>
    <w:p w14:paraId="6B996254" w14:textId="77777777" w:rsidR="002C6910" w:rsidRPr="002C6910" w:rsidRDefault="002C6910" w:rsidP="002C6910">
      <w:pPr>
        <w:spacing w:line="360" w:lineRule="auto"/>
        <w:ind w:left="720" w:hanging="720"/>
        <w:jc w:val="both"/>
        <w:rPr>
          <w:sz w:val="24"/>
          <w:szCs w:val="24"/>
          <w:lang w:val="en-US" w:eastAsia="en-US"/>
        </w:rPr>
      </w:pPr>
      <w:r w:rsidRPr="002C6910">
        <w:rPr>
          <w:sz w:val="24"/>
          <w:szCs w:val="24"/>
          <w:lang w:val="en-US" w:eastAsia="en-US"/>
        </w:rPr>
        <w:t xml:space="preserve">Queensland Health. (2021), </w:t>
      </w:r>
      <w:r w:rsidRPr="002C6910">
        <w:rPr>
          <w:i/>
          <w:iCs/>
          <w:sz w:val="24"/>
          <w:szCs w:val="24"/>
          <w:lang w:val="en-US" w:eastAsia="en-US"/>
        </w:rPr>
        <w:t xml:space="preserve">Healthy Places, Healthy People Report Creating Great Places to Keep Queenslanders Healthy </w:t>
      </w:r>
      <w:proofErr w:type="spellStart"/>
      <w:r w:rsidRPr="002C6910">
        <w:rPr>
          <w:i/>
          <w:iCs/>
          <w:sz w:val="24"/>
          <w:szCs w:val="24"/>
          <w:lang w:val="en-US" w:eastAsia="en-US"/>
        </w:rPr>
        <w:t>Healthy</w:t>
      </w:r>
      <w:proofErr w:type="spellEnd"/>
      <w:r w:rsidRPr="002C6910">
        <w:rPr>
          <w:i/>
          <w:iCs/>
          <w:sz w:val="24"/>
          <w:szCs w:val="24"/>
          <w:lang w:val="en-US" w:eastAsia="en-US"/>
        </w:rPr>
        <w:t xml:space="preserve"> Places, Healthy People Report 2</w:t>
      </w:r>
      <w:r w:rsidRPr="002C6910">
        <w:rPr>
          <w:sz w:val="24"/>
          <w:szCs w:val="24"/>
          <w:lang w:val="en-US" w:eastAsia="en-US"/>
        </w:rPr>
        <w:t>.</w:t>
      </w:r>
    </w:p>
    <w:p w14:paraId="765E15AA" w14:textId="77777777" w:rsidR="002C6910" w:rsidRPr="002C6910" w:rsidRDefault="002C6910" w:rsidP="002C6910">
      <w:pPr>
        <w:spacing w:line="360" w:lineRule="auto"/>
        <w:ind w:left="720" w:hanging="720"/>
        <w:jc w:val="both"/>
        <w:rPr>
          <w:sz w:val="24"/>
          <w:szCs w:val="24"/>
          <w:lang w:val="en-US" w:eastAsia="en-US"/>
        </w:rPr>
      </w:pPr>
      <w:r w:rsidRPr="002C6910">
        <w:rPr>
          <w:sz w:val="24"/>
          <w:szCs w:val="24"/>
          <w:lang w:val="en-US" w:eastAsia="en-US"/>
        </w:rPr>
        <w:t>Robinson, S. (2021), “</w:t>
      </w:r>
      <w:proofErr w:type="gramStart"/>
      <w:r w:rsidRPr="002C6910">
        <w:rPr>
          <w:sz w:val="24"/>
          <w:szCs w:val="24"/>
          <w:lang w:val="en-US" w:eastAsia="en-US"/>
        </w:rPr>
        <w:t>Cardiovascular disease</w:t>
      </w:r>
      <w:proofErr w:type="gramEnd"/>
      <w:r w:rsidRPr="002C6910">
        <w:rPr>
          <w:sz w:val="24"/>
          <w:szCs w:val="24"/>
          <w:lang w:val="en-US" w:eastAsia="en-US"/>
        </w:rPr>
        <w:t xml:space="preserve">”, </w:t>
      </w:r>
      <w:r w:rsidRPr="002C6910">
        <w:rPr>
          <w:i/>
          <w:iCs/>
          <w:sz w:val="24"/>
          <w:szCs w:val="24"/>
          <w:lang w:val="en-US" w:eastAsia="en-US"/>
        </w:rPr>
        <w:t>Priorities for Health Promotion and Public Health</w:t>
      </w:r>
      <w:r w:rsidRPr="002C6910">
        <w:rPr>
          <w:sz w:val="24"/>
          <w:szCs w:val="24"/>
          <w:lang w:val="en-US" w:eastAsia="en-US"/>
        </w:rPr>
        <w:t xml:space="preserve">, pp. 355–393, </w:t>
      </w:r>
      <w:proofErr w:type="spellStart"/>
      <w:r w:rsidRPr="002C6910">
        <w:rPr>
          <w:sz w:val="24"/>
          <w:szCs w:val="24"/>
          <w:lang w:val="en-US" w:eastAsia="en-US"/>
        </w:rPr>
        <w:t>doi</w:t>
      </w:r>
      <w:proofErr w:type="spellEnd"/>
      <w:r w:rsidRPr="002C6910">
        <w:rPr>
          <w:sz w:val="24"/>
          <w:szCs w:val="24"/>
          <w:lang w:val="en-US" w:eastAsia="en-US"/>
        </w:rPr>
        <w:t>: 10.4324/9780367823689-16.</w:t>
      </w:r>
    </w:p>
    <w:p w14:paraId="1272235B" w14:textId="77777777" w:rsidR="002C6910" w:rsidRPr="002C6910" w:rsidRDefault="002C6910" w:rsidP="002C6910">
      <w:pPr>
        <w:spacing w:line="360" w:lineRule="auto"/>
        <w:ind w:left="720" w:hanging="720"/>
        <w:jc w:val="both"/>
        <w:rPr>
          <w:sz w:val="24"/>
          <w:szCs w:val="24"/>
          <w:lang w:val="en-US" w:eastAsia="en-US"/>
        </w:rPr>
      </w:pPr>
      <w:r w:rsidRPr="002C6910">
        <w:rPr>
          <w:sz w:val="24"/>
          <w:szCs w:val="24"/>
          <w:lang w:val="en-US" w:eastAsia="en-US"/>
        </w:rPr>
        <w:t xml:space="preserve">Scope UK. (2019), “Home | Disability charity Scope UK”, </w:t>
      </w:r>
      <w:r w:rsidRPr="002C6910">
        <w:rPr>
          <w:i/>
          <w:iCs/>
          <w:sz w:val="24"/>
          <w:szCs w:val="24"/>
          <w:lang w:val="en-US" w:eastAsia="en-US"/>
        </w:rPr>
        <w:t>Scope</w:t>
      </w:r>
      <w:r w:rsidRPr="002C6910">
        <w:rPr>
          <w:sz w:val="24"/>
          <w:szCs w:val="24"/>
          <w:lang w:val="en-US" w:eastAsia="en-US"/>
        </w:rPr>
        <w:t>, available at: https://www.scope.org.uk/ (accessed 14 July 2026).</w:t>
      </w:r>
    </w:p>
    <w:p w14:paraId="3FC312A1" w14:textId="77777777" w:rsidR="002C6910" w:rsidRPr="002C6910" w:rsidRDefault="002C6910" w:rsidP="002C6910">
      <w:pPr>
        <w:spacing w:line="360" w:lineRule="auto"/>
        <w:ind w:left="720" w:hanging="720"/>
        <w:jc w:val="both"/>
        <w:rPr>
          <w:sz w:val="24"/>
          <w:szCs w:val="24"/>
          <w:lang w:val="en-US" w:eastAsia="en-US"/>
        </w:rPr>
      </w:pPr>
      <w:r w:rsidRPr="002C6910">
        <w:rPr>
          <w:sz w:val="24"/>
          <w:szCs w:val="24"/>
          <w:lang w:val="en-US" w:eastAsia="en-US"/>
        </w:rPr>
        <w:t xml:space="preserve">Stroke Association. (2024), “Stroke Statistics”, </w:t>
      </w:r>
      <w:r w:rsidRPr="002C6910">
        <w:rPr>
          <w:i/>
          <w:iCs/>
          <w:sz w:val="24"/>
          <w:szCs w:val="24"/>
          <w:lang w:val="en-US" w:eastAsia="en-US"/>
        </w:rPr>
        <w:t>Stroke Association</w:t>
      </w:r>
      <w:r w:rsidRPr="002C6910">
        <w:rPr>
          <w:sz w:val="24"/>
          <w:szCs w:val="24"/>
          <w:lang w:val="en-US" w:eastAsia="en-US"/>
        </w:rPr>
        <w:t>, available at: https://www.stroke.org.uk/stroke/statistics (accessed 14 July 2026).</w:t>
      </w:r>
    </w:p>
    <w:p w14:paraId="39AE89A6" w14:textId="77777777" w:rsidR="002C6910" w:rsidRPr="002C6910" w:rsidRDefault="002C6910" w:rsidP="002C6910">
      <w:pPr>
        <w:spacing w:line="360" w:lineRule="auto"/>
        <w:ind w:left="720" w:hanging="720"/>
        <w:jc w:val="both"/>
        <w:rPr>
          <w:sz w:val="24"/>
          <w:szCs w:val="24"/>
          <w:lang w:val="en-US" w:eastAsia="en-US"/>
        </w:rPr>
      </w:pPr>
      <w:r w:rsidRPr="002C6910">
        <w:rPr>
          <w:sz w:val="24"/>
          <w:szCs w:val="24"/>
          <w:lang w:val="en-US" w:eastAsia="en-US"/>
        </w:rPr>
        <w:t xml:space="preserve">Uk Health Security Agency. (2021), </w:t>
      </w:r>
      <w:proofErr w:type="spellStart"/>
      <w:r w:rsidRPr="002C6910">
        <w:rPr>
          <w:i/>
          <w:iCs/>
          <w:sz w:val="24"/>
          <w:szCs w:val="24"/>
          <w:lang w:val="en-US" w:eastAsia="en-US"/>
        </w:rPr>
        <w:t>Immunisation</w:t>
      </w:r>
      <w:proofErr w:type="spellEnd"/>
      <w:r w:rsidRPr="002C6910">
        <w:rPr>
          <w:i/>
          <w:iCs/>
          <w:sz w:val="24"/>
          <w:szCs w:val="24"/>
          <w:lang w:val="en-US" w:eastAsia="en-US"/>
        </w:rPr>
        <w:t xml:space="preserve"> against Infectious Disease</w:t>
      </w:r>
      <w:r w:rsidRPr="002C6910">
        <w:rPr>
          <w:sz w:val="24"/>
          <w:szCs w:val="24"/>
          <w:lang w:val="en-US" w:eastAsia="en-US"/>
        </w:rPr>
        <w:t>.</w:t>
      </w:r>
    </w:p>
    <w:p w14:paraId="77E37301" w14:textId="77777777" w:rsidR="002C6910" w:rsidRPr="002C6910" w:rsidRDefault="002C6910" w:rsidP="002C6910">
      <w:pPr>
        <w:spacing w:line="360" w:lineRule="auto"/>
        <w:ind w:left="720" w:hanging="720"/>
        <w:jc w:val="both"/>
        <w:rPr>
          <w:sz w:val="24"/>
          <w:szCs w:val="24"/>
          <w:lang w:val="en-US" w:eastAsia="en-US"/>
        </w:rPr>
      </w:pPr>
      <w:proofErr w:type="spellStart"/>
      <w:r w:rsidRPr="002C6910">
        <w:rPr>
          <w:sz w:val="24"/>
          <w:szCs w:val="24"/>
          <w:lang w:val="fr-FR" w:eastAsia="en-US"/>
        </w:rPr>
        <w:t>Vineis</w:t>
      </w:r>
      <w:proofErr w:type="spellEnd"/>
      <w:r w:rsidRPr="002C6910">
        <w:rPr>
          <w:sz w:val="24"/>
          <w:szCs w:val="24"/>
          <w:lang w:val="fr-FR" w:eastAsia="en-US"/>
        </w:rPr>
        <w:t xml:space="preserve">, P., Avendano-Pabon, M., Barros, H., Bartley, M., Carmeli, C., Carra, L., </w:t>
      </w:r>
      <w:proofErr w:type="spellStart"/>
      <w:r w:rsidRPr="002C6910">
        <w:rPr>
          <w:sz w:val="24"/>
          <w:szCs w:val="24"/>
          <w:lang w:val="fr-FR" w:eastAsia="en-US"/>
        </w:rPr>
        <w:t>Chadeau</w:t>
      </w:r>
      <w:proofErr w:type="spellEnd"/>
      <w:r w:rsidRPr="002C6910">
        <w:rPr>
          <w:sz w:val="24"/>
          <w:szCs w:val="24"/>
          <w:lang w:val="fr-FR" w:eastAsia="en-US"/>
        </w:rPr>
        <w:t xml:space="preserve">-Hyam, M., </w:t>
      </w:r>
      <w:r w:rsidRPr="002C6910">
        <w:rPr>
          <w:i/>
          <w:iCs/>
          <w:sz w:val="24"/>
          <w:szCs w:val="24"/>
          <w:lang w:val="fr-FR" w:eastAsia="en-US"/>
        </w:rPr>
        <w:t>et al.</w:t>
      </w:r>
      <w:r w:rsidRPr="002C6910">
        <w:rPr>
          <w:sz w:val="24"/>
          <w:szCs w:val="24"/>
          <w:lang w:val="fr-FR" w:eastAsia="en-US"/>
        </w:rPr>
        <w:t xml:space="preserve"> </w:t>
      </w:r>
      <w:r w:rsidRPr="002C6910">
        <w:rPr>
          <w:sz w:val="24"/>
          <w:szCs w:val="24"/>
          <w:lang w:val="en-US" w:eastAsia="en-US"/>
        </w:rPr>
        <w:t xml:space="preserve">(2020), “Special Report: The Biology of Inequalities in Health: The Lifepath Consortium”, </w:t>
      </w:r>
      <w:r w:rsidRPr="002C6910">
        <w:rPr>
          <w:i/>
          <w:iCs/>
          <w:sz w:val="24"/>
          <w:szCs w:val="24"/>
          <w:lang w:val="en-US" w:eastAsia="en-US"/>
        </w:rPr>
        <w:t>Frontiers in Public Health</w:t>
      </w:r>
      <w:r w:rsidRPr="002C6910">
        <w:rPr>
          <w:sz w:val="24"/>
          <w:szCs w:val="24"/>
          <w:lang w:val="en-US" w:eastAsia="en-US"/>
        </w:rPr>
        <w:t xml:space="preserve">, Frontiers Media SA, Vol. 8, </w:t>
      </w:r>
      <w:proofErr w:type="spellStart"/>
      <w:r w:rsidRPr="002C6910">
        <w:rPr>
          <w:sz w:val="24"/>
          <w:szCs w:val="24"/>
          <w:lang w:val="en-US" w:eastAsia="en-US"/>
        </w:rPr>
        <w:t>doi</w:t>
      </w:r>
      <w:proofErr w:type="spellEnd"/>
      <w:r w:rsidRPr="002C6910">
        <w:rPr>
          <w:sz w:val="24"/>
          <w:szCs w:val="24"/>
          <w:lang w:val="en-US" w:eastAsia="en-US"/>
        </w:rPr>
        <w:t>: 10.3389/fpubh.2020.00118.</w:t>
      </w:r>
    </w:p>
    <w:p w14:paraId="6BBFD510" w14:textId="77777777" w:rsidR="002C6910" w:rsidRPr="002C6910" w:rsidRDefault="002C6910" w:rsidP="002C6910">
      <w:pPr>
        <w:spacing w:line="360" w:lineRule="auto"/>
        <w:ind w:left="720" w:hanging="720"/>
        <w:jc w:val="both"/>
        <w:rPr>
          <w:sz w:val="24"/>
          <w:szCs w:val="24"/>
          <w:lang w:val="en-US" w:eastAsia="en-US"/>
        </w:rPr>
      </w:pPr>
      <w:proofErr w:type="spellStart"/>
      <w:r w:rsidRPr="002C6910">
        <w:rPr>
          <w:sz w:val="24"/>
          <w:szCs w:val="24"/>
          <w:lang w:val="en-US" w:eastAsia="en-US"/>
        </w:rPr>
        <w:lastRenderedPageBreak/>
        <w:t>Ziaeian</w:t>
      </w:r>
      <w:proofErr w:type="spellEnd"/>
      <w:r w:rsidRPr="002C6910">
        <w:rPr>
          <w:sz w:val="24"/>
          <w:szCs w:val="24"/>
          <w:lang w:val="en-US" w:eastAsia="en-US"/>
        </w:rPr>
        <w:t xml:space="preserve">, B., Xu, H., </w:t>
      </w:r>
      <w:proofErr w:type="spellStart"/>
      <w:r w:rsidRPr="002C6910">
        <w:rPr>
          <w:sz w:val="24"/>
          <w:szCs w:val="24"/>
          <w:lang w:val="en-US" w:eastAsia="en-US"/>
        </w:rPr>
        <w:t>Matsouaka</w:t>
      </w:r>
      <w:proofErr w:type="spellEnd"/>
      <w:r w:rsidRPr="002C6910">
        <w:rPr>
          <w:sz w:val="24"/>
          <w:szCs w:val="24"/>
          <w:lang w:val="en-US" w:eastAsia="en-US"/>
        </w:rPr>
        <w:t xml:space="preserve">, R.A., Xian, Y., Khan, Y., </w:t>
      </w:r>
      <w:proofErr w:type="spellStart"/>
      <w:r w:rsidRPr="002C6910">
        <w:rPr>
          <w:sz w:val="24"/>
          <w:szCs w:val="24"/>
          <w:lang w:val="en-US" w:eastAsia="en-US"/>
        </w:rPr>
        <w:t>Schwamm</w:t>
      </w:r>
      <w:proofErr w:type="spellEnd"/>
      <w:r w:rsidRPr="002C6910">
        <w:rPr>
          <w:sz w:val="24"/>
          <w:szCs w:val="24"/>
          <w:lang w:val="en-US" w:eastAsia="en-US"/>
        </w:rPr>
        <w:t xml:space="preserve">, L.S., Smith, E.E., </w:t>
      </w:r>
      <w:r w:rsidRPr="002C6910">
        <w:rPr>
          <w:i/>
          <w:iCs/>
          <w:sz w:val="24"/>
          <w:szCs w:val="24"/>
          <w:lang w:val="en-US" w:eastAsia="en-US"/>
        </w:rPr>
        <w:t>et al.</w:t>
      </w:r>
      <w:r w:rsidRPr="002C6910">
        <w:rPr>
          <w:sz w:val="24"/>
          <w:szCs w:val="24"/>
          <w:lang w:val="en-US" w:eastAsia="en-US"/>
        </w:rPr>
        <w:t xml:space="preserve"> (2022), “US Surveillance of Acute Ischemic Stroke Patient Characteristics, Care Quality, and Outcomes for 2019”, </w:t>
      </w:r>
      <w:r w:rsidRPr="002C6910">
        <w:rPr>
          <w:i/>
          <w:iCs/>
          <w:sz w:val="24"/>
          <w:szCs w:val="24"/>
          <w:lang w:val="en-US" w:eastAsia="en-US"/>
        </w:rPr>
        <w:t>Stroke</w:t>
      </w:r>
      <w:r w:rsidRPr="002C6910">
        <w:rPr>
          <w:sz w:val="24"/>
          <w:szCs w:val="24"/>
          <w:lang w:val="en-US" w:eastAsia="en-US"/>
        </w:rPr>
        <w:t xml:space="preserve">, </w:t>
      </w:r>
      <w:proofErr w:type="spellStart"/>
      <w:r w:rsidRPr="002C6910">
        <w:rPr>
          <w:sz w:val="24"/>
          <w:szCs w:val="24"/>
          <w:lang w:val="en-US" w:eastAsia="en-US"/>
        </w:rPr>
        <w:t>doi</w:t>
      </w:r>
      <w:proofErr w:type="spellEnd"/>
      <w:r w:rsidRPr="002C6910">
        <w:rPr>
          <w:sz w:val="24"/>
          <w:szCs w:val="24"/>
          <w:lang w:val="en-US" w:eastAsia="en-US"/>
        </w:rPr>
        <w:t>: 10.1161/strokeaha.122.039098.</w:t>
      </w:r>
    </w:p>
    <w:p w14:paraId="4FF1ED83" w14:textId="2F7C646D" w:rsidR="00604932" w:rsidRPr="002C6910" w:rsidRDefault="00604932" w:rsidP="00463197">
      <w:pPr>
        <w:spacing w:line="250" w:lineRule="auto"/>
        <w:rPr>
          <w:rFonts w:eastAsia="Arial"/>
          <w:b/>
          <w:bCs/>
          <w:sz w:val="24"/>
          <w:szCs w:val="24"/>
          <w:lang w:val="en-US"/>
        </w:rPr>
        <w:sectPr w:rsidR="00604932" w:rsidRPr="002C6910" w:rsidSect="0073632F">
          <w:footerReference w:type="default" r:id="rId10"/>
          <w:type w:val="continuous"/>
          <w:pgSz w:w="11894" w:h="16834"/>
          <w:pgMar w:top="1417" w:right="1417" w:bottom="1417" w:left="1417" w:header="706" w:footer="706" w:gutter="0"/>
          <w:paperSrc w:first="1" w:other="1"/>
          <w:cols w:space="720"/>
          <w:docGrid w:linePitch="272"/>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90781" w14:textId="77777777" w:rsidR="00684F2D" w:rsidRDefault="00684F2D">
      <w:r>
        <w:separator/>
      </w:r>
    </w:p>
  </w:endnote>
  <w:endnote w:type="continuationSeparator" w:id="0">
    <w:p w14:paraId="19D368C9" w14:textId="77777777" w:rsidR="00684F2D" w:rsidRDefault="00684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FDD59" w14:textId="77777777" w:rsidR="00684F2D" w:rsidRDefault="00684F2D">
      <w:r>
        <w:separator/>
      </w:r>
    </w:p>
  </w:footnote>
  <w:footnote w:type="continuationSeparator" w:id="0">
    <w:p w14:paraId="545A7FD2" w14:textId="77777777" w:rsidR="00684F2D" w:rsidRDefault="00684F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228FFC"/>
    <w:multiLevelType w:val="hybridMultilevel"/>
    <w:tmpl w:val="7BAA8E58"/>
    <w:lvl w:ilvl="0" w:tplc="40EAAAC0">
      <w:start w:val="1"/>
      <w:numFmt w:val="decimal"/>
      <w:lvlText w:val="%1."/>
      <w:lvlJc w:val="left"/>
      <w:pPr>
        <w:ind w:left="720" w:hanging="360"/>
      </w:pPr>
    </w:lvl>
    <w:lvl w:ilvl="1" w:tplc="07E8BB90">
      <w:start w:val="1"/>
      <w:numFmt w:val="lowerLetter"/>
      <w:lvlText w:val="%2."/>
      <w:lvlJc w:val="left"/>
      <w:pPr>
        <w:ind w:left="1440" w:hanging="360"/>
      </w:pPr>
    </w:lvl>
    <w:lvl w:ilvl="2" w:tplc="0AB05EEE">
      <w:start w:val="1"/>
      <w:numFmt w:val="lowerRoman"/>
      <w:lvlText w:val="%3."/>
      <w:lvlJc w:val="right"/>
      <w:pPr>
        <w:ind w:left="2160" w:hanging="180"/>
      </w:pPr>
    </w:lvl>
    <w:lvl w:ilvl="3" w:tplc="6CE02E2C">
      <w:start w:val="1"/>
      <w:numFmt w:val="decimal"/>
      <w:lvlText w:val="%4."/>
      <w:lvlJc w:val="left"/>
      <w:pPr>
        <w:ind w:left="2880" w:hanging="360"/>
      </w:pPr>
    </w:lvl>
    <w:lvl w:ilvl="4" w:tplc="C890E618">
      <w:start w:val="1"/>
      <w:numFmt w:val="lowerLetter"/>
      <w:lvlText w:val="%5."/>
      <w:lvlJc w:val="left"/>
      <w:pPr>
        <w:ind w:left="3600" w:hanging="360"/>
      </w:pPr>
    </w:lvl>
    <w:lvl w:ilvl="5" w:tplc="BF84C714">
      <w:start w:val="1"/>
      <w:numFmt w:val="lowerRoman"/>
      <w:lvlText w:val="%6."/>
      <w:lvlJc w:val="right"/>
      <w:pPr>
        <w:ind w:left="4320" w:hanging="180"/>
      </w:pPr>
    </w:lvl>
    <w:lvl w:ilvl="6" w:tplc="DBF4B7E8">
      <w:start w:val="1"/>
      <w:numFmt w:val="decimal"/>
      <w:lvlText w:val="%7."/>
      <w:lvlJc w:val="left"/>
      <w:pPr>
        <w:ind w:left="5040" w:hanging="360"/>
      </w:pPr>
    </w:lvl>
    <w:lvl w:ilvl="7" w:tplc="F6C0E59A">
      <w:start w:val="1"/>
      <w:numFmt w:val="lowerLetter"/>
      <w:lvlText w:val="%8."/>
      <w:lvlJc w:val="left"/>
      <w:pPr>
        <w:ind w:left="5760" w:hanging="360"/>
      </w:pPr>
    </w:lvl>
    <w:lvl w:ilvl="8" w:tplc="EB3E6E4A">
      <w:start w:val="1"/>
      <w:numFmt w:val="lowerRoman"/>
      <w:lvlText w:val="%9."/>
      <w:lvlJc w:val="right"/>
      <w:pPr>
        <w:ind w:left="6480" w:hanging="180"/>
      </w:pPr>
    </w:lvl>
  </w:abstractNum>
  <w:abstractNum w:abstractNumId="2" w15:restartNumberingAfterBreak="0">
    <w:nsid w:val="10CCA4A8"/>
    <w:multiLevelType w:val="hybridMultilevel"/>
    <w:tmpl w:val="C916E150"/>
    <w:lvl w:ilvl="0" w:tplc="6630BBA6">
      <w:start w:val="1"/>
      <w:numFmt w:val="decimal"/>
      <w:lvlText w:val="•"/>
      <w:lvlJc w:val="left"/>
      <w:pPr>
        <w:ind w:left="720" w:hanging="360"/>
      </w:pPr>
    </w:lvl>
    <w:lvl w:ilvl="1" w:tplc="42BC8E5A">
      <w:start w:val="1"/>
      <w:numFmt w:val="lowerLetter"/>
      <w:lvlText w:val="%2."/>
      <w:lvlJc w:val="left"/>
      <w:pPr>
        <w:ind w:left="1440" w:hanging="360"/>
      </w:pPr>
    </w:lvl>
    <w:lvl w:ilvl="2" w:tplc="BFC45240">
      <w:start w:val="1"/>
      <w:numFmt w:val="lowerRoman"/>
      <w:lvlText w:val="%3."/>
      <w:lvlJc w:val="right"/>
      <w:pPr>
        <w:ind w:left="2160" w:hanging="180"/>
      </w:pPr>
    </w:lvl>
    <w:lvl w:ilvl="3" w:tplc="E4A8A96A">
      <w:start w:val="1"/>
      <w:numFmt w:val="decimal"/>
      <w:lvlText w:val="%4."/>
      <w:lvlJc w:val="left"/>
      <w:pPr>
        <w:ind w:left="2880" w:hanging="360"/>
      </w:pPr>
    </w:lvl>
    <w:lvl w:ilvl="4" w:tplc="C5FA8118">
      <w:start w:val="1"/>
      <w:numFmt w:val="lowerLetter"/>
      <w:lvlText w:val="%5."/>
      <w:lvlJc w:val="left"/>
      <w:pPr>
        <w:ind w:left="3600" w:hanging="360"/>
      </w:pPr>
    </w:lvl>
    <w:lvl w:ilvl="5" w:tplc="1B9A5B72">
      <w:start w:val="1"/>
      <w:numFmt w:val="lowerRoman"/>
      <w:lvlText w:val="%6."/>
      <w:lvlJc w:val="right"/>
      <w:pPr>
        <w:ind w:left="4320" w:hanging="180"/>
      </w:pPr>
    </w:lvl>
    <w:lvl w:ilvl="6" w:tplc="86DE75EA">
      <w:start w:val="1"/>
      <w:numFmt w:val="decimal"/>
      <w:lvlText w:val="%7."/>
      <w:lvlJc w:val="left"/>
      <w:pPr>
        <w:ind w:left="5040" w:hanging="360"/>
      </w:pPr>
    </w:lvl>
    <w:lvl w:ilvl="7" w:tplc="207452B0">
      <w:start w:val="1"/>
      <w:numFmt w:val="lowerLetter"/>
      <w:lvlText w:val="%8."/>
      <w:lvlJc w:val="left"/>
      <w:pPr>
        <w:ind w:left="5760" w:hanging="360"/>
      </w:pPr>
    </w:lvl>
    <w:lvl w:ilvl="8" w:tplc="A9E68C08">
      <w:start w:val="1"/>
      <w:numFmt w:val="lowerRoman"/>
      <w:lvlText w:val="%9."/>
      <w:lvlJc w:val="right"/>
      <w:pPr>
        <w:ind w:left="6480" w:hanging="180"/>
      </w:pPr>
    </w:lvl>
  </w:abstractNum>
  <w:abstractNum w:abstractNumId="3" w15:restartNumberingAfterBreak="0">
    <w:nsid w:val="12D462F5"/>
    <w:multiLevelType w:val="hybridMultilevel"/>
    <w:tmpl w:val="D2B4D05A"/>
    <w:lvl w:ilvl="0" w:tplc="BE6A724E">
      <w:start w:val="1"/>
      <w:numFmt w:val="decimal"/>
      <w:lvlText w:val="•"/>
      <w:lvlJc w:val="left"/>
      <w:pPr>
        <w:ind w:left="720" w:hanging="360"/>
      </w:pPr>
    </w:lvl>
    <w:lvl w:ilvl="1" w:tplc="B4A24C0C">
      <w:start w:val="1"/>
      <w:numFmt w:val="lowerLetter"/>
      <w:lvlText w:val="%2."/>
      <w:lvlJc w:val="left"/>
      <w:pPr>
        <w:ind w:left="1440" w:hanging="360"/>
      </w:pPr>
    </w:lvl>
    <w:lvl w:ilvl="2" w:tplc="F010289C">
      <w:start w:val="1"/>
      <w:numFmt w:val="lowerRoman"/>
      <w:lvlText w:val="%3."/>
      <w:lvlJc w:val="right"/>
      <w:pPr>
        <w:ind w:left="2160" w:hanging="180"/>
      </w:pPr>
    </w:lvl>
    <w:lvl w:ilvl="3" w:tplc="6BFC2A82">
      <w:start w:val="1"/>
      <w:numFmt w:val="decimal"/>
      <w:lvlText w:val="%4."/>
      <w:lvlJc w:val="left"/>
      <w:pPr>
        <w:ind w:left="2880" w:hanging="360"/>
      </w:pPr>
    </w:lvl>
    <w:lvl w:ilvl="4" w:tplc="2D9AEBC4">
      <w:start w:val="1"/>
      <w:numFmt w:val="lowerLetter"/>
      <w:lvlText w:val="%5."/>
      <w:lvlJc w:val="left"/>
      <w:pPr>
        <w:ind w:left="3600" w:hanging="360"/>
      </w:pPr>
    </w:lvl>
    <w:lvl w:ilvl="5" w:tplc="69845F68">
      <w:start w:val="1"/>
      <w:numFmt w:val="lowerRoman"/>
      <w:lvlText w:val="%6."/>
      <w:lvlJc w:val="right"/>
      <w:pPr>
        <w:ind w:left="4320" w:hanging="180"/>
      </w:pPr>
    </w:lvl>
    <w:lvl w:ilvl="6" w:tplc="8092F1C0">
      <w:start w:val="1"/>
      <w:numFmt w:val="decimal"/>
      <w:lvlText w:val="%7."/>
      <w:lvlJc w:val="left"/>
      <w:pPr>
        <w:ind w:left="5040" w:hanging="360"/>
      </w:pPr>
    </w:lvl>
    <w:lvl w:ilvl="7" w:tplc="1840D562">
      <w:start w:val="1"/>
      <w:numFmt w:val="lowerLetter"/>
      <w:lvlText w:val="%8."/>
      <w:lvlJc w:val="left"/>
      <w:pPr>
        <w:ind w:left="5760" w:hanging="360"/>
      </w:pPr>
    </w:lvl>
    <w:lvl w:ilvl="8" w:tplc="BD1A2C5E">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79BB1BA"/>
    <w:multiLevelType w:val="hybridMultilevel"/>
    <w:tmpl w:val="501CAFBA"/>
    <w:lvl w:ilvl="0" w:tplc="0562B994">
      <w:start w:val="1"/>
      <w:numFmt w:val="bullet"/>
      <w:lvlText w:val=""/>
      <w:lvlJc w:val="left"/>
      <w:pPr>
        <w:ind w:left="720" w:hanging="360"/>
      </w:pPr>
      <w:rPr>
        <w:rFonts w:ascii="Symbol" w:hAnsi="Symbol" w:hint="default"/>
      </w:rPr>
    </w:lvl>
    <w:lvl w:ilvl="1" w:tplc="DECE1AB2">
      <w:start w:val="1"/>
      <w:numFmt w:val="bullet"/>
      <w:lvlText w:val="o"/>
      <w:lvlJc w:val="left"/>
      <w:pPr>
        <w:ind w:left="1440" w:hanging="360"/>
      </w:pPr>
      <w:rPr>
        <w:rFonts w:ascii="&quot;Courier New&quot;" w:hAnsi="&quot;Courier New&quot;" w:hint="default"/>
      </w:rPr>
    </w:lvl>
    <w:lvl w:ilvl="2" w:tplc="9CC25218">
      <w:start w:val="1"/>
      <w:numFmt w:val="bullet"/>
      <w:lvlText w:val=""/>
      <w:lvlJc w:val="left"/>
      <w:pPr>
        <w:ind w:left="2160" w:hanging="360"/>
      </w:pPr>
      <w:rPr>
        <w:rFonts w:ascii="Wingdings" w:hAnsi="Wingdings" w:hint="default"/>
      </w:rPr>
    </w:lvl>
    <w:lvl w:ilvl="3" w:tplc="CF766BF2">
      <w:start w:val="1"/>
      <w:numFmt w:val="bullet"/>
      <w:lvlText w:val=""/>
      <w:lvlJc w:val="left"/>
      <w:pPr>
        <w:ind w:left="2880" w:hanging="360"/>
      </w:pPr>
      <w:rPr>
        <w:rFonts w:ascii="Symbol" w:hAnsi="Symbol" w:hint="default"/>
      </w:rPr>
    </w:lvl>
    <w:lvl w:ilvl="4" w:tplc="AE5A631E">
      <w:start w:val="1"/>
      <w:numFmt w:val="bullet"/>
      <w:lvlText w:val="o"/>
      <w:lvlJc w:val="left"/>
      <w:pPr>
        <w:ind w:left="3600" w:hanging="360"/>
      </w:pPr>
      <w:rPr>
        <w:rFonts w:ascii="Courier New" w:hAnsi="Courier New" w:hint="default"/>
      </w:rPr>
    </w:lvl>
    <w:lvl w:ilvl="5" w:tplc="D74ABCC6">
      <w:start w:val="1"/>
      <w:numFmt w:val="bullet"/>
      <w:lvlText w:val=""/>
      <w:lvlJc w:val="left"/>
      <w:pPr>
        <w:ind w:left="4320" w:hanging="360"/>
      </w:pPr>
      <w:rPr>
        <w:rFonts w:ascii="Wingdings" w:hAnsi="Wingdings" w:hint="default"/>
      </w:rPr>
    </w:lvl>
    <w:lvl w:ilvl="6" w:tplc="9E72FCE0">
      <w:start w:val="1"/>
      <w:numFmt w:val="bullet"/>
      <w:lvlText w:val=""/>
      <w:lvlJc w:val="left"/>
      <w:pPr>
        <w:ind w:left="5040" w:hanging="360"/>
      </w:pPr>
      <w:rPr>
        <w:rFonts w:ascii="Symbol" w:hAnsi="Symbol" w:hint="default"/>
      </w:rPr>
    </w:lvl>
    <w:lvl w:ilvl="7" w:tplc="CBFC318E">
      <w:start w:val="1"/>
      <w:numFmt w:val="bullet"/>
      <w:lvlText w:val="o"/>
      <w:lvlJc w:val="left"/>
      <w:pPr>
        <w:ind w:left="5760" w:hanging="360"/>
      </w:pPr>
      <w:rPr>
        <w:rFonts w:ascii="Courier New" w:hAnsi="Courier New" w:hint="default"/>
      </w:rPr>
    </w:lvl>
    <w:lvl w:ilvl="8" w:tplc="A418CA3C">
      <w:start w:val="1"/>
      <w:numFmt w:val="bullet"/>
      <w:lvlText w:val=""/>
      <w:lvlJc w:val="left"/>
      <w:pPr>
        <w:ind w:left="648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E7CCDC"/>
    <w:multiLevelType w:val="hybridMultilevel"/>
    <w:tmpl w:val="FCACE324"/>
    <w:lvl w:ilvl="0" w:tplc="81B2006C">
      <w:start w:val="1"/>
      <w:numFmt w:val="decimal"/>
      <w:lvlText w:val="•"/>
      <w:lvlJc w:val="left"/>
      <w:pPr>
        <w:ind w:left="720" w:hanging="360"/>
      </w:pPr>
    </w:lvl>
    <w:lvl w:ilvl="1" w:tplc="8FA40F10">
      <w:start w:val="1"/>
      <w:numFmt w:val="lowerLetter"/>
      <w:lvlText w:val="%2."/>
      <w:lvlJc w:val="left"/>
      <w:pPr>
        <w:ind w:left="1440" w:hanging="360"/>
      </w:pPr>
    </w:lvl>
    <w:lvl w:ilvl="2" w:tplc="51A6D3BC">
      <w:start w:val="1"/>
      <w:numFmt w:val="lowerRoman"/>
      <w:lvlText w:val="%3."/>
      <w:lvlJc w:val="right"/>
      <w:pPr>
        <w:ind w:left="2160" w:hanging="180"/>
      </w:pPr>
    </w:lvl>
    <w:lvl w:ilvl="3" w:tplc="7AD816AC">
      <w:start w:val="1"/>
      <w:numFmt w:val="decimal"/>
      <w:lvlText w:val="%4."/>
      <w:lvlJc w:val="left"/>
      <w:pPr>
        <w:ind w:left="2880" w:hanging="360"/>
      </w:pPr>
    </w:lvl>
    <w:lvl w:ilvl="4" w:tplc="0C100C5C">
      <w:start w:val="1"/>
      <w:numFmt w:val="lowerLetter"/>
      <w:lvlText w:val="%5."/>
      <w:lvlJc w:val="left"/>
      <w:pPr>
        <w:ind w:left="3600" w:hanging="360"/>
      </w:pPr>
    </w:lvl>
    <w:lvl w:ilvl="5" w:tplc="933E421E">
      <w:start w:val="1"/>
      <w:numFmt w:val="lowerRoman"/>
      <w:lvlText w:val="%6."/>
      <w:lvlJc w:val="right"/>
      <w:pPr>
        <w:ind w:left="4320" w:hanging="180"/>
      </w:pPr>
    </w:lvl>
    <w:lvl w:ilvl="6" w:tplc="077EE952">
      <w:start w:val="1"/>
      <w:numFmt w:val="decimal"/>
      <w:lvlText w:val="%7."/>
      <w:lvlJc w:val="left"/>
      <w:pPr>
        <w:ind w:left="5040" w:hanging="360"/>
      </w:pPr>
    </w:lvl>
    <w:lvl w:ilvl="7" w:tplc="AF4A4F32">
      <w:start w:val="1"/>
      <w:numFmt w:val="lowerLetter"/>
      <w:lvlText w:val="%8."/>
      <w:lvlJc w:val="left"/>
      <w:pPr>
        <w:ind w:left="5760" w:hanging="360"/>
      </w:pPr>
    </w:lvl>
    <w:lvl w:ilvl="8" w:tplc="B25E601E">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9C412D"/>
    <w:multiLevelType w:val="hybridMultilevel"/>
    <w:tmpl w:val="AE58EE2E"/>
    <w:lvl w:ilvl="0" w:tplc="E24652F6">
      <w:start w:val="1"/>
      <w:numFmt w:val="decimal"/>
      <w:lvlText w:val="•"/>
      <w:lvlJc w:val="left"/>
      <w:pPr>
        <w:ind w:left="720" w:hanging="360"/>
      </w:pPr>
    </w:lvl>
    <w:lvl w:ilvl="1" w:tplc="1996114A">
      <w:start w:val="1"/>
      <w:numFmt w:val="lowerLetter"/>
      <w:lvlText w:val="%2."/>
      <w:lvlJc w:val="left"/>
      <w:pPr>
        <w:ind w:left="1440" w:hanging="360"/>
      </w:pPr>
    </w:lvl>
    <w:lvl w:ilvl="2" w:tplc="BD3061A8">
      <w:start w:val="1"/>
      <w:numFmt w:val="lowerRoman"/>
      <w:lvlText w:val="%3."/>
      <w:lvlJc w:val="right"/>
      <w:pPr>
        <w:ind w:left="2160" w:hanging="180"/>
      </w:pPr>
    </w:lvl>
    <w:lvl w:ilvl="3" w:tplc="EEDC2702">
      <w:start w:val="1"/>
      <w:numFmt w:val="decimal"/>
      <w:lvlText w:val="%4."/>
      <w:lvlJc w:val="left"/>
      <w:pPr>
        <w:ind w:left="2880" w:hanging="360"/>
      </w:pPr>
    </w:lvl>
    <w:lvl w:ilvl="4" w:tplc="EC122EC8">
      <w:start w:val="1"/>
      <w:numFmt w:val="lowerLetter"/>
      <w:lvlText w:val="%5."/>
      <w:lvlJc w:val="left"/>
      <w:pPr>
        <w:ind w:left="3600" w:hanging="360"/>
      </w:pPr>
    </w:lvl>
    <w:lvl w:ilvl="5" w:tplc="318414E4">
      <w:start w:val="1"/>
      <w:numFmt w:val="lowerRoman"/>
      <w:lvlText w:val="%6."/>
      <w:lvlJc w:val="right"/>
      <w:pPr>
        <w:ind w:left="4320" w:hanging="180"/>
      </w:pPr>
    </w:lvl>
    <w:lvl w:ilvl="6" w:tplc="F550848C">
      <w:start w:val="1"/>
      <w:numFmt w:val="decimal"/>
      <w:lvlText w:val="%7."/>
      <w:lvlJc w:val="left"/>
      <w:pPr>
        <w:ind w:left="5040" w:hanging="360"/>
      </w:pPr>
    </w:lvl>
    <w:lvl w:ilvl="7" w:tplc="6178B0BC">
      <w:start w:val="1"/>
      <w:numFmt w:val="lowerLetter"/>
      <w:lvlText w:val="%8."/>
      <w:lvlJc w:val="left"/>
      <w:pPr>
        <w:ind w:left="5760" w:hanging="360"/>
      </w:pPr>
    </w:lvl>
    <w:lvl w:ilvl="8" w:tplc="8F44CF30">
      <w:start w:val="1"/>
      <w:numFmt w:val="lowerRoman"/>
      <w:lvlText w:val="%9."/>
      <w:lvlJc w:val="right"/>
      <w:pPr>
        <w:ind w:left="6480" w:hanging="180"/>
      </w:pPr>
    </w:lvl>
  </w:abstractNum>
  <w:abstractNum w:abstractNumId="12" w15:restartNumberingAfterBreak="0">
    <w:nsid w:val="2554669E"/>
    <w:multiLevelType w:val="hybridMultilevel"/>
    <w:tmpl w:val="EF9E321A"/>
    <w:lvl w:ilvl="0" w:tplc="8DC08C7A">
      <w:start w:val="1"/>
      <w:numFmt w:val="decimal"/>
      <w:lvlText w:val="•"/>
      <w:lvlJc w:val="left"/>
      <w:pPr>
        <w:ind w:left="720" w:hanging="360"/>
      </w:pPr>
    </w:lvl>
    <w:lvl w:ilvl="1" w:tplc="A69885B0">
      <w:start w:val="1"/>
      <w:numFmt w:val="lowerLetter"/>
      <w:lvlText w:val="%2."/>
      <w:lvlJc w:val="left"/>
      <w:pPr>
        <w:ind w:left="1440" w:hanging="360"/>
      </w:pPr>
    </w:lvl>
    <w:lvl w:ilvl="2" w:tplc="14B85D70">
      <w:start w:val="1"/>
      <w:numFmt w:val="lowerRoman"/>
      <w:lvlText w:val="%3."/>
      <w:lvlJc w:val="right"/>
      <w:pPr>
        <w:ind w:left="2160" w:hanging="180"/>
      </w:pPr>
    </w:lvl>
    <w:lvl w:ilvl="3" w:tplc="E70C4238">
      <w:start w:val="1"/>
      <w:numFmt w:val="decimal"/>
      <w:lvlText w:val="%4."/>
      <w:lvlJc w:val="left"/>
      <w:pPr>
        <w:ind w:left="2880" w:hanging="360"/>
      </w:pPr>
    </w:lvl>
    <w:lvl w:ilvl="4" w:tplc="F440BECA">
      <w:start w:val="1"/>
      <w:numFmt w:val="lowerLetter"/>
      <w:lvlText w:val="%5."/>
      <w:lvlJc w:val="left"/>
      <w:pPr>
        <w:ind w:left="3600" w:hanging="360"/>
      </w:pPr>
    </w:lvl>
    <w:lvl w:ilvl="5" w:tplc="CD7234D4">
      <w:start w:val="1"/>
      <w:numFmt w:val="lowerRoman"/>
      <w:lvlText w:val="%6."/>
      <w:lvlJc w:val="right"/>
      <w:pPr>
        <w:ind w:left="4320" w:hanging="180"/>
      </w:pPr>
    </w:lvl>
    <w:lvl w:ilvl="6" w:tplc="176A9EC6">
      <w:start w:val="1"/>
      <w:numFmt w:val="decimal"/>
      <w:lvlText w:val="%7."/>
      <w:lvlJc w:val="left"/>
      <w:pPr>
        <w:ind w:left="5040" w:hanging="360"/>
      </w:pPr>
    </w:lvl>
    <w:lvl w:ilvl="7" w:tplc="B118688E">
      <w:start w:val="1"/>
      <w:numFmt w:val="lowerLetter"/>
      <w:lvlText w:val="%8."/>
      <w:lvlJc w:val="left"/>
      <w:pPr>
        <w:ind w:left="5760" w:hanging="360"/>
      </w:pPr>
    </w:lvl>
    <w:lvl w:ilvl="8" w:tplc="7B82C422">
      <w:start w:val="1"/>
      <w:numFmt w:val="lowerRoman"/>
      <w:lvlText w:val="%9."/>
      <w:lvlJc w:val="right"/>
      <w:pPr>
        <w:ind w:left="6480" w:hanging="180"/>
      </w:pPr>
    </w:lvl>
  </w:abstractNum>
  <w:abstractNum w:abstractNumId="13" w15:restartNumberingAfterBreak="0">
    <w:nsid w:val="26B658CC"/>
    <w:multiLevelType w:val="hybridMultilevel"/>
    <w:tmpl w:val="D5D013B8"/>
    <w:lvl w:ilvl="0" w:tplc="01265E9A">
      <w:start w:val="1"/>
      <w:numFmt w:val="decimal"/>
      <w:lvlText w:val="•"/>
      <w:lvlJc w:val="left"/>
      <w:pPr>
        <w:ind w:left="720" w:hanging="360"/>
      </w:pPr>
    </w:lvl>
    <w:lvl w:ilvl="1" w:tplc="D2F6CDC8">
      <w:start w:val="1"/>
      <w:numFmt w:val="lowerLetter"/>
      <w:lvlText w:val="%2."/>
      <w:lvlJc w:val="left"/>
      <w:pPr>
        <w:ind w:left="1440" w:hanging="360"/>
      </w:pPr>
    </w:lvl>
    <w:lvl w:ilvl="2" w:tplc="0BD664C6">
      <w:start w:val="1"/>
      <w:numFmt w:val="lowerRoman"/>
      <w:lvlText w:val="%3."/>
      <w:lvlJc w:val="right"/>
      <w:pPr>
        <w:ind w:left="2160" w:hanging="180"/>
      </w:pPr>
    </w:lvl>
    <w:lvl w:ilvl="3" w:tplc="9ADEE424">
      <w:start w:val="1"/>
      <w:numFmt w:val="decimal"/>
      <w:lvlText w:val="%4."/>
      <w:lvlJc w:val="left"/>
      <w:pPr>
        <w:ind w:left="2880" w:hanging="360"/>
      </w:pPr>
    </w:lvl>
    <w:lvl w:ilvl="4" w:tplc="EC42409C">
      <w:start w:val="1"/>
      <w:numFmt w:val="lowerLetter"/>
      <w:lvlText w:val="%5."/>
      <w:lvlJc w:val="left"/>
      <w:pPr>
        <w:ind w:left="3600" w:hanging="360"/>
      </w:pPr>
    </w:lvl>
    <w:lvl w:ilvl="5" w:tplc="1C4E2F58">
      <w:start w:val="1"/>
      <w:numFmt w:val="lowerRoman"/>
      <w:lvlText w:val="%6."/>
      <w:lvlJc w:val="right"/>
      <w:pPr>
        <w:ind w:left="4320" w:hanging="180"/>
      </w:pPr>
    </w:lvl>
    <w:lvl w:ilvl="6" w:tplc="CDC6D994">
      <w:start w:val="1"/>
      <w:numFmt w:val="decimal"/>
      <w:lvlText w:val="%7."/>
      <w:lvlJc w:val="left"/>
      <w:pPr>
        <w:ind w:left="5040" w:hanging="360"/>
      </w:pPr>
    </w:lvl>
    <w:lvl w:ilvl="7" w:tplc="C1047308">
      <w:start w:val="1"/>
      <w:numFmt w:val="lowerLetter"/>
      <w:lvlText w:val="%8."/>
      <w:lvlJc w:val="left"/>
      <w:pPr>
        <w:ind w:left="5760" w:hanging="360"/>
      </w:pPr>
    </w:lvl>
    <w:lvl w:ilvl="8" w:tplc="633AFD1A">
      <w:start w:val="1"/>
      <w:numFmt w:val="lowerRoman"/>
      <w:lvlText w:val="%9."/>
      <w:lvlJc w:val="right"/>
      <w:pPr>
        <w:ind w:left="6480" w:hanging="180"/>
      </w:p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293E0B83"/>
    <w:multiLevelType w:val="hybridMultilevel"/>
    <w:tmpl w:val="06462218"/>
    <w:lvl w:ilvl="0" w:tplc="6EE48012">
      <w:start w:val="1"/>
      <w:numFmt w:val="decimal"/>
      <w:lvlText w:val="•"/>
      <w:lvlJc w:val="left"/>
      <w:pPr>
        <w:ind w:left="720" w:hanging="360"/>
      </w:pPr>
    </w:lvl>
    <w:lvl w:ilvl="1" w:tplc="94C4A83A">
      <w:start w:val="1"/>
      <w:numFmt w:val="lowerLetter"/>
      <w:lvlText w:val="%2."/>
      <w:lvlJc w:val="left"/>
      <w:pPr>
        <w:ind w:left="1440" w:hanging="360"/>
      </w:pPr>
    </w:lvl>
    <w:lvl w:ilvl="2" w:tplc="6560A5F6">
      <w:start w:val="1"/>
      <w:numFmt w:val="lowerRoman"/>
      <w:lvlText w:val="%3."/>
      <w:lvlJc w:val="right"/>
      <w:pPr>
        <w:ind w:left="2160" w:hanging="180"/>
      </w:pPr>
    </w:lvl>
    <w:lvl w:ilvl="3" w:tplc="5994F87C">
      <w:start w:val="1"/>
      <w:numFmt w:val="decimal"/>
      <w:lvlText w:val="%4."/>
      <w:lvlJc w:val="left"/>
      <w:pPr>
        <w:ind w:left="2880" w:hanging="360"/>
      </w:pPr>
    </w:lvl>
    <w:lvl w:ilvl="4" w:tplc="6E4A65BA">
      <w:start w:val="1"/>
      <w:numFmt w:val="lowerLetter"/>
      <w:lvlText w:val="%5."/>
      <w:lvlJc w:val="left"/>
      <w:pPr>
        <w:ind w:left="3600" w:hanging="360"/>
      </w:pPr>
    </w:lvl>
    <w:lvl w:ilvl="5" w:tplc="25021962">
      <w:start w:val="1"/>
      <w:numFmt w:val="lowerRoman"/>
      <w:lvlText w:val="%6."/>
      <w:lvlJc w:val="right"/>
      <w:pPr>
        <w:ind w:left="4320" w:hanging="180"/>
      </w:pPr>
    </w:lvl>
    <w:lvl w:ilvl="6" w:tplc="210870D6">
      <w:start w:val="1"/>
      <w:numFmt w:val="decimal"/>
      <w:lvlText w:val="%7."/>
      <w:lvlJc w:val="left"/>
      <w:pPr>
        <w:ind w:left="5040" w:hanging="360"/>
      </w:pPr>
    </w:lvl>
    <w:lvl w:ilvl="7" w:tplc="1F10055A">
      <w:start w:val="1"/>
      <w:numFmt w:val="lowerLetter"/>
      <w:lvlText w:val="%8."/>
      <w:lvlJc w:val="left"/>
      <w:pPr>
        <w:ind w:left="5760" w:hanging="360"/>
      </w:pPr>
    </w:lvl>
    <w:lvl w:ilvl="8" w:tplc="C70C9692">
      <w:start w:val="1"/>
      <w:numFmt w:val="lowerRoman"/>
      <w:lvlText w:val="%9."/>
      <w:lvlJc w:val="right"/>
      <w:pPr>
        <w:ind w:left="6480" w:hanging="180"/>
      </w:p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4F5E7AF"/>
    <w:multiLevelType w:val="hybridMultilevel"/>
    <w:tmpl w:val="7B388C86"/>
    <w:lvl w:ilvl="0" w:tplc="86D8A6C2">
      <w:start w:val="1"/>
      <w:numFmt w:val="decimal"/>
      <w:lvlText w:val=""/>
      <w:lvlJc w:val="left"/>
      <w:pPr>
        <w:ind w:left="720" w:hanging="360"/>
      </w:pPr>
    </w:lvl>
    <w:lvl w:ilvl="1" w:tplc="01A6767E">
      <w:start w:val="1"/>
      <w:numFmt w:val="lowerLetter"/>
      <w:lvlText w:val="%2."/>
      <w:lvlJc w:val="left"/>
      <w:pPr>
        <w:ind w:left="1440" w:hanging="360"/>
      </w:pPr>
    </w:lvl>
    <w:lvl w:ilvl="2" w:tplc="6178C8C6">
      <w:start w:val="1"/>
      <w:numFmt w:val="lowerRoman"/>
      <w:lvlText w:val="%3."/>
      <w:lvlJc w:val="right"/>
      <w:pPr>
        <w:ind w:left="2160" w:hanging="180"/>
      </w:pPr>
    </w:lvl>
    <w:lvl w:ilvl="3" w:tplc="04AEE3E0">
      <w:start w:val="1"/>
      <w:numFmt w:val="decimal"/>
      <w:lvlText w:val="%4."/>
      <w:lvlJc w:val="left"/>
      <w:pPr>
        <w:ind w:left="2880" w:hanging="360"/>
      </w:pPr>
    </w:lvl>
    <w:lvl w:ilvl="4" w:tplc="CC00A1FC">
      <w:start w:val="1"/>
      <w:numFmt w:val="lowerLetter"/>
      <w:lvlText w:val="%5."/>
      <w:lvlJc w:val="left"/>
      <w:pPr>
        <w:ind w:left="3600" w:hanging="360"/>
      </w:pPr>
    </w:lvl>
    <w:lvl w:ilvl="5" w:tplc="B038FEB6">
      <w:start w:val="1"/>
      <w:numFmt w:val="lowerRoman"/>
      <w:lvlText w:val="%6."/>
      <w:lvlJc w:val="right"/>
      <w:pPr>
        <w:ind w:left="4320" w:hanging="180"/>
      </w:pPr>
    </w:lvl>
    <w:lvl w:ilvl="6" w:tplc="231AF2D8">
      <w:start w:val="1"/>
      <w:numFmt w:val="decimal"/>
      <w:lvlText w:val="%7."/>
      <w:lvlJc w:val="left"/>
      <w:pPr>
        <w:ind w:left="5040" w:hanging="360"/>
      </w:pPr>
    </w:lvl>
    <w:lvl w:ilvl="7" w:tplc="007A9F18">
      <w:start w:val="1"/>
      <w:numFmt w:val="lowerLetter"/>
      <w:lvlText w:val="%8."/>
      <w:lvlJc w:val="left"/>
      <w:pPr>
        <w:ind w:left="5760" w:hanging="360"/>
      </w:pPr>
    </w:lvl>
    <w:lvl w:ilvl="8" w:tplc="C3F04742">
      <w:start w:val="1"/>
      <w:numFmt w:val="lowerRoman"/>
      <w:lvlText w:val="%9."/>
      <w:lvlJc w:val="right"/>
      <w:pPr>
        <w:ind w:left="648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7D0401"/>
    <w:multiLevelType w:val="hybridMultilevel"/>
    <w:tmpl w:val="2EEA39EA"/>
    <w:lvl w:ilvl="0" w:tplc="3EFCB456">
      <w:start w:val="1"/>
      <w:numFmt w:val="decimal"/>
      <w:lvlText w:val="•"/>
      <w:lvlJc w:val="left"/>
      <w:pPr>
        <w:ind w:left="720" w:hanging="360"/>
      </w:pPr>
    </w:lvl>
    <w:lvl w:ilvl="1" w:tplc="F2EAAC48">
      <w:start w:val="1"/>
      <w:numFmt w:val="lowerLetter"/>
      <w:lvlText w:val="%2."/>
      <w:lvlJc w:val="left"/>
      <w:pPr>
        <w:ind w:left="1440" w:hanging="360"/>
      </w:pPr>
    </w:lvl>
    <w:lvl w:ilvl="2" w:tplc="B2FE30CA">
      <w:start w:val="1"/>
      <w:numFmt w:val="lowerRoman"/>
      <w:lvlText w:val="%3."/>
      <w:lvlJc w:val="right"/>
      <w:pPr>
        <w:ind w:left="2160" w:hanging="180"/>
      </w:pPr>
    </w:lvl>
    <w:lvl w:ilvl="3" w:tplc="2BF84886">
      <w:start w:val="1"/>
      <w:numFmt w:val="decimal"/>
      <w:lvlText w:val="%4."/>
      <w:lvlJc w:val="left"/>
      <w:pPr>
        <w:ind w:left="2880" w:hanging="360"/>
      </w:pPr>
    </w:lvl>
    <w:lvl w:ilvl="4" w:tplc="8D78C666">
      <w:start w:val="1"/>
      <w:numFmt w:val="lowerLetter"/>
      <w:lvlText w:val="%5."/>
      <w:lvlJc w:val="left"/>
      <w:pPr>
        <w:ind w:left="3600" w:hanging="360"/>
      </w:pPr>
    </w:lvl>
    <w:lvl w:ilvl="5" w:tplc="BDB2E748">
      <w:start w:val="1"/>
      <w:numFmt w:val="lowerRoman"/>
      <w:lvlText w:val="%6."/>
      <w:lvlJc w:val="right"/>
      <w:pPr>
        <w:ind w:left="4320" w:hanging="180"/>
      </w:pPr>
    </w:lvl>
    <w:lvl w:ilvl="6" w:tplc="5FBE5CF4">
      <w:start w:val="1"/>
      <w:numFmt w:val="decimal"/>
      <w:lvlText w:val="%7."/>
      <w:lvlJc w:val="left"/>
      <w:pPr>
        <w:ind w:left="5040" w:hanging="360"/>
      </w:pPr>
    </w:lvl>
    <w:lvl w:ilvl="7" w:tplc="84042D48">
      <w:start w:val="1"/>
      <w:numFmt w:val="lowerLetter"/>
      <w:lvlText w:val="%8."/>
      <w:lvlJc w:val="left"/>
      <w:pPr>
        <w:ind w:left="5760" w:hanging="360"/>
      </w:pPr>
    </w:lvl>
    <w:lvl w:ilvl="8" w:tplc="98F0DB18">
      <w:start w:val="1"/>
      <w:numFmt w:val="lowerRoman"/>
      <w:lvlText w:val="%9."/>
      <w:lvlJc w:val="right"/>
      <w:pPr>
        <w:ind w:left="6480" w:hanging="180"/>
      </w:pPr>
    </w:lvl>
  </w:abstractNum>
  <w:abstractNum w:abstractNumId="23" w15:restartNumberingAfterBreak="0">
    <w:nsid w:val="4F7F0251"/>
    <w:multiLevelType w:val="multilevel"/>
    <w:tmpl w:val="9DCC154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4" w15:restartNumberingAfterBreak="0">
    <w:nsid w:val="52633748"/>
    <w:multiLevelType w:val="hybridMultilevel"/>
    <w:tmpl w:val="576C4C38"/>
    <w:lvl w:ilvl="0" w:tplc="5ECE7D18">
      <w:start w:val="1"/>
      <w:numFmt w:val="decimal"/>
      <w:lvlText w:val="%1."/>
      <w:lvlJc w:val="left"/>
      <w:pPr>
        <w:ind w:left="720" w:hanging="360"/>
      </w:pPr>
    </w:lvl>
    <w:lvl w:ilvl="1" w:tplc="8522D0F4">
      <w:start w:val="1"/>
      <w:numFmt w:val="lowerLetter"/>
      <w:lvlText w:val="%2."/>
      <w:lvlJc w:val="left"/>
      <w:pPr>
        <w:ind w:left="1440" w:hanging="360"/>
      </w:pPr>
    </w:lvl>
    <w:lvl w:ilvl="2" w:tplc="B0DA189A">
      <w:start w:val="1"/>
      <w:numFmt w:val="lowerRoman"/>
      <w:lvlText w:val="%3."/>
      <w:lvlJc w:val="right"/>
      <w:pPr>
        <w:ind w:left="2160" w:hanging="180"/>
      </w:pPr>
    </w:lvl>
    <w:lvl w:ilvl="3" w:tplc="1584ECF6">
      <w:start w:val="1"/>
      <w:numFmt w:val="decimal"/>
      <w:lvlText w:val="%4."/>
      <w:lvlJc w:val="left"/>
      <w:pPr>
        <w:ind w:left="2880" w:hanging="360"/>
      </w:pPr>
    </w:lvl>
    <w:lvl w:ilvl="4" w:tplc="3394101E">
      <w:start w:val="1"/>
      <w:numFmt w:val="lowerLetter"/>
      <w:lvlText w:val="%5."/>
      <w:lvlJc w:val="left"/>
      <w:pPr>
        <w:ind w:left="3600" w:hanging="360"/>
      </w:pPr>
    </w:lvl>
    <w:lvl w:ilvl="5" w:tplc="97DC60B2">
      <w:start w:val="1"/>
      <w:numFmt w:val="lowerRoman"/>
      <w:lvlText w:val="%6."/>
      <w:lvlJc w:val="right"/>
      <w:pPr>
        <w:ind w:left="4320" w:hanging="180"/>
      </w:pPr>
    </w:lvl>
    <w:lvl w:ilvl="6" w:tplc="1FD0D68A">
      <w:start w:val="1"/>
      <w:numFmt w:val="decimal"/>
      <w:lvlText w:val="%7."/>
      <w:lvlJc w:val="left"/>
      <w:pPr>
        <w:ind w:left="5040" w:hanging="360"/>
      </w:pPr>
    </w:lvl>
    <w:lvl w:ilvl="7" w:tplc="2960BCC6">
      <w:start w:val="1"/>
      <w:numFmt w:val="lowerLetter"/>
      <w:lvlText w:val="%8."/>
      <w:lvlJc w:val="left"/>
      <w:pPr>
        <w:ind w:left="5760" w:hanging="360"/>
      </w:pPr>
    </w:lvl>
    <w:lvl w:ilvl="8" w:tplc="A59CCAB4">
      <w:start w:val="1"/>
      <w:numFmt w:val="lowerRoman"/>
      <w:lvlText w:val="%9."/>
      <w:lvlJc w:val="right"/>
      <w:pPr>
        <w:ind w:left="6480" w:hanging="180"/>
      </w:pPr>
    </w:lvl>
  </w:abstractNum>
  <w:abstractNum w:abstractNumId="25" w15:restartNumberingAfterBreak="0">
    <w:nsid w:val="558E3697"/>
    <w:multiLevelType w:val="hybridMultilevel"/>
    <w:tmpl w:val="FF946B7C"/>
    <w:lvl w:ilvl="0" w:tplc="1354DC20">
      <w:start w:val="1"/>
      <w:numFmt w:val="decimal"/>
      <w:lvlText w:val="•"/>
      <w:lvlJc w:val="left"/>
      <w:pPr>
        <w:ind w:left="720" w:hanging="360"/>
      </w:pPr>
    </w:lvl>
    <w:lvl w:ilvl="1" w:tplc="44280F98">
      <w:start w:val="1"/>
      <w:numFmt w:val="lowerLetter"/>
      <w:lvlText w:val="%2."/>
      <w:lvlJc w:val="left"/>
      <w:pPr>
        <w:ind w:left="1440" w:hanging="360"/>
      </w:pPr>
    </w:lvl>
    <w:lvl w:ilvl="2" w:tplc="875EBB6A">
      <w:start w:val="1"/>
      <w:numFmt w:val="lowerRoman"/>
      <w:lvlText w:val="%3."/>
      <w:lvlJc w:val="right"/>
      <w:pPr>
        <w:ind w:left="2160" w:hanging="180"/>
      </w:pPr>
    </w:lvl>
    <w:lvl w:ilvl="3" w:tplc="5808C618">
      <w:start w:val="1"/>
      <w:numFmt w:val="decimal"/>
      <w:lvlText w:val="%4."/>
      <w:lvlJc w:val="left"/>
      <w:pPr>
        <w:ind w:left="2880" w:hanging="360"/>
      </w:pPr>
    </w:lvl>
    <w:lvl w:ilvl="4" w:tplc="0EC27AAC">
      <w:start w:val="1"/>
      <w:numFmt w:val="lowerLetter"/>
      <w:lvlText w:val="%5."/>
      <w:lvlJc w:val="left"/>
      <w:pPr>
        <w:ind w:left="3600" w:hanging="360"/>
      </w:pPr>
    </w:lvl>
    <w:lvl w:ilvl="5" w:tplc="7DEAF2C4">
      <w:start w:val="1"/>
      <w:numFmt w:val="lowerRoman"/>
      <w:lvlText w:val="%6."/>
      <w:lvlJc w:val="right"/>
      <w:pPr>
        <w:ind w:left="4320" w:hanging="180"/>
      </w:pPr>
    </w:lvl>
    <w:lvl w:ilvl="6" w:tplc="FE8CDB54">
      <w:start w:val="1"/>
      <w:numFmt w:val="decimal"/>
      <w:lvlText w:val="%7."/>
      <w:lvlJc w:val="left"/>
      <w:pPr>
        <w:ind w:left="5040" w:hanging="360"/>
      </w:pPr>
    </w:lvl>
    <w:lvl w:ilvl="7" w:tplc="CA68B4D2">
      <w:start w:val="1"/>
      <w:numFmt w:val="lowerLetter"/>
      <w:lvlText w:val="%8."/>
      <w:lvlJc w:val="left"/>
      <w:pPr>
        <w:ind w:left="5760" w:hanging="360"/>
      </w:pPr>
    </w:lvl>
    <w:lvl w:ilvl="8" w:tplc="715E8624">
      <w:start w:val="1"/>
      <w:numFmt w:val="lowerRoman"/>
      <w:lvlText w:val="%9."/>
      <w:lvlJc w:val="right"/>
      <w:pPr>
        <w:ind w:left="6480" w:hanging="180"/>
      </w:pPr>
    </w:lvl>
  </w:abstractNum>
  <w:abstractNum w:abstractNumId="26" w15:restartNumberingAfterBreak="0">
    <w:nsid w:val="57604D39"/>
    <w:multiLevelType w:val="hybridMultilevel"/>
    <w:tmpl w:val="818407C4"/>
    <w:lvl w:ilvl="0" w:tplc="5D32DCEA">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83F0158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99025F0">
      <w:start w:val="1"/>
      <w:numFmt w:val="bullet"/>
      <w:lvlText w:val="▪"/>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3A42540">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38E62E">
      <w:start w:val="1"/>
      <w:numFmt w:val="bullet"/>
      <w:lvlText w:val="o"/>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7AAEDF6">
      <w:start w:val="1"/>
      <w:numFmt w:val="bullet"/>
      <w:lvlText w:val="▪"/>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19CAFFA">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50E3FA">
      <w:start w:val="1"/>
      <w:numFmt w:val="bullet"/>
      <w:lvlText w:val="o"/>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91439AE">
      <w:start w:val="1"/>
      <w:numFmt w:val="bullet"/>
      <w:lvlText w:val="▪"/>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5A03C325"/>
    <w:multiLevelType w:val="hybridMultilevel"/>
    <w:tmpl w:val="AA86777E"/>
    <w:lvl w:ilvl="0" w:tplc="B5C24E1C">
      <w:start w:val="1"/>
      <w:numFmt w:val="decimal"/>
      <w:lvlText w:val="•"/>
      <w:lvlJc w:val="left"/>
      <w:pPr>
        <w:ind w:left="720" w:hanging="360"/>
      </w:pPr>
    </w:lvl>
    <w:lvl w:ilvl="1" w:tplc="1660D644">
      <w:start w:val="1"/>
      <w:numFmt w:val="lowerLetter"/>
      <w:lvlText w:val="%2."/>
      <w:lvlJc w:val="left"/>
      <w:pPr>
        <w:ind w:left="1440" w:hanging="360"/>
      </w:pPr>
    </w:lvl>
    <w:lvl w:ilvl="2" w:tplc="691266F0">
      <w:start w:val="1"/>
      <w:numFmt w:val="lowerRoman"/>
      <w:lvlText w:val="%3."/>
      <w:lvlJc w:val="right"/>
      <w:pPr>
        <w:ind w:left="2160" w:hanging="180"/>
      </w:pPr>
    </w:lvl>
    <w:lvl w:ilvl="3" w:tplc="A3685AA8">
      <w:start w:val="1"/>
      <w:numFmt w:val="decimal"/>
      <w:lvlText w:val="%4."/>
      <w:lvlJc w:val="left"/>
      <w:pPr>
        <w:ind w:left="2880" w:hanging="360"/>
      </w:pPr>
    </w:lvl>
    <w:lvl w:ilvl="4" w:tplc="5BFEB24E">
      <w:start w:val="1"/>
      <w:numFmt w:val="lowerLetter"/>
      <w:lvlText w:val="%5."/>
      <w:lvlJc w:val="left"/>
      <w:pPr>
        <w:ind w:left="3600" w:hanging="360"/>
      </w:pPr>
    </w:lvl>
    <w:lvl w:ilvl="5" w:tplc="E65617D2">
      <w:start w:val="1"/>
      <w:numFmt w:val="lowerRoman"/>
      <w:lvlText w:val="%6."/>
      <w:lvlJc w:val="right"/>
      <w:pPr>
        <w:ind w:left="4320" w:hanging="180"/>
      </w:pPr>
    </w:lvl>
    <w:lvl w:ilvl="6" w:tplc="4D985068">
      <w:start w:val="1"/>
      <w:numFmt w:val="decimal"/>
      <w:lvlText w:val="%7."/>
      <w:lvlJc w:val="left"/>
      <w:pPr>
        <w:ind w:left="5040" w:hanging="360"/>
      </w:pPr>
    </w:lvl>
    <w:lvl w:ilvl="7" w:tplc="FA58C608">
      <w:start w:val="1"/>
      <w:numFmt w:val="lowerLetter"/>
      <w:lvlText w:val="%8."/>
      <w:lvlJc w:val="left"/>
      <w:pPr>
        <w:ind w:left="5760" w:hanging="360"/>
      </w:pPr>
    </w:lvl>
    <w:lvl w:ilvl="8" w:tplc="B7F01B22">
      <w:start w:val="1"/>
      <w:numFmt w:val="lowerRoman"/>
      <w:lvlText w:val="%9."/>
      <w:lvlJc w:val="right"/>
      <w:pPr>
        <w:ind w:left="6480" w:hanging="180"/>
      </w:p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BE60D7"/>
    <w:multiLevelType w:val="hybridMultilevel"/>
    <w:tmpl w:val="607286FA"/>
    <w:lvl w:ilvl="0" w:tplc="C33C6432">
      <w:start w:val="1"/>
      <w:numFmt w:val="bullet"/>
      <w:lvlText w:val=""/>
      <w:lvlJc w:val="left"/>
      <w:pPr>
        <w:ind w:left="720" w:hanging="360"/>
      </w:pPr>
      <w:rPr>
        <w:rFonts w:ascii="Symbol" w:hAnsi="Symbol" w:hint="default"/>
      </w:rPr>
    </w:lvl>
    <w:lvl w:ilvl="1" w:tplc="70F2773A">
      <w:start w:val="1"/>
      <w:numFmt w:val="bullet"/>
      <w:lvlText w:val="o"/>
      <w:lvlJc w:val="left"/>
      <w:pPr>
        <w:ind w:left="1440" w:hanging="360"/>
      </w:pPr>
      <w:rPr>
        <w:rFonts w:ascii="Courier New" w:hAnsi="Courier New" w:hint="default"/>
      </w:rPr>
    </w:lvl>
    <w:lvl w:ilvl="2" w:tplc="83304E9A">
      <w:start w:val="1"/>
      <w:numFmt w:val="bullet"/>
      <w:lvlText w:val=""/>
      <w:lvlJc w:val="left"/>
      <w:pPr>
        <w:ind w:left="2160" w:hanging="360"/>
      </w:pPr>
      <w:rPr>
        <w:rFonts w:ascii="Wingdings" w:hAnsi="Wingdings" w:hint="default"/>
      </w:rPr>
    </w:lvl>
    <w:lvl w:ilvl="3" w:tplc="F86A7D52">
      <w:start w:val="1"/>
      <w:numFmt w:val="bullet"/>
      <w:lvlText w:val=""/>
      <w:lvlJc w:val="left"/>
      <w:pPr>
        <w:ind w:left="2880" w:hanging="360"/>
      </w:pPr>
      <w:rPr>
        <w:rFonts w:ascii="Symbol" w:hAnsi="Symbol" w:hint="default"/>
      </w:rPr>
    </w:lvl>
    <w:lvl w:ilvl="4" w:tplc="1B120914">
      <w:start w:val="1"/>
      <w:numFmt w:val="bullet"/>
      <w:lvlText w:val="o"/>
      <w:lvlJc w:val="left"/>
      <w:pPr>
        <w:ind w:left="3600" w:hanging="360"/>
      </w:pPr>
      <w:rPr>
        <w:rFonts w:ascii="Courier New" w:hAnsi="Courier New" w:hint="default"/>
      </w:rPr>
    </w:lvl>
    <w:lvl w:ilvl="5" w:tplc="B10EFABA">
      <w:start w:val="1"/>
      <w:numFmt w:val="bullet"/>
      <w:lvlText w:val=""/>
      <w:lvlJc w:val="left"/>
      <w:pPr>
        <w:ind w:left="4320" w:hanging="360"/>
      </w:pPr>
      <w:rPr>
        <w:rFonts w:ascii="Wingdings" w:hAnsi="Wingdings" w:hint="default"/>
      </w:rPr>
    </w:lvl>
    <w:lvl w:ilvl="6" w:tplc="49047D1C">
      <w:start w:val="1"/>
      <w:numFmt w:val="bullet"/>
      <w:lvlText w:val=""/>
      <w:lvlJc w:val="left"/>
      <w:pPr>
        <w:ind w:left="5040" w:hanging="360"/>
      </w:pPr>
      <w:rPr>
        <w:rFonts w:ascii="Symbol" w:hAnsi="Symbol" w:hint="default"/>
      </w:rPr>
    </w:lvl>
    <w:lvl w:ilvl="7" w:tplc="34F0493A">
      <w:start w:val="1"/>
      <w:numFmt w:val="bullet"/>
      <w:lvlText w:val="o"/>
      <w:lvlJc w:val="left"/>
      <w:pPr>
        <w:ind w:left="5760" w:hanging="360"/>
      </w:pPr>
      <w:rPr>
        <w:rFonts w:ascii="Courier New" w:hAnsi="Courier New" w:hint="default"/>
      </w:rPr>
    </w:lvl>
    <w:lvl w:ilvl="8" w:tplc="8F3EE2A8">
      <w:start w:val="1"/>
      <w:numFmt w:val="bullet"/>
      <w:lvlText w:val=""/>
      <w:lvlJc w:val="left"/>
      <w:pPr>
        <w:ind w:left="648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846208703">
    <w:abstractNumId w:val="3"/>
  </w:num>
  <w:num w:numId="2" w16cid:durableId="1013728190">
    <w:abstractNumId w:val="8"/>
  </w:num>
  <w:num w:numId="3" w16cid:durableId="1797023284">
    <w:abstractNumId w:val="6"/>
  </w:num>
  <w:num w:numId="4" w16cid:durableId="1781218536">
    <w:abstractNumId w:val="27"/>
  </w:num>
  <w:num w:numId="5" w16cid:durableId="322507645">
    <w:abstractNumId w:val="29"/>
  </w:num>
  <w:num w:numId="6" w16cid:durableId="492379425">
    <w:abstractNumId w:val="11"/>
  </w:num>
  <w:num w:numId="7" w16cid:durableId="1224179463">
    <w:abstractNumId w:val="12"/>
  </w:num>
  <w:num w:numId="8" w16cid:durableId="158693668">
    <w:abstractNumId w:val="13"/>
  </w:num>
  <w:num w:numId="9" w16cid:durableId="667249062">
    <w:abstractNumId w:val="2"/>
  </w:num>
  <w:num w:numId="10" w16cid:durableId="1065028101">
    <w:abstractNumId w:val="25"/>
  </w:num>
  <w:num w:numId="11" w16cid:durableId="582835472">
    <w:abstractNumId w:val="23"/>
  </w:num>
  <w:num w:numId="12" w16cid:durableId="77483929">
    <w:abstractNumId w:val="1"/>
  </w:num>
  <w:num w:numId="13" w16cid:durableId="1634285651">
    <w:abstractNumId w:val="24"/>
  </w:num>
  <w:num w:numId="14" w16cid:durableId="1257248357">
    <w:abstractNumId w:val="15"/>
  </w:num>
  <w:num w:numId="15" w16cid:durableId="1235047128">
    <w:abstractNumId w:val="22"/>
  </w:num>
  <w:num w:numId="16" w16cid:durableId="1892374821">
    <w:abstractNumId w:val="20"/>
  </w:num>
  <w:num w:numId="17" w16cid:durableId="1147015330">
    <w:abstractNumId w:val="4"/>
  </w:num>
  <w:num w:numId="18" w16cid:durableId="1831601393">
    <w:abstractNumId w:val="18"/>
  </w:num>
  <w:num w:numId="19" w16cid:durableId="217596965">
    <w:abstractNumId w:val="32"/>
  </w:num>
  <w:num w:numId="20" w16cid:durableId="2000034513">
    <w:abstractNumId w:val="21"/>
  </w:num>
  <w:num w:numId="21" w16cid:durableId="840465114">
    <w:abstractNumId w:val="16"/>
  </w:num>
  <w:num w:numId="22" w16cid:durableId="1527864668">
    <w:abstractNumId w:val="31"/>
  </w:num>
  <w:num w:numId="23" w16cid:durableId="2095006437">
    <w:abstractNumId w:val="5"/>
  </w:num>
  <w:num w:numId="24" w16cid:durableId="1233615944">
    <w:abstractNumId w:val="30"/>
  </w:num>
  <w:num w:numId="25" w16cid:durableId="615988914">
    <w:abstractNumId w:val="19"/>
  </w:num>
  <w:num w:numId="26" w16cid:durableId="2022587938">
    <w:abstractNumId w:val="9"/>
  </w:num>
  <w:num w:numId="27" w16cid:durableId="787284528">
    <w:abstractNumId w:val="10"/>
  </w:num>
  <w:num w:numId="28" w16cid:durableId="769936407">
    <w:abstractNumId w:val="17"/>
  </w:num>
  <w:num w:numId="29" w16cid:durableId="1473206515">
    <w:abstractNumId w:val="28"/>
  </w:num>
  <w:num w:numId="30" w16cid:durableId="303701641">
    <w:abstractNumId w:val="7"/>
  </w:num>
  <w:num w:numId="31" w16cid:durableId="1759397719">
    <w:abstractNumId w:val="0"/>
  </w:num>
  <w:num w:numId="32" w16cid:durableId="1752654622">
    <w:abstractNumId w:val="14"/>
  </w:num>
  <w:num w:numId="33" w16cid:durableId="121859119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O2MLM0tbS0MDMxMjBU0lEKTi0uzszPAykwrAUAZqKcCCwAAAA="/>
  </w:docVars>
  <w:rsids>
    <w:rsidRoot w:val="00FB4521"/>
    <w:rsid w:val="00011666"/>
    <w:rsid w:val="00011C22"/>
    <w:rsid w:val="00011E1D"/>
    <w:rsid w:val="00022B18"/>
    <w:rsid w:val="00024924"/>
    <w:rsid w:val="00026B02"/>
    <w:rsid w:val="00050AF9"/>
    <w:rsid w:val="000752B9"/>
    <w:rsid w:val="0008096E"/>
    <w:rsid w:val="000822E5"/>
    <w:rsid w:val="00084CF0"/>
    <w:rsid w:val="000971FC"/>
    <w:rsid w:val="000A2A3A"/>
    <w:rsid w:val="000A492A"/>
    <w:rsid w:val="000B6520"/>
    <w:rsid w:val="000C4F03"/>
    <w:rsid w:val="000D2F80"/>
    <w:rsid w:val="000E413A"/>
    <w:rsid w:val="000F5AA3"/>
    <w:rsid w:val="00100396"/>
    <w:rsid w:val="00100B5C"/>
    <w:rsid w:val="00103507"/>
    <w:rsid w:val="001106E9"/>
    <w:rsid w:val="00112036"/>
    <w:rsid w:val="00113EAF"/>
    <w:rsid w:val="00122EF8"/>
    <w:rsid w:val="00124CA5"/>
    <w:rsid w:val="00134F77"/>
    <w:rsid w:val="001453D6"/>
    <w:rsid w:val="00152E9D"/>
    <w:rsid w:val="00154487"/>
    <w:rsid w:val="00161EDB"/>
    <w:rsid w:val="0017512A"/>
    <w:rsid w:val="00176499"/>
    <w:rsid w:val="00196958"/>
    <w:rsid w:val="001A1369"/>
    <w:rsid w:val="001A1E39"/>
    <w:rsid w:val="001A24F3"/>
    <w:rsid w:val="001B405C"/>
    <w:rsid w:val="001B5F45"/>
    <w:rsid w:val="001C00E3"/>
    <w:rsid w:val="001C5F4B"/>
    <w:rsid w:val="001E1050"/>
    <w:rsid w:val="001E1E1F"/>
    <w:rsid w:val="001E2007"/>
    <w:rsid w:val="001E57C1"/>
    <w:rsid w:val="001F07EF"/>
    <w:rsid w:val="001F50B6"/>
    <w:rsid w:val="001F6D7A"/>
    <w:rsid w:val="00222D6E"/>
    <w:rsid w:val="0022746E"/>
    <w:rsid w:val="00235F71"/>
    <w:rsid w:val="002444CA"/>
    <w:rsid w:val="002466CE"/>
    <w:rsid w:val="00260DE6"/>
    <w:rsid w:val="00273FEE"/>
    <w:rsid w:val="0028204E"/>
    <w:rsid w:val="0028591B"/>
    <w:rsid w:val="00291841"/>
    <w:rsid w:val="002C449B"/>
    <w:rsid w:val="002C6040"/>
    <w:rsid w:val="002C6910"/>
    <w:rsid w:val="002D5B3F"/>
    <w:rsid w:val="002E272E"/>
    <w:rsid w:val="002F5778"/>
    <w:rsid w:val="003223E0"/>
    <w:rsid w:val="00352C4A"/>
    <w:rsid w:val="0036241B"/>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06FAE"/>
    <w:rsid w:val="00423934"/>
    <w:rsid w:val="00426244"/>
    <w:rsid w:val="00463197"/>
    <w:rsid w:val="00470A38"/>
    <w:rsid w:val="004874DE"/>
    <w:rsid w:val="004A5C1C"/>
    <w:rsid w:val="004B5334"/>
    <w:rsid w:val="004B6C14"/>
    <w:rsid w:val="004C4F19"/>
    <w:rsid w:val="004D5E9B"/>
    <w:rsid w:val="004D63D9"/>
    <w:rsid w:val="004E6585"/>
    <w:rsid w:val="004F4878"/>
    <w:rsid w:val="0050249F"/>
    <w:rsid w:val="00517EA9"/>
    <w:rsid w:val="00524566"/>
    <w:rsid w:val="00530BEF"/>
    <w:rsid w:val="00552351"/>
    <w:rsid w:val="00561F00"/>
    <w:rsid w:val="00562C4E"/>
    <w:rsid w:val="00562DEC"/>
    <w:rsid w:val="00576AB4"/>
    <w:rsid w:val="00577917"/>
    <w:rsid w:val="00583CAE"/>
    <w:rsid w:val="00590667"/>
    <w:rsid w:val="005969E2"/>
    <w:rsid w:val="005A1689"/>
    <w:rsid w:val="005B61CD"/>
    <w:rsid w:val="005C50AA"/>
    <w:rsid w:val="005D0725"/>
    <w:rsid w:val="005D1D58"/>
    <w:rsid w:val="005D432C"/>
    <w:rsid w:val="005E285E"/>
    <w:rsid w:val="005E72F8"/>
    <w:rsid w:val="005F0579"/>
    <w:rsid w:val="005F3A53"/>
    <w:rsid w:val="005F5084"/>
    <w:rsid w:val="00604932"/>
    <w:rsid w:val="006062A3"/>
    <w:rsid w:val="00610E08"/>
    <w:rsid w:val="006140BF"/>
    <w:rsid w:val="00615922"/>
    <w:rsid w:val="006161BE"/>
    <w:rsid w:val="00620787"/>
    <w:rsid w:val="00632434"/>
    <w:rsid w:val="0063478F"/>
    <w:rsid w:val="00644256"/>
    <w:rsid w:val="00661D6F"/>
    <w:rsid w:val="006628E9"/>
    <w:rsid w:val="0066725E"/>
    <w:rsid w:val="006716C7"/>
    <w:rsid w:val="00676241"/>
    <w:rsid w:val="00681208"/>
    <w:rsid w:val="00681FA9"/>
    <w:rsid w:val="00684F2D"/>
    <w:rsid w:val="00691EA9"/>
    <w:rsid w:val="006934D4"/>
    <w:rsid w:val="006A08ED"/>
    <w:rsid w:val="006A6DC3"/>
    <w:rsid w:val="006C1480"/>
    <w:rsid w:val="006C4D06"/>
    <w:rsid w:val="006C513A"/>
    <w:rsid w:val="006D3DDC"/>
    <w:rsid w:val="006D49ED"/>
    <w:rsid w:val="006D55CE"/>
    <w:rsid w:val="006D5612"/>
    <w:rsid w:val="006D637A"/>
    <w:rsid w:val="006D6B5E"/>
    <w:rsid w:val="006D6F24"/>
    <w:rsid w:val="006E3E4E"/>
    <w:rsid w:val="006F1715"/>
    <w:rsid w:val="006F45BF"/>
    <w:rsid w:val="006F60E0"/>
    <w:rsid w:val="00702F71"/>
    <w:rsid w:val="0070714B"/>
    <w:rsid w:val="00721EF9"/>
    <w:rsid w:val="0072ACD8"/>
    <w:rsid w:val="0073632F"/>
    <w:rsid w:val="007366DF"/>
    <w:rsid w:val="00757839"/>
    <w:rsid w:val="00770C81"/>
    <w:rsid w:val="00791024"/>
    <w:rsid w:val="00793F0A"/>
    <w:rsid w:val="007A2657"/>
    <w:rsid w:val="007C682C"/>
    <w:rsid w:val="007D2385"/>
    <w:rsid w:val="007D5D6F"/>
    <w:rsid w:val="007E55A2"/>
    <w:rsid w:val="007E62D0"/>
    <w:rsid w:val="007E6F99"/>
    <w:rsid w:val="007F214F"/>
    <w:rsid w:val="00800069"/>
    <w:rsid w:val="008042F0"/>
    <w:rsid w:val="008310A0"/>
    <w:rsid w:val="00835D29"/>
    <w:rsid w:val="00842E7F"/>
    <w:rsid w:val="008440FE"/>
    <w:rsid w:val="00850E7B"/>
    <w:rsid w:val="00852933"/>
    <w:rsid w:val="008566E5"/>
    <w:rsid w:val="008566FE"/>
    <w:rsid w:val="00865B46"/>
    <w:rsid w:val="0087068A"/>
    <w:rsid w:val="00876776"/>
    <w:rsid w:val="00896134"/>
    <w:rsid w:val="008A62BC"/>
    <w:rsid w:val="008B0128"/>
    <w:rsid w:val="008B43E7"/>
    <w:rsid w:val="008D763F"/>
    <w:rsid w:val="008E1F2D"/>
    <w:rsid w:val="008F036F"/>
    <w:rsid w:val="008F1308"/>
    <w:rsid w:val="008F78C2"/>
    <w:rsid w:val="00904568"/>
    <w:rsid w:val="00911394"/>
    <w:rsid w:val="00912885"/>
    <w:rsid w:val="00923EF2"/>
    <w:rsid w:val="00926D25"/>
    <w:rsid w:val="00926E9D"/>
    <w:rsid w:val="00932C6E"/>
    <w:rsid w:val="00933F10"/>
    <w:rsid w:val="009433C5"/>
    <w:rsid w:val="00965881"/>
    <w:rsid w:val="009871FF"/>
    <w:rsid w:val="00990799"/>
    <w:rsid w:val="00990BF2"/>
    <w:rsid w:val="00995D51"/>
    <w:rsid w:val="009A0631"/>
    <w:rsid w:val="009B10ED"/>
    <w:rsid w:val="009D3EA4"/>
    <w:rsid w:val="009D4DA7"/>
    <w:rsid w:val="009D649C"/>
    <w:rsid w:val="009E4BC1"/>
    <w:rsid w:val="009E55FB"/>
    <w:rsid w:val="009F5CB2"/>
    <w:rsid w:val="00A03BB8"/>
    <w:rsid w:val="00A3505D"/>
    <w:rsid w:val="00A4036F"/>
    <w:rsid w:val="00A406E5"/>
    <w:rsid w:val="00A4641C"/>
    <w:rsid w:val="00A47116"/>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35F2E"/>
    <w:rsid w:val="00B50EA8"/>
    <w:rsid w:val="00B64082"/>
    <w:rsid w:val="00B72325"/>
    <w:rsid w:val="00B72EC6"/>
    <w:rsid w:val="00B81AD3"/>
    <w:rsid w:val="00B829D8"/>
    <w:rsid w:val="00B84B5B"/>
    <w:rsid w:val="00B86446"/>
    <w:rsid w:val="00B92A91"/>
    <w:rsid w:val="00BA1176"/>
    <w:rsid w:val="00BE0B01"/>
    <w:rsid w:val="00BE79C7"/>
    <w:rsid w:val="00BF3CB5"/>
    <w:rsid w:val="00C019D4"/>
    <w:rsid w:val="00C01A3F"/>
    <w:rsid w:val="00C073F1"/>
    <w:rsid w:val="00C1285B"/>
    <w:rsid w:val="00C1361B"/>
    <w:rsid w:val="00C14E1F"/>
    <w:rsid w:val="00C315AF"/>
    <w:rsid w:val="00C36D9A"/>
    <w:rsid w:val="00C44A72"/>
    <w:rsid w:val="00C61FC2"/>
    <w:rsid w:val="00C705F9"/>
    <w:rsid w:val="00C80F0F"/>
    <w:rsid w:val="00C838F6"/>
    <w:rsid w:val="00C8667A"/>
    <w:rsid w:val="00C93BCB"/>
    <w:rsid w:val="00CA7644"/>
    <w:rsid w:val="00CC241A"/>
    <w:rsid w:val="00CE4035"/>
    <w:rsid w:val="00CE65AB"/>
    <w:rsid w:val="00CE6837"/>
    <w:rsid w:val="00CF4266"/>
    <w:rsid w:val="00D22D9C"/>
    <w:rsid w:val="00D241F1"/>
    <w:rsid w:val="00D275CB"/>
    <w:rsid w:val="00D30DFA"/>
    <w:rsid w:val="00D364E1"/>
    <w:rsid w:val="00D37680"/>
    <w:rsid w:val="00D434F5"/>
    <w:rsid w:val="00D463A5"/>
    <w:rsid w:val="00D4710D"/>
    <w:rsid w:val="00D47D25"/>
    <w:rsid w:val="00D62ACD"/>
    <w:rsid w:val="00D8778C"/>
    <w:rsid w:val="00D95814"/>
    <w:rsid w:val="00DA36EE"/>
    <w:rsid w:val="00DB116D"/>
    <w:rsid w:val="00DB444C"/>
    <w:rsid w:val="00DB5575"/>
    <w:rsid w:val="00DB6D02"/>
    <w:rsid w:val="00DD17CC"/>
    <w:rsid w:val="00DE217A"/>
    <w:rsid w:val="00DF321B"/>
    <w:rsid w:val="00E230E0"/>
    <w:rsid w:val="00E51AAC"/>
    <w:rsid w:val="00E61D43"/>
    <w:rsid w:val="00E66CC0"/>
    <w:rsid w:val="00E728A9"/>
    <w:rsid w:val="00E807D9"/>
    <w:rsid w:val="00E810C6"/>
    <w:rsid w:val="00E83344"/>
    <w:rsid w:val="00EA0F4E"/>
    <w:rsid w:val="00EA295B"/>
    <w:rsid w:val="00EA3B9B"/>
    <w:rsid w:val="00EA6801"/>
    <w:rsid w:val="00EB4F96"/>
    <w:rsid w:val="00ED7072"/>
    <w:rsid w:val="00EE3132"/>
    <w:rsid w:val="00EE3D9D"/>
    <w:rsid w:val="00EE6F25"/>
    <w:rsid w:val="00EF136E"/>
    <w:rsid w:val="00F02126"/>
    <w:rsid w:val="00F03D85"/>
    <w:rsid w:val="00F07C8C"/>
    <w:rsid w:val="00F249F1"/>
    <w:rsid w:val="00F25B9D"/>
    <w:rsid w:val="00F2664E"/>
    <w:rsid w:val="00F31163"/>
    <w:rsid w:val="00F31C04"/>
    <w:rsid w:val="00F442A7"/>
    <w:rsid w:val="00F45764"/>
    <w:rsid w:val="00F57A89"/>
    <w:rsid w:val="00F61A20"/>
    <w:rsid w:val="00F62457"/>
    <w:rsid w:val="00F62A88"/>
    <w:rsid w:val="00F63DD9"/>
    <w:rsid w:val="00F67644"/>
    <w:rsid w:val="00F8381F"/>
    <w:rsid w:val="00F96634"/>
    <w:rsid w:val="00FA04CD"/>
    <w:rsid w:val="00FA25F5"/>
    <w:rsid w:val="00FA2810"/>
    <w:rsid w:val="00FA68F8"/>
    <w:rsid w:val="00FB1DC0"/>
    <w:rsid w:val="00FB3B4E"/>
    <w:rsid w:val="00FB4521"/>
    <w:rsid w:val="00FB4F84"/>
    <w:rsid w:val="00FB5CF8"/>
    <w:rsid w:val="00FC5755"/>
    <w:rsid w:val="00FE5651"/>
    <w:rsid w:val="00FF273B"/>
    <w:rsid w:val="00FF564C"/>
    <w:rsid w:val="035CE49A"/>
    <w:rsid w:val="05B235D4"/>
    <w:rsid w:val="07555A71"/>
    <w:rsid w:val="079D2FA6"/>
    <w:rsid w:val="07E92DDA"/>
    <w:rsid w:val="09ACACC7"/>
    <w:rsid w:val="0C2BAE92"/>
    <w:rsid w:val="0CF09927"/>
    <w:rsid w:val="112339B8"/>
    <w:rsid w:val="12DC63BB"/>
    <w:rsid w:val="1546766B"/>
    <w:rsid w:val="16252073"/>
    <w:rsid w:val="17634C25"/>
    <w:rsid w:val="1922A700"/>
    <w:rsid w:val="197139C1"/>
    <w:rsid w:val="1AB13CFE"/>
    <w:rsid w:val="1C3D1E2B"/>
    <w:rsid w:val="1CA9C3BA"/>
    <w:rsid w:val="1D6F6F24"/>
    <w:rsid w:val="1DA58807"/>
    <w:rsid w:val="1DFC7B59"/>
    <w:rsid w:val="1EBB3D90"/>
    <w:rsid w:val="21A6DBE9"/>
    <w:rsid w:val="2212CA0C"/>
    <w:rsid w:val="2618919A"/>
    <w:rsid w:val="26C96000"/>
    <w:rsid w:val="27299F98"/>
    <w:rsid w:val="2768671D"/>
    <w:rsid w:val="28183801"/>
    <w:rsid w:val="284F9144"/>
    <w:rsid w:val="28DCA22B"/>
    <w:rsid w:val="2D14CE98"/>
    <w:rsid w:val="2F4DABA1"/>
    <w:rsid w:val="2FD03E44"/>
    <w:rsid w:val="307B5AE3"/>
    <w:rsid w:val="30C2C418"/>
    <w:rsid w:val="3448648B"/>
    <w:rsid w:val="35D87DAE"/>
    <w:rsid w:val="3621A76D"/>
    <w:rsid w:val="366005F7"/>
    <w:rsid w:val="36D8121C"/>
    <w:rsid w:val="3836EC1A"/>
    <w:rsid w:val="38DFA680"/>
    <w:rsid w:val="3A4A828D"/>
    <w:rsid w:val="3A9024D6"/>
    <w:rsid w:val="3C61B62D"/>
    <w:rsid w:val="3E073C14"/>
    <w:rsid w:val="3E1906CA"/>
    <w:rsid w:val="3F9FE25D"/>
    <w:rsid w:val="41F95FC7"/>
    <w:rsid w:val="42532EEC"/>
    <w:rsid w:val="425D594D"/>
    <w:rsid w:val="4366F231"/>
    <w:rsid w:val="4583F08D"/>
    <w:rsid w:val="4746783B"/>
    <w:rsid w:val="4920A011"/>
    <w:rsid w:val="4A950C90"/>
    <w:rsid w:val="4DE98610"/>
    <w:rsid w:val="4E614229"/>
    <w:rsid w:val="4FDAE7B9"/>
    <w:rsid w:val="5022E8B6"/>
    <w:rsid w:val="51B96E82"/>
    <w:rsid w:val="523D0D61"/>
    <w:rsid w:val="5404A41A"/>
    <w:rsid w:val="54CE4A8F"/>
    <w:rsid w:val="54DA5E3A"/>
    <w:rsid w:val="54F17B25"/>
    <w:rsid w:val="55A34AB8"/>
    <w:rsid w:val="5A4BDABE"/>
    <w:rsid w:val="5B8D235C"/>
    <w:rsid w:val="5EE0824B"/>
    <w:rsid w:val="61B59D46"/>
    <w:rsid w:val="622E2203"/>
    <w:rsid w:val="63008647"/>
    <w:rsid w:val="648EADE4"/>
    <w:rsid w:val="6610C7A5"/>
    <w:rsid w:val="66129479"/>
    <w:rsid w:val="6A604FC7"/>
    <w:rsid w:val="6BD8C646"/>
    <w:rsid w:val="6E88B784"/>
    <w:rsid w:val="6EDA67CD"/>
    <w:rsid w:val="6FDA57B4"/>
    <w:rsid w:val="71734872"/>
    <w:rsid w:val="755E81D3"/>
    <w:rsid w:val="75906CFB"/>
    <w:rsid w:val="75927F88"/>
    <w:rsid w:val="7A9F6822"/>
    <w:rsid w:val="7DE25D61"/>
    <w:rsid w:val="7E9D704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2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5C50AA"/>
    <w:rPr>
      <w:sz w:val="16"/>
      <w:szCs w:val="16"/>
    </w:rPr>
  </w:style>
  <w:style w:type="paragraph" w:styleId="CommentText">
    <w:name w:val="annotation text"/>
    <w:basedOn w:val="Normal"/>
    <w:link w:val="CommentTextChar"/>
    <w:semiHidden/>
    <w:unhideWhenUsed/>
    <w:rsid w:val="005C50AA"/>
  </w:style>
  <w:style w:type="character" w:customStyle="1" w:styleId="CommentTextChar">
    <w:name w:val="Comment Text Char"/>
    <w:basedOn w:val="DefaultParagraphFont"/>
    <w:link w:val="CommentText"/>
    <w:semiHidden/>
    <w:rsid w:val="005C50AA"/>
    <w:rPr>
      <w:lang w:eastAsia="en-GB"/>
    </w:rPr>
  </w:style>
  <w:style w:type="paragraph" w:styleId="CommentSubject">
    <w:name w:val="annotation subject"/>
    <w:basedOn w:val="CommentText"/>
    <w:next w:val="CommentText"/>
    <w:link w:val="CommentSubjectChar"/>
    <w:semiHidden/>
    <w:unhideWhenUsed/>
    <w:rsid w:val="005C50AA"/>
    <w:rPr>
      <w:b/>
      <w:bCs/>
    </w:rPr>
  </w:style>
  <w:style w:type="character" w:customStyle="1" w:styleId="CommentSubjectChar">
    <w:name w:val="Comment Subject Char"/>
    <w:basedOn w:val="CommentTextChar"/>
    <w:link w:val="CommentSubject"/>
    <w:semiHidden/>
    <w:rsid w:val="005C50AA"/>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EECA8A-EB73-40A8-B539-0DC6BC778684}">
  <ds:schemaRefs>
    <ds:schemaRef ds:uri="http://schemas.microsoft.com/sharepoint/v3/contenttype/forms"/>
  </ds:schemaRefs>
</ds:datastoreItem>
</file>

<file path=customXml/itemProps2.xml><?xml version="1.0" encoding="utf-8"?>
<ds:datastoreItem xmlns:ds="http://schemas.openxmlformats.org/officeDocument/2006/customXml" ds:itemID="{A175535B-9CE2-41DB-A1B5-14AB62FFCD44}">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3028A0E6-3629-4B3D-9B14-ED7B5E2E04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14</Pages>
  <Words>3886</Words>
  <Characters>22155</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Ivana Konjevod</dc:creator>
  <dc:description>August 2018</dc:description>
  <cp:lastModifiedBy>Ivana Konjevod</cp:lastModifiedBy>
  <cp:revision>2</cp:revision>
  <cp:lastPrinted>2014-10-10T07:42:00Z</cp:lastPrinted>
  <dcterms:created xsi:type="dcterms:W3CDTF">2026-07-22T12:38:00Z</dcterms:created>
  <dcterms:modified xsi:type="dcterms:W3CDTF">2026-07-22T12:38:00Z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