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906050">
      <w:pPr>
        <w:spacing w:line="276" w:lineRule="auto"/>
        <w:jc w:val="center"/>
      </w:pPr>
      <w:r>
        <w:rPr>
          <w:lang w:eastAsia="en-GB"/>
        </w:rPr>
        <w:drawing>
          <wp:inline distT="0" distB="0" distL="0" distR="0">
            <wp:extent cx="2676525" cy="1066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676525" cy="1066800"/>
                    </a:xfrm>
                    <a:prstGeom prst="rect">
                      <a:avLst/>
                    </a:prstGeom>
                    <a:noFill/>
                  </pic:spPr>
                </pic:pic>
              </a:graphicData>
            </a:graphic>
          </wp:inline>
        </w:drawing>
      </w:r>
    </w:p>
    <w:p w14:paraId="62CE02FD">
      <w:pPr>
        <w:spacing w:line="276" w:lineRule="auto"/>
        <w:jc w:val="center"/>
        <w:rPr>
          <w:b/>
          <w:bCs/>
        </w:rPr>
      </w:pPr>
    </w:p>
    <w:p w14:paraId="4CE887CE">
      <w:pPr>
        <w:spacing w:line="276" w:lineRule="auto"/>
        <w:jc w:val="center"/>
        <w:rPr>
          <w:b/>
          <w:bCs/>
        </w:rPr>
      </w:pPr>
      <w:r>
        <w:rPr>
          <w:b/>
          <w:bCs/>
        </w:rPr>
        <w:t>Programme: Master of Business Administration</w:t>
      </w:r>
    </w:p>
    <w:p w14:paraId="0F840133">
      <w:pPr>
        <w:spacing w:line="276" w:lineRule="auto"/>
        <w:jc w:val="center"/>
      </w:pPr>
      <w:r>
        <w:rPr>
          <w:b/>
          <w:bCs/>
        </w:rPr>
        <w:t>Module: International Marketing: Principles and Practices</w:t>
      </w:r>
    </w:p>
    <w:p w14:paraId="1F124281">
      <w:pPr>
        <w:spacing w:line="276" w:lineRule="auto"/>
        <w:jc w:val="center"/>
        <w:rPr>
          <w:b/>
          <w:bCs/>
        </w:rPr>
      </w:pPr>
      <w:r>
        <w:rPr>
          <w:b/>
          <w:bCs/>
        </w:rPr>
        <w:t>Module code: LCMB7026</w:t>
      </w:r>
    </w:p>
    <w:p w14:paraId="5B5D7F57">
      <w:pPr>
        <w:spacing w:line="276" w:lineRule="auto"/>
        <w:jc w:val="center"/>
        <w:rPr>
          <w:b/>
          <w:bCs/>
        </w:rPr>
      </w:pPr>
      <w:r>
        <w:rPr>
          <w:b/>
          <w:bCs/>
        </w:rPr>
        <w:t>Assignment Title:</w:t>
      </w:r>
      <w:r>
        <w:rPr>
          <w:b/>
          <w:bCs/>
        </w:rPr>
        <w:tab/>
      </w:r>
      <w:r>
        <w:rPr>
          <w:b/>
          <w:bCs/>
        </w:rPr>
        <w:t>Assessment component 1: Individual report</w:t>
      </w:r>
    </w:p>
    <w:p w14:paraId="391ADEED">
      <w:pPr>
        <w:spacing w:line="276" w:lineRule="auto"/>
        <w:jc w:val="center"/>
        <w:rPr>
          <w:b/>
          <w:bCs/>
        </w:rPr>
      </w:pPr>
      <w:r>
        <w:rPr>
          <w:b/>
          <w:bCs/>
        </w:rPr>
        <w:t>Lecturer: Dian Mayasari</w:t>
      </w:r>
    </w:p>
    <w:p w14:paraId="0F057322">
      <w:pPr>
        <w:spacing w:line="276" w:lineRule="auto"/>
        <w:jc w:val="center"/>
        <w:rPr>
          <w:b/>
          <w:bCs/>
        </w:rPr>
      </w:pPr>
      <w:r>
        <w:rPr>
          <w:b/>
          <w:bCs/>
        </w:rPr>
        <w:t>Student Name: Sabbir Ahmed</w:t>
      </w:r>
    </w:p>
    <w:p w14:paraId="354155A5">
      <w:pPr>
        <w:spacing w:line="276" w:lineRule="auto"/>
        <w:jc w:val="center"/>
        <w:rPr>
          <w:b/>
          <w:bCs/>
        </w:rPr>
      </w:pPr>
      <w:r>
        <w:rPr>
          <w:b/>
          <w:bCs/>
        </w:rPr>
        <w:t>Student ID: 2438312</w:t>
      </w:r>
    </w:p>
    <w:p w14:paraId="5B24D1A9">
      <w:pPr>
        <w:spacing w:line="276" w:lineRule="auto"/>
        <w:jc w:val="center"/>
      </w:pPr>
      <w:r>
        <w:rPr>
          <w:b/>
          <w:bCs/>
        </w:rPr>
        <w:t>Word Count: 5378</w:t>
      </w:r>
    </w:p>
    <w:p w14:paraId="04842C3E">
      <w:pPr>
        <w:spacing w:line="276" w:lineRule="auto"/>
        <w:jc w:val="left"/>
      </w:pPr>
      <w:bookmarkStart w:id="55" w:name="_GoBack"/>
      <w:bookmarkEnd w:id="55"/>
    </w:p>
    <w:p w14:paraId="6D1ED622">
      <w:pPr>
        <w:spacing w:line="276" w:lineRule="auto"/>
        <w:jc w:val="left"/>
      </w:pPr>
    </w:p>
    <w:p w14:paraId="53DF8D88">
      <w:pPr>
        <w:spacing w:line="276" w:lineRule="auto"/>
        <w:jc w:val="left"/>
        <w:rPr>
          <w:rFonts w:asciiTheme="majorHAnsi" w:hAnsiTheme="majorHAnsi" w:eastAsiaTheme="majorEastAsia" w:cstheme="majorBidi"/>
          <w:color w:val="376092" w:themeColor="accent1" w:themeShade="BF"/>
          <w:sz w:val="32"/>
          <w:szCs w:val="32"/>
        </w:rPr>
      </w:pPr>
      <w:r>
        <w:br w:type="page"/>
      </w:r>
    </w:p>
    <w:p w14:paraId="79202F26">
      <w:pPr>
        <w:pStyle w:val="19"/>
      </w:pPr>
    </w:p>
    <w:sdt>
      <w:sdtPr>
        <w:rPr>
          <w:rFonts w:ascii="Arial" w:hAnsi="Arial" w:eastAsiaTheme="minorEastAsia" w:cstheme="minorBidi"/>
          <w:color w:val="auto"/>
          <w:sz w:val="24"/>
          <w:szCs w:val="22"/>
        </w:rPr>
        <w:id w:val="1591744416"/>
        <w:docPartObj>
          <w:docPartGallery w:val="Table of Contents"/>
          <w:docPartUnique/>
        </w:docPartObj>
      </w:sdtPr>
      <w:sdtEndPr>
        <w:rPr>
          <w:rFonts w:ascii="Arial" w:hAnsi="Arial" w:eastAsiaTheme="minorEastAsia" w:cstheme="minorBidi"/>
          <w:b/>
          <w:bCs/>
          <w:color w:val="auto"/>
          <w:sz w:val="24"/>
          <w:szCs w:val="22"/>
        </w:rPr>
      </w:sdtEndPr>
      <w:sdtContent>
        <w:p w14:paraId="290A65F2">
          <w:pPr>
            <w:pStyle w:val="19"/>
          </w:pPr>
          <w:r>
            <w:t>Table of Contents</w:t>
          </w:r>
        </w:p>
        <w:p w14:paraId="070529BC">
          <w:pPr>
            <w:pStyle w:val="12"/>
            <w:tabs>
              <w:tab w:val="right" w:leader="dot" w:pos="9350"/>
            </w:tabs>
            <w:rPr>
              <w:rFonts w:asciiTheme="minorHAnsi" w:hAnsiTheme="minorHAnsi"/>
              <w:sz w:val="22"/>
              <w:lang w:eastAsia="en-GB"/>
            </w:rPr>
          </w:pPr>
          <w:r>
            <w:fldChar w:fldCharType="begin"/>
          </w:r>
          <w:r>
            <w:instrText xml:space="preserve"> TOC \o "1-3" \h \z \u </w:instrText>
          </w:r>
          <w:r>
            <w:fldChar w:fldCharType="separate"/>
          </w:r>
          <w:r>
            <w:fldChar w:fldCharType="begin"/>
          </w:r>
          <w:r>
            <w:instrText xml:space="preserve"> HYPERLINK \l "_Toc225400863" </w:instrText>
          </w:r>
          <w:r>
            <w:fldChar w:fldCharType="separate"/>
          </w:r>
          <w:r>
            <w:rPr>
              <w:rStyle w:val="10"/>
            </w:rPr>
            <w:t>Introduction</w:t>
          </w:r>
          <w:r>
            <w:tab/>
          </w:r>
          <w:r>
            <w:fldChar w:fldCharType="begin"/>
          </w:r>
          <w:r>
            <w:instrText xml:space="preserve"> PAGEREF _Toc225400863 \h </w:instrText>
          </w:r>
          <w:r>
            <w:fldChar w:fldCharType="separate"/>
          </w:r>
          <w:r>
            <w:t>4</w:t>
          </w:r>
          <w:r>
            <w:fldChar w:fldCharType="end"/>
          </w:r>
          <w:r>
            <w:fldChar w:fldCharType="end"/>
          </w:r>
        </w:p>
        <w:p w14:paraId="4EA457FC">
          <w:pPr>
            <w:pStyle w:val="12"/>
            <w:tabs>
              <w:tab w:val="right" w:leader="dot" w:pos="9350"/>
            </w:tabs>
            <w:rPr>
              <w:rFonts w:asciiTheme="minorHAnsi" w:hAnsiTheme="minorHAnsi"/>
              <w:sz w:val="22"/>
              <w:lang w:eastAsia="en-GB"/>
            </w:rPr>
          </w:pPr>
          <w:r>
            <w:fldChar w:fldCharType="begin"/>
          </w:r>
          <w:r>
            <w:instrText xml:space="preserve"> HYPERLINK \l "_Toc225400864" </w:instrText>
          </w:r>
          <w:r>
            <w:fldChar w:fldCharType="separate"/>
          </w:r>
          <w:r>
            <w:rPr>
              <w:rStyle w:val="10"/>
            </w:rPr>
            <w:t>Background of the Company</w:t>
          </w:r>
          <w:r>
            <w:tab/>
          </w:r>
          <w:r>
            <w:fldChar w:fldCharType="begin"/>
          </w:r>
          <w:r>
            <w:instrText xml:space="preserve"> PAGEREF _Toc225400864 \h </w:instrText>
          </w:r>
          <w:r>
            <w:fldChar w:fldCharType="separate"/>
          </w:r>
          <w:r>
            <w:t>4</w:t>
          </w:r>
          <w:r>
            <w:fldChar w:fldCharType="end"/>
          </w:r>
          <w:r>
            <w:fldChar w:fldCharType="end"/>
          </w:r>
        </w:p>
        <w:p w14:paraId="1B68D469">
          <w:pPr>
            <w:pStyle w:val="12"/>
            <w:tabs>
              <w:tab w:val="right" w:leader="dot" w:pos="9350"/>
            </w:tabs>
            <w:rPr>
              <w:rFonts w:asciiTheme="minorHAnsi" w:hAnsiTheme="minorHAnsi"/>
              <w:sz w:val="22"/>
              <w:lang w:eastAsia="en-GB"/>
            </w:rPr>
          </w:pPr>
          <w:r>
            <w:fldChar w:fldCharType="begin"/>
          </w:r>
          <w:r>
            <w:instrText xml:space="preserve"> HYPERLINK \l "_Toc225400865" </w:instrText>
          </w:r>
          <w:r>
            <w:fldChar w:fldCharType="separate"/>
          </w:r>
          <w:r>
            <w:rPr>
              <w:rStyle w:val="10"/>
            </w:rPr>
            <w:t>Comparison of the Macroenvironment of France and Japan</w:t>
          </w:r>
          <w:r>
            <w:tab/>
          </w:r>
          <w:r>
            <w:fldChar w:fldCharType="begin"/>
          </w:r>
          <w:r>
            <w:instrText xml:space="preserve"> PAGEREF _Toc225400865 \h </w:instrText>
          </w:r>
          <w:r>
            <w:fldChar w:fldCharType="separate"/>
          </w:r>
          <w:r>
            <w:t>6</w:t>
          </w:r>
          <w:r>
            <w:fldChar w:fldCharType="end"/>
          </w:r>
          <w:r>
            <w:fldChar w:fldCharType="end"/>
          </w:r>
        </w:p>
        <w:p w14:paraId="6DA3B88A">
          <w:pPr>
            <w:pStyle w:val="13"/>
            <w:tabs>
              <w:tab w:val="right" w:leader="dot" w:pos="9350"/>
            </w:tabs>
            <w:rPr>
              <w:rFonts w:asciiTheme="minorHAnsi" w:hAnsiTheme="minorHAnsi"/>
              <w:sz w:val="22"/>
              <w:lang w:eastAsia="en-GB"/>
            </w:rPr>
          </w:pPr>
          <w:r>
            <w:fldChar w:fldCharType="begin"/>
          </w:r>
          <w:r>
            <w:instrText xml:space="preserve"> HYPERLINK \l "_Toc225400866" </w:instrText>
          </w:r>
          <w:r>
            <w:fldChar w:fldCharType="separate"/>
          </w:r>
          <w:r>
            <w:rPr>
              <w:rStyle w:val="10"/>
            </w:rPr>
            <w:t>Political</w:t>
          </w:r>
          <w:r>
            <w:tab/>
          </w:r>
          <w:r>
            <w:fldChar w:fldCharType="begin"/>
          </w:r>
          <w:r>
            <w:instrText xml:space="preserve"> PAGEREF _Toc225400866 \h </w:instrText>
          </w:r>
          <w:r>
            <w:fldChar w:fldCharType="separate"/>
          </w:r>
          <w:r>
            <w:t>6</w:t>
          </w:r>
          <w:r>
            <w:fldChar w:fldCharType="end"/>
          </w:r>
          <w:r>
            <w:fldChar w:fldCharType="end"/>
          </w:r>
        </w:p>
        <w:p w14:paraId="239FC3F9">
          <w:pPr>
            <w:pStyle w:val="13"/>
            <w:tabs>
              <w:tab w:val="right" w:leader="dot" w:pos="9350"/>
            </w:tabs>
            <w:rPr>
              <w:rFonts w:asciiTheme="minorHAnsi" w:hAnsiTheme="minorHAnsi"/>
              <w:sz w:val="22"/>
              <w:lang w:eastAsia="en-GB"/>
            </w:rPr>
          </w:pPr>
          <w:r>
            <w:fldChar w:fldCharType="begin"/>
          </w:r>
          <w:r>
            <w:instrText xml:space="preserve"> HYPERLINK \l "_Toc225400867" </w:instrText>
          </w:r>
          <w:r>
            <w:fldChar w:fldCharType="separate"/>
          </w:r>
          <w:r>
            <w:rPr>
              <w:rStyle w:val="10"/>
            </w:rPr>
            <w:t>Economic</w:t>
          </w:r>
          <w:r>
            <w:tab/>
          </w:r>
          <w:r>
            <w:fldChar w:fldCharType="begin"/>
          </w:r>
          <w:r>
            <w:instrText xml:space="preserve"> PAGEREF _Toc225400867 \h </w:instrText>
          </w:r>
          <w:r>
            <w:fldChar w:fldCharType="separate"/>
          </w:r>
          <w:r>
            <w:t>7</w:t>
          </w:r>
          <w:r>
            <w:fldChar w:fldCharType="end"/>
          </w:r>
          <w:r>
            <w:fldChar w:fldCharType="end"/>
          </w:r>
        </w:p>
        <w:p w14:paraId="24E95F78">
          <w:pPr>
            <w:pStyle w:val="13"/>
            <w:tabs>
              <w:tab w:val="right" w:leader="dot" w:pos="9350"/>
            </w:tabs>
            <w:rPr>
              <w:rFonts w:asciiTheme="minorHAnsi" w:hAnsiTheme="minorHAnsi"/>
              <w:sz w:val="22"/>
              <w:lang w:eastAsia="en-GB"/>
            </w:rPr>
          </w:pPr>
          <w:r>
            <w:fldChar w:fldCharType="begin"/>
          </w:r>
          <w:r>
            <w:instrText xml:space="preserve"> HYPERLINK \l "_Toc225400868" </w:instrText>
          </w:r>
          <w:r>
            <w:fldChar w:fldCharType="separate"/>
          </w:r>
          <w:r>
            <w:rPr>
              <w:rStyle w:val="10"/>
            </w:rPr>
            <w:t>Social and Cultural</w:t>
          </w:r>
          <w:r>
            <w:tab/>
          </w:r>
          <w:r>
            <w:fldChar w:fldCharType="begin"/>
          </w:r>
          <w:r>
            <w:instrText xml:space="preserve"> PAGEREF _Toc225400868 \h </w:instrText>
          </w:r>
          <w:r>
            <w:fldChar w:fldCharType="separate"/>
          </w:r>
          <w:r>
            <w:t>9</w:t>
          </w:r>
          <w:r>
            <w:fldChar w:fldCharType="end"/>
          </w:r>
          <w:r>
            <w:fldChar w:fldCharType="end"/>
          </w:r>
        </w:p>
        <w:p w14:paraId="0BE697D1">
          <w:pPr>
            <w:pStyle w:val="13"/>
            <w:tabs>
              <w:tab w:val="right" w:leader="dot" w:pos="9350"/>
            </w:tabs>
            <w:rPr>
              <w:rFonts w:asciiTheme="minorHAnsi" w:hAnsiTheme="minorHAnsi"/>
              <w:sz w:val="22"/>
              <w:lang w:eastAsia="en-GB"/>
            </w:rPr>
          </w:pPr>
          <w:r>
            <w:fldChar w:fldCharType="begin"/>
          </w:r>
          <w:r>
            <w:instrText xml:space="preserve"> HYPERLINK \l "_Toc225400869" </w:instrText>
          </w:r>
          <w:r>
            <w:fldChar w:fldCharType="separate"/>
          </w:r>
          <w:r>
            <w:rPr>
              <w:rStyle w:val="10"/>
            </w:rPr>
            <w:t>Technological</w:t>
          </w:r>
          <w:r>
            <w:tab/>
          </w:r>
          <w:r>
            <w:fldChar w:fldCharType="begin"/>
          </w:r>
          <w:r>
            <w:instrText xml:space="preserve"> PAGEREF _Toc225400869 \h </w:instrText>
          </w:r>
          <w:r>
            <w:fldChar w:fldCharType="separate"/>
          </w:r>
          <w:r>
            <w:t>10</w:t>
          </w:r>
          <w:r>
            <w:fldChar w:fldCharType="end"/>
          </w:r>
          <w:r>
            <w:fldChar w:fldCharType="end"/>
          </w:r>
        </w:p>
        <w:p w14:paraId="5B0A9E3B">
          <w:pPr>
            <w:pStyle w:val="13"/>
            <w:tabs>
              <w:tab w:val="right" w:leader="dot" w:pos="9350"/>
            </w:tabs>
            <w:rPr>
              <w:rFonts w:asciiTheme="minorHAnsi" w:hAnsiTheme="minorHAnsi"/>
              <w:sz w:val="22"/>
              <w:lang w:eastAsia="en-GB"/>
            </w:rPr>
          </w:pPr>
          <w:r>
            <w:fldChar w:fldCharType="begin"/>
          </w:r>
          <w:r>
            <w:instrText xml:space="preserve"> HYPERLINK \l "_Toc225400870" </w:instrText>
          </w:r>
          <w:r>
            <w:fldChar w:fldCharType="separate"/>
          </w:r>
          <w:r>
            <w:rPr>
              <w:rStyle w:val="10"/>
            </w:rPr>
            <w:t>Legal</w:t>
          </w:r>
          <w:r>
            <w:tab/>
          </w:r>
          <w:r>
            <w:fldChar w:fldCharType="begin"/>
          </w:r>
          <w:r>
            <w:instrText xml:space="preserve"> PAGEREF _Toc225400870 \h </w:instrText>
          </w:r>
          <w:r>
            <w:fldChar w:fldCharType="separate"/>
          </w:r>
          <w:r>
            <w:t>11</w:t>
          </w:r>
          <w:r>
            <w:fldChar w:fldCharType="end"/>
          </w:r>
          <w:r>
            <w:fldChar w:fldCharType="end"/>
          </w:r>
        </w:p>
        <w:p w14:paraId="054F3E84">
          <w:pPr>
            <w:pStyle w:val="13"/>
            <w:tabs>
              <w:tab w:val="right" w:leader="dot" w:pos="9350"/>
            </w:tabs>
            <w:rPr>
              <w:rFonts w:asciiTheme="minorHAnsi" w:hAnsiTheme="minorHAnsi"/>
              <w:sz w:val="22"/>
              <w:lang w:eastAsia="en-GB"/>
            </w:rPr>
          </w:pPr>
          <w:r>
            <w:fldChar w:fldCharType="begin"/>
          </w:r>
          <w:r>
            <w:instrText xml:space="preserve"> HYPERLINK \l "_Toc225400871" </w:instrText>
          </w:r>
          <w:r>
            <w:fldChar w:fldCharType="separate"/>
          </w:r>
          <w:r>
            <w:rPr>
              <w:rStyle w:val="10"/>
            </w:rPr>
            <w:t>Environmental</w:t>
          </w:r>
          <w:r>
            <w:tab/>
          </w:r>
          <w:r>
            <w:fldChar w:fldCharType="begin"/>
          </w:r>
          <w:r>
            <w:instrText xml:space="preserve"> PAGEREF _Toc225400871 \h </w:instrText>
          </w:r>
          <w:r>
            <w:fldChar w:fldCharType="separate"/>
          </w:r>
          <w:r>
            <w:t>11</w:t>
          </w:r>
          <w:r>
            <w:fldChar w:fldCharType="end"/>
          </w:r>
          <w:r>
            <w:fldChar w:fldCharType="end"/>
          </w:r>
        </w:p>
        <w:p w14:paraId="6F94E5BD">
          <w:pPr>
            <w:pStyle w:val="13"/>
            <w:tabs>
              <w:tab w:val="right" w:leader="dot" w:pos="9350"/>
            </w:tabs>
            <w:rPr>
              <w:rFonts w:asciiTheme="minorHAnsi" w:hAnsiTheme="minorHAnsi"/>
              <w:sz w:val="22"/>
              <w:lang w:eastAsia="en-GB"/>
            </w:rPr>
          </w:pPr>
          <w:r>
            <w:fldChar w:fldCharType="begin"/>
          </w:r>
          <w:r>
            <w:instrText xml:space="preserve"> HYPERLINK \l "_Toc225400872" </w:instrText>
          </w:r>
          <w:r>
            <w:fldChar w:fldCharType="separate"/>
          </w:r>
          <w:r>
            <w:rPr>
              <w:rStyle w:val="10"/>
            </w:rPr>
            <w:t>Similarities and Differences of two countries</w:t>
          </w:r>
          <w:r>
            <w:tab/>
          </w:r>
          <w:r>
            <w:fldChar w:fldCharType="begin"/>
          </w:r>
          <w:r>
            <w:instrText xml:space="preserve"> PAGEREF _Toc225400872 \h </w:instrText>
          </w:r>
          <w:r>
            <w:fldChar w:fldCharType="separate"/>
          </w:r>
          <w:r>
            <w:t>12</w:t>
          </w:r>
          <w:r>
            <w:fldChar w:fldCharType="end"/>
          </w:r>
          <w:r>
            <w:fldChar w:fldCharType="end"/>
          </w:r>
        </w:p>
        <w:p w14:paraId="731037CB">
          <w:pPr>
            <w:pStyle w:val="12"/>
            <w:tabs>
              <w:tab w:val="right" w:leader="dot" w:pos="9350"/>
            </w:tabs>
            <w:rPr>
              <w:rFonts w:asciiTheme="minorHAnsi" w:hAnsiTheme="minorHAnsi"/>
              <w:sz w:val="22"/>
              <w:lang w:eastAsia="en-GB"/>
            </w:rPr>
          </w:pPr>
          <w:r>
            <w:fldChar w:fldCharType="begin"/>
          </w:r>
          <w:r>
            <w:instrText xml:space="preserve"> HYPERLINK \l "_Toc225400873" </w:instrText>
          </w:r>
          <w:r>
            <w:fldChar w:fldCharType="separate"/>
          </w:r>
          <w:r>
            <w:rPr>
              <w:rStyle w:val="10"/>
            </w:rPr>
            <w:t>STP Comparison of Louis Vuitton in France and Japan</w:t>
          </w:r>
          <w:r>
            <w:tab/>
          </w:r>
          <w:r>
            <w:fldChar w:fldCharType="begin"/>
          </w:r>
          <w:r>
            <w:instrText xml:space="preserve"> PAGEREF _Toc225400873 \h </w:instrText>
          </w:r>
          <w:r>
            <w:fldChar w:fldCharType="separate"/>
          </w:r>
          <w:r>
            <w:t>13</w:t>
          </w:r>
          <w:r>
            <w:fldChar w:fldCharType="end"/>
          </w:r>
          <w:r>
            <w:fldChar w:fldCharType="end"/>
          </w:r>
        </w:p>
        <w:p w14:paraId="026D9F71">
          <w:pPr>
            <w:pStyle w:val="13"/>
            <w:tabs>
              <w:tab w:val="right" w:leader="dot" w:pos="9350"/>
            </w:tabs>
            <w:rPr>
              <w:rFonts w:asciiTheme="minorHAnsi" w:hAnsiTheme="minorHAnsi"/>
              <w:sz w:val="22"/>
              <w:lang w:eastAsia="en-GB"/>
            </w:rPr>
          </w:pPr>
          <w:r>
            <w:fldChar w:fldCharType="begin"/>
          </w:r>
          <w:r>
            <w:instrText xml:space="preserve"> HYPERLINK \l "_Toc225400874" </w:instrText>
          </w:r>
          <w:r>
            <w:fldChar w:fldCharType="separate"/>
          </w:r>
          <w:r>
            <w:rPr>
              <w:rStyle w:val="10"/>
            </w:rPr>
            <w:t>Segmentation</w:t>
          </w:r>
          <w:r>
            <w:tab/>
          </w:r>
          <w:r>
            <w:fldChar w:fldCharType="begin"/>
          </w:r>
          <w:r>
            <w:instrText xml:space="preserve"> PAGEREF _Toc225400874 \h </w:instrText>
          </w:r>
          <w:r>
            <w:fldChar w:fldCharType="separate"/>
          </w:r>
          <w:r>
            <w:t>13</w:t>
          </w:r>
          <w:r>
            <w:fldChar w:fldCharType="end"/>
          </w:r>
          <w:r>
            <w:fldChar w:fldCharType="end"/>
          </w:r>
        </w:p>
        <w:p w14:paraId="1826F157">
          <w:pPr>
            <w:pStyle w:val="13"/>
            <w:tabs>
              <w:tab w:val="right" w:leader="dot" w:pos="9350"/>
            </w:tabs>
            <w:rPr>
              <w:rFonts w:asciiTheme="minorHAnsi" w:hAnsiTheme="minorHAnsi"/>
              <w:sz w:val="22"/>
              <w:lang w:eastAsia="en-GB"/>
            </w:rPr>
          </w:pPr>
          <w:r>
            <w:fldChar w:fldCharType="begin"/>
          </w:r>
          <w:r>
            <w:instrText xml:space="preserve"> HYPERLINK \l "_Toc225400875" </w:instrText>
          </w:r>
          <w:r>
            <w:fldChar w:fldCharType="separate"/>
          </w:r>
          <w:r>
            <w:rPr>
              <w:rStyle w:val="10"/>
            </w:rPr>
            <w:t>Targeting</w:t>
          </w:r>
          <w:r>
            <w:tab/>
          </w:r>
          <w:r>
            <w:fldChar w:fldCharType="begin"/>
          </w:r>
          <w:r>
            <w:instrText xml:space="preserve"> PAGEREF _Toc225400875 \h </w:instrText>
          </w:r>
          <w:r>
            <w:fldChar w:fldCharType="separate"/>
          </w:r>
          <w:r>
            <w:t>14</w:t>
          </w:r>
          <w:r>
            <w:fldChar w:fldCharType="end"/>
          </w:r>
          <w:r>
            <w:fldChar w:fldCharType="end"/>
          </w:r>
        </w:p>
        <w:p w14:paraId="3DA94B75">
          <w:pPr>
            <w:pStyle w:val="13"/>
            <w:tabs>
              <w:tab w:val="right" w:leader="dot" w:pos="9350"/>
            </w:tabs>
            <w:rPr>
              <w:rFonts w:asciiTheme="minorHAnsi" w:hAnsiTheme="minorHAnsi"/>
              <w:sz w:val="22"/>
              <w:lang w:eastAsia="en-GB"/>
            </w:rPr>
          </w:pPr>
          <w:r>
            <w:fldChar w:fldCharType="begin"/>
          </w:r>
          <w:r>
            <w:instrText xml:space="preserve"> HYPERLINK \l "_Toc225400876" </w:instrText>
          </w:r>
          <w:r>
            <w:fldChar w:fldCharType="separate"/>
          </w:r>
          <w:r>
            <w:rPr>
              <w:rStyle w:val="10"/>
            </w:rPr>
            <w:t>Positioning</w:t>
          </w:r>
          <w:r>
            <w:tab/>
          </w:r>
          <w:r>
            <w:fldChar w:fldCharType="begin"/>
          </w:r>
          <w:r>
            <w:instrText xml:space="preserve"> PAGEREF _Toc225400876 \h </w:instrText>
          </w:r>
          <w:r>
            <w:fldChar w:fldCharType="separate"/>
          </w:r>
          <w:r>
            <w:t>15</w:t>
          </w:r>
          <w:r>
            <w:fldChar w:fldCharType="end"/>
          </w:r>
          <w:r>
            <w:fldChar w:fldCharType="end"/>
          </w:r>
        </w:p>
        <w:p w14:paraId="224899B0">
          <w:pPr>
            <w:pStyle w:val="12"/>
            <w:tabs>
              <w:tab w:val="right" w:leader="dot" w:pos="9350"/>
            </w:tabs>
            <w:rPr>
              <w:rFonts w:asciiTheme="minorHAnsi" w:hAnsiTheme="minorHAnsi"/>
              <w:sz w:val="22"/>
              <w:lang w:eastAsia="en-GB"/>
            </w:rPr>
          </w:pPr>
          <w:r>
            <w:fldChar w:fldCharType="begin"/>
          </w:r>
          <w:r>
            <w:instrText xml:space="preserve"> HYPERLINK \l "_Toc225400877" </w:instrText>
          </w:r>
          <w:r>
            <w:fldChar w:fldCharType="separate"/>
          </w:r>
          <w:r>
            <w:rPr>
              <w:rStyle w:val="10"/>
            </w:rPr>
            <w:t>7Ps Comparison of Louis Vuitton in France and Japan</w:t>
          </w:r>
          <w:r>
            <w:tab/>
          </w:r>
          <w:r>
            <w:fldChar w:fldCharType="begin"/>
          </w:r>
          <w:r>
            <w:instrText xml:space="preserve"> PAGEREF _Toc225400877 \h </w:instrText>
          </w:r>
          <w:r>
            <w:fldChar w:fldCharType="separate"/>
          </w:r>
          <w:r>
            <w:t>16</w:t>
          </w:r>
          <w:r>
            <w:fldChar w:fldCharType="end"/>
          </w:r>
          <w:r>
            <w:fldChar w:fldCharType="end"/>
          </w:r>
        </w:p>
        <w:p w14:paraId="3E4FA966">
          <w:pPr>
            <w:pStyle w:val="13"/>
            <w:tabs>
              <w:tab w:val="right" w:leader="dot" w:pos="9350"/>
            </w:tabs>
            <w:rPr>
              <w:rFonts w:asciiTheme="minorHAnsi" w:hAnsiTheme="minorHAnsi"/>
              <w:sz w:val="22"/>
              <w:lang w:eastAsia="en-GB"/>
            </w:rPr>
          </w:pPr>
          <w:r>
            <w:fldChar w:fldCharType="begin"/>
          </w:r>
          <w:r>
            <w:instrText xml:space="preserve"> HYPERLINK \l "_Toc225400878" </w:instrText>
          </w:r>
          <w:r>
            <w:fldChar w:fldCharType="separate"/>
          </w:r>
          <w:r>
            <w:rPr>
              <w:rStyle w:val="10"/>
            </w:rPr>
            <w:t>Product</w:t>
          </w:r>
          <w:r>
            <w:tab/>
          </w:r>
          <w:r>
            <w:fldChar w:fldCharType="begin"/>
          </w:r>
          <w:r>
            <w:instrText xml:space="preserve"> PAGEREF _Toc225400878 \h </w:instrText>
          </w:r>
          <w:r>
            <w:fldChar w:fldCharType="separate"/>
          </w:r>
          <w:r>
            <w:t>17</w:t>
          </w:r>
          <w:r>
            <w:fldChar w:fldCharType="end"/>
          </w:r>
          <w:r>
            <w:fldChar w:fldCharType="end"/>
          </w:r>
        </w:p>
        <w:p w14:paraId="126E2BC7">
          <w:pPr>
            <w:pStyle w:val="13"/>
            <w:tabs>
              <w:tab w:val="right" w:leader="dot" w:pos="9350"/>
            </w:tabs>
            <w:rPr>
              <w:rFonts w:asciiTheme="minorHAnsi" w:hAnsiTheme="minorHAnsi"/>
              <w:sz w:val="22"/>
              <w:lang w:eastAsia="en-GB"/>
            </w:rPr>
          </w:pPr>
          <w:r>
            <w:fldChar w:fldCharType="begin"/>
          </w:r>
          <w:r>
            <w:instrText xml:space="preserve"> HYPERLINK \l "_Toc225400879" </w:instrText>
          </w:r>
          <w:r>
            <w:fldChar w:fldCharType="separate"/>
          </w:r>
          <w:r>
            <w:rPr>
              <w:rStyle w:val="10"/>
            </w:rPr>
            <w:t>Price</w:t>
          </w:r>
          <w:r>
            <w:tab/>
          </w:r>
          <w:r>
            <w:fldChar w:fldCharType="begin"/>
          </w:r>
          <w:r>
            <w:instrText xml:space="preserve"> PAGEREF _Toc225400879 \h </w:instrText>
          </w:r>
          <w:r>
            <w:fldChar w:fldCharType="separate"/>
          </w:r>
          <w:r>
            <w:t>17</w:t>
          </w:r>
          <w:r>
            <w:fldChar w:fldCharType="end"/>
          </w:r>
          <w:r>
            <w:fldChar w:fldCharType="end"/>
          </w:r>
        </w:p>
        <w:p w14:paraId="42F41D6F">
          <w:pPr>
            <w:pStyle w:val="13"/>
            <w:tabs>
              <w:tab w:val="right" w:leader="dot" w:pos="9350"/>
            </w:tabs>
            <w:rPr>
              <w:rFonts w:asciiTheme="minorHAnsi" w:hAnsiTheme="minorHAnsi"/>
              <w:sz w:val="22"/>
              <w:lang w:eastAsia="en-GB"/>
            </w:rPr>
          </w:pPr>
          <w:r>
            <w:fldChar w:fldCharType="begin"/>
          </w:r>
          <w:r>
            <w:instrText xml:space="preserve"> HYPERLINK \l "_Toc225400880" </w:instrText>
          </w:r>
          <w:r>
            <w:fldChar w:fldCharType="separate"/>
          </w:r>
          <w:r>
            <w:rPr>
              <w:rStyle w:val="10"/>
            </w:rPr>
            <w:t>Place</w:t>
          </w:r>
          <w:r>
            <w:tab/>
          </w:r>
          <w:r>
            <w:fldChar w:fldCharType="begin"/>
          </w:r>
          <w:r>
            <w:instrText xml:space="preserve"> PAGEREF _Toc225400880 \h </w:instrText>
          </w:r>
          <w:r>
            <w:fldChar w:fldCharType="separate"/>
          </w:r>
          <w:r>
            <w:t>18</w:t>
          </w:r>
          <w:r>
            <w:fldChar w:fldCharType="end"/>
          </w:r>
          <w:r>
            <w:fldChar w:fldCharType="end"/>
          </w:r>
        </w:p>
        <w:p w14:paraId="079964B1">
          <w:pPr>
            <w:pStyle w:val="13"/>
            <w:tabs>
              <w:tab w:val="right" w:leader="dot" w:pos="9350"/>
            </w:tabs>
            <w:rPr>
              <w:rFonts w:asciiTheme="minorHAnsi" w:hAnsiTheme="minorHAnsi"/>
              <w:sz w:val="22"/>
              <w:lang w:eastAsia="en-GB"/>
            </w:rPr>
          </w:pPr>
          <w:r>
            <w:fldChar w:fldCharType="begin"/>
          </w:r>
          <w:r>
            <w:instrText xml:space="preserve"> HYPERLINK \l "_Toc225400881" </w:instrText>
          </w:r>
          <w:r>
            <w:fldChar w:fldCharType="separate"/>
          </w:r>
          <w:r>
            <w:rPr>
              <w:rStyle w:val="10"/>
            </w:rPr>
            <w:t>Promotion</w:t>
          </w:r>
          <w:r>
            <w:tab/>
          </w:r>
          <w:r>
            <w:fldChar w:fldCharType="begin"/>
          </w:r>
          <w:r>
            <w:instrText xml:space="preserve"> PAGEREF _Toc225400881 \h </w:instrText>
          </w:r>
          <w:r>
            <w:fldChar w:fldCharType="separate"/>
          </w:r>
          <w:r>
            <w:t>18</w:t>
          </w:r>
          <w:r>
            <w:fldChar w:fldCharType="end"/>
          </w:r>
          <w:r>
            <w:fldChar w:fldCharType="end"/>
          </w:r>
        </w:p>
        <w:p w14:paraId="577A904D">
          <w:pPr>
            <w:pStyle w:val="13"/>
            <w:tabs>
              <w:tab w:val="right" w:leader="dot" w:pos="9350"/>
            </w:tabs>
            <w:rPr>
              <w:rFonts w:asciiTheme="minorHAnsi" w:hAnsiTheme="minorHAnsi"/>
              <w:sz w:val="22"/>
              <w:lang w:eastAsia="en-GB"/>
            </w:rPr>
          </w:pPr>
          <w:r>
            <w:fldChar w:fldCharType="begin"/>
          </w:r>
          <w:r>
            <w:instrText xml:space="preserve"> HYPERLINK \l "_Toc225400882" </w:instrText>
          </w:r>
          <w:r>
            <w:fldChar w:fldCharType="separate"/>
          </w:r>
          <w:r>
            <w:rPr>
              <w:rStyle w:val="10"/>
            </w:rPr>
            <w:t>People, Process and Physical Evidence</w:t>
          </w:r>
          <w:r>
            <w:tab/>
          </w:r>
          <w:r>
            <w:fldChar w:fldCharType="begin"/>
          </w:r>
          <w:r>
            <w:instrText xml:space="preserve"> PAGEREF _Toc225400882 \h </w:instrText>
          </w:r>
          <w:r>
            <w:fldChar w:fldCharType="separate"/>
          </w:r>
          <w:r>
            <w:t>19</w:t>
          </w:r>
          <w:r>
            <w:fldChar w:fldCharType="end"/>
          </w:r>
          <w:r>
            <w:fldChar w:fldCharType="end"/>
          </w:r>
        </w:p>
        <w:p w14:paraId="40C76618">
          <w:pPr>
            <w:pStyle w:val="12"/>
            <w:tabs>
              <w:tab w:val="right" w:leader="dot" w:pos="9350"/>
            </w:tabs>
            <w:rPr>
              <w:rFonts w:asciiTheme="minorHAnsi" w:hAnsiTheme="minorHAnsi"/>
              <w:sz w:val="22"/>
              <w:lang w:eastAsia="en-GB"/>
            </w:rPr>
          </w:pPr>
          <w:r>
            <w:fldChar w:fldCharType="begin"/>
          </w:r>
          <w:r>
            <w:instrText xml:space="preserve"> HYPERLINK \l "_Toc225400883" </w:instrText>
          </w:r>
          <w:r>
            <w:fldChar w:fldCharType="separate"/>
          </w:r>
          <w:r>
            <w:rPr>
              <w:rStyle w:val="10"/>
            </w:rPr>
            <w:t>Directional Development in Japan</w:t>
          </w:r>
          <w:r>
            <w:tab/>
          </w:r>
          <w:r>
            <w:fldChar w:fldCharType="begin"/>
          </w:r>
          <w:r>
            <w:instrText xml:space="preserve"> PAGEREF _Toc225400883 \h </w:instrText>
          </w:r>
          <w:r>
            <w:fldChar w:fldCharType="separate"/>
          </w:r>
          <w:r>
            <w:t>21</w:t>
          </w:r>
          <w:r>
            <w:fldChar w:fldCharType="end"/>
          </w:r>
          <w:r>
            <w:fldChar w:fldCharType="end"/>
          </w:r>
        </w:p>
        <w:p w14:paraId="00526754">
          <w:pPr>
            <w:pStyle w:val="13"/>
            <w:tabs>
              <w:tab w:val="right" w:leader="dot" w:pos="9350"/>
            </w:tabs>
            <w:rPr>
              <w:rFonts w:asciiTheme="minorHAnsi" w:hAnsiTheme="minorHAnsi"/>
              <w:sz w:val="22"/>
              <w:lang w:eastAsia="en-GB"/>
            </w:rPr>
          </w:pPr>
          <w:r>
            <w:fldChar w:fldCharType="begin"/>
          </w:r>
          <w:r>
            <w:instrText xml:space="preserve"> HYPERLINK \l "_Toc225400884" </w:instrText>
          </w:r>
          <w:r>
            <w:fldChar w:fldCharType="separate"/>
          </w:r>
          <w:r>
            <w:rPr>
              <w:rStyle w:val="10"/>
            </w:rPr>
            <w:t>Ethical Issues for Louis Vuitton</w:t>
          </w:r>
          <w:r>
            <w:tab/>
          </w:r>
          <w:r>
            <w:fldChar w:fldCharType="begin"/>
          </w:r>
          <w:r>
            <w:instrText xml:space="preserve"> PAGEREF _Toc225400884 \h </w:instrText>
          </w:r>
          <w:r>
            <w:fldChar w:fldCharType="separate"/>
          </w:r>
          <w:r>
            <w:t>22</w:t>
          </w:r>
          <w:r>
            <w:fldChar w:fldCharType="end"/>
          </w:r>
          <w:r>
            <w:fldChar w:fldCharType="end"/>
          </w:r>
        </w:p>
        <w:p w14:paraId="3386160D">
          <w:pPr>
            <w:pStyle w:val="12"/>
            <w:tabs>
              <w:tab w:val="right" w:leader="dot" w:pos="9350"/>
            </w:tabs>
            <w:rPr>
              <w:rFonts w:asciiTheme="minorHAnsi" w:hAnsiTheme="minorHAnsi"/>
              <w:sz w:val="22"/>
              <w:lang w:eastAsia="en-GB"/>
            </w:rPr>
          </w:pPr>
          <w:r>
            <w:fldChar w:fldCharType="begin"/>
          </w:r>
          <w:r>
            <w:instrText xml:space="preserve"> HYPERLINK \l "_Toc225400885" </w:instrText>
          </w:r>
          <w:r>
            <w:fldChar w:fldCharType="separate"/>
          </w:r>
          <w:r>
            <w:rPr>
              <w:rStyle w:val="10"/>
            </w:rPr>
            <w:t>Recommendations</w:t>
          </w:r>
          <w:r>
            <w:tab/>
          </w:r>
          <w:r>
            <w:fldChar w:fldCharType="begin"/>
          </w:r>
          <w:r>
            <w:instrText xml:space="preserve"> PAGEREF _Toc225400885 \h </w:instrText>
          </w:r>
          <w:r>
            <w:fldChar w:fldCharType="separate"/>
          </w:r>
          <w:r>
            <w:t>23</w:t>
          </w:r>
          <w:r>
            <w:fldChar w:fldCharType="end"/>
          </w:r>
          <w:r>
            <w:fldChar w:fldCharType="end"/>
          </w:r>
        </w:p>
        <w:p w14:paraId="5D921156">
          <w:pPr>
            <w:pStyle w:val="12"/>
            <w:tabs>
              <w:tab w:val="right" w:leader="dot" w:pos="9350"/>
            </w:tabs>
            <w:rPr>
              <w:rFonts w:asciiTheme="minorHAnsi" w:hAnsiTheme="minorHAnsi"/>
              <w:sz w:val="22"/>
              <w:lang w:eastAsia="en-GB"/>
            </w:rPr>
          </w:pPr>
          <w:r>
            <w:fldChar w:fldCharType="begin"/>
          </w:r>
          <w:r>
            <w:instrText xml:space="preserve"> HYPERLINK \l "_Toc225400886" </w:instrText>
          </w:r>
          <w:r>
            <w:fldChar w:fldCharType="separate"/>
          </w:r>
          <w:r>
            <w:rPr>
              <w:rStyle w:val="10"/>
            </w:rPr>
            <w:t>Conclusion</w:t>
          </w:r>
          <w:r>
            <w:tab/>
          </w:r>
          <w:r>
            <w:fldChar w:fldCharType="begin"/>
          </w:r>
          <w:r>
            <w:instrText xml:space="preserve"> PAGEREF _Toc225400886 \h </w:instrText>
          </w:r>
          <w:r>
            <w:fldChar w:fldCharType="separate"/>
          </w:r>
          <w:r>
            <w:t>24</w:t>
          </w:r>
          <w:r>
            <w:fldChar w:fldCharType="end"/>
          </w:r>
          <w:r>
            <w:fldChar w:fldCharType="end"/>
          </w:r>
        </w:p>
        <w:p w14:paraId="6102D197">
          <w:pPr>
            <w:pStyle w:val="12"/>
            <w:tabs>
              <w:tab w:val="right" w:leader="dot" w:pos="9350"/>
            </w:tabs>
            <w:rPr>
              <w:rFonts w:asciiTheme="minorHAnsi" w:hAnsiTheme="minorHAnsi"/>
              <w:sz w:val="22"/>
              <w:lang w:eastAsia="en-GB"/>
            </w:rPr>
          </w:pPr>
          <w:r>
            <w:fldChar w:fldCharType="begin"/>
          </w:r>
          <w:r>
            <w:instrText xml:space="preserve"> HYPERLINK \l "_Toc225400887" </w:instrText>
          </w:r>
          <w:r>
            <w:fldChar w:fldCharType="separate"/>
          </w:r>
          <w:r>
            <w:rPr>
              <w:rStyle w:val="10"/>
            </w:rPr>
            <w:t>Section 2: Reflection</w:t>
          </w:r>
          <w:r>
            <w:tab/>
          </w:r>
          <w:r>
            <w:fldChar w:fldCharType="begin"/>
          </w:r>
          <w:r>
            <w:instrText xml:space="preserve"> PAGEREF _Toc225400887 \h </w:instrText>
          </w:r>
          <w:r>
            <w:fldChar w:fldCharType="separate"/>
          </w:r>
          <w:r>
            <w:t>24</w:t>
          </w:r>
          <w:r>
            <w:fldChar w:fldCharType="end"/>
          </w:r>
          <w:r>
            <w:fldChar w:fldCharType="end"/>
          </w:r>
        </w:p>
        <w:p w14:paraId="41EB5F62">
          <w:pPr>
            <w:pStyle w:val="13"/>
            <w:tabs>
              <w:tab w:val="right" w:leader="dot" w:pos="9350"/>
            </w:tabs>
            <w:rPr>
              <w:rFonts w:asciiTheme="minorHAnsi" w:hAnsiTheme="minorHAnsi"/>
              <w:sz w:val="22"/>
              <w:lang w:eastAsia="en-GB"/>
            </w:rPr>
          </w:pPr>
          <w:r>
            <w:fldChar w:fldCharType="begin"/>
          </w:r>
          <w:r>
            <w:instrText xml:space="preserve"> HYPERLINK \l "_Toc225400888" </w:instrText>
          </w:r>
          <w:r>
            <w:fldChar w:fldCharType="separate"/>
          </w:r>
          <w:r>
            <w:rPr>
              <w:rStyle w:val="10"/>
            </w:rPr>
            <w:t>Description</w:t>
          </w:r>
          <w:r>
            <w:tab/>
          </w:r>
          <w:r>
            <w:fldChar w:fldCharType="begin"/>
          </w:r>
          <w:r>
            <w:instrText xml:space="preserve"> PAGEREF _Toc225400888 \h </w:instrText>
          </w:r>
          <w:r>
            <w:fldChar w:fldCharType="separate"/>
          </w:r>
          <w:r>
            <w:t>24</w:t>
          </w:r>
          <w:r>
            <w:fldChar w:fldCharType="end"/>
          </w:r>
          <w:r>
            <w:fldChar w:fldCharType="end"/>
          </w:r>
        </w:p>
        <w:p w14:paraId="5153AAC0">
          <w:pPr>
            <w:pStyle w:val="13"/>
            <w:tabs>
              <w:tab w:val="right" w:leader="dot" w:pos="9350"/>
            </w:tabs>
            <w:rPr>
              <w:rFonts w:asciiTheme="minorHAnsi" w:hAnsiTheme="minorHAnsi"/>
              <w:sz w:val="22"/>
              <w:lang w:eastAsia="en-GB"/>
            </w:rPr>
          </w:pPr>
          <w:r>
            <w:fldChar w:fldCharType="begin"/>
          </w:r>
          <w:r>
            <w:instrText xml:space="preserve"> HYPERLINK \l "_Toc225400889" </w:instrText>
          </w:r>
          <w:r>
            <w:fldChar w:fldCharType="separate"/>
          </w:r>
          <w:r>
            <w:rPr>
              <w:rStyle w:val="10"/>
            </w:rPr>
            <w:t>Feelings</w:t>
          </w:r>
          <w:r>
            <w:tab/>
          </w:r>
          <w:r>
            <w:fldChar w:fldCharType="begin"/>
          </w:r>
          <w:r>
            <w:instrText xml:space="preserve"> PAGEREF _Toc225400889 \h </w:instrText>
          </w:r>
          <w:r>
            <w:fldChar w:fldCharType="separate"/>
          </w:r>
          <w:r>
            <w:t>25</w:t>
          </w:r>
          <w:r>
            <w:fldChar w:fldCharType="end"/>
          </w:r>
          <w:r>
            <w:fldChar w:fldCharType="end"/>
          </w:r>
        </w:p>
        <w:p w14:paraId="48DDDB2A">
          <w:pPr>
            <w:pStyle w:val="13"/>
            <w:tabs>
              <w:tab w:val="right" w:leader="dot" w:pos="9350"/>
            </w:tabs>
            <w:rPr>
              <w:rFonts w:asciiTheme="minorHAnsi" w:hAnsiTheme="minorHAnsi"/>
              <w:sz w:val="22"/>
              <w:lang w:eastAsia="en-GB"/>
            </w:rPr>
          </w:pPr>
          <w:r>
            <w:fldChar w:fldCharType="begin"/>
          </w:r>
          <w:r>
            <w:instrText xml:space="preserve"> HYPERLINK \l "_Toc225400890" </w:instrText>
          </w:r>
          <w:r>
            <w:fldChar w:fldCharType="separate"/>
          </w:r>
          <w:r>
            <w:rPr>
              <w:rStyle w:val="10"/>
            </w:rPr>
            <w:t>Evaluation</w:t>
          </w:r>
          <w:r>
            <w:tab/>
          </w:r>
          <w:r>
            <w:fldChar w:fldCharType="begin"/>
          </w:r>
          <w:r>
            <w:instrText xml:space="preserve"> PAGEREF _Toc225400890 \h </w:instrText>
          </w:r>
          <w:r>
            <w:fldChar w:fldCharType="separate"/>
          </w:r>
          <w:r>
            <w:t>25</w:t>
          </w:r>
          <w:r>
            <w:fldChar w:fldCharType="end"/>
          </w:r>
          <w:r>
            <w:fldChar w:fldCharType="end"/>
          </w:r>
        </w:p>
        <w:p w14:paraId="4263C812">
          <w:pPr>
            <w:pStyle w:val="13"/>
            <w:tabs>
              <w:tab w:val="right" w:leader="dot" w:pos="9350"/>
            </w:tabs>
            <w:rPr>
              <w:rFonts w:asciiTheme="minorHAnsi" w:hAnsiTheme="minorHAnsi"/>
              <w:sz w:val="22"/>
              <w:lang w:eastAsia="en-GB"/>
            </w:rPr>
          </w:pPr>
          <w:r>
            <w:fldChar w:fldCharType="begin"/>
          </w:r>
          <w:r>
            <w:instrText xml:space="preserve"> HYPERLINK \l "_Toc225400891" </w:instrText>
          </w:r>
          <w:r>
            <w:fldChar w:fldCharType="separate"/>
          </w:r>
          <w:r>
            <w:rPr>
              <w:rStyle w:val="10"/>
            </w:rPr>
            <w:t>Analysis</w:t>
          </w:r>
          <w:r>
            <w:tab/>
          </w:r>
          <w:r>
            <w:fldChar w:fldCharType="begin"/>
          </w:r>
          <w:r>
            <w:instrText xml:space="preserve"> PAGEREF _Toc225400891 \h </w:instrText>
          </w:r>
          <w:r>
            <w:fldChar w:fldCharType="separate"/>
          </w:r>
          <w:r>
            <w:t>26</w:t>
          </w:r>
          <w:r>
            <w:fldChar w:fldCharType="end"/>
          </w:r>
          <w:r>
            <w:fldChar w:fldCharType="end"/>
          </w:r>
        </w:p>
        <w:p w14:paraId="3AEBF8ED">
          <w:pPr>
            <w:pStyle w:val="13"/>
            <w:tabs>
              <w:tab w:val="right" w:leader="dot" w:pos="9350"/>
            </w:tabs>
            <w:rPr>
              <w:rFonts w:asciiTheme="minorHAnsi" w:hAnsiTheme="minorHAnsi"/>
              <w:sz w:val="22"/>
              <w:lang w:eastAsia="en-GB"/>
            </w:rPr>
          </w:pPr>
          <w:r>
            <w:fldChar w:fldCharType="begin"/>
          </w:r>
          <w:r>
            <w:instrText xml:space="preserve"> HYPERLINK \l "_Toc225400892" </w:instrText>
          </w:r>
          <w:r>
            <w:fldChar w:fldCharType="separate"/>
          </w:r>
          <w:r>
            <w:rPr>
              <w:rStyle w:val="10"/>
            </w:rPr>
            <w:t>Conclusion</w:t>
          </w:r>
          <w:r>
            <w:tab/>
          </w:r>
          <w:r>
            <w:fldChar w:fldCharType="begin"/>
          </w:r>
          <w:r>
            <w:instrText xml:space="preserve"> PAGEREF _Toc225400892 \h </w:instrText>
          </w:r>
          <w:r>
            <w:fldChar w:fldCharType="separate"/>
          </w:r>
          <w:r>
            <w:t>26</w:t>
          </w:r>
          <w:r>
            <w:fldChar w:fldCharType="end"/>
          </w:r>
          <w:r>
            <w:fldChar w:fldCharType="end"/>
          </w:r>
        </w:p>
        <w:p w14:paraId="3529F708">
          <w:pPr>
            <w:pStyle w:val="13"/>
            <w:tabs>
              <w:tab w:val="right" w:leader="dot" w:pos="9350"/>
            </w:tabs>
            <w:rPr>
              <w:rFonts w:asciiTheme="minorHAnsi" w:hAnsiTheme="minorHAnsi"/>
              <w:sz w:val="22"/>
              <w:lang w:eastAsia="en-GB"/>
            </w:rPr>
          </w:pPr>
          <w:r>
            <w:fldChar w:fldCharType="begin"/>
          </w:r>
          <w:r>
            <w:instrText xml:space="preserve"> HYPERLINK \l "_Toc225400893" </w:instrText>
          </w:r>
          <w:r>
            <w:fldChar w:fldCharType="separate"/>
          </w:r>
          <w:r>
            <w:rPr>
              <w:rStyle w:val="10"/>
            </w:rPr>
            <w:t>Action Plan</w:t>
          </w:r>
          <w:r>
            <w:tab/>
          </w:r>
          <w:r>
            <w:fldChar w:fldCharType="begin"/>
          </w:r>
          <w:r>
            <w:instrText xml:space="preserve"> PAGEREF _Toc225400893 \h </w:instrText>
          </w:r>
          <w:r>
            <w:fldChar w:fldCharType="separate"/>
          </w:r>
          <w:r>
            <w:t>27</w:t>
          </w:r>
          <w:r>
            <w:fldChar w:fldCharType="end"/>
          </w:r>
          <w:r>
            <w:fldChar w:fldCharType="end"/>
          </w:r>
        </w:p>
        <w:p w14:paraId="7D892D71">
          <w:pPr>
            <w:pStyle w:val="12"/>
            <w:tabs>
              <w:tab w:val="right" w:leader="dot" w:pos="9350"/>
            </w:tabs>
            <w:rPr>
              <w:rFonts w:asciiTheme="minorHAnsi" w:hAnsiTheme="minorHAnsi"/>
              <w:sz w:val="22"/>
              <w:lang w:eastAsia="en-GB"/>
            </w:rPr>
          </w:pPr>
          <w:r>
            <w:fldChar w:fldCharType="begin"/>
          </w:r>
          <w:r>
            <w:instrText xml:space="preserve"> HYPERLINK \l "_Toc225400894" </w:instrText>
          </w:r>
          <w:r>
            <w:fldChar w:fldCharType="separate"/>
          </w:r>
          <w:r>
            <w:rPr>
              <w:rStyle w:val="10"/>
            </w:rPr>
            <w:t>References</w:t>
          </w:r>
          <w:r>
            <w:tab/>
          </w:r>
          <w:r>
            <w:fldChar w:fldCharType="begin"/>
          </w:r>
          <w:r>
            <w:instrText xml:space="preserve"> PAGEREF _Toc225400894 \h </w:instrText>
          </w:r>
          <w:r>
            <w:fldChar w:fldCharType="separate"/>
          </w:r>
          <w:r>
            <w:t>28</w:t>
          </w:r>
          <w:r>
            <w:fldChar w:fldCharType="end"/>
          </w:r>
          <w:r>
            <w:fldChar w:fldCharType="end"/>
          </w:r>
        </w:p>
        <w:p w14:paraId="129A0411">
          <w:r>
            <w:rPr>
              <w:b/>
              <w:bCs/>
            </w:rPr>
            <w:fldChar w:fldCharType="end"/>
          </w:r>
        </w:p>
      </w:sdtContent>
    </w:sdt>
    <w:p w14:paraId="17EA7790">
      <w:pPr>
        <w:rPr>
          <w:b/>
          <w:bCs/>
        </w:rPr>
      </w:pPr>
      <w:r>
        <w:br w:type="page"/>
      </w:r>
    </w:p>
    <w:p w14:paraId="76AB4740">
      <w:pPr>
        <w:pStyle w:val="2"/>
      </w:pPr>
      <w:bookmarkStart w:id="0" w:name="_Toc225400863"/>
      <w:bookmarkStart w:id="1" w:name="_Toc224134283"/>
      <w:r>
        <w:t>Introduction</w:t>
      </w:r>
      <w:bookmarkEnd w:id="0"/>
      <w:bookmarkEnd w:id="1"/>
    </w:p>
    <w:p w14:paraId="3D41CEE6">
      <w:r>
        <w:t>Louis Vuitton is one of the most distinguishable luxury brands in the world. But global success cannot be achieved only through heritage and product quality. The success of the brand in international marketing lies in its capacity to ensure a steady global high luxury image coupled with adaptation to the institutional, economic and cultural realities of various host markets (Blythe, 2013). This report focuses on France where Louis Vuitton originated and Japan where it has one of the most significant foreign markets. France brings the symbolic base of the brand in terms of history, craftsmanship, country-of-origin upscale and Japan offers a specific luxury context with its heavy consumers, brand culture, and a long-term connection to high-quality products. In 1978, Louis Vuitton opened six stores in Tokyo and Osaka and its formal network of stores in Japan has reached 59, which proves the strategic relevance of the market.</w:t>
      </w:r>
    </w:p>
    <w:p w14:paraId="540298FE">
      <w:pPr>
        <w:keepNext/>
        <w:jc w:val="center"/>
      </w:pPr>
      <w:r>
        <w:rPr>
          <w:lang w:eastAsia="en-GB"/>
        </w:rPr>
        <w:drawing>
          <wp:inline distT="0" distB="0" distL="0" distR="0">
            <wp:extent cx="2857500" cy="1600200"/>
            <wp:effectExtent l="0" t="0" r="0" b="0"/>
            <wp:docPr id="4" name="Picture 4" descr="Louis Vuitton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uis Vuitton Logo and symbol, meaning, history, PNG, bra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57500" cy="1600200"/>
                    </a:xfrm>
                    <a:prstGeom prst="rect">
                      <a:avLst/>
                    </a:prstGeom>
                    <a:noFill/>
                    <a:ln>
                      <a:noFill/>
                    </a:ln>
                  </pic:spPr>
                </pic:pic>
              </a:graphicData>
            </a:graphic>
          </wp:inline>
        </w:drawing>
      </w:r>
    </w:p>
    <w:p w14:paraId="5874F7F0">
      <w:pPr>
        <w:pStyle w:val="7"/>
        <w:jc w:val="center"/>
        <w:rPr>
          <w:sz w:val="22"/>
        </w:rPr>
      </w:pPr>
      <w:r>
        <w:rPr>
          <w:sz w:val="22"/>
        </w:rPr>
        <w:t xml:space="preserve">Figure </w:t>
      </w:r>
      <w:r>
        <w:rPr>
          <w:sz w:val="22"/>
        </w:rPr>
        <w:fldChar w:fldCharType="begin"/>
      </w:r>
      <w:r>
        <w:rPr>
          <w:sz w:val="22"/>
        </w:rPr>
        <w:instrText xml:space="preserve"> SEQ Figure \* ARABIC </w:instrText>
      </w:r>
      <w:r>
        <w:rPr>
          <w:sz w:val="22"/>
        </w:rPr>
        <w:fldChar w:fldCharType="separate"/>
      </w:r>
      <w:r>
        <w:rPr>
          <w:sz w:val="22"/>
        </w:rPr>
        <w:t>1</w:t>
      </w:r>
      <w:r>
        <w:rPr>
          <w:sz w:val="22"/>
        </w:rPr>
        <w:fldChar w:fldCharType="end"/>
      </w:r>
      <w:r>
        <w:rPr>
          <w:sz w:val="22"/>
        </w:rPr>
        <w:t>: Louis Vuitton Logo (Source: Company Website)</w:t>
      </w:r>
    </w:p>
    <w:p w14:paraId="4BC44714">
      <w:r>
        <w:t>The report critically compares Louis Vuitton in France and Japan based on the macroenvironment, STP and 7ps, and then evaluates the development path of the brand in Japan, the ethical issues and strategic advice chosen. The purpose is not to explain the two markets, but to analyze how the differences between the home and host country facilitated opportunities, constraints and marketing implications of Louis Vuitton.</w:t>
      </w:r>
    </w:p>
    <w:p w14:paraId="15EB708E">
      <w:pPr>
        <w:pStyle w:val="2"/>
      </w:pPr>
      <w:bookmarkStart w:id="2" w:name="_Toc224134284"/>
      <w:bookmarkStart w:id="3" w:name="_Toc225400864"/>
      <w:r>
        <w:t>Background of the Company</w:t>
      </w:r>
      <w:bookmarkEnd w:id="2"/>
      <w:bookmarkEnd w:id="3"/>
    </w:p>
    <w:p w14:paraId="3A062CBE">
      <w:r>
        <w:t>In 1854 Louis Vuitton was established in Paris by Louis Vuitton, initially focusing on his reputation as a specialist producer of quality trunks and travel items. The company overtime spread to include leather goods, fashion, shoes, accessories, fragrances, watches and jewellery. Despite this, Louis Vuitton has maintained its brand based on craftsmanship, creativeness and exclusivity as opposed to the mass-market appeal. Both official brand and group communications continue to place focus on craftsmanship, long-term brand development, and robust ethical, social and environmental practices. This is significant academically as using luxury branding, Louis Vuitton is competing with symbolic value, scarcity, heritage and selective distribution rather than price warfare. According to Nagasawa (2009), Louis Vuitton is strong in terms of its disciplined consistency in its marketing principles.</w:t>
      </w:r>
    </w:p>
    <w:p w14:paraId="551BD3C4">
      <w:pPr>
        <w:pStyle w:val="7"/>
        <w:keepNext/>
        <w:rPr>
          <w:sz w:val="22"/>
        </w:rPr>
      </w:pPr>
      <w:r>
        <w:rPr>
          <w:sz w:val="22"/>
        </w:rPr>
        <w:t xml:space="preserve">Table </w:t>
      </w:r>
      <w:r>
        <w:rPr>
          <w:sz w:val="22"/>
        </w:rPr>
        <w:fldChar w:fldCharType="begin"/>
      </w:r>
      <w:r>
        <w:rPr>
          <w:sz w:val="22"/>
        </w:rPr>
        <w:instrText xml:space="preserve"> SEQ Table \* ARABIC </w:instrText>
      </w:r>
      <w:r>
        <w:rPr>
          <w:sz w:val="22"/>
        </w:rPr>
        <w:fldChar w:fldCharType="separate"/>
      </w:r>
      <w:r>
        <w:rPr>
          <w:sz w:val="22"/>
        </w:rPr>
        <w:t>1</w:t>
      </w:r>
      <w:r>
        <w:rPr>
          <w:sz w:val="22"/>
        </w:rPr>
        <w:fldChar w:fldCharType="end"/>
      </w:r>
      <w:r>
        <w:rPr>
          <w:sz w:val="22"/>
        </w:rPr>
        <w:t>: Background Comparison of Louis Vuitton in France and Japan</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1"/>
        <w:gridCol w:w="3299"/>
        <w:gridCol w:w="3996"/>
      </w:tblGrid>
      <w:tr w14:paraId="0387A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734ECE8">
            <w:pPr>
              <w:spacing w:after="0" w:line="240" w:lineRule="auto"/>
              <w:jc w:val="center"/>
              <w:rPr>
                <w:rFonts w:eastAsia="Times New Roman" w:cs="Arial"/>
                <w:b/>
                <w:bCs/>
                <w:szCs w:val="24"/>
                <w:lang w:eastAsia="en-GB"/>
              </w:rPr>
            </w:pPr>
            <w:r>
              <w:rPr>
                <w:rFonts w:eastAsia="Times New Roman" w:cs="Arial"/>
                <w:b/>
                <w:bCs/>
                <w:szCs w:val="24"/>
                <w:lang w:eastAsia="en-GB"/>
              </w:rPr>
              <w:t>Item</w:t>
            </w:r>
          </w:p>
        </w:tc>
        <w:tc>
          <w:tcPr>
            <w:tcW w:w="0" w:type="auto"/>
          </w:tcPr>
          <w:p w14:paraId="1B7C35D5">
            <w:pPr>
              <w:spacing w:after="0" w:line="240" w:lineRule="auto"/>
              <w:jc w:val="center"/>
              <w:rPr>
                <w:rFonts w:eastAsia="Times New Roman" w:cs="Arial"/>
                <w:b/>
                <w:bCs/>
                <w:szCs w:val="24"/>
                <w:lang w:eastAsia="en-GB"/>
              </w:rPr>
            </w:pPr>
            <w:r>
              <w:rPr>
                <w:rFonts w:eastAsia="Times New Roman" w:cs="Arial"/>
                <w:b/>
                <w:bCs/>
                <w:szCs w:val="24"/>
                <w:lang w:eastAsia="en-GB"/>
              </w:rPr>
              <w:t>France</w:t>
            </w:r>
          </w:p>
        </w:tc>
        <w:tc>
          <w:tcPr>
            <w:tcW w:w="0" w:type="auto"/>
          </w:tcPr>
          <w:p w14:paraId="6029EF34">
            <w:pPr>
              <w:spacing w:after="0" w:line="240" w:lineRule="auto"/>
              <w:jc w:val="center"/>
              <w:rPr>
                <w:rFonts w:eastAsia="Times New Roman" w:cs="Arial"/>
                <w:b/>
                <w:bCs/>
                <w:szCs w:val="24"/>
                <w:lang w:eastAsia="en-GB"/>
              </w:rPr>
            </w:pPr>
            <w:r>
              <w:rPr>
                <w:rFonts w:eastAsia="Times New Roman" w:cs="Arial"/>
                <w:b/>
                <w:bCs/>
                <w:szCs w:val="24"/>
                <w:lang w:eastAsia="en-GB"/>
              </w:rPr>
              <w:t>Japan</w:t>
            </w:r>
          </w:p>
        </w:tc>
      </w:tr>
      <w:tr w14:paraId="63450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39F7CB7">
            <w:pPr>
              <w:spacing w:after="0" w:line="240" w:lineRule="auto"/>
              <w:jc w:val="left"/>
              <w:rPr>
                <w:rFonts w:eastAsia="Times New Roman" w:cs="Arial"/>
                <w:b/>
                <w:szCs w:val="24"/>
                <w:lang w:eastAsia="en-GB"/>
              </w:rPr>
            </w:pPr>
            <w:r>
              <w:rPr>
                <w:rFonts w:eastAsia="Times New Roman" w:cs="Arial"/>
                <w:b/>
                <w:szCs w:val="24"/>
                <w:lang w:eastAsia="en-GB"/>
              </w:rPr>
              <w:t>Country role</w:t>
            </w:r>
          </w:p>
        </w:tc>
        <w:tc>
          <w:tcPr>
            <w:tcW w:w="0" w:type="auto"/>
          </w:tcPr>
          <w:p w14:paraId="48E28066">
            <w:pPr>
              <w:spacing w:after="0" w:line="240" w:lineRule="auto"/>
              <w:jc w:val="left"/>
              <w:rPr>
                <w:rFonts w:eastAsia="Times New Roman" w:cs="Arial"/>
                <w:b/>
                <w:szCs w:val="24"/>
                <w:lang w:eastAsia="en-GB"/>
              </w:rPr>
            </w:pPr>
            <w:r>
              <w:rPr>
                <w:rFonts w:eastAsia="Times New Roman" w:cs="Arial"/>
                <w:b/>
                <w:szCs w:val="24"/>
                <w:lang w:eastAsia="en-GB"/>
              </w:rPr>
              <w:t>Home country</w:t>
            </w:r>
          </w:p>
        </w:tc>
        <w:tc>
          <w:tcPr>
            <w:tcW w:w="0" w:type="auto"/>
          </w:tcPr>
          <w:p w14:paraId="2F754DE9">
            <w:pPr>
              <w:spacing w:after="0" w:line="240" w:lineRule="auto"/>
              <w:jc w:val="left"/>
              <w:rPr>
                <w:rFonts w:eastAsia="Times New Roman" w:cs="Arial"/>
                <w:b/>
                <w:szCs w:val="24"/>
                <w:lang w:eastAsia="en-GB"/>
              </w:rPr>
            </w:pPr>
            <w:r>
              <w:rPr>
                <w:rFonts w:eastAsia="Times New Roman" w:cs="Arial"/>
                <w:b/>
                <w:szCs w:val="24"/>
                <w:lang w:eastAsia="en-GB"/>
              </w:rPr>
              <w:t>Host country</w:t>
            </w:r>
          </w:p>
        </w:tc>
      </w:tr>
      <w:tr w14:paraId="45B61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7E73A30">
            <w:pPr>
              <w:spacing w:after="0" w:line="240" w:lineRule="auto"/>
              <w:jc w:val="left"/>
              <w:rPr>
                <w:rFonts w:eastAsia="Times New Roman" w:cs="Arial"/>
                <w:szCs w:val="24"/>
                <w:lang w:eastAsia="en-GB"/>
              </w:rPr>
            </w:pPr>
            <w:r>
              <w:rPr>
                <w:rFonts w:eastAsia="Times New Roman" w:cs="Arial"/>
                <w:szCs w:val="24"/>
                <w:lang w:eastAsia="en-GB"/>
              </w:rPr>
              <w:t>Relevance to Louis Vuitton</w:t>
            </w:r>
          </w:p>
        </w:tc>
        <w:tc>
          <w:tcPr>
            <w:tcW w:w="0" w:type="auto"/>
          </w:tcPr>
          <w:p w14:paraId="3F53E5CC">
            <w:pPr>
              <w:spacing w:after="0" w:line="240" w:lineRule="auto"/>
              <w:jc w:val="center"/>
              <w:rPr>
                <w:rFonts w:eastAsia="Times New Roman" w:cs="Arial"/>
                <w:szCs w:val="24"/>
                <w:lang w:eastAsia="en-GB"/>
              </w:rPr>
            </w:pPr>
            <w:r>
              <w:rPr>
                <w:rFonts w:eastAsia="Times New Roman" w:cs="Arial"/>
                <w:szCs w:val="24"/>
                <w:lang w:eastAsia="en-GB"/>
              </w:rPr>
              <w:t>Country of origin and source of brand heritage</w:t>
            </w:r>
          </w:p>
        </w:tc>
        <w:tc>
          <w:tcPr>
            <w:tcW w:w="0" w:type="auto"/>
          </w:tcPr>
          <w:p w14:paraId="241F37A1">
            <w:pPr>
              <w:spacing w:after="0" w:line="240" w:lineRule="auto"/>
              <w:jc w:val="center"/>
              <w:rPr>
                <w:rFonts w:eastAsia="Times New Roman" w:cs="Arial"/>
                <w:szCs w:val="24"/>
                <w:lang w:eastAsia="en-GB"/>
              </w:rPr>
            </w:pPr>
            <w:r>
              <w:rPr>
                <w:rFonts w:eastAsia="Times New Roman" w:cs="Arial"/>
                <w:szCs w:val="24"/>
                <w:lang w:eastAsia="en-GB"/>
              </w:rPr>
              <w:t>One of Louis Vuitton’s most important overseas luxury markets</w:t>
            </w:r>
          </w:p>
        </w:tc>
      </w:tr>
      <w:tr w14:paraId="57B0E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457E5F5">
            <w:pPr>
              <w:spacing w:after="0" w:line="240" w:lineRule="auto"/>
              <w:jc w:val="left"/>
              <w:rPr>
                <w:rFonts w:eastAsia="Times New Roman" w:cs="Arial"/>
                <w:szCs w:val="24"/>
                <w:lang w:eastAsia="en-GB"/>
              </w:rPr>
            </w:pPr>
            <w:r>
              <w:rPr>
                <w:rFonts w:eastAsia="Times New Roman" w:cs="Arial"/>
                <w:szCs w:val="24"/>
                <w:lang w:eastAsia="en-GB"/>
              </w:rPr>
              <w:t>Strategic importance</w:t>
            </w:r>
          </w:p>
        </w:tc>
        <w:tc>
          <w:tcPr>
            <w:tcW w:w="0" w:type="auto"/>
          </w:tcPr>
          <w:p w14:paraId="0E923D4E">
            <w:pPr>
              <w:spacing w:after="0" w:line="240" w:lineRule="auto"/>
              <w:jc w:val="center"/>
              <w:rPr>
                <w:rFonts w:eastAsia="Times New Roman" w:cs="Arial"/>
                <w:szCs w:val="24"/>
                <w:lang w:eastAsia="en-GB"/>
              </w:rPr>
            </w:pPr>
            <w:r>
              <w:rPr>
                <w:rFonts w:eastAsia="Times New Roman" w:cs="Arial"/>
                <w:szCs w:val="24"/>
                <w:lang w:eastAsia="en-GB"/>
              </w:rPr>
              <w:t>Provides authenticity, cultural legitimacy and country-of-origin prestige</w:t>
            </w:r>
          </w:p>
        </w:tc>
        <w:tc>
          <w:tcPr>
            <w:tcW w:w="0" w:type="auto"/>
          </w:tcPr>
          <w:p w14:paraId="119BC643">
            <w:pPr>
              <w:spacing w:after="0" w:line="240" w:lineRule="auto"/>
              <w:jc w:val="center"/>
              <w:rPr>
                <w:rFonts w:eastAsia="Times New Roman" w:cs="Arial"/>
                <w:szCs w:val="24"/>
                <w:lang w:eastAsia="en-GB"/>
              </w:rPr>
            </w:pPr>
            <w:r>
              <w:rPr>
                <w:rFonts w:eastAsia="Times New Roman" w:cs="Arial"/>
                <w:szCs w:val="24"/>
                <w:lang w:eastAsia="en-GB"/>
              </w:rPr>
              <w:t>Provides long-term market depth, strong luxury demand and high service expectations</w:t>
            </w:r>
          </w:p>
        </w:tc>
      </w:tr>
      <w:tr w14:paraId="23484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0B26492">
            <w:pPr>
              <w:spacing w:after="0" w:line="240" w:lineRule="auto"/>
              <w:jc w:val="left"/>
              <w:rPr>
                <w:rFonts w:eastAsia="Times New Roman" w:cs="Arial"/>
                <w:szCs w:val="24"/>
                <w:lang w:eastAsia="en-GB"/>
              </w:rPr>
            </w:pPr>
            <w:r>
              <w:rPr>
                <w:rFonts w:eastAsia="Times New Roman" w:cs="Arial"/>
                <w:szCs w:val="24"/>
                <w:lang w:eastAsia="en-GB"/>
              </w:rPr>
              <w:t>Year founded / entered market</w:t>
            </w:r>
          </w:p>
        </w:tc>
        <w:tc>
          <w:tcPr>
            <w:tcW w:w="0" w:type="auto"/>
          </w:tcPr>
          <w:p w14:paraId="3B96DB35">
            <w:pPr>
              <w:spacing w:after="0" w:line="240" w:lineRule="auto"/>
              <w:jc w:val="center"/>
              <w:rPr>
                <w:rFonts w:eastAsia="Times New Roman" w:cs="Arial"/>
                <w:szCs w:val="24"/>
                <w:lang w:eastAsia="en-GB"/>
              </w:rPr>
            </w:pPr>
            <w:r>
              <w:rPr>
                <w:rFonts w:eastAsia="Times New Roman" w:cs="Arial"/>
                <w:szCs w:val="24"/>
                <w:lang w:eastAsia="en-GB"/>
              </w:rPr>
              <w:t>Louis Vuitton founded in Paris in 1854</w:t>
            </w:r>
          </w:p>
        </w:tc>
        <w:tc>
          <w:tcPr>
            <w:tcW w:w="0" w:type="auto"/>
          </w:tcPr>
          <w:p w14:paraId="179BDCCD">
            <w:pPr>
              <w:spacing w:after="0" w:line="240" w:lineRule="auto"/>
              <w:jc w:val="center"/>
              <w:rPr>
                <w:rFonts w:eastAsia="Times New Roman" w:cs="Arial"/>
                <w:szCs w:val="24"/>
                <w:lang w:eastAsia="en-GB"/>
              </w:rPr>
            </w:pPr>
            <w:r>
              <w:rPr>
                <w:rFonts w:eastAsia="Times New Roman" w:cs="Arial"/>
                <w:szCs w:val="24"/>
                <w:lang w:eastAsia="en-GB"/>
              </w:rPr>
              <w:t>Louis Vuitton entered Japan in 1978</w:t>
            </w:r>
          </w:p>
        </w:tc>
      </w:tr>
      <w:tr w14:paraId="2CBA8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D8EAACE">
            <w:pPr>
              <w:spacing w:after="0" w:line="240" w:lineRule="auto"/>
              <w:jc w:val="left"/>
              <w:rPr>
                <w:rFonts w:eastAsia="Times New Roman" w:cs="Arial"/>
                <w:szCs w:val="24"/>
                <w:lang w:eastAsia="en-GB"/>
              </w:rPr>
            </w:pPr>
            <w:r>
              <w:rPr>
                <w:rFonts w:eastAsia="Times New Roman" w:cs="Arial"/>
                <w:szCs w:val="24"/>
                <w:lang w:eastAsia="en-GB"/>
              </w:rPr>
              <w:t>Brand presence</w:t>
            </w:r>
          </w:p>
        </w:tc>
        <w:tc>
          <w:tcPr>
            <w:tcW w:w="0" w:type="auto"/>
          </w:tcPr>
          <w:p w14:paraId="15E886FC">
            <w:pPr>
              <w:spacing w:after="0" w:line="240" w:lineRule="auto"/>
              <w:jc w:val="center"/>
              <w:rPr>
                <w:rFonts w:eastAsia="Times New Roman" w:cs="Arial"/>
                <w:szCs w:val="24"/>
                <w:lang w:eastAsia="en-GB"/>
              </w:rPr>
            </w:pPr>
            <w:r>
              <w:rPr>
                <w:rFonts w:eastAsia="Times New Roman" w:cs="Arial"/>
                <w:szCs w:val="24"/>
                <w:lang w:eastAsia="en-GB"/>
              </w:rPr>
              <w:t>Core domestic market and symbolic centre of the maison</w:t>
            </w:r>
          </w:p>
        </w:tc>
        <w:tc>
          <w:tcPr>
            <w:tcW w:w="0" w:type="auto"/>
          </w:tcPr>
          <w:p w14:paraId="5F3D9AAE">
            <w:pPr>
              <w:spacing w:after="0" w:line="240" w:lineRule="auto"/>
              <w:jc w:val="center"/>
              <w:rPr>
                <w:rFonts w:eastAsia="Times New Roman" w:cs="Arial"/>
                <w:szCs w:val="24"/>
                <w:lang w:eastAsia="en-GB"/>
              </w:rPr>
            </w:pPr>
            <w:r>
              <w:rPr>
                <w:rFonts w:eastAsia="Times New Roman" w:cs="Arial"/>
                <w:szCs w:val="24"/>
                <w:lang w:eastAsia="en-GB"/>
              </w:rPr>
              <w:t>Extensive established retail network across major cities</w:t>
            </w:r>
          </w:p>
        </w:tc>
      </w:tr>
      <w:tr w14:paraId="7F9DF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7D70C52">
            <w:pPr>
              <w:spacing w:after="0" w:line="240" w:lineRule="auto"/>
              <w:jc w:val="left"/>
              <w:rPr>
                <w:rFonts w:eastAsia="Times New Roman" w:cs="Arial"/>
                <w:szCs w:val="24"/>
                <w:lang w:eastAsia="en-GB"/>
              </w:rPr>
            </w:pPr>
            <w:r>
              <w:rPr>
                <w:rFonts w:eastAsia="Times New Roman" w:cs="Arial"/>
                <w:szCs w:val="24"/>
                <w:lang w:eastAsia="en-GB"/>
              </w:rPr>
              <w:t>Current store/location presence</w:t>
            </w:r>
          </w:p>
        </w:tc>
        <w:tc>
          <w:tcPr>
            <w:tcW w:w="0" w:type="auto"/>
          </w:tcPr>
          <w:p w14:paraId="05C9C4B8">
            <w:pPr>
              <w:spacing w:after="0" w:line="240" w:lineRule="auto"/>
              <w:jc w:val="center"/>
              <w:rPr>
                <w:rFonts w:eastAsia="Times New Roman" w:cs="Arial"/>
                <w:szCs w:val="24"/>
                <w:lang w:eastAsia="en-GB"/>
              </w:rPr>
            </w:pPr>
            <w:r>
              <w:rPr>
                <w:rFonts w:eastAsia="Times New Roman" w:cs="Arial"/>
                <w:szCs w:val="24"/>
                <w:lang w:eastAsia="en-GB"/>
              </w:rPr>
              <w:t>Strong home-market presence</w:t>
            </w:r>
          </w:p>
        </w:tc>
        <w:tc>
          <w:tcPr>
            <w:tcW w:w="0" w:type="auto"/>
          </w:tcPr>
          <w:p w14:paraId="0BCD2911">
            <w:pPr>
              <w:spacing w:after="0" w:line="240" w:lineRule="auto"/>
              <w:jc w:val="center"/>
              <w:rPr>
                <w:rFonts w:eastAsia="Times New Roman" w:cs="Arial"/>
                <w:szCs w:val="24"/>
                <w:lang w:eastAsia="en-GB"/>
              </w:rPr>
            </w:pPr>
            <w:r>
              <w:rPr>
                <w:rFonts w:eastAsia="Times New Roman" w:cs="Arial"/>
                <w:szCs w:val="24"/>
                <w:lang w:eastAsia="en-GB"/>
              </w:rPr>
              <w:t>59 locations listed in Japan</w:t>
            </w:r>
          </w:p>
        </w:tc>
      </w:tr>
      <w:tr w14:paraId="2519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31E4251">
            <w:pPr>
              <w:spacing w:after="0" w:line="240" w:lineRule="auto"/>
              <w:jc w:val="left"/>
              <w:rPr>
                <w:rFonts w:eastAsia="Times New Roman" w:cs="Arial"/>
                <w:szCs w:val="24"/>
                <w:lang w:eastAsia="en-GB"/>
              </w:rPr>
            </w:pPr>
            <w:r>
              <w:rPr>
                <w:rFonts w:eastAsia="Times New Roman" w:cs="Arial"/>
                <w:szCs w:val="24"/>
                <w:lang w:eastAsia="en-GB"/>
              </w:rPr>
              <w:t>Luxury market characteristics</w:t>
            </w:r>
          </w:p>
        </w:tc>
        <w:tc>
          <w:tcPr>
            <w:tcW w:w="0" w:type="auto"/>
          </w:tcPr>
          <w:p w14:paraId="6EFA40A2">
            <w:pPr>
              <w:spacing w:after="0" w:line="240" w:lineRule="auto"/>
              <w:jc w:val="center"/>
              <w:rPr>
                <w:rFonts w:eastAsia="Times New Roman" w:cs="Arial"/>
                <w:szCs w:val="24"/>
                <w:lang w:eastAsia="en-GB"/>
              </w:rPr>
            </w:pPr>
            <w:r>
              <w:rPr>
                <w:rFonts w:eastAsia="Times New Roman" w:cs="Arial"/>
                <w:szCs w:val="24"/>
                <w:lang w:eastAsia="en-GB"/>
              </w:rPr>
              <w:t>Heritage-driven, fashion-centred, origin-based prestige</w:t>
            </w:r>
          </w:p>
        </w:tc>
        <w:tc>
          <w:tcPr>
            <w:tcW w:w="0" w:type="auto"/>
          </w:tcPr>
          <w:p w14:paraId="248078D3">
            <w:pPr>
              <w:spacing w:after="0" w:line="240" w:lineRule="auto"/>
              <w:jc w:val="center"/>
              <w:rPr>
                <w:rFonts w:eastAsia="Times New Roman" w:cs="Arial"/>
                <w:szCs w:val="24"/>
                <w:lang w:eastAsia="en-GB"/>
              </w:rPr>
            </w:pPr>
            <w:r>
              <w:rPr>
                <w:rFonts w:eastAsia="Times New Roman" w:cs="Arial"/>
                <w:szCs w:val="24"/>
                <w:lang w:eastAsia="en-GB"/>
              </w:rPr>
              <w:t>Affluent, fashion conscious, quality sensitive, brand loyal</w:t>
            </w:r>
          </w:p>
        </w:tc>
      </w:tr>
      <w:tr w14:paraId="15B63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D63C61C">
            <w:pPr>
              <w:spacing w:after="0" w:line="240" w:lineRule="auto"/>
              <w:jc w:val="left"/>
              <w:rPr>
                <w:rFonts w:eastAsia="Times New Roman" w:cs="Arial"/>
                <w:szCs w:val="24"/>
                <w:lang w:eastAsia="en-GB"/>
              </w:rPr>
            </w:pPr>
            <w:r>
              <w:rPr>
                <w:rFonts w:eastAsia="Times New Roman" w:cs="Arial"/>
                <w:szCs w:val="24"/>
                <w:lang w:eastAsia="en-GB"/>
              </w:rPr>
              <w:t>Main consumer logic</w:t>
            </w:r>
          </w:p>
        </w:tc>
        <w:tc>
          <w:tcPr>
            <w:tcW w:w="0" w:type="auto"/>
          </w:tcPr>
          <w:p w14:paraId="74367625">
            <w:pPr>
              <w:spacing w:after="0" w:line="240" w:lineRule="auto"/>
              <w:jc w:val="center"/>
              <w:rPr>
                <w:rFonts w:eastAsia="Times New Roman" w:cs="Arial"/>
                <w:szCs w:val="24"/>
                <w:lang w:eastAsia="en-GB"/>
              </w:rPr>
            </w:pPr>
            <w:r>
              <w:rPr>
                <w:rFonts w:eastAsia="Times New Roman" w:cs="Arial"/>
                <w:szCs w:val="24"/>
                <w:lang w:eastAsia="en-GB"/>
              </w:rPr>
              <w:t>Luxury as authenticity, identity and cultural capital</w:t>
            </w:r>
          </w:p>
        </w:tc>
        <w:tc>
          <w:tcPr>
            <w:tcW w:w="0" w:type="auto"/>
          </w:tcPr>
          <w:p w14:paraId="54C7AB45">
            <w:pPr>
              <w:spacing w:after="0" w:line="240" w:lineRule="auto"/>
              <w:jc w:val="center"/>
              <w:rPr>
                <w:rFonts w:eastAsia="Times New Roman" w:cs="Arial"/>
                <w:szCs w:val="24"/>
                <w:lang w:eastAsia="en-GB"/>
              </w:rPr>
            </w:pPr>
            <w:r>
              <w:rPr>
                <w:rFonts w:eastAsia="Times New Roman" w:cs="Arial"/>
                <w:szCs w:val="24"/>
                <w:lang w:eastAsia="en-GB"/>
              </w:rPr>
              <w:t>Luxury as prestige, craftsmanship, trust and long-term symbolic value</w:t>
            </w:r>
          </w:p>
        </w:tc>
      </w:tr>
    </w:tbl>
    <w:p w14:paraId="69238540"/>
    <w:p w14:paraId="3D987CDB">
      <w:r>
        <w:t>This is important since Louis Vuitton competes with the theory of luxury branding, where the symbolic value, scarcity and heritage and selective distribution. Which provides the company with competitive advantage rather than competing in prices from an academic perspective, The brand power of LV lies in preserving value in exclusivity and meaning, but not competing based on price. According to Nagasawa (2009), Louis Vuitton has secured its success through the use of sound and stable marketing principles in practice. Riot, Chamaret and Rigaud (2013) demonstrate that the brand has maintained its prestige by moving beyond the commoditization of the product to create cultural and symbolic value. This makes Louis Vuitton a suitable case for international marketing analysis, in that its success in Japan is not merely a result of selling premium product in a foreign country, but of translating French luxury identity into a host market with its own set of cultural expectations, norms of retailing and consumption meaning.</w:t>
      </w:r>
    </w:p>
    <w:p w14:paraId="3BDA4C03">
      <w:pPr>
        <w:pStyle w:val="2"/>
      </w:pPr>
      <w:bookmarkStart w:id="4" w:name="_Toc225400865"/>
      <w:bookmarkStart w:id="5" w:name="_Toc224134285"/>
      <w:r>
        <w:t>Comparison of the Macroenvironment of France and Japan</w:t>
      </w:r>
      <w:bookmarkEnd w:id="4"/>
      <w:bookmarkEnd w:id="5"/>
    </w:p>
    <w:p w14:paraId="65F21D6E">
      <w:r>
        <w:t>The macroenvironment refers to the large forces outside the firm that constrain or give opportunities to a firm but are far outside the control of management. In international marketing, use of PESTLE is effective since it enables firms to compare national environments in a systematic manner with regard to political, economic, social-cultural, technological, legal and environmental dimensions and to assess the strategic implications for market attractiveness and marketing adaptation, rather than simply describing the conditions for countries (Cateora et. al, 2024).</w:t>
      </w:r>
    </w:p>
    <w:p w14:paraId="11290A48">
      <w:pPr>
        <w:pStyle w:val="3"/>
      </w:pPr>
      <w:bookmarkStart w:id="6" w:name="_Toc224134286"/>
      <w:bookmarkStart w:id="7" w:name="_Toc225400866"/>
      <w:r>
        <w:t>Political</w:t>
      </w:r>
      <w:bookmarkEnd w:id="6"/>
      <w:bookmarkEnd w:id="7"/>
    </w:p>
    <w:p w14:paraId="7AC709EC">
      <w:r>
        <w:t>From a political point of view both France and Japan are broadly favourable for Louis Vuitton because both are established democracies with strong institutions, predictable state structures and established protection of commercial activity. France has a semi-presidential republic while Japan is a constitutional monarchy with a parliamentary constitution (Government of Japan, 2026). For an international luxury brand, this is important because political order is supportive of long-term investment in the development of flagship stores, premium service systems and controlled distribution networks. However, the two markets are not equally attractive. Recent governance indicators show Japan doing better in terms of political stability and quality of regulation, while France is institutionally sound, but has been beset by increasing domestic political fragmentation and policy uncertainty. For Louis Vuitton, France is still politically strategic as it is home country and the symbolic source of the brand's acceptability. Japan is politically more attractive as a host market for consistent operational planning and lower day-to-day policy risk. Therefore, political environment is favourable in both countries however more favourable in Japan from an operational international marketing perspective.</w:t>
      </w:r>
    </w:p>
    <w:p w14:paraId="773BA040">
      <w:r>
        <w:t xml:space="preserve">However, the two countries are not equally appealing from the point of view of political risk. France is currently an institution that is relatively stable, but there is also evidence of an increase in political fragmentation and uncertainty in recent times. France's political uncertainty has led to a decline in business and consumer confidence and a measurable slog on growth, as well as the no-confidence, which has further fuelled perceptions of instability (Reuters, 2025a; Reuters, 2025b). Japan on the contrary is still offering a more predictable policy situation with stable institutions and a lower degree of visible domestic political disruption. This implies that both countries are politically viable markets, however, at this time it can be argued that Japan provides a more consistent environment in which Louis Vuitton, can plan its medium- to long-term. </w:t>
      </w:r>
    </w:p>
    <w:p w14:paraId="11166457">
      <w:pPr>
        <w:rPr>
          <w:highlight w:val="yellow"/>
        </w:rPr>
      </w:pPr>
      <w:r>
        <w:t>The most important aspect is that the issue of political stability does not affect the luxury brand in the same way as it affects the mass-market companies. The competition of Louis Vuitton is not based on convenience or low price; rather, it is based on long brand equity, selective retail environments and discretionary spending based on confidence. Political instability in France is not a direct risk to the sales therefore since the brand equity in the country is too strong but it will also dilute the broader consumer feeling and make the strategic planning more difficult. Premium customer experience, relationship marketing and long-term store investment would be more stable in Japan due to stronger continuity of policy (Slade, 2020). Therefore, the two markets are both politically feasible, but Japan hosts a less risky context.</w:t>
      </w:r>
    </w:p>
    <w:p w14:paraId="769C8D56">
      <w:pPr>
        <w:pStyle w:val="3"/>
      </w:pPr>
      <w:bookmarkStart w:id="8" w:name="_Toc224134287"/>
      <w:bookmarkStart w:id="9" w:name="_Toc225400867"/>
      <w:r>
        <w:t>Economic</w:t>
      </w:r>
      <w:bookmarkEnd w:id="8"/>
      <w:bookmarkEnd w:id="9"/>
    </w:p>
    <w:p w14:paraId="68F4D9AC">
      <w:r>
        <w:t>Both nations are high-income markets economically and thus structurally appealing to Louis Vuitton, but the foundation of such appeal can be varied. In 2025, IMF data indicates that France has a GDP per capita of approximately US 51.7 thousand as compared to US 36.4 thousand in Japan, which implies that France is the wealthier between the two markets. Nevertheless, they are both mature economies with low growth potential, and IMF estimates indicate a real GDP growth of approximately 0.9% in France and 0.6% in Japan. The inflation levels are also fairly moderate in both nations, with France between 1.5 and 2.5 and Japan between 2 and 2.5. The more pronounced difference is found in labour-market conditions. France's unemployment rate is also at a materially higher rate at about 7.3-7.4% (European Union, 2025).Japan has maintained an unemployment rate at or below 3.0% in recent releases from the Organization for Economic Cooperation and Development ((OECD, 2025)). This is an indication that France has greater purchasing power in general, and Japan has more labour market, employment security and possibly more stable premium market. The economic environment is therefore favourable in both countries, but favourable for different reasons (IMF, 2025).</w:t>
      </w:r>
    </w:p>
    <w:p w14:paraId="13EF4931">
      <w:pPr>
        <w:keepNext/>
        <w:jc w:val="center"/>
      </w:pPr>
      <w:r>
        <w:rPr>
          <w:lang w:eastAsia="en-GB"/>
        </w:rPr>
        <w:drawing>
          <wp:inline distT="0" distB="0" distL="0" distR="0">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584700" cy="2755900"/>
                    </a:xfrm>
                    <a:prstGeom prst="rect">
                      <a:avLst/>
                    </a:prstGeom>
                    <a:noFill/>
                  </pic:spPr>
                </pic:pic>
              </a:graphicData>
            </a:graphic>
          </wp:inline>
        </w:drawing>
      </w:r>
    </w:p>
    <w:p w14:paraId="0BF1D423">
      <w:pPr>
        <w:pStyle w:val="7"/>
        <w:jc w:val="center"/>
        <w:rPr>
          <w:sz w:val="22"/>
        </w:rPr>
      </w:pPr>
      <w:r>
        <w:rPr>
          <w:sz w:val="22"/>
        </w:rPr>
        <w:t xml:space="preserve">Figure </w:t>
      </w:r>
      <w:r>
        <w:rPr>
          <w:sz w:val="22"/>
        </w:rPr>
        <w:fldChar w:fldCharType="begin"/>
      </w:r>
      <w:r>
        <w:rPr>
          <w:sz w:val="22"/>
        </w:rPr>
        <w:instrText xml:space="preserve"> SEQ Figure \* ARABIC </w:instrText>
      </w:r>
      <w:r>
        <w:rPr>
          <w:sz w:val="22"/>
        </w:rPr>
        <w:fldChar w:fldCharType="separate"/>
      </w:r>
      <w:r>
        <w:rPr>
          <w:sz w:val="22"/>
        </w:rPr>
        <w:t>2</w:t>
      </w:r>
      <w:r>
        <w:rPr>
          <w:sz w:val="22"/>
        </w:rPr>
        <w:fldChar w:fldCharType="end"/>
      </w:r>
      <w:r>
        <w:rPr>
          <w:sz w:val="22"/>
        </w:rPr>
        <w:t>: Economic comparison of France and Japan (IMF, 2025; OECD, 2025)</w:t>
      </w:r>
    </w:p>
    <w:p w14:paraId="0ADF87F7">
      <w:r>
        <w:t>Luxury purchasing does not only depend on average income but also on confidence, willingness to spend on symbolic goods and stability of rich consumer segments. France is economically favourable due to its high spending power and country of origin prestige due to the French luxury houses. Yet higher unemployment and lower confidence can be a constraint on domestic feeling. Japan by contrast is economically favourable as even under low growth it maintains stable employment, good urban consumption and a mature luxury market (Donzé, 2022). For Louis Vuitton, this means that France is about the brand's symbolic and pricing power, while Japan is about the host market's demand resilience and reduced commercial volatility (Chatterjee, 2020). The two countries should therefore not be considered as economically inter-changeable luxury markets.</w:t>
      </w:r>
    </w:p>
    <w:p w14:paraId="23B9A44C">
      <w:pPr>
        <w:pStyle w:val="3"/>
      </w:pPr>
      <w:bookmarkStart w:id="10" w:name="_Toc225400868"/>
      <w:bookmarkStart w:id="11" w:name="_Toc224134288"/>
      <w:r>
        <w:t>Social and Cultural</w:t>
      </w:r>
      <w:bookmarkEnd w:id="10"/>
      <w:bookmarkEnd w:id="11"/>
    </w:p>
    <w:p w14:paraId="70528F34">
      <w:r>
        <w:t>Perhaps the most relevant aspect in this comparison is the socio-cultural aspect since luxury consumption is highly influenced by values, identity, status, ritual and cultural expectations. The Hofstede model shows distinct differences between France and Japan. The scores indicate that there are certain similarities especially the high uncertainty avoidance and the rather reserved indulgence, but it also indicates significant differences in masculinity and long-term orientation.</w:t>
      </w:r>
    </w:p>
    <w:p w14:paraId="7CBD5740">
      <w:pPr>
        <w:keepNext/>
        <w:jc w:val="center"/>
      </w:pPr>
      <w:r>
        <w:rPr>
          <w:lang w:eastAsia="en-GB"/>
        </w:rPr>
        <w:drawing>
          <wp:inline distT="0" distB="0" distL="0" distR="0">
            <wp:extent cx="5243195" cy="34626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43195" cy="3462655"/>
                    </a:xfrm>
                    <a:prstGeom prst="rect">
                      <a:avLst/>
                    </a:prstGeom>
                    <a:noFill/>
                  </pic:spPr>
                </pic:pic>
              </a:graphicData>
            </a:graphic>
          </wp:inline>
        </w:drawing>
      </w:r>
    </w:p>
    <w:p w14:paraId="32A7F9A5">
      <w:pPr>
        <w:pStyle w:val="7"/>
        <w:jc w:val="center"/>
        <w:rPr>
          <w:sz w:val="22"/>
        </w:rPr>
      </w:pPr>
      <w:r>
        <w:rPr>
          <w:sz w:val="22"/>
        </w:rPr>
        <w:t xml:space="preserve">Figure </w:t>
      </w:r>
      <w:r>
        <w:rPr>
          <w:sz w:val="22"/>
        </w:rPr>
        <w:fldChar w:fldCharType="begin"/>
      </w:r>
      <w:r>
        <w:rPr>
          <w:sz w:val="22"/>
        </w:rPr>
        <w:instrText xml:space="preserve"> SEQ Figure \* ARABIC </w:instrText>
      </w:r>
      <w:r>
        <w:rPr>
          <w:sz w:val="22"/>
        </w:rPr>
        <w:fldChar w:fldCharType="separate"/>
      </w:r>
      <w:r>
        <w:rPr>
          <w:sz w:val="22"/>
        </w:rPr>
        <w:t>3</w:t>
      </w:r>
      <w:r>
        <w:rPr>
          <w:sz w:val="22"/>
        </w:rPr>
        <w:fldChar w:fldCharType="end"/>
      </w:r>
      <w:r>
        <w:rPr>
          <w:sz w:val="22"/>
        </w:rPr>
        <w:t>: Hofstede’s Six Cultural Dimensions: France vs Japan (Hofstede, 2001; The Culture Factor, 2026)</w:t>
      </w:r>
    </w:p>
    <w:p w14:paraId="7DCC7F27">
      <w:r>
        <w:t>These differences have direct implications on Louis Vuitton. France is a high context with regard to individualism, so luxury can be highly used as a source of personal identity, self-expression and symbolic differentiation. It is also an advantage of the brand being rooted in French cultural capital where luxury is not merely imported prestige, but a national heritage. Japan, however, is far more achievement, perfection and long-term-value oriented. The model developed by Hofstede specifically links the high masculinity of Japan with competitions, excellence and perfection in production and presentation of services. That profile is very much in line with the logic of Louis Vuitton's luxury, which relies on craftsmanship, status signalling, perfect execution and long-lasting symbolic value. Thus, Japan seems to be particularly culturally favourable for a brand that communicates prestige through quality, ritual and disciplined service rather than through price or convenience alone (Nagasawa, 2009; Riot, Chamaret and Rigaud, 2013).</w:t>
      </w:r>
    </w:p>
    <w:p w14:paraId="784080E3">
      <w:r>
        <w:t>Academic literature on Louis Vuitton in Japan supports this interpretation. Nagasawa (2009) argues that the strength of the brand lies in the disciplined consistency of the marketing principles, whereas Nachon (2016) and Donzé (2022) demonstrate that Japan has been a strategically significant luxury market because foreign maisons were able to connect with consumer values linked to status, refinement and international prestige. Isozaki and Donzé (2022) further propose that French luxury brands have a well-established history in Japan, where they have been able to control their imagery with a strong symbolic from the start, rather than being commoditised and spread broadly. For Louis Vuitton, this means that the Japanese market is not favourable because it is wealthy, but because its culture supports long-term brand attachment, service expectations and the social legitimacy of established luxury houses.</w:t>
      </w:r>
    </w:p>
    <w:p w14:paraId="1144F752">
      <w:r>
        <w:t>At the same time, culture creates constraints (Chatterjee, 2020). France's somewhat high level of uncertainty avoidance means that even in the home market consumers might prioritize legitimacy and tradition over the excessive experimentation. Japan's even higher uncertainty avoidance induces very high expectations for precision, authenticity, consistency and service detail. Practically, this means that Louis Vuitton cannot function Japan as merely another outlet for French luxury identity (Donzé, 2022). The brand needs to conform to local expectations in terms of presentation, retail discipline and client experience. Therefore, the socio-cultural dimension is favourable in both countries, but favourable for different reasons: France is favourable for heritage, authenticity, self-expressive luxury consumption, while Japan is particularly favourable for perfection-oriented luxury, long-term prestige and exceptional service value alignment.</w:t>
      </w:r>
    </w:p>
    <w:p w14:paraId="25E73EE6">
      <w:pPr>
        <w:pStyle w:val="3"/>
      </w:pPr>
      <w:bookmarkStart w:id="12" w:name="_Toc224134289"/>
      <w:bookmarkStart w:id="13" w:name="_Toc225400869"/>
      <w:r>
        <w:t>Technological</w:t>
      </w:r>
      <w:bookmarkEnd w:id="12"/>
      <w:bookmarkEnd w:id="13"/>
    </w:p>
    <w:p w14:paraId="62295D73">
      <w:r>
        <w:t>Technologically, the markets are both favourable for Louis Vuitton. France and Japan both have a high level of digital infrastructure, high internet penetration and sophisticated payment and logistics ecosystems and, according to the Global Innovation Index 2025, Japan ranks 12th while France is in the 12-14 range, suggesting that both countries enable technologically advanced retail environments (WIPO, 2025). For Louis Vuitton, this is favourable since Omni-channel luxury retail is increasingly reliant on appointment systems, digital storytelling, personalized clientele and seamless online-offline integration. Japan might have a slight edge in terms of precision-oriented service technology, but overall, the technological environment is favourable in both countries.</w:t>
      </w:r>
    </w:p>
    <w:p w14:paraId="4CB1C631">
      <w:pPr>
        <w:pStyle w:val="3"/>
      </w:pPr>
      <w:bookmarkStart w:id="14" w:name="_Toc224134290"/>
      <w:bookmarkStart w:id="15" w:name="_Toc225400870"/>
      <w:r>
        <w:t>Legal</w:t>
      </w:r>
      <w:bookmarkEnd w:id="14"/>
      <w:bookmarkEnd w:id="15"/>
    </w:p>
    <w:p w14:paraId="1093B65F">
      <w:r>
        <w:t>Legally, both countries are also favourable as luxury brands rely heavily on rule of law, trademark protection and ability to control selective distribution. Governance, regulatory quality and rule of law remain crucial indicators of governance that the World Bank monitors with its Worldwide Governance Indicators, and both Japan and France are doing well as rule-based systems (World Bank, 2025). This is particularly critical in the protection of its brands and minimizing chances of counterfeiting to Louis Vuitton. The difference is that France operates in a more compliance-intensive EU regulatory environment while Japan is often viewed as more operationally predictable. Therefore, the legal environment is favourable in both countries but France is a little more regulation-heavy.</w:t>
      </w:r>
    </w:p>
    <w:p w14:paraId="4BC17131">
      <w:pPr>
        <w:pStyle w:val="3"/>
      </w:pPr>
      <w:bookmarkStart w:id="16" w:name="_Toc224134291"/>
      <w:bookmarkStart w:id="17" w:name="_Toc225400871"/>
      <w:r>
        <w:t>Environmental</w:t>
      </w:r>
      <w:bookmarkEnd w:id="16"/>
      <w:bookmarkEnd w:id="17"/>
    </w:p>
    <w:p w14:paraId="07AB66B5">
      <w:r>
        <w:t>Environmentally, both countries generate growing pressure on fashion and luxury brands but France is the stricter policy environment. OECD analysis shows that France is one of very few countries which has a national extended producer responsibility scheme for garments already in operation, whereas Japan has no equivalent national garments EPR scheme and imports most of the garments sold in its market (OECD, 2024). In both nations, environmental demands are important to Louis Vuitton, but the short-term policy pressure is more in France. This, in the short term, is less desirable on a compliance perspective; but in the long-term, perhaps, it would support the luxury logic of durability, repair and product longevity. Thus, environmental aspect is compromised in both nations though it can be handled due to the fact that France is more challenging. And in Japan it is relatively less strict even though it is sensitive to stakeholder demands (Gupta, 2013).</w:t>
      </w:r>
    </w:p>
    <w:p w14:paraId="664A8BB6">
      <w:pPr>
        <w:pStyle w:val="3"/>
      </w:pPr>
      <w:bookmarkStart w:id="18" w:name="_Toc224134292"/>
      <w:bookmarkStart w:id="19" w:name="_Toc225400872"/>
      <w:r>
        <w:t>Similarities and Differences of two countries</w:t>
      </w:r>
      <w:bookmarkEnd w:id="18"/>
      <w:bookmarkEnd w:id="19"/>
    </w:p>
    <w:p w14:paraId="6DFB0012">
      <w:r>
        <w:t>The macroenvironment of both France and Japan is favourable for Louis Vuitton but in different ways. France is most favourable as the source of brand origin, cultural legitimacy and high purchasing power; and Japan is most favorable as a stable, culturally aligned and operationally disciplined host market. Politically and operationally, at the moment Japan provides the more stable environment. Both countries are attractive economically but the logic of demand in the two countries is different. In social, cultural terms, the two markets facilitate luxury consumption, although Japan seems particularly to favor Louis Vuitton in its focus on perfection, prestige and long-term symbolic appreciation. The technological and legal environment is favorable in both nations with the environmental pressure seeming to be stronger in France. Consequently, Louis Vuitton should have a consistent global luxury identity in both markets, but the macroenvironment implies that even its home market legitimacy is anchored in its home country France, while its host market performance can best be enhanced by culturally precise, service-intensive and relationship-oriented execution in Japan.</w:t>
      </w:r>
    </w:p>
    <w:p w14:paraId="5BB39162">
      <w:pPr>
        <w:pStyle w:val="7"/>
        <w:keepNext/>
        <w:rPr>
          <w:sz w:val="22"/>
        </w:rPr>
      </w:pPr>
      <w:r>
        <w:rPr>
          <w:sz w:val="22"/>
        </w:rPr>
        <w:t xml:space="preserve">Table </w:t>
      </w:r>
      <w:r>
        <w:rPr>
          <w:sz w:val="22"/>
        </w:rPr>
        <w:fldChar w:fldCharType="begin"/>
      </w:r>
      <w:r>
        <w:rPr>
          <w:sz w:val="22"/>
        </w:rPr>
        <w:instrText xml:space="preserve"> SEQ Table \* ARABIC </w:instrText>
      </w:r>
      <w:r>
        <w:rPr>
          <w:sz w:val="22"/>
        </w:rPr>
        <w:fldChar w:fldCharType="separate"/>
      </w:r>
      <w:r>
        <w:rPr>
          <w:sz w:val="22"/>
        </w:rPr>
        <w:t>2</w:t>
      </w:r>
      <w:r>
        <w:rPr>
          <w:sz w:val="22"/>
        </w:rPr>
        <w:fldChar w:fldCharType="end"/>
      </w:r>
      <w:r>
        <w:rPr>
          <w:sz w:val="22"/>
        </w:rPr>
        <w:t>: PESTLE Analysis Summary of Luxury Brand of France and Japan</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7"/>
        <w:gridCol w:w="1927"/>
        <w:gridCol w:w="1868"/>
        <w:gridCol w:w="2196"/>
        <w:gridCol w:w="1688"/>
      </w:tblGrid>
      <w:tr w14:paraId="25D96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601EBF8">
            <w:pPr>
              <w:spacing w:after="0" w:line="240" w:lineRule="auto"/>
              <w:jc w:val="center"/>
              <w:rPr>
                <w:rFonts w:eastAsia="Times New Roman" w:cs="Arial"/>
                <w:b/>
                <w:bCs/>
                <w:szCs w:val="24"/>
                <w:lang w:eastAsia="en-GB"/>
              </w:rPr>
            </w:pPr>
            <w:r>
              <w:rPr>
                <w:rFonts w:eastAsia="Times New Roman" w:cs="Arial"/>
                <w:b/>
                <w:bCs/>
                <w:szCs w:val="24"/>
                <w:lang w:eastAsia="en-GB"/>
              </w:rPr>
              <w:t>PESTLE factor</w:t>
            </w:r>
          </w:p>
        </w:tc>
        <w:tc>
          <w:tcPr>
            <w:tcW w:w="0" w:type="auto"/>
          </w:tcPr>
          <w:p w14:paraId="28CB0328">
            <w:pPr>
              <w:spacing w:after="0" w:line="240" w:lineRule="auto"/>
              <w:jc w:val="center"/>
              <w:rPr>
                <w:rFonts w:eastAsia="Times New Roman" w:cs="Arial"/>
                <w:b/>
                <w:bCs/>
                <w:szCs w:val="24"/>
                <w:lang w:eastAsia="en-GB"/>
              </w:rPr>
            </w:pPr>
            <w:r>
              <w:rPr>
                <w:rFonts w:eastAsia="Times New Roman" w:cs="Arial"/>
                <w:b/>
                <w:bCs/>
                <w:szCs w:val="24"/>
                <w:lang w:eastAsia="en-GB"/>
              </w:rPr>
              <w:t>France</w:t>
            </w:r>
          </w:p>
        </w:tc>
        <w:tc>
          <w:tcPr>
            <w:tcW w:w="0" w:type="auto"/>
          </w:tcPr>
          <w:p w14:paraId="2A8246FC">
            <w:pPr>
              <w:spacing w:after="0" w:line="240" w:lineRule="auto"/>
              <w:jc w:val="center"/>
              <w:rPr>
                <w:rFonts w:eastAsia="Times New Roman" w:cs="Arial"/>
                <w:b/>
                <w:bCs/>
                <w:szCs w:val="24"/>
                <w:lang w:eastAsia="en-GB"/>
              </w:rPr>
            </w:pPr>
            <w:r>
              <w:rPr>
                <w:rFonts w:eastAsia="Times New Roman" w:cs="Arial"/>
                <w:b/>
                <w:bCs/>
                <w:szCs w:val="24"/>
                <w:lang w:eastAsia="en-GB"/>
              </w:rPr>
              <w:t>Japan</w:t>
            </w:r>
          </w:p>
        </w:tc>
        <w:tc>
          <w:tcPr>
            <w:tcW w:w="0" w:type="auto"/>
          </w:tcPr>
          <w:p w14:paraId="6865D163">
            <w:pPr>
              <w:spacing w:after="0" w:line="240" w:lineRule="auto"/>
              <w:jc w:val="center"/>
              <w:rPr>
                <w:rFonts w:eastAsia="Times New Roman" w:cs="Arial"/>
                <w:b/>
                <w:bCs/>
                <w:szCs w:val="24"/>
                <w:lang w:eastAsia="en-GB"/>
              </w:rPr>
            </w:pPr>
            <w:r>
              <w:rPr>
                <w:rFonts w:eastAsia="Times New Roman" w:cs="Arial"/>
                <w:b/>
                <w:bCs/>
                <w:szCs w:val="24"/>
                <w:lang w:eastAsia="en-GB"/>
              </w:rPr>
              <w:t>Strategic implication for Louis Vuitton</w:t>
            </w:r>
          </w:p>
        </w:tc>
        <w:tc>
          <w:tcPr>
            <w:tcW w:w="0" w:type="auto"/>
          </w:tcPr>
          <w:p w14:paraId="43F9BCC5">
            <w:pPr>
              <w:spacing w:after="0" w:line="240" w:lineRule="auto"/>
              <w:jc w:val="center"/>
              <w:rPr>
                <w:rFonts w:eastAsia="Times New Roman" w:cs="Arial"/>
                <w:b/>
                <w:bCs/>
                <w:szCs w:val="24"/>
                <w:lang w:eastAsia="en-GB"/>
              </w:rPr>
            </w:pPr>
            <w:r>
              <w:rPr>
                <w:rFonts w:eastAsia="Times New Roman" w:cs="Arial"/>
                <w:b/>
                <w:bCs/>
                <w:szCs w:val="24"/>
                <w:lang w:eastAsia="en-GB"/>
              </w:rPr>
              <w:t>Overall assessment</w:t>
            </w:r>
          </w:p>
        </w:tc>
      </w:tr>
      <w:tr w14:paraId="4EB67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31532C7">
            <w:pPr>
              <w:spacing w:after="0" w:line="240" w:lineRule="auto"/>
              <w:jc w:val="left"/>
              <w:rPr>
                <w:rFonts w:eastAsia="Times New Roman" w:cs="Arial"/>
                <w:b/>
                <w:szCs w:val="24"/>
                <w:lang w:eastAsia="en-GB"/>
              </w:rPr>
            </w:pPr>
            <w:r>
              <w:rPr>
                <w:rFonts w:eastAsia="Times New Roman" w:cs="Arial"/>
                <w:b/>
                <w:szCs w:val="24"/>
                <w:lang w:eastAsia="en-GB"/>
              </w:rPr>
              <w:t>Political</w:t>
            </w:r>
          </w:p>
        </w:tc>
        <w:tc>
          <w:tcPr>
            <w:tcW w:w="0" w:type="auto"/>
          </w:tcPr>
          <w:p w14:paraId="4B069C6C">
            <w:pPr>
              <w:spacing w:after="0" w:line="240" w:lineRule="auto"/>
              <w:jc w:val="center"/>
              <w:rPr>
                <w:rFonts w:eastAsia="Times New Roman" w:cs="Arial"/>
                <w:szCs w:val="24"/>
                <w:lang w:eastAsia="en-GB"/>
              </w:rPr>
            </w:pPr>
            <w:r>
              <w:rPr>
                <w:rFonts w:eastAsia="Times New Roman" w:cs="Arial"/>
                <w:szCs w:val="24"/>
                <w:lang w:eastAsia="en-GB"/>
              </w:rPr>
              <w:t>Strong institutions, but recent political fragmentation and uncertainty</w:t>
            </w:r>
          </w:p>
        </w:tc>
        <w:tc>
          <w:tcPr>
            <w:tcW w:w="0" w:type="auto"/>
          </w:tcPr>
          <w:p w14:paraId="640A0B42">
            <w:pPr>
              <w:spacing w:after="0" w:line="240" w:lineRule="auto"/>
              <w:jc w:val="center"/>
              <w:rPr>
                <w:rFonts w:eastAsia="Times New Roman" w:cs="Arial"/>
                <w:szCs w:val="24"/>
                <w:lang w:eastAsia="en-GB"/>
              </w:rPr>
            </w:pPr>
            <w:r>
              <w:rPr>
                <w:rFonts w:eastAsia="Times New Roman" w:cs="Arial"/>
                <w:szCs w:val="24"/>
                <w:lang w:eastAsia="en-GB"/>
              </w:rPr>
              <w:t>Strong institutions and relatively stable political environment</w:t>
            </w:r>
          </w:p>
        </w:tc>
        <w:tc>
          <w:tcPr>
            <w:tcW w:w="0" w:type="auto"/>
          </w:tcPr>
          <w:p w14:paraId="3DB8A0F2">
            <w:pPr>
              <w:spacing w:after="0" w:line="240" w:lineRule="auto"/>
              <w:jc w:val="center"/>
              <w:rPr>
                <w:rFonts w:eastAsia="Times New Roman" w:cs="Arial"/>
                <w:szCs w:val="24"/>
                <w:lang w:eastAsia="en-GB"/>
              </w:rPr>
            </w:pPr>
            <w:r>
              <w:rPr>
                <w:rFonts w:eastAsia="Times New Roman" w:cs="Arial"/>
                <w:szCs w:val="24"/>
                <w:lang w:eastAsia="en-GB"/>
              </w:rPr>
              <w:t>Both countries support luxury operations, but Japan offers greater predictability for long-term retail and service planning</w:t>
            </w:r>
          </w:p>
        </w:tc>
        <w:tc>
          <w:tcPr>
            <w:tcW w:w="0" w:type="auto"/>
          </w:tcPr>
          <w:p w14:paraId="55C602E2">
            <w:pPr>
              <w:spacing w:after="0" w:line="240" w:lineRule="auto"/>
              <w:jc w:val="center"/>
              <w:rPr>
                <w:rFonts w:eastAsia="Times New Roman" w:cs="Arial"/>
                <w:szCs w:val="24"/>
                <w:lang w:eastAsia="en-GB"/>
              </w:rPr>
            </w:pPr>
            <w:r>
              <w:rPr>
                <w:rFonts w:eastAsia="Times New Roman" w:cs="Arial"/>
                <w:szCs w:val="24"/>
                <w:lang w:eastAsia="en-GB"/>
              </w:rPr>
              <w:t>Both favourable; Japan more favourable</w:t>
            </w:r>
          </w:p>
        </w:tc>
      </w:tr>
      <w:tr w14:paraId="4FB69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0148F0">
            <w:pPr>
              <w:spacing w:after="0" w:line="240" w:lineRule="auto"/>
              <w:jc w:val="left"/>
              <w:rPr>
                <w:rFonts w:eastAsia="Times New Roman" w:cs="Arial"/>
                <w:b/>
                <w:szCs w:val="24"/>
                <w:lang w:eastAsia="en-GB"/>
              </w:rPr>
            </w:pPr>
            <w:r>
              <w:rPr>
                <w:rFonts w:eastAsia="Times New Roman" w:cs="Arial"/>
                <w:b/>
                <w:szCs w:val="24"/>
                <w:lang w:eastAsia="en-GB"/>
              </w:rPr>
              <w:t>Economic</w:t>
            </w:r>
          </w:p>
        </w:tc>
        <w:tc>
          <w:tcPr>
            <w:tcW w:w="0" w:type="auto"/>
          </w:tcPr>
          <w:p w14:paraId="6D60F94E">
            <w:pPr>
              <w:spacing w:after="0" w:line="240" w:lineRule="auto"/>
              <w:jc w:val="center"/>
              <w:rPr>
                <w:rFonts w:eastAsia="Times New Roman" w:cs="Arial"/>
                <w:szCs w:val="24"/>
                <w:lang w:eastAsia="en-GB"/>
              </w:rPr>
            </w:pPr>
            <w:r>
              <w:rPr>
                <w:rFonts w:eastAsia="Times New Roman" w:cs="Arial"/>
                <w:szCs w:val="24"/>
                <w:lang w:eastAsia="en-GB"/>
              </w:rPr>
              <w:t>Higher GDP per capita and strong home-market prestige, but weaker labour-market conditions</w:t>
            </w:r>
          </w:p>
        </w:tc>
        <w:tc>
          <w:tcPr>
            <w:tcW w:w="0" w:type="auto"/>
          </w:tcPr>
          <w:p w14:paraId="352BC189">
            <w:pPr>
              <w:spacing w:after="0" w:line="240" w:lineRule="auto"/>
              <w:jc w:val="center"/>
              <w:rPr>
                <w:rFonts w:eastAsia="Times New Roman" w:cs="Arial"/>
                <w:szCs w:val="24"/>
                <w:lang w:eastAsia="en-GB"/>
              </w:rPr>
            </w:pPr>
            <w:r>
              <w:rPr>
                <w:rFonts w:eastAsia="Times New Roman" w:cs="Arial"/>
                <w:szCs w:val="24"/>
                <w:lang w:eastAsia="en-GB"/>
              </w:rPr>
              <w:t>Lower GDP per capita than France, but stronger employment stability and resilient premium demand</w:t>
            </w:r>
          </w:p>
        </w:tc>
        <w:tc>
          <w:tcPr>
            <w:tcW w:w="0" w:type="auto"/>
          </w:tcPr>
          <w:p w14:paraId="78B10061">
            <w:pPr>
              <w:spacing w:after="0" w:line="240" w:lineRule="auto"/>
              <w:jc w:val="center"/>
              <w:rPr>
                <w:rFonts w:eastAsia="Times New Roman" w:cs="Arial"/>
                <w:szCs w:val="24"/>
                <w:lang w:eastAsia="en-GB"/>
              </w:rPr>
            </w:pPr>
            <w:r>
              <w:rPr>
                <w:rFonts w:eastAsia="Times New Roman" w:cs="Arial"/>
                <w:szCs w:val="24"/>
                <w:lang w:eastAsia="en-GB"/>
              </w:rPr>
              <w:t>France supports symbolic and income-based premium pricing; Japan supports consistent luxury demand and lower commercial volatility</w:t>
            </w:r>
          </w:p>
        </w:tc>
        <w:tc>
          <w:tcPr>
            <w:tcW w:w="0" w:type="auto"/>
          </w:tcPr>
          <w:p w14:paraId="212370FD">
            <w:pPr>
              <w:spacing w:after="0" w:line="240" w:lineRule="auto"/>
              <w:jc w:val="center"/>
              <w:rPr>
                <w:rFonts w:eastAsia="Times New Roman" w:cs="Arial"/>
                <w:szCs w:val="24"/>
                <w:lang w:eastAsia="en-GB"/>
              </w:rPr>
            </w:pPr>
            <w:r>
              <w:rPr>
                <w:rFonts w:eastAsia="Times New Roman" w:cs="Arial"/>
                <w:szCs w:val="24"/>
                <w:lang w:eastAsia="en-GB"/>
              </w:rPr>
              <w:t>Both favourable</w:t>
            </w:r>
          </w:p>
        </w:tc>
      </w:tr>
      <w:tr w14:paraId="4F63F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DAF9A3F">
            <w:pPr>
              <w:spacing w:after="0" w:line="240" w:lineRule="auto"/>
              <w:jc w:val="left"/>
              <w:rPr>
                <w:rFonts w:eastAsia="Times New Roman" w:cs="Arial"/>
                <w:b/>
                <w:szCs w:val="24"/>
                <w:lang w:eastAsia="en-GB"/>
              </w:rPr>
            </w:pPr>
            <w:r>
              <w:rPr>
                <w:rFonts w:eastAsia="Times New Roman" w:cs="Arial"/>
                <w:b/>
                <w:szCs w:val="24"/>
                <w:lang w:eastAsia="en-GB"/>
              </w:rPr>
              <w:t>Social/Cultural</w:t>
            </w:r>
          </w:p>
        </w:tc>
        <w:tc>
          <w:tcPr>
            <w:tcW w:w="0" w:type="auto"/>
          </w:tcPr>
          <w:p w14:paraId="4D781704">
            <w:pPr>
              <w:spacing w:after="0" w:line="240" w:lineRule="auto"/>
              <w:jc w:val="center"/>
              <w:rPr>
                <w:rFonts w:eastAsia="Times New Roman" w:cs="Arial"/>
                <w:szCs w:val="24"/>
                <w:lang w:eastAsia="en-GB"/>
              </w:rPr>
            </w:pPr>
            <w:r>
              <w:rPr>
                <w:rFonts w:eastAsia="Times New Roman" w:cs="Arial"/>
                <w:szCs w:val="24"/>
                <w:lang w:eastAsia="en-GB"/>
              </w:rPr>
              <w:t>Strong heritage, individualism and symbolic self-expression support luxury consumption</w:t>
            </w:r>
          </w:p>
        </w:tc>
        <w:tc>
          <w:tcPr>
            <w:tcW w:w="0" w:type="auto"/>
          </w:tcPr>
          <w:p w14:paraId="256F3ACC">
            <w:pPr>
              <w:spacing w:after="0" w:line="240" w:lineRule="auto"/>
              <w:jc w:val="center"/>
              <w:rPr>
                <w:rFonts w:eastAsia="Times New Roman" w:cs="Arial"/>
                <w:szCs w:val="24"/>
                <w:lang w:eastAsia="en-GB"/>
              </w:rPr>
            </w:pPr>
            <w:r>
              <w:rPr>
                <w:rFonts w:eastAsia="Times New Roman" w:cs="Arial"/>
                <w:szCs w:val="24"/>
                <w:lang w:eastAsia="en-GB"/>
              </w:rPr>
              <w:t>High masculinity, long-term orientation and strong service expectations support durable luxury value</w:t>
            </w:r>
          </w:p>
        </w:tc>
        <w:tc>
          <w:tcPr>
            <w:tcW w:w="0" w:type="auto"/>
          </w:tcPr>
          <w:p w14:paraId="3F641E5A">
            <w:pPr>
              <w:spacing w:after="0" w:line="240" w:lineRule="auto"/>
              <w:jc w:val="center"/>
              <w:rPr>
                <w:rFonts w:eastAsia="Times New Roman" w:cs="Arial"/>
                <w:szCs w:val="24"/>
                <w:lang w:eastAsia="en-GB"/>
              </w:rPr>
            </w:pPr>
            <w:r>
              <w:rPr>
                <w:rFonts w:eastAsia="Times New Roman" w:cs="Arial"/>
                <w:szCs w:val="24"/>
                <w:lang w:eastAsia="en-GB"/>
              </w:rPr>
              <w:t>France strengthens authenticity and cultural legitimacy; Japan strengthens perfection-led luxury consumption and service discipline</w:t>
            </w:r>
          </w:p>
        </w:tc>
        <w:tc>
          <w:tcPr>
            <w:tcW w:w="0" w:type="auto"/>
          </w:tcPr>
          <w:p w14:paraId="1D841C46">
            <w:pPr>
              <w:spacing w:after="0" w:line="240" w:lineRule="auto"/>
              <w:jc w:val="center"/>
              <w:rPr>
                <w:rFonts w:eastAsia="Times New Roman" w:cs="Arial"/>
                <w:szCs w:val="24"/>
                <w:lang w:eastAsia="en-GB"/>
              </w:rPr>
            </w:pPr>
            <w:r>
              <w:rPr>
                <w:rFonts w:eastAsia="Times New Roman" w:cs="Arial"/>
                <w:szCs w:val="24"/>
                <w:lang w:eastAsia="en-GB"/>
              </w:rPr>
              <w:t>Both favourable; Japan especially favourable</w:t>
            </w:r>
          </w:p>
        </w:tc>
      </w:tr>
      <w:tr w14:paraId="46FA6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D0EB8C3">
            <w:pPr>
              <w:spacing w:after="0" w:line="240" w:lineRule="auto"/>
              <w:jc w:val="left"/>
              <w:rPr>
                <w:rFonts w:eastAsia="Times New Roman" w:cs="Arial"/>
                <w:b/>
                <w:szCs w:val="24"/>
                <w:lang w:eastAsia="en-GB"/>
              </w:rPr>
            </w:pPr>
            <w:r>
              <w:rPr>
                <w:rFonts w:eastAsia="Times New Roman" w:cs="Arial"/>
                <w:b/>
                <w:szCs w:val="24"/>
                <w:lang w:eastAsia="en-GB"/>
              </w:rPr>
              <w:t>Technological</w:t>
            </w:r>
          </w:p>
        </w:tc>
        <w:tc>
          <w:tcPr>
            <w:tcW w:w="0" w:type="auto"/>
          </w:tcPr>
          <w:p w14:paraId="66F20132">
            <w:pPr>
              <w:spacing w:after="0" w:line="240" w:lineRule="auto"/>
              <w:jc w:val="center"/>
              <w:rPr>
                <w:rFonts w:eastAsia="Times New Roman" w:cs="Arial"/>
                <w:szCs w:val="24"/>
                <w:lang w:eastAsia="en-GB"/>
              </w:rPr>
            </w:pPr>
            <w:r>
              <w:rPr>
                <w:rFonts w:eastAsia="Times New Roman" w:cs="Arial"/>
                <w:szCs w:val="24"/>
                <w:lang w:eastAsia="en-GB"/>
              </w:rPr>
              <w:t>Advanced digital and retail infrastructure</w:t>
            </w:r>
          </w:p>
        </w:tc>
        <w:tc>
          <w:tcPr>
            <w:tcW w:w="0" w:type="auto"/>
          </w:tcPr>
          <w:p w14:paraId="45330488">
            <w:pPr>
              <w:spacing w:after="0" w:line="240" w:lineRule="auto"/>
              <w:jc w:val="center"/>
              <w:rPr>
                <w:rFonts w:eastAsia="Times New Roman" w:cs="Arial"/>
                <w:szCs w:val="24"/>
                <w:lang w:eastAsia="en-GB"/>
              </w:rPr>
            </w:pPr>
            <w:r>
              <w:rPr>
                <w:rFonts w:eastAsia="Times New Roman" w:cs="Arial"/>
                <w:szCs w:val="24"/>
                <w:lang w:eastAsia="en-GB"/>
              </w:rPr>
              <w:t>Highly advanced innovation and precision-oriented service systems</w:t>
            </w:r>
          </w:p>
        </w:tc>
        <w:tc>
          <w:tcPr>
            <w:tcW w:w="0" w:type="auto"/>
          </w:tcPr>
          <w:p w14:paraId="6B85A261">
            <w:pPr>
              <w:spacing w:after="0" w:line="240" w:lineRule="auto"/>
              <w:jc w:val="center"/>
              <w:rPr>
                <w:rFonts w:eastAsia="Times New Roman" w:cs="Arial"/>
                <w:szCs w:val="24"/>
                <w:lang w:eastAsia="en-GB"/>
              </w:rPr>
            </w:pPr>
            <w:r>
              <w:rPr>
                <w:rFonts w:eastAsia="Times New Roman" w:cs="Arial"/>
                <w:szCs w:val="24"/>
                <w:lang w:eastAsia="en-GB"/>
              </w:rPr>
              <w:t>Both support omnichannel luxury retail, personalised service and digital brand communication</w:t>
            </w:r>
          </w:p>
        </w:tc>
        <w:tc>
          <w:tcPr>
            <w:tcW w:w="0" w:type="auto"/>
          </w:tcPr>
          <w:p w14:paraId="2CB815A4">
            <w:pPr>
              <w:spacing w:after="0" w:line="240" w:lineRule="auto"/>
              <w:jc w:val="center"/>
              <w:rPr>
                <w:rFonts w:eastAsia="Times New Roman" w:cs="Arial"/>
                <w:szCs w:val="24"/>
                <w:lang w:eastAsia="en-GB"/>
              </w:rPr>
            </w:pPr>
            <w:r>
              <w:rPr>
                <w:rFonts w:eastAsia="Times New Roman" w:cs="Arial"/>
                <w:szCs w:val="24"/>
                <w:lang w:eastAsia="en-GB"/>
              </w:rPr>
              <w:t>Both favourable</w:t>
            </w:r>
          </w:p>
        </w:tc>
      </w:tr>
      <w:tr w14:paraId="7119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19F58B3">
            <w:pPr>
              <w:spacing w:after="0" w:line="240" w:lineRule="auto"/>
              <w:jc w:val="left"/>
              <w:rPr>
                <w:rFonts w:eastAsia="Times New Roman" w:cs="Arial"/>
                <w:b/>
                <w:szCs w:val="24"/>
                <w:lang w:eastAsia="en-GB"/>
              </w:rPr>
            </w:pPr>
            <w:r>
              <w:rPr>
                <w:rFonts w:eastAsia="Times New Roman" w:cs="Arial"/>
                <w:b/>
                <w:szCs w:val="24"/>
                <w:lang w:eastAsia="en-GB"/>
              </w:rPr>
              <w:t>Legal</w:t>
            </w:r>
          </w:p>
        </w:tc>
        <w:tc>
          <w:tcPr>
            <w:tcW w:w="0" w:type="auto"/>
          </w:tcPr>
          <w:p w14:paraId="37C40599">
            <w:pPr>
              <w:spacing w:after="0" w:line="240" w:lineRule="auto"/>
              <w:jc w:val="center"/>
              <w:rPr>
                <w:rFonts w:eastAsia="Times New Roman" w:cs="Arial"/>
                <w:szCs w:val="24"/>
                <w:lang w:eastAsia="en-GB"/>
              </w:rPr>
            </w:pPr>
            <w:r>
              <w:rPr>
                <w:rFonts w:eastAsia="Times New Roman" w:cs="Arial"/>
                <w:szCs w:val="24"/>
                <w:lang w:eastAsia="en-GB"/>
              </w:rPr>
              <w:t>Strong legal system and EU-level protection, but more compliance-heavy</w:t>
            </w:r>
          </w:p>
        </w:tc>
        <w:tc>
          <w:tcPr>
            <w:tcW w:w="0" w:type="auto"/>
          </w:tcPr>
          <w:p w14:paraId="23E7129F">
            <w:pPr>
              <w:spacing w:after="0" w:line="240" w:lineRule="auto"/>
              <w:jc w:val="center"/>
              <w:rPr>
                <w:rFonts w:eastAsia="Times New Roman" w:cs="Arial"/>
                <w:szCs w:val="24"/>
                <w:lang w:eastAsia="en-GB"/>
              </w:rPr>
            </w:pPr>
            <w:r>
              <w:rPr>
                <w:rFonts w:eastAsia="Times New Roman" w:cs="Arial"/>
                <w:szCs w:val="24"/>
                <w:lang w:eastAsia="en-GB"/>
              </w:rPr>
              <w:t>Strong rule of law and predictable business environment</w:t>
            </w:r>
          </w:p>
        </w:tc>
        <w:tc>
          <w:tcPr>
            <w:tcW w:w="0" w:type="auto"/>
          </w:tcPr>
          <w:p w14:paraId="36779875">
            <w:pPr>
              <w:spacing w:after="0" w:line="240" w:lineRule="auto"/>
              <w:jc w:val="center"/>
              <w:rPr>
                <w:rFonts w:eastAsia="Times New Roman" w:cs="Arial"/>
                <w:szCs w:val="24"/>
                <w:lang w:eastAsia="en-GB"/>
              </w:rPr>
            </w:pPr>
            <w:r>
              <w:rPr>
                <w:rFonts w:eastAsia="Times New Roman" w:cs="Arial"/>
                <w:szCs w:val="24"/>
                <w:lang w:eastAsia="en-GB"/>
              </w:rPr>
              <w:t>Both support trademark protection and selective distribution, though France is more regulation-intensive</w:t>
            </w:r>
          </w:p>
        </w:tc>
        <w:tc>
          <w:tcPr>
            <w:tcW w:w="0" w:type="auto"/>
          </w:tcPr>
          <w:p w14:paraId="318D5A0A">
            <w:pPr>
              <w:spacing w:after="0" w:line="240" w:lineRule="auto"/>
              <w:jc w:val="center"/>
              <w:rPr>
                <w:rFonts w:eastAsia="Times New Roman" w:cs="Arial"/>
                <w:szCs w:val="24"/>
                <w:lang w:eastAsia="en-GB"/>
              </w:rPr>
            </w:pPr>
            <w:r>
              <w:rPr>
                <w:rFonts w:eastAsia="Times New Roman" w:cs="Arial"/>
                <w:szCs w:val="24"/>
                <w:lang w:eastAsia="en-GB"/>
              </w:rPr>
              <w:t>Both favourable</w:t>
            </w:r>
          </w:p>
        </w:tc>
      </w:tr>
      <w:tr w14:paraId="77614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DFF6DDB">
            <w:pPr>
              <w:spacing w:after="0" w:line="240" w:lineRule="auto"/>
              <w:jc w:val="left"/>
              <w:rPr>
                <w:rFonts w:eastAsia="Times New Roman" w:cs="Arial"/>
                <w:b/>
                <w:szCs w:val="24"/>
                <w:lang w:eastAsia="en-GB"/>
              </w:rPr>
            </w:pPr>
            <w:r>
              <w:rPr>
                <w:rFonts w:eastAsia="Times New Roman" w:cs="Arial"/>
                <w:b/>
                <w:szCs w:val="24"/>
                <w:lang w:eastAsia="en-GB"/>
              </w:rPr>
              <w:t>Environmental</w:t>
            </w:r>
          </w:p>
        </w:tc>
        <w:tc>
          <w:tcPr>
            <w:tcW w:w="0" w:type="auto"/>
          </w:tcPr>
          <w:p w14:paraId="4E0FA70F">
            <w:pPr>
              <w:spacing w:after="0" w:line="240" w:lineRule="auto"/>
              <w:jc w:val="center"/>
              <w:rPr>
                <w:rFonts w:eastAsia="Times New Roman" w:cs="Arial"/>
                <w:szCs w:val="24"/>
                <w:lang w:eastAsia="en-GB"/>
              </w:rPr>
            </w:pPr>
            <w:r>
              <w:rPr>
                <w:rFonts w:eastAsia="Times New Roman" w:cs="Arial"/>
                <w:szCs w:val="24"/>
                <w:lang w:eastAsia="en-GB"/>
              </w:rPr>
              <w:t>Stronger sustainability and circularity pressure, including garment policy development</w:t>
            </w:r>
          </w:p>
        </w:tc>
        <w:tc>
          <w:tcPr>
            <w:tcW w:w="0" w:type="auto"/>
          </w:tcPr>
          <w:p w14:paraId="1FE97963">
            <w:pPr>
              <w:spacing w:after="0" w:line="240" w:lineRule="auto"/>
              <w:jc w:val="center"/>
              <w:rPr>
                <w:rFonts w:eastAsia="Times New Roman" w:cs="Arial"/>
                <w:szCs w:val="24"/>
                <w:lang w:eastAsia="en-GB"/>
              </w:rPr>
            </w:pPr>
            <w:r>
              <w:rPr>
                <w:rFonts w:eastAsia="Times New Roman" w:cs="Arial"/>
                <w:szCs w:val="24"/>
                <w:lang w:eastAsia="en-GB"/>
              </w:rPr>
              <w:t>Less policy-intensive than France, but still high consumer expectations for quality and responsibility</w:t>
            </w:r>
          </w:p>
        </w:tc>
        <w:tc>
          <w:tcPr>
            <w:tcW w:w="0" w:type="auto"/>
          </w:tcPr>
          <w:p w14:paraId="79715131">
            <w:pPr>
              <w:spacing w:after="0" w:line="240" w:lineRule="auto"/>
              <w:jc w:val="center"/>
              <w:rPr>
                <w:rFonts w:eastAsia="Times New Roman" w:cs="Arial"/>
                <w:szCs w:val="24"/>
                <w:lang w:eastAsia="en-GB"/>
              </w:rPr>
            </w:pPr>
            <w:r>
              <w:rPr>
                <w:rFonts w:eastAsia="Times New Roman" w:cs="Arial"/>
                <w:szCs w:val="24"/>
                <w:lang w:eastAsia="en-GB"/>
              </w:rPr>
              <w:t>France creates higher compliance pressure; Japan is less demanding regulatory but still relevant reputationally</w:t>
            </w:r>
          </w:p>
        </w:tc>
        <w:tc>
          <w:tcPr>
            <w:tcW w:w="0" w:type="auto"/>
          </w:tcPr>
          <w:p w14:paraId="489ABCEE">
            <w:pPr>
              <w:spacing w:after="0" w:line="240" w:lineRule="auto"/>
              <w:jc w:val="center"/>
              <w:rPr>
                <w:rFonts w:eastAsia="Times New Roman" w:cs="Arial"/>
                <w:szCs w:val="24"/>
                <w:lang w:eastAsia="en-GB"/>
              </w:rPr>
            </w:pPr>
            <w:r>
              <w:rPr>
                <w:rFonts w:eastAsia="Times New Roman" w:cs="Arial"/>
                <w:szCs w:val="24"/>
                <w:lang w:eastAsia="en-GB"/>
              </w:rPr>
              <w:t>Mixed but manageable in both</w:t>
            </w:r>
          </w:p>
        </w:tc>
      </w:tr>
    </w:tbl>
    <w:p w14:paraId="5302B03E"/>
    <w:p w14:paraId="6F186128">
      <w:pPr>
        <w:pStyle w:val="2"/>
      </w:pPr>
      <w:bookmarkStart w:id="20" w:name="_Toc224134293"/>
      <w:bookmarkStart w:id="21" w:name="_Toc225400873"/>
      <w:r>
        <w:t>STP Comparison of Louis Vuitton in France and Japan</w:t>
      </w:r>
      <w:bookmarkEnd w:id="20"/>
      <w:bookmarkEnd w:id="21"/>
    </w:p>
    <w:p w14:paraId="2C1E8C1D">
      <w:pPr>
        <w:pStyle w:val="3"/>
      </w:pPr>
      <w:bookmarkStart w:id="22" w:name="_Toc224134294"/>
      <w:bookmarkStart w:id="23" w:name="_Toc225400874"/>
      <w:r>
        <w:t>Segmentation</w:t>
      </w:r>
      <w:bookmarkEnd w:id="22"/>
      <w:bookmarkEnd w:id="23"/>
    </w:p>
    <w:p w14:paraId="6C387AC0">
      <w:r>
        <w:t>Louis Vuitton doesn't target its market in broad, mass market terms, but instead uses demographic, psychographic and behavioural variables to segment its market. Demographically, the brand appeals to high-income consumers, affluent professionals, luxury tourists and aspirant upper middle class buyers. Psychographically, it appeals to consumers who value prestige, exclusivity, heritage and symbolic consumption. Louis Vuitton, behaviorally, focuses on consumers who are highly brand conscious, quality sensitive, and will give a high price in order to gain authenticity and status (Kotler and Keller, 2016). Nevertheless these segments vary in content in France and Japan. The country-of-origin association in France also works to the advantage of Louis Vuitton, since local consumers can perceive the company not just as an expensive good, but as a cultural aspect of the French online identity and fashion culture. In Japan, segmentation is most applicable as most consumers appreciate quality workmanship, delicate presentation and the social significance on internationally recognised luxury brands. Japanese market is particularly relevant to consumers whose choice to purchase is influenced by prestige, quality assurance and symbolic longevity (Nagasawa, 2009; Donzé, 2022).</w:t>
      </w:r>
    </w:p>
    <w:p w14:paraId="33E6E951">
      <w:pPr>
        <w:pStyle w:val="3"/>
      </w:pPr>
      <w:bookmarkStart w:id="24" w:name="_Toc225400875"/>
      <w:bookmarkStart w:id="25" w:name="_Toc224134295"/>
      <w:r>
        <w:t>Targeting</w:t>
      </w:r>
      <w:bookmarkEnd w:id="24"/>
      <w:bookmarkEnd w:id="25"/>
    </w:p>
    <w:p w14:paraId="11EC5A86">
      <w:r>
        <w:t>Louis Vuitton employs a selective targeting strategy in both countries that is in accordance with luxury marketing logic. Rather than appealing to the whole fashion market, the brand is focused on consumer groups with high purchasing power and strong appreciation for exclusivity, symbolic meaning and superior service. In France, the brand offers itself to wealthy domestic consumers, fashion-conscious professionals and foreign tourists who want to feel the genuine luxury of France. This is beneficial as the home market enables Louis Vuitton to take advantage of cultural legitimacy and heritage as part of its targeting strategy. In Japan, the target market consists of well-to-do urban consumers, status-conscious professionals, repeat luxury buyers and customers who value internationally established brands with proven prestige. Japanese luxury consumers are particularly important as they are often characterised by high standards for service, presentation and product credibility which fits Louis Vuitton's premium value proposition well (Nachon, 2016; Isozaki and Donzé, 2022). Therefore, the targeting of the brand is still selective in both countries, but in Japan the focus is placed more strongly on disciplined luxury consumption and trust in established foreign brands.</w:t>
      </w:r>
    </w:p>
    <w:p w14:paraId="39D8024E">
      <w:pPr>
        <w:pStyle w:val="3"/>
      </w:pPr>
      <w:bookmarkStart w:id="26" w:name="_Toc224134296"/>
      <w:bookmarkStart w:id="27" w:name="_Toc225400876"/>
      <w:r>
        <w:t>Positioning</w:t>
      </w:r>
      <w:bookmarkEnd w:id="26"/>
      <w:bookmarkEnd w:id="27"/>
    </w:p>
    <w:p w14:paraId="4430709F">
      <w:r>
        <w:t>Louis Vuitton's positioning in both France and Japan is clearly premium, exclusive and heritage-based, centered on craftsmanship, scarcity, symbolic value and prestige. This reflects the general principle that luxury brands compete by the controlled desirability rather than accessibility or price competition (Kapferer and Bastien, 2012). Nevertheless, there is a differences are also observed in the positioning emphasis in the two countries. In France, Louis Vuitton is placed as a true French maison, which authenticity derives from origin, history and national cultural capital. In Japan, the same brand is mainly positioned as an internationally prestigious luxury house with associations of perfection, refinement and everlasting status. This difference is significant as it demonstrates that Louis Vuitton does not operate a totally standardized positioning strategy (Masè and Cedrola, 2017). Instead, it keeps a globally constant luxury identity, playing with the emphasis of that luxury identity to local market expectations. In France, the strength of the brand comes from heritage and authenticity; in Japan, more from prestige, flawless execution and long-term symbolic value. This mix of consistency and selective adaptation is in part why Louis Vuitton has been able to maintain high levels of brand equity in its home country as well as a particularly rigorous host market (Riot, Chamaret and Rigaud, 2013).</w:t>
      </w:r>
    </w:p>
    <w:p w14:paraId="517C1439">
      <w:pPr>
        <w:spacing w:after="0"/>
        <w:jc w:val="center"/>
        <w:rPr>
          <w:rFonts w:cs="Arial"/>
        </w:rPr>
      </w:pPr>
      <w:r>
        <w:rPr>
          <w:rFonts w:cs="Arial"/>
          <w:lang w:eastAsia="en-GB"/>
        </w:rPr>
        <w:drawing>
          <wp:inline distT="0" distB="0" distL="0" distR="0">
            <wp:extent cx="3763645" cy="3061970"/>
            <wp:effectExtent l="0" t="0" r="8255"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1">
                      <a:extLst>
                        <a:ext uri="{28A0092B-C50C-407E-A947-70E740481C1C}">
                          <a14:useLocalDpi xmlns:a14="http://schemas.microsoft.com/office/drawing/2010/main" val="0"/>
                        </a:ext>
                      </a:extLst>
                    </a:blip>
                    <a:srcRect t="18268" b="12896"/>
                    <a:stretch>
                      <a:fillRect/>
                    </a:stretch>
                  </pic:blipFill>
                  <pic:spPr>
                    <a:xfrm>
                      <a:off x="0" y="0"/>
                      <a:ext cx="3763926" cy="3062467"/>
                    </a:xfrm>
                    <a:prstGeom prst="rect">
                      <a:avLst/>
                    </a:prstGeom>
                    <a:noFill/>
                    <a:ln>
                      <a:noFill/>
                    </a:ln>
                  </pic:spPr>
                </pic:pic>
              </a:graphicData>
            </a:graphic>
          </wp:inline>
        </w:drawing>
      </w:r>
    </w:p>
    <w:p w14:paraId="4A5D04DB">
      <w:r>
        <w:rPr>
          <w:lang w:eastAsia="en-GB"/>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297180</wp:posOffset>
                </wp:positionV>
                <wp:extent cx="603885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038850" cy="635"/>
                        </a:xfrm>
                        <a:prstGeom prst="rect">
                          <a:avLst/>
                        </a:prstGeom>
                        <a:solidFill>
                          <a:prstClr val="white"/>
                        </a:solidFill>
                        <a:ln>
                          <a:noFill/>
                        </a:ln>
                        <a:effectLst/>
                      </wps:spPr>
                      <wps:txbx>
                        <w:txbxContent>
                          <w:p w14:paraId="59B6FC2A">
                            <w:pPr>
                              <w:pStyle w:val="7"/>
                              <w:jc w:val="center"/>
                              <w:rPr>
                                <w:rFonts w:cs="Arial"/>
                                <w:sz w:val="36"/>
                              </w:rPr>
                            </w:pPr>
                            <w:r>
                              <w:rPr>
                                <w:sz w:val="24"/>
                              </w:rPr>
                              <w:t xml:space="preserve">Figure </w:t>
                            </w:r>
                            <w:r>
                              <w:rPr>
                                <w:sz w:val="24"/>
                              </w:rPr>
                              <w:fldChar w:fldCharType="begin"/>
                            </w:r>
                            <w:r>
                              <w:rPr>
                                <w:sz w:val="24"/>
                              </w:rPr>
                              <w:instrText xml:space="preserve"> SEQ Figure \* ARABIC </w:instrText>
                            </w:r>
                            <w:r>
                              <w:rPr>
                                <w:sz w:val="24"/>
                              </w:rPr>
                              <w:fldChar w:fldCharType="separate"/>
                            </w:r>
                            <w:r>
                              <w:rPr>
                                <w:sz w:val="24"/>
                              </w:rPr>
                              <w:t>4</w:t>
                            </w:r>
                            <w:r>
                              <w:rPr>
                                <w:sz w:val="24"/>
                              </w:rPr>
                              <w:fldChar w:fldCharType="end"/>
                            </w:r>
                            <w:r>
                              <w:rPr>
                                <w:sz w:val="24"/>
                              </w:rPr>
                              <w:t>: Perceptual Positioning Map of Selected Luxury Fashion Brands (Source: Self-generated based on Kapferer and Bastien (2012), Riot, Chamaret and Rigaud (2013), Masè and Cedrola (2017))</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23.4pt;height:0.05pt;width:475.5pt;mso-position-horizontal:left;mso-position-horizontal-relative:margin;mso-wrap-distance-bottom:0pt;mso-wrap-distance-left:9pt;mso-wrap-distance-right:9pt;mso-wrap-distance-top:0pt;z-index:251659264;mso-width-relative:page;mso-height-relative:page;" fillcolor="#FFFFFF" filled="t" stroked="f" coordsize="21600,21600" o:gfxdata="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RNyX1NYAAAAGAQAADwAAAAAAAAABACAAAAAiAAAAZHJzL2Rvd25yZXYueG1sUEsBAhQA&#10;FAAAAAgAh07iQJvNha8tAgAAfwQAAA4AAAAAAAAAAQAgAAAAJQEAAGRycy9lMm9Eb2MueG1sUEsF&#10;BgAAAAAGAAYAWQEAAMQFAAAAAA==&#10;">
                <v:fill on="t" focussize="0,0"/>
                <v:stroke on="f"/>
                <v:imagedata o:title=""/>
                <o:lock v:ext="edit" aspectratio="f"/>
                <v:textbox inset="0mm,0mm,0mm,0mm" style="mso-fit-shape-to-text:t;">
                  <w:txbxContent>
                    <w:p w14:paraId="59B6FC2A">
                      <w:pPr>
                        <w:pStyle w:val="7"/>
                        <w:jc w:val="center"/>
                        <w:rPr>
                          <w:rFonts w:cs="Arial"/>
                          <w:sz w:val="36"/>
                        </w:rPr>
                      </w:pPr>
                      <w:r>
                        <w:rPr>
                          <w:sz w:val="24"/>
                        </w:rPr>
                        <w:t xml:space="preserve">Figure </w:t>
                      </w:r>
                      <w:r>
                        <w:rPr>
                          <w:sz w:val="24"/>
                        </w:rPr>
                        <w:fldChar w:fldCharType="begin"/>
                      </w:r>
                      <w:r>
                        <w:rPr>
                          <w:sz w:val="24"/>
                        </w:rPr>
                        <w:instrText xml:space="preserve"> SEQ Figure \* ARABIC </w:instrText>
                      </w:r>
                      <w:r>
                        <w:rPr>
                          <w:sz w:val="24"/>
                        </w:rPr>
                        <w:fldChar w:fldCharType="separate"/>
                      </w:r>
                      <w:r>
                        <w:rPr>
                          <w:sz w:val="24"/>
                        </w:rPr>
                        <w:t>4</w:t>
                      </w:r>
                      <w:r>
                        <w:rPr>
                          <w:sz w:val="24"/>
                        </w:rPr>
                        <w:fldChar w:fldCharType="end"/>
                      </w:r>
                      <w:r>
                        <w:rPr>
                          <w:sz w:val="24"/>
                        </w:rPr>
                        <w:t>: Perceptual Positioning Map of Selected Luxury Fashion Brands (Source: Self-generated based on Kapferer and Bastien (2012), Riot, Chamaret and Rigaud (2013), Masè and Cedrola (2017))</w:t>
                      </w:r>
                    </w:p>
                  </w:txbxContent>
                </v:textbox>
                <w10:wrap type="square"/>
              </v:shape>
            </w:pict>
          </mc:Fallback>
        </mc:AlternateContent>
      </w:r>
    </w:p>
    <w:p w14:paraId="6B2EECA2">
      <w:pPr>
        <w:pStyle w:val="7"/>
        <w:keepNext/>
        <w:rPr>
          <w:sz w:val="22"/>
        </w:rPr>
      </w:pPr>
      <w:r>
        <w:rPr>
          <w:sz w:val="22"/>
        </w:rPr>
        <w:t xml:space="preserve">Table </w:t>
      </w:r>
      <w:r>
        <w:rPr>
          <w:sz w:val="22"/>
        </w:rPr>
        <w:fldChar w:fldCharType="begin"/>
      </w:r>
      <w:r>
        <w:rPr>
          <w:sz w:val="22"/>
        </w:rPr>
        <w:instrText xml:space="preserve"> SEQ Table \* ARABIC </w:instrText>
      </w:r>
      <w:r>
        <w:rPr>
          <w:sz w:val="22"/>
        </w:rPr>
        <w:fldChar w:fldCharType="separate"/>
      </w:r>
      <w:r>
        <w:rPr>
          <w:sz w:val="22"/>
        </w:rPr>
        <w:t>3</w:t>
      </w:r>
      <w:r>
        <w:rPr>
          <w:sz w:val="22"/>
        </w:rPr>
        <w:fldChar w:fldCharType="end"/>
      </w:r>
      <w:r>
        <w:rPr>
          <w:sz w:val="22"/>
        </w:rPr>
        <w:t>: STP Summary of Louis Vuitton in France and Japan</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9"/>
        <w:gridCol w:w="1878"/>
        <w:gridCol w:w="2275"/>
        <w:gridCol w:w="1950"/>
        <w:gridCol w:w="1974"/>
      </w:tblGrid>
      <w:tr w14:paraId="36DE0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42CDDBF">
            <w:pPr>
              <w:spacing w:after="0" w:line="240" w:lineRule="auto"/>
              <w:jc w:val="center"/>
              <w:rPr>
                <w:rFonts w:eastAsia="Times New Roman" w:cs="Arial"/>
                <w:b/>
                <w:bCs/>
                <w:szCs w:val="24"/>
                <w:lang w:eastAsia="en-GB"/>
              </w:rPr>
            </w:pPr>
            <w:r>
              <w:rPr>
                <w:rFonts w:eastAsia="Times New Roman" w:cs="Arial"/>
                <w:b/>
                <w:bCs/>
                <w:szCs w:val="24"/>
                <w:lang w:eastAsia="en-GB"/>
              </w:rPr>
              <w:t>Element</w:t>
            </w:r>
          </w:p>
        </w:tc>
        <w:tc>
          <w:tcPr>
            <w:tcW w:w="0" w:type="auto"/>
          </w:tcPr>
          <w:p w14:paraId="5D0B6024">
            <w:pPr>
              <w:spacing w:after="0" w:line="240" w:lineRule="auto"/>
              <w:jc w:val="center"/>
              <w:rPr>
                <w:rFonts w:eastAsia="Times New Roman" w:cs="Arial"/>
                <w:b/>
                <w:bCs/>
                <w:szCs w:val="24"/>
                <w:lang w:eastAsia="en-GB"/>
              </w:rPr>
            </w:pPr>
            <w:r>
              <w:rPr>
                <w:rFonts w:eastAsia="Times New Roman" w:cs="Arial"/>
                <w:b/>
                <w:bCs/>
                <w:szCs w:val="24"/>
                <w:lang w:eastAsia="en-GB"/>
              </w:rPr>
              <w:t>France</w:t>
            </w:r>
          </w:p>
        </w:tc>
        <w:tc>
          <w:tcPr>
            <w:tcW w:w="0" w:type="auto"/>
          </w:tcPr>
          <w:p w14:paraId="38347E09">
            <w:pPr>
              <w:spacing w:after="0" w:line="240" w:lineRule="auto"/>
              <w:jc w:val="center"/>
              <w:rPr>
                <w:rFonts w:eastAsia="Times New Roman" w:cs="Arial"/>
                <w:b/>
                <w:bCs/>
                <w:szCs w:val="24"/>
                <w:lang w:eastAsia="en-GB"/>
              </w:rPr>
            </w:pPr>
            <w:r>
              <w:rPr>
                <w:rFonts w:eastAsia="Times New Roman" w:cs="Arial"/>
                <w:b/>
                <w:bCs/>
                <w:szCs w:val="24"/>
                <w:lang w:eastAsia="en-GB"/>
              </w:rPr>
              <w:t>Japan</w:t>
            </w:r>
          </w:p>
        </w:tc>
        <w:tc>
          <w:tcPr>
            <w:tcW w:w="0" w:type="auto"/>
          </w:tcPr>
          <w:p w14:paraId="0AF7CACF">
            <w:pPr>
              <w:spacing w:after="0" w:line="240" w:lineRule="auto"/>
              <w:jc w:val="center"/>
              <w:rPr>
                <w:rFonts w:eastAsia="Times New Roman" w:cs="Arial"/>
                <w:b/>
                <w:bCs/>
                <w:szCs w:val="24"/>
                <w:lang w:eastAsia="en-GB"/>
              </w:rPr>
            </w:pPr>
            <w:r>
              <w:rPr>
                <w:rFonts w:eastAsia="Times New Roman" w:cs="Arial"/>
                <w:b/>
                <w:bCs/>
                <w:szCs w:val="24"/>
                <w:lang w:eastAsia="en-GB"/>
              </w:rPr>
              <w:t>Standardised or adapted</w:t>
            </w:r>
          </w:p>
        </w:tc>
        <w:tc>
          <w:tcPr>
            <w:tcW w:w="0" w:type="auto"/>
          </w:tcPr>
          <w:p w14:paraId="1EA74344">
            <w:pPr>
              <w:spacing w:after="0" w:line="240" w:lineRule="auto"/>
              <w:jc w:val="center"/>
              <w:rPr>
                <w:rFonts w:eastAsia="Times New Roman" w:cs="Arial"/>
                <w:b/>
                <w:bCs/>
                <w:szCs w:val="24"/>
                <w:lang w:eastAsia="en-GB"/>
              </w:rPr>
            </w:pPr>
            <w:r>
              <w:rPr>
                <w:rFonts w:eastAsia="Times New Roman" w:cs="Arial"/>
                <w:b/>
                <w:bCs/>
                <w:szCs w:val="24"/>
                <w:lang w:eastAsia="en-GB"/>
              </w:rPr>
              <w:t>Strategic implication</w:t>
            </w:r>
          </w:p>
        </w:tc>
      </w:tr>
      <w:tr w14:paraId="551B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67BB8C1">
            <w:pPr>
              <w:spacing w:after="0" w:line="240" w:lineRule="auto"/>
              <w:jc w:val="left"/>
              <w:rPr>
                <w:rFonts w:eastAsia="Times New Roman" w:cs="Arial"/>
                <w:szCs w:val="24"/>
                <w:lang w:eastAsia="en-GB"/>
              </w:rPr>
            </w:pPr>
            <w:r>
              <w:rPr>
                <w:rFonts w:eastAsia="Times New Roman" w:cs="Arial"/>
                <w:szCs w:val="24"/>
                <w:lang w:eastAsia="en-GB"/>
              </w:rPr>
              <w:t>Product</w:t>
            </w:r>
          </w:p>
        </w:tc>
        <w:tc>
          <w:tcPr>
            <w:tcW w:w="0" w:type="auto"/>
          </w:tcPr>
          <w:p w14:paraId="1ADC2E4E">
            <w:pPr>
              <w:spacing w:after="0" w:line="240" w:lineRule="auto"/>
              <w:jc w:val="center"/>
              <w:rPr>
                <w:rFonts w:eastAsia="Times New Roman" w:cs="Arial"/>
                <w:szCs w:val="24"/>
                <w:lang w:eastAsia="en-GB"/>
              </w:rPr>
            </w:pPr>
            <w:r>
              <w:rPr>
                <w:rFonts w:eastAsia="Times New Roman" w:cs="Arial"/>
                <w:szCs w:val="24"/>
                <w:lang w:eastAsia="en-GB"/>
              </w:rPr>
              <w:t>Strongly linked to origin, heritage and Parisian identity</w:t>
            </w:r>
          </w:p>
        </w:tc>
        <w:tc>
          <w:tcPr>
            <w:tcW w:w="0" w:type="auto"/>
          </w:tcPr>
          <w:p w14:paraId="4EED3CAC">
            <w:pPr>
              <w:spacing w:after="0" w:line="240" w:lineRule="auto"/>
              <w:jc w:val="center"/>
              <w:rPr>
                <w:rFonts w:eastAsia="Times New Roman" w:cs="Arial"/>
                <w:szCs w:val="24"/>
                <w:lang w:eastAsia="en-GB"/>
              </w:rPr>
            </w:pPr>
            <w:r>
              <w:rPr>
                <w:rFonts w:eastAsia="Times New Roman" w:cs="Arial"/>
                <w:szCs w:val="24"/>
                <w:lang w:eastAsia="en-GB"/>
              </w:rPr>
              <w:t>Strongly linked to prestige, craftsmanship and refinement</w:t>
            </w:r>
          </w:p>
        </w:tc>
        <w:tc>
          <w:tcPr>
            <w:tcW w:w="0" w:type="auto"/>
          </w:tcPr>
          <w:p w14:paraId="32CD7479">
            <w:pPr>
              <w:spacing w:after="0" w:line="240" w:lineRule="auto"/>
              <w:jc w:val="center"/>
              <w:rPr>
                <w:rFonts w:eastAsia="Times New Roman" w:cs="Arial"/>
                <w:szCs w:val="24"/>
                <w:lang w:eastAsia="en-GB"/>
              </w:rPr>
            </w:pPr>
            <w:r>
              <w:rPr>
                <w:rFonts w:eastAsia="Times New Roman" w:cs="Arial"/>
                <w:szCs w:val="24"/>
                <w:lang w:eastAsia="en-GB"/>
              </w:rPr>
              <w:t>Mostly standardised</w:t>
            </w:r>
          </w:p>
        </w:tc>
        <w:tc>
          <w:tcPr>
            <w:tcW w:w="0" w:type="auto"/>
          </w:tcPr>
          <w:p w14:paraId="636542FB">
            <w:pPr>
              <w:spacing w:after="0" w:line="240" w:lineRule="auto"/>
              <w:jc w:val="center"/>
              <w:rPr>
                <w:rFonts w:eastAsia="Times New Roman" w:cs="Arial"/>
                <w:szCs w:val="24"/>
                <w:lang w:eastAsia="en-GB"/>
              </w:rPr>
            </w:pPr>
            <w:r>
              <w:rPr>
                <w:rFonts w:eastAsia="Times New Roman" w:cs="Arial"/>
                <w:szCs w:val="24"/>
                <w:lang w:eastAsia="en-GB"/>
              </w:rPr>
              <w:t>Core product stays the same, but perceived value differs by market</w:t>
            </w:r>
          </w:p>
        </w:tc>
      </w:tr>
      <w:tr w14:paraId="6494A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D46E733">
            <w:pPr>
              <w:spacing w:after="0" w:line="240" w:lineRule="auto"/>
              <w:jc w:val="left"/>
              <w:rPr>
                <w:rFonts w:eastAsia="Times New Roman" w:cs="Arial"/>
                <w:szCs w:val="24"/>
                <w:lang w:eastAsia="en-GB"/>
              </w:rPr>
            </w:pPr>
            <w:r>
              <w:rPr>
                <w:rFonts w:eastAsia="Times New Roman" w:cs="Arial"/>
                <w:szCs w:val="24"/>
                <w:lang w:eastAsia="en-GB"/>
              </w:rPr>
              <w:t>Price</w:t>
            </w:r>
          </w:p>
        </w:tc>
        <w:tc>
          <w:tcPr>
            <w:tcW w:w="0" w:type="auto"/>
          </w:tcPr>
          <w:p w14:paraId="5E1BE6C8">
            <w:pPr>
              <w:spacing w:after="0" w:line="240" w:lineRule="auto"/>
              <w:jc w:val="center"/>
              <w:rPr>
                <w:rFonts w:eastAsia="Times New Roman" w:cs="Arial"/>
                <w:szCs w:val="24"/>
                <w:lang w:eastAsia="en-GB"/>
              </w:rPr>
            </w:pPr>
            <w:r>
              <w:rPr>
                <w:rFonts w:eastAsia="Times New Roman" w:cs="Arial"/>
                <w:szCs w:val="24"/>
                <w:lang w:eastAsia="en-GB"/>
              </w:rPr>
              <w:t>Premium price supported by authenticity and home-country prestige</w:t>
            </w:r>
          </w:p>
        </w:tc>
        <w:tc>
          <w:tcPr>
            <w:tcW w:w="0" w:type="auto"/>
          </w:tcPr>
          <w:p w14:paraId="09FCF194">
            <w:pPr>
              <w:spacing w:after="0" w:line="240" w:lineRule="auto"/>
              <w:jc w:val="center"/>
              <w:rPr>
                <w:rFonts w:eastAsia="Times New Roman" w:cs="Arial"/>
                <w:szCs w:val="24"/>
                <w:lang w:eastAsia="en-GB"/>
              </w:rPr>
            </w:pPr>
            <w:r>
              <w:rPr>
                <w:rFonts w:eastAsia="Times New Roman" w:cs="Arial"/>
                <w:szCs w:val="24"/>
                <w:lang w:eastAsia="en-GB"/>
              </w:rPr>
              <w:t>Premium price supported by trust, status and long-term symbolic value</w:t>
            </w:r>
          </w:p>
        </w:tc>
        <w:tc>
          <w:tcPr>
            <w:tcW w:w="0" w:type="auto"/>
          </w:tcPr>
          <w:p w14:paraId="37CC3F01">
            <w:pPr>
              <w:spacing w:after="0" w:line="240" w:lineRule="auto"/>
              <w:jc w:val="center"/>
              <w:rPr>
                <w:rFonts w:eastAsia="Times New Roman" w:cs="Arial"/>
                <w:szCs w:val="24"/>
                <w:lang w:eastAsia="en-GB"/>
              </w:rPr>
            </w:pPr>
            <w:r>
              <w:rPr>
                <w:rFonts w:eastAsia="Times New Roman" w:cs="Arial"/>
                <w:szCs w:val="24"/>
                <w:lang w:eastAsia="en-GB"/>
              </w:rPr>
              <w:t>Standardised in level, adapted in justification</w:t>
            </w:r>
          </w:p>
        </w:tc>
        <w:tc>
          <w:tcPr>
            <w:tcW w:w="0" w:type="auto"/>
          </w:tcPr>
          <w:p w14:paraId="1EDEBC55">
            <w:pPr>
              <w:spacing w:after="0" w:line="240" w:lineRule="auto"/>
              <w:jc w:val="center"/>
              <w:rPr>
                <w:rFonts w:eastAsia="Times New Roman" w:cs="Arial"/>
                <w:szCs w:val="24"/>
                <w:lang w:eastAsia="en-GB"/>
              </w:rPr>
            </w:pPr>
            <w:r>
              <w:rPr>
                <w:rFonts w:eastAsia="Times New Roman" w:cs="Arial"/>
                <w:szCs w:val="24"/>
                <w:lang w:eastAsia="en-GB"/>
              </w:rPr>
              <w:t>High prices are sustainable in both markets, but consumer logic differs</w:t>
            </w:r>
          </w:p>
        </w:tc>
      </w:tr>
      <w:tr w14:paraId="7A9E3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C26C448">
            <w:pPr>
              <w:spacing w:after="0" w:line="240" w:lineRule="auto"/>
              <w:jc w:val="left"/>
              <w:rPr>
                <w:rFonts w:eastAsia="Times New Roman" w:cs="Arial"/>
                <w:szCs w:val="24"/>
                <w:lang w:eastAsia="en-GB"/>
              </w:rPr>
            </w:pPr>
            <w:r>
              <w:rPr>
                <w:rFonts w:eastAsia="Times New Roman" w:cs="Arial"/>
                <w:szCs w:val="24"/>
                <w:lang w:eastAsia="en-GB"/>
              </w:rPr>
              <w:t>Promotion</w:t>
            </w:r>
          </w:p>
        </w:tc>
        <w:tc>
          <w:tcPr>
            <w:tcW w:w="0" w:type="auto"/>
          </w:tcPr>
          <w:p w14:paraId="09D7F143">
            <w:pPr>
              <w:spacing w:after="0" w:line="240" w:lineRule="auto"/>
              <w:jc w:val="center"/>
              <w:rPr>
                <w:rFonts w:eastAsia="Times New Roman" w:cs="Arial"/>
                <w:szCs w:val="24"/>
                <w:lang w:eastAsia="en-GB"/>
              </w:rPr>
            </w:pPr>
            <w:r>
              <w:rPr>
                <w:rFonts w:eastAsia="Times New Roman" w:cs="Arial"/>
                <w:szCs w:val="24"/>
                <w:lang w:eastAsia="en-GB"/>
              </w:rPr>
              <w:t>Heritage-led, Paris-centred, culturally rooted luxury storytelling</w:t>
            </w:r>
          </w:p>
        </w:tc>
        <w:tc>
          <w:tcPr>
            <w:tcW w:w="0" w:type="auto"/>
          </w:tcPr>
          <w:p w14:paraId="76CD7E59">
            <w:pPr>
              <w:spacing w:after="0" w:line="240" w:lineRule="auto"/>
              <w:jc w:val="center"/>
              <w:rPr>
                <w:rFonts w:eastAsia="Times New Roman" w:cs="Arial"/>
                <w:szCs w:val="24"/>
                <w:lang w:eastAsia="en-GB"/>
              </w:rPr>
            </w:pPr>
            <w:r>
              <w:rPr>
                <w:rFonts w:eastAsia="Times New Roman" w:cs="Arial"/>
                <w:szCs w:val="24"/>
                <w:lang w:eastAsia="en-GB"/>
              </w:rPr>
              <w:t>Prestige-led, refined communication aligned with trust and long-term credibility</w:t>
            </w:r>
          </w:p>
        </w:tc>
        <w:tc>
          <w:tcPr>
            <w:tcW w:w="0" w:type="auto"/>
          </w:tcPr>
          <w:p w14:paraId="2EF4A28F">
            <w:pPr>
              <w:spacing w:after="0" w:line="240" w:lineRule="auto"/>
              <w:jc w:val="center"/>
              <w:rPr>
                <w:rFonts w:eastAsia="Times New Roman" w:cs="Arial"/>
                <w:szCs w:val="24"/>
                <w:lang w:eastAsia="en-GB"/>
              </w:rPr>
            </w:pPr>
            <w:r>
              <w:rPr>
                <w:rFonts w:eastAsia="Times New Roman" w:cs="Arial"/>
                <w:szCs w:val="24"/>
                <w:lang w:eastAsia="en-GB"/>
              </w:rPr>
              <w:t>Mostly standardised with slight adaptation</w:t>
            </w:r>
          </w:p>
        </w:tc>
        <w:tc>
          <w:tcPr>
            <w:tcW w:w="0" w:type="auto"/>
          </w:tcPr>
          <w:p w14:paraId="41CFF3A4">
            <w:pPr>
              <w:spacing w:after="0" w:line="240" w:lineRule="auto"/>
              <w:jc w:val="center"/>
              <w:rPr>
                <w:rFonts w:eastAsia="Times New Roman" w:cs="Arial"/>
                <w:szCs w:val="24"/>
                <w:lang w:eastAsia="en-GB"/>
              </w:rPr>
            </w:pPr>
            <w:r>
              <w:rPr>
                <w:rFonts w:eastAsia="Times New Roman" w:cs="Arial"/>
                <w:szCs w:val="24"/>
                <w:lang w:eastAsia="en-GB"/>
              </w:rPr>
              <w:t>Global luxury tone should remain, but local resonance matters</w:t>
            </w:r>
          </w:p>
        </w:tc>
      </w:tr>
      <w:tr w14:paraId="38AE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3C6CBA8">
            <w:pPr>
              <w:spacing w:after="0" w:line="240" w:lineRule="auto"/>
              <w:jc w:val="left"/>
              <w:rPr>
                <w:rFonts w:eastAsia="Times New Roman" w:cs="Arial"/>
                <w:szCs w:val="24"/>
                <w:lang w:eastAsia="en-GB"/>
              </w:rPr>
            </w:pPr>
            <w:r>
              <w:rPr>
                <w:rFonts w:eastAsia="Times New Roman" w:cs="Arial"/>
                <w:szCs w:val="24"/>
                <w:lang w:eastAsia="en-GB"/>
              </w:rPr>
              <w:t>Place</w:t>
            </w:r>
          </w:p>
        </w:tc>
        <w:tc>
          <w:tcPr>
            <w:tcW w:w="0" w:type="auto"/>
          </w:tcPr>
          <w:p w14:paraId="46DF9A85">
            <w:pPr>
              <w:spacing w:after="0" w:line="240" w:lineRule="auto"/>
              <w:jc w:val="center"/>
              <w:rPr>
                <w:rFonts w:eastAsia="Times New Roman" w:cs="Arial"/>
                <w:szCs w:val="24"/>
                <w:lang w:eastAsia="en-GB"/>
              </w:rPr>
            </w:pPr>
            <w:r>
              <w:rPr>
                <w:rFonts w:eastAsia="Times New Roman" w:cs="Arial"/>
                <w:szCs w:val="24"/>
                <w:lang w:eastAsia="en-GB"/>
              </w:rPr>
              <w:t>Symbolic flagship and home-market legitimacy</w:t>
            </w:r>
          </w:p>
        </w:tc>
        <w:tc>
          <w:tcPr>
            <w:tcW w:w="0" w:type="auto"/>
          </w:tcPr>
          <w:p w14:paraId="7FF96B6C">
            <w:pPr>
              <w:spacing w:after="0" w:line="240" w:lineRule="auto"/>
              <w:jc w:val="center"/>
              <w:rPr>
                <w:rFonts w:eastAsia="Times New Roman" w:cs="Arial"/>
                <w:szCs w:val="24"/>
                <w:lang w:eastAsia="en-GB"/>
              </w:rPr>
            </w:pPr>
            <w:r>
              <w:rPr>
                <w:rFonts w:eastAsia="Times New Roman" w:cs="Arial"/>
                <w:szCs w:val="24"/>
                <w:lang w:eastAsia="en-GB"/>
              </w:rPr>
              <w:t>Selective distribution in major premium urban retail spaces</w:t>
            </w:r>
          </w:p>
        </w:tc>
        <w:tc>
          <w:tcPr>
            <w:tcW w:w="0" w:type="auto"/>
          </w:tcPr>
          <w:p w14:paraId="719C01E5">
            <w:pPr>
              <w:spacing w:after="0" w:line="240" w:lineRule="auto"/>
              <w:jc w:val="center"/>
              <w:rPr>
                <w:rFonts w:eastAsia="Times New Roman" w:cs="Arial"/>
                <w:szCs w:val="24"/>
                <w:lang w:eastAsia="en-GB"/>
              </w:rPr>
            </w:pPr>
            <w:r>
              <w:rPr>
                <w:rFonts w:eastAsia="Times New Roman" w:cs="Arial"/>
                <w:szCs w:val="24"/>
                <w:lang w:eastAsia="en-GB"/>
              </w:rPr>
              <w:t>Adapted in execution</w:t>
            </w:r>
          </w:p>
        </w:tc>
        <w:tc>
          <w:tcPr>
            <w:tcW w:w="0" w:type="auto"/>
          </w:tcPr>
          <w:p w14:paraId="26875FB2">
            <w:pPr>
              <w:spacing w:after="0" w:line="240" w:lineRule="auto"/>
              <w:jc w:val="center"/>
              <w:rPr>
                <w:rFonts w:eastAsia="Times New Roman" w:cs="Arial"/>
                <w:szCs w:val="24"/>
                <w:lang w:eastAsia="en-GB"/>
              </w:rPr>
            </w:pPr>
            <w:r>
              <w:rPr>
                <w:rFonts w:eastAsia="Times New Roman" w:cs="Arial"/>
                <w:szCs w:val="24"/>
                <w:lang w:eastAsia="en-GB"/>
              </w:rPr>
              <w:t>Japan requires especially careful retail-location strategy</w:t>
            </w:r>
          </w:p>
        </w:tc>
      </w:tr>
      <w:tr w14:paraId="32212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2DD2D68">
            <w:pPr>
              <w:spacing w:after="0" w:line="240" w:lineRule="auto"/>
              <w:jc w:val="left"/>
              <w:rPr>
                <w:rFonts w:eastAsia="Times New Roman" w:cs="Arial"/>
                <w:szCs w:val="24"/>
                <w:lang w:eastAsia="en-GB"/>
              </w:rPr>
            </w:pPr>
            <w:r>
              <w:rPr>
                <w:rFonts w:eastAsia="Times New Roman" w:cs="Arial"/>
                <w:szCs w:val="24"/>
                <w:lang w:eastAsia="en-GB"/>
              </w:rPr>
              <w:t>People / Process / Physical evidence</w:t>
            </w:r>
          </w:p>
        </w:tc>
        <w:tc>
          <w:tcPr>
            <w:tcW w:w="0" w:type="auto"/>
          </w:tcPr>
          <w:p w14:paraId="2EE4A8E1">
            <w:pPr>
              <w:spacing w:after="0" w:line="240" w:lineRule="auto"/>
              <w:jc w:val="center"/>
              <w:rPr>
                <w:rFonts w:eastAsia="Times New Roman" w:cs="Arial"/>
                <w:szCs w:val="24"/>
                <w:lang w:eastAsia="en-GB"/>
              </w:rPr>
            </w:pPr>
            <w:r>
              <w:rPr>
                <w:rFonts w:eastAsia="Times New Roman" w:cs="Arial"/>
                <w:szCs w:val="24"/>
                <w:lang w:eastAsia="en-GB"/>
              </w:rPr>
              <w:t>Premium service and heritage atmosphere reinforce authenticity</w:t>
            </w:r>
          </w:p>
        </w:tc>
        <w:tc>
          <w:tcPr>
            <w:tcW w:w="0" w:type="auto"/>
          </w:tcPr>
          <w:p w14:paraId="4285EE63">
            <w:pPr>
              <w:spacing w:after="0" w:line="240" w:lineRule="auto"/>
              <w:jc w:val="center"/>
              <w:rPr>
                <w:rFonts w:eastAsia="Times New Roman" w:cs="Arial"/>
                <w:szCs w:val="24"/>
                <w:lang w:eastAsia="en-GB"/>
              </w:rPr>
            </w:pPr>
            <w:r>
              <w:rPr>
                <w:rFonts w:eastAsia="Times New Roman" w:cs="Arial"/>
                <w:szCs w:val="24"/>
                <w:lang w:eastAsia="en-GB"/>
              </w:rPr>
              <w:t>Premium service, precision and presentation reinforce trust and prestige</w:t>
            </w:r>
          </w:p>
        </w:tc>
        <w:tc>
          <w:tcPr>
            <w:tcW w:w="0" w:type="auto"/>
          </w:tcPr>
          <w:p w14:paraId="76F7C154">
            <w:pPr>
              <w:spacing w:after="0" w:line="240" w:lineRule="auto"/>
              <w:jc w:val="center"/>
              <w:rPr>
                <w:rFonts w:eastAsia="Times New Roman" w:cs="Arial"/>
                <w:szCs w:val="24"/>
                <w:lang w:eastAsia="en-GB"/>
              </w:rPr>
            </w:pPr>
            <w:r>
              <w:rPr>
                <w:rFonts w:eastAsia="Times New Roman" w:cs="Arial"/>
                <w:szCs w:val="24"/>
                <w:lang w:eastAsia="en-GB"/>
              </w:rPr>
              <w:t>More adapted in Japan</w:t>
            </w:r>
          </w:p>
        </w:tc>
        <w:tc>
          <w:tcPr>
            <w:tcW w:w="0" w:type="auto"/>
          </w:tcPr>
          <w:p w14:paraId="4DF1D0B1">
            <w:pPr>
              <w:spacing w:after="0" w:line="240" w:lineRule="auto"/>
              <w:jc w:val="center"/>
              <w:rPr>
                <w:rFonts w:eastAsia="Times New Roman" w:cs="Arial"/>
                <w:szCs w:val="24"/>
                <w:lang w:eastAsia="en-GB"/>
              </w:rPr>
            </w:pPr>
            <w:r>
              <w:rPr>
                <w:rFonts w:eastAsia="Times New Roman" w:cs="Arial"/>
                <w:szCs w:val="24"/>
                <w:lang w:eastAsia="en-GB"/>
              </w:rPr>
              <w:t>Japan requires stronger execution quality in service and retail environment</w:t>
            </w:r>
          </w:p>
        </w:tc>
      </w:tr>
    </w:tbl>
    <w:p w14:paraId="5A605719"/>
    <w:p w14:paraId="19484956">
      <w:pPr>
        <w:pStyle w:val="2"/>
      </w:pPr>
      <w:bookmarkStart w:id="28" w:name="_Toc225400877"/>
      <w:bookmarkStart w:id="29" w:name="_Toc224134297"/>
      <w:r>
        <w:t>7Ps Comparison of Louis Vuitton in France and Japan</w:t>
      </w:r>
      <w:bookmarkEnd w:id="28"/>
      <w:bookmarkEnd w:id="29"/>
    </w:p>
    <w:p w14:paraId="06F4CF2C">
      <w:r>
        <w:t>The 7Ps framework is useful to understand how Louis Vuitton maintains a consistent global luxury identity while varying the execution of its market in France and Japan. Although the brand is very premium in both countries, certain elements of marketing mix are applied differently due to consumer expectations, retail culture and meaning of luxury are not the same across both markets (Kotler and Keller, 2016; Kapferer and Bastien, 2012).</w:t>
      </w:r>
    </w:p>
    <w:p w14:paraId="0AEEF54E">
      <w:pPr>
        <w:pStyle w:val="3"/>
      </w:pPr>
      <w:bookmarkStart w:id="30" w:name="_Toc225400878"/>
      <w:bookmarkStart w:id="31" w:name="_Toc224134298"/>
      <w:r>
        <w:t>Product</w:t>
      </w:r>
      <w:bookmarkEnd w:id="30"/>
      <w:bookmarkEnd w:id="31"/>
    </w:p>
    <w:p w14:paraId="6E2566A1">
      <w:r>
        <w:t>Louis Vuitton's product strategy is very much standardised, both in France and in Japan, as luxury brands rely on consistency in quality, recognisability of design and symbolic strength, regardless of market. Core categories such as leather goods, accessories and fashion therefore are still central in both countries. The meaning ascribed to the product in the two markets, however, varies. The product is closely linked with national heritage, maison authenticity and Parisian fashion authority in France. Precision, refinement and prestige surrounding established foreign luxury brands adds value to the same product in Japan. Therefore, the perceived value proposition is not the same although the physical product is similar. Value in France is supported by origin and in Japan it is supported by prestige, trust and impeccable presentation (Nagasawa, 2009; Kapferer and Bastien, 2012).</w:t>
      </w:r>
    </w:p>
    <w:p w14:paraId="066B75E7">
      <w:pPr>
        <w:pStyle w:val="3"/>
      </w:pPr>
      <w:bookmarkStart w:id="32" w:name="_Toc224134299"/>
      <w:bookmarkStart w:id="33" w:name="_Toc225400879"/>
      <w:r>
        <w:t>Price</w:t>
      </w:r>
      <w:bookmarkEnd w:id="32"/>
      <w:bookmarkEnd w:id="33"/>
    </w:p>
    <w:p w14:paraId="4B1E7BC3">
      <w:r>
        <w:t>Premium pricing of Louis Vuitton in France and Japan is also based on the luxury marketing theory where price is used to convey exclusivity, scarcity and status as opposed to being a mere indicator of production cost. This high pricing is also facilitated by the country-of-origin effect in France where consumers are purchasing in the historic centre of French luxury. Premium pricing also can be sustained in Japan, since consumers traditionally attach high importance to brand credibility, craftsmanship and long-lasting prestige. This means that price works in both markets as a marker of symbolic value, though the justification is a little different. In France, it is reflection of heritage, and authenticity; a Japan reflection of reliability, prestige and social meaning. Therefore, Louis Vuitton's pricing is standardized in level, but, supported by different consumer logics in each market (Kapferer and Bastien, 2012; Donzé, 2022).</w:t>
      </w:r>
    </w:p>
    <w:p w14:paraId="0562206B">
      <w:pPr>
        <w:pStyle w:val="3"/>
      </w:pPr>
      <w:bookmarkStart w:id="34" w:name="_Toc225400880"/>
      <w:bookmarkStart w:id="35" w:name="_Toc224134300"/>
      <w:r>
        <w:t>Place</w:t>
      </w:r>
      <w:bookmarkEnd w:id="34"/>
      <w:bookmarkEnd w:id="35"/>
    </w:p>
    <w:p w14:paraId="0D42F93A">
      <w:pPr>
        <w:rPr>
          <w:rStyle w:val="15"/>
          <w:rFonts w:eastAsiaTheme="minorEastAsia" w:cstheme="minorBidi"/>
          <w:b w:val="0"/>
          <w:bCs w:val="0"/>
          <w:i w:val="0"/>
          <w:color w:val="auto"/>
          <w:sz w:val="24"/>
          <w:szCs w:val="22"/>
        </w:rPr>
      </w:pPr>
      <w:r>
        <w:t>Louis Vuitton applies selective distribution both in France and Japan, as a strategy to preserve exclusivity and to control brand presentation. In France, store presence is deeply linked to the Parisian heritage and home market symbolic power (Moore, Doherty and Doyle, 2010). In Japan, place is equally strategic, but more closely linked to high quality urban environments for retailing and a more sophisticated luxury consumer base. Japan's established department-store culture and quality of service makes retail location particularly important. Therefore, place is used to support positioning of luxury in both countries, however, it strengthens origin and authenticity in France and prestige and accessibility for rich consumers within cities in Japan, as well as high-quality service delivery (Isozaki and Donzé, 2022).</w:t>
      </w:r>
      <w:bookmarkStart w:id="36" w:name="_Toc224134301"/>
    </w:p>
    <w:p w14:paraId="7F81B8FB">
      <w:pPr>
        <w:rPr>
          <w:rFonts w:eastAsiaTheme="majorEastAsia" w:cstheme="majorBidi"/>
          <w:b/>
          <w:bCs/>
          <w:i/>
          <w:color w:val="1F497D" w:themeColor="text2"/>
          <w:sz w:val="28"/>
          <w:szCs w:val="26"/>
          <w14:textFill>
            <w14:solidFill>
              <w14:schemeClr w14:val="tx2"/>
            </w14:solidFill>
          </w14:textFill>
        </w:rPr>
      </w:pPr>
      <w:bookmarkStart w:id="37" w:name="_Toc225400881"/>
      <w:r>
        <w:rPr>
          <w:rStyle w:val="15"/>
        </w:rPr>
        <w:t>Promotion</w:t>
      </w:r>
      <w:bookmarkEnd w:id="36"/>
      <w:bookmarkEnd w:id="37"/>
    </w:p>
    <w:p w14:paraId="1E53843B">
      <w:r>
        <w:t xml:space="preserve">Louis Vuitton has a highly controlled promotion approach in both countries based on heritage storytelling, prestige imagery, artistic collaboration and carefully controlled visibility as opposed to price-based promotion. This is the norm for luxury brands, which preserve exclusivity by avoiding promotional excess and retaining symbolic distance from the communication of the mass market (Riot, Chamaret and Rigaud, 2013). </w:t>
      </w:r>
    </w:p>
    <w:p w14:paraId="3DF176CF">
      <w:pPr>
        <w:keepNext/>
        <w:jc w:val="center"/>
      </w:pPr>
      <w:r>
        <w:rPr>
          <w:lang w:eastAsia="en-GB"/>
        </w:rPr>
        <w:drawing>
          <wp:inline distT="0" distB="0" distL="0" distR="0">
            <wp:extent cx="3056890" cy="2143125"/>
            <wp:effectExtent l="0" t="0" r="0" b="0"/>
            <wp:docPr id="21" name="Picture 21" descr="https://encrypted-tbn0.gstatic.com/images?q=tbn:ANd9GcTCibId6Ct0s7rvJiOMDP6fZGMw_zeDqEm5aQ&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https://encrypted-tbn0.gstatic.com/images?q=tbn:ANd9GcTCibId6Ct0s7rvJiOMDP6fZGMw_zeDqEm5aQ&am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062043" cy="2146592"/>
                    </a:xfrm>
                    <a:prstGeom prst="rect">
                      <a:avLst/>
                    </a:prstGeom>
                    <a:noFill/>
                    <a:ln>
                      <a:noFill/>
                    </a:ln>
                  </pic:spPr>
                </pic:pic>
              </a:graphicData>
            </a:graphic>
          </wp:inline>
        </w:drawing>
      </w:r>
    </w:p>
    <w:p w14:paraId="0FEA791B">
      <w:r>
        <w:rPr>
          <w:sz w:val="22"/>
        </w:rPr>
        <w:t xml:space="preserve">Figure </w:t>
      </w:r>
      <w:r>
        <w:rPr>
          <w:sz w:val="22"/>
        </w:rPr>
        <w:fldChar w:fldCharType="begin"/>
      </w:r>
      <w:r>
        <w:rPr>
          <w:sz w:val="22"/>
        </w:rPr>
        <w:instrText xml:space="preserve"> SEQ Figure \* ARABIC </w:instrText>
      </w:r>
      <w:r>
        <w:rPr>
          <w:sz w:val="22"/>
        </w:rPr>
        <w:fldChar w:fldCharType="separate"/>
      </w:r>
      <w:r>
        <w:rPr>
          <w:sz w:val="22"/>
        </w:rPr>
        <w:t>5</w:t>
      </w:r>
      <w:r>
        <w:rPr>
          <w:sz w:val="22"/>
        </w:rPr>
        <w:fldChar w:fldCharType="end"/>
      </w:r>
      <w:r>
        <w:rPr>
          <w:sz w:val="22"/>
        </w:rPr>
        <w:t>: LV Dream | Art Deco Exhibition, Paris 2025 (Source: Louis Vuitton Website)</w:t>
      </w:r>
    </w:p>
    <w:p w14:paraId="02B71A4A">
      <w:pPr>
        <w:rPr>
          <w:sz w:val="22"/>
        </w:rPr>
      </w:pPr>
      <w:r>
        <w:t>In France, promotion may be highly influenced by Paris, maison heritage and the power of French luxury culture. The same prestige-based identity has to be conveyed in Japan in a manner that also meets domestic demands of sophistication, reliability and brand loyalty. Consequently, the marketing message will be generally similar in all markets, yet its effectiveness varies. In France, promotion confirms authenticity and origin, and in Japan, it confirms prestige, discipline and cultural reliability (Mase and Cedrola, 2017).</w:t>
      </w:r>
    </w:p>
    <w:p w14:paraId="64E43CB5">
      <w:pPr>
        <w:keepNext/>
      </w:pPr>
      <w:r>
        <w:rPr>
          <w:lang w:eastAsia="en-GB"/>
        </w:rPr>
        <w:drawing>
          <wp:inline distT="0" distB="0" distL="0" distR="0">
            <wp:extent cx="5943600" cy="3342640"/>
            <wp:effectExtent l="0" t="0" r="0" b="0"/>
            <wp:docPr id="20" name="Picture 20" descr="https://wwd.com/wp-content/uploads/2024/12/zendaya-louis-vuitton-murakami-2025.jpg?w=1000&amp;h=563&amp;crop=1&amp;resize=681%2C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https://wwd.com/wp-content/uploads/2024/12/zendaya-louis-vuitton-murakami-2025.jpg?w=1000&amp;h=563&amp;crop=1&amp;resize=681%2C38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943600" cy="3342730"/>
                    </a:xfrm>
                    <a:prstGeom prst="rect">
                      <a:avLst/>
                    </a:prstGeom>
                    <a:noFill/>
                    <a:ln>
                      <a:noFill/>
                    </a:ln>
                  </pic:spPr>
                </pic:pic>
              </a:graphicData>
            </a:graphic>
          </wp:inline>
        </w:drawing>
      </w:r>
    </w:p>
    <w:p w14:paraId="7E4B18CF">
      <w:pPr>
        <w:pStyle w:val="7"/>
        <w:jc w:val="center"/>
        <w:rPr>
          <w:sz w:val="24"/>
        </w:rPr>
      </w:pPr>
      <w:r>
        <w:rPr>
          <w:sz w:val="24"/>
        </w:rPr>
        <w:t xml:space="preserve">Figure </w:t>
      </w:r>
      <w:r>
        <w:rPr>
          <w:sz w:val="24"/>
        </w:rPr>
        <w:fldChar w:fldCharType="begin"/>
      </w:r>
      <w:r>
        <w:rPr>
          <w:sz w:val="24"/>
        </w:rPr>
        <w:instrText xml:space="preserve"> SEQ Figure \* ARABIC </w:instrText>
      </w:r>
      <w:r>
        <w:rPr>
          <w:sz w:val="24"/>
        </w:rPr>
        <w:fldChar w:fldCharType="separate"/>
      </w:r>
      <w:r>
        <w:rPr>
          <w:sz w:val="24"/>
        </w:rPr>
        <w:t>6</w:t>
      </w:r>
      <w:r>
        <w:rPr>
          <w:sz w:val="24"/>
        </w:rPr>
        <w:fldChar w:fldCharType="end"/>
      </w:r>
      <w:r>
        <w:rPr>
          <w:sz w:val="24"/>
        </w:rPr>
        <w:t>: Louis Vuitton x Murakami 2025 Campaign (Source: Diderich, 2024):</w:t>
      </w:r>
    </w:p>
    <w:p w14:paraId="699CE229">
      <w:pPr>
        <w:pStyle w:val="3"/>
      </w:pPr>
      <w:bookmarkStart w:id="38" w:name="_Toc224134302"/>
      <w:bookmarkStart w:id="39" w:name="_Toc225400882"/>
      <w:r>
        <w:t>People, Process and Physical Evidence</w:t>
      </w:r>
      <w:bookmarkEnd w:id="38"/>
      <w:bookmarkEnd w:id="39"/>
    </w:p>
    <w:p w14:paraId="46BA001E">
      <w:r>
        <w:t>In luxury retailing, people, process and physical evidence are intertwined since the brand promise is fulfilled not only by the product, but also the entire service experience. In both France and Japan, Louis Vuitton depends on highly trained personnel, controlled service procedures and premium store atmospherics to reinforce exclusivity and symbolic value. However, the strategic importance of these elements is even greater in Japan, where consumers are widely associated with particularly high expectations of politeness, precision, product knowledge and presentation quality. This means that sales staff in Japan are more than mere facilitators, but rather that they are part of the luxury experience itself, assisting in the transformation of brand prestige into valued customer credentials (Nagasawa 2009; Donzé, 2022).</w:t>
      </w:r>
    </w:p>
    <w:p w14:paraId="71B18950">
      <w:r>
        <w:t>Similarly, process is important in both countries, but the role plays a little bit differently. In France, smooth and personalised service is part of the authenticity and cultural authority of the maison. In Japan, process becomes even more critical because luxury consumers often evaluate the brand through the consistency, discipline and refinement of each interaction including the handling of appointments, presentation of a product and after-sales service. Physical evidence also has unique emphasis in the two markets. In France, the store design and visual merchandise strengthen the heritage and Parisian luxury identity. In Japan they need to communicate immaculate order, trust and service perfection in addition. Therefore, while people, process and physical evidence are strong in both countries, they are more strategically sensitive in Japan, where any mismatch between symbolic prestige and execution of service may weaken the overall luxury experience (Kotler and Keller, 2016).</w:t>
      </w:r>
    </w:p>
    <w:p w14:paraId="7DEBAD96">
      <w:pPr>
        <w:pStyle w:val="7"/>
        <w:keepNext/>
        <w:rPr>
          <w:sz w:val="22"/>
        </w:rPr>
      </w:pPr>
      <w:r>
        <w:rPr>
          <w:sz w:val="22"/>
        </w:rPr>
        <w:t xml:space="preserve">Table </w:t>
      </w:r>
      <w:r>
        <w:rPr>
          <w:sz w:val="22"/>
        </w:rPr>
        <w:fldChar w:fldCharType="begin"/>
      </w:r>
      <w:r>
        <w:rPr>
          <w:sz w:val="22"/>
        </w:rPr>
        <w:instrText xml:space="preserve"> SEQ Table \* ARABIC </w:instrText>
      </w:r>
      <w:r>
        <w:rPr>
          <w:sz w:val="22"/>
        </w:rPr>
        <w:fldChar w:fldCharType="separate"/>
      </w:r>
      <w:r>
        <w:rPr>
          <w:sz w:val="22"/>
        </w:rPr>
        <w:t>4</w:t>
      </w:r>
      <w:r>
        <w:rPr>
          <w:sz w:val="22"/>
        </w:rPr>
        <w:fldChar w:fldCharType="end"/>
      </w:r>
      <w:r>
        <w:rPr>
          <w:sz w:val="22"/>
        </w:rPr>
        <w:t>: 7Ps Summary of Louis Vuitton in France and Japan</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0"/>
        <w:gridCol w:w="1851"/>
        <w:gridCol w:w="2245"/>
        <w:gridCol w:w="1936"/>
        <w:gridCol w:w="1944"/>
      </w:tblGrid>
      <w:tr w14:paraId="09445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74B02397">
            <w:pPr>
              <w:spacing w:after="0" w:line="240" w:lineRule="auto"/>
              <w:jc w:val="center"/>
              <w:rPr>
                <w:rFonts w:eastAsia="Times New Roman" w:cs="Arial"/>
                <w:b/>
                <w:bCs/>
                <w:szCs w:val="24"/>
                <w:lang w:eastAsia="en-GB"/>
              </w:rPr>
            </w:pPr>
            <w:r>
              <w:rPr>
                <w:rFonts w:eastAsia="Times New Roman" w:cs="Arial"/>
                <w:b/>
                <w:bCs/>
                <w:szCs w:val="24"/>
                <w:lang w:eastAsia="en-GB"/>
              </w:rPr>
              <w:t>Element</w:t>
            </w:r>
          </w:p>
        </w:tc>
        <w:tc>
          <w:tcPr>
            <w:tcW w:w="0" w:type="auto"/>
          </w:tcPr>
          <w:p w14:paraId="46B953F9">
            <w:pPr>
              <w:spacing w:after="0" w:line="240" w:lineRule="auto"/>
              <w:jc w:val="center"/>
              <w:rPr>
                <w:rFonts w:eastAsia="Times New Roman" w:cs="Arial"/>
                <w:b/>
                <w:bCs/>
                <w:szCs w:val="24"/>
                <w:lang w:eastAsia="en-GB"/>
              </w:rPr>
            </w:pPr>
            <w:r>
              <w:rPr>
                <w:rFonts w:eastAsia="Times New Roman" w:cs="Arial"/>
                <w:b/>
                <w:bCs/>
                <w:szCs w:val="24"/>
                <w:lang w:eastAsia="en-GB"/>
              </w:rPr>
              <w:t>France</w:t>
            </w:r>
          </w:p>
        </w:tc>
        <w:tc>
          <w:tcPr>
            <w:tcW w:w="0" w:type="auto"/>
          </w:tcPr>
          <w:p w14:paraId="6EB2F799">
            <w:pPr>
              <w:spacing w:after="0" w:line="240" w:lineRule="auto"/>
              <w:jc w:val="center"/>
              <w:rPr>
                <w:rFonts w:eastAsia="Times New Roman" w:cs="Arial"/>
                <w:b/>
                <w:bCs/>
                <w:szCs w:val="24"/>
                <w:lang w:eastAsia="en-GB"/>
              </w:rPr>
            </w:pPr>
            <w:r>
              <w:rPr>
                <w:rFonts w:eastAsia="Times New Roman" w:cs="Arial"/>
                <w:b/>
                <w:bCs/>
                <w:szCs w:val="24"/>
                <w:lang w:eastAsia="en-GB"/>
              </w:rPr>
              <w:t>Japan</w:t>
            </w:r>
          </w:p>
        </w:tc>
        <w:tc>
          <w:tcPr>
            <w:tcW w:w="0" w:type="auto"/>
          </w:tcPr>
          <w:p w14:paraId="46823707">
            <w:pPr>
              <w:spacing w:after="0" w:line="240" w:lineRule="auto"/>
              <w:jc w:val="center"/>
              <w:rPr>
                <w:rFonts w:eastAsia="Times New Roman" w:cs="Arial"/>
                <w:b/>
                <w:bCs/>
                <w:szCs w:val="24"/>
                <w:lang w:eastAsia="en-GB"/>
              </w:rPr>
            </w:pPr>
            <w:r>
              <w:rPr>
                <w:rFonts w:eastAsia="Times New Roman" w:cs="Arial"/>
                <w:b/>
                <w:bCs/>
                <w:szCs w:val="24"/>
                <w:lang w:eastAsia="en-GB"/>
              </w:rPr>
              <w:t>Standardised or adapted</w:t>
            </w:r>
          </w:p>
        </w:tc>
        <w:tc>
          <w:tcPr>
            <w:tcW w:w="0" w:type="auto"/>
          </w:tcPr>
          <w:p w14:paraId="016BDFAF">
            <w:pPr>
              <w:spacing w:after="0" w:line="240" w:lineRule="auto"/>
              <w:jc w:val="center"/>
              <w:rPr>
                <w:rFonts w:eastAsia="Times New Roman" w:cs="Arial"/>
                <w:b/>
                <w:bCs/>
                <w:szCs w:val="24"/>
                <w:lang w:eastAsia="en-GB"/>
              </w:rPr>
            </w:pPr>
            <w:r>
              <w:rPr>
                <w:rFonts w:eastAsia="Times New Roman" w:cs="Arial"/>
                <w:b/>
                <w:bCs/>
                <w:szCs w:val="24"/>
                <w:lang w:eastAsia="en-GB"/>
              </w:rPr>
              <w:t>Strategic implication</w:t>
            </w:r>
          </w:p>
        </w:tc>
      </w:tr>
      <w:tr w14:paraId="19CE9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6D57BFB6">
            <w:pPr>
              <w:spacing w:after="0" w:line="240" w:lineRule="auto"/>
              <w:jc w:val="left"/>
              <w:rPr>
                <w:rFonts w:eastAsia="Times New Roman" w:cs="Arial"/>
                <w:b/>
                <w:szCs w:val="24"/>
                <w:lang w:eastAsia="en-GB"/>
              </w:rPr>
            </w:pPr>
            <w:r>
              <w:rPr>
                <w:rFonts w:eastAsia="Times New Roman" w:cs="Arial"/>
                <w:b/>
                <w:szCs w:val="24"/>
                <w:lang w:eastAsia="en-GB"/>
              </w:rPr>
              <w:t>Product</w:t>
            </w:r>
          </w:p>
        </w:tc>
        <w:tc>
          <w:tcPr>
            <w:tcW w:w="0" w:type="auto"/>
          </w:tcPr>
          <w:p w14:paraId="7FDCCE8D">
            <w:pPr>
              <w:spacing w:after="0" w:line="240" w:lineRule="auto"/>
              <w:jc w:val="center"/>
              <w:rPr>
                <w:rFonts w:eastAsia="Times New Roman" w:cs="Arial"/>
                <w:szCs w:val="24"/>
                <w:lang w:eastAsia="en-GB"/>
              </w:rPr>
            </w:pPr>
            <w:r>
              <w:rPr>
                <w:rFonts w:eastAsia="Times New Roman" w:cs="Arial"/>
                <w:szCs w:val="24"/>
                <w:lang w:eastAsia="en-GB"/>
              </w:rPr>
              <w:t>Strongly linked to origin, heritage and Parisian identity</w:t>
            </w:r>
          </w:p>
        </w:tc>
        <w:tc>
          <w:tcPr>
            <w:tcW w:w="0" w:type="auto"/>
          </w:tcPr>
          <w:p w14:paraId="5EF1079D">
            <w:pPr>
              <w:spacing w:after="0" w:line="240" w:lineRule="auto"/>
              <w:jc w:val="center"/>
              <w:rPr>
                <w:rFonts w:eastAsia="Times New Roman" w:cs="Arial"/>
                <w:szCs w:val="24"/>
                <w:lang w:eastAsia="en-GB"/>
              </w:rPr>
            </w:pPr>
            <w:r>
              <w:rPr>
                <w:rFonts w:eastAsia="Times New Roman" w:cs="Arial"/>
                <w:szCs w:val="24"/>
                <w:lang w:eastAsia="en-GB"/>
              </w:rPr>
              <w:t>Strongly linked to prestige, craftsmanship and refinement</w:t>
            </w:r>
          </w:p>
        </w:tc>
        <w:tc>
          <w:tcPr>
            <w:tcW w:w="0" w:type="auto"/>
          </w:tcPr>
          <w:p w14:paraId="756F9168">
            <w:pPr>
              <w:spacing w:after="0" w:line="240" w:lineRule="auto"/>
              <w:jc w:val="center"/>
              <w:rPr>
                <w:rFonts w:eastAsia="Times New Roman" w:cs="Arial"/>
                <w:szCs w:val="24"/>
                <w:lang w:eastAsia="en-GB"/>
              </w:rPr>
            </w:pPr>
            <w:r>
              <w:rPr>
                <w:rFonts w:eastAsia="Times New Roman" w:cs="Arial"/>
                <w:szCs w:val="24"/>
                <w:lang w:eastAsia="en-GB"/>
              </w:rPr>
              <w:t>Mostly standardised</w:t>
            </w:r>
          </w:p>
        </w:tc>
        <w:tc>
          <w:tcPr>
            <w:tcW w:w="0" w:type="auto"/>
          </w:tcPr>
          <w:p w14:paraId="0195B5F5">
            <w:pPr>
              <w:spacing w:after="0" w:line="240" w:lineRule="auto"/>
              <w:jc w:val="center"/>
              <w:rPr>
                <w:rFonts w:eastAsia="Times New Roman" w:cs="Arial"/>
                <w:szCs w:val="24"/>
                <w:lang w:eastAsia="en-GB"/>
              </w:rPr>
            </w:pPr>
            <w:r>
              <w:rPr>
                <w:rFonts w:eastAsia="Times New Roman" w:cs="Arial"/>
                <w:szCs w:val="24"/>
                <w:lang w:eastAsia="en-GB"/>
              </w:rPr>
              <w:t>Core product stays the same, but perceived value differs by market</w:t>
            </w:r>
          </w:p>
        </w:tc>
      </w:tr>
      <w:tr w14:paraId="57185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6C295BEC">
            <w:pPr>
              <w:spacing w:after="0" w:line="240" w:lineRule="auto"/>
              <w:jc w:val="left"/>
              <w:rPr>
                <w:rFonts w:eastAsia="Times New Roman" w:cs="Arial"/>
                <w:b/>
                <w:szCs w:val="24"/>
                <w:lang w:eastAsia="en-GB"/>
              </w:rPr>
            </w:pPr>
            <w:r>
              <w:rPr>
                <w:rFonts w:eastAsia="Times New Roman" w:cs="Arial"/>
                <w:b/>
                <w:szCs w:val="24"/>
                <w:lang w:eastAsia="en-GB"/>
              </w:rPr>
              <w:t>Price</w:t>
            </w:r>
          </w:p>
        </w:tc>
        <w:tc>
          <w:tcPr>
            <w:tcW w:w="0" w:type="auto"/>
          </w:tcPr>
          <w:p w14:paraId="160E4CB0">
            <w:pPr>
              <w:spacing w:after="0" w:line="240" w:lineRule="auto"/>
              <w:jc w:val="center"/>
              <w:rPr>
                <w:rFonts w:eastAsia="Times New Roman" w:cs="Arial"/>
                <w:szCs w:val="24"/>
                <w:lang w:eastAsia="en-GB"/>
              </w:rPr>
            </w:pPr>
            <w:r>
              <w:rPr>
                <w:rFonts w:eastAsia="Times New Roman" w:cs="Arial"/>
                <w:szCs w:val="24"/>
                <w:lang w:eastAsia="en-GB"/>
              </w:rPr>
              <w:t>Premium price supported by authenticity and home-country prestige</w:t>
            </w:r>
          </w:p>
        </w:tc>
        <w:tc>
          <w:tcPr>
            <w:tcW w:w="0" w:type="auto"/>
          </w:tcPr>
          <w:p w14:paraId="6D54EF7C">
            <w:pPr>
              <w:spacing w:after="0" w:line="240" w:lineRule="auto"/>
              <w:jc w:val="center"/>
              <w:rPr>
                <w:rFonts w:eastAsia="Times New Roman" w:cs="Arial"/>
                <w:szCs w:val="24"/>
                <w:lang w:eastAsia="en-GB"/>
              </w:rPr>
            </w:pPr>
            <w:r>
              <w:rPr>
                <w:rFonts w:eastAsia="Times New Roman" w:cs="Arial"/>
                <w:szCs w:val="24"/>
                <w:lang w:eastAsia="en-GB"/>
              </w:rPr>
              <w:t>Premium price supported by trust, status and long-term symbolic value</w:t>
            </w:r>
          </w:p>
        </w:tc>
        <w:tc>
          <w:tcPr>
            <w:tcW w:w="0" w:type="auto"/>
          </w:tcPr>
          <w:p w14:paraId="76DECF3C">
            <w:pPr>
              <w:spacing w:after="0" w:line="240" w:lineRule="auto"/>
              <w:jc w:val="center"/>
              <w:rPr>
                <w:rFonts w:eastAsia="Times New Roman" w:cs="Arial"/>
                <w:szCs w:val="24"/>
                <w:lang w:eastAsia="en-GB"/>
              </w:rPr>
            </w:pPr>
            <w:r>
              <w:rPr>
                <w:rFonts w:eastAsia="Times New Roman" w:cs="Arial"/>
                <w:szCs w:val="24"/>
                <w:lang w:eastAsia="en-GB"/>
              </w:rPr>
              <w:t>Standardised in level, adapted in justification</w:t>
            </w:r>
          </w:p>
        </w:tc>
        <w:tc>
          <w:tcPr>
            <w:tcW w:w="0" w:type="auto"/>
          </w:tcPr>
          <w:p w14:paraId="681F1B00">
            <w:pPr>
              <w:spacing w:after="0" w:line="240" w:lineRule="auto"/>
              <w:jc w:val="center"/>
              <w:rPr>
                <w:rFonts w:eastAsia="Times New Roman" w:cs="Arial"/>
                <w:szCs w:val="24"/>
                <w:lang w:eastAsia="en-GB"/>
              </w:rPr>
            </w:pPr>
            <w:r>
              <w:rPr>
                <w:rFonts w:eastAsia="Times New Roman" w:cs="Arial"/>
                <w:szCs w:val="24"/>
                <w:lang w:eastAsia="en-GB"/>
              </w:rPr>
              <w:t>High prices are sustainable in both markets, but consumer logic differs</w:t>
            </w:r>
          </w:p>
        </w:tc>
      </w:tr>
      <w:tr w14:paraId="586E3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7B692B86">
            <w:pPr>
              <w:spacing w:after="0" w:line="240" w:lineRule="auto"/>
              <w:jc w:val="left"/>
              <w:rPr>
                <w:rFonts w:eastAsia="Times New Roman" w:cs="Arial"/>
                <w:b/>
                <w:szCs w:val="24"/>
                <w:lang w:eastAsia="en-GB"/>
              </w:rPr>
            </w:pPr>
            <w:r>
              <w:rPr>
                <w:rFonts w:eastAsia="Times New Roman" w:cs="Arial"/>
                <w:b/>
                <w:szCs w:val="24"/>
                <w:lang w:eastAsia="en-GB"/>
              </w:rPr>
              <w:t>Promotion</w:t>
            </w:r>
          </w:p>
        </w:tc>
        <w:tc>
          <w:tcPr>
            <w:tcW w:w="0" w:type="auto"/>
          </w:tcPr>
          <w:p w14:paraId="4895D23D">
            <w:pPr>
              <w:spacing w:after="0" w:line="240" w:lineRule="auto"/>
              <w:jc w:val="center"/>
              <w:rPr>
                <w:rFonts w:eastAsia="Times New Roman" w:cs="Arial"/>
                <w:szCs w:val="24"/>
                <w:lang w:eastAsia="en-GB"/>
              </w:rPr>
            </w:pPr>
            <w:r>
              <w:rPr>
                <w:rFonts w:eastAsia="Times New Roman" w:cs="Arial"/>
                <w:szCs w:val="24"/>
                <w:lang w:eastAsia="en-GB"/>
              </w:rPr>
              <w:t>Heritage-led, Paris-centred, culturally rooted luxury storytelling</w:t>
            </w:r>
          </w:p>
        </w:tc>
        <w:tc>
          <w:tcPr>
            <w:tcW w:w="0" w:type="auto"/>
          </w:tcPr>
          <w:p w14:paraId="6887A2D2">
            <w:pPr>
              <w:spacing w:after="0" w:line="240" w:lineRule="auto"/>
              <w:jc w:val="center"/>
              <w:rPr>
                <w:rFonts w:eastAsia="Times New Roman" w:cs="Arial"/>
                <w:szCs w:val="24"/>
                <w:lang w:eastAsia="en-GB"/>
              </w:rPr>
            </w:pPr>
            <w:r>
              <w:rPr>
                <w:rFonts w:eastAsia="Times New Roman" w:cs="Arial"/>
                <w:szCs w:val="24"/>
                <w:lang w:eastAsia="en-GB"/>
              </w:rPr>
              <w:t>Prestige-led, refined communication aligned with trust and long-term credibility</w:t>
            </w:r>
          </w:p>
        </w:tc>
        <w:tc>
          <w:tcPr>
            <w:tcW w:w="0" w:type="auto"/>
          </w:tcPr>
          <w:p w14:paraId="5F014278">
            <w:pPr>
              <w:spacing w:after="0" w:line="240" w:lineRule="auto"/>
              <w:jc w:val="center"/>
              <w:rPr>
                <w:rFonts w:eastAsia="Times New Roman" w:cs="Arial"/>
                <w:szCs w:val="24"/>
                <w:lang w:eastAsia="en-GB"/>
              </w:rPr>
            </w:pPr>
            <w:r>
              <w:rPr>
                <w:rFonts w:eastAsia="Times New Roman" w:cs="Arial"/>
                <w:szCs w:val="24"/>
                <w:lang w:eastAsia="en-GB"/>
              </w:rPr>
              <w:t>Mostly standardised with slight adaptation</w:t>
            </w:r>
          </w:p>
        </w:tc>
        <w:tc>
          <w:tcPr>
            <w:tcW w:w="0" w:type="auto"/>
          </w:tcPr>
          <w:p w14:paraId="0358B728">
            <w:pPr>
              <w:spacing w:after="0" w:line="240" w:lineRule="auto"/>
              <w:jc w:val="center"/>
              <w:rPr>
                <w:rFonts w:eastAsia="Times New Roman" w:cs="Arial"/>
                <w:szCs w:val="24"/>
                <w:lang w:eastAsia="en-GB"/>
              </w:rPr>
            </w:pPr>
            <w:r>
              <w:rPr>
                <w:rFonts w:eastAsia="Times New Roman" w:cs="Arial"/>
                <w:szCs w:val="24"/>
                <w:lang w:eastAsia="en-GB"/>
              </w:rPr>
              <w:t>Global luxury tone should remain, but local resonance matters</w:t>
            </w:r>
          </w:p>
        </w:tc>
      </w:tr>
      <w:tr w14:paraId="583F6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08B925D9">
            <w:pPr>
              <w:spacing w:after="0" w:line="240" w:lineRule="auto"/>
              <w:jc w:val="left"/>
              <w:rPr>
                <w:rFonts w:eastAsia="Times New Roman" w:cs="Arial"/>
                <w:b/>
                <w:szCs w:val="24"/>
                <w:lang w:eastAsia="en-GB"/>
              </w:rPr>
            </w:pPr>
            <w:r>
              <w:rPr>
                <w:rFonts w:eastAsia="Times New Roman" w:cs="Arial"/>
                <w:b/>
                <w:szCs w:val="24"/>
                <w:lang w:eastAsia="en-GB"/>
              </w:rPr>
              <w:t>Place</w:t>
            </w:r>
          </w:p>
        </w:tc>
        <w:tc>
          <w:tcPr>
            <w:tcW w:w="0" w:type="auto"/>
          </w:tcPr>
          <w:p w14:paraId="074995B4">
            <w:pPr>
              <w:spacing w:after="0" w:line="240" w:lineRule="auto"/>
              <w:jc w:val="center"/>
              <w:rPr>
                <w:rFonts w:eastAsia="Times New Roman" w:cs="Arial"/>
                <w:szCs w:val="24"/>
                <w:lang w:eastAsia="en-GB"/>
              </w:rPr>
            </w:pPr>
            <w:r>
              <w:rPr>
                <w:rFonts w:eastAsia="Times New Roman" w:cs="Arial"/>
                <w:szCs w:val="24"/>
                <w:lang w:eastAsia="en-GB"/>
              </w:rPr>
              <w:t>Symbolic flagship and home-market legitimacy</w:t>
            </w:r>
          </w:p>
        </w:tc>
        <w:tc>
          <w:tcPr>
            <w:tcW w:w="0" w:type="auto"/>
          </w:tcPr>
          <w:p w14:paraId="1678232F">
            <w:pPr>
              <w:spacing w:after="0" w:line="240" w:lineRule="auto"/>
              <w:jc w:val="center"/>
              <w:rPr>
                <w:rFonts w:eastAsia="Times New Roman" w:cs="Arial"/>
                <w:szCs w:val="24"/>
                <w:lang w:eastAsia="en-GB"/>
              </w:rPr>
            </w:pPr>
            <w:r>
              <w:rPr>
                <w:rFonts w:eastAsia="Times New Roman" w:cs="Arial"/>
                <w:szCs w:val="24"/>
                <w:lang w:eastAsia="en-GB"/>
              </w:rPr>
              <w:t>Selective distribution in major premium urban retail spaces</w:t>
            </w:r>
          </w:p>
        </w:tc>
        <w:tc>
          <w:tcPr>
            <w:tcW w:w="0" w:type="auto"/>
          </w:tcPr>
          <w:p w14:paraId="69EDE6FD">
            <w:pPr>
              <w:spacing w:after="0" w:line="240" w:lineRule="auto"/>
              <w:jc w:val="center"/>
              <w:rPr>
                <w:rFonts w:eastAsia="Times New Roman" w:cs="Arial"/>
                <w:szCs w:val="24"/>
                <w:lang w:eastAsia="en-GB"/>
              </w:rPr>
            </w:pPr>
            <w:r>
              <w:rPr>
                <w:rFonts w:eastAsia="Times New Roman" w:cs="Arial"/>
                <w:szCs w:val="24"/>
                <w:lang w:eastAsia="en-GB"/>
              </w:rPr>
              <w:t>Adapted in execution</w:t>
            </w:r>
          </w:p>
        </w:tc>
        <w:tc>
          <w:tcPr>
            <w:tcW w:w="0" w:type="auto"/>
          </w:tcPr>
          <w:p w14:paraId="53F39B4C">
            <w:pPr>
              <w:spacing w:after="0" w:line="240" w:lineRule="auto"/>
              <w:jc w:val="center"/>
              <w:rPr>
                <w:rFonts w:eastAsia="Times New Roman" w:cs="Arial"/>
                <w:szCs w:val="24"/>
                <w:lang w:eastAsia="en-GB"/>
              </w:rPr>
            </w:pPr>
            <w:r>
              <w:rPr>
                <w:rFonts w:eastAsia="Times New Roman" w:cs="Arial"/>
                <w:szCs w:val="24"/>
                <w:lang w:eastAsia="en-GB"/>
              </w:rPr>
              <w:t>Japan requires especially careful retail-location strategy</w:t>
            </w:r>
          </w:p>
        </w:tc>
      </w:tr>
      <w:tr w14:paraId="25FEE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741E748C">
            <w:pPr>
              <w:spacing w:after="0" w:line="240" w:lineRule="auto"/>
              <w:jc w:val="left"/>
              <w:rPr>
                <w:rFonts w:eastAsia="Times New Roman" w:cs="Arial"/>
                <w:b/>
                <w:szCs w:val="24"/>
                <w:lang w:eastAsia="en-GB"/>
              </w:rPr>
            </w:pPr>
            <w:r>
              <w:rPr>
                <w:rFonts w:eastAsia="Times New Roman" w:cs="Arial"/>
                <w:b/>
                <w:szCs w:val="24"/>
                <w:lang w:eastAsia="en-GB"/>
              </w:rPr>
              <w:t>People / Process / Physical evidence</w:t>
            </w:r>
          </w:p>
        </w:tc>
        <w:tc>
          <w:tcPr>
            <w:tcW w:w="0" w:type="auto"/>
          </w:tcPr>
          <w:p w14:paraId="25A2118D">
            <w:pPr>
              <w:spacing w:after="0" w:line="240" w:lineRule="auto"/>
              <w:jc w:val="center"/>
              <w:rPr>
                <w:rFonts w:eastAsia="Times New Roman" w:cs="Arial"/>
                <w:szCs w:val="24"/>
                <w:lang w:eastAsia="en-GB"/>
              </w:rPr>
            </w:pPr>
            <w:r>
              <w:rPr>
                <w:rFonts w:eastAsia="Times New Roman" w:cs="Arial"/>
                <w:szCs w:val="24"/>
                <w:lang w:eastAsia="en-GB"/>
              </w:rPr>
              <w:t>Premium service and heritage atmosphere reinforce authenticity</w:t>
            </w:r>
          </w:p>
        </w:tc>
        <w:tc>
          <w:tcPr>
            <w:tcW w:w="0" w:type="auto"/>
          </w:tcPr>
          <w:p w14:paraId="010718C8">
            <w:pPr>
              <w:spacing w:after="0" w:line="240" w:lineRule="auto"/>
              <w:jc w:val="center"/>
              <w:rPr>
                <w:rFonts w:eastAsia="Times New Roman" w:cs="Arial"/>
                <w:szCs w:val="24"/>
                <w:lang w:eastAsia="en-GB"/>
              </w:rPr>
            </w:pPr>
            <w:r>
              <w:rPr>
                <w:rFonts w:eastAsia="Times New Roman" w:cs="Arial"/>
                <w:szCs w:val="24"/>
                <w:lang w:eastAsia="en-GB"/>
              </w:rPr>
              <w:t>Premium service, precision and presentation reinforce trust and prestige</w:t>
            </w:r>
          </w:p>
        </w:tc>
        <w:tc>
          <w:tcPr>
            <w:tcW w:w="0" w:type="auto"/>
          </w:tcPr>
          <w:p w14:paraId="5D51137A">
            <w:pPr>
              <w:spacing w:after="0" w:line="240" w:lineRule="auto"/>
              <w:jc w:val="center"/>
              <w:rPr>
                <w:rFonts w:eastAsia="Times New Roman" w:cs="Arial"/>
                <w:szCs w:val="24"/>
                <w:lang w:eastAsia="en-GB"/>
              </w:rPr>
            </w:pPr>
            <w:r>
              <w:rPr>
                <w:rFonts w:eastAsia="Times New Roman" w:cs="Arial"/>
                <w:szCs w:val="24"/>
                <w:lang w:eastAsia="en-GB"/>
              </w:rPr>
              <w:t>More adapted in Japan</w:t>
            </w:r>
          </w:p>
        </w:tc>
        <w:tc>
          <w:tcPr>
            <w:tcW w:w="0" w:type="auto"/>
          </w:tcPr>
          <w:p w14:paraId="7E934B9C">
            <w:pPr>
              <w:spacing w:after="0" w:line="240" w:lineRule="auto"/>
              <w:jc w:val="center"/>
              <w:rPr>
                <w:rFonts w:eastAsia="Times New Roman" w:cs="Arial"/>
                <w:szCs w:val="24"/>
                <w:lang w:eastAsia="en-GB"/>
              </w:rPr>
            </w:pPr>
            <w:r>
              <w:rPr>
                <w:rFonts w:eastAsia="Times New Roman" w:cs="Arial"/>
                <w:szCs w:val="24"/>
                <w:lang w:eastAsia="en-GB"/>
              </w:rPr>
              <w:t>Japan requires stronger execution quality in service and retail environment</w:t>
            </w:r>
          </w:p>
        </w:tc>
      </w:tr>
    </w:tbl>
    <w:p w14:paraId="58E3AD18"/>
    <w:p w14:paraId="2800DA28">
      <w:pPr>
        <w:pStyle w:val="2"/>
      </w:pPr>
      <w:bookmarkStart w:id="40" w:name="_Toc225400883"/>
      <w:bookmarkStart w:id="41" w:name="_Toc224134303"/>
      <w:r>
        <w:t>Directional Development in Japan</w:t>
      </w:r>
      <w:bookmarkEnd w:id="40"/>
      <w:bookmarkEnd w:id="41"/>
    </w:p>
    <w:p w14:paraId="6A0526E9">
      <w:r>
        <w:t>For Louis Vuitton, best described as a combination of market penetration and selective market development, the most appropriate directional development strategy in Japan is best understood. With the framework of Ansoff, market penetration is the enhancement of performance in an existing market by use of the existing products. On the other hand, market development is the expansion of presence within the same national market by use of new segments and locations or retail forms (Ansoff, 1957). Since Louis Vuitton is already well established in Japan, the priority is not basic market entry, but strengthening relevance in a mature and highly demanding luxury market.</w:t>
      </w:r>
    </w:p>
    <w:p w14:paraId="361B6122">
      <w:r>
        <w:t>Market penetration is still an appropriate strategy as Japan has a high level of brand awareness, luxury consumption history and an existing network of Louis Vuitton stores. Therefore, growth is more likely to come from deeper customer engagement, stronger clientele, enhanced Omni-channel service and greater retention of high-value local and tourist consumers rather than mass expansion. At the same time, selective market development is also relevant, in particular, through newer consumer segments, such as younger affluent buyers, digital luxury consumers, experience-oriented customers who seek cultural, artistic and service-based differentiation (Freire, 2014). This is fitting with Louis Vuitton's strategy because in the Japanese market, prestige, precision and long-term trust are valued, meaning that growth must come from refined relationship-building than aggressive volume expansion (Nagasawa, 2009; Donzé, 2022).</w:t>
      </w:r>
    </w:p>
    <w:p w14:paraId="4A2D8FE6">
      <w:r>
        <w:t>Strategically, this direction is favourable in that it gives Louis Vuitton the opportunity to preserve exclusivity, whilst also maintaining commercial growth. In other words, the brand should grow in Japan not by being broader and more accessible but by being more deeply embedded in the premium lifestyles and service expectations of its chosen target segments.</w:t>
      </w:r>
    </w:p>
    <w:p w14:paraId="0486B6A4">
      <w:pPr>
        <w:pStyle w:val="3"/>
      </w:pPr>
      <w:bookmarkStart w:id="42" w:name="_Toc224134304"/>
      <w:bookmarkStart w:id="43" w:name="_Toc225400884"/>
      <w:r>
        <w:t>Ethical Issues for Louis Vuitton</w:t>
      </w:r>
      <w:bookmarkEnd w:id="42"/>
      <w:bookmarkEnd w:id="43"/>
    </w:p>
    <w:p w14:paraId="654E7C26">
      <w:r>
        <w:t>One key ethical issue for Louis Vuitton in both France and Japan is sustainability and responsible luxury production. Luxury brands often position themselves around craftsmanship, durability and timeless value, but they are not immune from criticism in terms of materials sourcing, impact on the environment, waste and transparency through the supply chain. This is particularly significant due to the fact that the consumers of the current market are becoming more demanding as they want premium brands that not only promise prestige, but also responsible business practices as well. Ethically, Louis Vuitton is thus under increasing pressure to make sure that the symbolic meaning of luxury is not restricted to heritage and exclusivity, but also to legitimate environmental and social responsibility.</w:t>
      </w:r>
    </w:p>
    <w:p w14:paraId="07FB28DB">
      <w:r>
        <w:t>The strategic implication of this problem in the two countries is different though the setting is the same. Ethical scrutiny is more prevalent in France due to the increased policy interest and discussion of sustainability in the fashion and luxury industries. The pressure in Japan might be less regulatory, but consumers still highly value quality, trust and long-term brand credibility. Therefore, failure to address sustainability in a convincing manner could do its damage to Louis Vuitton's acceptance in both markets, even if the nature of stakeholder expectations differ. This is especially important because, the weakness of ethics in luxury can seem contradictory: a brand that claims to possess timeless value but is perceived as environmentally irresponsible runs the risk of destroying its own logic of prestige.</w:t>
      </w:r>
    </w:p>
    <w:p w14:paraId="771C80D3">
      <w:r>
        <w:t>At the same time, this challenge also brings with it an opportunity. Because Louis Vuitton already emphasizes craftsmanship, repair, durability and long product life, it is well-positioned to align luxury with more sustainable consumption. Ethically, then, sustainability is a risk and strategic opportunity for the brand (Kapferer and Bastien, 2012).</w:t>
      </w:r>
    </w:p>
    <w:p w14:paraId="3D05C468">
      <w:pPr>
        <w:pStyle w:val="2"/>
      </w:pPr>
      <w:bookmarkStart w:id="44" w:name="_Toc225400885"/>
      <w:bookmarkStart w:id="45" w:name="_Toc224134305"/>
      <w:r>
        <w:t>Recommendations</w:t>
      </w:r>
      <w:bookmarkEnd w:id="44"/>
      <w:bookmarkEnd w:id="45"/>
    </w:p>
    <w:p w14:paraId="19440730">
      <w:r>
        <w:t>First, Louis Vuitton should strengthen its service-led localisation strategy in Japan without compromising on its global luxury identity. The previous analysis indicates that Japan is very favourable for Louis Vuitton, especially since consumers have a great emphasis on precision, long-term value, presentation and service quality. Therefore, the brand should continue to invest in training staff, appointment selling, personalising clienteling and after-sales excellence in Japan. This would support the people, process and physical evidence elements of the marketing mix and help ensure that the symbolic prestige of the brand is fully matched by execution quality at store level (Kotler and Keller, 2016; Donze, 2022).</w:t>
      </w:r>
    </w:p>
    <w:p w14:paraId="7AA206FA">
      <w:r>
        <w:t>Second, instead of broad accessibility, Louis Vuitton needs to deepen its relationship with younger affluent and digitally engaged consumers in Japan through selective market development. This could include culturally relevant exhibitions, artistic collaborations, and exclusive digital content and stronger Omni-channel luxury experiences. Such a strategy would enable the brand to maintain its desirability among new segments without losing the element of scarcity and prestige, which is in line with luxury brand management principles (Kapferer and Bastien, 2012).</w:t>
      </w:r>
    </w:p>
    <w:p w14:paraId="3F0BA632">
      <w:r>
        <w:t>Third, Louis Vuitton needs to enhance sustainability communication in France and Japan in order to make its sustainability message more visible and relevant. With ethical demands constantly increasing, the brand ought to bring craftsmanship, durability, repair and responsible sourcing closer to its luxury value proposition. This would contribute to the minimization of reputational risk and increase long-term legitimacy in the home and host market.</w:t>
      </w:r>
    </w:p>
    <w:p w14:paraId="659B7148">
      <w:pPr>
        <w:pStyle w:val="7"/>
        <w:keepNext/>
      </w:pPr>
      <w:r>
        <w:t xml:space="preserve">Table </w:t>
      </w:r>
      <w:r>
        <w:fldChar w:fldCharType="begin"/>
      </w:r>
      <w:r>
        <w:instrText xml:space="preserve"> SEQ Table \* ARABIC </w:instrText>
      </w:r>
      <w:r>
        <w:fldChar w:fldCharType="separate"/>
      </w:r>
      <w:r>
        <w:t>5</w:t>
      </w:r>
      <w:r>
        <w:fldChar w:fldCharType="end"/>
      </w:r>
      <w:r>
        <w:t>: Strategic Recommendations for Louis Vuitton</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14"/>
        <w:gridCol w:w="2749"/>
        <w:gridCol w:w="1127"/>
        <w:gridCol w:w="2786"/>
      </w:tblGrid>
      <w:tr w14:paraId="13A99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3DAB0E37">
            <w:pPr>
              <w:spacing w:after="0" w:line="240" w:lineRule="auto"/>
              <w:jc w:val="center"/>
              <w:rPr>
                <w:rFonts w:eastAsia="Times New Roman" w:cs="Arial"/>
                <w:b/>
                <w:bCs/>
                <w:szCs w:val="24"/>
                <w:lang w:eastAsia="en-GB"/>
              </w:rPr>
            </w:pPr>
            <w:r>
              <w:rPr>
                <w:rFonts w:eastAsia="Times New Roman" w:cs="Arial"/>
                <w:b/>
                <w:bCs/>
                <w:szCs w:val="24"/>
                <w:lang w:eastAsia="en-GB"/>
              </w:rPr>
              <w:t>Recommendation</w:t>
            </w:r>
          </w:p>
        </w:tc>
        <w:tc>
          <w:tcPr>
            <w:tcW w:w="0" w:type="auto"/>
          </w:tcPr>
          <w:p w14:paraId="090E0D1F">
            <w:pPr>
              <w:spacing w:after="0" w:line="240" w:lineRule="auto"/>
              <w:jc w:val="center"/>
              <w:rPr>
                <w:rFonts w:eastAsia="Times New Roman" w:cs="Arial"/>
                <w:b/>
                <w:bCs/>
                <w:szCs w:val="24"/>
                <w:lang w:eastAsia="en-GB"/>
              </w:rPr>
            </w:pPr>
            <w:r>
              <w:rPr>
                <w:rFonts w:eastAsia="Times New Roman" w:cs="Arial"/>
                <w:b/>
                <w:bCs/>
                <w:szCs w:val="24"/>
                <w:lang w:eastAsia="en-GB"/>
              </w:rPr>
              <w:t>Rationale</w:t>
            </w:r>
          </w:p>
        </w:tc>
        <w:tc>
          <w:tcPr>
            <w:tcW w:w="0" w:type="auto"/>
          </w:tcPr>
          <w:p w14:paraId="036C9BED">
            <w:pPr>
              <w:spacing w:after="0" w:line="240" w:lineRule="auto"/>
              <w:jc w:val="center"/>
              <w:rPr>
                <w:rFonts w:eastAsia="Times New Roman" w:cs="Arial"/>
                <w:b/>
                <w:bCs/>
                <w:szCs w:val="24"/>
                <w:lang w:eastAsia="en-GB"/>
              </w:rPr>
            </w:pPr>
            <w:r>
              <w:rPr>
                <w:rFonts w:eastAsia="Times New Roman" w:cs="Arial"/>
                <w:b/>
                <w:bCs/>
                <w:szCs w:val="24"/>
                <w:lang w:eastAsia="en-GB"/>
              </w:rPr>
              <w:t>Market focus</w:t>
            </w:r>
          </w:p>
        </w:tc>
        <w:tc>
          <w:tcPr>
            <w:tcW w:w="0" w:type="auto"/>
          </w:tcPr>
          <w:p w14:paraId="10F71C0B">
            <w:pPr>
              <w:spacing w:after="0" w:line="240" w:lineRule="auto"/>
              <w:jc w:val="center"/>
              <w:rPr>
                <w:rFonts w:eastAsia="Times New Roman" w:cs="Arial"/>
                <w:b/>
                <w:bCs/>
                <w:szCs w:val="24"/>
                <w:lang w:eastAsia="en-GB"/>
              </w:rPr>
            </w:pPr>
            <w:r>
              <w:rPr>
                <w:rFonts w:eastAsia="Times New Roman" w:cs="Arial"/>
                <w:b/>
                <w:bCs/>
                <w:szCs w:val="24"/>
                <w:lang w:eastAsia="en-GB"/>
              </w:rPr>
              <w:t>Expected benefit</w:t>
            </w:r>
          </w:p>
        </w:tc>
      </w:tr>
      <w:tr w14:paraId="3EB03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006031E7">
            <w:pPr>
              <w:spacing w:after="0" w:line="240" w:lineRule="auto"/>
              <w:jc w:val="left"/>
              <w:rPr>
                <w:rFonts w:eastAsia="Times New Roman" w:cs="Arial"/>
                <w:szCs w:val="24"/>
                <w:lang w:eastAsia="en-GB"/>
              </w:rPr>
            </w:pPr>
            <w:r>
              <w:rPr>
                <w:rFonts w:eastAsia="Times New Roman" w:cs="Arial"/>
                <w:szCs w:val="24"/>
                <w:lang w:eastAsia="en-GB"/>
              </w:rPr>
              <w:t>Strengthen service-led localisation in Japan</w:t>
            </w:r>
          </w:p>
        </w:tc>
        <w:tc>
          <w:tcPr>
            <w:tcW w:w="0" w:type="auto"/>
          </w:tcPr>
          <w:p w14:paraId="11E938DE">
            <w:pPr>
              <w:spacing w:after="0" w:line="240" w:lineRule="auto"/>
              <w:jc w:val="center"/>
              <w:rPr>
                <w:rFonts w:eastAsia="Times New Roman" w:cs="Arial"/>
                <w:szCs w:val="24"/>
                <w:lang w:eastAsia="en-GB"/>
              </w:rPr>
            </w:pPr>
            <w:r>
              <w:rPr>
                <w:rFonts w:eastAsia="Times New Roman" w:cs="Arial"/>
                <w:szCs w:val="24"/>
                <w:lang w:eastAsia="en-GB"/>
              </w:rPr>
              <w:t>Japanese consumers place especially high value on precision, presentation and service quality</w:t>
            </w:r>
          </w:p>
        </w:tc>
        <w:tc>
          <w:tcPr>
            <w:tcW w:w="0" w:type="auto"/>
          </w:tcPr>
          <w:p w14:paraId="1891E9CB">
            <w:pPr>
              <w:spacing w:after="0" w:line="240" w:lineRule="auto"/>
              <w:jc w:val="center"/>
              <w:rPr>
                <w:rFonts w:eastAsia="Times New Roman" w:cs="Arial"/>
                <w:szCs w:val="24"/>
                <w:lang w:eastAsia="en-GB"/>
              </w:rPr>
            </w:pPr>
            <w:r>
              <w:rPr>
                <w:rFonts w:eastAsia="Times New Roman" w:cs="Arial"/>
                <w:szCs w:val="24"/>
                <w:lang w:eastAsia="en-GB"/>
              </w:rPr>
              <w:t>Japan</w:t>
            </w:r>
          </w:p>
        </w:tc>
        <w:tc>
          <w:tcPr>
            <w:tcW w:w="0" w:type="auto"/>
          </w:tcPr>
          <w:p w14:paraId="3293F807">
            <w:pPr>
              <w:spacing w:after="0" w:line="240" w:lineRule="auto"/>
              <w:jc w:val="center"/>
              <w:rPr>
                <w:rFonts w:eastAsia="Times New Roman" w:cs="Arial"/>
                <w:szCs w:val="24"/>
                <w:lang w:eastAsia="en-GB"/>
              </w:rPr>
            </w:pPr>
            <w:r>
              <w:rPr>
                <w:rFonts w:eastAsia="Times New Roman" w:cs="Arial"/>
                <w:szCs w:val="24"/>
                <w:lang w:eastAsia="en-GB"/>
              </w:rPr>
              <w:t>Stronger customer satisfaction, loyalty and premium brand experience</w:t>
            </w:r>
          </w:p>
        </w:tc>
      </w:tr>
      <w:tr w14:paraId="4AF0A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4546A20A">
            <w:pPr>
              <w:spacing w:after="0" w:line="240" w:lineRule="auto"/>
              <w:jc w:val="left"/>
              <w:rPr>
                <w:rFonts w:eastAsia="Times New Roman" w:cs="Arial"/>
                <w:szCs w:val="24"/>
                <w:lang w:eastAsia="en-GB"/>
              </w:rPr>
            </w:pPr>
            <w:r>
              <w:rPr>
                <w:rFonts w:eastAsia="Times New Roman" w:cs="Arial"/>
                <w:szCs w:val="24"/>
                <w:lang w:eastAsia="en-GB"/>
              </w:rPr>
              <w:t>Deepen engagement with younger affluent and digitally active consumers</w:t>
            </w:r>
          </w:p>
        </w:tc>
        <w:tc>
          <w:tcPr>
            <w:tcW w:w="0" w:type="auto"/>
          </w:tcPr>
          <w:p w14:paraId="2A8595C1">
            <w:pPr>
              <w:spacing w:after="0" w:line="240" w:lineRule="auto"/>
              <w:jc w:val="center"/>
              <w:rPr>
                <w:rFonts w:eastAsia="Times New Roman" w:cs="Arial"/>
                <w:szCs w:val="24"/>
                <w:lang w:eastAsia="en-GB"/>
              </w:rPr>
            </w:pPr>
            <w:r>
              <w:rPr>
                <w:rFonts w:eastAsia="Times New Roman" w:cs="Arial"/>
                <w:szCs w:val="24"/>
                <w:lang w:eastAsia="en-GB"/>
              </w:rPr>
              <w:t>Growth in Japan is more likely to come from selective market development than broad expansion</w:t>
            </w:r>
          </w:p>
        </w:tc>
        <w:tc>
          <w:tcPr>
            <w:tcW w:w="0" w:type="auto"/>
          </w:tcPr>
          <w:p w14:paraId="7A77B1E6">
            <w:pPr>
              <w:spacing w:after="0" w:line="240" w:lineRule="auto"/>
              <w:jc w:val="center"/>
              <w:rPr>
                <w:rFonts w:eastAsia="Times New Roman" w:cs="Arial"/>
                <w:szCs w:val="24"/>
                <w:lang w:eastAsia="en-GB"/>
              </w:rPr>
            </w:pPr>
            <w:r>
              <w:rPr>
                <w:rFonts w:eastAsia="Times New Roman" w:cs="Arial"/>
                <w:szCs w:val="24"/>
                <w:lang w:eastAsia="en-GB"/>
              </w:rPr>
              <w:t>Japan</w:t>
            </w:r>
          </w:p>
        </w:tc>
        <w:tc>
          <w:tcPr>
            <w:tcW w:w="0" w:type="auto"/>
          </w:tcPr>
          <w:p w14:paraId="072FBD9A">
            <w:pPr>
              <w:spacing w:after="0" w:line="240" w:lineRule="auto"/>
              <w:jc w:val="center"/>
              <w:rPr>
                <w:rFonts w:eastAsia="Times New Roman" w:cs="Arial"/>
                <w:szCs w:val="24"/>
                <w:lang w:eastAsia="en-GB"/>
              </w:rPr>
            </w:pPr>
            <w:r>
              <w:rPr>
                <w:rFonts w:eastAsia="Times New Roman" w:cs="Arial"/>
                <w:szCs w:val="24"/>
                <w:lang w:eastAsia="en-GB"/>
              </w:rPr>
              <w:t>Better long-term relevance among new luxury consumers without weakening exclusivity</w:t>
            </w:r>
          </w:p>
        </w:tc>
      </w:tr>
      <w:tr w14:paraId="6BCF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6BE2FDF6">
            <w:pPr>
              <w:spacing w:after="0" w:line="240" w:lineRule="auto"/>
              <w:jc w:val="left"/>
              <w:rPr>
                <w:rFonts w:eastAsia="Times New Roman" w:cs="Arial"/>
                <w:szCs w:val="24"/>
                <w:lang w:eastAsia="en-GB"/>
              </w:rPr>
            </w:pPr>
            <w:r>
              <w:rPr>
                <w:rFonts w:eastAsia="Times New Roman" w:cs="Arial"/>
                <w:szCs w:val="24"/>
                <w:lang w:eastAsia="en-GB"/>
              </w:rPr>
              <w:t>Make sustainability communication clearer and more visible</w:t>
            </w:r>
          </w:p>
        </w:tc>
        <w:tc>
          <w:tcPr>
            <w:tcW w:w="0" w:type="auto"/>
          </w:tcPr>
          <w:p w14:paraId="10C4973F">
            <w:pPr>
              <w:spacing w:after="0" w:line="240" w:lineRule="auto"/>
              <w:jc w:val="center"/>
              <w:rPr>
                <w:rFonts w:eastAsia="Times New Roman" w:cs="Arial"/>
                <w:szCs w:val="24"/>
                <w:lang w:eastAsia="en-GB"/>
              </w:rPr>
            </w:pPr>
            <w:r>
              <w:rPr>
                <w:rFonts w:eastAsia="Times New Roman" w:cs="Arial"/>
                <w:szCs w:val="24"/>
                <w:lang w:eastAsia="en-GB"/>
              </w:rPr>
              <w:t>Ethical expectations are rising in both markets and luxury brands face scrutiny over responsibility</w:t>
            </w:r>
          </w:p>
        </w:tc>
        <w:tc>
          <w:tcPr>
            <w:tcW w:w="0" w:type="auto"/>
          </w:tcPr>
          <w:p w14:paraId="662D3144">
            <w:pPr>
              <w:spacing w:after="0" w:line="240" w:lineRule="auto"/>
              <w:jc w:val="center"/>
              <w:rPr>
                <w:rFonts w:eastAsia="Times New Roman" w:cs="Arial"/>
                <w:szCs w:val="24"/>
                <w:lang w:eastAsia="en-GB"/>
              </w:rPr>
            </w:pPr>
            <w:r>
              <w:rPr>
                <w:rFonts w:eastAsia="Times New Roman" w:cs="Arial"/>
                <w:szCs w:val="24"/>
                <w:lang w:eastAsia="en-GB"/>
              </w:rPr>
              <w:t>France and Japan</w:t>
            </w:r>
          </w:p>
        </w:tc>
        <w:tc>
          <w:tcPr>
            <w:tcW w:w="0" w:type="auto"/>
          </w:tcPr>
          <w:p w14:paraId="1F274C83">
            <w:pPr>
              <w:spacing w:after="0" w:line="240" w:lineRule="auto"/>
              <w:jc w:val="center"/>
              <w:rPr>
                <w:rFonts w:eastAsia="Times New Roman" w:cs="Arial"/>
                <w:szCs w:val="24"/>
                <w:lang w:eastAsia="en-GB"/>
              </w:rPr>
            </w:pPr>
            <w:r>
              <w:rPr>
                <w:rFonts w:eastAsia="Times New Roman" w:cs="Arial"/>
                <w:szCs w:val="24"/>
                <w:lang w:eastAsia="en-GB"/>
              </w:rPr>
              <w:t>Reduced reputational risk and stronger long-term legitimacy</w:t>
            </w:r>
          </w:p>
        </w:tc>
      </w:tr>
      <w:tr w14:paraId="0035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722BEDDB">
            <w:pPr>
              <w:spacing w:after="0" w:line="240" w:lineRule="auto"/>
              <w:jc w:val="left"/>
              <w:rPr>
                <w:rFonts w:eastAsia="Times New Roman" w:cs="Arial"/>
                <w:szCs w:val="24"/>
                <w:lang w:eastAsia="en-GB"/>
              </w:rPr>
            </w:pPr>
            <w:r>
              <w:rPr>
                <w:rFonts w:eastAsia="Times New Roman" w:cs="Arial"/>
                <w:szCs w:val="24"/>
                <w:lang w:eastAsia="en-GB"/>
              </w:rPr>
              <w:t>Preserve core global luxury identity while adapting execution selectively</w:t>
            </w:r>
          </w:p>
        </w:tc>
        <w:tc>
          <w:tcPr>
            <w:tcW w:w="0" w:type="auto"/>
          </w:tcPr>
          <w:p w14:paraId="32740E9E">
            <w:pPr>
              <w:spacing w:after="0" w:line="240" w:lineRule="auto"/>
              <w:jc w:val="center"/>
              <w:rPr>
                <w:rFonts w:eastAsia="Times New Roman" w:cs="Arial"/>
                <w:szCs w:val="24"/>
                <w:lang w:eastAsia="en-GB"/>
              </w:rPr>
            </w:pPr>
            <w:r>
              <w:rPr>
                <w:rFonts w:eastAsia="Times New Roman" w:cs="Arial"/>
                <w:szCs w:val="24"/>
                <w:lang w:eastAsia="en-GB"/>
              </w:rPr>
              <w:t>Louis Vuitton’s strength lies in consistency, but market expectations differ across home and host country</w:t>
            </w:r>
          </w:p>
        </w:tc>
        <w:tc>
          <w:tcPr>
            <w:tcW w:w="0" w:type="auto"/>
          </w:tcPr>
          <w:p w14:paraId="1B96FE8C">
            <w:pPr>
              <w:spacing w:after="0" w:line="240" w:lineRule="auto"/>
              <w:jc w:val="center"/>
              <w:rPr>
                <w:rFonts w:eastAsia="Times New Roman" w:cs="Arial"/>
                <w:szCs w:val="24"/>
                <w:lang w:eastAsia="en-GB"/>
              </w:rPr>
            </w:pPr>
            <w:r>
              <w:rPr>
                <w:rFonts w:eastAsia="Times New Roman" w:cs="Arial"/>
                <w:szCs w:val="24"/>
                <w:lang w:eastAsia="en-GB"/>
              </w:rPr>
              <w:t>France and Japan</w:t>
            </w:r>
          </w:p>
        </w:tc>
        <w:tc>
          <w:tcPr>
            <w:tcW w:w="0" w:type="auto"/>
          </w:tcPr>
          <w:p w14:paraId="2AE8E034">
            <w:pPr>
              <w:spacing w:after="0" w:line="240" w:lineRule="auto"/>
              <w:jc w:val="center"/>
              <w:rPr>
                <w:rFonts w:eastAsia="Times New Roman" w:cs="Arial"/>
                <w:szCs w:val="24"/>
                <w:lang w:eastAsia="en-GB"/>
              </w:rPr>
            </w:pPr>
            <w:r>
              <w:rPr>
                <w:rFonts w:eastAsia="Times New Roman" w:cs="Arial"/>
                <w:szCs w:val="24"/>
                <w:lang w:eastAsia="en-GB"/>
              </w:rPr>
              <w:t>Better balance between global brand equity and local market responsiveness</w:t>
            </w:r>
          </w:p>
        </w:tc>
      </w:tr>
    </w:tbl>
    <w:p w14:paraId="55DB7B47"/>
    <w:p w14:paraId="632B211F">
      <w:pPr>
        <w:pStyle w:val="2"/>
      </w:pPr>
      <w:bookmarkStart w:id="46" w:name="_Toc225400886"/>
      <w:r>
        <w:t>Conclusion</w:t>
      </w:r>
      <w:bookmarkEnd w:id="46"/>
    </w:p>
    <w:p w14:paraId="63CED774">
      <w:r>
        <w:t>This report has demonstrated that France and Japan are favourable conditions to Louis Vuitton but in varied ways. France is a key location because it is the country of origin of the brand. France provides heritage, authenticity and symbolic authority for the brand. Japan is also a very attractive foreign market.  Its political stability, professional culture of luxury, high service standards, and more emphasis in high regards of prestigious foreign brand in the long-run is some of the reasons behind that. A comparison of the macro-environment, STPs and 7Ps recommends that Louis Vuitton is successful because it has a consistent global luxury identity but engages in limited local customizations. Overall, the most appropriate strategic pathway is to maintain brand exclusivity and even to keep enhancing service quality in the market as also developing customer relationships along with ethical credibility especially in the Japanese market.</w:t>
      </w:r>
    </w:p>
    <w:p w14:paraId="1375275F">
      <w:pPr>
        <w:pStyle w:val="2"/>
      </w:pPr>
      <w:bookmarkStart w:id="47" w:name="_Toc225400887"/>
      <w:r>
        <w:t>Section 2: Reflection</w:t>
      </w:r>
      <w:bookmarkEnd w:id="47"/>
    </w:p>
    <w:p w14:paraId="4BDF5A2C">
      <w:pPr>
        <w:pStyle w:val="3"/>
      </w:pPr>
      <w:bookmarkStart w:id="48" w:name="_Toc225400888"/>
      <w:r>
        <w:t>Description</w:t>
      </w:r>
      <w:bookmarkEnd w:id="48"/>
    </w:p>
    <w:p w14:paraId="66F908BA">
      <w:r>
        <w:t>For Section 1 of this assignment I began by reading the module brief and the general feedback provided by the teacher very carefully so I was able to understand what type of analysis was required. I chose Louis Vuitton in France and Japan, as Louis Vuitton is a well-recognised luxury brand, France is Louis Vuitton's home country and Japan is one of the most developed and rich countries in the world. I felt this would provide me with a good home country and host country comparison. I also thought that Japan was a good market to host this since consumers in Japan are known as being fashion conscious and ready to spend on great products.</w:t>
      </w:r>
    </w:p>
    <w:p w14:paraId="0D38D548">
      <w:r>
        <w:t>In order to conduct research for the report I have used international marketing books, academic journal articles on luxury brand and sources that are related to Louis Vuitton and macro environment of both countries. For exact data and country indicators, I used sources such as the World Bank, IMF and OECD. After that, I organised the report into the required sections, including the macroenvironment, STP, 7Ps, directional development, ethical issues, recommendations and conclusion.</w:t>
      </w:r>
    </w:p>
    <w:p w14:paraId="4BCEE6D4">
      <w:pPr>
        <w:pStyle w:val="3"/>
      </w:pPr>
      <w:bookmarkStart w:id="49" w:name="_Toc225400889"/>
      <w:r>
        <w:t>Feelings</w:t>
      </w:r>
      <w:bookmarkEnd w:id="49"/>
    </w:p>
    <w:p w14:paraId="045CB0CB">
      <w:r>
        <w:t>At the beginning I was very confused and stressed. One of the reasons was that I spent too much time deciding upon the topic because I wanted to have something strong enough to be a distinction, but something different from what many other students could choose. I also struggled with the research stage initially as there were too many weak sources and I wasn't always certain which ones were suitable for the postgraduate-level work.</w:t>
      </w:r>
    </w:p>
    <w:p w14:paraId="4B1609E6">
      <w:r>
        <w:t>I was more confident as I continued. This occurred when I found better academic sources and also when the structure of the report became clearer. By the end, I was much more satisfied because I was able to transform an unclear beginning into a report with a more logical structure and more academic direction.</w:t>
      </w:r>
    </w:p>
    <w:p w14:paraId="70CF3A07">
      <w:pPr>
        <w:pStyle w:val="3"/>
      </w:pPr>
      <w:bookmarkStart w:id="50" w:name="_Toc225400890"/>
      <w:r>
        <w:t>Evaluation</w:t>
      </w:r>
      <w:bookmarkEnd w:id="50"/>
    </w:p>
    <w:p w14:paraId="1D840093">
      <w:r>
        <w:t>In retrospect, one of the best choices that I have possible made was to select this topic. Louis Vuitton in France and Japan provided me with sufficient depth to analyse in a proper fashion and it also made my report seem a little less similar to others. A second good aspect of the process was the quality of the sources I discovered after I refined the search. As I started to be more selective, I could apply theory more effectively, and the comparison of the two countries became even more vivid. I believe the form of the report also got better once I revised it.</w:t>
      </w:r>
    </w:p>
    <w:p w14:paraId="6930B7C2">
      <w:r>
        <w:t xml:space="preserve">Meanwhile, it was not an easy ride since the start. The initial step was not efficient because I began too general and I gathered a lot of sources which I realised were not helpful. It was also challenging to maintain a critical rather than a descriptive writing at times. There were parts where I might be stating how France and Japan were dissimilar, yet I was not always making it clear why those distinctions were significant to Louis Vuitton. Word limit of the report was also a major challenge as I had to be concise while providing sufficient analysis. </w:t>
      </w:r>
    </w:p>
    <w:p w14:paraId="3D4AB4F2">
      <w:pPr>
        <w:pStyle w:val="3"/>
      </w:pPr>
      <w:bookmarkStart w:id="51" w:name="_Toc225400891"/>
      <w:r>
        <w:t>Analysis</w:t>
      </w:r>
      <w:bookmarkEnd w:id="51"/>
    </w:p>
    <w:p w14:paraId="5E5F8CF0">
      <w:r>
        <w:t>I was significantly helped and guided by the feedback of the teacher while trying to improve the report. Initially, I was largely preoccupied with gathering data and I believed that as long as I had facts, the report would automatically be a good one. I later came to realise that this was not the truth. The feedback was clear that it could not be satisfied by mere information description. I had to incorporate more theory, not to say general thing, and clarify more precisely what each point meant to Louis Vuitton.</w:t>
      </w:r>
    </w:p>
    <w:p w14:paraId="2CAC9871">
      <w:r>
        <w:t>This altered my approach to the report. Rather than just listing the differences between France and Japan, I began to think a little harder about whether a factor was favourable or unfavourable to the brand and why. I also understood that the comparison between the two countries was necessary on equal grounds, otherwise the report would not be balanced. This assisted me in making my discussion narrower, particularly in the PESTLE, STP and 7ps sections.</w:t>
      </w:r>
    </w:p>
    <w:p w14:paraId="557C188A">
      <w:r>
        <w:t>The other valuable lesson that I have learned concerned source choice. I found that academic books and journal articles were far more beneficial in explaining theory and concepts, whereas the IMF, World Bank and OECD sources proved useful when it comes to precise figures and current country specifics. This became simpler once I had a better understanding of this and was able to distinguish between theoretical discourse and factual evidence and that made my report better overall.</w:t>
      </w:r>
    </w:p>
    <w:p w14:paraId="3761B7F1">
      <w:pPr>
        <w:pStyle w:val="3"/>
      </w:pPr>
      <w:bookmarkStart w:id="52" w:name="_Toc225400892"/>
      <w:r>
        <w:t>Conclusion</w:t>
      </w:r>
      <w:bookmarkEnd w:id="52"/>
    </w:p>
    <w:p w14:paraId="23F6ED6F">
      <w:r>
        <w:t>Overall, this process enhanced my knowledge of international marketing, luxury branding, home and host country comparison, academic writing and source selection. I learned that a strong report is not made by gathering as much information as possible, but based on picking relevant evidence and making a proper use of theory and a clear critical argument.</w:t>
      </w:r>
    </w:p>
    <w:p w14:paraId="34FC604D">
      <w:pPr>
        <w:pStyle w:val="3"/>
      </w:pPr>
      <w:bookmarkStart w:id="53" w:name="_Toc225400893"/>
      <w:r>
        <w:t>Action Plan</w:t>
      </w:r>
      <w:bookmarkEnd w:id="53"/>
    </w:p>
    <w:p w14:paraId="360BF798">
      <w:r>
        <w:t>If I were to do this again, I would source map much earlier and separate theory sources and factual data sources from the outset. I would also draw up some comparison tables before writing the draft, so that both countries remain balanced throughout the report. Most importantly, I would follow on the feedback from the teacher from the beginning and use more of the journal articles early on in the process. This will help me to save time and to conduct stronger analysis overall.</w:t>
      </w:r>
    </w:p>
    <w:p w14:paraId="6A028CA9">
      <w:pPr>
        <w:spacing w:line="276" w:lineRule="auto"/>
        <w:jc w:val="left"/>
        <w:rPr>
          <w:rFonts w:eastAsiaTheme="majorEastAsia" w:cstheme="majorBidi"/>
          <w:b/>
          <w:bCs/>
          <w:color w:val="000000" w:themeColor="text1"/>
          <w:sz w:val="32"/>
          <w:szCs w:val="28"/>
          <w14:textFill>
            <w14:solidFill>
              <w14:schemeClr w14:val="tx1"/>
            </w14:solidFill>
          </w14:textFill>
        </w:rPr>
      </w:pPr>
      <w:r>
        <w:br w:type="page"/>
      </w:r>
    </w:p>
    <w:p w14:paraId="761DA0B7">
      <w:pPr>
        <w:pStyle w:val="2"/>
      </w:pPr>
      <w:bookmarkStart w:id="54" w:name="_Toc225400894"/>
      <w:r>
        <w:t>References</w:t>
      </w:r>
      <w:bookmarkEnd w:id="54"/>
    </w:p>
    <w:p w14:paraId="3A20469F">
      <w:r>
        <w:t xml:space="preserve">Ansoff, H.I. (1957) ‘Strategies for diversification’, </w:t>
      </w:r>
      <w:r>
        <w:rPr>
          <w:i/>
          <w:iCs/>
        </w:rPr>
        <w:t>Harvard Business Review</w:t>
      </w:r>
      <w:r>
        <w:t>, 35(5), pp. 113–124.</w:t>
      </w:r>
    </w:p>
    <w:p w14:paraId="1FE01F78">
      <w:r>
        <w:t xml:space="preserve">Blythe, J. (2013) </w:t>
      </w:r>
      <w:r>
        <w:rPr>
          <w:i/>
          <w:iCs/>
        </w:rPr>
        <w:t>Principles and Practice of Marketing</w:t>
      </w:r>
      <w:r>
        <w:t>. 3rd edn. London: Sage.</w:t>
      </w:r>
    </w:p>
    <w:p w14:paraId="7B69E895">
      <w:r>
        <w:t>Cateora, P.R., Gilly, M.C. and Graham, J.L., (2024). International Marketing nineteenth edition.</w:t>
      </w:r>
    </w:p>
    <w:p w14:paraId="17C837A0">
      <w:r>
        <w:t xml:space="preserve">Chatterjee, A.B., (2020). Strategic Analysis-Understanding the Global Luxury Brand A case study on LVMH. Asian Journal of Multidisciplinary Studies, 8, p.5. </w:t>
      </w:r>
    </w:p>
    <w:p w14:paraId="6645175C">
      <w:r>
        <w:t>Donzé, P.Y., 2022. Luxury business in Japan. The Oxford handbook of luxury business, pp.445-460.</w:t>
      </w:r>
    </w:p>
    <w:p w14:paraId="381D4B27">
      <w:r>
        <w:t xml:space="preserve">European Union (2025) </w:t>
      </w:r>
      <w:r>
        <w:rPr>
          <w:i/>
          <w:iCs/>
        </w:rPr>
        <w:t>France – EU country</w:t>
      </w:r>
      <w:r>
        <w:t>. Brussels: European Union.</w:t>
      </w:r>
    </w:p>
    <w:p w14:paraId="670B41ED">
      <w:r>
        <w:t>Freire, N.A., 2014. When luxury advertising adds the identitary values of luxury: A semiotic analysis. </w:t>
      </w:r>
      <w:r>
        <w:rPr>
          <w:i/>
          <w:iCs/>
        </w:rPr>
        <w:t>Journal of Business Research</w:t>
      </w:r>
      <w:r>
        <w:t>, </w:t>
      </w:r>
      <w:r>
        <w:rPr>
          <w:i/>
          <w:iCs/>
        </w:rPr>
        <w:t>67</w:t>
      </w:r>
      <w:r>
        <w:t>(12), pp.2666-2675.</w:t>
      </w:r>
    </w:p>
    <w:p w14:paraId="67429F8B">
      <w:r>
        <w:t xml:space="preserve">Gupta, A. (2013) ‘Environment &amp; PEST analysis: an approach to external business environment’, </w:t>
      </w:r>
      <w:r>
        <w:rPr>
          <w:i/>
          <w:iCs/>
        </w:rPr>
        <w:t>International Journal of Modern Social Sciences</w:t>
      </w:r>
      <w:r>
        <w:t>, 2(1), pp. 34–43.</w:t>
      </w:r>
    </w:p>
    <w:p w14:paraId="1022F50B">
      <w:r>
        <w:t xml:space="preserve">Hofstede, G. (2001) </w:t>
      </w:r>
      <w:r>
        <w:rPr>
          <w:i/>
          <w:iCs/>
        </w:rPr>
        <w:t>Culture’s Consequences: Comparing Values, Behaviors, Institutions and Organizations across Nations</w:t>
      </w:r>
      <w:r>
        <w:t>. 2nd ed. Thousand Oaks, CA: Sage.</w:t>
      </w:r>
    </w:p>
    <w:p w14:paraId="50A16531">
      <w:r>
        <w:t>IMF (2025) World Economic Outlook Database, April 2025 Edition. Washington, DC: International Monetary Fund.</w:t>
      </w:r>
    </w:p>
    <w:p w14:paraId="3D0658D5">
      <w:r>
        <w:t xml:space="preserve">Isozaki, Y. and Donzé, P.Y. (2022) ‘Dominance versus collaboration models: French and Italian luxury fashion brands in Japan’, </w:t>
      </w:r>
      <w:r>
        <w:rPr>
          <w:i/>
          <w:iCs/>
        </w:rPr>
        <w:t>Journal of Global Fashion Marketing</w:t>
      </w:r>
      <w:r>
        <w:t>, 13(4), pp. 394–408.</w:t>
      </w:r>
    </w:p>
    <w:p w14:paraId="6F355F3D">
      <w:r>
        <w:t xml:space="preserve">Kapferer, J.-N. and Bastien, V. (2012) </w:t>
      </w:r>
      <w:r>
        <w:rPr>
          <w:i/>
          <w:iCs/>
        </w:rPr>
        <w:t>The Luxury Strategy: Break the Rules of Marketing to Build Luxury Brands</w:t>
      </w:r>
      <w:r>
        <w:t>. 2nd edn. London: Kogan Page.</w:t>
      </w:r>
    </w:p>
    <w:p w14:paraId="180E608B">
      <w:r>
        <w:t xml:space="preserve">Kotler, P. and Keller, K.L. (2016) </w:t>
      </w:r>
      <w:r>
        <w:rPr>
          <w:i/>
          <w:iCs/>
        </w:rPr>
        <w:t>Marketing Management</w:t>
      </w:r>
      <w:r>
        <w:t>. 15th edn. Harlow: Pearson.</w:t>
      </w:r>
    </w:p>
    <w:p w14:paraId="06A393E5">
      <w:r>
        <w:t>Masè, S. and Cedrola, E., 2017. Louis Vuitton’s art-based strategy to communicate exclusivity and prestige. In </w:t>
      </w:r>
      <w:r>
        <w:rPr>
          <w:i/>
          <w:iCs/>
        </w:rPr>
        <w:t>Fashion branding and communication: core strategies of European luxury brands</w:t>
      </w:r>
      <w:r>
        <w:t> (pp. 155-184). New York: Palgrave Macmillan US.</w:t>
      </w:r>
    </w:p>
    <w:p w14:paraId="79DE03C6">
      <w:r>
        <w:t xml:space="preserve">Moore, C.M., Doherty, A.M. and Doyle, S.A. (2010) ‘Flagship stores as a market entry method: the perspective of luxury fashion retailing’, </w:t>
      </w:r>
      <w:r>
        <w:rPr>
          <w:i/>
          <w:iCs/>
        </w:rPr>
        <w:t>European Journal of Marketing</w:t>
      </w:r>
      <w:r>
        <w:t>, 44(1/2), pp. 139–161.</w:t>
      </w:r>
    </w:p>
    <w:p w14:paraId="79EB173C">
      <w:r>
        <w:t xml:space="preserve">Nachon, M. (2016) </w:t>
      </w:r>
      <w:r>
        <w:rPr>
          <w:i/>
          <w:iCs/>
        </w:rPr>
        <w:t>The Consumption of Luxury Brands in Japan: The Success of Louis Vuitton in Japan 1978–2016</w:t>
      </w:r>
      <w:r>
        <w:t>. University of Haifa.</w:t>
      </w:r>
    </w:p>
    <w:p w14:paraId="6C013437">
      <w:r>
        <w:t xml:space="preserve">Nagasawa, S.Y. (2009) ‘Luxury brand strategy of Louis Vuitton: details of marketing principles’, </w:t>
      </w:r>
      <w:r>
        <w:rPr>
          <w:i/>
          <w:iCs/>
        </w:rPr>
        <w:t>Waseda Business and Economic Studies</w:t>
      </w:r>
      <w:r>
        <w:t>, 45, pp. 21–40.</w:t>
      </w:r>
    </w:p>
    <w:p w14:paraId="5440CA2D">
      <w:r>
        <w:t xml:space="preserve">OECD (2024) </w:t>
      </w:r>
      <w:r>
        <w:rPr>
          <w:i/>
          <w:iCs/>
        </w:rPr>
        <w:t>Extended Producer Responsibility in the Garments Sector</w:t>
      </w:r>
      <w:r>
        <w:t>. Paris: OECD Publishing.</w:t>
      </w:r>
    </w:p>
    <w:p w14:paraId="384D787E">
      <w:r>
        <w:t xml:space="preserve">OECD (2025) </w:t>
      </w:r>
      <w:r>
        <w:rPr>
          <w:i/>
          <w:iCs/>
        </w:rPr>
        <w:t>Unemployment rates remained stable in the majority of OECD countries in September 2025</w:t>
      </w:r>
      <w:r>
        <w:t>. Paris: OECD, 13 November.</w:t>
      </w:r>
    </w:p>
    <w:p w14:paraId="2B598ACE">
      <w:r>
        <w:t xml:space="preserve">Reuters (2025a) Thomas, L. (2025) ‘France’s political uncertainty has a toll, affects confidence, growth, Villeroy says’, </w:t>
      </w:r>
      <w:r>
        <w:rPr>
          <w:i/>
          <w:iCs/>
        </w:rPr>
        <w:t>Reuters</w:t>
      </w:r>
      <w:r>
        <w:t>, 10 October.</w:t>
      </w:r>
    </w:p>
    <w:p w14:paraId="0748092B">
      <w:r>
        <w:t xml:space="preserve">Reuters (2025b) Thomas, L. and Bahceli, Y. (2025) ‘Crisis-prone France sinks deeper into debt quagmire’, </w:t>
      </w:r>
      <w:r>
        <w:rPr>
          <w:i/>
          <w:iCs/>
        </w:rPr>
        <w:t>Reuters</w:t>
      </w:r>
      <w:r>
        <w:t>, 9 September.</w:t>
      </w:r>
    </w:p>
    <w:p w14:paraId="4B4F9E63">
      <w:r>
        <w:t xml:space="preserve">Riot, E., Chamaret, C. and Rigaud, E. (2013) ‘Murakami on the bag: Louis Vuitton’s decommoditization strategy’, </w:t>
      </w:r>
      <w:r>
        <w:rPr>
          <w:i/>
          <w:iCs/>
        </w:rPr>
        <w:t>International Journal of Retail &amp; Distribution Management</w:t>
      </w:r>
      <w:r>
        <w:t>, 41(11/12), pp. 919–939.</w:t>
      </w:r>
    </w:p>
    <w:p w14:paraId="319DCE53">
      <w:r>
        <w:t xml:space="preserve">Slade, T., (2020). Decolonizing luxury fashion in Japan. Fashion Theory, 24(6), pp.837-857. </w:t>
      </w:r>
    </w:p>
    <w:p w14:paraId="36B56D3A">
      <w:r>
        <w:t xml:space="preserve">The Culture Factor (2026) </w:t>
      </w:r>
      <w:r>
        <w:rPr>
          <w:i/>
          <w:iCs/>
        </w:rPr>
        <w:t>Country comparison tool</w:t>
      </w:r>
      <w:r>
        <w:t>. Helvoirt: The Culture Factor Group.</w:t>
      </w:r>
    </w:p>
    <w:p w14:paraId="4C096DCE">
      <w:r>
        <w:t xml:space="preserve">WIPO (2025) </w:t>
      </w:r>
      <w:r>
        <w:rPr>
          <w:i/>
          <w:iCs/>
        </w:rPr>
        <w:t>Global Innovation Index 2025: Innovation at a Crossroads: Charting the Future</w:t>
      </w:r>
      <w:r>
        <w:t>. Geneva: World Intellectual Property Organization.</w:t>
      </w:r>
    </w:p>
    <w:p w14:paraId="25F0BBDD">
      <w:r>
        <w:t xml:space="preserve">World Bank (2025) </w:t>
      </w:r>
      <w:r>
        <w:rPr>
          <w:i/>
          <w:iCs/>
        </w:rPr>
        <w:t>Worldwide Governance Indicators</w:t>
      </w:r>
      <w:r>
        <w:t>. Washington, DC: World Bank.</w:t>
      </w:r>
    </w:p>
    <w:p w14:paraId="32AEE926"/>
    <w:sectPr>
      <w:footerReference r:id="rId5" w:type="default"/>
      <w:pgSz w:w="12240" w:h="15840"/>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8017594"/>
      <w:docPartObj>
        <w:docPartGallery w:val="AutoText"/>
      </w:docPartObj>
    </w:sdtPr>
    <w:sdtContent>
      <w:p w14:paraId="4ED6BB69">
        <w:pPr>
          <w:pStyle w:val="8"/>
          <w:jc w:val="right"/>
        </w:pPr>
        <w:r>
          <w:fldChar w:fldCharType="begin"/>
        </w:r>
        <w:r>
          <w:instrText xml:space="preserve"> PAGE   \* MERGEFORMAT </w:instrText>
        </w:r>
        <w:r>
          <w:fldChar w:fldCharType="separate"/>
        </w:r>
        <w:r>
          <w:t>2</w:t>
        </w:r>
        <w:r>
          <w:fldChar w:fldCharType="end"/>
        </w:r>
      </w:p>
    </w:sdtContent>
  </w:sdt>
  <w:p w14:paraId="3B289487">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documentProtection w:enforcement="0"/>
  <w:defaultTabStop w:val="720"/>
  <w:drawingGridHorizontalSpacing w:val="120"/>
  <w:displayHorizont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346"/>
    <w:rsid w:val="00002992"/>
    <w:rsid w:val="00002A05"/>
    <w:rsid w:val="000278E5"/>
    <w:rsid w:val="00027D9C"/>
    <w:rsid w:val="0003701C"/>
    <w:rsid w:val="00064D1A"/>
    <w:rsid w:val="00064E83"/>
    <w:rsid w:val="00095C7B"/>
    <w:rsid w:val="000A7613"/>
    <w:rsid w:val="000C0BA3"/>
    <w:rsid w:val="000E2871"/>
    <w:rsid w:val="000F4E59"/>
    <w:rsid w:val="001503BB"/>
    <w:rsid w:val="0017285F"/>
    <w:rsid w:val="001735EE"/>
    <w:rsid w:val="00181BB8"/>
    <w:rsid w:val="00192C3A"/>
    <w:rsid w:val="001C32CC"/>
    <w:rsid w:val="00283AB1"/>
    <w:rsid w:val="002C3155"/>
    <w:rsid w:val="002D4ED4"/>
    <w:rsid w:val="003703C4"/>
    <w:rsid w:val="0037072E"/>
    <w:rsid w:val="003719F0"/>
    <w:rsid w:val="00374610"/>
    <w:rsid w:val="003D0B8E"/>
    <w:rsid w:val="003E65BF"/>
    <w:rsid w:val="00441776"/>
    <w:rsid w:val="004817FA"/>
    <w:rsid w:val="00495658"/>
    <w:rsid w:val="004E0D88"/>
    <w:rsid w:val="00560AA1"/>
    <w:rsid w:val="00564903"/>
    <w:rsid w:val="00611A64"/>
    <w:rsid w:val="0061244D"/>
    <w:rsid w:val="006770C1"/>
    <w:rsid w:val="006940A4"/>
    <w:rsid w:val="0078017E"/>
    <w:rsid w:val="007C4F31"/>
    <w:rsid w:val="007D5140"/>
    <w:rsid w:val="007F7239"/>
    <w:rsid w:val="00811AD8"/>
    <w:rsid w:val="00840241"/>
    <w:rsid w:val="00862790"/>
    <w:rsid w:val="00862BE8"/>
    <w:rsid w:val="008A6E42"/>
    <w:rsid w:val="008D3595"/>
    <w:rsid w:val="00917CCC"/>
    <w:rsid w:val="00922AB4"/>
    <w:rsid w:val="009873A3"/>
    <w:rsid w:val="009E33C4"/>
    <w:rsid w:val="00A20F1E"/>
    <w:rsid w:val="00A727D3"/>
    <w:rsid w:val="00A76FD4"/>
    <w:rsid w:val="00A92880"/>
    <w:rsid w:val="00AB1792"/>
    <w:rsid w:val="00B13FB4"/>
    <w:rsid w:val="00BE6346"/>
    <w:rsid w:val="00C421BE"/>
    <w:rsid w:val="00C42A99"/>
    <w:rsid w:val="00C50B53"/>
    <w:rsid w:val="00C9236A"/>
    <w:rsid w:val="00CB61F7"/>
    <w:rsid w:val="00CC53AA"/>
    <w:rsid w:val="00D04268"/>
    <w:rsid w:val="00D35183"/>
    <w:rsid w:val="00D62CD7"/>
    <w:rsid w:val="00E2252C"/>
    <w:rsid w:val="00E311E8"/>
    <w:rsid w:val="00E6790E"/>
    <w:rsid w:val="00F02A9C"/>
    <w:rsid w:val="00F85DFF"/>
    <w:rsid w:val="00F978A2"/>
    <w:rsid w:val="66764B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Arial" w:hAnsi="Arial" w:eastAsiaTheme="minorEastAsia" w:cstheme="minorBidi"/>
      <w:sz w:val="24"/>
      <w:szCs w:val="22"/>
      <w:lang w:val="en-GB" w:eastAsia="en-US" w:bidi="ar-SA"/>
    </w:rPr>
  </w:style>
  <w:style w:type="paragraph" w:styleId="2">
    <w:name w:val="heading 1"/>
    <w:basedOn w:val="1"/>
    <w:next w:val="1"/>
    <w:link w:val="14"/>
    <w:qFormat/>
    <w:uiPriority w:val="9"/>
    <w:pPr>
      <w:keepNext/>
      <w:keepLines/>
      <w:spacing w:before="240" w:after="0"/>
      <w:outlineLvl w:val="0"/>
    </w:pPr>
    <w:rPr>
      <w:rFonts w:eastAsiaTheme="majorEastAsia" w:cstheme="majorBidi"/>
      <w:b/>
      <w:bCs/>
      <w:color w:val="000000" w:themeColor="text1"/>
      <w:sz w:val="32"/>
      <w:szCs w:val="28"/>
      <w14:textFill>
        <w14:solidFill>
          <w14:schemeClr w14:val="tx1"/>
        </w14:solidFill>
      </w14:textFill>
    </w:rPr>
  </w:style>
  <w:style w:type="paragraph" w:styleId="3">
    <w:name w:val="heading 2"/>
    <w:basedOn w:val="1"/>
    <w:next w:val="1"/>
    <w:link w:val="15"/>
    <w:unhideWhenUsed/>
    <w:qFormat/>
    <w:uiPriority w:val="9"/>
    <w:pPr>
      <w:keepNext/>
      <w:keepLines/>
      <w:spacing w:before="200" w:after="0"/>
      <w:outlineLvl w:val="1"/>
    </w:pPr>
    <w:rPr>
      <w:rFonts w:eastAsiaTheme="majorEastAsia" w:cstheme="majorBidi"/>
      <w:b/>
      <w:bCs/>
      <w:i/>
      <w:color w:val="1F497D" w:themeColor="text2"/>
      <w:sz w:val="28"/>
      <w:szCs w:val="26"/>
      <w14:textFill>
        <w14:solidFill>
          <w14:schemeClr w14:val="tx2"/>
        </w14:solidFill>
      </w14:textFill>
    </w:rPr>
  </w:style>
  <w:style w:type="paragraph" w:styleId="4">
    <w:name w:val="heading 3"/>
    <w:basedOn w:val="1"/>
    <w:next w:val="1"/>
    <w:link w:val="16"/>
    <w:semiHidden/>
    <w:unhideWhenUsed/>
    <w:qFormat/>
    <w:uiPriority w:val="9"/>
    <w:pPr>
      <w:keepNext/>
      <w:keepLines/>
      <w:spacing w:before="200" w:after="0"/>
      <w:outlineLvl w:val="2"/>
    </w:pPr>
    <w:rPr>
      <w:rFonts w:eastAsiaTheme="majorEastAsia" w:cstheme="majorBidi"/>
      <w:b/>
      <w:bCs/>
      <w:color w:val="4F81BD" w:themeColor="accent1"/>
      <w:sz w:val="26"/>
      <w14:textFill>
        <w14:solidFill>
          <w14:schemeClr w14:val="accent1"/>
        </w14:solidFill>
      </w14:textFill>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caption"/>
    <w:basedOn w:val="1"/>
    <w:next w:val="1"/>
    <w:unhideWhenUsed/>
    <w:qFormat/>
    <w:uiPriority w:val="35"/>
    <w:pPr>
      <w:spacing w:line="240" w:lineRule="auto"/>
    </w:pPr>
    <w:rPr>
      <w:i/>
      <w:iCs/>
      <w:color w:val="1F497D" w:themeColor="text2"/>
      <w:sz w:val="18"/>
      <w:szCs w:val="18"/>
      <w14:textFill>
        <w14:solidFill>
          <w14:schemeClr w14:val="tx2"/>
        </w14:solidFill>
      </w14:textFill>
    </w:rPr>
  </w:style>
  <w:style w:type="paragraph" w:styleId="8">
    <w:name w:val="footer"/>
    <w:basedOn w:val="1"/>
    <w:link w:val="18"/>
    <w:unhideWhenUsed/>
    <w:uiPriority w:val="99"/>
    <w:pPr>
      <w:tabs>
        <w:tab w:val="center" w:pos="4680"/>
        <w:tab w:val="right" w:pos="9360"/>
      </w:tabs>
      <w:spacing w:after="0" w:line="240" w:lineRule="auto"/>
    </w:pPr>
  </w:style>
  <w:style w:type="paragraph" w:styleId="9">
    <w:name w:val="header"/>
    <w:basedOn w:val="1"/>
    <w:link w:val="17"/>
    <w:semiHidden/>
    <w:unhideWhenUsed/>
    <w:uiPriority w:val="99"/>
    <w:pPr>
      <w:tabs>
        <w:tab w:val="center" w:pos="4680"/>
        <w:tab w:val="right" w:pos="9360"/>
      </w:tabs>
      <w:spacing w:after="0" w:line="240" w:lineRule="auto"/>
    </w:pPr>
  </w:style>
  <w:style w:type="character" w:styleId="10">
    <w:name w:val="Hyperlink"/>
    <w:basedOn w:val="5"/>
    <w:unhideWhenUsed/>
    <w:uiPriority w:val="99"/>
    <w:rPr>
      <w:color w:val="0000FF" w:themeColor="hyperlink"/>
      <w:u w:val="single"/>
      <w14:textFill>
        <w14:solidFill>
          <w14:schemeClr w14:val="hlink"/>
        </w14:solidFill>
      </w14:textFill>
    </w:rPr>
  </w:style>
  <w:style w:type="table" w:styleId="11">
    <w:name w:val="Table Grid"/>
    <w:basedOn w:val="6"/>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2">
    <w:name w:val="toc 1"/>
    <w:basedOn w:val="1"/>
    <w:next w:val="1"/>
    <w:autoRedefine/>
    <w:unhideWhenUsed/>
    <w:uiPriority w:val="39"/>
    <w:pPr>
      <w:spacing w:after="100"/>
    </w:pPr>
  </w:style>
  <w:style w:type="paragraph" w:styleId="13">
    <w:name w:val="toc 2"/>
    <w:basedOn w:val="1"/>
    <w:next w:val="1"/>
    <w:autoRedefine/>
    <w:unhideWhenUsed/>
    <w:uiPriority w:val="39"/>
    <w:pPr>
      <w:spacing w:after="100"/>
      <w:ind w:left="240"/>
    </w:pPr>
  </w:style>
  <w:style w:type="character" w:customStyle="1" w:styleId="14">
    <w:name w:val="Heading 1 Char"/>
    <w:basedOn w:val="5"/>
    <w:link w:val="2"/>
    <w:uiPriority w:val="9"/>
    <w:rPr>
      <w:rFonts w:ascii="Arial" w:hAnsi="Arial" w:eastAsiaTheme="majorEastAsia" w:cstheme="majorBidi"/>
      <w:b/>
      <w:bCs/>
      <w:color w:val="000000" w:themeColor="text1"/>
      <w:sz w:val="32"/>
      <w:szCs w:val="28"/>
      <w14:textFill>
        <w14:solidFill>
          <w14:schemeClr w14:val="tx1"/>
        </w14:solidFill>
      </w14:textFill>
    </w:rPr>
  </w:style>
  <w:style w:type="character" w:customStyle="1" w:styleId="15">
    <w:name w:val="Heading 2 Char"/>
    <w:basedOn w:val="5"/>
    <w:link w:val="3"/>
    <w:uiPriority w:val="9"/>
    <w:rPr>
      <w:rFonts w:ascii="Arial" w:hAnsi="Arial" w:eastAsiaTheme="majorEastAsia" w:cstheme="majorBidi"/>
      <w:b/>
      <w:bCs/>
      <w:i/>
      <w:color w:val="1F497D" w:themeColor="text2"/>
      <w:sz w:val="28"/>
      <w:szCs w:val="26"/>
      <w14:textFill>
        <w14:solidFill>
          <w14:schemeClr w14:val="tx2"/>
        </w14:solidFill>
      </w14:textFill>
    </w:rPr>
  </w:style>
  <w:style w:type="character" w:customStyle="1" w:styleId="16">
    <w:name w:val="Heading 3 Char"/>
    <w:basedOn w:val="5"/>
    <w:link w:val="4"/>
    <w:semiHidden/>
    <w:uiPriority w:val="9"/>
    <w:rPr>
      <w:rFonts w:ascii="Times New Roman" w:hAnsi="Times New Roman" w:eastAsiaTheme="majorEastAsia" w:cstheme="majorBidi"/>
      <w:b/>
      <w:bCs/>
      <w:color w:val="4F81BD" w:themeColor="accent1"/>
      <w:sz w:val="26"/>
      <w14:textFill>
        <w14:solidFill>
          <w14:schemeClr w14:val="accent1"/>
        </w14:solidFill>
      </w14:textFill>
    </w:rPr>
  </w:style>
  <w:style w:type="character" w:customStyle="1" w:styleId="17">
    <w:name w:val="Header Char"/>
    <w:basedOn w:val="5"/>
    <w:link w:val="9"/>
    <w:semiHidden/>
    <w:uiPriority w:val="99"/>
    <w:rPr>
      <w:rFonts w:ascii="Times New Roman" w:hAnsi="Times New Roman"/>
      <w:sz w:val="24"/>
    </w:rPr>
  </w:style>
  <w:style w:type="character" w:customStyle="1" w:styleId="18">
    <w:name w:val="Footer Char"/>
    <w:basedOn w:val="5"/>
    <w:link w:val="8"/>
    <w:uiPriority w:val="99"/>
    <w:rPr>
      <w:rFonts w:ascii="Times New Roman" w:hAnsi="Times New Roman"/>
      <w:sz w:val="24"/>
    </w:rPr>
  </w:style>
  <w:style w:type="paragraph" w:customStyle="1" w:styleId="19">
    <w:name w:val="TOC Heading"/>
    <w:basedOn w:val="2"/>
    <w:next w:val="1"/>
    <w:unhideWhenUsed/>
    <w:qFormat/>
    <w:uiPriority w:val="39"/>
    <w:pPr>
      <w:spacing w:line="259" w:lineRule="auto"/>
      <w:jc w:val="left"/>
      <w:outlineLvl w:val="9"/>
    </w:pPr>
    <w:rPr>
      <w:rFonts w:asciiTheme="majorHAnsi" w:hAnsiTheme="majorHAnsi"/>
      <w:b w:val="0"/>
      <w:bCs w:val="0"/>
      <w:color w:val="376092" w:themeColor="accent1" w:themeShade="BF"/>
      <w:szCs w:val="32"/>
    </w:rPr>
  </w:style>
  <w:style w:type="paragraph" w:styleId="20">
    <w:name w:val="List Paragraph"/>
    <w:basedOn w:val="1"/>
    <w:qFormat/>
    <w:uiPriority w:val="34"/>
    <w:pPr>
      <w:ind w:left="720"/>
      <w:contextualSpacing/>
    </w:pPr>
  </w:style>
  <w:style w:type="table" w:customStyle="1" w:styleId="21">
    <w:name w:val="List Table 6 Colorful"/>
    <w:basedOn w:val="6"/>
    <w:uiPriority w:val="51"/>
    <w:pPr>
      <w:spacing w:after="0" w:line="240" w:lineRule="auto"/>
    </w:pPr>
    <w:rPr>
      <w:color w:val="000000" w:themeColor="text1"/>
      <w14:textFill>
        <w14:solidFill>
          <w14:schemeClr w14:val="tx1"/>
        </w14:solidFill>
      </w14:textFill>
    </w:r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b/>
        <w:bCs/>
      </w:rPr>
      <w:tcPr>
        <w:tcBorders>
          <w:bottom w:val="single" w:color="000000" w:themeColor="text1" w:sz="4"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47AC60-C1FC-4411-B7F6-79E7475168E7}">
  <ds:schemaRefs/>
</ds:datastoreItem>
</file>

<file path=docProps/app.xml><?xml version="1.0" encoding="utf-8"?>
<Properties xmlns="http://schemas.openxmlformats.org/officeDocument/2006/extended-properties" xmlns:vt="http://schemas.openxmlformats.org/officeDocument/2006/docPropsVTypes">
  <Template>Normal</Template>
  <Pages>30</Pages>
  <Words>7298</Words>
  <Characters>42787</Characters>
  <Lines>372</Lines>
  <Paragraphs>104</Paragraphs>
  <TotalTime>347</TotalTime>
  <ScaleCrop>false</ScaleCrop>
  <LinksUpToDate>false</LinksUpToDate>
  <CharactersWithSpaces>49854</CharactersWithSpaces>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2026-03-11T17:57:00Z</dcterms:created>
  <dc:creator>Sabbir</dc:creator>
  <cp:lastModifiedBy>Bishazit</cp:lastModifiedBy>
  <dcterms:modified xsi:type="dcterms:W3CDTF">2026-03-27T00:37:36Z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1033-12.2.0.23197</vt:lpwstr>
  </property>
  <property fmtid="{D5CDD505-2E9C-101B-9397-08002B2CF9AE}" pid="3" name="ICV">
    <vt:lpwstr>973CF02F82F9440AAD0A0F37CA1477D3_12</vt:lpwstr>
  </property>
</Properties>
</file>