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361263F" w14:textId="020C2882" w:rsidR="003D62AF" w:rsidRPr="00A830D5" w:rsidRDefault="00702A7E" w:rsidP="00165D23">
      <w:pPr>
        <w:spacing w:before="200"/>
        <w:ind w:firstLine="720"/>
        <w:jc w:val="center"/>
        <w:rPr>
          <w:rFonts w:cs="Arial"/>
          <w:b/>
          <w:sz w:val="22"/>
          <w:szCs w:val="22"/>
        </w:rPr>
      </w:pPr>
      <w:r w:rsidRPr="00A830D5">
        <w:rPr>
          <w:rFonts w:cs="Arial"/>
          <w:b/>
          <w:sz w:val="22"/>
          <w:szCs w:val="22"/>
        </w:rPr>
        <w:t xml:space="preserve">PG1 - </w:t>
      </w:r>
      <w:r w:rsidR="00474F13" w:rsidRPr="00A830D5">
        <w:rPr>
          <w:rFonts w:cs="Arial"/>
          <w:b/>
          <w:sz w:val="22"/>
          <w:szCs w:val="22"/>
        </w:rPr>
        <w:t>FULL RESEARCH PROPOSAL</w:t>
      </w:r>
    </w:p>
    <w:p w14:paraId="4104E7DF" w14:textId="131FCF2C" w:rsidR="003D62AF" w:rsidRDefault="003D62AF">
      <w:pPr>
        <w:rPr>
          <w:rFonts w:cs="Arial"/>
          <w:b/>
          <w:sz w:val="22"/>
          <w:szCs w:val="22"/>
        </w:rPr>
      </w:pPr>
    </w:p>
    <w:tbl>
      <w:tblPr>
        <w:tblStyle w:val="ac"/>
        <w:tblW w:w="9776" w:type="dxa"/>
        <w:tblLook w:val="04A0" w:firstRow="1" w:lastRow="0" w:firstColumn="1" w:lastColumn="0" w:noHBand="0" w:noVBand="1"/>
      </w:tblPr>
      <w:tblGrid>
        <w:gridCol w:w="9776"/>
      </w:tblGrid>
      <w:tr w:rsidR="00AC4DCF" w14:paraId="26929870" w14:textId="77777777" w:rsidTr="00AC4DCF">
        <w:tc>
          <w:tcPr>
            <w:tcW w:w="9776" w:type="dxa"/>
          </w:tcPr>
          <w:p w14:paraId="4CEC7C83" w14:textId="6E74E3D4" w:rsidR="00476944" w:rsidRDefault="00AC4DCF" w:rsidP="00AC4DC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sz w:val="22"/>
                <w:szCs w:val="22"/>
              </w:rPr>
            </w:pPr>
            <w:r w:rsidRPr="00A830D5">
              <w:rPr>
                <w:rFonts w:cs="Arial"/>
                <w:sz w:val="22"/>
                <w:szCs w:val="22"/>
              </w:rPr>
              <w:t xml:space="preserve">This form is to be completed by both the student and supervisory team within </w:t>
            </w:r>
            <w:r w:rsidRPr="00A830D5">
              <w:rPr>
                <w:rFonts w:cs="Arial"/>
                <w:b/>
                <w:sz w:val="22"/>
                <w:szCs w:val="22"/>
              </w:rPr>
              <w:t>THREE</w:t>
            </w:r>
            <w:r w:rsidRPr="00A830D5">
              <w:rPr>
                <w:rFonts w:cs="Arial"/>
                <w:sz w:val="22"/>
                <w:szCs w:val="22"/>
              </w:rPr>
              <w:t xml:space="preserve"> months for full</w:t>
            </w:r>
            <w:r>
              <w:rPr>
                <w:rFonts w:cs="Arial"/>
                <w:sz w:val="22"/>
                <w:szCs w:val="22"/>
              </w:rPr>
              <w:t>-</w:t>
            </w:r>
            <w:r w:rsidRPr="00A830D5">
              <w:rPr>
                <w:rFonts w:cs="Arial"/>
                <w:sz w:val="22"/>
                <w:szCs w:val="22"/>
              </w:rPr>
              <w:t xml:space="preserve">time students and </w:t>
            </w:r>
            <w:r w:rsidRPr="00A830D5">
              <w:rPr>
                <w:rFonts w:cs="Arial"/>
                <w:b/>
                <w:sz w:val="22"/>
                <w:szCs w:val="22"/>
              </w:rPr>
              <w:t xml:space="preserve">SIX </w:t>
            </w:r>
            <w:r w:rsidRPr="00A830D5">
              <w:rPr>
                <w:rFonts w:cs="Arial"/>
                <w:sz w:val="22"/>
                <w:szCs w:val="22"/>
              </w:rPr>
              <w:t>months for part</w:t>
            </w:r>
            <w:r w:rsidR="008F7314">
              <w:rPr>
                <w:rFonts w:cs="Arial"/>
                <w:sz w:val="22"/>
                <w:szCs w:val="22"/>
              </w:rPr>
              <w:t>-</w:t>
            </w:r>
            <w:r w:rsidRPr="00A830D5">
              <w:rPr>
                <w:rFonts w:cs="Arial"/>
                <w:sz w:val="22"/>
                <w:szCs w:val="22"/>
              </w:rPr>
              <w:t>time students, after the commencement of the research degree or</w:t>
            </w:r>
            <w:r w:rsidR="005A6F56">
              <w:rPr>
                <w:rFonts w:cs="Arial"/>
                <w:sz w:val="22"/>
                <w:szCs w:val="22"/>
              </w:rPr>
              <w:t xml:space="preserve"> </w:t>
            </w:r>
            <w:r w:rsidR="00DB03EA">
              <w:rPr>
                <w:rFonts w:cs="Arial"/>
                <w:sz w:val="22"/>
                <w:szCs w:val="22"/>
              </w:rPr>
              <w:t xml:space="preserve">following progression to </w:t>
            </w:r>
            <w:r w:rsidRPr="00A830D5">
              <w:rPr>
                <w:rFonts w:cs="Arial"/>
                <w:sz w:val="22"/>
                <w:szCs w:val="22"/>
              </w:rPr>
              <w:t>Part Two</w:t>
            </w:r>
            <w:r w:rsidR="00DB03EA">
              <w:rPr>
                <w:rFonts w:cs="Arial"/>
                <w:sz w:val="22"/>
                <w:szCs w:val="22"/>
              </w:rPr>
              <w:t xml:space="preserve"> of your course</w:t>
            </w:r>
            <w:r w:rsidRPr="00A830D5">
              <w:rPr>
                <w:rFonts w:cs="Arial"/>
                <w:sz w:val="22"/>
                <w:szCs w:val="22"/>
              </w:rPr>
              <w:t xml:space="preserve">. </w:t>
            </w:r>
          </w:p>
          <w:p w14:paraId="47E429F6" w14:textId="77777777" w:rsidR="00476944" w:rsidRDefault="00476944" w:rsidP="00AC4DC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bCs/>
                <w:sz w:val="22"/>
                <w:szCs w:val="22"/>
              </w:rPr>
            </w:pPr>
          </w:p>
          <w:p w14:paraId="11A5E303" w14:textId="4CA058C9" w:rsidR="008D129A" w:rsidRDefault="004F5A06" w:rsidP="00B079A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bCs/>
                <w:sz w:val="22"/>
                <w:szCs w:val="22"/>
              </w:rPr>
            </w:pPr>
            <w:r w:rsidRPr="00A42F82">
              <w:rPr>
                <w:rFonts w:cs="Arial"/>
                <w:bCs/>
                <w:sz w:val="22"/>
                <w:szCs w:val="22"/>
              </w:rPr>
              <w:t xml:space="preserve">Once complete, submit this form via the </w:t>
            </w:r>
            <w:proofErr w:type="spellStart"/>
            <w:r w:rsidRPr="00A42F82">
              <w:rPr>
                <w:rFonts w:cs="Arial"/>
                <w:b/>
                <w:i/>
                <w:iCs/>
                <w:sz w:val="22"/>
                <w:szCs w:val="22"/>
                <w:u w:val="single"/>
              </w:rPr>
              <w:t>MyTSD</w:t>
            </w:r>
            <w:proofErr w:type="spellEnd"/>
            <w:r w:rsidRPr="00A42F82">
              <w:rPr>
                <w:rFonts w:cs="Arial"/>
                <w:b/>
                <w:i/>
                <w:iCs/>
                <w:sz w:val="22"/>
                <w:szCs w:val="22"/>
                <w:u w:val="single"/>
              </w:rPr>
              <w:t xml:space="preserve"> </w:t>
            </w:r>
            <w:r>
              <w:rPr>
                <w:rFonts w:cs="Arial"/>
                <w:b/>
                <w:i/>
                <w:iCs/>
                <w:sz w:val="22"/>
                <w:szCs w:val="22"/>
                <w:u w:val="single"/>
              </w:rPr>
              <w:t xml:space="preserve">Doctoral College </w:t>
            </w:r>
            <w:r w:rsidRPr="00A42F82">
              <w:rPr>
                <w:rFonts w:cs="Arial"/>
                <w:b/>
                <w:i/>
                <w:iCs/>
                <w:sz w:val="22"/>
                <w:szCs w:val="22"/>
                <w:u w:val="single"/>
              </w:rPr>
              <w:t>Portal</w:t>
            </w:r>
            <w:r w:rsidRPr="00A42F82">
              <w:rPr>
                <w:rFonts w:cs="Arial"/>
                <w:bCs/>
                <w:sz w:val="22"/>
                <w:szCs w:val="22"/>
              </w:rPr>
              <w:t xml:space="preserve"> at (</w:t>
            </w:r>
            <w:hyperlink r:id="rId11" w:history="1">
              <w:r w:rsidRPr="00A42F82">
                <w:rPr>
                  <w:rStyle w:val="a9"/>
                  <w:rFonts w:cs="Arial"/>
                  <w:bCs/>
                  <w:sz w:val="22"/>
                  <w:szCs w:val="22"/>
                </w:rPr>
                <w:t>https://mytsd.uwtsd.ac.uk</w:t>
              </w:r>
            </w:hyperlink>
            <w:r w:rsidRPr="00A42F82">
              <w:rPr>
                <w:rFonts w:cs="Arial"/>
                <w:bCs/>
                <w:sz w:val="22"/>
                <w:szCs w:val="22"/>
              </w:rPr>
              <w:t>).</w:t>
            </w:r>
          </w:p>
          <w:p w14:paraId="58018418" w14:textId="77777777" w:rsidR="003D7CD9" w:rsidRDefault="003D7CD9" w:rsidP="00B079A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bCs/>
                <w:sz w:val="22"/>
                <w:szCs w:val="22"/>
              </w:rPr>
            </w:pPr>
          </w:p>
          <w:p w14:paraId="162AA7E3" w14:textId="691EC117" w:rsidR="003D7CD9" w:rsidRDefault="003D7CD9" w:rsidP="00B079A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bCs/>
                <w:sz w:val="22"/>
                <w:szCs w:val="22"/>
              </w:rPr>
            </w:pPr>
            <w:r w:rsidRPr="003D7CD9">
              <w:rPr>
                <w:rFonts w:cs="Arial"/>
                <w:bCs/>
                <w:sz w:val="22"/>
                <w:szCs w:val="22"/>
              </w:rPr>
              <w:t>This document is also available in Welsh.</w:t>
            </w:r>
          </w:p>
          <w:p w14:paraId="612A15C9" w14:textId="38EA5AB0" w:rsidR="004F5A06" w:rsidRPr="00AC4DCF" w:rsidRDefault="004F5A06" w:rsidP="00B079A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sz w:val="22"/>
                <w:szCs w:val="22"/>
              </w:rPr>
            </w:pPr>
          </w:p>
        </w:tc>
      </w:tr>
    </w:tbl>
    <w:p w14:paraId="465B7432" w14:textId="405CCED2" w:rsidR="00AC4DCF" w:rsidRDefault="00AC4DCF">
      <w:pPr>
        <w:rPr>
          <w:rFonts w:cs="Arial"/>
          <w:b/>
          <w:sz w:val="22"/>
          <w:szCs w:val="22"/>
        </w:rPr>
      </w:pPr>
    </w:p>
    <w:p w14:paraId="5F7C7417" w14:textId="77777777" w:rsidR="00DF2827" w:rsidRPr="00A830D5" w:rsidRDefault="00F901BB" w:rsidP="006731F3">
      <w:pPr>
        <w:spacing w:before="240"/>
        <w:rPr>
          <w:rFonts w:cs="Arial"/>
          <w:b/>
          <w:sz w:val="22"/>
          <w:szCs w:val="22"/>
        </w:rPr>
      </w:pPr>
      <w:r w:rsidRPr="00A830D5">
        <w:rPr>
          <w:rFonts w:cs="Arial"/>
          <w:b/>
          <w:sz w:val="22"/>
          <w:szCs w:val="22"/>
        </w:rPr>
        <w:t>Student</w:t>
      </w:r>
      <w:r w:rsidR="00DF3FF2" w:rsidRPr="00A830D5">
        <w:rPr>
          <w:rFonts w:cs="Arial"/>
          <w:b/>
          <w:sz w:val="22"/>
          <w:szCs w:val="22"/>
        </w:rPr>
        <w:t xml:space="preserve"> Details</w:t>
      </w:r>
      <w:r w:rsidR="00635A88" w:rsidRPr="00A830D5">
        <w:rPr>
          <w:rFonts w:cs="Arial"/>
          <w:b/>
          <w:sz w:val="22"/>
          <w:szCs w:val="22"/>
        </w:rPr>
        <w:t xml:space="preserve"> </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55"/>
        <w:gridCol w:w="2056"/>
        <w:gridCol w:w="2835"/>
        <w:gridCol w:w="2835"/>
      </w:tblGrid>
      <w:tr w:rsidR="007C755A" w:rsidRPr="00A830D5" w14:paraId="0D317407" w14:textId="77777777" w:rsidTr="003D2502">
        <w:tc>
          <w:tcPr>
            <w:tcW w:w="4111" w:type="dxa"/>
            <w:gridSpan w:val="2"/>
            <w:shd w:val="clear" w:color="auto" w:fill="F2F2F2" w:themeFill="background1" w:themeFillShade="F2"/>
          </w:tcPr>
          <w:p w14:paraId="55E73F0B" w14:textId="77777777" w:rsidR="007C755A" w:rsidRPr="00A830D5" w:rsidRDefault="007C755A" w:rsidP="003D2502">
            <w:pPr>
              <w:tabs>
                <w:tab w:val="center" w:pos="2202"/>
              </w:tabs>
              <w:rPr>
                <w:rFonts w:cs="Arial"/>
                <w:sz w:val="22"/>
                <w:szCs w:val="22"/>
              </w:rPr>
            </w:pPr>
            <w:r w:rsidRPr="00A830D5">
              <w:rPr>
                <w:rFonts w:cs="Arial"/>
                <w:sz w:val="22"/>
                <w:szCs w:val="22"/>
              </w:rPr>
              <w:t>Student Family / Surname:</w:t>
            </w:r>
          </w:p>
          <w:p w14:paraId="236A6370" w14:textId="77777777" w:rsidR="007C755A" w:rsidRPr="00A830D5" w:rsidRDefault="007C755A" w:rsidP="003D2502">
            <w:pPr>
              <w:rPr>
                <w:rFonts w:cs="Arial"/>
                <w:sz w:val="22"/>
                <w:szCs w:val="22"/>
              </w:rPr>
            </w:pPr>
          </w:p>
        </w:tc>
        <w:tc>
          <w:tcPr>
            <w:tcW w:w="5670" w:type="dxa"/>
            <w:gridSpan w:val="2"/>
            <w:shd w:val="clear" w:color="auto" w:fill="auto"/>
          </w:tcPr>
          <w:p w14:paraId="43757C61" w14:textId="40714AB4" w:rsidR="007C755A" w:rsidRPr="00A830D5" w:rsidRDefault="00351737" w:rsidP="003D2502">
            <w:pPr>
              <w:rPr>
                <w:rFonts w:cs="Arial"/>
                <w:sz w:val="22"/>
                <w:szCs w:val="22"/>
              </w:rPr>
            </w:pPr>
            <w:r>
              <w:rPr>
                <w:rFonts w:cs="Arial" w:hint="eastAsia"/>
                <w:sz w:val="22"/>
                <w:szCs w:val="22"/>
                <w:lang w:eastAsia="zh-CN"/>
              </w:rPr>
              <w:t>Ding</w:t>
            </w:r>
          </w:p>
        </w:tc>
      </w:tr>
      <w:tr w:rsidR="007C755A" w:rsidRPr="00A830D5" w14:paraId="4B589061" w14:textId="77777777" w:rsidTr="003D2502">
        <w:tc>
          <w:tcPr>
            <w:tcW w:w="4111" w:type="dxa"/>
            <w:gridSpan w:val="2"/>
            <w:shd w:val="clear" w:color="auto" w:fill="F2F2F2" w:themeFill="background1" w:themeFillShade="F2"/>
          </w:tcPr>
          <w:p w14:paraId="3D3CDB67" w14:textId="77777777" w:rsidR="007C755A" w:rsidRPr="00A830D5" w:rsidRDefault="007C755A" w:rsidP="003D2502">
            <w:pPr>
              <w:rPr>
                <w:rFonts w:cs="Arial"/>
                <w:sz w:val="22"/>
                <w:szCs w:val="22"/>
              </w:rPr>
            </w:pPr>
            <w:r w:rsidRPr="00A830D5">
              <w:rPr>
                <w:rFonts w:cs="Arial"/>
                <w:sz w:val="22"/>
                <w:szCs w:val="22"/>
              </w:rPr>
              <w:t>Student Given / First name:</w:t>
            </w:r>
          </w:p>
          <w:p w14:paraId="62B9D45C" w14:textId="77777777" w:rsidR="007C755A" w:rsidRPr="00A830D5" w:rsidRDefault="007C755A" w:rsidP="003D2502">
            <w:pPr>
              <w:rPr>
                <w:rFonts w:cs="Arial"/>
                <w:sz w:val="22"/>
                <w:szCs w:val="22"/>
              </w:rPr>
            </w:pPr>
          </w:p>
        </w:tc>
        <w:tc>
          <w:tcPr>
            <w:tcW w:w="5670" w:type="dxa"/>
            <w:gridSpan w:val="2"/>
            <w:shd w:val="clear" w:color="auto" w:fill="auto"/>
          </w:tcPr>
          <w:p w14:paraId="0E14B460" w14:textId="27F3CC84" w:rsidR="007C755A" w:rsidRPr="00A830D5" w:rsidRDefault="00351737" w:rsidP="003D2502">
            <w:pPr>
              <w:rPr>
                <w:rFonts w:cs="Arial"/>
                <w:sz w:val="22"/>
                <w:szCs w:val="22"/>
              </w:rPr>
            </w:pPr>
            <w:r>
              <w:rPr>
                <w:rFonts w:cs="Arial" w:hint="eastAsia"/>
                <w:sz w:val="22"/>
                <w:szCs w:val="22"/>
                <w:lang w:eastAsia="zh-CN"/>
              </w:rPr>
              <w:t>Yu</w:t>
            </w:r>
          </w:p>
        </w:tc>
      </w:tr>
      <w:tr w:rsidR="007C755A" w:rsidRPr="00A830D5" w14:paraId="41C1BEA9" w14:textId="77777777" w:rsidTr="003D2502">
        <w:tc>
          <w:tcPr>
            <w:tcW w:w="4111" w:type="dxa"/>
            <w:gridSpan w:val="2"/>
            <w:shd w:val="clear" w:color="auto" w:fill="F2F2F2" w:themeFill="background1" w:themeFillShade="F2"/>
          </w:tcPr>
          <w:p w14:paraId="1FA7BA59" w14:textId="77777777" w:rsidR="007C755A" w:rsidRPr="00A830D5" w:rsidRDefault="007C755A" w:rsidP="003D2502">
            <w:pPr>
              <w:rPr>
                <w:rFonts w:cs="Arial"/>
                <w:sz w:val="22"/>
                <w:szCs w:val="22"/>
              </w:rPr>
            </w:pPr>
            <w:r w:rsidRPr="00A830D5">
              <w:rPr>
                <w:rFonts w:cs="Arial"/>
                <w:sz w:val="22"/>
                <w:szCs w:val="22"/>
              </w:rPr>
              <w:t>Student Number</w:t>
            </w:r>
          </w:p>
          <w:p w14:paraId="00A4AB66" w14:textId="77777777" w:rsidR="007C755A" w:rsidRPr="00A830D5" w:rsidRDefault="007C755A" w:rsidP="003D2502">
            <w:pPr>
              <w:tabs>
                <w:tab w:val="center" w:pos="2202"/>
              </w:tabs>
              <w:rPr>
                <w:rFonts w:cs="Arial"/>
                <w:sz w:val="22"/>
                <w:szCs w:val="22"/>
              </w:rPr>
            </w:pPr>
          </w:p>
        </w:tc>
        <w:tc>
          <w:tcPr>
            <w:tcW w:w="5670" w:type="dxa"/>
            <w:gridSpan w:val="2"/>
            <w:shd w:val="clear" w:color="auto" w:fill="auto"/>
          </w:tcPr>
          <w:p w14:paraId="48500AF9" w14:textId="204B6545" w:rsidR="007C755A" w:rsidRPr="00A830D5" w:rsidRDefault="00351737" w:rsidP="003D2502">
            <w:pPr>
              <w:rPr>
                <w:rFonts w:cs="Arial"/>
                <w:sz w:val="22"/>
                <w:szCs w:val="22"/>
                <w:lang w:eastAsia="zh-CN"/>
              </w:rPr>
            </w:pPr>
            <w:r>
              <w:rPr>
                <w:rFonts w:cs="Arial" w:hint="eastAsia"/>
                <w:sz w:val="22"/>
                <w:szCs w:val="22"/>
                <w:lang w:eastAsia="zh-CN"/>
              </w:rPr>
              <w:t>2306311</w:t>
            </w:r>
          </w:p>
        </w:tc>
      </w:tr>
      <w:tr w:rsidR="00682636" w:rsidRPr="00A830D5" w14:paraId="2B1DE18A" w14:textId="77777777" w:rsidTr="00CC4AC2">
        <w:tc>
          <w:tcPr>
            <w:tcW w:w="2055" w:type="dxa"/>
            <w:shd w:val="clear" w:color="auto" w:fill="F2F2F2" w:themeFill="background1" w:themeFillShade="F2"/>
          </w:tcPr>
          <w:p w14:paraId="0657F8D4" w14:textId="63051A46" w:rsidR="00682636" w:rsidRPr="00A830D5" w:rsidRDefault="00682636" w:rsidP="00682636">
            <w:pPr>
              <w:rPr>
                <w:rFonts w:cs="Arial"/>
                <w:sz w:val="22"/>
                <w:szCs w:val="22"/>
              </w:rPr>
            </w:pPr>
            <w:r w:rsidRPr="00A830D5">
              <w:rPr>
                <w:rFonts w:cs="Arial"/>
                <w:sz w:val="22"/>
                <w:szCs w:val="22"/>
              </w:rPr>
              <w:t>Start Date</w:t>
            </w:r>
          </w:p>
        </w:tc>
        <w:tc>
          <w:tcPr>
            <w:tcW w:w="2056" w:type="dxa"/>
            <w:shd w:val="clear" w:color="auto" w:fill="FFFFFF" w:themeFill="background1"/>
          </w:tcPr>
          <w:p w14:paraId="7B0827A0" w14:textId="08250EED" w:rsidR="00682636" w:rsidRPr="00A830D5" w:rsidRDefault="00351737" w:rsidP="00351737">
            <w:pPr>
              <w:jc w:val="center"/>
              <w:rPr>
                <w:rFonts w:cs="Arial"/>
                <w:sz w:val="22"/>
                <w:szCs w:val="22"/>
                <w:lang w:eastAsia="zh-CN"/>
              </w:rPr>
            </w:pPr>
            <w:r>
              <w:rPr>
                <w:rFonts w:cs="Arial" w:hint="eastAsia"/>
                <w:sz w:val="22"/>
                <w:szCs w:val="22"/>
                <w:lang w:eastAsia="zh-CN"/>
              </w:rPr>
              <w:t>2023-09</w:t>
            </w:r>
          </w:p>
        </w:tc>
        <w:tc>
          <w:tcPr>
            <w:tcW w:w="2835" w:type="dxa"/>
            <w:shd w:val="clear" w:color="auto" w:fill="F2F2F2" w:themeFill="background1" w:themeFillShade="F2"/>
          </w:tcPr>
          <w:p w14:paraId="531A20AE" w14:textId="70938FA9" w:rsidR="00682636" w:rsidRPr="00A830D5" w:rsidRDefault="00CB652D" w:rsidP="00682636">
            <w:pPr>
              <w:rPr>
                <w:rFonts w:cs="Arial"/>
                <w:sz w:val="22"/>
                <w:szCs w:val="22"/>
              </w:rPr>
            </w:pPr>
            <w:r>
              <w:rPr>
                <w:rFonts w:cs="Arial"/>
                <w:sz w:val="22"/>
                <w:szCs w:val="22"/>
              </w:rPr>
              <w:t>End Date</w:t>
            </w:r>
          </w:p>
        </w:tc>
        <w:tc>
          <w:tcPr>
            <w:tcW w:w="2835" w:type="dxa"/>
            <w:shd w:val="clear" w:color="auto" w:fill="auto"/>
          </w:tcPr>
          <w:p w14:paraId="02E52089" w14:textId="10DC193B" w:rsidR="00682636" w:rsidRPr="00A830D5" w:rsidRDefault="00351737" w:rsidP="00682636">
            <w:pPr>
              <w:rPr>
                <w:rFonts w:cs="Arial"/>
                <w:sz w:val="22"/>
                <w:szCs w:val="22"/>
                <w:lang w:eastAsia="zh-CN"/>
              </w:rPr>
            </w:pPr>
            <w:r>
              <w:rPr>
                <w:rFonts w:cs="Arial" w:hint="eastAsia"/>
                <w:sz w:val="22"/>
                <w:szCs w:val="22"/>
                <w:lang w:eastAsia="zh-CN"/>
              </w:rPr>
              <w:t>2027-09</w:t>
            </w:r>
          </w:p>
        </w:tc>
      </w:tr>
    </w:tbl>
    <w:p w14:paraId="26A96967" w14:textId="77777777" w:rsidR="00476944" w:rsidRDefault="00476944"/>
    <w:tbl>
      <w:tblPr>
        <w:tblStyle w:val="ac"/>
        <w:tblW w:w="9747" w:type="dxa"/>
        <w:tblLayout w:type="fixed"/>
        <w:tblLook w:val="04A0" w:firstRow="1" w:lastRow="0" w:firstColumn="1" w:lastColumn="0" w:noHBand="0" w:noVBand="1"/>
      </w:tblPr>
      <w:tblGrid>
        <w:gridCol w:w="1623"/>
        <w:gridCol w:w="1660"/>
        <w:gridCol w:w="1648"/>
        <w:gridCol w:w="1662"/>
        <w:gridCol w:w="1629"/>
        <w:gridCol w:w="1525"/>
      </w:tblGrid>
      <w:tr w:rsidR="003275B0" w:rsidRPr="00A830D5" w14:paraId="5FC1230D" w14:textId="77777777" w:rsidTr="003275B0">
        <w:tc>
          <w:tcPr>
            <w:tcW w:w="1623" w:type="dxa"/>
            <w:shd w:val="clear" w:color="auto" w:fill="F2F2F2" w:themeFill="background1" w:themeFillShade="F2"/>
          </w:tcPr>
          <w:p w14:paraId="12F785C2" w14:textId="41D16C50" w:rsidR="003275B0" w:rsidRPr="00A830D5" w:rsidRDefault="0010084E" w:rsidP="00713F2E">
            <w:pPr>
              <w:rPr>
                <w:rFonts w:cs="Arial"/>
                <w:sz w:val="22"/>
                <w:szCs w:val="22"/>
              </w:rPr>
            </w:pPr>
            <w:r w:rsidRPr="00A830D5">
              <w:rPr>
                <w:rFonts w:cs="Arial"/>
                <w:sz w:val="22"/>
                <w:szCs w:val="22"/>
              </w:rPr>
              <w:t>Ph</w:t>
            </w:r>
            <w:r w:rsidR="003275B0" w:rsidRPr="00A830D5">
              <w:rPr>
                <w:rFonts w:cs="Arial"/>
                <w:sz w:val="22"/>
                <w:szCs w:val="22"/>
              </w:rPr>
              <w:t>D</w:t>
            </w:r>
          </w:p>
          <w:p w14:paraId="2DA7CD21" w14:textId="342ACD10" w:rsidR="0088683F" w:rsidRPr="00A830D5" w:rsidRDefault="0088683F" w:rsidP="00713F2E">
            <w:pPr>
              <w:rPr>
                <w:rFonts w:cs="Arial"/>
                <w:sz w:val="22"/>
                <w:szCs w:val="22"/>
              </w:rPr>
            </w:pPr>
            <w:r w:rsidRPr="00A830D5">
              <w:rPr>
                <w:rFonts w:cs="Arial"/>
                <w:sz w:val="22"/>
                <w:szCs w:val="22"/>
              </w:rPr>
              <w:t>by Research</w:t>
            </w:r>
          </w:p>
        </w:tc>
        <w:tc>
          <w:tcPr>
            <w:tcW w:w="1660" w:type="dxa"/>
            <w:shd w:val="clear" w:color="auto" w:fill="F2F2F2" w:themeFill="background1" w:themeFillShade="F2"/>
          </w:tcPr>
          <w:p w14:paraId="4EBC17E4" w14:textId="77777777" w:rsidR="003275B0" w:rsidRPr="00A830D5" w:rsidRDefault="003275B0" w:rsidP="003275B0">
            <w:pPr>
              <w:rPr>
                <w:rFonts w:cs="Arial"/>
                <w:sz w:val="22"/>
                <w:szCs w:val="22"/>
              </w:rPr>
            </w:pPr>
            <w:r w:rsidRPr="00A830D5">
              <w:rPr>
                <w:rFonts w:cs="Arial"/>
                <w:sz w:val="22"/>
                <w:szCs w:val="22"/>
              </w:rPr>
              <w:t xml:space="preserve">PhD </w:t>
            </w:r>
          </w:p>
          <w:p w14:paraId="3E1B8186" w14:textId="20ED5BB3" w:rsidR="003275B0" w:rsidRPr="00A830D5" w:rsidRDefault="003275B0" w:rsidP="003275B0">
            <w:pPr>
              <w:rPr>
                <w:rFonts w:cs="Arial"/>
                <w:sz w:val="22"/>
                <w:szCs w:val="22"/>
              </w:rPr>
            </w:pPr>
            <w:r w:rsidRPr="00A830D5">
              <w:rPr>
                <w:rFonts w:cs="Arial"/>
                <w:sz w:val="22"/>
                <w:szCs w:val="22"/>
              </w:rPr>
              <w:t>Practice Based</w:t>
            </w:r>
          </w:p>
        </w:tc>
        <w:tc>
          <w:tcPr>
            <w:tcW w:w="1648" w:type="dxa"/>
            <w:shd w:val="clear" w:color="auto" w:fill="F2F2F2" w:themeFill="background1" w:themeFillShade="F2"/>
          </w:tcPr>
          <w:p w14:paraId="2D9C3F0D" w14:textId="77777777" w:rsidR="003275B0" w:rsidRPr="00A830D5" w:rsidRDefault="003275B0" w:rsidP="00B56D1B">
            <w:pPr>
              <w:rPr>
                <w:rFonts w:cs="Arial"/>
                <w:sz w:val="22"/>
                <w:szCs w:val="22"/>
              </w:rPr>
            </w:pPr>
            <w:r w:rsidRPr="00A830D5">
              <w:rPr>
                <w:rFonts w:cs="Arial"/>
                <w:sz w:val="22"/>
                <w:szCs w:val="22"/>
              </w:rPr>
              <w:t xml:space="preserve">PhD by </w:t>
            </w:r>
          </w:p>
          <w:p w14:paraId="27945DC5" w14:textId="5E2B8E5E" w:rsidR="003275B0" w:rsidRPr="00A830D5" w:rsidRDefault="003275B0" w:rsidP="00713F2E">
            <w:pPr>
              <w:rPr>
                <w:rFonts w:cs="Arial"/>
                <w:sz w:val="22"/>
                <w:szCs w:val="22"/>
              </w:rPr>
            </w:pPr>
            <w:r w:rsidRPr="00A830D5">
              <w:rPr>
                <w:rFonts w:cs="Arial"/>
                <w:sz w:val="22"/>
                <w:szCs w:val="22"/>
              </w:rPr>
              <w:t>Published Works</w:t>
            </w:r>
          </w:p>
        </w:tc>
        <w:tc>
          <w:tcPr>
            <w:tcW w:w="1662" w:type="dxa"/>
            <w:shd w:val="clear" w:color="auto" w:fill="F2F2F2" w:themeFill="background1" w:themeFillShade="F2"/>
          </w:tcPr>
          <w:p w14:paraId="28C675B9" w14:textId="77777777" w:rsidR="003275B0" w:rsidRPr="00A830D5" w:rsidRDefault="003275B0" w:rsidP="00713F2E">
            <w:pPr>
              <w:rPr>
                <w:rFonts w:cs="Arial"/>
                <w:sz w:val="22"/>
                <w:szCs w:val="22"/>
              </w:rPr>
            </w:pPr>
            <w:r w:rsidRPr="00A830D5">
              <w:rPr>
                <w:rFonts w:cs="Arial"/>
                <w:sz w:val="22"/>
                <w:szCs w:val="22"/>
              </w:rPr>
              <w:t>Professional Doctorate</w:t>
            </w:r>
          </w:p>
          <w:p w14:paraId="40318CF1" w14:textId="32574EDD" w:rsidR="003275B0" w:rsidRPr="00A830D5" w:rsidRDefault="003275B0" w:rsidP="00713F2E">
            <w:pPr>
              <w:rPr>
                <w:rFonts w:cs="Arial"/>
                <w:sz w:val="22"/>
                <w:szCs w:val="22"/>
              </w:rPr>
            </w:pPr>
            <w:r w:rsidRPr="00A830D5">
              <w:rPr>
                <w:rFonts w:cs="Arial"/>
                <w:szCs w:val="22"/>
              </w:rPr>
              <w:t>(including DBA</w:t>
            </w:r>
            <w:r w:rsidR="0088683F" w:rsidRPr="00A830D5">
              <w:rPr>
                <w:rFonts w:cs="Arial"/>
                <w:szCs w:val="22"/>
              </w:rPr>
              <w:t xml:space="preserve">, </w:t>
            </w:r>
            <w:proofErr w:type="spellStart"/>
            <w:r w:rsidR="0088683F" w:rsidRPr="00A830D5">
              <w:rPr>
                <w:rFonts w:cs="Arial"/>
                <w:szCs w:val="22"/>
              </w:rPr>
              <w:t>DProf</w:t>
            </w:r>
            <w:proofErr w:type="spellEnd"/>
            <w:r w:rsidR="0088683F" w:rsidRPr="00A830D5">
              <w:rPr>
                <w:rFonts w:cs="Arial"/>
                <w:szCs w:val="22"/>
              </w:rPr>
              <w:t>, Ed D</w:t>
            </w:r>
            <w:r w:rsidRPr="00A830D5">
              <w:rPr>
                <w:rFonts w:cs="Arial"/>
                <w:szCs w:val="22"/>
              </w:rPr>
              <w:t>)</w:t>
            </w:r>
          </w:p>
        </w:tc>
        <w:tc>
          <w:tcPr>
            <w:tcW w:w="1629" w:type="dxa"/>
            <w:shd w:val="clear" w:color="auto" w:fill="F2F2F2" w:themeFill="background1" w:themeFillShade="F2"/>
          </w:tcPr>
          <w:p w14:paraId="2E1DF265" w14:textId="76EB5F02" w:rsidR="003275B0" w:rsidRPr="00A830D5" w:rsidRDefault="003275B0" w:rsidP="00713F2E">
            <w:pPr>
              <w:rPr>
                <w:rFonts w:cs="Arial"/>
                <w:sz w:val="22"/>
                <w:szCs w:val="22"/>
              </w:rPr>
            </w:pPr>
            <w:r w:rsidRPr="00A830D5">
              <w:rPr>
                <w:rFonts w:cs="Arial"/>
                <w:sz w:val="22"/>
                <w:szCs w:val="22"/>
              </w:rPr>
              <w:t>MPhil</w:t>
            </w:r>
            <w:r w:rsidR="0088683F" w:rsidRPr="00A830D5">
              <w:rPr>
                <w:rFonts w:cs="Arial"/>
                <w:sz w:val="22"/>
                <w:szCs w:val="22"/>
              </w:rPr>
              <w:t xml:space="preserve"> by Research</w:t>
            </w:r>
          </w:p>
          <w:p w14:paraId="47F8BF76" w14:textId="28484B8C" w:rsidR="003275B0" w:rsidRPr="00A830D5" w:rsidRDefault="003275B0" w:rsidP="00713F2E">
            <w:pPr>
              <w:rPr>
                <w:rFonts w:cs="Arial"/>
                <w:sz w:val="22"/>
                <w:szCs w:val="22"/>
              </w:rPr>
            </w:pPr>
          </w:p>
        </w:tc>
        <w:tc>
          <w:tcPr>
            <w:tcW w:w="1525" w:type="dxa"/>
            <w:shd w:val="clear" w:color="auto" w:fill="F2F2F2" w:themeFill="background1" w:themeFillShade="F2"/>
          </w:tcPr>
          <w:p w14:paraId="3EA8B4F5" w14:textId="77777777" w:rsidR="0088683F" w:rsidRPr="00A830D5" w:rsidRDefault="003275B0" w:rsidP="00713F2E">
            <w:pPr>
              <w:rPr>
                <w:rFonts w:cs="Arial"/>
                <w:sz w:val="22"/>
                <w:szCs w:val="22"/>
              </w:rPr>
            </w:pPr>
            <w:r w:rsidRPr="00A830D5">
              <w:rPr>
                <w:rFonts w:cs="Arial"/>
                <w:sz w:val="22"/>
                <w:szCs w:val="22"/>
              </w:rPr>
              <w:t>M</w:t>
            </w:r>
            <w:r w:rsidR="0088683F" w:rsidRPr="00A830D5">
              <w:rPr>
                <w:rFonts w:cs="Arial"/>
                <w:sz w:val="22"/>
                <w:szCs w:val="22"/>
              </w:rPr>
              <w:t>Phil</w:t>
            </w:r>
          </w:p>
          <w:p w14:paraId="2CD5EE68" w14:textId="200856CC" w:rsidR="003275B0" w:rsidRPr="00A830D5" w:rsidRDefault="0010084E" w:rsidP="00713F2E">
            <w:pPr>
              <w:rPr>
                <w:rFonts w:cs="Arial"/>
                <w:sz w:val="22"/>
                <w:szCs w:val="22"/>
              </w:rPr>
            </w:pPr>
            <w:r w:rsidRPr="00A830D5">
              <w:rPr>
                <w:rFonts w:cs="Arial"/>
                <w:sz w:val="22"/>
                <w:szCs w:val="22"/>
              </w:rPr>
              <w:t>Practice Based</w:t>
            </w:r>
            <w:r w:rsidR="003275B0" w:rsidRPr="00A830D5">
              <w:rPr>
                <w:rFonts w:cs="Arial"/>
                <w:sz w:val="22"/>
                <w:szCs w:val="22"/>
              </w:rPr>
              <w:t xml:space="preserve"> </w:t>
            </w:r>
          </w:p>
          <w:p w14:paraId="2627CBC6" w14:textId="77777777" w:rsidR="003275B0" w:rsidRPr="00A830D5" w:rsidRDefault="003275B0" w:rsidP="00713F2E">
            <w:pPr>
              <w:rPr>
                <w:rFonts w:cs="Arial"/>
                <w:sz w:val="22"/>
                <w:szCs w:val="22"/>
              </w:rPr>
            </w:pPr>
          </w:p>
        </w:tc>
      </w:tr>
      <w:tr w:rsidR="003275B0" w:rsidRPr="00A830D5" w14:paraId="28D12B2B" w14:textId="77777777" w:rsidTr="003275B0">
        <w:tc>
          <w:tcPr>
            <w:tcW w:w="1623" w:type="dxa"/>
          </w:tcPr>
          <w:sdt>
            <w:sdtPr>
              <w:rPr>
                <w:rFonts w:cs="Arial"/>
                <w:sz w:val="22"/>
                <w:szCs w:val="22"/>
              </w:rPr>
              <w:id w:val="-614514286"/>
              <w14:checkbox>
                <w14:checked w14:val="0"/>
                <w14:checkedState w14:val="2612" w14:font="MS Gothic"/>
                <w14:uncheckedState w14:val="2610" w14:font="MS Gothic"/>
              </w14:checkbox>
            </w:sdtPr>
            <w:sdtContent>
              <w:p w14:paraId="0F6A8570" w14:textId="3815E5A0" w:rsidR="003275B0" w:rsidRPr="00A830D5" w:rsidRDefault="0088683F" w:rsidP="00713F2E">
                <w:pPr>
                  <w:jc w:val="center"/>
                  <w:rPr>
                    <w:rFonts w:cs="Arial"/>
                    <w:sz w:val="22"/>
                    <w:szCs w:val="22"/>
                  </w:rPr>
                </w:pPr>
                <w:r w:rsidRPr="00A830D5">
                  <w:rPr>
                    <w:rFonts w:ascii="MS Gothic" w:eastAsia="MS Gothic" w:hAnsi="MS Gothic" w:cs="Arial"/>
                    <w:sz w:val="22"/>
                    <w:szCs w:val="22"/>
                  </w:rPr>
                  <w:t>☐</w:t>
                </w:r>
              </w:p>
            </w:sdtContent>
          </w:sdt>
          <w:p w14:paraId="048DD9C1" w14:textId="77777777" w:rsidR="003275B0" w:rsidRPr="00A830D5" w:rsidRDefault="003275B0" w:rsidP="00713F2E">
            <w:pPr>
              <w:jc w:val="center"/>
              <w:rPr>
                <w:rFonts w:cs="Arial"/>
                <w:sz w:val="22"/>
                <w:szCs w:val="22"/>
              </w:rPr>
            </w:pPr>
          </w:p>
        </w:tc>
        <w:sdt>
          <w:sdtPr>
            <w:rPr>
              <w:rFonts w:cs="Arial"/>
              <w:sz w:val="22"/>
              <w:szCs w:val="22"/>
            </w:rPr>
            <w:id w:val="-212654518"/>
            <w14:checkbox>
              <w14:checked w14:val="0"/>
              <w14:checkedState w14:val="2612" w14:font="MS Gothic"/>
              <w14:uncheckedState w14:val="2610" w14:font="MS Gothic"/>
            </w14:checkbox>
          </w:sdtPr>
          <w:sdtContent>
            <w:tc>
              <w:tcPr>
                <w:tcW w:w="1660" w:type="dxa"/>
              </w:tcPr>
              <w:p w14:paraId="50E78034" w14:textId="77777777" w:rsidR="003275B0" w:rsidRPr="00A830D5" w:rsidRDefault="003275B0" w:rsidP="00713F2E">
                <w:pPr>
                  <w:jc w:val="center"/>
                  <w:rPr>
                    <w:rFonts w:cs="Arial"/>
                    <w:sz w:val="22"/>
                    <w:szCs w:val="22"/>
                  </w:rPr>
                </w:pPr>
                <w:r w:rsidRPr="00A830D5">
                  <w:rPr>
                    <w:rFonts w:ascii="MS Gothic" w:eastAsia="MS Gothic" w:hAnsi="MS Gothic" w:cs="Arial"/>
                    <w:sz w:val="22"/>
                    <w:szCs w:val="22"/>
                  </w:rPr>
                  <w:t>☐</w:t>
                </w:r>
              </w:p>
            </w:tc>
          </w:sdtContent>
        </w:sdt>
        <w:sdt>
          <w:sdtPr>
            <w:rPr>
              <w:rFonts w:cs="Arial"/>
              <w:sz w:val="22"/>
              <w:szCs w:val="22"/>
            </w:rPr>
            <w:id w:val="1162436734"/>
            <w14:checkbox>
              <w14:checked w14:val="0"/>
              <w14:checkedState w14:val="2612" w14:font="MS Gothic"/>
              <w14:uncheckedState w14:val="2610" w14:font="MS Gothic"/>
            </w14:checkbox>
          </w:sdtPr>
          <w:sdtContent>
            <w:tc>
              <w:tcPr>
                <w:tcW w:w="1648" w:type="dxa"/>
              </w:tcPr>
              <w:p w14:paraId="5C2E227B" w14:textId="77777777" w:rsidR="003275B0" w:rsidRPr="00A830D5" w:rsidRDefault="003275B0" w:rsidP="00713F2E">
                <w:pPr>
                  <w:jc w:val="center"/>
                  <w:rPr>
                    <w:rFonts w:cs="Arial"/>
                    <w:sz w:val="22"/>
                    <w:szCs w:val="22"/>
                  </w:rPr>
                </w:pPr>
                <w:r w:rsidRPr="00A830D5">
                  <w:rPr>
                    <w:rFonts w:ascii="MS Gothic" w:eastAsia="MS Gothic" w:hAnsi="MS Gothic" w:cs="Arial"/>
                    <w:sz w:val="22"/>
                    <w:szCs w:val="22"/>
                  </w:rPr>
                  <w:t>☐</w:t>
                </w:r>
              </w:p>
            </w:tc>
          </w:sdtContent>
        </w:sdt>
        <w:sdt>
          <w:sdtPr>
            <w:rPr>
              <w:rFonts w:cs="Arial"/>
              <w:sz w:val="22"/>
              <w:szCs w:val="22"/>
            </w:rPr>
            <w:id w:val="-165786334"/>
            <w14:checkbox>
              <w14:checked w14:val="1"/>
              <w14:checkedState w14:val="2612" w14:font="MS Gothic"/>
              <w14:uncheckedState w14:val="2610" w14:font="MS Gothic"/>
            </w14:checkbox>
          </w:sdtPr>
          <w:sdtContent>
            <w:tc>
              <w:tcPr>
                <w:tcW w:w="1662" w:type="dxa"/>
              </w:tcPr>
              <w:p w14:paraId="70EDAF7C" w14:textId="0600081D" w:rsidR="003275B0" w:rsidRPr="00A830D5" w:rsidRDefault="00351737" w:rsidP="00713F2E">
                <w:pPr>
                  <w:jc w:val="center"/>
                  <w:rPr>
                    <w:rFonts w:cs="Arial"/>
                    <w:sz w:val="22"/>
                    <w:szCs w:val="22"/>
                  </w:rPr>
                </w:pPr>
                <w:r>
                  <w:rPr>
                    <w:rFonts w:ascii="MS Gothic" w:eastAsia="MS Gothic" w:hAnsi="MS Gothic" w:cs="Arial" w:hint="eastAsia"/>
                    <w:sz w:val="22"/>
                    <w:szCs w:val="22"/>
                  </w:rPr>
                  <w:t>☒</w:t>
                </w:r>
              </w:p>
            </w:tc>
          </w:sdtContent>
        </w:sdt>
        <w:sdt>
          <w:sdtPr>
            <w:rPr>
              <w:rFonts w:cs="Arial"/>
              <w:sz w:val="22"/>
              <w:szCs w:val="22"/>
            </w:rPr>
            <w:id w:val="239523278"/>
            <w14:checkbox>
              <w14:checked w14:val="0"/>
              <w14:checkedState w14:val="2612" w14:font="MS Gothic"/>
              <w14:uncheckedState w14:val="2610" w14:font="MS Gothic"/>
            </w14:checkbox>
          </w:sdtPr>
          <w:sdtContent>
            <w:tc>
              <w:tcPr>
                <w:tcW w:w="1629" w:type="dxa"/>
              </w:tcPr>
              <w:p w14:paraId="697209FA" w14:textId="77777777" w:rsidR="003275B0" w:rsidRPr="00A830D5" w:rsidRDefault="003275B0" w:rsidP="00713F2E">
                <w:pPr>
                  <w:jc w:val="center"/>
                  <w:rPr>
                    <w:rFonts w:cs="Arial"/>
                    <w:sz w:val="22"/>
                    <w:szCs w:val="22"/>
                  </w:rPr>
                </w:pPr>
                <w:r w:rsidRPr="00A830D5">
                  <w:rPr>
                    <w:rFonts w:ascii="MS Gothic" w:eastAsia="MS Gothic" w:hAnsi="MS Gothic" w:cs="Arial"/>
                    <w:sz w:val="22"/>
                    <w:szCs w:val="22"/>
                  </w:rPr>
                  <w:t>☐</w:t>
                </w:r>
              </w:p>
            </w:tc>
          </w:sdtContent>
        </w:sdt>
        <w:sdt>
          <w:sdtPr>
            <w:rPr>
              <w:rFonts w:cs="Arial"/>
              <w:sz w:val="22"/>
              <w:szCs w:val="22"/>
            </w:rPr>
            <w:id w:val="1767879163"/>
            <w14:checkbox>
              <w14:checked w14:val="0"/>
              <w14:checkedState w14:val="2612" w14:font="MS Gothic"/>
              <w14:uncheckedState w14:val="2610" w14:font="MS Gothic"/>
            </w14:checkbox>
          </w:sdtPr>
          <w:sdtContent>
            <w:tc>
              <w:tcPr>
                <w:tcW w:w="1525" w:type="dxa"/>
              </w:tcPr>
              <w:p w14:paraId="56F5A53E" w14:textId="77777777" w:rsidR="003275B0" w:rsidRPr="00A830D5" w:rsidRDefault="003275B0" w:rsidP="00713F2E">
                <w:pPr>
                  <w:jc w:val="center"/>
                  <w:rPr>
                    <w:rFonts w:cs="Arial"/>
                    <w:sz w:val="22"/>
                    <w:szCs w:val="22"/>
                  </w:rPr>
                </w:pPr>
                <w:r w:rsidRPr="00A830D5">
                  <w:rPr>
                    <w:rFonts w:ascii="MS Gothic" w:eastAsia="MS Gothic" w:hAnsi="MS Gothic" w:cs="Arial"/>
                    <w:sz w:val="22"/>
                    <w:szCs w:val="22"/>
                  </w:rPr>
                  <w:t>☐</w:t>
                </w:r>
              </w:p>
            </w:tc>
          </w:sdtContent>
        </w:sdt>
      </w:tr>
      <w:tr w:rsidR="003275B0" w:rsidRPr="00A830D5" w14:paraId="37FB92A3" w14:textId="77777777" w:rsidTr="0088683F">
        <w:tc>
          <w:tcPr>
            <w:tcW w:w="1623" w:type="dxa"/>
            <w:shd w:val="clear" w:color="auto" w:fill="D9D9D9" w:themeFill="background1" w:themeFillShade="D9"/>
          </w:tcPr>
          <w:p w14:paraId="26DBBF35" w14:textId="695AD3AB" w:rsidR="003275B0" w:rsidRPr="00A830D5" w:rsidRDefault="0088683F" w:rsidP="00713F2E">
            <w:pPr>
              <w:jc w:val="center"/>
              <w:rPr>
                <w:rFonts w:cs="Arial"/>
                <w:sz w:val="22"/>
                <w:szCs w:val="22"/>
              </w:rPr>
            </w:pPr>
            <w:r w:rsidRPr="00A830D5">
              <w:rPr>
                <w:rFonts w:cs="Arial"/>
                <w:sz w:val="22"/>
                <w:szCs w:val="22"/>
              </w:rPr>
              <w:t>MA by Research</w:t>
            </w:r>
          </w:p>
        </w:tc>
        <w:tc>
          <w:tcPr>
            <w:tcW w:w="1660" w:type="dxa"/>
            <w:shd w:val="clear" w:color="auto" w:fill="D9D9D9" w:themeFill="background1" w:themeFillShade="D9"/>
          </w:tcPr>
          <w:p w14:paraId="574327F3" w14:textId="31D538CF" w:rsidR="003275B0" w:rsidRPr="00A830D5" w:rsidRDefault="0088683F" w:rsidP="00713F2E">
            <w:pPr>
              <w:jc w:val="center"/>
              <w:rPr>
                <w:rFonts w:cs="Arial"/>
                <w:sz w:val="22"/>
                <w:szCs w:val="22"/>
              </w:rPr>
            </w:pPr>
            <w:r w:rsidRPr="00A830D5">
              <w:rPr>
                <w:rFonts w:cs="Arial"/>
                <w:sz w:val="22"/>
                <w:szCs w:val="22"/>
              </w:rPr>
              <w:t>MSc by Research</w:t>
            </w:r>
          </w:p>
        </w:tc>
        <w:tc>
          <w:tcPr>
            <w:tcW w:w="1648" w:type="dxa"/>
            <w:shd w:val="clear" w:color="auto" w:fill="D9D9D9" w:themeFill="background1" w:themeFillShade="D9"/>
          </w:tcPr>
          <w:p w14:paraId="46606AFF" w14:textId="5BF1390F" w:rsidR="003275B0" w:rsidRPr="00A830D5" w:rsidRDefault="0088683F" w:rsidP="00713F2E">
            <w:pPr>
              <w:jc w:val="center"/>
              <w:rPr>
                <w:rFonts w:cs="Arial"/>
                <w:sz w:val="22"/>
                <w:szCs w:val="22"/>
              </w:rPr>
            </w:pPr>
            <w:proofErr w:type="spellStart"/>
            <w:r w:rsidRPr="00A830D5">
              <w:rPr>
                <w:rFonts w:cs="Arial"/>
                <w:sz w:val="22"/>
                <w:szCs w:val="22"/>
              </w:rPr>
              <w:t>MRes</w:t>
            </w:r>
            <w:proofErr w:type="spellEnd"/>
          </w:p>
        </w:tc>
        <w:tc>
          <w:tcPr>
            <w:tcW w:w="1662" w:type="dxa"/>
            <w:shd w:val="clear" w:color="auto" w:fill="D9D9D9" w:themeFill="background1" w:themeFillShade="D9"/>
          </w:tcPr>
          <w:p w14:paraId="7BF58AAE" w14:textId="77777777" w:rsidR="003275B0" w:rsidRPr="00A830D5" w:rsidRDefault="003275B0" w:rsidP="00713F2E">
            <w:pPr>
              <w:jc w:val="center"/>
              <w:rPr>
                <w:rFonts w:cs="Arial"/>
                <w:sz w:val="22"/>
                <w:szCs w:val="22"/>
              </w:rPr>
            </w:pPr>
          </w:p>
        </w:tc>
        <w:tc>
          <w:tcPr>
            <w:tcW w:w="1629" w:type="dxa"/>
            <w:shd w:val="clear" w:color="auto" w:fill="D9D9D9" w:themeFill="background1" w:themeFillShade="D9"/>
          </w:tcPr>
          <w:p w14:paraId="15D63172" w14:textId="77777777" w:rsidR="003275B0" w:rsidRPr="00A830D5" w:rsidRDefault="003275B0" w:rsidP="00713F2E">
            <w:pPr>
              <w:jc w:val="center"/>
              <w:rPr>
                <w:rFonts w:cs="Arial"/>
                <w:sz w:val="22"/>
                <w:szCs w:val="22"/>
              </w:rPr>
            </w:pPr>
          </w:p>
        </w:tc>
        <w:tc>
          <w:tcPr>
            <w:tcW w:w="1525" w:type="dxa"/>
            <w:shd w:val="clear" w:color="auto" w:fill="D9D9D9" w:themeFill="background1" w:themeFillShade="D9"/>
          </w:tcPr>
          <w:p w14:paraId="55339C2F" w14:textId="77777777" w:rsidR="003275B0" w:rsidRPr="00A830D5" w:rsidRDefault="003275B0" w:rsidP="00713F2E">
            <w:pPr>
              <w:jc w:val="center"/>
              <w:rPr>
                <w:rFonts w:cs="Arial"/>
                <w:sz w:val="22"/>
                <w:szCs w:val="22"/>
              </w:rPr>
            </w:pPr>
          </w:p>
        </w:tc>
      </w:tr>
      <w:tr w:rsidR="003275B0" w:rsidRPr="00A830D5" w14:paraId="70A037D2" w14:textId="77777777" w:rsidTr="003275B0">
        <w:tc>
          <w:tcPr>
            <w:tcW w:w="1623" w:type="dxa"/>
          </w:tcPr>
          <w:sdt>
            <w:sdtPr>
              <w:rPr>
                <w:rFonts w:cs="Arial"/>
                <w:sz w:val="22"/>
                <w:szCs w:val="22"/>
              </w:rPr>
              <w:id w:val="-159323972"/>
              <w14:checkbox>
                <w14:checked w14:val="0"/>
                <w14:checkedState w14:val="2612" w14:font="MS Gothic"/>
                <w14:uncheckedState w14:val="2610" w14:font="MS Gothic"/>
              </w14:checkbox>
            </w:sdtPr>
            <w:sdtContent>
              <w:p w14:paraId="77B55A27" w14:textId="77777777" w:rsidR="0088683F" w:rsidRPr="00A830D5" w:rsidRDefault="0088683F" w:rsidP="0088683F">
                <w:pPr>
                  <w:jc w:val="center"/>
                  <w:rPr>
                    <w:rFonts w:cs="Arial"/>
                    <w:sz w:val="22"/>
                    <w:szCs w:val="22"/>
                  </w:rPr>
                </w:pPr>
                <w:r w:rsidRPr="00A830D5">
                  <w:rPr>
                    <w:rFonts w:ascii="MS Gothic" w:eastAsia="MS Gothic" w:hAnsi="MS Gothic" w:cs="Arial"/>
                    <w:sz w:val="22"/>
                    <w:szCs w:val="22"/>
                  </w:rPr>
                  <w:t>☐</w:t>
                </w:r>
              </w:p>
            </w:sdtContent>
          </w:sdt>
          <w:p w14:paraId="40B3CFD5" w14:textId="77777777" w:rsidR="003275B0" w:rsidRPr="00A830D5" w:rsidRDefault="003275B0" w:rsidP="00713F2E">
            <w:pPr>
              <w:jc w:val="center"/>
              <w:rPr>
                <w:rFonts w:cs="Arial"/>
                <w:sz w:val="22"/>
                <w:szCs w:val="22"/>
              </w:rPr>
            </w:pPr>
          </w:p>
        </w:tc>
        <w:tc>
          <w:tcPr>
            <w:tcW w:w="1660" w:type="dxa"/>
          </w:tcPr>
          <w:sdt>
            <w:sdtPr>
              <w:rPr>
                <w:rFonts w:cs="Arial"/>
                <w:sz w:val="22"/>
                <w:szCs w:val="22"/>
              </w:rPr>
              <w:id w:val="111249766"/>
              <w14:checkbox>
                <w14:checked w14:val="0"/>
                <w14:checkedState w14:val="2612" w14:font="MS Gothic"/>
                <w14:uncheckedState w14:val="2610" w14:font="MS Gothic"/>
              </w14:checkbox>
            </w:sdtPr>
            <w:sdtContent>
              <w:p w14:paraId="3B04A407" w14:textId="77777777" w:rsidR="0088683F" w:rsidRPr="00A830D5" w:rsidRDefault="0088683F" w:rsidP="0088683F">
                <w:pPr>
                  <w:jc w:val="center"/>
                  <w:rPr>
                    <w:rFonts w:cs="Arial"/>
                    <w:sz w:val="22"/>
                    <w:szCs w:val="22"/>
                  </w:rPr>
                </w:pPr>
                <w:r w:rsidRPr="00A830D5">
                  <w:rPr>
                    <w:rFonts w:ascii="MS Gothic" w:eastAsia="MS Gothic" w:hAnsi="MS Gothic" w:cs="Arial"/>
                    <w:sz w:val="22"/>
                    <w:szCs w:val="22"/>
                  </w:rPr>
                  <w:t>☐</w:t>
                </w:r>
              </w:p>
            </w:sdtContent>
          </w:sdt>
          <w:p w14:paraId="4D38FCF0" w14:textId="77777777" w:rsidR="003275B0" w:rsidRPr="00A830D5" w:rsidRDefault="003275B0" w:rsidP="00713F2E">
            <w:pPr>
              <w:jc w:val="center"/>
              <w:rPr>
                <w:rFonts w:cs="Arial"/>
                <w:sz w:val="22"/>
                <w:szCs w:val="22"/>
              </w:rPr>
            </w:pPr>
          </w:p>
        </w:tc>
        <w:tc>
          <w:tcPr>
            <w:tcW w:w="1648" w:type="dxa"/>
          </w:tcPr>
          <w:sdt>
            <w:sdtPr>
              <w:rPr>
                <w:rFonts w:cs="Arial"/>
                <w:sz w:val="22"/>
                <w:szCs w:val="22"/>
              </w:rPr>
              <w:id w:val="2016034112"/>
              <w14:checkbox>
                <w14:checked w14:val="0"/>
                <w14:checkedState w14:val="2612" w14:font="MS Gothic"/>
                <w14:uncheckedState w14:val="2610" w14:font="MS Gothic"/>
              </w14:checkbox>
            </w:sdtPr>
            <w:sdtContent>
              <w:p w14:paraId="038983A6" w14:textId="77777777" w:rsidR="0088683F" w:rsidRPr="00A830D5" w:rsidRDefault="0088683F" w:rsidP="0088683F">
                <w:pPr>
                  <w:jc w:val="center"/>
                  <w:rPr>
                    <w:rFonts w:cs="Arial"/>
                    <w:sz w:val="22"/>
                    <w:szCs w:val="22"/>
                  </w:rPr>
                </w:pPr>
                <w:r w:rsidRPr="00A830D5">
                  <w:rPr>
                    <w:rFonts w:ascii="MS Gothic" w:eastAsia="MS Gothic" w:hAnsi="MS Gothic" w:cs="Arial"/>
                    <w:sz w:val="22"/>
                    <w:szCs w:val="22"/>
                  </w:rPr>
                  <w:t>☐</w:t>
                </w:r>
              </w:p>
            </w:sdtContent>
          </w:sdt>
          <w:p w14:paraId="1E4C65DF" w14:textId="77777777" w:rsidR="003275B0" w:rsidRPr="00A830D5" w:rsidRDefault="003275B0" w:rsidP="00713F2E">
            <w:pPr>
              <w:jc w:val="center"/>
              <w:rPr>
                <w:rFonts w:cs="Arial"/>
                <w:sz w:val="22"/>
                <w:szCs w:val="22"/>
              </w:rPr>
            </w:pPr>
          </w:p>
        </w:tc>
        <w:tc>
          <w:tcPr>
            <w:tcW w:w="1662" w:type="dxa"/>
          </w:tcPr>
          <w:p w14:paraId="73ECD7F4" w14:textId="77777777" w:rsidR="003275B0" w:rsidRPr="00A830D5" w:rsidRDefault="003275B0" w:rsidP="00713F2E">
            <w:pPr>
              <w:jc w:val="center"/>
              <w:rPr>
                <w:rFonts w:cs="Arial"/>
                <w:sz w:val="22"/>
                <w:szCs w:val="22"/>
              </w:rPr>
            </w:pPr>
          </w:p>
        </w:tc>
        <w:tc>
          <w:tcPr>
            <w:tcW w:w="1629" w:type="dxa"/>
          </w:tcPr>
          <w:p w14:paraId="60259177" w14:textId="77777777" w:rsidR="003275B0" w:rsidRPr="00A830D5" w:rsidRDefault="003275B0" w:rsidP="00713F2E">
            <w:pPr>
              <w:jc w:val="center"/>
              <w:rPr>
                <w:rFonts w:cs="Arial"/>
                <w:sz w:val="22"/>
                <w:szCs w:val="22"/>
              </w:rPr>
            </w:pPr>
          </w:p>
        </w:tc>
        <w:tc>
          <w:tcPr>
            <w:tcW w:w="1525" w:type="dxa"/>
          </w:tcPr>
          <w:p w14:paraId="1C4A7CBE" w14:textId="77777777" w:rsidR="003275B0" w:rsidRPr="00A830D5" w:rsidRDefault="003275B0" w:rsidP="00713F2E">
            <w:pPr>
              <w:jc w:val="center"/>
              <w:rPr>
                <w:rFonts w:cs="Arial"/>
                <w:sz w:val="22"/>
                <w:szCs w:val="22"/>
              </w:rPr>
            </w:pPr>
          </w:p>
        </w:tc>
      </w:tr>
    </w:tbl>
    <w:p w14:paraId="7B71DCD2" w14:textId="77777777" w:rsidR="0091552C" w:rsidRPr="00A830D5" w:rsidRDefault="0091552C" w:rsidP="008859B3">
      <w:pPr>
        <w:ind w:left="180" w:hanging="270"/>
        <w:rPr>
          <w:rFonts w:cs="Arial"/>
          <w:b/>
          <w:sz w:val="22"/>
          <w:szCs w:val="22"/>
        </w:rPr>
      </w:pPr>
    </w:p>
    <w:p w14:paraId="5A315A13" w14:textId="77777777" w:rsidR="00FD60D8" w:rsidRPr="00A830D5" w:rsidRDefault="00FD60D8" w:rsidP="008F3C22">
      <w:pPr>
        <w:rPr>
          <w:rFonts w:cs="Arial"/>
          <w:sz w:val="22"/>
          <w:szCs w:val="22"/>
        </w:rPr>
      </w:pPr>
    </w:p>
    <w:p w14:paraId="3259796C" w14:textId="77777777" w:rsidR="00370831" w:rsidRPr="00A830D5" w:rsidRDefault="003E5663" w:rsidP="00370831">
      <w:pPr>
        <w:ind w:left="-142"/>
        <w:rPr>
          <w:rFonts w:cs="Arial"/>
          <w:bCs/>
          <w:sz w:val="22"/>
          <w:szCs w:val="22"/>
        </w:rPr>
      </w:pPr>
      <w:r w:rsidRPr="00A830D5">
        <w:rPr>
          <w:rFonts w:cs="Arial"/>
          <w:b/>
          <w:bCs/>
          <w:sz w:val="22"/>
          <w:szCs w:val="22"/>
        </w:rPr>
        <w:t>Proposed Research</w:t>
      </w:r>
    </w:p>
    <w:p w14:paraId="211115E1" w14:textId="77777777" w:rsidR="0022098F" w:rsidRPr="00A830D5" w:rsidRDefault="0022098F" w:rsidP="008F3C22">
      <w:pPr>
        <w:rPr>
          <w:rFonts w:cs="Arial"/>
          <w:sz w:val="22"/>
          <w:szCs w:val="22"/>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81"/>
      </w:tblGrid>
      <w:tr w:rsidR="00660727" w:rsidRPr="00A830D5" w14:paraId="1F0031A9" w14:textId="77777777" w:rsidTr="00AC4DCF">
        <w:trPr>
          <w:trHeight w:val="397"/>
        </w:trPr>
        <w:tc>
          <w:tcPr>
            <w:tcW w:w="9781" w:type="dxa"/>
            <w:shd w:val="clear" w:color="auto" w:fill="F2F2F2" w:themeFill="background1" w:themeFillShade="F2"/>
            <w:vAlign w:val="center"/>
          </w:tcPr>
          <w:p w14:paraId="27811B47" w14:textId="77777777" w:rsidR="00660727" w:rsidRPr="00A830D5" w:rsidRDefault="00660727" w:rsidP="00E04FED">
            <w:pPr>
              <w:rPr>
                <w:rFonts w:cs="Arial"/>
                <w:sz w:val="22"/>
                <w:szCs w:val="22"/>
              </w:rPr>
            </w:pPr>
            <w:r w:rsidRPr="00A830D5">
              <w:rPr>
                <w:rFonts w:cs="Arial"/>
                <w:sz w:val="22"/>
                <w:szCs w:val="22"/>
              </w:rPr>
              <w:t>Current Proposed Title (20 / 30 words):</w:t>
            </w:r>
          </w:p>
        </w:tc>
      </w:tr>
      <w:tr w:rsidR="00660727" w:rsidRPr="00A830D5" w14:paraId="297D696F" w14:textId="77777777" w:rsidTr="00AC4DCF">
        <w:trPr>
          <w:trHeight w:val="397"/>
        </w:trPr>
        <w:tc>
          <w:tcPr>
            <w:tcW w:w="9781" w:type="dxa"/>
            <w:vAlign w:val="center"/>
          </w:tcPr>
          <w:p w14:paraId="657DE314" w14:textId="43C87372" w:rsidR="00660727" w:rsidRPr="00A830D5" w:rsidRDefault="00C9708D" w:rsidP="00E04FED">
            <w:pPr>
              <w:rPr>
                <w:rFonts w:cs="Arial"/>
                <w:sz w:val="22"/>
                <w:szCs w:val="22"/>
              </w:rPr>
            </w:pPr>
            <w:r w:rsidRPr="002559FE">
              <w:rPr>
                <w:rFonts w:eastAsia="仿宋" w:cs="Arial"/>
                <w:sz w:val="21"/>
                <w:szCs w:val="21"/>
              </w:rPr>
              <w:t>Opportunities and Challenges of Digital Transformation in the Coal Industry:  A Path to Strengthening Competitive Advantage, Enhancing Operational Performance and Supply Chain Management Strategic Research</w:t>
            </w:r>
          </w:p>
        </w:tc>
      </w:tr>
      <w:tr w:rsidR="00660727" w:rsidRPr="00A830D5" w14:paraId="3137C8AA" w14:textId="77777777" w:rsidTr="00AC4DCF">
        <w:trPr>
          <w:trHeight w:val="397"/>
        </w:trPr>
        <w:tc>
          <w:tcPr>
            <w:tcW w:w="9781" w:type="dxa"/>
            <w:shd w:val="clear" w:color="auto" w:fill="F2F2F2" w:themeFill="background1" w:themeFillShade="F2"/>
            <w:vAlign w:val="center"/>
          </w:tcPr>
          <w:p w14:paraId="4B4281C5" w14:textId="77777777" w:rsidR="00660727" w:rsidRPr="00A830D5" w:rsidRDefault="00660727" w:rsidP="00E04FED">
            <w:pPr>
              <w:rPr>
                <w:rFonts w:cs="Arial"/>
                <w:sz w:val="22"/>
                <w:szCs w:val="22"/>
              </w:rPr>
            </w:pPr>
            <w:r w:rsidRPr="00A830D5">
              <w:rPr>
                <w:rFonts w:cs="Arial"/>
                <w:sz w:val="22"/>
                <w:szCs w:val="22"/>
              </w:rPr>
              <w:t xml:space="preserve"> </w:t>
            </w:r>
          </w:p>
          <w:p w14:paraId="0911C9C7" w14:textId="77777777" w:rsidR="00660727" w:rsidRPr="00A830D5" w:rsidRDefault="00660727" w:rsidP="003E5663">
            <w:pPr>
              <w:rPr>
                <w:rFonts w:cs="Arial"/>
                <w:sz w:val="22"/>
                <w:szCs w:val="22"/>
              </w:rPr>
            </w:pPr>
            <w:r w:rsidRPr="00A830D5">
              <w:rPr>
                <w:rFonts w:cs="Arial"/>
                <w:sz w:val="22"/>
                <w:szCs w:val="22"/>
              </w:rPr>
              <w:t xml:space="preserve">Background &amp; </w:t>
            </w:r>
            <w:r w:rsidR="003E5663" w:rsidRPr="00A830D5">
              <w:rPr>
                <w:rFonts w:cs="Arial"/>
                <w:sz w:val="22"/>
                <w:szCs w:val="22"/>
              </w:rPr>
              <w:t>C</w:t>
            </w:r>
            <w:r w:rsidRPr="00A830D5">
              <w:rPr>
                <w:rFonts w:cs="Arial"/>
                <w:sz w:val="22"/>
                <w:szCs w:val="22"/>
              </w:rPr>
              <w:t>ontext (approx. 500 words)</w:t>
            </w:r>
          </w:p>
          <w:p w14:paraId="5179301E" w14:textId="0C32CBA1" w:rsidR="00430E87" w:rsidRPr="00A830D5" w:rsidRDefault="00430E87" w:rsidP="005419D3">
            <w:pPr>
              <w:rPr>
                <w:rFonts w:cs="Arial"/>
                <w:sz w:val="22"/>
                <w:szCs w:val="22"/>
              </w:rPr>
            </w:pPr>
          </w:p>
        </w:tc>
      </w:tr>
      <w:tr w:rsidR="00660727" w:rsidRPr="00A830D5" w14:paraId="31914861" w14:textId="77777777" w:rsidTr="00AC4DCF">
        <w:trPr>
          <w:trHeight w:val="397"/>
        </w:trPr>
        <w:tc>
          <w:tcPr>
            <w:tcW w:w="9781" w:type="dxa"/>
            <w:vAlign w:val="center"/>
          </w:tcPr>
          <w:p w14:paraId="56B9094D" w14:textId="77777777" w:rsidR="00C9708D" w:rsidRPr="002559FE" w:rsidRDefault="00C9708D" w:rsidP="00C9708D">
            <w:pPr>
              <w:spacing w:line="360" w:lineRule="auto"/>
              <w:rPr>
                <w:rFonts w:cs="Arial"/>
                <w:sz w:val="21"/>
                <w:szCs w:val="21"/>
              </w:rPr>
            </w:pPr>
            <w:r>
              <w:rPr>
                <w:rFonts w:cs="Arial" w:hint="eastAsia"/>
                <w:b/>
                <w:bCs/>
                <w:szCs w:val="21"/>
                <w:lang w:eastAsia="zh-CN"/>
              </w:rPr>
              <w:t>B</w:t>
            </w:r>
            <w:r w:rsidRPr="002559FE">
              <w:rPr>
                <w:rFonts w:cs="Arial"/>
                <w:b/>
                <w:bCs/>
                <w:sz w:val="21"/>
                <w:szCs w:val="21"/>
              </w:rPr>
              <w:t>ackground</w:t>
            </w:r>
          </w:p>
          <w:p w14:paraId="13A6C417" w14:textId="77777777" w:rsidR="00C9708D" w:rsidRPr="002559FE" w:rsidRDefault="00C9708D" w:rsidP="00C9708D">
            <w:pPr>
              <w:spacing w:line="360" w:lineRule="auto"/>
              <w:rPr>
                <w:rFonts w:cs="Arial"/>
                <w:sz w:val="21"/>
                <w:szCs w:val="21"/>
              </w:rPr>
            </w:pPr>
            <w:r w:rsidRPr="002559FE">
              <w:rPr>
                <w:rFonts w:cs="Arial"/>
                <w:sz w:val="21"/>
                <w:szCs w:val="21"/>
              </w:rPr>
              <w:t>In the era of Industry 4.0, enterprises realised the important competition that digital technologies bring to their businesses (e.g. Big Data, IoT, AI)</w:t>
            </w:r>
            <w:r w:rsidRPr="002559FE">
              <w:rPr>
                <w:rFonts w:cs="Arial"/>
                <w:sz w:val="21"/>
                <w:szCs w:val="21"/>
              </w:rPr>
              <w:fldChar w:fldCharType="begin"/>
            </w:r>
            <w:r w:rsidRPr="002559FE">
              <w:rPr>
                <w:rFonts w:cs="Arial"/>
                <w:sz w:val="21"/>
                <w:szCs w:val="21"/>
              </w:rPr>
              <w:instrText xml:space="preserve"> ADDIN ZOTERO_ITEM CSL_CITATION {"citationID":"dfgTqVH7","properties":{"formattedCitation":"(Busulwa et al., 2022; Cal\\uc0\\u305{}\\uc0\\u351{} Duman &amp; Akdemir, 2021; Kagermann, H. et al., 2011; Llopis-Albert et al., 2021)","plainCitation":"(Busulwa et al., 2022; Calış Duman &amp; Akdemir, 2021; Kagermann, H. et al., 2011; Llopis-Albert et al., 2021)","noteIndex":0},"citationItems":[{"id":2731,"uris":["http://zotero.org/users/4106135/items/UPMR3635"],"itemData":{"id":2731,"type":"article-journal","abstract":"Digital transformation requires hospitality and tourism organizations to build and sustain digital business ca­ pabilities such as digital customer engagement, digital customer experience management, digital innovation, digital leadership, and others. These organization digital business capabilities, in turn, require corresponding digital transformation and digital business management competencies. This has important implications for required hospitality management competencies. We identify the specific digital transformation and digital business management competencies required by hospitality managers. Then, given a disconnect between these competencies and previously identified hospitality management digital technology competencies, we propose a framework integrating digital transformation and digital business management competencies with previously identified digital technology competencies required by hospitality managers. The proposed framework has important implications for curricula design and managerial practice. These implications as well as future research ideas are discussed.","archive":"DT","call-number":"1","container-title":"International Journal of Hospitality Management","DOI":"10.1016/j.ijhm.2021.103132","ISSN":"02784319","journalAbbreviation":"International Journal of Hospitality Management","language":"en","note":"abstractTranslation:  </w:instrText>
            </w:r>
            <w:r w:rsidRPr="002559FE">
              <w:rPr>
                <w:rFonts w:cs="Arial"/>
                <w:sz w:val="21"/>
                <w:szCs w:val="21"/>
              </w:rPr>
              <w:instrText>数字化转型要求酒店和旅游组织建立和维持数字业务能力，例如数字客户参与、数字客户体验管理、数字创新、数字领导力等。这些组织数字业务能力反过来又需要相应的数字化转型和数字业务管理能力。这对所需的酒店管理能力具有重要意义。我们确定酒店经理所需的特定数字化转型和数字业务管理能力。然后，鉴于这些能力与先前确定的酒店管理数字技术能力之间存在脱节，我们提出了一个框架，将数字化转型和数字业务管理能力与先前确定的酒店经理所需的数字技术能力相结合。拟议的框架对课程设计和管理实践具有重要意义。讨论了这些影响以及未来的研究思路。</w:instrText>
            </w:r>
            <w:r w:rsidRPr="002559FE">
              <w:rPr>
                <w:rFonts w:cs="Arial"/>
                <w:sz w:val="21"/>
                <w:szCs w:val="21"/>
              </w:rPr>
              <w:instrText xml:space="preserve">\ntitleTranslation: </w:instrText>
            </w:r>
            <w:r w:rsidRPr="002559FE">
              <w:rPr>
                <w:rFonts w:cs="Arial"/>
                <w:sz w:val="21"/>
                <w:szCs w:val="21"/>
              </w:rPr>
              <w:instrText>数字化转型和酒店管理能力：迈向综合框架</w:instrText>
            </w:r>
            <w:r w:rsidRPr="002559FE">
              <w:rPr>
                <w:rFonts w:cs="Arial"/>
                <w:sz w:val="21"/>
                <w:szCs w:val="21"/>
              </w:rPr>
              <w:instrText>","page":"103132","source":"9.9","title":"Digital transformation and hospitality management competencies: Toward an integrative framework","title-short":"</w:instrText>
            </w:r>
            <w:r w:rsidRPr="002559FE">
              <w:rPr>
                <w:rFonts w:ascii="Apple Color Emoji" w:hAnsi="Apple Color Emoji" w:cs="Apple Color Emoji"/>
                <w:sz w:val="21"/>
                <w:szCs w:val="21"/>
              </w:rPr>
              <w:instrText>🔤</w:instrText>
            </w:r>
            <w:r w:rsidRPr="002559FE">
              <w:rPr>
                <w:rFonts w:cs="Arial"/>
                <w:sz w:val="21"/>
                <w:szCs w:val="21"/>
              </w:rPr>
              <w:instrText xml:space="preserve">","volume":"102","author":[{"family":"Busulwa","given":"Richard"},{"family":"Pickering","given":"Mark"},{"family":"Mao","given":"Iris"}],"issued":{"date-parts":[["2022",4]]},"citation-key":"busulwaDigitalTransformationHospitality2022"}},{"id":2742,"uris":["http://zotero.org/users/4106135/items/VCXVUUK7"],"itemData":{"id":2742,"type":"article-journal","abstract":"The aim of this study is to determine the effects of Industry 4.0 technology components on the organizational performance of businesses. Industry 4.0, the latest phase of the industrial revolution and one which is garnering a lot of attention, offers a number of benefits to businesses such as efficiency, speed, quality, personalised pro­ duction, and reduced costs. Therefore, results which can be achieved through the initial adaptation of businesses to Industry 4.0 are among today’s most compelling technological issues. In this context, the idea of determining the effects of Industry 4.0 components on businesses, specifically on their organizational performance, is the main aim of this research.","archive":"DT","container-title":"Technological Forecasting and Social Change","DOI":"10.1016/j.techfore.2021.120615","ISSN":"00401625","journalAbbreviation":"Technological Forecasting and Social Change","language":"en","note":"titleTranslation: </w:instrText>
            </w:r>
            <w:r w:rsidRPr="002559FE">
              <w:rPr>
                <w:rFonts w:cs="Arial"/>
                <w:sz w:val="21"/>
                <w:szCs w:val="21"/>
              </w:rPr>
              <w:instrText>确定工业</w:instrText>
            </w:r>
            <w:r w:rsidRPr="002559FE">
              <w:rPr>
                <w:rFonts w:cs="Arial"/>
                <w:sz w:val="21"/>
                <w:szCs w:val="21"/>
              </w:rPr>
              <w:instrText xml:space="preserve"> 4.0 </w:instrText>
            </w:r>
            <w:r w:rsidRPr="002559FE">
              <w:rPr>
                <w:rFonts w:cs="Arial"/>
                <w:sz w:val="21"/>
                <w:szCs w:val="21"/>
              </w:rPr>
              <w:instrText>技术组件对组织绩效影响的研究</w:instrText>
            </w:r>
            <w:r w:rsidRPr="002559FE">
              <w:rPr>
                <w:rFonts w:cs="Arial"/>
                <w:sz w:val="21"/>
                <w:szCs w:val="21"/>
              </w:rPr>
              <w:instrText xml:space="preserve">\nabstractTranslation:  </w:instrText>
            </w:r>
            <w:r w:rsidRPr="002559FE">
              <w:rPr>
                <w:rFonts w:cs="Arial"/>
                <w:sz w:val="21"/>
                <w:szCs w:val="21"/>
              </w:rPr>
              <w:instrText>本研究的目的是确定工业</w:instrText>
            </w:r>
            <w:r w:rsidRPr="002559FE">
              <w:rPr>
                <w:rFonts w:cs="Arial"/>
                <w:sz w:val="21"/>
                <w:szCs w:val="21"/>
              </w:rPr>
              <w:instrText xml:space="preserve"> 4.0 </w:instrText>
            </w:r>
            <w:r w:rsidRPr="002559FE">
              <w:rPr>
                <w:rFonts w:cs="Arial"/>
                <w:sz w:val="21"/>
                <w:szCs w:val="21"/>
              </w:rPr>
              <w:instrText>技术组件对企业组织绩效的影响。工业</w:instrText>
            </w:r>
            <w:r w:rsidRPr="002559FE">
              <w:rPr>
                <w:rFonts w:cs="Arial"/>
                <w:sz w:val="21"/>
                <w:szCs w:val="21"/>
              </w:rPr>
              <w:instrText xml:space="preserve"> 4.0 </w:instrText>
            </w:r>
            <w:r w:rsidRPr="002559FE">
              <w:rPr>
                <w:rFonts w:cs="Arial"/>
                <w:sz w:val="21"/>
                <w:szCs w:val="21"/>
              </w:rPr>
              <w:instrText>是工业革命的最新阶段，受到广泛关注，它为企业带来了许多好处，例如效率、速度、质量、个性化生产和降低成本。因此，通过企业初步适应工业</w:instrText>
            </w:r>
            <w:r w:rsidRPr="002559FE">
              <w:rPr>
                <w:rFonts w:cs="Arial"/>
                <w:sz w:val="21"/>
                <w:szCs w:val="21"/>
              </w:rPr>
              <w:instrText xml:space="preserve"> 4.0 </w:instrText>
            </w:r>
            <w:r w:rsidRPr="002559FE">
              <w:rPr>
                <w:rFonts w:cs="Arial"/>
                <w:sz w:val="21"/>
                <w:szCs w:val="21"/>
              </w:rPr>
              <w:instrText>可以取得的成果是当今最引人注目的技术问题之一。在这种情况下，确定工业</w:instrText>
            </w:r>
            <w:r w:rsidRPr="002559FE">
              <w:rPr>
                <w:rFonts w:cs="Arial"/>
                <w:sz w:val="21"/>
                <w:szCs w:val="21"/>
              </w:rPr>
              <w:instrText xml:space="preserve"> 4.0 </w:instrText>
            </w:r>
            <w:r w:rsidRPr="002559FE">
              <w:rPr>
                <w:rFonts w:cs="Arial"/>
                <w:sz w:val="21"/>
                <w:szCs w:val="21"/>
              </w:rPr>
              <w:instrText>组件对企业的影响，特别是对其组织绩效的影响，是本研究的主要目的。</w:instrText>
            </w:r>
            <w:r w:rsidRPr="002559FE">
              <w:rPr>
                <w:rFonts w:cs="Arial"/>
                <w:sz w:val="21"/>
                <w:szCs w:val="21"/>
              </w:rPr>
              <w:instrText>","page":"120615","source":"12","title":"A study to determine the effects of industry 4.0 technology components on organizational performance","title-short":"</w:instrText>
            </w:r>
            <w:r w:rsidRPr="002559FE">
              <w:rPr>
                <w:rFonts w:ascii="Apple Color Emoji" w:hAnsi="Apple Color Emoji" w:cs="Apple Color Emoji"/>
                <w:sz w:val="21"/>
                <w:szCs w:val="21"/>
              </w:rPr>
              <w:instrText>🔤</w:instrText>
            </w:r>
            <w:r w:rsidRPr="002559FE">
              <w:rPr>
                <w:rFonts w:cs="Arial"/>
                <w:sz w:val="21"/>
                <w:szCs w:val="21"/>
              </w:rPr>
              <w:instrText xml:space="preserve">","volume":"167","author":[{"family":"Calış Duman","given":"Meral"},{"family":"Akdemir","given":"Bunyamin"}],"issued":{"date-parts":[["2021",6]]},"citation-key":"calisdumanStudyDetermineEffects2021"}},{"id":34616,"uris":["http://zotero.org/users/4106135/items/D8C74ZZH"],"itemData":{"id":34616,"type":"article-journal","container-title":"Industriellen revolution. VDI nachrichten,","issue":"1","note":"titleTranslation: vdinach2011a13-ind4.0-Internet-Dinge.pdf","page":"2-3","title":"Industrie 4.0: Mit dem Internet der Dinge auf dem Weg zur 4","volume":"13","author":[{"literal":"Kagermann, H."},{"literal":"Lukas, W.D."},{"literal":"Wahlster, W."}],"issued":{"date-parts":[["2011"]]},"citation-key":"kagermannh.IndustrieMitInternet2011"}},{"id":33591,"uris":["http://zotero.org/users/4106135/items/QLCB9REG"],"itemData":{"id":33591,"type":"article-journal","abstract":"Digital technologies are transforming the automotive industry and disrupting traditional business models. New business opportunities related to Industry 4.0 are emerging, so companies must adapt to the new environment. The study presents an application of fuzzy-set qualitative comparative analysis (fsQCA) to analyze the future impact of digital transformation on business performance models and the different actors’ satisfaction. A wide range of aspects and actors derived from the digital transformation process in the automotive industry are considered.","call-number":"1","container-title":"Technological Forecasting and Social Change","DOI":"10.1016/j.techfore.2020.120343","ISSN":"00401625","journalAbbreviation":"Technological Forecasting and Social Change","language":"en","note":"abstractTranslation:  </w:instrText>
            </w:r>
            <w:r w:rsidRPr="002559FE">
              <w:rPr>
                <w:rFonts w:cs="Arial"/>
                <w:sz w:val="21"/>
                <w:szCs w:val="21"/>
              </w:rPr>
              <w:instrText>数字技术正在改变汽车行业并颠覆传统商业模式。与工业</w:instrText>
            </w:r>
            <w:r w:rsidRPr="002559FE">
              <w:rPr>
                <w:rFonts w:cs="Arial"/>
                <w:sz w:val="21"/>
                <w:szCs w:val="21"/>
              </w:rPr>
              <w:instrText>4.0</w:instrText>
            </w:r>
            <w:r w:rsidRPr="002559FE">
              <w:rPr>
                <w:rFonts w:cs="Arial"/>
                <w:sz w:val="21"/>
                <w:szCs w:val="21"/>
              </w:rPr>
              <w:instrText>相关的新商机不断涌现，企业必须适应新环境。该研究提出了模糊集定性比较分析（</w:instrText>
            </w:r>
            <w:r w:rsidRPr="002559FE">
              <w:rPr>
                <w:rFonts w:cs="Arial"/>
                <w:sz w:val="21"/>
                <w:szCs w:val="21"/>
              </w:rPr>
              <w:instrText>fsQCA</w:instrText>
            </w:r>
            <w:r w:rsidRPr="002559FE">
              <w:rPr>
                <w:rFonts w:cs="Arial"/>
                <w:sz w:val="21"/>
                <w:szCs w:val="21"/>
              </w:rPr>
              <w:instrText>）的应用来分析数字化转型对业务绩效模型和不同参与者满意度的未来影响。考虑了汽车行业数字化转型过程中产生的广泛方面和参与者。</w:instrText>
            </w:r>
            <w:r w:rsidRPr="002559FE">
              <w:rPr>
                <w:rFonts w:cs="Arial"/>
                <w:sz w:val="21"/>
                <w:szCs w:val="21"/>
              </w:rPr>
              <w:instrText xml:space="preserve">\ntitleTranslation: </w:instrText>
            </w:r>
            <w:r w:rsidRPr="002559FE">
              <w:rPr>
                <w:rFonts w:cs="Arial"/>
                <w:sz w:val="21"/>
                <w:szCs w:val="21"/>
              </w:rPr>
              <w:instrText>数字化转型对汽车行业的影响</w:instrText>
            </w:r>
            <w:r w:rsidRPr="002559FE">
              <w:rPr>
                <w:rFonts w:cs="Arial"/>
                <w:sz w:val="21"/>
                <w:szCs w:val="21"/>
              </w:rPr>
              <w:instrText xml:space="preserve">","page":"120343","source":"12.9","title":"Impact of digital transformation on the automotive industry","volume":"162","author":[{"family":"Llopis-Albert","given":"Carlos"},{"family":"Rubio","given":"Francisco"},{"family":"Valero","given":"Francisco"}],"issued":{"date-parts":[["2021",1]]},"citation-key":"llopis-albertImpactDigitalTransformation2021"}}],"schema":"https://github.com/citation-style-language/schema/raw/master/csl-citation.json"} </w:instrText>
            </w:r>
            <w:r w:rsidRPr="002559FE">
              <w:rPr>
                <w:rFonts w:cs="Arial"/>
                <w:sz w:val="21"/>
                <w:szCs w:val="21"/>
              </w:rPr>
              <w:fldChar w:fldCharType="separate"/>
            </w:r>
            <w:r w:rsidRPr="002559FE">
              <w:rPr>
                <w:rFonts w:cs="Arial"/>
                <w:sz w:val="21"/>
                <w:szCs w:val="21"/>
              </w:rPr>
              <w:t>(Busulwa et al., 2022; Calış Duman &amp; Akdemir, 2021; Kagermann, H. et al., 2011; Llopis-Albert et al., 2021)</w:t>
            </w:r>
            <w:r w:rsidRPr="002559FE">
              <w:rPr>
                <w:rFonts w:cs="Arial"/>
                <w:sz w:val="21"/>
                <w:szCs w:val="21"/>
              </w:rPr>
              <w:fldChar w:fldCharType="end"/>
            </w:r>
            <w:r w:rsidRPr="002559FE">
              <w:rPr>
                <w:rFonts w:cs="Arial"/>
                <w:sz w:val="21"/>
                <w:szCs w:val="21"/>
              </w:rPr>
              <w:t>.</w:t>
            </w:r>
            <w:r w:rsidRPr="002559FE">
              <w:rPr>
                <w:rFonts w:cs="Arial"/>
                <w:color w:val="000000" w:themeColor="text1"/>
                <w:sz w:val="21"/>
                <w:szCs w:val="21"/>
              </w:rPr>
              <w:t xml:space="preserve"> The introduction of digital technologies changes production, service, and management processes to create great value for businesses</w:t>
            </w:r>
            <w:r w:rsidRPr="002559FE">
              <w:rPr>
                <w:rFonts w:eastAsia="仿宋" w:cs="Arial"/>
                <w:sz w:val="21"/>
                <w:szCs w:val="21"/>
              </w:rPr>
              <w:fldChar w:fldCharType="begin"/>
            </w:r>
            <w:r w:rsidRPr="002559FE">
              <w:rPr>
                <w:rFonts w:eastAsia="仿宋" w:cs="Arial"/>
                <w:sz w:val="21"/>
                <w:szCs w:val="21"/>
              </w:rPr>
              <w:instrText xml:space="preserve"> ADDIN ZOTERO_ITEM CSL_CITATION {"citationID":"NPHW4qAp","properties":{"formattedCitation":"(Annosi et al., 2021; Guan et al., 2023; Jachimczyk et al., 2021; Rekabi et al., 2023)","plainCitation":"(Annosi et al., 2021; Guan et al., 2023; Jachimczyk et al., 2021; Rekabi et al., 2023)","noteIndex":0},"citationItems":[{"id":16381,"uris":["http://zotero.org/users/4106135/items/N7ZNRIBQ"],"itemData":{"id":16381,"type":"article-journal","abstract":"Food supply chains increasingly rely on big-data management solutions to foster collaboration across the food supply chain and improve business performance. However, little is known about collaboration practices that actors on the digital food supply chain adopt to solve problems such as food waste, or about the drivers and barriers related to the digital transformation of the food supply chain. Most of food waste studies rely on quantitative analysis, which cannot reveal relevant details about the tensions and dynamics of collaboration. We conducted a qualitative study drawing on eighteen in-depth interviews - of managers of large multinational and local organizations covering different and relevant roles on the digital food supply chain - to investigate how organizational and food supply chain processes are affected by the digitalization of the operations along the food supply chain. By triangulating emerging findings with literature on supply chain management we discuss different views about collaborative practices for food waste prevention in the food supply chain and provide insights on how supply chain design and firms’ operations have been re-conceptualized with the usage of digital technologies and on the institutional forces both limiting (barriers) and fostering (drivers) the diffusion of the digital food supply chain.","archive":"DT","call-number":"1","container-title":"Industrial Marketing Management","DOI":"10.1016/j.indmarman.2021.01.005","ISSN":"00198501","journalAbbreviation":"Industrial Marketing Management","language":"en","note":"abstractTranslation:  </w:instrText>
            </w:r>
            <w:r w:rsidRPr="002559FE">
              <w:rPr>
                <w:rFonts w:eastAsia="仿宋" w:cs="Arial"/>
                <w:sz w:val="21"/>
                <w:szCs w:val="21"/>
              </w:rPr>
              <w:instrText>食品供应链越来越依赖大数据管理解决方案来促进整个食品供应链的协作并提高业务绩效。然而，人们对数字食品供应链上的参与者为解决食品浪费等问题而采取的协作实践，或者与食品供应链数字化转型相关的驱动因素和障碍知之甚少。大多数食物浪费研究依赖于定量分析，无法揭示合作紧张和动态的相关细节。我们对</w:instrText>
            </w:r>
            <w:r w:rsidRPr="002559FE">
              <w:rPr>
                <w:rFonts w:eastAsia="仿宋" w:cs="Arial"/>
                <w:sz w:val="21"/>
                <w:szCs w:val="21"/>
              </w:rPr>
              <w:instrText xml:space="preserve"> 18 </w:instrText>
            </w:r>
            <w:r w:rsidRPr="002559FE">
              <w:rPr>
                <w:rFonts w:eastAsia="仿宋" w:cs="Arial"/>
                <w:sz w:val="21"/>
                <w:szCs w:val="21"/>
              </w:rPr>
              <w:instrText>名大型跨国和本地组织的管理人员进行了深入访谈，涵盖数字食品供应链上不同且相关的角色，进行了一项定性研究，以调查运营数字化对组织和食品供应链流程的影响沿着食品供应链。通过将新兴发现与供应链管理文献进行三角测量，我们讨论了关于食品供应链中预防食物浪费的协作实践的不同观点，并提供了关于如何利用数字技术和技术重新概念化供应链设计和公司运营的见解。限制（障碍）和促进（驱动力）数字食品供应链扩散的制度力量。</w:instrText>
            </w:r>
            <w:r w:rsidRPr="002559FE">
              <w:rPr>
                <w:rFonts w:eastAsia="仿宋" w:cs="Arial"/>
                <w:sz w:val="21"/>
                <w:szCs w:val="21"/>
              </w:rPr>
              <w:instrText xml:space="preserve">\ntitleTranslation: </w:instrText>
            </w:r>
            <w:r w:rsidRPr="002559FE">
              <w:rPr>
                <w:rFonts w:eastAsia="仿宋" w:cs="Arial"/>
                <w:sz w:val="21"/>
                <w:szCs w:val="21"/>
              </w:rPr>
              <w:instrText>食品供应链内的数字化可防止食品浪费。驱动因素、障碍和协作实践</w:instrText>
            </w:r>
            <w:r w:rsidRPr="002559FE">
              <w:rPr>
                <w:rFonts w:eastAsia="仿宋" w:cs="Arial"/>
                <w:sz w:val="21"/>
                <w:szCs w:val="21"/>
              </w:rPr>
              <w:instrText xml:space="preserve">","page":"208-220","source":"7.8","title":"Digitalization within food supply chains to prevent food waste. Drivers, barriers and collaboration practices","volume":"93","author":[{"family":"Annosi","given":"Maria Carmela"},{"family":"Brunetta","given":"Federica"},{"family":"Bimbo","given":"Francesco"},{"family":"Kostoula","given":"Marianthi"}],"issued":{"date-parts":[["2021",2]]},"citation-key":"annosiDigitalizationFoodSupply2021"},"label":"page"},{"id":19034,"uris":["http://zotero.org/users/4106135/items/GEYCMAKD"],"itemData":{"id":19034,"type":"article-journal","abstract":"This study employs a machine learning approach to examine whether and to what extent supply chain related factors can improve the prediction accuracy of blockchain technology (BT) adoption. The supply chain factors studied include supply chain collaboration, information sharing along the supply chain, partner power, trust in supply chain partners and Guanxi with supply chain partners. We choose the Technology-OrganizationEnvironment (TOE) framework as the benchmark model and quantify the importance of supply chain factors by comparing the prediction accuracy of the benchmark model using only the TOE framework with an extended model combining supply chain factors with the TOE framework. Based on data collected from 629 Chinese firms, we find that Support Vector Machine stands out among all machine learning algorithms: the complete model including both supply chain and TOE factors reaches an accuracy rate of 89.3 %, while the model including only TOE factors has an accuracy rate of 83 %. Based on a 10-fold cross-validated paired t-test, we further confirm that incorporating supply chain factors can significantly improve the prediction accuracy by 6.34 % over the benchmark model. Our results indicate that TOE factors are insufficient to understand and predict BT adoption; supply chain factors also need to be considered.","archive":"ML","container-title":"Technological Forecasting and Social Change","DOI":"10.1016/j.techfore.2023.122552","ISSN":"00401625","journalAbbreviation":"Technological Forecasting and Social Change","language":"en","note":"titleTranslation: </w:instrText>
            </w:r>
            <w:r w:rsidRPr="002559FE">
              <w:rPr>
                <w:rFonts w:eastAsia="仿宋" w:cs="Arial"/>
                <w:sz w:val="21"/>
                <w:szCs w:val="21"/>
              </w:rPr>
              <w:instrText>供应链相关因素是否会提高区块链采用的预测准确性？机器学习方法</w:instrText>
            </w:r>
            <w:r w:rsidRPr="002559FE">
              <w:rPr>
                <w:rFonts w:eastAsia="仿宋" w:cs="Arial"/>
                <w:sz w:val="21"/>
                <w:szCs w:val="21"/>
              </w:rPr>
              <w:instrText xml:space="preserve">\nabstractTranslation:  </w:instrText>
            </w:r>
            <w:r w:rsidRPr="002559FE">
              <w:rPr>
                <w:rFonts w:eastAsia="仿宋" w:cs="Arial"/>
                <w:sz w:val="21"/>
                <w:szCs w:val="21"/>
              </w:rPr>
              <w:instrText>本研究采用机器学习方法来检验供应链相关因素是否以及在多大程度上可以提高区块链技术（</w:instrText>
            </w:r>
            <w:r w:rsidRPr="002559FE">
              <w:rPr>
                <w:rFonts w:eastAsia="仿宋" w:cs="Arial"/>
                <w:sz w:val="21"/>
                <w:szCs w:val="21"/>
              </w:rPr>
              <w:instrText>BT</w:instrText>
            </w:r>
            <w:r w:rsidRPr="002559FE">
              <w:rPr>
                <w:rFonts w:eastAsia="仿宋" w:cs="Arial"/>
                <w:sz w:val="21"/>
                <w:szCs w:val="21"/>
              </w:rPr>
              <w:instrText>）采用的预测准确性。研究的供应链因素包括供应链协作、供应链信息共享、合作伙伴权力、供应链合作伙伴信任以及与供应链合作伙伴的关系。我们选择技术</w:instrText>
            </w:r>
            <w:r w:rsidRPr="002559FE">
              <w:rPr>
                <w:rFonts w:eastAsia="仿宋" w:cs="Arial"/>
                <w:sz w:val="21"/>
                <w:szCs w:val="21"/>
              </w:rPr>
              <w:instrText>-</w:instrText>
            </w:r>
            <w:r w:rsidRPr="002559FE">
              <w:rPr>
                <w:rFonts w:eastAsia="仿宋" w:cs="Arial"/>
                <w:sz w:val="21"/>
                <w:szCs w:val="21"/>
              </w:rPr>
              <w:instrText>组织环境（</w:instrText>
            </w:r>
            <w:r w:rsidRPr="002559FE">
              <w:rPr>
                <w:rFonts w:eastAsia="仿宋" w:cs="Arial"/>
                <w:sz w:val="21"/>
                <w:szCs w:val="21"/>
              </w:rPr>
              <w:instrText>TOE</w:instrText>
            </w:r>
            <w:r w:rsidRPr="002559FE">
              <w:rPr>
                <w:rFonts w:eastAsia="仿宋" w:cs="Arial"/>
                <w:sz w:val="21"/>
                <w:szCs w:val="21"/>
              </w:rPr>
              <w:instrText>）框架作为基准模型，通过比较仅使用</w:instrText>
            </w:r>
            <w:r w:rsidRPr="002559FE">
              <w:rPr>
                <w:rFonts w:eastAsia="仿宋" w:cs="Arial"/>
                <w:sz w:val="21"/>
                <w:szCs w:val="21"/>
              </w:rPr>
              <w:instrText>TOE</w:instrText>
            </w:r>
            <w:r w:rsidRPr="002559FE">
              <w:rPr>
                <w:rFonts w:eastAsia="仿宋" w:cs="Arial"/>
                <w:sz w:val="21"/>
                <w:szCs w:val="21"/>
              </w:rPr>
              <w:instrText>框架的基准模型与将供应链因素与</w:instrText>
            </w:r>
            <w:r w:rsidRPr="002559FE">
              <w:rPr>
                <w:rFonts w:eastAsia="仿宋" w:cs="Arial"/>
                <w:sz w:val="21"/>
                <w:szCs w:val="21"/>
              </w:rPr>
              <w:instrText>TOE</w:instrText>
            </w:r>
            <w:r w:rsidRPr="002559FE">
              <w:rPr>
                <w:rFonts w:eastAsia="仿宋" w:cs="Arial"/>
                <w:sz w:val="21"/>
                <w:szCs w:val="21"/>
              </w:rPr>
              <w:instrText>框架相结合的扩展模型的预测精度来量化供应链因素的重要性。基于</w:instrText>
            </w:r>
            <w:r w:rsidRPr="002559FE">
              <w:rPr>
                <w:rFonts w:eastAsia="仿宋" w:cs="Arial"/>
                <w:sz w:val="21"/>
                <w:szCs w:val="21"/>
              </w:rPr>
              <w:instrText>629</w:instrText>
            </w:r>
            <w:r w:rsidRPr="002559FE">
              <w:rPr>
                <w:rFonts w:eastAsia="仿宋" w:cs="Arial"/>
                <w:sz w:val="21"/>
                <w:szCs w:val="21"/>
              </w:rPr>
              <w:instrText>家中国企业的数据，我们发现支持向量机在所有机器学习算法中脱颖而出：包含供应链和</w:instrText>
            </w:r>
            <w:r w:rsidRPr="002559FE">
              <w:rPr>
                <w:rFonts w:eastAsia="仿宋" w:cs="Arial"/>
                <w:sz w:val="21"/>
                <w:szCs w:val="21"/>
              </w:rPr>
              <w:instrText>TOE</w:instrText>
            </w:r>
            <w:r w:rsidRPr="002559FE">
              <w:rPr>
                <w:rFonts w:eastAsia="仿宋" w:cs="Arial"/>
                <w:sz w:val="21"/>
                <w:szCs w:val="21"/>
              </w:rPr>
              <w:instrText>因素的完整模型的准确率达到</w:instrText>
            </w:r>
            <w:r w:rsidRPr="002559FE">
              <w:rPr>
                <w:rFonts w:eastAsia="仿宋" w:cs="Arial"/>
                <w:sz w:val="21"/>
                <w:szCs w:val="21"/>
              </w:rPr>
              <w:instrText>89.3%</w:instrText>
            </w:r>
            <w:r w:rsidRPr="002559FE">
              <w:rPr>
                <w:rFonts w:eastAsia="仿宋" w:cs="Arial"/>
                <w:sz w:val="21"/>
                <w:szCs w:val="21"/>
              </w:rPr>
              <w:instrText>，而仅包含</w:instrText>
            </w:r>
            <w:r w:rsidRPr="002559FE">
              <w:rPr>
                <w:rFonts w:eastAsia="仿宋" w:cs="Arial"/>
                <w:sz w:val="21"/>
                <w:szCs w:val="21"/>
              </w:rPr>
              <w:instrText>TOE</w:instrText>
            </w:r>
            <w:r w:rsidRPr="002559FE">
              <w:rPr>
                <w:rFonts w:eastAsia="仿宋" w:cs="Arial"/>
                <w:sz w:val="21"/>
                <w:szCs w:val="21"/>
              </w:rPr>
              <w:instrText>因素的模型的准确率达到</w:instrText>
            </w:r>
            <w:r w:rsidRPr="002559FE">
              <w:rPr>
                <w:rFonts w:eastAsia="仿宋" w:cs="Arial"/>
                <w:sz w:val="21"/>
                <w:szCs w:val="21"/>
              </w:rPr>
              <w:instrText>89.3%</w:instrText>
            </w:r>
            <w:r w:rsidRPr="002559FE">
              <w:rPr>
                <w:rFonts w:eastAsia="仿宋" w:cs="Arial"/>
                <w:sz w:val="21"/>
                <w:szCs w:val="21"/>
              </w:rPr>
              <w:instrText>。准确率</w:instrText>
            </w:r>
            <w:r w:rsidRPr="002559FE">
              <w:rPr>
                <w:rFonts w:eastAsia="仿宋" w:cs="Arial"/>
                <w:sz w:val="21"/>
                <w:szCs w:val="21"/>
              </w:rPr>
              <w:instrText>83%</w:instrText>
            </w:r>
            <w:r w:rsidRPr="002559FE">
              <w:rPr>
                <w:rFonts w:eastAsia="仿宋" w:cs="Arial"/>
                <w:sz w:val="21"/>
                <w:szCs w:val="21"/>
              </w:rPr>
              <w:instrText>。基于</w:instrText>
            </w:r>
            <w:r w:rsidRPr="002559FE">
              <w:rPr>
                <w:rFonts w:eastAsia="仿宋" w:cs="Arial"/>
                <w:sz w:val="21"/>
                <w:szCs w:val="21"/>
              </w:rPr>
              <w:instrText>10</w:instrText>
            </w:r>
            <w:r w:rsidRPr="002559FE">
              <w:rPr>
                <w:rFonts w:eastAsia="仿宋" w:cs="Arial"/>
                <w:sz w:val="21"/>
                <w:szCs w:val="21"/>
              </w:rPr>
              <w:instrText>倍交叉验证的配对</w:instrText>
            </w:r>
            <w:r w:rsidRPr="002559FE">
              <w:rPr>
                <w:rFonts w:eastAsia="仿宋" w:cs="Arial"/>
                <w:sz w:val="21"/>
                <w:szCs w:val="21"/>
              </w:rPr>
              <w:instrText>t</w:instrText>
            </w:r>
            <w:r w:rsidRPr="002559FE">
              <w:rPr>
                <w:rFonts w:eastAsia="仿宋" w:cs="Arial"/>
                <w:sz w:val="21"/>
                <w:szCs w:val="21"/>
              </w:rPr>
              <w:instrText>检验，我们进一步证实，纳入供应链因素可以使预测精度比基准模型显着提高</w:instrText>
            </w:r>
            <w:r w:rsidRPr="002559FE">
              <w:rPr>
                <w:rFonts w:eastAsia="仿宋" w:cs="Arial"/>
                <w:sz w:val="21"/>
                <w:szCs w:val="21"/>
              </w:rPr>
              <w:instrText>6.34%</w:instrText>
            </w:r>
            <w:r w:rsidRPr="002559FE">
              <w:rPr>
                <w:rFonts w:eastAsia="仿宋" w:cs="Arial"/>
                <w:sz w:val="21"/>
                <w:szCs w:val="21"/>
              </w:rPr>
              <w:instrText>。我们的结果表明</w:instrText>
            </w:r>
            <w:r w:rsidRPr="002559FE">
              <w:rPr>
                <w:rFonts w:eastAsia="仿宋" w:cs="Arial"/>
                <w:sz w:val="21"/>
                <w:szCs w:val="21"/>
              </w:rPr>
              <w:instrText xml:space="preserve"> TOE </w:instrText>
            </w:r>
            <w:r w:rsidRPr="002559FE">
              <w:rPr>
                <w:rFonts w:eastAsia="仿宋" w:cs="Arial"/>
                <w:sz w:val="21"/>
                <w:szCs w:val="21"/>
              </w:rPr>
              <w:instrText>因素不足以理解和预测</w:instrText>
            </w:r>
            <w:r w:rsidRPr="002559FE">
              <w:rPr>
                <w:rFonts w:eastAsia="仿宋" w:cs="Arial"/>
                <w:sz w:val="21"/>
                <w:szCs w:val="21"/>
              </w:rPr>
              <w:instrText xml:space="preserve"> BT </w:instrText>
            </w:r>
            <w:r w:rsidRPr="002559FE">
              <w:rPr>
                <w:rFonts w:eastAsia="仿宋" w:cs="Arial"/>
                <w:sz w:val="21"/>
                <w:szCs w:val="21"/>
              </w:rPr>
              <w:instrText>的采用；供应链因素也需要考虑。</w:instrText>
            </w:r>
            <w:r w:rsidRPr="002559FE">
              <w:rPr>
                <w:rFonts w:eastAsia="仿宋" w:cs="Arial"/>
                <w:sz w:val="21"/>
                <w:szCs w:val="21"/>
              </w:rPr>
              <w:instrText xml:space="preserve">","page":"122552","source":"12","title":"Do supply chain related factors enhance the prediction accuracy of blockchain adoption? A machine learning approach","title-short":"Do supply chain related factors enhance the prediction accuracy of blockchain adoption?","volume":"192","author":[{"family":"Guan","given":"Wei"},{"family":"Ding","given":"Wenhong"},{"family":"Zhang","given":"Bobo"},{"family":"Verny","given":"Jerome"},{"family":"Hao","given":"Rubin"}],"issued":{"date-parts":[["2023",7]]},"citation-key":"guanSupplyChainRelated2023"},"label":"page"},{"id":2497,"uris":["http://zotero.org/users/4106135/items/ZW2P9VAI"],"itemData":{"id":2497,"type":"article-journal","abstract":"Emerging digital transformation in industry is noticeable among others in Supply Chain Management (SCM). For instance, applying new-generation digitalized technologies in the Dairy Supply Chain (DSC) enables an increase of manufacturing productivity, improves planning and forecasting, and also enhances competitive capabilities according to Industry 4.0 assumptions. It is worth mentioning, that in modern DSC, high visibility of raw materials, components, products, and processes by all contributors on all stages of DSC is crucial. This article focuses on the transparency aspect of the DSC supported by IoT-based technologies enabling interoperability among all DSC participants. The paper addresses the problem of effective integration of heterogeneous data sources, i.e., deployed new technological IoT solutions with traditional SCM systems and a third-party software component. The main objective of this report is to propose the IoT-based DSC model comprising four chain stages: milk production, milk transportation, milk processing, and dairy products distribution. Moreover, the comprehensive DSC domain ontology as a knowledge model is formulated and described. The ontology aims on improvement of the DSC management efficiency by facilitating interoperability within DSC. The applicability of the proposed ontological model is verified using a sustainable-oriented case study, which estimates the environmental footprint at the milk transportation stage of the DSC.","archive":"AI","call-number":"4","container-title":"Elektronika ir Elektrotechnika","DOI":"10.5755/j02.eie.27612","ISSN":"2029-5731, 1392-1215","issue":"1","journalAbbreviation":"ELEKTRON ELEKTROTECH","language":"en","note":"abstractTranslation:  </w:instrText>
            </w:r>
            <w:r w:rsidRPr="002559FE">
              <w:rPr>
                <w:rFonts w:eastAsia="仿宋" w:cs="Arial"/>
                <w:sz w:val="21"/>
                <w:szCs w:val="21"/>
              </w:rPr>
              <w:instrText>工业中新兴的数字化转型在供应链管理</w:instrText>
            </w:r>
            <w:r w:rsidRPr="002559FE">
              <w:rPr>
                <w:rFonts w:eastAsia="仿宋" w:cs="Arial"/>
                <w:sz w:val="21"/>
                <w:szCs w:val="21"/>
              </w:rPr>
              <w:instrText xml:space="preserve"> (SCM) </w:instrText>
            </w:r>
            <w:r w:rsidRPr="002559FE">
              <w:rPr>
                <w:rFonts w:eastAsia="仿宋" w:cs="Arial"/>
                <w:sz w:val="21"/>
                <w:szCs w:val="21"/>
              </w:rPr>
              <w:instrText>中尤为引人注目。例如，在乳制品供应链</w:instrText>
            </w:r>
            <w:r w:rsidRPr="002559FE">
              <w:rPr>
                <w:rFonts w:eastAsia="仿宋" w:cs="Arial"/>
                <w:sz w:val="21"/>
                <w:szCs w:val="21"/>
              </w:rPr>
              <w:instrText xml:space="preserve"> (DSC) </w:instrText>
            </w:r>
            <w:r w:rsidRPr="002559FE">
              <w:rPr>
                <w:rFonts w:eastAsia="仿宋" w:cs="Arial"/>
                <w:sz w:val="21"/>
                <w:szCs w:val="21"/>
              </w:rPr>
              <w:instrText>中应用新一代数字化技术可以提高制造生产率，改进规划和预测，并根据工业</w:instrText>
            </w:r>
            <w:r w:rsidRPr="002559FE">
              <w:rPr>
                <w:rFonts w:eastAsia="仿宋" w:cs="Arial"/>
                <w:sz w:val="21"/>
                <w:szCs w:val="21"/>
              </w:rPr>
              <w:instrText xml:space="preserve"> 4.0 </w:instrText>
            </w:r>
            <w:r w:rsidRPr="002559FE">
              <w:rPr>
                <w:rFonts w:eastAsia="仿宋" w:cs="Arial"/>
                <w:sz w:val="21"/>
                <w:szCs w:val="21"/>
              </w:rPr>
              <w:instrText>假设增强竞争能力。值得一提的是，在现代</w:instrText>
            </w:r>
            <w:r w:rsidRPr="002559FE">
              <w:rPr>
                <w:rFonts w:eastAsia="仿宋" w:cs="Arial"/>
                <w:sz w:val="21"/>
                <w:szCs w:val="21"/>
              </w:rPr>
              <w:instrText xml:space="preserve"> DSC </w:instrText>
            </w:r>
            <w:r w:rsidRPr="002559FE">
              <w:rPr>
                <w:rFonts w:eastAsia="仿宋" w:cs="Arial"/>
                <w:sz w:val="21"/>
                <w:szCs w:val="21"/>
              </w:rPr>
              <w:instrText>中，所有贡献者在</w:instrText>
            </w:r>
            <w:r w:rsidRPr="002559FE">
              <w:rPr>
                <w:rFonts w:eastAsia="仿宋" w:cs="Arial"/>
                <w:sz w:val="21"/>
                <w:szCs w:val="21"/>
              </w:rPr>
              <w:instrText xml:space="preserve"> DSC </w:instrText>
            </w:r>
            <w:r w:rsidRPr="002559FE">
              <w:rPr>
                <w:rFonts w:eastAsia="仿宋" w:cs="Arial"/>
                <w:sz w:val="21"/>
                <w:szCs w:val="21"/>
              </w:rPr>
              <w:instrText>的所有阶段对原材料、组件、产品和过程的高度可见性至关重要。本文重点介绍基于物联网的技术支持的</w:instrText>
            </w:r>
            <w:r w:rsidRPr="002559FE">
              <w:rPr>
                <w:rFonts w:eastAsia="仿宋" w:cs="Arial"/>
                <w:sz w:val="21"/>
                <w:szCs w:val="21"/>
              </w:rPr>
              <w:instrText xml:space="preserve"> DSC </w:instrText>
            </w:r>
            <w:r w:rsidRPr="002559FE">
              <w:rPr>
                <w:rFonts w:eastAsia="仿宋" w:cs="Arial"/>
                <w:sz w:val="21"/>
                <w:szCs w:val="21"/>
              </w:rPr>
              <w:instrText>的透明度方面，该技术支持所有</w:instrText>
            </w:r>
            <w:r w:rsidRPr="002559FE">
              <w:rPr>
                <w:rFonts w:eastAsia="仿宋" w:cs="Arial"/>
                <w:sz w:val="21"/>
                <w:szCs w:val="21"/>
              </w:rPr>
              <w:instrText xml:space="preserve"> DSC </w:instrText>
            </w:r>
            <w:r w:rsidRPr="002559FE">
              <w:rPr>
                <w:rFonts w:eastAsia="仿宋" w:cs="Arial"/>
                <w:sz w:val="21"/>
                <w:szCs w:val="21"/>
              </w:rPr>
              <w:instrText>参与者之间的互操作性。本文解决了异构数据源有效集成的问题，即部署新技术物联网解决方案与传统</w:instrText>
            </w:r>
            <w:r w:rsidRPr="002559FE">
              <w:rPr>
                <w:rFonts w:eastAsia="仿宋" w:cs="Arial"/>
                <w:sz w:val="21"/>
                <w:szCs w:val="21"/>
              </w:rPr>
              <w:instrText xml:space="preserve"> SCM </w:instrText>
            </w:r>
            <w:r w:rsidRPr="002559FE">
              <w:rPr>
                <w:rFonts w:eastAsia="仿宋" w:cs="Arial"/>
                <w:sz w:val="21"/>
                <w:szCs w:val="21"/>
              </w:rPr>
              <w:instrText>系统和第三方软件组件。本报告的主要目标是提出基于物联网的</w:instrText>
            </w:r>
            <w:r w:rsidRPr="002559FE">
              <w:rPr>
                <w:rFonts w:eastAsia="仿宋" w:cs="Arial"/>
                <w:sz w:val="21"/>
                <w:szCs w:val="21"/>
              </w:rPr>
              <w:instrText xml:space="preserve"> DSC </w:instrText>
            </w:r>
            <w:r w:rsidRPr="002559FE">
              <w:rPr>
                <w:rFonts w:eastAsia="仿宋" w:cs="Arial"/>
                <w:sz w:val="21"/>
                <w:szCs w:val="21"/>
              </w:rPr>
              <w:instrText>模型，包括四个链阶段：牛奶生产、牛奶运输、牛奶加工和乳制品分销。此外，作为知识模型的综合</w:instrText>
            </w:r>
            <w:r w:rsidRPr="002559FE">
              <w:rPr>
                <w:rFonts w:eastAsia="仿宋" w:cs="Arial"/>
                <w:sz w:val="21"/>
                <w:szCs w:val="21"/>
              </w:rPr>
              <w:instrText xml:space="preserve"> DSC </w:instrText>
            </w:r>
            <w:r w:rsidRPr="002559FE">
              <w:rPr>
                <w:rFonts w:eastAsia="仿宋" w:cs="Arial"/>
                <w:sz w:val="21"/>
                <w:szCs w:val="21"/>
              </w:rPr>
              <w:instrText>领域本体被制定和描述。本体旨在通过促进</w:instrText>
            </w:r>
            <w:r w:rsidRPr="002559FE">
              <w:rPr>
                <w:rFonts w:eastAsia="仿宋" w:cs="Arial"/>
                <w:sz w:val="21"/>
                <w:szCs w:val="21"/>
              </w:rPr>
              <w:instrText xml:space="preserve"> DSC </w:instrText>
            </w:r>
            <w:r w:rsidRPr="002559FE">
              <w:rPr>
                <w:rFonts w:eastAsia="仿宋" w:cs="Arial"/>
                <w:sz w:val="21"/>
                <w:szCs w:val="21"/>
              </w:rPr>
              <w:instrText>内的互操作性来提高</w:instrText>
            </w:r>
            <w:r w:rsidRPr="002559FE">
              <w:rPr>
                <w:rFonts w:eastAsia="仿宋" w:cs="Arial"/>
                <w:sz w:val="21"/>
                <w:szCs w:val="21"/>
              </w:rPr>
              <w:instrText xml:space="preserve"> DSC </w:instrText>
            </w:r>
            <w:r w:rsidRPr="002559FE">
              <w:rPr>
                <w:rFonts w:eastAsia="仿宋" w:cs="Arial"/>
                <w:sz w:val="21"/>
                <w:szCs w:val="21"/>
              </w:rPr>
              <w:instrText>管理效率。使用面向可持续的案例研究验证了所提出的本体模型的适用性，该案例研究估计了</w:instrText>
            </w:r>
            <w:r w:rsidRPr="002559FE">
              <w:rPr>
                <w:rFonts w:eastAsia="仿宋" w:cs="Arial"/>
                <w:sz w:val="21"/>
                <w:szCs w:val="21"/>
              </w:rPr>
              <w:instrText xml:space="preserve"> DSC </w:instrText>
            </w:r>
            <w:r w:rsidRPr="002559FE">
              <w:rPr>
                <w:rFonts w:eastAsia="仿宋" w:cs="Arial"/>
                <w:sz w:val="21"/>
                <w:szCs w:val="21"/>
              </w:rPr>
              <w:instrText>牛奶运输阶段的环境足迹。</w:instrText>
            </w:r>
            <w:r w:rsidRPr="002559FE">
              <w:rPr>
                <w:rFonts w:eastAsia="仿宋" w:cs="Arial"/>
                <w:sz w:val="21"/>
                <w:szCs w:val="21"/>
              </w:rPr>
              <w:instrText xml:space="preserve">\ntitleTranslation: </w:instrText>
            </w:r>
            <w:r w:rsidRPr="002559FE">
              <w:rPr>
                <w:rFonts w:eastAsia="仿宋" w:cs="Arial"/>
                <w:sz w:val="21"/>
                <w:szCs w:val="21"/>
              </w:rPr>
              <w:instrText>基于物联网的乳品供应链</w:instrText>
            </w:r>
            <w:r w:rsidRPr="002559FE">
              <w:rPr>
                <w:rFonts w:eastAsia="仿宋" w:cs="Arial"/>
                <w:sz w:val="21"/>
                <w:szCs w:val="21"/>
              </w:rPr>
              <w:instrText>——</w:instrText>
            </w:r>
            <w:r w:rsidRPr="002559FE">
              <w:rPr>
                <w:rFonts w:eastAsia="仿宋" w:cs="Arial"/>
                <w:sz w:val="21"/>
                <w:szCs w:val="21"/>
              </w:rPr>
              <w:instrText>一种本体论方法</w:instrText>
            </w:r>
            <w:r w:rsidRPr="002559FE">
              <w:rPr>
                <w:rFonts w:eastAsia="仿宋" w:cs="Arial"/>
                <w:sz w:val="21"/>
                <w:szCs w:val="21"/>
              </w:rPr>
              <w:instrText>","page":"71-83","source":"1.3","title":"IoT-based Dairy Supply Chain - An Ontological Approach","title-short":"</w:instrText>
            </w:r>
            <w:r w:rsidRPr="002559FE">
              <w:rPr>
                <w:rFonts w:ascii="Apple Color Emoji" w:eastAsia="仿宋" w:hAnsi="Apple Color Emoji" w:cs="Apple Color Emoji"/>
                <w:sz w:val="21"/>
                <w:szCs w:val="21"/>
              </w:rPr>
              <w:instrText>🔤</w:instrText>
            </w:r>
            <w:r w:rsidRPr="002559FE">
              <w:rPr>
                <w:rFonts w:eastAsia="仿宋" w:cs="Arial"/>
                <w:sz w:val="21"/>
                <w:szCs w:val="21"/>
              </w:rPr>
              <w:instrText xml:space="preserve">","volume":"27","author":[{"family":"Jachimczyk","given":"Bartosz"},{"family":"Tkaczyk","given":"Rafal"},{"family":"Piotrowski","given":"Tomasz"},{"family":"Johansson","given":"Sven"},{"family":"Kulesza","given":"Wlodek"}],"issued":{"date-parts":[["2021",2,25]]},"citation-key":"jachimczykIoTbasedDairySupply2021"},"label":"page"},{"id":19041,"uris":["http://zotero.org/users/4106135/items/CSP25ZYA"],"itemData":{"id":19041,"type":"article-journal","abstract":"Product perishability is an important problem in Pharmaceutical Supply Chains (PSC). Demand perishability and unpredictability add enormous complexity to successfully implementing efficient Pharmaceutical Supply Chain Network Design (PSCND). This study develops a mathematical model for the PSCND. The two objective functions used in the model minimize the total cost and the delivery penalty due to schedule violations involving Soft Time Windows (STWs). Using a STW strategy in the Distribution Center (DC) allocation model empowers decision-makers to include a time-based performance metric for DC evaluation based on the degree of urgency or need for a part. Moreover, Linear Regression (LR) and Quadratic Regression (QR) Machine Learning (ML) algorithms are proposed to forecast the demand and decrease the possibility of a shortage in the PSCND. We show that QR has better performance than LR in PSCND. In the proposed approach, the demand for medicine is forecasted by the QR technique. The Goal Attainment (GA) method is used to solve the suggested model. Finally, sensitivity analysis and managerial perspectives are offered. The numerical outcomes show that the suggested model leads to an efficient PSC, reducing cost, decreasing shortage, and increasing customer satisfaction with STW consideration.","archive":"ML","container-title":"Decision Analytics Journal","DOI":"10.1016/j.dajour.2023.100325","ISSN":"27726622","journalAbbreviation":"Decision Analytics Journal","language":"en","note":"titleTranslation: </w:instrText>
            </w:r>
            <w:r w:rsidRPr="002559FE">
              <w:rPr>
                <w:rFonts w:eastAsia="仿宋" w:cs="Arial"/>
                <w:sz w:val="21"/>
                <w:szCs w:val="21"/>
              </w:rPr>
              <w:instrText>具有线性和二次回归的机器学习模型，用于设计具有软时间窗口和易腐产品的药品供应链</w:instrText>
            </w:r>
            <w:r w:rsidRPr="002559FE">
              <w:rPr>
                <w:rFonts w:eastAsia="仿宋" w:cs="Arial"/>
                <w:sz w:val="21"/>
                <w:szCs w:val="21"/>
              </w:rPr>
              <w:instrText xml:space="preserve">\nabstractTranslation:  </w:instrText>
            </w:r>
            <w:r w:rsidRPr="002559FE">
              <w:rPr>
                <w:rFonts w:eastAsia="仿宋" w:cs="Arial"/>
                <w:sz w:val="21"/>
                <w:szCs w:val="21"/>
              </w:rPr>
              <w:instrText>产品易腐烂是药品供应链</w:instrText>
            </w:r>
            <w:r w:rsidRPr="002559FE">
              <w:rPr>
                <w:rFonts w:eastAsia="仿宋" w:cs="Arial"/>
                <w:sz w:val="21"/>
                <w:szCs w:val="21"/>
              </w:rPr>
              <w:instrText xml:space="preserve"> (PSC) </w:instrText>
            </w:r>
            <w:r w:rsidRPr="002559FE">
              <w:rPr>
                <w:rFonts w:eastAsia="仿宋" w:cs="Arial"/>
                <w:sz w:val="21"/>
                <w:szCs w:val="21"/>
              </w:rPr>
              <w:instrText>中的一个重要问题。需求的易逝性和不可预测性给成功实施高效的药品供应链网络设计</w:instrText>
            </w:r>
            <w:r w:rsidRPr="002559FE">
              <w:rPr>
                <w:rFonts w:eastAsia="仿宋" w:cs="Arial"/>
                <w:sz w:val="21"/>
                <w:szCs w:val="21"/>
              </w:rPr>
              <w:instrText xml:space="preserve"> (PSCND) </w:instrText>
            </w:r>
            <w:r w:rsidRPr="002559FE">
              <w:rPr>
                <w:rFonts w:eastAsia="仿宋" w:cs="Arial"/>
                <w:sz w:val="21"/>
                <w:szCs w:val="21"/>
              </w:rPr>
              <w:instrText>增加了巨大的复杂性。本研究开发了</w:instrText>
            </w:r>
            <w:r w:rsidRPr="002559FE">
              <w:rPr>
                <w:rFonts w:eastAsia="仿宋" w:cs="Arial"/>
                <w:sz w:val="21"/>
                <w:szCs w:val="21"/>
              </w:rPr>
              <w:instrText xml:space="preserve"> PSCND </w:instrText>
            </w:r>
            <w:r w:rsidRPr="002559FE">
              <w:rPr>
                <w:rFonts w:eastAsia="仿宋" w:cs="Arial"/>
                <w:sz w:val="21"/>
                <w:szCs w:val="21"/>
              </w:rPr>
              <w:instrText>的数学模型。该模型中使用的两个目标函数最大限度地减少了由于涉及软时间窗</w:instrText>
            </w:r>
            <w:r w:rsidRPr="002559FE">
              <w:rPr>
                <w:rFonts w:eastAsia="仿宋" w:cs="Arial"/>
                <w:sz w:val="21"/>
                <w:szCs w:val="21"/>
              </w:rPr>
              <w:instrText xml:space="preserve"> (STW) </w:instrText>
            </w:r>
            <w:r w:rsidRPr="002559FE">
              <w:rPr>
                <w:rFonts w:eastAsia="仿宋" w:cs="Arial"/>
                <w:sz w:val="21"/>
                <w:szCs w:val="21"/>
              </w:rPr>
              <w:instrText>的进度违规而导致的总成本和交付损失。在配送中心</w:instrText>
            </w:r>
            <w:r w:rsidRPr="002559FE">
              <w:rPr>
                <w:rFonts w:eastAsia="仿宋" w:cs="Arial"/>
                <w:sz w:val="21"/>
                <w:szCs w:val="21"/>
              </w:rPr>
              <w:instrText xml:space="preserve"> (DC) </w:instrText>
            </w:r>
            <w:r w:rsidRPr="002559FE">
              <w:rPr>
                <w:rFonts w:eastAsia="仿宋" w:cs="Arial"/>
                <w:sz w:val="21"/>
                <w:szCs w:val="21"/>
              </w:rPr>
              <w:instrText>分配模型中使用</w:instrText>
            </w:r>
            <w:r w:rsidRPr="002559FE">
              <w:rPr>
                <w:rFonts w:eastAsia="仿宋" w:cs="Arial"/>
                <w:sz w:val="21"/>
                <w:szCs w:val="21"/>
              </w:rPr>
              <w:instrText xml:space="preserve"> STW </w:instrText>
            </w:r>
            <w:r w:rsidRPr="002559FE">
              <w:rPr>
                <w:rFonts w:eastAsia="仿宋" w:cs="Arial"/>
                <w:sz w:val="21"/>
                <w:szCs w:val="21"/>
              </w:rPr>
              <w:instrText>策略使决策者能够根据零件的紧急程度或需求程度，纳入基于时间的绩效指标，以进行</w:instrText>
            </w:r>
            <w:r w:rsidRPr="002559FE">
              <w:rPr>
                <w:rFonts w:eastAsia="仿宋" w:cs="Arial"/>
                <w:sz w:val="21"/>
                <w:szCs w:val="21"/>
              </w:rPr>
              <w:instrText xml:space="preserve"> DC </w:instrText>
            </w:r>
            <w:r w:rsidRPr="002559FE">
              <w:rPr>
                <w:rFonts w:eastAsia="仿宋" w:cs="Arial"/>
                <w:sz w:val="21"/>
                <w:szCs w:val="21"/>
              </w:rPr>
              <w:instrText>评估。此外，还提出了线性回归（</w:instrText>
            </w:r>
            <w:r w:rsidRPr="002559FE">
              <w:rPr>
                <w:rFonts w:eastAsia="仿宋" w:cs="Arial"/>
                <w:sz w:val="21"/>
                <w:szCs w:val="21"/>
              </w:rPr>
              <w:instrText>LR</w:instrText>
            </w:r>
            <w:r w:rsidRPr="002559FE">
              <w:rPr>
                <w:rFonts w:eastAsia="仿宋" w:cs="Arial"/>
                <w:sz w:val="21"/>
                <w:szCs w:val="21"/>
              </w:rPr>
              <w:instrText>）和二次回归（</w:instrText>
            </w:r>
            <w:r w:rsidRPr="002559FE">
              <w:rPr>
                <w:rFonts w:eastAsia="仿宋" w:cs="Arial"/>
                <w:sz w:val="21"/>
                <w:szCs w:val="21"/>
              </w:rPr>
              <w:instrText>QR</w:instrText>
            </w:r>
            <w:r w:rsidRPr="002559FE">
              <w:rPr>
                <w:rFonts w:eastAsia="仿宋" w:cs="Arial"/>
                <w:sz w:val="21"/>
                <w:szCs w:val="21"/>
              </w:rPr>
              <w:instrText>）机器学习（</w:instrText>
            </w:r>
            <w:r w:rsidRPr="002559FE">
              <w:rPr>
                <w:rFonts w:eastAsia="仿宋" w:cs="Arial"/>
                <w:sz w:val="21"/>
                <w:szCs w:val="21"/>
              </w:rPr>
              <w:instrText>ML</w:instrText>
            </w:r>
            <w:r w:rsidRPr="002559FE">
              <w:rPr>
                <w:rFonts w:eastAsia="仿宋" w:cs="Arial"/>
                <w:sz w:val="21"/>
                <w:szCs w:val="21"/>
              </w:rPr>
              <w:instrText>）算法来预测需求并降低</w:instrText>
            </w:r>
            <w:r w:rsidRPr="002559FE">
              <w:rPr>
                <w:rFonts w:eastAsia="仿宋" w:cs="Arial"/>
                <w:sz w:val="21"/>
                <w:szCs w:val="21"/>
              </w:rPr>
              <w:instrText xml:space="preserve"> PSCND </w:instrText>
            </w:r>
            <w:r w:rsidRPr="002559FE">
              <w:rPr>
                <w:rFonts w:eastAsia="仿宋" w:cs="Arial"/>
                <w:sz w:val="21"/>
                <w:szCs w:val="21"/>
              </w:rPr>
              <w:instrText>短缺的可能性。我们表明</w:instrText>
            </w:r>
            <w:r w:rsidRPr="002559FE">
              <w:rPr>
                <w:rFonts w:eastAsia="仿宋" w:cs="Arial"/>
                <w:sz w:val="21"/>
                <w:szCs w:val="21"/>
              </w:rPr>
              <w:instrText xml:space="preserve"> QR </w:instrText>
            </w:r>
            <w:r w:rsidRPr="002559FE">
              <w:rPr>
                <w:rFonts w:eastAsia="仿宋" w:cs="Arial"/>
                <w:sz w:val="21"/>
                <w:szCs w:val="21"/>
              </w:rPr>
              <w:instrText>在</w:instrText>
            </w:r>
            <w:r w:rsidRPr="002559FE">
              <w:rPr>
                <w:rFonts w:eastAsia="仿宋" w:cs="Arial"/>
                <w:sz w:val="21"/>
                <w:szCs w:val="21"/>
              </w:rPr>
              <w:instrText xml:space="preserve"> PSCND </w:instrText>
            </w:r>
            <w:r w:rsidRPr="002559FE">
              <w:rPr>
                <w:rFonts w:eastAsia="仿宋" w:cs="Arial"/>
                <w:sz w:val="21"/>
                <w:szCs w:val="21"/>
              </w:rPr>
              <w:instrText>中比</w:instrText>
            </w:r>
            <w:r w:rsidRPr="002559FE">
              <w:rPr>
                <w:rFonts w:eastAsia="仿宋" w:cs="Arial"/>
                <w:sz w:val="21"/>
                <w:szCs w:val="21"/>
              </w:rPr>
              <w:instrText xml:space="preserve"> LR </w:instrText>
            </w:r>
            <w:r w:rsidRPr="002559FE">
              <w:rPr>
                <w:rFonts w:eastAsia="仿宋" w:cs="Arial"/>
                <w:sz w:val="21"/>
                <w:szCs w:val="21"/>
              </w:rPr>
              <w:instrText>具有更好的性能。在所提出的方法中，通过</w:instrText>
            </w:r>
            <w:r w:rsidRPr="002559FE">
              <w:rPr>
                <w:rFonts w:eastAsia="仿宋" w:cs="Arial"/>
                <w:sz w:val="21"/>
                <w:szCs w:val="21"/>
              </w:rPr>
              <w:instrText xml:space="preserve"> QR </w:instrText>
            </w:r>
            <w:r w:rsidRPr="002559FE">
              <w:rPr>
                <w:rFonts w:eastAsia="仿宋" w:cs="Arial"/>
                <w:sz w:val="21"/>
                <w:szCs w:val="21"/>
              </w:rPr>
              <w:instrText>技术预测药品需求。目标达成</w:instrText>
            </w:r>
            <w:r w:rsidRPr="002559FE">
              <w:rPr>
                <w:rFonts w:eastAsia="仿宋" w:cs="Arial"/>
                <w:sz w:val="21"/>
                <w:szCs w:val="21"/>
              </w:rPr>
              <w:instrText xml:space="preserve"> (GA) </w:instrText>
            </w:r>
            <w:r w:rsidRPr="002559FE">
              <w:rPr>
                <w:rFonts w:eastAsia="仿宋" w:cs="Arial"/>
                <w:sz w:val="21"/>
                <w:szCs w:val="21"/>
              </w:rPr>
              <w:instrText>方法用于求解建议的模型。最后，提供敏感性分析和管理观点。数值结果表明，所建议的模型可实现高效的</w:instrText>
            </w:r>
            <w:r w:rsidRPr="002559FE">
              <w:rPr>
                <w:rFonts w:eastAsia="仿宋" w:cs="Arial"/>
                <w:sz w:val="21"/>
                <w:szCs w:val="21"/>
              </w:rPr>
              <w:instrText xml:space="preserve"> PSC</w:instrText>
            </w:r>
            <w:r w:rsidRPr="002559FE">
              <w:rPr>
                <w:rFonts w:eastAsia="仿宋" w:cs="Arial"/>
                <w:sz w:val="21"/>
                <w:szCs w:val="21"/>
              </w:rPr>
              <w:instrText>、降低成本、减少短缺并提高客户对</w:instrText>
            </w:r>
            <w:r w:rsidRPr="002559FE">
              <w:rPr>
                <w:rFonts w:eastAsia="仿宋" w:cs="Arial"/>
                <w:sz w:val="21"/>
                <w:szCs w:val="21"/>
              </w:rPr>
              <w:instrText xml:space="preserve"> STW </w:instrText>
            </w:r>
            <w:r w:rsidRPr="002559FE">
              <w:rPr>
                <w:rFonts w:eastAsia="仿宋" w:cs="Arial"/>
                <w:sz w:val="21"/>
                <w:szCs w:val="21"/>
              </w:rPr>
              <w:instrText>的满意度。</w:instrText>
            </w:r>
            <w:r w:rsidRPr="002559FE">
              <w:rPr>
                <w:rFonts w:eastAsia="仿宋" w:cs="Arial"/>
                <w:sz w:val="21"/>
                <w:szCs w:val="21"/>
              </w:rPr>
              <w:instrText xml:space="preserve">","page":"100325","title":"A machine learning model with linear and quadratic regression for designing pharmaceutical supply chains with soft time windows and perishable products","volume":"9","author":[{"family":"Rekabi","given":"Shabnam"},{"family":"Sazvar","given":"Zeinab"},{"family":"Goodarzian","given":"Fariba"}],"issued":{"date-parts":[["2023",12]]},"citation-key":"rekabiMachineLearningModel2023"},"label":"page"}],"schema":"https://github.com/citation-style-language/schema/raw/master/csl-citation.json"} </w:instrText>
            </w:r>
            <w:r w:rsidRPr="002559FE">
              <w:rPr>
                <w:rFonts w:eastAsia="仿宋" w:cs="Arial"/>
                <w:sz w:val="21"/>
                <w:szCs w:val="21"/>
              </w:rPr>
              <w:fldChar w:fldCharType="separate"/>
            </w:r>
            <w:r w:rsidRPr="002559FE">
              <w:rPr>
                <w:rFonts w:eastAsia="仿宋" w:cs="Arial"/>
                <w:noProof/>
                <w:sz w:val="21"/>
                <w:szCs w:val="21"/>
              </w:rPr>
              <w:t>(Annosi et al., 2021; Guan et al., 2023; Jachimczyk et al., 2021; Rekabi et al., 2023)</w:t>
            </w:r>
            <w:r w:rsidRPr="002559FE">
              <w:rPr>
                <w:rFonts w:eastAsia="仿宋" w:cs="Arial"/>
                <w:sz w:val="21"/>
                <w:szCs w:val="21"/>
              </w:rPr>
              <w:fldChar w:fldCharType="end"/>
            </w:r>
            <w:r w:rsidRPr="002559FE">
              <w:rPr>
                <w:rFonts w:cs="Arial"/>
                <w:color w:val="000000" w:themeColor="text1"/>
                <w:sz w:val="21"/>
                <w:szCs w:val="21"/>
              </w:rPr>
              <w:t>.</w:t>
            </w:r>
            <w:r w:rsidRPr="002559FE">
              <w:rPr>
                <w:rFonts w:cs="Arial"/>
                <w:color w:val="000000"/>
                <w:sz w:val="21"/>
                <w:szCs w:val="21"/>
              </w:rPr>
              <w:t xml:space="preserve"> </w:t>
            </w:r>
            <w:r w:rsidRPr="002559FE">
              <w:rPr>
                <w:rFonts w:cs="Arial"/>
                <w:color w:val="000000" w:themeColor="text1"/>
                <w:sz w:val="21"/>
                <w:szCs w:val="21"/>
              </w:rPr>
              <w:t xml:space="preserve">Digital transformation can </w:t>
            </w:r>
            <w:r w:rsidRPr="002559FE">
              <w:rPr>
                <w:rFonts w:cs="Arial"/>
                <w:color w:val="000000" w:themeColor="text1"/>
                <w:sz w:val="21"/>
                <w:szCs w:val="21"/>
              </w:rPr>
              <w:lastRenderedPageBreak/>
              <w:t>improve performance in many ways, such as higher productivity, more efficient management, greater customer satisfaction, increased innovation, and market expansion</w:t>
            </w:r>
            <w:r w:rsidRPr="002559FE">
              <w:rPr>
                <w:rFonts w:cs="Arial"/>
                <w:color w:val="000000" w:themeColor="text1"/>
                <w:sz w:val="21"/>
                <w:szCs w:val="21"/>
              </w:rPr>
              <w:fldChar w:fldCharType="begin"/>
            </w:r>
            <w:r w:rsidRPr="002559FE">
              <w:rPr>
                <w:rFonts w:cs="Arial"/>
                <w:color w:val="000000" w:themeColor="text1"/>
                <w:sz w:val="21"/>
                <w:szCs w:val="21"/>
              </w:rPr>
              <w:instrText xml:space="preserve"> ADDIN ZOTERO_ITEM CSL_CITATION {"citationID":"sDJ8fFHS","properties":{"formattedCitation":"(Hosseini et al., 2019; Liu et al., 2019, 2019)","plainCitation":"(Hosseini et al., 2019; Liu et al., 2019, 2019)","noteIndex":0},"citationItems":[{"id":16360,"uris":["http://zotero.org/users/4106135/items/XJKI3N76"],"itemData":{"id":16360,"type":"article-journal","abstract":"This study seeks to investigate the effectiveness of Cloud Computing Utilization (CCU) in the mitigation of informational and marketing barriers for SMEs from the Emerging Market-Countries (EM-SMEs). A quantitativeresearch methodology was applied to collect data by using self-administered questionnaires from top managers of 227 SMEs based in Iran and Turkey. The study contributes theoretically to both small business and international business literature by developing a new classification of the internationalization barriers that EM-SMEs face, and proposing a series of cloud computing (CC) solutions for mitigating these barriers, resulting in the creation and testing of a new model. The empirical findings confirm that CCU can help EM-SMEs to mitigate a series of informational and marketing barriers. The key practical contributions of the study offer insights to both EM-SMEs and Cloud-Service-Providers (CSPs) on the extent to which CCU is effective in mitigating the internationalization barriers faced by EM-SMEs.","archive":"Cloud","container-title":"International Journal of Information Management","DOI":"10.1016/j.ijinfomgt.2018.11.011","ISSN":"02684012","journalAbbreviation":"International Journal of Information Management","language":"en","note":"titleTranslation: </w:instrText>
            </w:r>
            <w:r w:rsidRPr="002559FE">
              <w:rPr>
                <w:rFonts w:cs="Arial"/>
                <w:color w:val="000000" w:themeColor="text1"/>
                <w:sz w:val="21"/>
                <w:szCs w:val="21"/>
              </w:rPr>
              <w:instrText>云计算的利用以及新兴市场中小企业信息和营销障碍的缓解：来自伊朗和土耳其的证据</w:instrText>
            </w:r>
            <w:r w:rsidRPr="002559FE">
              <w:rPr>
                <w:rFonts w:cs="Arial"/>
                <w:color w:val="000000" w:themeColor="text1"/>
                <w:sz w:val="21"/>
                <w:szCs w:val="21"/>
              </w:rPr>
              <w:instrText xml:space="preserve">\nabstractTranslation:  </w:instrText>
            </w:r>
            <w:r w:rsidRPr="002559FE">
              <w:rPr>
                <w:rFonts w:cs="Arial"/>
                <w:color w:val="000000" w:themeColor="text1"/>
                <w:sz w:val="21"/>
                <w:szCs w:val="21"/>
              </w:rPr>
              <w:instrText>本研究旨在调查云计算利用</w:instrText>
            </w:r>
            <w:r w:rsidRPr="002559FE">
              <w:rPr>
                <w:rFonts w:cs="Arial"/>
                <w:color w:val="000000" w:themeColor="text1"/>
                <w:sz w:val="21"/>
                <w:szCs w:val="21"/>
              </w:rPr>
              <w:instrText xml:space="preserve"> (CCU) </w:instrText>
            </w:r>
            <w:r w:rsidRPr="002559FE">
              <w:rPr>
                <w:rFonts w:cs="Arial"/>
                <w:color w:val="000000" w:themeColor="text1"/>
                <w:sz w:val="21"/>
                <w:szCs w:val="21"/>
              </w:rPr>
              <w:instrText>在缓解新兴市场国家</w:instrText>
            </w:r>
            <w:r w:rsidRPr="002559FE">
              <w:rPr>
                <w:rFonts w:cs="Arial"/>
                <w:color w:val="000000" w:themeColor="text1"/>
                <w:sz w:val="21"/>
                <w:szCs w:val="21"/>
              </w:rPr>
              <w:instrText xml:space="preserve"> (EM-SME) </w:instrText>
            </w:r>
            <w:r w:rsidRPr="002559FE">
              <w:rPr>
                <w:rFonts w:cs="Arial"/>
                <w:color w:val="000000" w:themeColor="text1"/>
                <w:sz w:val="21"/>
                <w:szCs w:val="21"/>
              </w:rPr>
              <w:instrText>中小企业的信息和营销障碍方面的有效性。采用定量研究方法，通过对伊朗和土耳其</w:instrText>
            </w:r>
            <w:r w:rsidRPr="002559FE">
              <w:rPr>
                <w:rFonts w:cs="Arial"/>
                <w:color w:val="000000" w:themeColor="text1"/>
                <w:sz w:val="21"/>
                <w:szCs w:val="21"/>
              </w:rPr>
              <w:instrText xml:space="preserve"> 227 </w:instrText>
            </w:r>
            <w:r w:rsidRPr="002559FE">
              <w:rPr>
                <w:rFonts w:cs="Arial"/>
                <w:color w:val="000000" w:themeColor="text1"/>
                <w:sz w:val="21"/>
                <w:szCs w:val="21"/>
              </w:rPr>
              <w:instrText>家中小企业的高层管理人员进行自填问卷来收集数据。该研究对新兴市场中小企业面临的国际化障碍进行了新的分类，并提出了一系列用于缓解这些障碍的云计算</w:instrText>
            </w:r>
            <w:r w:rsidRPr="002559FE">
              <w:rPr>
                <w:rFonts w:cs="Arial"/>
                <w:color w:val="000000" w:themeColor="text1"/>
                <w:sz w:val="21"/>
                <w:szCs w:val="21"/>
              </w:rPr>
              <w:instrText xml:space="preserve"> (CC) </w:instrText>
            </w:r>
            <w:r w:rsidRPr="002559FE">
              <w:rPr>
                <w:rFonts w:cs="Arial"/>
                <w:color w:val="000000" w:themeColor="text1"/>
                <w:sz w:val="21"/>
                <w:szCs w:val="21"/>
              </w:rPr>
              <w:instrText>解决方案，从而在理论上对小型企业和国际商业文献做出了贡献，从而创建和测试了一个新的模型。实证结果证实，</w:instrText>
            </w:r>
            <w:r w:rsidRPr="002559FE">
              <w:rPr>
                <w:rFonts w:cs="Arial"/>
                <w:color w:val="000000" w:themeColor="text1"/>
                <w:sz w:val="21"/>
                <w:szCs w:val="21"/>
              </w:rPr>
              <w:instrText xml:space="preserve">CCU </w:instrText>
            </w:r>
            <w:r w:rsidRPr="002559FE">
              <w:rPr>
                <w:rFonts w:cs="Arial"/>
                <w:color w:val="000000" w:themeColor="text1"/>
                <w:sz w:val="21"/>
                <w:szCs w:val="21"/>
              </w:rPr>
              <w:instrText>可以帮助新兴市场中小企业减轻一系列信息和营销障碍。该研究的关键实际贡献为新兴市场中小企业和云服务提供商</w:instrText>
            </w:r>
            <w:r w:rsidRPr="002559FE">
              <w:rPr>
                <w:rFonts w:cs="Arial"/>
                <w:color w:val="000000" w:themeColor="text1"/>
                <w:sz w:val="21"/>
                <w:szCs w:val="21"/>
              </w:rPr>
              <w:instrText xml:space="preserve"> (CSP) </w:instrText>
            </w:r>
            <w:r w:rsidRPr="002559FE">
              <w:rPr>
                <w:rFonts w:cs="Arial"/>
                <w:color w:val="000000" w:themeColor="text1"/>
                <w:sz w:val="21"/>
                <w:szCs w:val="21"/>
              </w:rPr>
              <w:instrText>提供了有关</w:instrText>
            </w:r>
            <w:r w:rsidRPr="002559FE">
              <w:rPr>
                <w:rFonts w:cs="Arial"/>
                <w:color w:val="000000" w:themeColor="text1"/>
                <w:sz w:val="21"/>
                <w:szCs w:val="21"/>
              </w:rPr>
              <w:instrText xml:space="preserve"> CCU </w:instrText>
            </w:r>
            <w:r w:rsidRPr="002559FE">
              <w:rPr>
                <w:rFonts w:cs="Arial"/>
                <w:color w:val="000000" w:themeColor="text1"/>
                <w:sz w:val="21"/>
                <w:szCs w:val="21"/>
              </w:rPr>
              <w:instrText>在多大程度上有效缓解新兴市场中小企业面临的国际化障碍的见解。</w:instrText>
            </w:r>
            <w:r w:rsidRPr="002559FE">
              <w:rPr>
                <w:rFonts w:cs="Arial"/>
                <w:color w:val="000000" w:themeColor="text1"/>
                <w:sz w:val="21"/>
                <w:szCs w:val="21"/>
              </w:rPr>
              <w:instrText>\nTLDR: The empirical findings confirm that CCU can help EM-SMEs to mitigate a series of informational and marketing barriers, and offer insights to both EM- sMEs and Cloud-Service-Providers (CSPs) on the extent to which CCU is effective in mitigating the internationalization barriers faced by EM-sMEs.","page":"54-69","source":"21","title":"Cloud computing utilization and mitigation of informational and marketing barriers of the SMEs from the emerging markets: Evidence from Iran and Turkey","title-short":"Cloud computing utilization and mitigation of informational and marketing barriers of the SMEs from the emerging markets","volume":"46","author":[{"family":"Hosseini","given":"Sahab"},{"family":"Fallon","given":"Grahame"},{"family":"Weerakkody","given":"Vishanth"},{"family":"Sivarajah","given":"Uthayasankar"}],"issued":{"date-parts":[["2019",6]]},"citation-key":"hosseiniCloudComputingUtilization2019"}},{"id":2101,"uris":["http://zotero.org/users/4106135/items/H7ULXXYN"],"itemData":{"id":2101,"type":"article-journal","abstract":"In this study, Big Data Analytics has been applied to implement smart manufacturing services performed by local commercial laundry Small and Medium Sized Enterprises (SMEs), which, to be speciﬁc, is called Smart Laundry Services (SLSs). This laundry service ﬁrst uses tra</w:instrText>
            </w:r>
            <w:r w:rsidRPr="002559FE">
              <w:rPr>
                <w:rFonts w:ascii="Cambria Math" w:hAnsi="Cambria Math" w:cs="Cambria Math"/>
                <w:color w:val="000000" w:themeColor="text1"/>
                <w:sz w:val="21"/>
                <w:szCs w:val="21"/>
              </w:rPr>
              <w:instrText>ﬃ</w:instrText>
            </w:r>
            <w:r w:rsidRPr="002559FE">
              <w:rPr>
                <w:rFonts w:cs="Arial"/>
                <w:color w:val="000000" w:themeColor="text1"/>
                <w:sz w:val="21"/>
                <w:szCs w:val="21"/>
              </w:rPr>
              <w:instrText>c big data inputs from the City Tra</w:instrText>
            </w:r>
            <w:r w:rsidRPr="002559FE">
              <w:rPr>
                <w:rFonts w:ascii="Cambria Math" w:hAnsi="Cambria Math" w:cs="Cambria Math"/>
                <w:color w:val="000000" w:themeColor="text1"/>
                <w:sz w:val="21"/>
                <w:szCs w:val="21"/>
              </w:rPr>
              <w:instrText>ﬃ</w:instrText>
            </w:r>
            <w:r w:rsidRPr="002559FE">
              <w:rPr>
                <w:rFonts w:cs="Arial"/>
                <w:color w:val="000000" w:themeColor="text1"/>
                <w:sz w:val="21"/>
                <w:szCs w:val="21"/>
              </w:rPr>
              <w:instrText>c monitoring Server and abstract patterns to develop dynamic optimal scheduling routes for logistic terminals after taking pick-up orders from hotel supply managers. On the other hand, the laundry ﬂoor, which isfor fully automatic operation through integrated smart manufacturing with reinforced learning algorithms, will automatically classify the arriving orders according to the Radio Frequency Identiﬁcation (RFID) tags on the orders, which contain data for each order such as material type, forbidden policies, detergent suggestion, and other relevant speciﬁcations. The orders are immediately processed and assigned to a laundry terminal with least waiting time and with optimal laundry parameters learned by the algorithm. The processed orders are then shipped back to the hotels by static scheduling routes with the optimal patterns estimated from real-time tra</w:instrText>
            </w:r>
            <w:r w:rsidRPr="002559FE">
              <w:rPr>
                <w:rFonts w:ascii="Cambria Math" w:hAnsi="Cambria Math" w:cs="Cambria Math"/>
                <w:color w:val="000000" w:themeColor="text1"/>
                <w:sz w:val="21"/>
                <w:szCs w:val="21"/>
              </w:rPr>
              <w:instrText>ﬃ</w:instrText>
            </w:r>
            <w:r w:rsidRPr="002559FE">
              <w:rPr>
                <w:rFonts w:cs="Arial"/>
                <w:color w:val="000000" w:themeColor="text1"/>
                <w:sz w:val="21"/>
                <w:szCs w:val="21"/>
              </w:rPr>
              <w:instrText>c big data. The entire operation, from initial orders to dropping back orders, are monitored by hotel supply managers and laundry SMEs’ personnel on their computers or mobile devices such as cell phones via an APP. As a result, this proposed integrated Smart Manufacturing architecture characterized with cutting-edge technologies such as big data analytics and intelligent production will make the commercial laundry SMEs more competitive in local markets.","archive":"BDA","archive_location":"</w:instrText>
            </w:r>
            <w:r w:rsidRPr="002559FE">
              <w:rPr>
                <w:rFonts w:cs="Arial"/>
                <w:color w:val="000000" w:themeColor="text1"/>
                <w:sz w:val="21"/>
                <w:szCs w:val="21"/>
              </w:rPr>
              <w:instrText>重点精读</w:instrText>
            </w:r>
            <w:r w:rsidRPr="002559FE">
              <w:rPr>
                <w:rFonts w:cs="Arial"/>
                <w:color w:val="000000" w:themeColor="text1"/>
                <w:sz w:val="21"/>
                <w:szCs w:val="21"/>
              </w:rPr>
              <w:instrText xml:space="preserve">","call-number":"3","container-title":"International Journal of Computer Integrated Manufacturing","DOI":"10.1080/0951192X.2019.1636412","ISSN":"0951-192X, 1362-3052","issue":"9","journalAbbreviation":"International Journal of Computer Integrated Manufacturing","language":"en","note":"number: 9\ntitleTranslation: </w:instrText>
            </w:r>
            <w:r w:rsidRPr="002559FE">
              <w:rPr>
                <w:rFonts w:cs="Arial"/>
                <w:color w:val="000000" w:themeColor="text1"/>
                <w:sz w:val="21"/>
                <w:szCs w:val="21"/>
              </w:rPr>
              <w:instrText>基于大数据分析、强化学习和最佳路线规划方法的下一代集成智能制造</w:instrText>
            </w:r>
            <w:r w:rsidRPr="002559FE">
              <w:rPr>
                <w:rFonts w:cs="Arial"/>
                <w:color w:val="000000" w:themeColor="text1"/>
                <w:sz w:val="21"/>
                <w:szCs w:val="21"/>
              </w:rPr>
              <w:instrText xml:space="preserve">\nabstractTranslation:  </w:instrText>
            </w:r>
            <w:r w:rsidRPr="002559FE">
              <w:rPr>
                <w:rFonts w:cs="Arial"/>
                <w:color w:val="000000" w:themeColor="text1"/>
                <w:sz w:val="21"/>
                <w:szCs w:val="21"/>
              </w:rPr>
              <w:instrText>在这项研究中，大数据分析已被应用于实施由本地商业洗衣中小企业（</w:instrText>
            </w:r>
            <w:r w:rsidRPr="002559FE">
              <w:rPr>
                <w:rFonts w:cs="Arial"/>
                <w:color w:val="000000" w:themeColor="text1"/>
                <w:sz w:val="21"/>
                <w:szCs w:val="21"/>
              </w:rPr>
              <w:instrText>SME</w:instrText>
            </w:r>
            <w:r w:rsidRPr="002559FE">
              <w:rPr>
                <w:rFonts w:cs="Arial"/>
                <w:color w:val="000000" w:themeColor="text1"/>
                <w:sz w:val="21"/>
                <w:szCs w:val="21"/>
              </w:rPr>
              <w:instrText>）执行的智能制造服务，具体而言，称为智能洗衣服务（</w:instrText>
            </w:r>
            <w:r w:rsidRPr="002559FE">
              <w:rPr>
                <w:rFonts w:cs="Arial"/>
                <w:color w:val="000000" w:themeColor="text1"/>
                <w:sz w:val="21"/>
                <w:szCs w:val="21"/>
              </w:rPr>
              <w:instrText>SLS</w:instrText>
            </w:r>
            <w:r w:rsidRPr="002559FE">
              <w:rPr>
                <w:rFonts w:cs="Arial"/>
                <w:color w:val="000000" w:themeColor="text1"/>
                <w:sz w:val="21"/>
                <w:szCs w:val="21"/>
              </w:rPr>
              <w:instrText>）。该洗衣服务首先使用来自城市交通监控服务器的交通大数据输入和抽象模式，在接受酒店供应经理的取货订单后，为物流终端制定动态优化调度路线。另一方面，通过集成智能制造和强化学习算法实现全自动运行的洗衣房，会根据订单上的射频识别（</w:instrText>
            </w:r>
            <w:r w:rsidRPr="002559FE">
              <w:rPr>
                <w:rFonts w:cs="Arial"/>
                <w:color w:val="000000" w:themeColor="text1"/>
                <w:sz w:val="21"/>
                <w:szCs w:val="21"/>
              </w:rPr>
              <w:instrText>RFID</w:instrText>
            </w:r>
            <w:r w:rsidRPr="002559FE">
              <w:rPr>
                <w:rFonts w:cs="Arial"/>
                <w:color w:val="000000" w:themeColor="text1"/>
                <w:sz w:val="21"/>
                <w:szCs w:val="21"/>
              </w:rPr>
              <w:instrText>）标签自动对到达的订单进行分类，其中包含每个订单的数据，例如如材料类型、禁用政策、洗涤剂建议和其他相关规范。订单会立即得到处理，并分配给等待时间最短且算法学习到的最佳洗衣参数的洗衣终端。然后将处理过的订单通过静态调度路线运回酒店，并根据实时交通大数据估计出最佳模式。整个操作过程，从最初的订单到退货，都由酒店供应经理和洗衣中小企业的人员通过</w:instrText>
            </w:r>
            <w:r w:rsidRPr="002559FE">
              <w:rPr>
                <w:rFonts w:cs="Arial"/>
                <w:color w:val="000000" w:themeColor="text1"/>
                <w:sz w:val="21"/>
                <w:szCs w:val="21"/>
              </w:rPr>
              <w:instrText xml:space="preserve"> APP </w:instrText>
            </w:r>
            <w:r w:rsidRPr="002559FE">
              <w:rPr>
                <w:rFonts w:cs="Arial"/>
                <w:color w:val="000000" w:themeColor="text1"/>
                <w:sz w:val="21"/>
                <w:szCs w:val="21"/>
              </w:rPr>
              <w:instrText>在他们的电脑或移动设备（如手机）上进行监控。因此，这种以大数据分析和智能生产等尖端技术为特征的集成智能制造架构将使商业洗衣中小企业在当地市场更具竞争力。</w:instrText>
            </w:r>
            <w:r w:rsidRPr="002559FE">
              <w:rPr>
                <w:rFonts w:cs="Arial"/>
                <w:color w:val="000000" w:themeColor="text1"/>
                <w:sz w:val="21"/>
                <w:szCs w:val="21"/>
              </w:rPr>
              <w:instrText>\nTLDR: This proposed integrated Smart Manufacturing architecture characterized with cutting-edge technologies such as big data analytics and intelligent production will make the commercial laundry SMEs more competitive in local markets.","page":"820-831","source":"4.1","title":"Next generation integrated smart manufacturing based on big data analytics, reinforced learning, and optimal routes planning methods","title-short":"</w:instrText>
            </w:r>
            <w:r w:rsidRPr="002559FE">
              <w:rPr>
                <w:rFonts w:ascii="Apple Color Emoji" w:hAnsi="Apple Color Emoji" w:cs="Apple Color Emoji"/>
                <w:color w:val="000000" w:themeColor="text1"/>
                <w:sz w:val="21"/>
                <w:szCs w:val="21"/>
              </w:rPr>
              <w:instrText>🔤</w:instrText>
            </w:r>
            <w:r w:rsidRPr="002559FE">
              <w:rPr>
                <w:rFonts w:cs="Arial"/>
                <w:color w:val="000000" w:themeColor="text1"/>
                <w:sz w:val="21"/>
                <w:szCs w:val="21"/>
              </w:rPr>
              <w:instrText>","volume":"32","author":[{"family":"Liu","given":"Chang"},{"family":"Li","given":"Hanying"},{"family":"Tang","given":"Yuwei"},{"family":"Lin","given":"Dongtao"},{"family":"Liu","given":"Jiawei"}],"issued":{"date-parts":[["2019",9,2]]},"citation-key":"liuNextGenerationIntegrated2019"}},{"id":2101,"uris":["http://zotero.org/users/4106135/items/H7ULXXYN"],"itemData":{"id":2101,"type":"article-journal","abstract":"In this study, Big Data Analytics has been applied to implement smart manufacturing services performed by local commercial laundry Small and Medium Sized Enterprises (SMEs), which, to be speciﬁc, is called Smart Laundry Services (SLSs). This laundry service ﬁrst uses tra</w:instrText>
            </w:r>
            <w:r w:rsidRPr="002559FE">
              <w:rPr>
                <w:rFonts w:ascii="Cambria Math" w:hAnsi="Cambria Math" w:cs="Cambria Math"/>
                <w:color w:val="000000" w:themeColor="text1"/>
                <w:sz w:val="21"/>
                <w:szCs w:val="21"/>
              </w:rPr>
              <w:instrText>ﬃ</w:instrText>
            </w:r>
            <w:r w:rsidRPr="002559FE">
              <w:rPr>
                <w:rFonts w:cs="Arial"/>
                <w:color w:val="000000" w:themeColor="text1"/>
                <w:sz w:val="21"/>
                <w:szCs w:val="21"/>
              </w:rPr>
              <w:instrText>c big data inputs from the City Tra</w:instrText>
            </w:r>
            <w:r w:rsidRPr="002559FE">
              <w:rPr>
                <w:rFonts w:ascii="Cambria Math" w:hAnsi="Cambria Math" w:cs="Cambria Math"/>
                <w:color w:val="000000" w:themeColor="text1"/>
                <w:sz w:val="21"/>
                <w:szCs w:val="21"/>
              </w:rPr>
              <w:instrText>ﬃ</w:instrText>
            </w:r>
            <w:r w:rsidRPr="002559FE">
              <w:rPr>
                <w:rFonts w:cs="Arial"/>
                <w:color w:val="000000" w:themeColor="text1"/>
                <w:sz w:val="21"/>
                <w:szCs w:val="21"/>
              </w:rPr>
              <w:instrText>c monitoring Server and abstract patterns to develop dynamic optimal scheduling routes for logistic terminals after taking pick-up orders from hotel supply managers. On the other hand, the laundry ﬂoor, which isfor fully automatic operation through integrated smart manufacturing with reinforced learning algorithms, will automatically classify the arriving orders according to the Radio Frequency Identiﬁcation (RFID) tags on the orders, which contain data for each order such as material type, forbidden policies, detergent suggestion, and other relevant speciﬁcations. The orders are immediately processed and assigned to a laundry terminal with least waiting time and with optimal laundry parameters learned by the algorithm. The processed orders are then shipped back to the hotels by static scheduling routes with the optimal patterns estimated from real-time tra</w:instrText>
            </w:r>
            <w:r w:rsidRPr="002559FE">
              <w:rPr>
                <w:rFonts w:ascii="Cambria Math" w:hAnsi="Cambria Math" w:cs="Cambria Math"/>
                <w:color w:val="000000" w:themeColor="text1"/>
                <w:sz w:val="21"/>
                <w:szCs w:val="21"/>
              </w:rPr>
              <w:instrText>ﬃ</w:instrText>
            </w:r>
            <w:r w:rsidRPr="002559FE">
              <w:rPr>
                <w:rFonts w:cs="Arial"/>
                <w:color w:val="000000" w:themeColor="text1"/>
                <w:sz w:val="21"/>
                <w:szCs w:val="21"/>
              </w:rPr>
              <w:instrText>c big data. The entire operation, from initial orders to dropping back orders, are monitored by hotel supply managers and laundry SMEs’ personnel on their computers or mobile devices such as cell phones via an APP. As a result, this proposed integrated Smart Manufacturing architecture characterized with cutting-edge technologies such as big data analytics and intelligent production will make the commercial laundry SMEs more competitive in local markets.","archive":"BDA","archive_location":"</w:instrText>
            </w:r>
            <w:r w:rsidRPr="002559FE">
              <w:rPr>
                <w:rFonts w:cs="Arial"/>
                <w:color w:val="000000" w:themeColor="text1"/>
                <w:sz w:val="21"/>
                <w:szCs w:val="21"/>
              </w:rPr>
              <w:instrText>重点精读</w:instrText>
            </w:r>
            <w:r w:rsidRPr="002559FE">
              <w:rPr>
                <w:rFonts w:cs="Arial"/>
                <w:color w:val="000000" w:themeColor="text1"/>
                <w:sz w:val="21"/>
                <w:szCs w:val="21"/>
              </w:rPr>
              <w:instrText xml:space="preserve">","call-number":"3","container-title":"International Journal of Computer Integrated Manufacturing","DOI":"10.1080/0951192X.2019.1636412","ISSN":"0951-192X, 1362-3052","issue":"9","journalAbbreviation":"International Journal of Computer Integrated Manufacturing","language":"en","note":"number: 9\ntitleTranslation: </w:instrText>
            </w:r>
            <w:r w:rsidRPr="002559FE">
              <w:rPr>
                <w:rFonts w:cs="Arial"/>
                <w:color w:val="000000" w:themeColor="text1"/>
                <w:sz w:val="21"/>
                <w:szCs w:val="21"/>
              </w:rPr>
              <w:instrText>基于大数据分析、强化学习和最佳路线规划方法的下一代集成智能制造</w:instrText>
            </w:r>
            <w:r w:rsidRPr="002559FE">
              <w:rPr>
                <w:rFonts w:cs="Arial"/>
                <w:color w:val="000000" w:themeColor="text1"/>
                <w:sz w:val="21"/>
                <w:szCs w:val="21"/>
              </w:rPr>
              <w:instrText xml:space="preserve">\nabstractTranslation:  </w:instrText>
            </w:r>
            <w:r w:rsidRPr="002559FE">
              <w:rPr>
                <w:rFonts w:cs="Arial"/>
                <w:color w:val="000000" w:themeColor="text1"/>
                <w:sz w:val="21"/>
                <w:szCs w:val="21"/>
              </w:rPr>
              <w:instrText>在这项研究中，大数据分析已被应用于实施由本地商业洗衣中小企业（</w:instrText>
            </w:r>
            <w:r w:rsidRPr="002559FE">
              <w:rPr>
                <w:rFonts w:cs="Arial"/>
                <w:color w:val="000000" w:themeColor="text1"/>
                <w:sz w:val="21"/>
                <w:szCs w:val="21"/>
              </w:rPr>
              <w:instrText>SME</w:instrText>
            </w:r>
            <w:r w:rsidRPr="002559FE">
              <w:rPr>
                <w:rFonts w:cs="Arial"/>
                <w:color w:val="000000" w:themeColor="text1"/>
                <w:sz w:val="21"/>
                <w:szCs w:val="21"/>
              </w:rPr>
              <w:instrText>）执行的智能制造服务，具体而言，称为智能洗衣服务（</w:instrText>
            </w:r>
            <w:r w:rsidRPr="002559FE">
              <w:rPr>
                <w:rFonts w:cs="Arial"/>
                <w:color w:val="000000" w:themeColor="text1"/>
                <w:sz w:val="21"/>
                <w:szCs w:val="21"/>
              </w:rPr>
              <w:instrText>SLS</w:instrText>
            </w:r>
            <w:r w:rsidRPr="002559FE">
              <w:rPr>
                <w:rFonts w:cs="Arial"/>
                <w:color w:val="000000" w:themeColor="text1"/>
                <w:sz w:val="21"/>
                <w:szCs w:val="21"/>
              </w:rPr>
              <w:instrText>）。该洗衣服务首先使用来自城市交通监控服务器的交通大数据输入和抽象模式，在接受酒店供应经理的取货订单后，为物流终端制定动态优化调度路线。另一方面，通过集成智能制造和强化学习算法实现全自动运行的洗衣房，会根据订单上的射频识别（</w:instrText>
            </w:r>
            <w:r w:rsidRPr="002559FE">
              <w:rPr>
                <w:rFonts w:cs="Arial"/>
                <w:color w:val="000000" w:themeColor="text1"/>
                <w:sz w:val="21"/>
                <w:szCs w:val="21"/>
              </w:rPr>
              <w:instrText>RFID</w:instrText>
            </w:r>
            <w:r w:rsidRPr="002559FE">
              <w:rPr>
                <w:rFonts w:cs="Arial"/>
                <w:color w:val="000000" w:themeColor="text1"/>
                <w:sz w:val="21"/>
                <w:szCs w:val="21"/>
              </w:rPr>
              <w:instrText>）标签自动对到达的订单进行分类，其中包含每个订单的数据，例如如材料类型、禁用政策、洗涤剂建议和其他相关规范。订单会立即得到处理，并分配给等待时间最短且算法学习到的最佳洗衣参数的洗衣终端。然后将处理过的订单通过静态调度路线运回酒店，并根据实时交通大数据估计出最佳模式。整个操作过程，从最初的订单到退货，都由酒店供应经理和洗衣中小企业的人员通过</w:instrText>
            </w:r>
            <w:r w:rsidRPr="002559FE">
              <w:rPr>
                <w:rFonts w:cs="Arial"/>
                <w:color w:val="000000" w:themeColor="text1"/>
                <w:sz w:val="21"/>
                <w:szCs w:val="21"/>
              </w:rPr>
              <w:instrText xml:space="preserve"> APP </w:instrText>
            </w:r>
            <w:r w:rsidRPr="002559FE">
              <w:rPr>
                <w:rFonts w:cs="Arial"/>
                <w:color w:val="000000" w:themeColor="text1"/>
                <w:sz w:val="21"/>
                <w:szCs w:val="21"/>
              </w:rPr>
              <w:instrText>在他们的电脑或移动设备（如手机）上进行监控。因此，这种以大数据分析和智能生产等尖端技术为特征的集成智能制造架构将使商业洗衣中小企业在当地市场更具竞争力。</w:instrText>
            </w:r>
            <w:r w:rsidRPr="002559FE">
              <w:rPr>
                <w:rFonts w:cs="Arial"/>
                <w:color w:val="000000" w:themeColor="text1"/>
                <w:sz w:val="21"/>
                <w:szCs w:val="21"/>
              </w:rPr>
              <w:instrText>\nTLDR: This proposed integrated Smart Manufacturing architecture characterized with cutting-edge technologies such as big data analytics and intelligent production will make the commercial laundry SMEs more competitive in local markets.","page":"820-831","source":"4.1","title":"Next generation integrated smart manufacturing based on big data analytics, reinforced learning, and optimal routes planning methods","title-short":"</w:instrText>
            </w:r>
            <w:r w:rsidRPr="002559FE">
              <w:rPr>
                <w:rFonts w:ascii="Apple Color Emoji" w:hAnsi="Apple Color Emoji" w:cs="Apple Color Emoji"/>
                <w:color w:val="000000" w:themeColor="text1"/>
                <w:sz w:val="21"/>
                <w:szCs w:val="21"/>
              </w:rPr>
              <w:instrText>🔤</w:instrText>
            </w:r>
            <w:r w:rsidRPr="002559FE">
              <w:rPr>
                <w:rFonts w:cs="Arial"/>
                <w:color w:val="000000" w:themeColor="text1"/>
                <w:sz w:val="21"/>
                <w:szCs w:val="21"/>
              </w:rPr>
              <w:instrText xml:space="preserve">","volume":"32","author":[{"family":"Liu","given":"Chang"},{"family":"Li","given":"Hanying"},{"family":"Tang","given":"Yuwei"},{"family":"Lin","given":"Dongtao"},{"family":"Liu","given":"Jiawei"}],"issued":{"date-parts":[["2019",9,2]]},"citation-key":"liuNextGenerationIntegrated2019"}}],"schema":"https://github.com/citation-style-language/schema/raw/master/csl-citation.json"} </w:instrText>
            </w:r>
            <w:r w:rsidRPr="002559FE">
              <w:rPr>
                <w:rFonts w:cs="Arial"/>
                <w:color w:val="000000" w:themeColor="text1"/>
                <w:sz w:val="21"/>
                <w:szCs w:val="21"/>
              </w:rPr>
              <w:fldChar w:fldCharType="separate"/>
            </w:r>
            <w:r w:rsidRPr="002559FE">
              <w:rPr>
                <w:rFonts w:cs="Arial"/>
                <w:noProof/>
                <w:color w:val="000000" w:themeColor="text1"/>
                <w:sz w:val="21"/>
                <w:szCs w:val="21"/>
              </w:rPr>
              <w:t>(Hosseini et al., 2019; Liu et al., 2019)</w:t>
            </w:r>
            <w:r w:rsidRPr="002559FE">
              <w:rPr>
                <w:rFonts w:cs="Arial"/>
                <w:color w:val="000000" w:themeColor="text1"/>
                <w:sz w:val="21"/>
                <w:szCs w:val="21"/>
              </w:rPr>
              <w:fldChar w:fldCharType="end"/>
            </w:r>
            <w:r w:rsidRPr="002559FE">
              <w:rPr>
                <w:rFonts w:cs="Arial"/>
                <w:color w:val="000000" w:themeColor="text1"/>
                <w:sz w:val="21"/>
                <w:szCs w:val="21"/>
              </w:rPr>
              <w:t>.</w:t>
            </w:r>
            <w:r w:rsidRPr="002559FE">
              <w:rPr>
                <w:rFonts w:cs="Arial"/>
                <w:sz w:val="21"/>
                <w:szCs w:val="21"/>
              </w:rPr>
              <w:t xml:space="preserve"> </w:t>
            </w:r>
            <w:r w:rsidRPr="002559FE">
              <w:rPr>
                <w:rFonts w:cs="Arial"/>
                <w:color w:val="000000" w:themeColor="text1"/>
                <w:sz w:val="21"/>
                <w:szCs w:val="21"/>
              </w:rPr>
              <w:t xml:space="preserve">Overall, digital transformation can improve an organisation's dynamic ability to respond to changes in the external environment, especially, the impact of the epidemic on global supply chains </w:t>
            </w:r>
            <w:r w:rsidRPr="002559FE">
              <w:rPr>
                <w:rFonts w:cs="Arial"/>
                <w:color w:val="000000" w:themeColor="text1"/>
                <w:sz w:val="21"/>
                <w:szCs w:val="21"/>
              </w:rPr>
              <w:fldChar w:fldCharType="begin"/>
            </w:r>
            <w:r w:rsidRPr="002559FE">
              <w:rPr>
                <w:rFonts w:cs="Arial"/>
                <w:color w:val="000000" w:themeColor="text1"/>
                <w:sz w:val="21"/>
                <w:szCs w:val="21"/>
              </w:rPr>
              <w:instrText xml:space="preserve"> ADDIN ZOTERO_ITEM CSL_CITATION {"citationID":"12edzMAi","properties":{"formattedCitation":"(Chowdhury et al., 2022; Fosso Wamba, 2022; Li et al., 2022; Malik et al., 2022; Teece et al., 1997; Vasi et al., 2024)","plainCitation":"(Chowdhury et al., 2022; Fosso Wamba, 2022; Li et al., 2022; Malik et al., 2022; Teece et al., 1997; Vasi et al., 2024)","noteIndex":0},"citationItems":[{"id":16279,"uris":["http://zotero.org/users/4106135/items/GQ3NK4ZL"],"itemData":{"id":16279,"type":"article-journal","abstract":"The extant literature has outlined the significance of collaborative intelligence stemming from effective part­ nership between artificial intelligence (AI) systems and human workers to achieve organisationally valued outcomes. However, there is paucity of research insights on the factors influencing AI-human partnership and its impact on business performance. To bridge this knowledge gap, this paper draws on the knowledge-based view, (KBV) socio-technical systems (STS) and organisational socialisation framework (OSF) to develop and validate a novel theoretical model examining the relationships between knowledge sharing, employees’ AI skills, trust, and role clarity in a collaborative working environment to enhance business performance. A primary survey-based research method was used to capture responses from 164 employees in the UK creative industries, and further analysed by employing Structural Equation Modelling technique. Our findings will provide managers and the AI community with primary evidence and strategies that will help to develop collaborative intelligence capabilities within the organisations.","archive":"AI","container-title":"Journal of Business Research","DOI":"10.1016/j.jbusres.2022.01.069","ISSN":"01482963","journalAbbreviation":"Journal of Business Research","language":"en","note":"abstractTranslation:  </w:instrText>
            </w:r>
            <w:r w:rsidRPr="002559FE">
              <w:rPr>
                <w:rFonts w:cs="Arial"/>
                <w:color w:val="000000" w:themeColor="text1"/>
                <w:sz w:val="21"/>
                <w:szCs w:val="21"/>
              </w:rPr>
              <w:instrText>现有文献概述了协作智能的重要性，该智能源自人工智能（</w:instrText>
            </w:r>
            <w:r w:rsidRPr="002559FE">
              <w:rPr>
                <w:rFonts w:cs="Arial"/>
                <w:color w:val="000000" w:themeColor="text1"/>
                <w:sz w:val="21"/>
                <w:szCs w:val="21"/>
              </w:rPr>
              <w:instrText>AI</w:instrText>
            </w:r>
            <w:r w:rsidRPr="002559FE">
              <w:rPr>
                <w:rFonts w:cs="Arial"/>
                <w:color w:val="000000" w:themeColor="text1"/>
                <w:sz w:val="21"/>
                <w:szCs w:val="21"/>
              </w:rPr>
              <w:instrText>）系统和人类工作者之间的有效合作伙伴关系，以实现具有组织价值的成果。然而，关于影响人工智能与人类伙伴关系的因素及其对业务绩效的影响的研究见解很少。为了弥合这一知识差距，本文利用基于知识的观点、（</w:instrText>
            </w:r>
            <w:r w:rsidRPr="002559FE">
              <w:rPr>
                <w:rFonts w:cs="Arial"/>
                <w:color w:val="000000" w:themeColor="text1"/>
                <w:sz w:val="21"/>
                <w:szCs w:val="21"/>
              </w:rPr>
              <w:instrText>KBV</w:instrText>
            </w:r>
            <w:r w:rsidRPr="002559FE">
              <w:rPr>
                <w:rFonts w:cs="Arial"/>
                <w:color w:val="000000" w:themeColor="text1"/>
                <w:sz w:val="21"/>
                <w:szCs w:val="21"/>
              </w:rPr>
              <w:instrText>）社会技术系统（</w:instrText>
            </w:r>
            <w:r w:rsidRPr="002559FE">
              <w:rPr>
                <w:rFonts w:cs="Arial"/>
                <w:color w:val="000000" w:themeColor="text1"/>
                <w:sz w:val="21"/>
                <w:szCs w:val="21"/>
              </w:rPr>
              <w:instrText>STS</w:instrText>
            </w:r>
            <w:r w:rsidRPr="002559FE">
              <w:rPr>
                <w:rFonts w:cs="Arial"/>
                <w:color w:val="000000" w:themeColor="text1"/>
                <w:sz w:val="21"/>
                <w:szCs w:val="21"/>
              </w:rPr>
              <w:instrText>）和组织社会化框架（</w:instrText>
            </w:r>
            <w:r w:rsidRPr="002559FE">
              <w:rPr>
                <w:rFonts w:cs="Arial"/>
                <w:color w:val="000000" w:themeColor="text1"/>
                <w:sz w:val="21"/>
                <w:szCs w:val="21"/>
              </w:rPr>
              <w:instrText>OSF</w:instrText>
            </w:r>
            <w:r w:rsidRPr="002559FE">
              <w:rPr>
                <w:rFonts w:cs="Arial"/>
                <w:color w:val="000000" w:themeColor="text1"/>
                <w:sz w:val="21"/>
                <w:szCs w:val="21"/>
              </w:rPr>
              <w:instrText>）来开发和验证一种新颖的理论模型，该模型检查知识共享、员工协作工作环境中的人工智能技能、信任和角色清晰度可提高业务绩效。采用基于调查的主要研究方法收集了英国创意产业</w:instrText>
            </w:r>
            <w:r w:rsidRPr="002559FE">
              <w:rPr>
                <w:rFonts w:cs="Arial"/>
                <w:color w:val="000000" w:themeColor="text1"/>
                <w:sz w:val="21"/>
                <w:szCs w:val="21"/>
              </w:rPr>
              <w:instrText xml:space="preserve"> 164 </w:instrText>
            </w:r>
            <w:r w:rsidRPr="002559FE">
              <w:rPr>
                <w:rFonts w:cs="Arial"/>
                <w:color w:val="000000" w:themeColor="text1"/>
                <w:sz w:val="21"/>
                <w:szCs w:val="21"/>
              </w:rPr>
              <w:instrText>名员工的反馈，并采用结构方程模型技术进行了进一步分析。我们的研究结果将为管理者和人工智能社区提供主要证据和策略，帮助开发组织内的协作智能能力。</w:instrText>
            </w:r>
            <w:r w:rsidRPr="002559FE">
              <w:rPr>
                <w:rFonts w:cs="Arial"/>
                <w:color w:val="000000" w:themeColor="text1"/>
                <w:sz w:val="21"/>
                <w:szCs w:val="21"/>
              </w:rPr>
              <w:instrText xml:space="preserve">\ntitleTranslation: </w:instrText>
            </w:r>
            <w:r w:rsidRPr="002559FE">
              <w:rPr>
                <w:rFonts w:cs="Arial"/>
                <w:color w:val="000000" w:themeColor="text1"/>
                <w:sz w:val="21"/>
                <w:szCs w:val="21"/>
              </w:rPr>
              <w:instrText>人工智能</w:instrText>
            </w:r>
            <w:r w:rsidRPr="002559FE">
              <w:rPr>
                <w:rFonts w:cs="Arial"/>
                <w:color w:val="000000" w:themeColor="text1"/>
                <w:sz w:val="21"/>
                <w:szCs w:val="21"/>
              </w:rPr>
              <w:instrText>-</w:instrText>
            </w:r>
            <w:r w:rsidRPr="002559FE">
              <w:rPr>
                <w:rFonts w:cs="Arial"/>
                <w:color w:val="000000" w:themeColor="text1"/>
                <w:sz w:val="21"/>
                <w:szCs w:val="21"/>
              </w:rPr>
              <w:instrText>员工协作与业务绩效：整合知识观、社会技术系统和组织社会化框架</w:instrText>
            </w:r>
            <w:r w:rsidRPr="002559FE">
              <w:rPr>
                <w:rFonts w:cs="Arial"/>
                <w:color w:val="000000" w:themeColor="text1"/>
                <w:sz w:val="21"/>
                <w:szCs w:val="21"/>
              </w:rPr>
              <w:instrText xml:space="preserve">","page":"31-49","source":"11.3","title":"AI-employee collaboration and business performance: Integrating knowledge-based view, socio-technical systems and organisational socialisation framework","title-short":"AI-employee collaboration and business performance","volume":"144","author":[{"family":"Chowdhury","given":"Soumyadeb"},{"family":"Budhwar","given":"Pawan"},{"family":"Dey","given":"Prasanta Kumar"},{"family":"Joel-Edgar","given":"Sian"},{"family":"Abadie","given":"Amelie"}],"issued":{"date-parts":[["2022",5]]},"citation-key":"chowdhuryAIemployeeCollaborationBusiness2022"}},{"id":16319,"uris":["http://zotero.org/users/4106135/items/DF9WHVTH"],"itemData":{"id":16319,"type":"article-journal","abstract":"In the emerging literature on artificial intelligence (AI) and other disruptive technologies, the importance of technological assimilation has been recognized for high operational and strategic organizational benefits and economic growth. AI is considered as the next productivity frontier for its high capability to transform almost all aspects of intra-and-inter-organizational operations across the industry. Yet, the literature lacks empirical studies on how AI assimilation could lead to improved organizational outcomes such as organizational agility, customer agility and firm performance. This study is an initial attempt to fill this research gap. It draws on the dynamic capability view and the available studies on AI to investigate the impacts of AI assimilation (AIASS) on firm performance (FPERF). Then, it assesses the mediating effects of organizational agility (ORGAG) and customer agility (CUSTAG) on the relationship between the AIASS and FPERF. This study uses an online survey-based approach to collect data from 205 supply chain executives in the USA to test the proposed research model. The findings confirm that AIASS is an important predictor of FPERF, CUSTAG, and ORGAG, with stronger effects on ORGAG. Moreover, ORGAG is an important predictor of CUSTAG and FPERF, with stronger effects on CUSTAG. Furthermore, CUSTAG and ORGAG were found to be complementary partial mediators of the rela­ tionship between AIASS and FPERF. These results are discussed, with implications for research and practice. Some limitations to the study are presented, which opens up future research perspectives.","archive":"AI","container-title":"International Journal of Information Management","DOI":"10.1016/j.ijinfomgt.2022.102544","ISSN":"02684012","journalAbbreviation":"International Journal of Information Management","language":"en","note":"titleTranslation: </w:instrText>
            </w:r>
            <w:r w:rsidRPr="002559FE">
              <w:rPr>
                <w:rFonts w:cs="Arial"/>
                <w:color w:val="000000" w:themeColor="text1"/>
                <w:sz w:val="21"/>
                <w:szCs w:val="21"/>
              </w:rPr>
              <w:instrText>人工智能同化对企业绩效的影响：组织敏捷性和客户敏捷性的中介作用</w:instrText>
            </w:r>
            <w:r w:rsidRPr="002559FE">
              <w:rPr>
                <w:rFonts w:cs="Arial"/>
                <w:color w:val="000000" w:themeColor="text1"/>
                <w:sz w:val="21"/>
                <w:szCs w:val="21"/>
              </w:rPr>
              <w:instrText xml:space="preserve">\nabstractTranslation:  </w:instrText>
            </w:r>
            <w:r w:rsidRPr="002559FE">
              <w:rPr>
                <w:rFonts w:cs="Arial"/>
                <w:color w:val="000000" w:themeColor="text1"/>
                <w:sz w:val="21"/>
                <w:szCs w:val="21"/>
              </w:rPr>
              <w:instrText>在有关人工智能（</w:instrText>
            </w:r>
            <w:r w:rsidRPr="002559FE">
              <w:rPr>
                <w:rFonts w:cs="Arial"/>
                <w:color w:val="000000" w:themeColor="text1"/>
                <w:sz w:val="21"/>
                <w:szCs w:val="21"/>
              </w:rPr>
              <w:instrText>AI</w:instrText>
            </w:r>
            <w:r w:rsidRPr="002559FE">
              <w:rPr>
                <w:rFonts w:cs="Arial"/>
                <w:color w:val="000000" w:themeColor="text1"/>
                <w:sz w:val="21"/>
                <w:szCs w:val="21"/>
              </w:rPr>
              <w:instrText>）和其他颠覆性技术的新兴文献中，技术同化对于高运营和战略组织效益以及经济增长的重要性已得到认识。人工智能因其强大的能力而被认为是下一个生产力前沿，它可以改变整个行业组织内和组织间运营的几乎所有方面。然而，文献缺乏关于人工智能同化如何改善组织成果（例如组织敏捷性、客户敏捷性和公司绩效）的实证研究。本研究是填补这一研究空白的初步尝试。它利用动态能力观点和现有的人工智能研究来调查人工智能同化（</w:instrText>
            </w:r>
            <w:r w:rsidRPr="002559FE">
              <w:rPr>
                <w:rFonts w:cs="Arial"/>
                <w:color w:val="000000" w:themeColor="text1"/>
                <w:sz w:val="21"/>
                <w:szCs w:val="21"/>
              </w:rPr>
              <w:instrText>AIASS</w:instrText>
            </w:r>
            <w:r w:rsidRPr="002559FE">
              <w:rPr>
                <w:rFonts w:cs="Arial"/>
                <w:color w:val="000000" w:themeColor="text1"/>
                <w:sz w:val="21"/>
                <w:szCs w:val="21"/>
              </w:rPr>
              <w:instrText>）对企业绩效（</w:instrText>
            </w:r>
            <w:r w:rsidRPr="002559FE">
              <w:rPr>
                <w:rFonts w:cs="Arial"/>
                <w:color w:val="000000" w:themeColor="text1"/>
                <w:sz w:val="21"/>
                <w:szCs w:val="21"/>
              </w:rPr>
              <w:instrText>FPERF</w:instrText>
            </w:r>
            <w:r w:rsidRPr="002559FE">
              <w:rPr>
                <w:rFonts w:cs="Arial"/>
                <w:color w:val="000000" w:themeColor="text1"/>
                <w:sz w:val="21"/>
                <w:szCs w:val="21"/>
              </w:rPr>
              <w:instrText>）的影响。然后，评估组织敏捷性</w:instrText>
            </w:r>
            <w:r w:rsidRPr="002559FE">
              <w:rPr>
                <w:rFonts w:cs="Arial"/>
                <w:color w:val="000000" w:themeColor="text1"/>
                <w:sz w:val="21"/>
                <w:szCs w:val="21"/>
              </w:rPr>
              <w:instrText xml:space="preserve"> (ORGAG) </w:instrText>
            </w:r>
            <w:r w:rsidRPr="002559FE">
              <w:rPr>
                <w:rFonts w:cs="Arial"/>
                <w:color w:val="000000" w:themeColor="text1"/>
                <w:sz w:val="21"/>
                <w:szCs w:val="21"/>
              </w:rPr>
              <w:instrText>和客户敏捷性</w:instrText>
            </w:r>
            <w:r w:rsidRPr="002559FE">
              <w:rPr>
                <w:rFonts w:cs="Arial"/>
                <w:color w:val="000000" w:themeColor="text1"/>
                <w:sz w:val="21"/>
                <w:szCs w:val="21"/>
              </w:rPr>
              <w:instrText xml:space="preserve"> (CUSTAG) </w:instrText>
            </w:r>
            <w:r w:rsidRPr="002559FE">
              <w:rPr>
                <w:rFonts w:cs="Arial"/>
                <w:color w:val="000000" w:themeColor="text1"/>
                <w:sz w:val="21"/>
                <w:szCs w:val="21"/>
              </w:rPr>
              <w:instrText>对</w:instrText>
            </w:r>
            <w:r w:rsidRPr="002559FE">
              <w:rPr>
                <w:rFonts w:cs="Arial"/>
                <w:color w:val="000000" w:themeColor="text1"/>
                <w:sz w:val="21"/>
                <w:szCs w:val="21"/>
              </w:rPr>
              <w:instrText xml:space="preserve"> AIASS </w:instrText>
            </w:r>
            <w:r w:rsidRPr="002559FE">
              <w:rPr>
                <w:rFonts w:cs="Arial"/>
                <w:color w:val="000000" w:themeColor="text1"/>
                <w:sz w:val="21"/>
                <w:szCs w:val="21"/>
              </w:rPr>
              <w:instrText>和</w:instrText>
            </w:r>
            <w:r w:rsidRPr="002559FE">
              <w:rPr>
                <w:rFonts w:cs="Arial"/>
                <w:color w:val="000000" w:themeColor="text1"/>
                <w:sz w:val="21"/>
                <w:szCs w:val="21"/>
              </w:rPr>
              <w:instrText xml:space="preserve"> FPERF </w:instrText>
            </w:r>
            <w:r w:rsidRPr="002559FE">
              <w:rPr>
                <w:rFonts w:cs="Arial"/>
                <w:color w:val="000000" w:themeColor="text1"/>
                <w:sz w:val="21"/>
                <w:szCs w:val="21"/>
              </w:rPr>
              <w:instrText>之间关系的中介作用。本研究采用基于在线调查的方法收集美国</w:instrText>
            </w:r>
            <w:r w:rsidRPr="002559FE">
              <w:rPr>
                <w:rFonts w:cs="Arial"/>
                <w:color w:val="000000" w:themeColor="text1"/>
                <w:sz w:val="21"/>
                <w:szCs w:val="21"/>
              </w:rPr>
              <w:instrText xml:space="preserve"> 205 </w:instrText>
            </w:r>
            <w:r w:rsidRPr="002559FE">
              <w:rPr>
                <w:rFonts w:cs="Arial"/>
                <w:color w:val="000000" w:themeColor="text1"/>
                <w:sz w:val="21"/>
                <w:szCs w:val="21"/>
              </w:rPr>
              <w:instrText>名供应链高管的数据，以测试所提出的研究模型。研究结果证实，</w:instrText>
            </w:r>
            <w:r w:rsidRPr="002559FE">
              <w:rPr>
                <w:rFonts w:cs="Arial"/>
                <w:color w:val="000000" w:themeColor="text1"/>
                <w:sz w:val="21"/>
                <w:szCs w:val="21"/>
              </w:rPr>
              <w:instrText xml:space="preserve">AIASS </w:instrText>
            </w:r>
            <w:r w:rsidRPr="002559FE">
              <w:rPr>
                <w:rFonts w:cs="Arial"/>
                <w:color w:val="000000" w:themeColor="text1"/>
                <w:sz w:val="21"/>
                <w:szCs w:val="21"/>
              </w:rPr>
              <w:instrText>是</w:instrText>
            </w:r>
            <w:r w:rsidRPr="002559FE">
              <w:rPr>
                <w:rFonts w:cs="Arial"/>
                <w:color w:val="000000" w:themeColor="text1"/>
                <w:sz w:val="21"/>
                <w:szCs w:val="21"/>
              </w:rPr>
              <w:instrText xml:space="preserve"> FPERF</w:instrText>
            </w:r>
            <w:r w:rsidRPr="002559FE">
              <w:rPr>
                <w:rFonts w:cs="Arial"/>
                <w:color w:val="000000" w:themeColor="text1"/>
                <w:sz w:val="21"/>
                <w:szCs w:val="21"/>
              </w:rPr>
              <w:instrText>、</w:instrText>
            </w:r>
            <w:r w:rsidRPr="002559FE">
              <w:rPr>
                <w:rFonts w:cs="Arial"/>
                <w:color w:val="000000" w:themeColor="text1"/>
                <w:sz w:val="21"/>
                <w:szCs w:val="21"/>
              </w:rPr>
              <w:instrText xml:space="preserve">CUSTAG </w:instrText>
            </w:r>
            <w:r w:rsidRPr="002559FE">
              <w:rPr>
                <w:rFonts w:cs="Arial"/>
                <w:color w:val="000000" w:themeColor="text1"/>
                <w:sz w:val="21"/>
                <w:szCs w:val="21"/>
              </w:rPr>
              <w:instrText>和</w:instrText>
            </w:r>
            <w:r w:rsidRPr="002559FE">
              <w:rPr>
                <w:rFonts w:cs="Arial"/>
                <w:color w:val="000000" w:themeColor="text1"/>
                <w:sz w:val="21"/>
                <w:szCs w:val="21"/>
              </w:rPr>
              <w:instrText xml:space="preserve"> ORGAG </w:instrText>
            </w:r>
            <w:r w:rsidRPr="002559FE">
              <w:rPr>
                <w:rFonts w:cs="Arial"/>
                <w:color w:val="000000" w:themeColor="text1"/>
                <w:sz w:val="21"/>
                <w:szCs w:val="21"/>
              </w:rPr>
              <w:instrText>的重要预测因子，对</w:instrText>
            </w:r>
            <w:r w:rsidRPr="002559FE">
              <w:rPr>
                <w:rFonts w:cs="Arial"/>
                <w:color w:val="000000" w:themeColor="text1"/>
                <w:sz w:val="21"/>
                <w:szCs w:val="21"/>
              </w:rPr>
              <w:instrText xml:space="preserve"> ORGAG </w:instrText>
            </w:r>
            <w:r w:rsidRPr="002559FE">
              <w:rPr>
                <w:rFonts w:cs="Arial"/>
                <w:color w:val="000000" w:themeColor="text1"/>
                <w:sz w:val="21"/>
                <w:szCs w:val="21"/>
              </w:rPr>
              <w:instrText>的影响更强。此外，</w:instrText>
            </w:r>
            <w:r w:rsidRPr="002559FE">
              <w:rPr>
                <w:rFonts w:cs="Arial"/>
                <w:color w:val="000000" w:themeColor="text1"/>
                <w:sz w:val="21"/>
                <w:szCs w:val="21"/>
              </w:rPr>
              <w:instrText xml:space="preserve">ORGAG </w:instrText>
            </w:r>
            <w:r w:rsidRPr="002559FE">
              <w:rPr>
                <w:rFonts w:cs="Arial"/>
                <w:color w:val="000000" w:themeColor="text1"/>
                <w:sz w:val="21"/>
                <w:szCs w:val="21"/>
              </w:rPr>
              <w:instrText>是</w:instrText>
            </w:r>
            <w:r w:rsidRPr="002559FE">
              <w:rPr>
                <w:rFonts w:cs="Arial"/>
                <w:color w:val="000000" w:themeColor="text1"/>
                <w:sz w:val="21"/>
                <w:szCs w:val="21"/>
              </w:rPr>
              <w:instrText xml:space="preserve"> CUSTAG </w:instrText>
            </w:r>
            <w:r w:rsidRPr="002559FE">
              <w:rPr>
                <w:rFonts w:cs="Arial"/>
                <w:color w:val="000000" w:themeColor="text1"/>
                <w:sz w:val="21"/>
                <w:szCs w:val="21"/>
              </w:rPr>
              <w:instrText>和</w:instrText>
            </w:r>
            <w:r w:rsidRPr="002559FE">
              <w:rPr>
                <w:rFonts w:cs="Arial"/>
                <w:color w:val="000000" w:themeColor="text1"/>
                <w:sz w:val="21"/>
                <w:szCs w:val="21"/>
              </w:rPr>
              <w:instrText xml:space="preserve"> FPERF </w:instrText>
            </w:r>
            <w:r w:rsidRPr="002559FE">
              <w:rPr>
                <w:rFonts w:cs="Arial"/>
                <w:color w:val="000000" w:themeColor="text1"/>
                <w:sz w:val="21"/>
                <w:szCs w:val="21"/>
              </w:rPr>
              <w:instrText>的重要预测因子，对</w:instrText>
            </w:r>
            <w:r w:rsidRPr="002559FE">
              <w:rPr>
                <w:rFonts w:cs="Arial"/>
                <w:color w:val="000000" w:themeColor="text1"/>
                <w:sz w:val="21"/>
                <w:szCs w:val="21"/>
              </w:rPr>
              <w:instrText xml:space="preserve"> CUSTAG </w:instrText>
            </w:r>
            <w:r w:rsidRPr="002559FE">
              <w:rPr>
                <w:rFonts w:cs="Arial"/>
                <w:color w:val="000000" w:themeColor="text1"/>
                <w:sz w:val="21"/>
                <w:szCs w:val="21"/>
              </w:rPr>
              <w:instrText>的影响更强。此外，</w:instrText>
            </w:r>
            <w:r w:rsidRPr="002559FE">
              <w:rPr>
                <w:rFonts w:cs="Arial"/>
                <w:color w:val="000000" w:themeColor="text1"/>
                <w:sz w:val="21"/>
                <w:szCs w:val="21"/>
              </w:rPr>
              <w:instrText xml:space="preserve">CUSTAG </w:instrText>
            </w:r>
            <w:r w:rsidRPr="002559FE">
              <w:rPr>
                <w:rFonts w:cs="Arial"/>
                <w:color w:val="000000" w:themeColor="text1"/>
                <w:sz w:val="21"/>
                <w:szCs w:val="21"/>
              </w:rPr>
              <w:instrText>和</w:instrText>
            </w:r>
            <w:r w:rsidRPr="002559FE">
              <w:rPr>
                <w:rFonts w:cs="Arial"/>
                <w:color w:val="000000" w:themeColor="text1"/>
                <w:sz w:val="21"/>
                <w:szCs w:val="21"/>
              </w:rPr>
              <w:instrText xml:space="preserve"> ORGAG </w:instrText>
            </w:r>
            <w:r w:rsidRPr="002559FE">
              <w:rPr>
                <w:rFonts w:cs="Arial"/>
                <w:color w:val="000000" w:themeColor="text1"/>
                <w:sz w:val="21"/>
                <w:szCs w:val="21"/>
              </w:rPr>
              <w:instrText>被发现是</w:instrText>
            </w:r>
            <w:r w:rsidRPr="002559FE">
              <w:rPr>
                <w:rFonts w:cs="Arial"/>
                <w:color w:val="000000" w:themeColor="text1"/>
                <w:sz w:val="21"/>
                <w:szCs w:val="21"/>
              </w:rPr>
              <w:instrText xml:space="preserve"> AIASS </w:instrText>
            </w:r>
            <w:r w:rsidRPr="002559FE">
              <w:rPr>
                <w:rFonts w:cs="Arial"/>
                <w:color w:val="000000" w:themeColor="text1"/>
                <w:sz w:val="21"/>
                <w:szCs w:val="21"/>
              </w:rPr>
              <w:instrText>和</w:instrText>
            </w:r>
            <w:r w:rsidRPr="002559FE">
              <w:rPr>
                <w:rFonts w:cs="Arial"/>
                <w:color w:val="000000" w:themeColor="text1"/>
                <w:sz w:val="21"/>
                <w:szCs w:val="21"/>
              </w:rPr>
              <w:instrText xml:space="preserve"> FPERF </w:instrText>
            </w:r>
            <w:r w:rsidRPr="002559FE">
              <w:rPr>
                <w:rFonts w:cs="Arial"/>
                <w:color w:val="000000" w:themeColor="text1"/>
                <w:sz w:val="21"/>
                <w:szCs w:val="21"/>
              </w:rPr>
              <w:instrText>之间关系的互补部分中介。对这些结果进行了讨论，并对研究和实践产生影响。提出了该研究的一些局限性，这开辟了未来的研究视角。</w:instrText>
            </w:r>
            <w:r w:rsidRPr="002559FE">
              <w:rPr>
                <w:rFonts w:cs="Arial"/>
                <w:color w:val="000000" w:themeColor="text1"/>
                <w:sz w:val="21"/>
                <w:szCs w:val="21"/>
              </w:rPr>
              <w:instrText xml:space="preserve">","page":"102544","source":"21","title":"Impact of artificial intelligence assimilation on firm performance: The mediating effects of organizational agility and customer agility","title-short":"Impact of artificial intelligence assimilation on firm performance","volume":"67","author":[{"family":"Fosso Wamba","given":"Samuel"}],"issued":{"date-parts":[["2022",12]]},"citation-key":"fossowambaImpactArtificialIntelligence2022"}},{"id":32271,"uris":["http://zotero.org/users/4106135/items/X6IAH8FT"],"itemData":{"id":32271,"type":"article-journal","abstract":"To understand whether companies can lock in the benefits of digital technology (DT) usage during the COVID-19 pandemic, we draw on a dynamic capability view to examine how digitalization capabilities generate impacts on firm performance. Through the analysis of 165 Chinese manufacturing companies, we find that market capi­ talizing agility and operational adjustment agility fully mediate the relationship between digitalization capa­ bilities and firm performance. More interestingly, of the effect size of different mediation paths, market capitalizing agility has the strongest effect. We contribute to the existing information systems literature by revealing the possible mediational mechanisms that can solve the digital dilemma.","call-number":"2","container-title":"Information &amp; Management","DOI":"10.1016/j.im.2022.103689","ISSN":"03787206","issue":"8","journalAbbreviation":"Information &amp; Management","language":"en","note":"titleTranslation: </w:instrText>
            </w:r>
            <w:r w:rsidRPr="002559FE">
              <w:rPr>
                <w:rFonts w:cs="Arial"/>
                <w:color w:val="000000" w:themeColor="text1"/>
                <w:sz w:val="21"/>
                <w:szCs w:val="21"/>
              </w:rPr>
              <w:instrText>数字技术支持的动态能力及其对公司绩效的影响：来自</w:instrText>
            </w:r>
            <w:r w:rsidRPr="002559FE">
              <w:rPr>
                <w:rFonts w:cs="Arial"/>
                <w:color w:val="000000" w:themeColor="text1"/>
                <w:sz w:val="21"/>
                <w:szCs w:val="21"/>
              </w:rPr>
              <w:instrText xml:space="preserve"> COVID-19 </w:instrText>
            </w:r>
            <w:r w:rsidRPr="002559FE">
              <w:rPr>
                <w:rFonts w:cs="Arial"/>
                <w:color w:val="000000" w:themeColor="text1"/>
                <w:sz w:val="21"/>
                <w:szCs w:val="21"/>
              </w:rPr>
              <w:instrText>大流行的证据</w:instrText>
            </w:r>
            <w:r w:rsidRPr="002559FE">
              <w:rPr>
                <w:rFonts w:cs="Arial"/>
                <w:color w:val="000000" w:themeColor="text1"/>
                <w:sz w:val="21"/>
                <w:szCs w:val="21"/>
              </w:rPr>
              <w:instrText xml:space="preserve">\nabstractTranslation:  </w:instrText>
            </w:r>
            <w:r w:rsidRPr="002559FE">
              <w:rPr>
                <w:rFonts w:cs="Arial"/>
                <w:color w:val="000000" w:themeColor="text1"/>
                <w:sz w:val="21"/>
                <w:szCs w:val="21"/>
              </w:rPr>
              <w:instrText>为了了解公司是否可以在</w:instrText>
            </w:r>
            <w:r w:rsidRPr="002559FE">
              <w:rPr>
                <w:rFonts w:cs="Arial"/>
                <w:color w:val="000000" w:themeColor="text1"/>
                <w:sz w:val="21"/>
                <w:szCs w:val="21"/>
              </w:rPr>
              <w:instrText xml:space="preserve"> COVID-19 </w:instrText>
            </w:r>
            <w:r w:rsidRPr="002559FE">
              <w:rPr>
                <w:rFonts w:cs="Arial"/>
                <w:color w:val="000000" w:themeColor="text1"/>
                <w:sz w:val="21"/>
                <w:szCs w:val="21"/>
              </w:rPr>
              <w:instrText>大流行期间锁定数字技术</w:instrText>
            </w:r>
            <w:r w:rsidRPr="002559FE">
              <w:rPr>
                <w:rFonts w:cs="Arial"/>
                <w:color w:val="000000" w:themeColor="text1"/>
                <w:sz w:val="21"/>
                <w:szCs w:val="21"/>
              </w:rPr>
              <w:instrText xml:space="preserve"> (DT) </w:instrText>
            </w:r>
            <w:r w:rsidRPr="002559FE">
              <w:rPr>
                <w:rFonts w:cs="Arial"/>
                <w:color w:val="000000" w:themeColor="text1"/>
                <w:sz w:val="21"/>
                <w:szCs w:val="21"/>
              </w:rPr>
              <w:instrText>使用的好处，我们利用动态能力视图来研究数字化能力如何对公司绩效产生影响。通过对</w:instrText>
            </w:r>
            <w:r w:rsidRPr="002559FE">
              <w:rPr>
                <w:rFonts w:cs="Arial"/>
                <w:color w:val="000000" w:themeColor="text1"/>
                <w:sz w:val="21"/>
                <w:szCs w:val="21"/>
              </w:rPr>
              <w:instrText>165</w:instrText>
            </w:r>
            <w:r w:rsidRPr="002559FE">
              <w:rPr>
                <w:rFonts w:cs="Arial"/>
                <w:color w:val="000000" w:themeColor="text1"/>
                <w:sz w:val="21"/>
                <w:szCs w:val="21"/>
              </w:rPr>
              <w:instrText>家中国制造企业的分析，我们发现市场资本化敏捷性和运营调整敏捷性充分中介了数字化能力与企业绩效之间的关系。更有趣的是，在不同中介路径的效应大小中，市值敏捷性的效应最强。我们通过揭示可以解决数字困境的可能中介机制，为现有的信息系统文献做出贡献。</w:instrText>
            </w:r>
            <w:r w:rsidRPr="002559FE">
              <w:rPr>
                <w:rFonts w:cs="Arial"/>
                <w:color w:val="000000" w:themeColor="text1"/>
                <w:sz w:val="21"/>
                <w:szCs w:val="21"/>
              </w:rPr>
              <w:instrText xml:space="preserve">","page":"103689","source":"9.9","title":"Digital technology-enabled dynamic capabilities and their impacts on firm performance: Evidence from the COVID-19 pandemic","title-short":"Digital technology-enabled dynamic capabilities and their impacts on firm performance","volume":"59","author":[{"family":"Li","given":"Lixu"},{"family":"Tong","given":"Yang"},{"family":"Wei","given":"Long"},{"family":"Yang","given":"Shuili"}],"issued":{"date-parts":[["2022",12]]},"citation-key":"liDigitalTechnologyenabledDynamic2022"}},{"id":2776,"uris":["http://zotero.org/users/4106135/items/GVDYV2BT"],"itemData":{"id":2776,"type":"article-journal","abstract":"The digital transformation (DT) is the acquiring the digital tool, techniques, approaches, mechanism etc. for the transformation of the business, applications, services and upgrading the manual process into the automation. The DT enable the efﬁcacy of the system via automation, innovation, creativities. The another concept of DT in the engineering domain is to replace the manual and/or conventional process by means of automation to handle the big-data problems in an efﬁcient way and harness the static/dynamic system information without knowing the system parameters. The DT represents the both opportunities and challenges to the developer and/or user in an organization, such as development and adaptation of new tool and technique in the system and society with respect to the various applications (i.e., digital twin, cybersecurity, condition monitoring and fault detection &amp; diagnosis (FDD), forecasting and prediction, intelligent data analytics, healthcare monitoring, feature extraction and selection, intelligent manufacturing and production, future city, advanced construction, resilient infrastructure, greater sustainability etc.). Additionally, due to high impact of advanced artiﬁcial intelligent, machine learning and data analytics techniques, the harness of the proﬁt of the DT is increased globally. Therefore, the integration of DT into all areas deliver a value to the both users as well as developer. In this editorial ﬁfty-two different applications of DT of distinct engineering domains are presented, which includes its detailed information, state-of-the-art, methodology, proposed approach development, experimental and/or emulation-based performance demonstration and ﬁnally conclusive summary of the developed tool/technique along with the future scope.","archive":"ML","call-number":"4","container-title":"Journal of Intelligent &amp; Fuzzy Systems","DOI":"10.3233/JIFS-189787","ISSN":"10641246, 18758967","issue":"2","journalAbbreviation":"IFS","language":"en","note":"abstractTranslation:  </w:instrText>
            </w:r>
            <w:r w:rsidRPr="002559FE">
              <w:rPr>
                <w:rFonts w:cs="Arial"/>
                <w:color w:val="000000" w:themeColor="text1"/>
                <w:sz w:val="21"/>
                <w:szCs w:val="21"/>
              </w:rPr>
              <w:instrText>数字化转型（</w:instrText>
            </w:r>
            <w:r w:rsidRPr="002559FE">
              <w:rPr>
                <w:rFonts w:cs="Arial"/>
                <w:color w:val="000000" w:themeColor="text1"/>
                <w:sz w:val="21"/>
                <w:szCs w:val="21"/>
              </w:rPr>
              <w:instrText>DT</w:instrText>
            </w:r>
            <w:r w:rsidRPr="002559FE">
              <w:rPr>
                <w:rFonts w:cs="Arial"/>
                <w:color w:val="000000" w:themeColor="text1"/>
                <w:sz w:val="21"/>
                <w:szCs w:val="21"/>
              </w:rPr>
              <w:instrText>）是获取数字化工具、技术、方法、机制等，实现业务、应用、服务的转型，将手工流程升级为自动化流程。</w:instrText>
            </w:r>
            <w:r w:rsidRPr="002559FE">
              <w:rPr>
                <w:rFonts w:cs="Arial"/>
                <w:color w:val="000000" w:themeColor="text1"/>
                <w:sz w:val="21"/>
                <w:szCs w:val="21"/>
              </w:rPr>
              <w:instrText xml:space="preserve"> DT </w:instrText>
            </w:r>
            <w:r w:rsidRPr="002559FE">
              <w:rPr>
                <w:rFonts w:cs="Arial"/>
                <w:color w:val="000000" w:themeColor="text1"/>
                <w:sz w:val="21"/>
                <w:szCs w:val="21"/>
              </w:rPr>
              <w:instrText>通过自动化、创新和创造力来实现系统的功效。</w:instrText>
            </w:r>
            <w:r w:rsidRPr="002559FE">
              <w:rPr>
                <w:rFonts w:cs="Arial"/>
                <w:color w:val="000000" w:themeColor="text1"/>
                <w:sz w:val="21"/>
                <w:szCs w:val="21"/>
              </w:rPr>
              <w:instrText xml:space="preserve"> DT </w:instrText>
            </w:r>
            <w:r w:rsidRPr="002559FE">
              <w:rPr>
                <w:rFonts w:cs="Arial"/>
                <w:color w:val="000000" w:themeColor="text1"/>
                <w:sz w:val="21"/>
                <w:szCs w:val="21"/>
              </w:rPr>
              <w:instrText>在工程领域的另一个概念是通过自动化取代手动和</w:instrText>
            </w:r>
            <w:r w:rsidRPr="002559FE">
              <w:rPr>
                <w:rFonts w:cs="Arial"/>
                <w:color w:val="000000" w:themeColor="text1"/>
                <w:sz w:val="21"/>
                <w:szCs w:val="21"/>
              </w:rPr>
              <w:instrText>/</w:instrText>
            </w:r>
            <w:r w:rsidRPr="002559FE">
              <w:rPr>
                <w:rFonts w:cs="Arial"/>
                <w:color w:val="000000" w:themeColor="text1"/>
                <w:sz w:val="21"/>
                <w:szCs w:val="21"/>
              </w:rPr>
              <w:instrText>或传统过程，以有效的方式处理大数据问题，并在不知道系统参数的情况下利用静态</w:instrText>
            </w:r>
            <w:r w:rsidRPr="002559FE">
              <w:rPr>
                <w:rFonts w:cs="Arial"/>
                <w:color w:val="000000" w:themeColor="text1"/>
                <w:sz w:val="21"/>
                <w:szCs w:val="21"/>
              </w:rPr>
              <w:instrText>/</w:instrText>
            </w:r>
            <w:r w:rsidRPr="002559FE">
              <w:rPr>
                <w:rFonts w:cs="Arial"/>
                <w:color w:val="000000" w:themeColor="text1"/>
                <w:sz w:val="21"/>
                <w:szCs w:val="21"/>
              </w:rPr>
              <w:instrText>动态系统信息。</w:instrText>
            </w:r>
            <w:r w:rsidRPr="002559FE">
              <w:rPr>
                <w:rFonts w:cs="Arial"/>
                <w:color w:val="000000" w:themeColor="text1"/>
                <w:sz w:val="21"/>
                <w:szCs w:val="21"/>
              </w:rPr>
              <w:instrText xml:space="preserve"> DT </w:instrText>
            </w:r>
            <w:r w:rsidRPr="002559FE">
              <w:rPr>
                <w:rFonts w:cs="Arial"/>
                <w:color w:val="000000" w:themeColor="text1"/>
                <w:sz w:val="21"/>
                <w:szCs w:val="21"/>
              </w:rPr>
              <w:instrText>代表组织中的开发人员和</w:instrText>
            </w:r>
            <w:r w:rsidRPr="002559FE">
              <w:rPr>
                <w:rFonts w:cs="Arial"/>
                <w:color w:val="000000" w:themeColor="text1"/>
                <w:sz w:val="21"/>
                <w:szCs w:val="21"/>
              </w:rPr>
              <w:instrText>/</w:instrText>
            </w:r>
            <w:r w:rsidRPr="002559FE">
              <w:rPr>
                <w:rFonts w:cs="Arial"/>
                <w:color w:val="000000" w:themeColor="text1"/>
                <w:sz w:val="21"/>
                <w:szCs w:val="21"/>
              </w:rPr>
              <w:instrText>或用户面临的机遇和挑战，例如在系统和社会中针对各种应用程序（即数字孪生、网络安全、状态监控）开发和调整新工具和技术和故障检测与诊断</w:instrText>
            </w:r>
            <w:r w:rsidRPr="002559FE">
              <w:rPr>
                <w:rFonts w:cs="Arial"/>
                <w:color w:val="000000" w:themeColor="text1"/>
                <w:sz w:val="21"/>
                <w:szCs w:val="21"/>
              </w:rPr>
              <w:instrText xml:space="preserve"> (FDD)</w:instrText>
            </w:r>
            <w:r w:rsidRPr="002559FE">
              <w:rPr>
                <w:rFonts w:cs="Arial"/>
                <w:color w:val="000000" w:themeColor="text1"/>
                <w:sz w:val="21"/>
                <w:szCs w:val="21"/>
              </w:rPr>
              <w:instrText>、预测和预测、智能数据分析、医疗保健监测、特征提取和选择、智能制造和生产、未来城市、先进建设、弹性基础设施、更大的可持续性等）。此外，由于先进的人工智能、机器学习和数据分析技术的巨大影响，</w:instrText>
            </w:r>
            <w:r w:rsidRPr="002559FE">
              <w:rPr>
                <w:rFonts w:cs="Arial"/>
                <w:color w:val="000000" w:themeColor="text1"/>
                <w:sz w:val="21"/>
                <w:szCs w:val="21"/>
              </w:rPr>
              <w:instrText xml:space="preserve">DT </w:instrText>
            </w:r>
            <w:r w:rsidRPr="002559FE">
              <w:rPr>
                <w:rFonts w:cs="Arial"/>
                <w:color w:val="000000" w:themeColor="text1"/>
                <w:sz w:val="21"/>
                <w:szCs w:val="21"/>
              </w:rPr>
              <w:instrText>利润的利用在全球范围内得到了增加。因此，将</w:instrText>
            </w:r>
            <w:r w:rsidRPr="002559FE">
              <w:rPr>
                <w:rFonts w:cs="Arial"/>
                <w:color w:val="000000" w:themeColor="text1"/>
                <w:sz w:val="21"/>
                <w:szCs w:val="21"/>
              </w:rPr>
              <w:instrText xml:space="preserve"> DT </w:instrText>
            </w:r>
            <w:r w:rsidRPr="002559FE">
              <w:rPr>
                <w:rFonts w:cs="Arial"/>
                <w:color w:val="000000" w:themeColor="text1"/>
                <w:sz w:val="21"/>
                <w:szCs w:val="21"/>
              </w:rPr>
              <w:instrText>集成到所有领域可为用户和开发人员带来价值。在这篇社论中，介绍了不同工程领域的</w:instrText>
            </w:r>
            <w:r w:rsidRPr="002559FE">
              <w:rPr>
                <w:rFonts w:cs="Arial"/>
                <w:color w:val="000000" w:themeColor="text1"/>
                <w:sz w:val="21"/>
                <w:szCs w:val="21"/>
              </w:rPr>
              <w:instrText xml:space="preserve"> DT </w:instrText>
            </w:r>
            <w:r w:rsidRPr="002559FE">
              <w:rPr>
                <w:rFonts w:cs="Arial"/>
                <w:color w:val="000000" w:themeColor="text1"/>
                <w:sz w:val="21"/>
                <w:szCs w:val="21"/>
              </w:rPr>
              <w:instrText>的</w:instrText>
            </w:r>
            <w:r w:rsidRPr="002559FE">
              <w:rPr>
                <w:rFonts w:cs="Arial"/>
                <w:color w:val="000000" w:themeColor="text1"/>
                <w:sz w:val="21"/>
                <w:szCs w:val="21"/>
              </w:rPr>
              <w:instrText xml:space="preserve"> 52 </w:instrText>
            </w:r>
            <w:r w:rsidRPr="002559FE">
              <w:rPr>
                <w:rFonts w:cs="Arial"/>
                <w:color w:val="000000" w:themeColor="text1"/>
                <w:sz w:val="21"/>
                <w:szCs w:val="21"/>
              </w:rPr>
              <w:instrText>种不同应用，包括其详细信息、最新技术、方法论、拟议的方法开发、实验和</w:instrText>
            </w:r>
            <w:r w:rsidRPr="002559FE">
              <w:rPr>
                <w:rFonts w:cs="Arial"/>
                <w:color w:val="000000" w:themeColor="text1"/>
                <w:sz w:val="21"/>
                <w:szCs w:val="21"/>
              </w:rPr>
              <w:instrText>/</w:instrText>
            </w:r>
            <w:r w:rsidRPr="002559FE">
              <w:rPr>
                <w:rFonts w:cs="Arial"/>
                <w:color w:val="000000" w:themeColor="text1"/>
                <w:sz w:val="21"/>
                <w:szCs w:val="21"/>
              </w:rPr>
              <w:instrText>或基于仿真的性能演示以及最终结论性总结开发的工具</w:instrText>
            </w:r>
            <w:r w:rsidRPr="002559FE">
              <w:rPr>
                <w:rFonts w:cs="Arial"/>
                <w:color w:val="000000" w:themeColor="text1"/>
                <w:sz w:val="21"/>
                <w:szCs w:val="21"/>
              </w:rPr>
              <w:instrText>/</w:instrText>
            </w:r>
            <w:r w:rsidRPr="002559FE">
              <w:rPr>
                <w:rFonts w:cs="Arial"/>
                <w:color w:val="000000" w:themeColor="text1"/>
                <w:sz w:val="21"/>
                <w:szCs w:val="21"/>
              </w:rPr>
              <w:instrText>技术以及未来的范围。</w:instrText>
            </w:r>
            <w:r w:rsidRPr="002559FE">
              <w:rPr>
                <w:rFonts w:cs="Arial"/>
                <w:color w:val="000000" w:themeColor="text1"/>
                <w:sz w:val="21"/>
                <w:szCs w:val="21"/>
              </w:rPr>
              <w:instrText xml:space="preserve">\ntitleTranslation: </w:instrText>
            </w:r>
            <w:r w:rsidRPr="002559FE">
              <w:rPr>
                <w:rFonts w:cs="Arial"/>
                <w:color w:val="000000" w:themeColor="text1"/>
                <w:sz w:val="21"/>
                <w:szCs w:val="21"/>
              </w:rPr>
              <w:instrText>通过人工智能和机器学习的进步进行数字化转型</w:instrText>
            </w:r>
            <w:r w:rsidRPr="002559FE">
              <w:rPr>
                <w:rFonts w:cs="Arial"/>
                <w:color w:val="000000" w:themeColor="text1"/>
                <w:sz w:val="21"/>
                <w:szCs w:val="21"/>
              </w:rPr>
              <w:instrText>","page":"615-622","source":"2","title":"Digital transformation through advances in artificial intelligence and machine learning","title-short":"</w:instrText>
            </w:r>
            <w:r w:rsidRPr="002559FE">
              <w:rPr>
                <w:rFonts w:ascii="Apple Color Emoji" w:hAnsi="Apple Color Emoji" w:cs="Apple Color Emoji"/>
                <w:color w:val="000000" w:themeColor="text1"/>
                <w:sz w:val="21"/>
                <w:szCs w:val="21"/>
              </w:rPr>
              <w:instrText>🔤</w:instrText>
            </w:r>
            <w:r w:rsidRPr="002559FE">
              <w:rPr>
                <w:rFonts w:cs="Arial"/>
                <w:color w:val="000000" w:themeColor="text1"/>
                <w:sz w:val="21"/>
                <w:szCs w:val="21"/>
              </w:rPr>
              <w:instrText xml:space="preserve">","volume":"42","author":[{"family":"Malik","given":"Hasmat"},{"family":"Chaudhary","given":"Gopal"},{"family":"Srivastava","given":"Smriti"}],"editor":[{"family":"Malik","given":"Hasmat"},{"family":"Chaudhary","given":"Gopal"},{"family":"Srivastava","given":"Smriti"}],"issued":{"date-parts":[["2022",1,25]]},"citation-key":"malikDigitalTransformationAdvances2022"}},{"id":31353,"uris":["http://zotero.org/users/4106135/items/8EKY9JZ9"],"itemData":{"id":31353,"type":"article-journal","container-title":"Strategic Management Journal","DOI":"10.1002/(SICI)1097-0266(199708)18:7&lt;509::AID-SMJ882&gt;3.0.CO;2-Z","ISSN":"0143-2095, 1097-0266","issue":"7","journalAbbreviation":"Strat. Mgmt. J.","language":"en","note":"titleTranslation: </w:instrText>
            </w:r>
            <w:r w:rsidRPr="002559FE">
              <w:rPr>
                <w:rFonts w:cs="Arial"/>
                <w:color w:val="000000" w:themeColor="text1"/>
                <w:sz w:val="21"/>
                <w:szCs w:val="21"/>
              </w:rPr>
              <w:instrText>动态能力和战略管理</w:instrText>
            </w:r>
            <w:r w:rsidRPr="002559FE">
              <w:rPr>
                <w:rFonts w:cs="Arial"/>
                <w:color w:val="000000" w:themeColor="text1"/>
                <w:sz w:val="21"/>
                <w:szCs w:val="21"/>
              </w:rPr>
              <w:instrText xml:space="preserve">","page":"509-533","source":"8.3","title":"Dynamic capabilities and strategic management","volume":"18","author":[{"family":"Teece","given":"David J."},{"family":"Pisano","given":"Gary"},{"family":"Shuen","given":"Amy"}],"issued":{"date-parts":[["1997",8]]},"citation-key":"teeceDynamicCapabilitiesStrategic1997"}},{"id":27746,"uris":["http://zotero.org/users/4106135/items/TQFLU558"],"itemData":{"id":27746,"type":"article-journal","abstract":"In the fall of 2019, a global coronavirus pandemic (COVID-19) negatively impacted the economy of small and medium-sized enterprises (SMEs) worldwide. It is essential to identify effective resilience strategies to help SMEs overcome economic and financial crises caused by pandemics or other exogenous crises. This paper delves into this aspect by asking the following research question: How can Open Innovation and dynamic capabilities be leveraged by SMEs to develop resilience during an exogenous crisis?. The study employs a mixed methods approach to investigate the experiences of SMEs located in the Free State of Bavaria (Germany). Based on the quantitative and qualitative data collected and analysed, this study proposes an innovative framework, named Dynamic Open Innovation Funnel, which integrates the managerial constructs of Open Innovation and dynamic capabilities to support SMEs resilience during exogenous crises.","call-number":"1","container-title":"Technovation","DOI":"10.1016/j.technovation.2023.102886","ISSN":"01664972","journalAbbreviation":"Technovation","language":"en","note":"abstractTranslation:  2019 </w:instrText>
            </w:r>
            <w:r w:rsidRPr="002559FE">
              <w:rPr>
                <w:rFonts w:cs="Arial"/>
                <w:color w:val="000000" w:themeColor="text1"/>
                <w:sz w:val="21"/>
                <w:szCs w:val="21"/>
              </w:rPr>
              <w:instrText>年秋季，全球冠状病毒大流行</w:instrText>
            </w:r>
            <w:r w:rsidRPr="002559FE">
              <w:rPr>
                <w:rFonts w:cs="Arial"/>
                <w:color w:val="000000" w:themeColor="text1"/>
                <w:sz w:val="21"/>
                <w:szCs w:val="21"/>
              </w:rPr>
              <w:instrText xml:space="preserve"> (COVID-19) </w:instrText>
            </w:r>
            <w:r w:rsidRPr="002559FE">
              <w:rPr>
                <w:rFonts w:cs="Arial"/>
                <w:color w:val="000000" w:themeColor="text1"/>
                <w:sz w:val="21"/>
                <w:szCs w:val="21"/>
              </w:rPr>
              <w:instrText>对全球中小企业</w:instrText>
            </w:r>
            <w:r w:rsidRPr="002559FE">
              <w:rPr>
                <w:rFonts w:cs="Arial"/>
                <w:color w:val="000000" w:themeColor="text1"/>
                <w:sz w:val="21"/>
                <w:szCs w:val="21"/>
              </w:rPr>
              <w:instrText xml:space="preserve"> (SME) </w:instrText>
            </w:r>
            <w:r w:rsidRPr="002559FE">
              <w:rPr>
                <w:rFonts w:cs="Arial"/>
                <w:color w:val="000000" w:themeColor="text1"/>
                <w:sz w:val="21"/>
                <w:szCs w:val="21"/>
              </w:rPr>
              <w:instrText>的经济产生了负面影响。必须确定有效的抵御策略，帮助中小企业克服流行病或其他外生危机造成的经济和金融危机。本文通过提出以下研究问题深入探讨了这一方面：中小企业如何利用开放创新和动态能力来发展外生危机期间的抵御能力？该研究采用混合方法来调查位于巴伐利亚自由州（德国）的中小企业的经验。基于收集和分析的定量和定性数据，本研究提出了一个名为动态开放创新漏斗的创新框架，该框架整合了开放创新的管理结构和动态能力，以支持中小企业在外生危机期间的抵御能力。</w:instrText>
            </w:r>
            <w:r w:rsidRPr="002559FE">
              <w:rPr>
                <w:rFonts w:cs="Arial"/>
                <w:color w:val="000000" w:themeColor="text1"/>
                <w:sz w:val="21"/>
                <w:szCs w:val="21"/>
              </w:rPr>
              <w:instrText xml:space="preserve">\ntitleTranslation: </w:instrText>
            </w:r>
            <w:r w:rsidRPr="002559FE">
              <w:rPr>
                <w:rFonts w:cs="Arial"/>
                <w:color w:val="000000" w:themeColor="text1"/>
                <w:sz w:val="21"/>
                <w:szCs w:val="21"/>
              </w:rPr>
              <w:instrText>外生危机和中小企业的复原力：动态开放创新漏斗</w:instrText>
            </w:r>
            <w:r w:rsidRPr="002559FE">
              <w:rPr>
                <w:rFonts w:cs="Arial"/>
                <w:color w:val="000000" w:themeColor="text1"/>
                <w:sz w:val="21"/>
                <w:szCs w:val="21"/>
              </w:rPr>
              <w:instrText xml:space="preserve">","page":"102886","source":"12.5","title":"Exogenous crises and SMEs resilience: The Dynamic Open Innovation Funnel","title-short":"Exogenous crises and SMEs resilience","volume":"129","author":[{"family":"Vasi","given":"Melissa"},{"family":"Sansone","given":"Giuliano"},{"family":"English","given":"Vincent"}],"issued":{"date-parts":[["2024",1]]},"citation-key":"vasiExogenousCrisesSMEs2024"}}],"schema":"https://github.com/citation-style-language/schema/raw/master/csl-citation.json"} </w:instrText>
            </w:r>
            <w:r w:rsidRPr="002559FE">
              <w:rPr>
                <w:rFonts w:cs="Arial"/>
                <w:color w:val="000000" w:themeColor="text1"/>
                <w:sz w:val="21"/>
                <w:szCs w:val="21"/>
              </w:rPr>
              <w:fldChar w:fldCharType="separate"/>
            </w:r>
            <w:r w:rsidRPr="002559FE">
              <w:rPr>
                <w:rFonts w:cs="Arial"/>
                <w:noProof/>
                <w:color w:val="000000" w:themeColor="text1"/>
                <w:sz w:val="21"/>
                <w:szCs w:val="21"/>
              </w:rPr>
              <w:t>(Chowdhury et al., 2022; Fosso Wamba, 2022; Li et al., 2022; Malik et al., 2022; Teece et al., 1997; Vasi et al., 2024)</w:t>
            </w:r>
            <w:r w:rsidRPr="002559FE">
              <w:rPr>
                <w:rFonts w:cs="Arial"/>
                <w:color w:val="000000" w:themeColor="text1"/>
                <w:sz w:val="21"/>
                <w:szCs w:val="21"/>
              </w:rPr>
              <w:fldChar w:fldCharType="end"/>
            </w:r>
            <w:r w:rsidRPr="002559FE">
              <w:rPr>
                <w:rFonts w:cs="Arial"/>
                <w:color w:val="000000" w:themeColor="text1"/>
                <w:sz w:val="21"/>
                <w:szCs w:val="21"/>
              </w:rPr>
              <w:t>.</w:t>
            </w:r>
            <w:r w:rsidRPr="002559FE">
              <w:rPr>
                <w:rFonts w:cs="Arial"/>
                <w:sz w:val="21"/>
                <w:szCs w:val="21"/>
              </w:rPr>
              <w:t xml:space="preserve"> </w:t>
            </w:r>
          </w:p>
          <w:p w14:paraId="7FBD5628" w14:textId="77777777" w:rsidR="00C9708D" w:rsidRPr="00446320" w:rsidRDefault="00C9708D" w:rsidP="00C9708D">
            <w:pPr>
              <w:widowControl w:val="0"/>
              <w:spacing w:line="360" w:lineRule="auto"/>
              <w:jc w:val="both"/>
              <w:rPr>
                <w:rFonts w:cs="Arial"/>
                <w:b/>
                <w:bCs/>
                <w:sz w:val="21"/>
                <w:szCs w:val="21"/>
                <w:lang w:val="en-US"/>
              </w:rPr>
            </w:pPr>
            <w:bookmarkStart w:id="0" w:name="_Toc167949101"/>
            <w:r w:rsidRPr="00446320">
              <w:rPr>
                <w:rFonts w:cs="Arial"/>
                <w:b/>
                <w:bCs/>
                <w:sz w:val="21"/>
                <w:szCs w:val="21"/>
                <w:lang w:val="en-US"/>
              </w:rPr>
              <w:t xml:space="preserve">Impact of </w:t>
            </w:r>
            <w:r w:rsidRPr="002559FE">
              <w:rPr>
                <w:rFonts w:cs="Arial"/>
                <w:b/>
                <w:bCs/>
                <w:sz w:val="21"/>
                <w:szCs w:val="21"/>
              </w:rPr>
              <w:t>digitisation</w:t>
            </w:r>
            <w:r w:rsidRPr="00446320">
              <w:rPr>
                <w:rFonts w:cs="Arial"/>
                <w:b/>
                <w:bCs/>
                <w:sz w:val="21"/>
                <w:szCs w:val="21"/>
                <w:lang w:val="en-US"/>
              </w:rPr>
              <w:t xml:space="preserve"> on business</w:t>
            </w:r>
            <w:bookmarkEnd w:id="0"/>
            <w:r w:rsidRPr="002559FE">
              <w:rPr>
                <w:rFonts w:cs="Arial"/>
                <w:b/>
                <w:bCs/>
                <w:sz w:val="21"/>
                <w:szCs w:val="21"/>
              </w:rPr>
              <w:t xml:space="preserve"> performance</w:t>
            </w:r>
          </w:p>
          <w:p w14:paraId="1D9F3864" w14:textId="77777777" w:rsidR="00C9708D" w:rsidRPr="002559FE" w:rsidRDefault="00C9708D" w:rsidP="00C9708D">
            <w:pPr>
              <w:spacing w:line="360" w:lineRule="auto"/>
              <w:rPr>
                <w:rFonts w:cs="Arial"/>
                <w:color w:val="000000" w:themeColor="text1"/>
                <w:sz w:val="21"/>
                <w:szCs w:val="21"/>
              </w:rPr>
            </w:pPr>
            <w:r w:rsidRPr="002559FE">
              <w:rPr>
                <w:rFonts w:cs="Arial"/>
                <w:color w:val="000000" w:themeColor="text1"/>
                <w:sz w:val="21"/>
                <w:szCs w:val="21"/>
              </w:rPr>
              <w:t>From a technological perspective, the study suggests that digital technologies enable firms to quickly respond to market changes while enhancing the reliability and efficiency of supply chains, contributing to sustainable development</w:t>
            </w:r>
            <w:r w:rsidRPr="002559FE">
              <w:rPr>
                <w:rFonts w:cs="Arial"/>
                <w:color w:val="000000" w:themeColor="text1"/>
                <w:sz w:val="21"/>
                <w:szCs w:val="21"/>
              </w:rPr>
              <w:fldChar w:fldCharType="begin"/>
            </w:r>
            <w:r w:rsidRPr="002559FE">
              <w:rPr>
                <w:rFonts w:cs="Arial"/>
                <w:color w:val="000000" w:themeColor="text1"/>
                <w:sz w:val="21"/>
                <w:szCs w:val="21"/>
              </w:rPr>
              <w:instrText xml:space="preserve"> ADDIN ZOTERO_ITEM CSL_CITATION {"citationID":"ub3UqEFD","properties":{"formattedCitation":"(Jachimczyk et al., 2021; Zhang, 2024; Zhao et al., 2021)","plainCitation":"(Jachimczyk et al., 2021; Zhang, 2024; Zhao et al., 2021)","noteIndex":0},"citationItems":[{"id":2497,"uris":["http://zotero.org/users/4106135/items/ZW2P9VAI"],"itemData":{"id":2497,"type":"article-journal","abstract":"Emerging digital transformation in industry is noticeable among others in Supply Chain Management (SCM). For instance, applying new-generation digitalized technologies in the Dairy Supply Chain (DSC) enables an increase of manufacturing productivity, improves planning and forecasting, and also enhances competitive capabilities according to Industry 4.0 assumptions. It is worth mentioning, that in modern DSC, high visibility of raw materials, components, products, and processes by all contributors on all stages of DSC is crucial. This article focuses on the transparency aspect of the DSC supported by IoT-based technologies enabling interoperability among all DSC participants. The paper addresses the problem of effective integration of heterogeneous data sources, i.e., deployed new technological IoT solutions with traditional SCM systems and a third-party software component. The main objective of this report is to propose the IoT-based DSC model comprising four chain stages: milk production, milk transportation, milk processing, and dairy products distribution. Moreover, the comprehensive DSC domain ontology as a knowledge model is formulated and described. The ontology aims on improvement of the DSC management efficiency by facilitating interoperability within DSC. The applicability of the proposed ontological model is verified using a sustainable-oriented case study, which estimates the environmental footprint at the milk transportation stage of the DSC.","archive":"AI","call-number":"4","container-title":"Elektronika ir Elektrotechnika","DOI":"10.5755/j02.eie.27612","ISSN":"2029-5731, 1392-1215","issue":"1","journalAbbreviation":"ELEKTRON ELEKTROTECH","language":"en","note":"abstractTranslation:  </w:instrText>
            </w:r>
            <w:r w:rsidRPr="002559FE">
              <w:rPr>
                <w:rFonts w:cs="Arial"/>
                <w:color w:val="000000" w:themeColor="text1"/>
                <w:sz w:val="21"/>
                <w:szCs w:val="21"/>
              </w:rPr>
              <w:instrText>工业中新兴的数字化转型在供应链管理</w:instrText>
            </w:r>
            <w:r w:rsidRPr="002559FE">
              <w:rPr>
                <w:rFonts w:cs="Arial"/>
                <w:color w:val="000000" w:themeColor="text1"/>
                <w:sz w:val="21"/>
                <w:szCs w:val="21"/>
              </w:rPr>
              <w:instrText xml:space="preserve"> (SCM) </w:instrText>
            </w:r>
            <w:r w:rsidRPr="002559FE">
              <w:rPr>
                <w:rFonts w:cs="Arial"/>
                <w:color w:val="000000" w:themeColor="text1"/>
                <w:sz w:val="21"/>
                <w:szCs w:val="21"/>
              </w:rPr>
              <w:instrText>中尤为引人注目。例如，在乳制品供应链</w:instrText>
            </w:r>
            <w:r w:rsidRPr="002559FE">
              <w:rPr>
                <w:rFonts w:cs="Arial"/>
                <w:color w:val="000000" w:themeColor="text1"/>
                <w:sz w:val="21"/>
                <w:szCs w:val="21"/>
              </w:rPr>
              <w:instrText xml:space="preserve"> (DSC) </w:instrText>
            </w:r>
            <w:r w:rsidRPr="002559FE">
              <w:rPr>
                <w:rFonts w:cs="Arial"/>
                <w:color w:val="000000" w:themeColor="text1"/>
                <w:sz w:val="21"/>
                <w:szCs w:val="21"/>
              </w:rPr>
              <w:instrText>中应用新一代数字化技术可以提高制造生产率，改进规划和预测，并根据工业</w:instrText>
            </w:r>
            <w:r w:rsidRPr="002559FE">
              <w:rPr>
                <w:rFonts w:cs="Arial"/>
                <w:color w:val="000000" w:themeColor="text1"/>
                <w:sz w:val="21"/>
                <w:szCs w:val="21"/>
              </w:rPr>
              <w:instrText xml:space="preserve"> 4.0 </w:instrText>
            </w:r>
            <w:r w:rsidRPr="002559FE">
              <w:rPr>
                <w:rFonts w:cs="Arial"/>
                <w:color w:val="000000" w:themeColor="text1"/>
                <w:sz w:val="21"/>
                <w:szCs w:val="21"/>
              </w:rPr>
              <w:instrText>假设增强竞争能力。值得一提的是，在现代</w:instrText>
            </w:r>
            <w:r w:rsidRPr="002559FE">
              <w:rPr>
                <w:rFonts w:cs="Arial"/>
                <w:color w:val="000000" w:themeColor="text1"/>
                <w:sz w:val="21"/>
                <w:szCs w:val="21"/>
              </w:rPr>
              <w:instrText xml:space="preserve"> DSC </w:instrText>
            </w:r>
            <w:r w:rsidRPr="002559FE">
              <w:rPr>
                <w:rFonts w:cs="Arial"/>
                <w:color w:val="000000" w:themeColor="text1"/>
                <w:sz w:val="21"/>
                <w:szCs w:val="21"/>
              </w:rPr>
              <w:instrText>中，所有贡献者在</w:instrText>
            </w:r>
            <w:r w:rsidRPr="002559FE">
              <w:rPr>
                <w:rFonts w:cs="Arial"/>
                <w:color w:val="000000" w:themeColor="text1"/>
                <w:sz w:val="21"/>
                <w:szCs w:val="21"/>
              </w:rPr>
              <w:instrText xml:space="preserve"> DSC </w:instrText>
            </w:r>
            <w:r w:rsidRPr="002559FE">
              <w:rPr>
                <w:rFonts w:cs="Arial"/>
                <w:color w:val="000000" w:themeColor="text1"/>
                <w:sz w:val="21"/>
                <w:szCs w:val="21"/>
              </w:rPr>
              <w:instrText>的所有阶段对原材料、组件、产品和过程的高度可见性至关重要。本文重点介绍基于物联网的技术支持的</w:instrText>
            </w:r>
            <w:r w:rsidRPr="002559FE">
              <w:rPr>
                <w:rFonts w:cs="Arial"/>
                <w:color w:val="000000" w:themeColor="text1"/>
                <w:sz w:val="21"/>
                <w:szCs w:val="21"/>
              </w:rPr>
              <w:instrText xml:space="preserve"> DSC </w:instrText>
            </w:r>
            <w:r w:rsidRPr="002559FE">
              <w:rPr>
                <w:rFonts w:cs="Arial"/>
                <w:color w:val="000000" w:themeColor="text1"/>
                <w:sz w:val="21"/>
                <w:szCs w:val="21"/>
              </w:rPr>
              <w:instrText>的透明度方面，该技术支持所有</w:instrText>
            </w:r>
            <w:r w:rsidRPr="002559FE">
              <w:rPr>
                <w:rFonts w:cs="Arial"/>
                <w:color w:val="000000" w:themeColor="text1"/>
                <w:sz w:val="21"/>
                <w:szCs w:val="21"/>
              </w:rPr>
              <w:instrText xml:space="preserve"> DSC </w:instrText>
            </w:r>
            <w:r w:rsidRPr="002559FE">
              <w:rPr>
                <w:rFonts w:cs="Arial"/>
                <w:color w:val="000000" w:themeColor="text1"/>
                <w:sz w:val="21"/>
                <w:szCs w:val="21"/>
              </w:rPr>
              <w:instrText>参与者之间的互操作性。本文解决了异构数据源有效集成的问题，即部署新技术物联网解决方案与传统</w:instrText>
            </w:r>
            <w:r w:rsidRPr="002559FE">
              <w:rPr>
                <w:rFonts w:cs="Arial"/>
                <w:color w:val="000000" w:themeColor="text1"/>
                <w:sz w:val="21"/>
                <w:szCs w:val="21"/>
              </w:rPr>
              <w:instrText xml:space="preserve"> SCM </w:instrText>
            </w:r>
            <w:r w:rsidRPr="002559FE">
              <w:rPr>
                <w:rFonts w:cs="Arial"/>
                <w:color w:val="000000" w:themeColor="text1"/>
                <w:sz w:val="21"/>
                <w:szCs w:val="21"/>
              </w:rPr>
              <w:instrText>系统和第三方软件组件。本报告的主要目标是提出基于物联网的</w:instrText>
            </w:r>
            <w:r w:rsidRPr="002559FE">
              <w:rPr>
                <w:rFonts w:cs="Arial"/>
                <w:color w:val="000000" w:themeColor="text1"/>
                <w:sz w:val="21"/>
                <w:szCs w:val="21"/>
              </w:rPr>
              <w:instrText xml:space="preserve"> DSC </w:instrText>
            </w:r>
            <w:r w:rsidRPr="002559FE">
              <w:rPr>
                <w:rFonts w:cs="Arial"/>
                <w:color w:val="000000" w:themeColor="text1"/>
                <w:sz w:val="21"/>
                <w:szCs w:val="21"/>
              </w:rPr>
              <w:instrText>模型，包括四个链阶段：牛奶生产、牛奶运输、牛奶加工和乳制品分销。此外，作为知识模型的综合</w:instrText>
            </w:r>
            <w:r w:rsidRPr="002559FE">
              <w:rPr>
                <w:rFonts w:cs="Arial"/>
                <w:color w:val="000000" w:themeColor="text1"/>
                <w:sz w:val="21"/>
                <w:szCs w:val="21"/>
              </w:rPr>
              <w:instrText xml:space="preserve"> DSC </w:instrText>
            </w:r>
            <w:r w:rsidRPr="002559FE">
              <w:rPr>
                <w:rFonts w:cs="Arial"/>
                <w:color w:val="000000" w:themeColor="text1"/>
                <w:sz w:val="21"/>
                <w:szCs w:val="21"/>
              </w:rPr>
              <w:instrText>领域本体被制定和描述。本体旨在通过促进</w:instrText>
            </w:r>
            <w:r w:rsidRPr="002559FE">
              <w:rPr>
                <w:rFonts w:cs="Arial"/>
                <w:color w:val="000000" w:themeColor="text1"/>
                <w:sz w:val="21"/>
                <w:szCs w:val="21"/>
              </w:rPr>
              <w:instrText xml:space="preserve"> DSC </w:instrText>
            </w:r>
            <w:r w:rsidRPr="002559FE">
              <w:rPr>
                <w:rFonts w:cs="Arial"/>
                <w:color w:val="000000" w:themeColor="text1"/>
                <w:sz w:val="21"/>
                <w:szCs w:val="21"/>
              </w:rPr>
              <w:instrText>内的互操作性来提高</w:instrText>
            </w:r>
            <w:r w:rsidRPr="002559FE">
              <w:rPr>
                <w:rFonts w:cs="Arial"/>
                <w:color w:val="000000" w:themeColor="text1"/>
                <w:sz w:val="21"/>
                <w:szCs w:val="21"/>
              </w:rPr>
              <w:instrText xml:space="preserve"> DSC </w:instrText>
            </w:r>
            <w:r w:rsidRPr="002559FE">
              <w:rPr>
                <w:rFonts w:cs="Arial"/>
                <w:color w:val="000000" w:themeColor="text1"/>
                <w:sz w:val="21"/>
                <w:szCs w:val="21"/>
              </w:rPr>
              <w:instrText>管理效率。使用面向可持续的案例研究验证了所提出的本体模型的适用性，该案例研究估计了</w:instrText>
            </w:r>
            <w:r w:rsidRPr="002559FE">
              <w:rPr>
                <w:rFonts w:cs="Arial"/>
                <w:color w:val="000000" w:themeColor="text1"/>
                <w:sz w:val="21"/>
                <w:szCs w:val="21"/>
              </w:rPr>
              <w:instrText xml:space="preserve"> DSC </w:instrText>
            </w:r>
            <w:r w:rsidRPr="002559FE">
              <w:rPr>
                <w:rFonts w:cs="Arial"/>
                <w:color w:val="000000" w:themeColor="text1"/>
                <w:sz w:val="21"/>
                <w:szCs w:val="21"/>
              </w:rPr>
              <w:instrText>牛奶运输阶段的环境足迹。</w:instrText>
            </w:r>
            <w:r w:rsidRPr="002559FE">
              <w:rPr>
                <w:rFonts w:cs="Arial"/>
                <w:color w:val="000000" w:themeColor="text1"/>
                <w:sz w:val="21"/>
                <w:szCs w:val="21"/>
              </w:rPr>
              <w:instrText xml:space="preserve">\ntitleTranslation: </w:instrText>
            </w:r>
            <w:r w:rsidRPr="002559FE">
              <w:rPr>
                <w:rFonts w:cs="Arial"/>
                <w:color w:val="000000" w:themeColor="text1"/>
                <w:sz w:val="21"/>
                <w:szCs w:val="21"/>
              </w:rPr>
              <w:instrText>基于物联网的乳品供应链</w:instrText>
            </w:r>
            <w:r w:rsidRPr="002559FE">
              <w:rPr>
                <w:rFonts w:cs="Arial"/>
                <w:color w:val="000000" w:themeColor="text1"/>
                <w:sz w:val="21"/>
                <w:szCs w:val="21"/>
              </w:rPr>
              <w:instrText>——</w:instrText>
            </w:r>
            <w:r w:rsidRPr="002559FE">
              <w:rPr>
                <w:rFonts w:cs="Arial"/>
                <w:color w:val="000000" w:themeColor="text1"/>
                <w:sz w:val="21"/>
                <w:szCs w:val="21"/>
              </w:rPr>
              <w:instrText>一种本体论方法</w:instrText>
            </w:r>
            <w:r w:rsidRPr="002559FE">
              <w:rPr>
                <w:rFonts w:cs="Arial"/>
                <w:color w:val="000000" w:themeColor="text1"/>
                <w:sz w:val="21"/>
                <w:szCs w:val="21"/>
              </w:rPr>
              <w:instrText>","page":"71-83","source":"1.3","title":"IoT-based Dairy Supply Chain - An Ontological Approach","title-short":"</w:instrText>
            </w:r>
            <w:r w:rsidRPr="002559FE">
              <w:rPr>
                <w:rFonts w:ascii="Apple Color Emoji" w:hAnsi="Apple Color Emoji" w:cs="Apple Color Emoji"/>
                <w:color w:val="000000" w:themeColor="text1"/>
                <w:sz w:val="21"/>
                <w:szCs w:val="21"/>
              </w:rPr>
              <w:instrText>🔤</w:instrText>
            </w:r>
            <w:r w:rsidRPr="002559FE">
              <w:rPr>
                <w:rFonts w:cs="Arial"/>
                <w:color w:val="000000" w:themeColor="text1"/>
                <w:sz w:val="21"/>
                <w:szCs w:val="21"/>
              </w:rPr>
              <w:instrText xml:space="preserve">","volume":"27","author":[{"family":"Jachimczyk","given":"Bartosz"},{"family":"Tkaczyk","given":"Rafal"},{"family":"Piotrowski","given":"Tomasz"},{"family":"Johansson","given":"Sven"},{"family":"Kulesza","given":"Wlodek"}],"issued":{"date-parts":[["2021",2,25]]},"citation-key":"jachimczykIoTbasedDairySupply2021"}},{"id":32313,"uris":["http://zotero.org/users/4106135/items/6S7RDDCD"],"itemData":{"id":32313,"type":"article-journal","abstract":"As digitalization continues to flourish, China’s manufacturing value chains are climbing up and breaking through time and space constraints. This research aims to verify the impact of digitalization on the upgrading of China’s manufacturing value chains and the specific transmission routes, as well as to suggest appropriate countermeasures. A series of analyses are conducted using the data of 13 manufacturing industries in China from 2007 to 2019 to construct a two-way fixed-effect model and a mediation model with moderating effects. The conclusions are (1) digitalization can indeed promote the upgrading of China’s manufacturing global value chains (GVCs). (2) Digitalization plays a critical role in upgrading the technology-intensive manufacturing industries’ GVC participation. (3) Dependence on imports is the main path for digitalization to promote the upgrading of the manufacturing GVCs. By examining empirical evidence and relevant case studies, this research seeks to provide valuable insights into the ongoing transformation of China’s manufacturing industry’s GVCs through digitalization.","container-title":"Journal of the Knowledge Economy","DOI":"10.1007/s13132-023-01698-8","ISSN":"1868-7865, 1868-7873","journalAbbreviation":"J Knowl Econ","language":"en","note":"titleTranslation: </w:instrText>
            </w:r>
            <w:r w:rsidRPr="002559FE">
              <w:rPr>
                <w:rFonts w:cs="Arial"/>
                <w:color w:val="000000" w:themeColor="text1"/>
                <w:sz w:val="21"/>
                <w:szCs w:val="21"/>
              </w:rPr>
              <w:instrText>数字化对中国制造业全球价值链升级的影响</w:instrText>
            </w:r>
            <w:r w:rsidRPr="002559FE">
              <w:rPr>
                <w:rFonts w:cs="Arial"/>
                <w:color w:val="000000" w:themeColor="text1"/>
                <w:sz w:val="21"/>
                <w:szCs w:val="21"/>
              </w:rPr>
              <w:instrText xml:space="preserve">\nabstractTranslation:  </w:instrText>
            </w:r>
            <w:r w:rsidRPr="002559FE">
              <w:rPr>
                <w:rFonts w:cs="Arial"/>
                <w:color w:val="000000" w:themeColor="text1"/>
                <w:sz w:val="21"/>
                <w:szCs w:val="21"/>
              </w:rPr>
              <w:instrText>随着数字化不断蓬勃发展，中国制造业价值链不断攀升，突破时空限制。本研究旨在验证数字化对中国制造业价值链升级的影响和具体传导路径，并提出相应的对策建议。利用</w:instrText>
            </w:r>
            <w:r w:rsidRPr="002559FE">
              <w:rPr>
                <w:rFonts w:cs="Arial"/>
                <w:color w:val="000000" w:themeColor="text1"/>
                <w:sz w:val="21"/>
                <w:szCs w:val="21"/>
              </w:rPr>
              <w:instrText>2007</w:instrText>
            </w:r>
            <w:r w:rsidRPr="002559FE">
              <w:rPr>
                <w:rFonts w:cs="Arial"/>
                <w:color w:val="000000" w:themeColor="text1"/>
                <w:sz w:val="21"/>
                <w:szCs w:val="21"/>
              </w:rPr>
              <w:instrText>年至</w:instrText>
            </w:r>
            <w:r w:rsidRPr="002559FE">
              <w:rPr>
                <w:rFonts w:cs="Arial"/>
                <w:color w:val="000000" w:themeColor="text1"/>
                <w:sz w:val="21"/>
                <w:szCs w:val="21"/>
              </w:rPr>
              <w:instrText>2019</w:instrText>
            </w:r>
            <w:r w:rsidRPr="002559FE">
              <w:rPr>
                <w:rFonts w:cs="Arial"/>
                <w:color w:val="000000" w:themeColor="text1"/>
                <w:sz w:val="21"/>
                <w:szCs w:val="21"/>
              </w:rPr>
              <w:instrText>年中国</w:instrText>
            </w:r>
            <w:r w:rsidRPr="002559FE">
              <w:rPr>
                <w:rFonts w:cs="Arial"/>
                <w:color w:val="000000" w:themeColor="text1"/>
                <w:sz w:val="21"/>
                <w:szCs w:val="21"/>
              </w:rPr>
              <w:instrText>13</w:instrText>
            </w:r>
            <w:r w:rsidRPr="002559FE">
              <w:rPr>
                <w:rFonts w:cs="Arial"/>
                <w:color w:val="000000" w:themeColor="text1"/>
                <w:sz w:val="21"/>
                <w:szCs w:val="21"/>
              </w:rPr>
              <w:instrText>个制造业的数据进行一系列分析，构建双向固定效应模型和具有调节作用的中介模型。结论是：（</w:instrText>
            </w:r>
            <w:r w:rsidRPr="002559FE">
              <w:rPr>
                <w:rFonts w:cs="Arial"/>
                <w:color w:val="000000" w:themeColor="text1"/>
                <w:sz w:val="21"/>
                <w:szCs w:val="21"/>
              </w:rPr>
              <w:instrText>1</w:instrText>
            </w:r>
            <w:r w:rsidRPr="002559FE">
              <w:rPr>
                <w:rFonts w:cs="Arial"/>
                <w:color w:val="000000" w:themeColor="text1"/>
                <w:sz w:val="21"/>
                <w:szCs w:val="21"/>
              </w:rPr>
              <w:instrText>）数字化确实能够促进中国制造业全球价值链（</w:instrText>
            </w:r>
            <w:r w:rsidRPr="002559FE">
              <w:rPr>
                <w:rFonts w:cs="Arial"/>
                <w:color w:val="000000" w:themeColor="text1"/>
                <w:sz w:val="21"/>
                <w:szCs w:val="21"/>
              </w:rPr>
              <w:instrText>GVC</w:instrText>
            </w:r>
            <w:r w:rsidRPr="002559FE">
              <w:rPr>
                <w:rFonts w:cs="Arial"/>
                <w:color w:val="000000" w:themeColor="text1"/>
                <w:sz w:val="21"/>
                <w:szCs w:val="21"/>
              </w:rPr>
              <w:instrText>）的升级。</w:instrText>
            </w:r>
            <w:r w:rsidRPr="002559FE">
              <w:rPr>
                <w:rFonts w:cs="Arial"/>
                <w:color w:val="000000" w:themeColor="text1"/>
                <w:sz w:val="21"/>
                <w:szCs w:val="21"/>
              </w:rPr>
              <w:instrText xml:space="preserve"> </w:instrText>
            </w:r>
            <w:r w:rsidRPr="002559FE">
              <w:rPr>
                <w:rFonts w:cs="Arial"/>
                <w:color w:val="000000" w:themeColor="text1"/>
                <w:sz w:val="21"/>
                <w:szCs w:val="21"/>
              </w:rPr>
              <w:instrText>（</w:instrText>
            </w:r>
            <w:r w:rsidRPr="002559FE">
              <w:rPr>
                <w:rFonts w:cs="Arial"/>
                <w:color w:val="000000" w:themeColor="text1"/>
                <w:sz w:val="21"/>
                <w:szCs w:val="21"/>
              </w:rPr>
              <w:instrText>2</w:instrText>
            </w:r>
            <w:r w:rsidRPr="002559FE">
              <w:rPr>
                <w:rFonts w:cs="Arial"/>
                <w:color w:val="000000" w:themeColor="text1"/>
                <w:sz w:val="21"/>
                <w:szCs w:val="21"/>
              </w:rPr>
              <w:instrText>）数字化对提升技术密集型制造业参与全球价值链的关键作用。</w:instrText>
            </w:r>
            <w:r w:rsidRPr="002559FE">
              <w:rPr>
                <w:rFonts w:cs="Arial"/>
                <w:color w:val="000000" w:themeColor="text1"/>
                <w:sz w:val="21"/>
                <w:szCs w:val="21"/>
              </w:rPr>
              <w:instrText xml:space="preserve"> </w:instrText>
            </w:r>
            <w:r w:rsidRPr="002559FE">
              <w:rPr>
                <w:rFonts w:cs="Arial"/>
                <w:color w:val="000000" w:themeColor="text1"/>
                <w:sz w:val="21"/>
                <w:szCs w:val="21"/>
              </w:rPr>
              <w:instrText>（三）进口依赖是数字化推动制造业全球价值链升级的主要路径。通过检验实证证据和相关案例研究，本研究旨在为中国制造业全球价值链通过数字化持续转型提供有价值的见解。</w:instrText>
            </w:r>
            <w:r w:rsidRPr="002559FE">
              <w:rPr>
                <w:rFonts w:cs="Arial"/>
                <w:color w:val="000000" w:themeColor="text1"/>
                <w:sz w:val="21"/>
                <w:szCs w:val="21"/>
              </w:rPr>
              <w:instrText xml:space="preserve">","source":"3.3","title":"The Impact of Digitalization on the Upgrading of China’s Manufacturing Sector’s Global Value Chains","URL":"https://link.springer.com/10.1007/s13132-023-01698-8","author":[{"family":"Zhang","given":"Qian"}],"accessed":{"date-parts":[["2024",2,24]]},"issued":{"date-parts":[["2024",1,8]]},"citation-key":"zhangImpactDigitalizationUpgrading2024"}},{"id":2839,"uris":["http://zotero.org/users/4106135/items/5BQ2X5KS"],"itemData":{"id":2839,"type":"article-journal","abstract":"Developing rapidly over the long term makes it easy for a developing country to fall into the middle-income trap, which can only be solved by a new technological revolution. The deep integration of digital technology and industry has gradually become a new impetus to promote the sustainable development of China’s economy. Based on the panel data of 30 provinces and cities from 2010 to 2019, this paper analyzes the coupling coordination relationship between digital transformation level and economic development in China by the entropy method, coupling coordination degree model and spatial autocorrelation model. The results show that the following: (1) from 2010 to 2019, the comprehensive index of China’s digital transformation and economic growth level showed an upward trend, and the development level showed a gradual decline in eastern–middle–western regions; (2) the level of coupling and coordination between China’s digital transformation and economic growth has been increasing each year. Except Guangdong Province, all provinces have shown digital lag coordinated development, and it is necessary to strengthen their economic sustainability; (3) the coupling and coordination degree of digital transformation and economic growth in China shows a remarkable spatial correlation and agglomeration. High–high agglomeration areas are mainly concentrated in the Beijing–Tianjin–Hebei and Yangtze River Delta regions, low–low agglomeration areas are concentrated in northeast and western regions, and low–high agglomeration areas and high–low agglomeration areas are concentrated in southeast provinces. It is suggested that China should strengthen its regional balance in the future, let digital technology continue to lead the development of eastern developed regions, and transform and promote the traditional economy in other regions, overtaking in corners and enhancing the sustainable development of the overall layout of China’s economy.","archive":"DT","call-number":"3","container-title":"Sustainability","DOI":"10.3390/su132413773","ISSN":"2071-1050","issue":"24","journalAbbreviation":"Sustainability","language":"en","note":"abstractTranslation:  </w:instrText>
            </w:r>
            <w:r w:rsidRPr="002559FE">
              <w:rPr>
                <w:rFonts w:cs="Arial"/>
                <w:color w:val="000000" w:themeColor="text1"/>
                <w:sz w:val="21"/>
                <w:szCs w:val="21"/>
              </w:rPr>
              <w:instrText>长期高速发展，发展中国家容易陷入中等收入陷阱，只能通过新技术革命来解决。数字技术与产业深度融合，逐渐成为推动中国经济可持续发展的新动力。本文基于</w:instrText>
            </w:r>
            <w:r w:rsidRPr="002559FE">
              <w:rPr>
                <w:rFonts w:cs="Arial"/>
                <w:color w:val="000000" w:themeColor="text1"/>
                <w:sz w:val="21"/>
                <w:szCs w:val="21"/>
              </w:rPr>
              <w:instrText>2010-2019</w:instrText>
            </w:r>
            <w:r w:rsidRPr="002559FE">
              <w:rPr>
                <w:rFonts w:cs="Arial"/>
                <w:color w:val="000000" w:themeColor="text1"/>
                <w:sz w:val="21"/>
                <w:szCs w:val="21"/>
              </w:rPr>
              <w:instrText>年</w:instrText>
            </w:r>
            <w:r w:rsidRPr="002559FE">
              <w:rPr>
                <w:rFonts w:cs="Arial"/>
                <w:color w:val="000000" w:themeColor="text1"/>
                <w:sz w:val="21"/>
                <w:szCs w:val="21"/>
              </w:rPr>
              <w:instrText>30</w:instrText>
            </w:r>
            <w:r w:rsidRPr="002559FE">
              <w:rPr>
                <w:rFonts w:cs="Arial"/>
                <w:color w:val="000000" w:themeColor="text1"/>
                <w:sz w:val="21"/>
                <w:szCs w:val="21"/>
              </w:rPr>
              <w:instrText>个省市的面板数据，采用熵权法、耦合协调度模型和空间自相关模型分析我国数字化转型水平与经济发展的耦合协调关系。结果表明：（</w:instrText>
            </w:r>
            <w:r w:rsidRPr="002559FE">
              <w:rPr>
                <w:rFonts w:cs="Arial"/>
                <w:color w:val="000000" w:themeColor="text1"/>
                <w:sz w:val="21"/>
                <w:szCs w:val="21"/>
              </w:rPr>
              <w:instrText>1</w:instrText>
            </w:r>
            <w:r w:rsidRPr="002559FE">
              <w:rPr>
                <w:rFonts w:cs="Arial"/>
                <w:color w:val="000000" w:themeColor="text1"/>
                <w:sz w:val="21"/>
                <w:szCs w:val="21"/>
              </w:rPr>
              <w:instrText>）</w:instrText>
            </w:r>
            <w:r w:rsidRPr="002559FE">
              <w:rPr>
                <w:rFonts w:cs="Arial"/>
                <w:color w:val="000000" w:themeColor="text1"/>
                <w:sz w:val="21"/>
                <w:szCs w:val="21"/>
              </w:rPr>
              <w:instrText>2010-2019</w:instrText>
            </w:r>
            <w:r w:rsidRPr="002559FE">
              <w:rPr>
                <w:rFonts w:cs="Arial"/>
                <w:color w:val="000000" w:themeColor="text1"/>
                <w:sz w:val="21"/>
                <w:szCs w:val="21"/>
              </w:rPr>
              <w:instrText>年，中国数字化转型与经济增长水平综合指数呈上升趋势，东</w:instrText>
            </w:r>
            <w:r w:rsidRPr="002559FE">
              <w:rPr>
                <w:rFonts w:cs="Arial"/>
                <w:color w:val="000000" w:themeColor="text1"/>
                <w:sz w:val="21"/>
                <w:szCs w:val="21"/>
              </w:rPr>
              <w:instrText>-</w:instrText>
            </w:r>
            <w:r w:rsidRPr="002559FE">
              <w:rPr>
                <w:rFonts w:cs="Arial"/>
                <w:color w:val="000000" w:themeColor="text1"/>
                <w:sz w:val="21"/>
                <w:szCs w:val="21"/>
              </w:rPr>
              <w:instrText>中</w:instrText>
            </w:r>
            <w:r w:rsidRPr="002559FE">
              <w:rPr>
                <w:rFonts w:cs="Arial"/>
                <w:color w:val="000000" w:themeColor="text1"/>
                <w:sz w:val="21"/>
                <w:szCs w:val="21"/>
              </w:rPr>
              <w:instrText>-</w:instrText>
            </w:r>
            <w:r w:rsidRPr="002559FE">
              <w:rPr>
                <w:rFonts w:cs="Arial"/>
                <w:color w:val="000000" w:themeColor="text1"/>
                <w:sz w:val="21"/>
                <w:szCs w:val="21"/>
              </w:rPr>
              <w:instrText>西部地区发展水平逐渐下降；</w:instrText>
            </w:r>
            <w:r w:rsidRPr="002559FE">
              <w:rPr>
                <w:rFonts w:cs="Arial"/>
                <w:color w:val="000000" w:themeColor="text1"/>
                <w:sz w:val="21"/>
                <w:szCs w:val="21"/>
              </w:rPr>
              <w:instrText xml:space="preserve"> </w:instrText>
            </w:r>
            <w:r w:rsidRPr="002559FE">
              <w:rPr>
                <w:rFonts w:cs="Arial"/>
                <w:color w:val="000000" w:themeColor="text1"/>
                <w:sz w:val="21"/>
                <w:szCs w:val="21"/>
              </w:rPr>
              <w:instrText>（</w:instrText>
            </w:r>
            <w:r w:rsidRPr="002559FE">
              <w:rPr>
                <w:rFonts w:cs="Arial"/>
                <w:color w:val="000000" w:themeColor="text1"/>
                <w:sz w:val="21"/>
                <w:szCs w:val="21"/>
              </w:rPr>
              <w:instrText>2</w:instrText>
            </w:r>
            <w:r w:rsidRPr="002559FE">
              <w:rPr>
                <w:rFonts w:cs="Arial"/>
                <w:color w:val="000000" w:themeColor="text1"/>
                <w:sz w:val="21"/>
                <w:szCs w:val="21"/>
              </w:rPr>
              <w:instrText>）中国数字化转型与经济增长的耦合协调程度逐年提高。除广东省外，各省份均呈现数字滞后协调发展，需加强经济可持续发展；</w:instrText>
            </w:r>
            <w:r w:rsidRPr="002559FE">
              <w:rPr>
                <w:rFonts w:cs="Arial"/>
                <w:color w:val="000000" w:themeColor="text1"/>
                <w:sz w:val="21"/>
                <w:szCs w:val="21"/>
              </w:rPr>
              <w:instrText xml:space="preserve"> (3)</w:instrText>
            </w:r>
            <w:r w:rsidRPr="002559FE">
              <w:rPr>
                <w:rFonts w:cs="Arial"/>
                <w:color w:val="000000" w:themeColor="text1"/>
                <w:sz w:val="21"/>
                <w:szCs w:val="21"/>
              </w:rPr>
              <w:instrText>中国数字化转型与经济增长的耦合协调度呈现出显着的空间关联性和集聚性。高</w:instrText>
            </w:r>
            <w:r w:rsidRPr="002559FE">
              <w:rPr>
                <w:rFonts w:cs="Arial"/>
                <w:color w:val="000000" w:themeColor="text1"/>
                <w:sz w:val="21"/>
                <w:szCs w:val="21"/>
              </w:rPr>
              <w:instrText>-</w:instrText>
            </w:r>
            <w:r w:rsidRPr="002559FE">
              <w:rPr>
                <w:rFonts w:cs="Arial"/>
                <w:color w:val="000000" w:themeColor="text1"/>
                <w:sz w:val="21"/>
                <w:szCs w:val="21"/>
              </w:rPr>
              <w:instrText>高集聚区主要集中在京津冀和长三角地区，低</w:instrText>
            </w:r>
            <w:r w:rsidRPr="002559FE">
              <w:rPr>
                <w:rFonts w:cs="Arial"/>
                <w:color w:val="000000" w:themeColor="text1"/>
                <w:sz w:val="21"/>
                <w:szCs w:val="21"/>
              </w:rPr>
              <w:instrText>-</w:instrText>
            </w:r>
            <w:r w:rsidRPr="002559FE">
              <w:rPr>
                <w:rFonts w:cs="Arial"/>
                <w:color w:val="000000" w:themeColor="text1"/>
                <w:sz w:val="21"/>
                <w:szCs w:val="21"/>
              </w:rPr>
              <w:instrText>低集聚区集中在东北和西部地区，低</w:instrText>
            </w:r>
            <w:r w:rsidRPr="002559FE">
              <w:rPr>
                <w:rFonts w:cs="Arial"/>
                <w:color w:val="000000" w:themeColor="text1"/>
                <w:sz w:val="21"/>
                <w:szCs w:val="21"/>
              </w:rPr>
              <w:instrText>-</w:instrText>
            </w:r>
            <w:r w:rsidRPr="002559FE">
              <w:rPr>
                <w:rFonts w:cs="Arial"/>
                <w:color w:val="000000" w:themeColor="text1"/>
                <w:sz w:val="21"/>
                <w:szCs w:val="21"/>
              </w:rPr>
              <w:instrText>高集聚区和高</w:instrText>
            </w:r>
            <w:r w:rsidRPr="002559FE">
              <w:rPr>
                <w:rFonts w:cs="Arial"/>
                <w:color w:val="000000" w:themeColor="text1"/>
                <w:sz w:val="21"/>
                <w:szCs w:val="21"/>
              </w:rPr>
              <w:instrText>-</w:instrText>
            </w:r>
            <w:r w:rsidRPr="002559FE">
              <w:rPr>
                <w:rFonts w:cs="Arial"/>
                <w:color w:val="000000" w:themeColor="text1"/>
                <w:sz w:val="21"/>
                <w:szCs w:val="21"/>
              </w:rPr>
              <w:instrText>低集聚区集中在东南地区省份。建议中国未来加强区域平衡，让数字技术继续引领东部发达地区的发展，对其他地区的传统经济进行改造和提升，实现弯道超车，提升整体布局的可持续发展中国经济的。</w:instrText>
            </w:r>
            <w:r w:rsidRPr="002559FE">
              <w:rPr>
                <w:rFonts w:cs="Arial"/>
                <w:color w:val="000000" w:themeColor="text1"/>
                <w:sz w:val="21"/>
                <w:szCs w:val="21"/>
              </w:rPr>
              <w:instrText xml:space="preserve">\ntitleTranslation: </w:instrText>
            </w:r>
            <w:r w:rsidRPr="002559FE">
              <w:rPr>
                <w:rFonts w:cs="Arial"/>
                <w:color w:val="000000" w:themeColor="text1"/>
                <w:sz w:val="21"/>
                <w:szCs w:val="21"/>
              </w:rPr>
              <w:instrText>中国数字化转型与经济发展的协同效应：基于可持续发展的研究</w:instrText>
            </w:r>
            <w:r w:rsidRPr="002559FE">
              <w:rPr>
                <w:rFonts w:cs="Arial"/>
                <w:color w:val="000000" w:themeColor="text1"/>
                <w:sz w:val="21"/>
                <w:szCs w:val="21"/>
              </w:rPr>
              <w:instrText>\nTLDR: It is suggested that China should strengthen its regional balance in the future, let digital technology continue to lead the development of eastern developed regions, and transform and promote the traditional economy in other regions, overtaking in corners and enhancing the sustainable development of the overall layout of China’s economy.","page":"13773","source":"3.9","title":"Synergistic Effect between China’s Digital Transformation and Economic Development: A Study Based on Sustainable Development","title-short":"</w:instrText>
            </w:r>
            <w:r w:rsidRPr="002559FE">
              <w:rPr>
                <w:rFonts w:ascii="Apple Color Emoji" w:hAnsi="Apple Color Emoji" w:cs="Apple Color Emoji"/>
                <w:color w:val="000000" w:themeColor="text1"/>
                <w:sz w:val="21"/>
                <w:szCs w:val="21"/>
              </w:rPr>
              <w:instrText>🔤</w:instrText>
            </w:r>
            <w:r w:rsidRPr="002559FE">
              <w:rPr>
                <w:rFonts w:cs="Arial"/>
                <w:color w:val="000000" w:themeColor="text1"/>
                <w:sz w:val="21"/>
                <w:szCs w:val="21"/>
              </w:rPr>
              <w:instrText>中国数字化转型与经济发展的协同效应：基于可持续发展的研究</w:instrText>
            </w:r>
            <w:r w:rsidRPr="002559FE">
              <w:rPr>
                <w:rFonts w:cs="Arial"/>
                <w:color w:val="000000" w:themeColor="text1"/>
                <w:sz w:val="21"/>
                <w:szCs w:val="21"/>
              </w:rPr>
              <w:instrText xml:space="preserve">","volume":"13","author":[{"family":"Zhao","given":"Min"},{"family":"Liu","given":"Rong"},{"family":"Dai","given":"Debao"}],"issued":{"date-parts":[["2021",12,14]]},"citation-key":"zhaoSynergisticEffectChinas2021"}}],"schema":"https://github.com/citation-style-language/schema/raw/master/csl-citation.json"} </w:instrText>
            </w:r>
            <w:r w:rsidRPr="002559FE">
              <w:rPr>
                <w:rFonts w:cs="Arial"/>
                <w:color w:val="000000" w:themeColor="text1"/>
                <w:sz w:val="21"/>
                <w:szCs w:val="21"/>
              </w:rPr>
              <w:fldChar w:fldCharType="separate"/>
            </w:r>
            <w:r w:rsidRPr="002559FE">
              <w:rPr>
                <w:rFonts w:cs="Arial"/>
                <w:noProof/>
                <w:color w:val="000000" w:themeColor="text1"/>
                <w:sz w:val="21"/>
                <w:szCs w:val="21"/>
              </w:rPr>
              <w:t>(Jachimczyk et al., 2021; Zhang, 2024; Zhao et al., 2021)</w:t>
            </w:r>
            <w:r w:rsidRPr="002559FE">
              <w:rPr>
                <w:rFonts w:cs="Arial"/>
                <w:color w:val="000000" w:themeColor="text1"/>
                <w:sz w:val="21"/>
                <w:szCs w:val="21"/>
              </w:rPr>
              <w:fldChar w:fldCharType="end"/>
            </w:r>
            <w:r w:rsidRPr="002559FE">
              <w:rPr>
                <w:rFonts w:cs="Arial"/>
                <w:color w:val="000000" w:themeColor="text1"/>
                <w:sz w:val="21"/>
                <w:szCs w:val="21"/>
              </w:rPr>
              <w:t xml:space="preserve">. </w:t>
            </w:r>
            <w:r w:rsidRPr="002559FE">
              <w:rPr>
                <w:rFonts w:cs="Arial"/>
                <w:color w:val="000000" w:themeColor="text1"/>
                <w:sz w:val="21"/>
                <w:szCs w:val="21"/>
                <w:lang w:eastAsia="zh-CN"/>
              </w:rPr>
              <w:t>From</w:t>
            </w:r>
            <w:r w:rsidRPr="002559FE">
              <w:rPr>
                <w:rFonts w:cs="Arial"/>
                <w:color w:val="000000" w:themeColor="text1"/>
                <w:sz w:val="21"/>
                <w:szCs w:val="21"/>
              </w:rPr>
              <w:t xml:space="preserve"> </w:t>
            </w:r>
            <w:r w:rsidRPr="002559FE">
              <w:rPr>
                <w:rFonts w:cs="Arial"/>
                <w:color w:val="000000" w:themeColor="text1"/>
                <w:sz w:val="21"/>
                <w:szCs w:val="21"/>
                <w:lang w:eastAsia="zh-CN"/>
              </w:rPr>
              <w:t>the</w:t>
            </w:r>
            <w:r w:rsidRPr="002559FE">
              <w:rPr>
                <w:rFonts w:cs="Arial"/>
                <w:color w:val="000000" w:themeColor="text1"/>
                <w:sz w:val="21"/>
                <w:szCs w:val="21"/>
              </w:rPr>
              <w:t xml:space="preserve"> </w:t>
            </w:r>
            <w:r w:rsidRPr="002559FE">
              <w:rPr>
                <w:rFonts w:cs="Arial"/>
                <w:color w:val="000000" w:themeColor="text1"/>
                <w:sz w:val="21"/>
                <w:szCs w:val="21"/>
                <w:lang w:eastAsia="zh-CN"/>
              </w:rPr>
              <w:t>organization</w:t>
            </w:r>
            <w:r w:rsidRPr="002559FE">
              <w:rPr>
                <w:rFonts w:cs="Arial"/>
                <w:color w:val="000000" w:themeColor="text1"/>
                <w:sz w:val="21"/>
                <w:szCs w:val="21"/>
              </w:rPr>
              <w:t xml:space="preserve"> performance </w:t>
            </w:r>
            <w:r w:rsidRPr="002559FE">
              <w:rPr>
                <w:rFonts w:cs="Arial"/>
                <w:color w:val="000000" w:themeColor="text1"/>
                <w:sz w:val="21"/>
                <w:szCs w:val="21"/>
                <w:lang w:eastAsia="zh-CN"/>
              </w:rPr>
              <w:t>viewpoint</w:t>
            </w:r>
            <w:r w:rsidRPr="002559FE">
              <w:rPr>
                <w:rFonts w:cs="Arial"/>
                <w:color w:val="000000" w:themeColor="text1"/>
                <w:sz w:val="21"/>
                <w:szCs w:val="21"/>
              </w:rPr>
              <w:t xml:space="preserve">, research believe that </w:t>
            </w:r>
            <w:r w:rsidRPr="002559FE">
              <w:rPr>
                <w:rFonts w:cs="Arial"/>
                <w:color w:val="000000" w:themeColor="text1"/>
                <w:sz w:val="21"/>
                <w:szCs w:val="21"/>
                <w:lang w:eastAsia="zh-CN"/>
              </w:rPr>
              <w:t>d</w:t>
            </w:r>
            <w:r w:rsidRPr="002559FE">
              <w:rPr>
                <w:rFonts w:cs="Arial"/>
                <w:color w:val="000000" w:themeColor="text1"/>
                <w:sz w:val="21"/>
                <w:szCs w:val="21"/>
              </w:rPr>
              <w:t>igital transformation improves business operations and management</w:t>
            </w:r>
            <w:r w:rsidRPr="002559FE">
              <w:rPr>
                <w:rFonts w:cs="Arial"/>
                <w:color w:val="000000" w:themeColor="text1"/>
                <w:sz w:val="21"/>
                <w:szCs w:val="21"/>
              </w:rPr>
              <w:fldChar w:fldCharType="begin"/>
            </w:r>
            <w:r w:rsidRPr="002559FE">
              <w:rPr>
                <w:rFonts w:cs="Arial"/>
                <w:color w:val="000000" w:themeColor="text1"/>
                <w:sz w:val="21"/>
                <w:szCs w:val="21"/>
              </w:rPr>
              <w:instrText xml:space="preserve"> ADDIN ZOTERO_ITEM CSL_CITATION {"citationID":"u19q5818","properties":{"formattedCitation":"(Guo &amp; Xu, 2021; Hu et al., 2023; Paul et al., 2022)","plainCitation":"(Guo &amp; Xu, 2021; Hu et al., 2023; Paul et al., 2022)","noteIndex":0},"citationItems":[{"id":2224,"uris":["http://zotero.org/users/4106135/items/6QK6GDHP"],"itemData":{"id":2224,"type":"article-journal","abstract":"With vast potentials in improving operations and stimulating growth, digital transformation has aroused much attention from ﬁrms across the world. However, the high costs associated with the transformation can not be ignored. Limited research has looked into the organizational performance effects of digital transformation. After examining the beneﬁts and costs of digital transformation, this research makes an empirical study on the impact of digital transformation on ﬁrm operational and ﬁnancial performance. The panel data from 2010 to 2020 of 2254 manufacturing companies in China suggests that the intensity of digital transformation is in positive correlation with the process-based operating performance, and in the U-shaped correlation with the proﬁt-oriented ﬁnancial performance. Further, we ﬁnd that digital transformation has a much more lasting impact on operating performance than on ﬁnancial performance. The conditions required (i.e., policy and innovation environment) to improve the operating performance via digital transformation are more easing. This research shows the differentiated effect of digital transformation on different dimensions of organizational performance and provides guidance for companies to set the goals for digital transformation.","archive":"Perfromance","call-number":"3","container-title":"Sustainability","DOI":"10.3390/su132212844","ISSN":"2071-1050","issue":"22","journalAbbreviation":"Sustainability","language":"en","note":"number: 22\nabstractTranslation:  </w:instrText>
            </w:r>
            <w:r w:rsidRPr="002559FE">
              <w:rPr>
                <w:rFonts w:cs="Arial"/>
                <w:color w:val="000000" w:themeColor="text1"/>
                <w:sz w:val="21"/>
                <w:szCs w:val="21"/>
              </w:rPr>
              <w:instrText>数字化转型在改善运营和刺激增长方面具有巨大潜力，已引起全球企业的广泛关注。然而，与转型相关的高额成本也不容忽视。有限的研究调查了数字化转型对组织绩效的影响。在考察了数字化转型的收益和成本之后，本研究对数字化转型对企业运营和财务绩效的影响进行了实证研究。中国</w:instrText>
            </w:r>
            <w:r w:rsidRPr="002559FE">
              <w:rPr>
                <w:rFonts w:cs="Arial"/>
                <w:color w:val="000000" w:themeColor="text1"/>
                <w:sz w:val="21"/>
                <w:szCs w:val="21"/>
              </w:rPr>
              <w:instrText>2254</w:instrText>
            </w:r>
            <w:r w:rsidRPr="002559FE">
              <w:rPr>
                <w:rFonts w:cs="Arial"/>
                <w:color w:val="000000" w:themeColor="text1"/>
                <w:sz w:val="21"/>
                <w:szCs w:val="21"/>
              </w:rPr>
              <w:instrText>家制造企业</w:instrText>
            </w:r>
            <w:r w:rsidRPr="002559FE">
              <w:rPr>
                <w:rFonts w:cs="Arial"/>
                <w:color w:val="000000" w:themeColor="text1"/>
                <w:sz w:val="21"/>
                <w:szCs w:val="21"/>
              </w:rPr>
              <w:instrText>2010-2020</w:instrText>
            </w:r>
            <w:r w:rsidRPr="002559FE">
              <w:rPr>
                <w:rFonts w:cs="Arial"/>
                <w:color w:val="000000" w:themeColor="text1"/>
                <w:sz w:val="21"/>
                <w:szCs w:val="21"/>
              </w:rPr>
              <w:instrText>年面板数据显示，数字化转型强度与流程化经营绩效呈正相关，与利润导向型财务绩效呈</w:instrText>
            </w:r>
            <w:r w:rsidRPr="002559FE">
              <w:rPr>
                <w:rFonts w:cs="Arial"/>
                <w:color w:val="000000" w:themeColor="text1"/>
                <w:sz w:val="21"/>
                <w:szCs w:val="21"/>
              </w:rPr>
              <w:instrText>U</w:instrText>
            </w:r>
            <w:r w:rsidRPr="002559FE">
              <w:rPr>
                <w:rFonts w:cs="Arial"/>
                <w:color w:val="000000" w:themeColor="text1"/>
                <w:sz w:val="21"/>
                <w:szCs w:val="21"/>
              </w:rPr>
              <w:instrText>型相关。此外，我们发现数字化转型对经营业绩的影响比对财务业绩的影响更为持久。通过数字化转型提高经营业绩所需的条件（即政策和创新环境）更加宽松。本研究展示了数字化转型对组织绩效不同维度的差异化影响，为企业设定数字化转型目标提供了指导。</w:instrText>
            </w:r>
            <w:r w:rsidRPr="002559FE">
              <w:rPr>
                <w:rFonts w:cs="Arial"/>
                <w:color w:val="000000" w:themeColor="text1"/>
                <w:sz w:val="21"/>
                <w:szCs w:val="21"/>
              </w:rPr>
              <w:instrText xml:space="preserve">\ntitleTranslation: </w:instrText>
            </w:r>
            <w:r w:rsidRPr="002559FE">
              <w:rPr>
                <w:rFonts w:cs="Arial"/>
                <w:color w:val="000000" w:themeColor="text1"/>
                <w:sz w:val="21"/>
                <w:szCs w:val="21"/>
              </w:rPr>
              <w:instrText>数字化转型对企业绩效的影响：来自中国制造业的证据</w:instrText>
            </w:r>
            <w:r w:rsidRPr="002559FE">
              <w:rPr>
                <w:rFonts w:cs="Arial"/>
                <w:color w:val="000000" w:themeColor="text1"/>
                <w:sz w:val="21"/>
                <w:szCs w:val="21"/>
              </w:rPr>
              <w:instrText xml:space="preserve">","page":"12844","source":"3.9","title":"The Effects of Digital Transformation on Firm Performance: Evidence from China’s Manufacturing Sector","title-short":"The Effects of Digital Transformation on Firm Performance","volume":"13","author":[{"family":"Guo","given":"Lei"},{"family":"Xu","given":"Luying"}],"issued":{"date-parts":[["2021",11,19]]},"citation-key":"guoEffectsDigitalTransformation2021"}},{"id":32290,"uris":["http://zotero.org/users/4106135/items/GPSSW52A"],"itemData":{"id":32290,"type":"article-journal","abstract":"This paper sheds light on the impact of corporate maturity mismatch on enterprise digital transformation for the first time. We conduct in-depth text analysis on a huge number of annual reports and construct the earliest digital transformation index in China. The results show that the greater the corporate maturity mismatch is, the worse the enterprise digital transformation is, and this effect is more pronounced in non-SOEs, manufacturing industries and growing or mature firms. Furthermore, corporate maturity mismatch hinders enterprise digital transformation by exacerbating financial distress and distorting investment behavior, and the financial regulation plays a role in mitigating this negative effect. The findings provide insights into how to promote the development of the digital economy in China.","container-title":"Finance Research Letters","DOI":"10.1016/j.frl.2023.103677","ISSN":"15446123","journalAbbreviation":"Finance Research Letters","language":"en","note":"titleTranslation: </w:instrText>
            </w:r>
            <w:r w:rsidRPr="002559FE">
              <w:rPr>
                <w:rFonts w:cs="Arial"/>
                <w:color w:val="000000" w:themeColor="text1"/>
                <w:sz w:val="21"/>
                <w:szCs w:val="21"/>
              </w:rPr>
              <w:instrText>企业成熟度错配与企业数字化转型：来自中国的证据</w:instrText>
            </w:r>
            <w:r w:rsidRPr="002559FE">
              <w:rPr>
                <w:rFonts w:cs="Arial"/>
                <w:color w:val="000000" w:themeColor="text1"/>
                <w:sz w:val="21"/>
                <w:szCs w:val="21"/>
              </w:rPr>
              <w:instrText xml:space="preserve">\nabstractTranslation:  </w:instrText>
            </w:r>
            <w:r w:rsidRPr="002559FE">
              <w:rPr>
                <w:rFonts w:cs="Arial"/>
                <w:color w:val="000000" w:themeColor="text1"/>
                <w:sz w:val="21"/>
                <w:szCs w:val="21"/>
              </w:rPr>
              <w:instrText>本文首次揭示了企业成熟度不匹配对企业数字化转型的影响。我们对海量年报进行深入的文本分析，构建了国内最早的数字化转型指数。研究结果表明，企业成熟度错配越大，企业数字化转型越差，且这种效应在非国有企业、制造业以及成长型或成熟型企业中更为明显。此外，企业成熟度错配会加剧财务困境、扭曲投资行为，从而阻碍企业数字化转型，金融监管可以起到缓解这种负面影响的作用。研究结果为如何促进中国数字经济的发展提供了见解。</w:instrText>
            </w:r>
            <w:r w:rsidRPr="002559FE">
              <w:rPr>
                <w:rFonts w:cs="Arial"/>
                <w:color w:val="000000" w:themeColor="text1"/>
                <w:sz w:val="21"/>
                <w:szCs w:val="21"/>
              </w:rPr>
              <w:instrText>","page":"103677","source":"10.4","title":"Corporate maturity mismatch and enterprise digital transformation: Evidence from China","title-short":"Corporate maturity mismatch and enterprise digital transformation","volume":"53","author":[{"family":"Hu","given":"Yan"},{"family":"Che","given":"Dexin"},{"family":"Wu","given":"Fei"},{"family":"Chang","given":"Xi"}],"issued":{"date-parts":[["2023",5]]},"citation-key":"huCorporateMaturityMismatch2023"}},{"id":16420,"uris":["http://zotero.org/users/4106135/items/LXQIAI8C"],"itemData":{"id":16420,"type":"article-journal","abstract":"Circular supply chain management (CSCM) is required for the tea industry to transition from a linear economic model to a more productive circular economic model. However, tracking reusable and recyclable materials over the life cycle of the tea supply chain involves multiple stakeholders. Radio frequency identification (RFID) technology driven by blockchain technology (BCT) can help to manage the complexities of circular tea supply chain management (CTSCM), establishing transparency and traceability in the industry. This study takes the first step in developing a distributed and service-oriented system architecture that embraces an RFID-integrated BCTenabled circular supply chain practice model for a business-to-business (B2B) tea industry network. The study provides a deeper understanding of inventory performance, resource use, and the industry’s processes. Furthermore, the results will aid enterprises in the B2B tea industry to better understand the factors influencing supply chain performance. Managerial and social implications of implementing RFID-integrated blockchaindriven technologies in service of the circular economy agenda are discussed.","archive":"Iot","container-title":"Industrial Marketing Management","DOI":"10.1016/j.indmarman.2021.12.003","ISSN":"00198501","journalAbbreviation":"Industrial Marketing Management","language":"en","note":"titleTranslation: RFID</w:instrText>
            </w:r>
            <w:r w:rsidRPr="002559FE">
              <w:rPr>
                <w:rFonts w:cs="Arial"/>
                <w:color w:val="000000" w:themeColor="text1"/>
                <w:sz w:val="21"/>
                <w:szCs w:val="21"/>
              </w:rPr>
              <w:instrText>集成区块链驱动的循环供应链管理：</w:instrText>
            </w:r>
            <w:r w:rsidRPr="002559FE">
              <w:rPr>
                <w:rFonts w:cs="Arial"/>
                <w:color w:val="000000" w:themeColor="text1"/>
                <w:sz w:val="21"/>
                <w:szCs w:val="21"/>
              </w:rPr>
              <w:instrText>B2B</w:instrText>
            </w:r>
            <w:r w:rsidRPr="002559FE">
              <w:rPr>
                <w:rFonts w:cs="Arial"/>
                <w:color w:val="000000" w:themeColor="text1"/>
                <w:sz w:val="21"/>
                <w:szCs w:val="21"/>
              </w:rPr>
              <w:instrText>茶行业的系统架构</w:instrText>
            </w:r>
            <w:r w:rsidRPr="002559FE">
              <w:rPr>
                <w:rFonts w:cs="Arial"/>
                <w:color w:val="000000" w:themeColor="text1"/>
                <w:sz w:val="21"/>
                <w:szCs w:val="21"/>
              </w:rPr>
              <w:instrText xml:space="preserve">\nabstractTranslation:  </w:instrText>
            </w:r>
            <w:r w:rsidRPr="002559FE">
              <w:rPr>
                <w:rFonts w:cs="Arial"/>
                <w:color w:val="000000" w:themeColor="text1"/>
                <w:sz w:val="21"/>
                <w:szCs w:val="21"/>
              </w:rPr>
              <w:instrText>茶产业从线性经济模式向生产力更高的循环经济模式转型需要循环供应链管理（</w:instrText>
            </w:r>
            <w:r w:rsidRPr="002559FE">
              <w:rPr>
                <w:rFonts w:cs="Arial"/>
                <w:color w:val="000000" w:themeColor="text1"/>
                <w:sz w:val="21"/>
                <w:szCs w:val="21"/>
              </w:rPr>
              <w:instrText>CSCM</w:instrText>
            </w:r>
            <w:r w:rsidRPr="002559FE">
              <w:rPr>
                <w:rFonts w:cs="Arial"/>
                <w:color w:val="000000" w:themeColor="text1"/>
                <w:sz w:val="21"/>
                <w:szCs w:val="21"/>
              </w:rPr>
              <w:instrText>）。然而，在茶叶供应链的整个生命周期中跟踪可重复使用和可回收材料涉及多个利益相关者。由区块链技术（</w:instrText>
            </w:r>
            <w:r w:rsidRPr="002559FE">
              <w:rPr>
                <w:rFonts w:cs="Arial"/>
                <w:color w:val="000000" w:themeColor="text1"/>
                <w:sz w:val="21"/>
                <w:szCs w:val="21"/>
              </w:rPr>
              <w:instrText>BCT</w:instrText>
            </w:r>
            <w:r w:rsidRPr="002559FE">
              <w:rPr>
                <w:rFonts w:cs="Arial"/>
                <w:color w:val="000000" w:themeColor="text1"/>
                <w:sz w:val="21"/>
                <w:szCs w:val="21"/>
              </w:rPr>
              <w:instrText>）驱动的射频识别（</w:instrText>
            </w:r>
            <w:r w:rsidRPr="002559FE">
              <w:rPr>
                <w:rFonts w:cs="Arial"/>
                <w:color w:val="000000" w:themeColor="text1"/>
                <w:sz w:val="21"/>
                <w:szCs w:val="21"/>
              </w:rPr>
              <w:instrText>RFID</w:instrText>
            </w:r>
            <w:r w:rsidRPr="002559FE">
              <w:rPr>
                <w:rFonts w:cs="Arial"/>
                <w:color w:val="000000" w:themeColor="text1"/>
                <w:sz w:val="21"/>
                <w:szCs w:val="21"/>
              </w:rPr>
              <w:instrText>）技术可以帮助管理循环茶叶供应链管理（</w:instrText>
            </w:r>
            <w:r w:rsidRPr="002559FE">
              <w:rPr>
                <w:rFonts w:cs="Arial"/>
                <w:color w:val="000000" w:themeColor="text1"/>
                <w:sz w:val="21"/>
                <w:szCs w:val="21"/>
              </w:rPr>
              <w:instrText>CTSCM</w:instrText>
            </w:r>
            <w:r w:rsidRPr="002559FE">
              <w:rPr>
                <w:rFonts w:cs="Arial"/>
                <w:color w:val="000000" w:themeColor="text1"/>
                <w:sz w:val="21"/>
                <w:szCs w:val="21"/>
              </w:rPr>
              <w:instrText>）的复杂性，建立行业的透明度和可追溯性。本研究在开发分布式和面向服务的系统架构方面迈出了第一步，该架构包含用于企业对企业</w:instrText>
            </w:r>
            <w:r w:rsidRPr="002559FE">
              <w:rPr>
                <w:rFonts w:cs="Arial"/>
                <w:color w:val="000000" w:themeColor="text1"/>
                <w:sz w:val="21"/>
                <w:szCs w:val="21"/>
              </w:rPr>
              <w:instrText xml:space="preserve"> (B2B) </w:instrText>
            </w:r>
            <w:r w:rsidRPr="002559FE">
              <w:rPr>
                <w:rFonts w:cs="Arial"/>
                <w:color w:val="000000" w:themeColor="text1"/>
                <w:sz w:val="21"/>
                <w:szCs w:val="21"/>
              </w:rPr>
              <w:instrText>茶行业网络的</w:instrText>
            </w:r>
            <w:r w:rsidRPr="002559FE">
              <w:rPr>
                <w:rFonts w:cs="Arial"/>
                <w:color w:val="000000" w:themeColor="text1"/>
                <w:sz w:val="21"/>
                <w:szCs w:val="21"/>
              </w:rPr>
              <w:instrText xml:space="preserve"> RFID </w:instrText>
            </w:r>
            <w:r w:rsidRPr="002559FE">
              <w:rPr>
                <w:rFonts w:cs="Arial"/>
                <w:color w:val="000000" w:themeColor="text1"/>
                <w:sz w:val="21"/>
                <w:szCs w:val="21"/>
              </w:rPr>
              <w:instrText>集成、支持</w:instrText>
            </w:r>
            <w:r w:rsidRPr="002559FE">
              <w:rPr>
                <w:rFonts w:cs="Arial"/>
                <w:color w:val="000000" w:themeColor="text1"/>
                <w:sz w:val="21"/>
                <w:szCs w:val="21"/>
              </w:rPr>
              <w:instrText xml:space="preserve"> BCT </w:instrText>
            </w:r>
            <w:r w:rsidRPr="002559FE">
              <w:rPr>
                <w:rFonts w:cs="Arial"/>
                <w:color w:val="000000" w:themeColor="text1"/>
                <w:sz w:val="21"/>
                <w:szCs w:val="21"/>
              </w:rPr>
              <w:instrText>的循环供应链实践模型。该研究让人们更深入地了解库存绩效、资源使用和行业流程。此外，研究结果还将帮助</w:instrText>
            </w:r>
            <w:r w:rsidRPr="002559FE">
              <w:rPr>
                <w:rFonts w:cs="Arial"/>
                <w:color w:val="000000" w:themeColor="text1"/>
                <w:sz w:val="21"/>
                <w:szCs w:val="21"/>
              </w:rPr>
              <w:instrText>B2B</w:instrText>
            </w:r>
            <w:r w:rsidRPr="002559FE">
              <w:rPr>
                <w:rFonts w:cs="Arial"/>
                <w:color w:val="000000" w:themeColor="text1"/>
                <w:sz w:val="21"/>
                <w:szCs w:val="21"/>
              </w:rPr>
              <w:instrText>茶行业企业更好地了解影响供应链绩效的因素。讨论了实施</w:instrText>
            </w:r>
            <w:r w:rsidRPr="002559FE">
              <w:rPr>
                <w:rFonts w:cs="Arial"/>
                <w:color w:val="000000" w:themeColor="text1"/>
                <w:sz w:val="21"/>
                <w:szCs w:val="21"/>
              </w:rPr>
              <w:instrText xml:space="preserve"> RFID </w:instrText>
            </w:r>
            <w:r w:rsidRPr="002559FE">
              <w:rPr>
                <w:rFonts w:cs="Arial"/>
                <w:color w:val="000000" w:themeColor="text1"/>
                <w:sz w:val="21"/>
                <w:szCs w:val="21"/>
              </w:rPr>
              <w:instrText>集成区块链驱动技术服务于循环经济议程的管理和社会影响。</w:instrText>
            </w:r>
            <w:r w:rsidRPr="002559FE">
              <w:rPr>
                <w:rFonts w:cs="Arial"/>
                <w:color w:val="000000" w:themeColor="text1"/>
                <w:sz w:val="21"/>
                <w:szCs w:val="21"/>
              </w:rPr>
              <w:instrText xml:space="preserve">","page":"238-257","source":"10.3","title":"RFID-integrated blockchain-driven circular supply chain management: A system architecture for B2B tea industry","title-short":"RFID-integrated blockchain-driven circular supply chain management","volume":"101","author":[{"family":"Paul","given":"Tripti"},{"family":"Islam","given":"Nazrul"},{"family":"Mondal","given":"Sandeep"},{"family":"Rakshit","given":"Sandip"}],"issued":{"date-parts":[["2022",2]]},"citation-key":"paulRFIDintegratedBlockchaindrivenCircular2022"}}],"schema":"https://github.com/citation-style-language/schema/raw/master/csl-citation.json"} </w:instrText>
            </w:r>
            <w:r w:rsidRPr="002559FE">
              <w:rPr>
                <w:rFonts w:cs="Arial"/>
                <w:color w:val="000000" w:themeColor="text1"/>
                <w:sz w:val="21"/>
                <w:szCs w:val="21"/>
              </w:rPr>
              <w:fldChar w:fldCharType="separate"/>
            </w:r>
            <w:r w:rsidRPr="002559FE">
              <w:rPr>
                <w:rFonts w:cs="Arial"/>
                <w:noProof/>
                <w:color w:val="000000" w:themeColor="text1"/>
                <w:sz w:val="21"/>
                <w:szCs w:val="21"/>
              </w:rPr>
              <w:t>(Guo &amp; Xu, 2021; Hu et al., 2023; Paul et al., 2022)</w:t>
            </w:r>
            <w:r w:rsidRPr="002559FE">
              <w:rPr>
                <w:rFonts w:cs="Arial"/>
                <w:color w:val="000000" w:themeColor="text1"/>
                <w:sz w:val="21"/>
                <w:szCs w:val="21"/>
              </w:rPr>
              <w:fldChar w:fldCharType="end"/>
            </w:r>
            <w:r w:rsidRPr="002559FE">
              <w:rPr>
                <w:rFonts w:cs="Arial"/>
                <w:color w:val="000000" w:themeColor="text1"/>
                <w:sz w:val="21"/>
                <w:szCs w:val="21"/>
              </w:rPr>
              <w:t>.</w:t>
            </w:r>
          </w:p>
          <w:p w14:paraId="0043118C" w14:textId="77777777" w:rsidR="00C9708D" w:rsidRPr="002559FE" w:rsidRDefault="00C9708D" w:rsidP="00C9708D">
            <w:pPr>
              <w:spacing w:line="360" w:lineRule="auto"/>
              <w:rPr>
                <w:rFonts w:cs="Arial"/>
                <w:b/>
                <w:bCs/>
                <w:color w:val="000000" w:themeColor="text1"/>
                <w:sz w:val="21"/>
                <w:szCs w:val="21"/>
              </w:rPr>
            </w:pPr>
            <w:bookmarkStart w:id="1" w:name="_Toc167949102"/>
            <w:r w:rsidRPr="001A156F">
              <w:rPr>
                <w:rFonts w:cs="Arial"/>
                <w:b/>
                <w:bCs/>
                <w:color w:val="000000" w:themeColor="text1"/>
                <w:sz w:val="21"/>
                <w:szCs w:val="21"/>
                <w:lang w:val="en-US"/>
              </w:rPr>
              <w:t xml:space="preserve">Influences </w:t>
            </w:r>
            <w:r w:rsidRPr="002559FE">
              <w:rPr>
                <w:rFonts w:cs="Arial"/>
                <w:b/>
                <w:bCs/>
                <w:color w:val="000000" w:themeColor="text1"/>
                <w:sz w:val="21"/>
                <w:szCs w:val="21"/>
              </w:rPr>
              <w:t>of</w:t>
            </w:r>
            <w:r w:rsidRPr="001A156F">
              <w:rPr>
                <w:rFonts w:cs="Arial"/>
                <w:b/>
                <w:bCs/>
                <w:color w:val="000000" w:themeColor="text1"/>
                <w:sz w:val="21"/>
                <w:szCs w:val="21"/>
                <w:lang w:val="en-US"/>
              </w:rPr>
              <w:t xml:space="preserve"> digital transformation</w:t>
            </w:r>
            <w:bookmarkEnd w:id="1"/>
          </w:p>
          <w:p w14:paraId="2804EAB2" w14:textId="77777777" w:rsidR="00C9708D" w:rsidRPr="002559FE" w:rsidRDefault="00C9708D" w:rsidP="00C9708D">
            <w:pPr>
              <w:spacing w:line="360" w:lineRule="auto"/>
              <w:rPr>
                <w:rFonts w:cs="Arial"/>
                <w:color w:val="000000" w:themeColor="text1"/>
                <w:sz w:val="21"/>
                <w:szCs w:val="21"/>
              </w:rPr>
            </w:pPr>
            <w:r w:rsidRPr="002559FE">
              <w:rPr>
                <w:rFonts w:cs="Arial"/>
                <w:color w:val="000000" w:themeColor="text1"/>
                <w:sz w:val="21"/>
                <w:szCs w:val="21"/>
                <w:lang w:val="en-US"/>
              </w:rPr>
              <w:t xml:space="preserve">Digital transformation is a comprehensive change process that involves technology and </w:t>
            </w:r>
            <w:proofErr w:type="spellStart"/>
            <w:r w:rsidRPr="002559FE">
              <w:rPr>
                <w:rFonts w:cs="Arial"/>
                <w:color w:val="000000" w:themeColor="text1"/>
                <w:sz w:val="21"/>
                <w:szCs w:val="21"/>
                <w:lang w:val="en-US"/>
              </w:rPr>
              <w:t>organisations</w:t>
            </w:r>
            <w:proofErr w:type="spellEnd"/>
            <w:r w:rsidRPr="002559FE">
              <w:rPr>
                <w:rFonts w:cs="Arial"/>
                <w:color w:val="000000" w:themeColor="text1"/>
                <w:sz w:val="21"/>
                <w:szCs w:val="21"/>
                <w:lang w:val="en-US"/>
              </w:rPr>
              <w:t xml:space="preserve"> working together in an internal and external environment</w:t>
            </w:r>
            <w:r w:rsidRPr="002559FE">
              <w:rPr>
                <w:rFonts w:cs="Arial"/>
                <w:color w:val="000000" w:themeColor="text1"/>
                <w:sz w:val="21"/>
                <w:szCs w:val="21"/>
                <w:lang w:val="en-US"/>
              </w:rPr>
              <w:fldChar w:fldCharType="begin"/>
            </w:r>
            <w:r w:rsidRPr="002559FE">
              <w:rPr>
                <w:rFonts w:cs="Arial"/>
                <w:color w:val="000000" w:themeColor="text1"/>
                <w:sz w:val="21"/>
                <w:szCs w:val="21"/>
              </w:rPr>
              <w:instrText xml:space="preserve"> ADDIN ZOTERO_ITEM CSL_CITATION {"citationID":"asBVreeT","properties":{"formattedCitation":"(Birkel &amp; Wehrle, 2024; Tornatzky et al., 1990; Vial, 2019)","plainCitation":"(Birkel &amp; Wehrle, 2024; Tornatzky et al., 1990; Vial, 2019)","noteIndex":0},"citationItems":[{"id":31377,"uris":["http://zotero.org/users/4106135/items/UYMDYRYN"],"itemData":{"id":31377,"type":"article-journal","abstract":"Current research lacks in-depth insights into the digital transformation management of supply chain (SC) processes in small- and medium-sized enterprises (SMEs) from an intraﬁrm level perspective. Therefore, the aim of this article is to investigate how SMEs strategically and organizationally manage the digital transformation of SC processes to ascertain the reasons for the low penetration of digitally transformed SC processes. To address the challenges arising from digital transformation, we conduct a multiple case study with 15 highly knowledgeable stakeholders from seven companies within the German manufacturing industry using semistructured interviews. Our ﬁndings are varied and indicate that explicitly formulated digital SC strategies are absent in SMEs, but companies use three different approaches to digitally transform their SC processes. Accordingly, the article reveals how these approaches are organizationally implemented and explains the barriers impeding further digital SC process transformation in SMEs, such as insufﬁcient attention by upper management, uncoordinated initiatives due to uncertainty, and inadequate operational capabilities. In addition, the article conﬁrms the link between the creation of transparency and organizational structure. Consequently, this article is one of the ﬁrst to enhance the knowledge of digital process transformation by examining the existing core transformation principles of SMEs, developing a bottom-up implementation model, holistically analyzing barriers, and necessary prerequisites to the digital transformation of SC processes, providing in-depth managerial implications, and laying the foundation for further research endeavors.","call-number":"3","container-title":"IEEE Transactions on Engineering Management","DOI":"10.1109/TEM.2022.3209131","ISSN":"0018-9391, 1558-0040","journalAbbreviation":"IEEE Trans. Eng. Manage.","language":"en","note":"titleTranslation: </w:instrText>
            </w:r>
            <w:r w:rsidRPr="002559FE">
              <w:rPr>
                <w:rFonts w:cs="Arial"/>
                <w:color w:val="000000" w:themeColor="text1"/>
                <w:sz w:val="21"/>
                <w:szCs w:val="21"/>
              </w:rPr>
              <w:instrText>中小型企业应对供应链流程的数字化转型：来自德国制造业多个案例研究的见解</w:instrText>
            </w:r>
            <w:r w:rsidRPr="002559FE">
              <w:rPr>
                <w:rFonts w:cs="Arial"/>
                <w:color w:val="000000" w:themeColor="text1"/>
                <w:sz w:val="21"/>
                <w:szCs w:val="21"/>
              </w:rPr>
              <w:instrText xml:space="preserve">\nabstractTranslation:  </w:instrText>
            </w:r>
            <w:r w:rsidRPr="002559FE">
              <w:rPr>
                <w:rFonts w:cs="Arial"/>
                <w:color w:val="000000" w:themeColor="text1"/>
                <w:sz w:val="21"/>
                <w:szCs w:val="21"/>
              </w:rPr>
              <w:instrText>目前的研究缺乏从企业内部角度对中小企业（</w:instrText>
            </w:r>
            <w:r w:rsidRPr="002559FE">
              <w:rPr>
                <w:rFonts w:cs="Arial"/>
                <w:color w:val="000000" w:themeColor="text1"/>
                <w:sz w:val="21"/>
                <w:szCs w:val="21"/>
              </w:rPr>
              <w:instrText>SME</w:instrText>
            </w:r>
            <w:r w:rsidRPr="002559FE">
              <w:rPr>
                <w:rFonts w:cs="Arial"/>
                <w:color w:val="000000" w:themeColor="text1"/>
                <w:sz w:val="21"/>
                <w:szCs w:val="21"/>
              </w:rPr>
              <w:instrText>）供应链（</w:instrText>
            </w:r>
            <w:r w:rsidRPr="002559FE">
              <w:rPr>
                <w:rFonts w:cs="Arial"/>
                <w:color w:val="000000" w:themeColor="text1"/>
                <w:sz w:val="21"/>
                <w:szCs w:val="21"/>
              </w:rPr>
              <w:instrText>SC</w:instrText>
            </w:r>
            <w:r w:rsidRPr="002559FE">
              <w:rPr>
                <w:rFonts w:cs="Arial"/>
                <w:color w:val="000000" w:themeColor="text1"/>
                <w:sz w:val="21"/>
                <w:szCs w:val="21"/>
              </w:rPr>
              <w:instrText>）流程的数字化转型管理的深入见解。因此，本文的目的是研究中小企业如何从战略和组织上管理供应链流程的数字化转型，以确定数字化转型供应链流程渗透率低的原因。为了应对数字化转型带来的挑战，我们采用半结构化访谈的方式对来自德国制造业</w:instrText>
            </w:r>
            <w:r w:rsidRPr="002559FE">
              <w:rPr>
                <w:rFonts w:cs="Arial"/>
                <w:color w:val="000000" w:themeColor="text1"/>
                <w:sz w:val="21"/>
                <w:szCs w:val="21"/>
              </w:rPr>
              <w:instrText xml:space="preserve"> 7 </w:instrText>
            </w:r>
            <w:r w:rsidRPr="002559FE">
              <w:rPr>
                <w:rFonts w:cs="Arial"/>
                <w:color w:val="000000" w:themeColor="text1"/>
                <w:sz w:val="21"/>
                <w:szCs w:val="21"/>
              </w:rPr>
              <w:instrText>家公司的</w:instrText>
            </w:r>
            <w:r w:rsidRPr="002559FE">
              <w:rPr>
                <w:rFonts w:cs="Arial"/>
                <w:color w:val="000000" w:themeColor="text1"/>
                <w:sz w:val="21"/>
                <w:szCs w:val="21"/>
              </w:rPr>
              <w:instrText xml:space="preserve"> 15 </w:instrText>
            </w:r>
            <w:r w:rsidRPr="002559FE">
              <w:rPr>
                <w:rFonts w:cs="Arial"/>
                <w:color w:val="000000" w:themeColor="text1"/>
                <w:sz w:val="21"/>
                <w:szCs w:val="21"/>
              </w:rPr>
              <w:instrText>名知识渊博的利益相关者进行了多案例研究。我们的研究结果各不相同，表明中小企业缺乏明确制定的数字供应链战略，但公司使用三种不同的方法对其供应链流程进行数字化转型。因此，本文揭示了这些方法是如何在组织上实施的，并解释了阻碍中小企业进一步数字化供应链流程转型的障碍，例如高层管理人员的重视不够、由于不确定性而导致的举措不协调以及运营能力不足。此外，文章还证实了透明度的创建与组织结构之间的联系。因此，本文是第一篇通过研究中小企业现有的核心转型原则、开发自下而上的实施模型、全面分析供应链流程数字化转型的障碍和必要先决条件来增强数字化流程转型知识的文章之一，提供深入的管理启示，并为进一步的研究工作奠定基础。</w:instrText>
            </w:r>
            <w:r w:rsidRPr="002559FE">
              <w:rPr>
                <w:rFonts w:cs="Arial"/>
                <w:color w:val="000000" w:themeColor="text1"/>
                <w:sz w:val="21"/>
                <w:szCs w:val="21"/>
              </w:rPr>
              <w:instrText xml:space="preserve">\nTLDR: This article is one of the first to enhance the knowledge of digital process transformation by examining the existing core transformation principles of SMEs, developing a bottom-up implementation model, holistically analyzing barriers, and necessary prerequisites to the digital transformation of SC processes, providing in-depth managerial implications, and laying the foundation for further research endeavors.","page":"1-16","source":"5.8","title":"Small- and Medium-Sized Companies Tackling the Digital Transformation of Supply Chain Processes: Insights From a Multiple Case Study in the German Manufacturing Industry","title-short":"Small- and Medium-Sized Companies Tackling the Digital Transformation of Supply Chain Processes","author":[{"family":"Birkel","given":"Hendrik"},{"family":"Wehrle","given":"Manuel"}],"issued":{"date-parts":[["2024"]]},"citation-key":"birkelSmallMediumSizedCompanies2024"}},{"id":28115,"uris":["http://zotero.org/users/4106135/items/S9BQUZBQ"],"itemData":{"id":28115,"type":"book","call-number":"T173.8 .T67 1990","collection-title":"Issues in organization and management series","event-place":"Lexington, Mass","ISBN":"978-0-669-20348-6","language":"en-US","note":"titleTranslation: </w:instrText>
            </w:r>
            <w:r w:rsidRPr="002559FE">
              <w:rPr>
                <w:rFonts w:cs="Arial"/>
                <w:color w:val="000000" w:themeColor="text1"/>
                <w:sz w:val="21"/>
                <w:szCs w:val="21"/>
              </w:rPr>
              <w:instrText>技术创新的过程</w:instrText>
            </w:r>
            <w:r w:rsidRPr="002559FE">
              <w:rPr>
                <w:rFonts w:cs="Arial"/>
                <w:color w:val="000000" w:themeColor="text1"/>
                <w:sz w:val="21"/>
                <w:szCs w:val="21"/>
              </w:rPr>
              <w:instrText>","number-of-pages":"298","publisher":"Lexington Books","publisher-place":"Lexington, Mass","source":"Library of Congress ISBN","title":"The processes of technological innovation","author":[{"family":"Tornatzky","given":"Louis G."},{"family":"Fleischer","given":"Mitchell"},{"family":"Chakrabarti","given":"Alok K."}],"issued":{"date-parts":[["1990"]]},"citation-key":"tornatzkyProcessesTechnologicalInnovation1990"}},{"id":18975,"uris":["http://zotero.org/users/4106135/items/QGG8J5U5"],"itemData":{"id":18975,"type":"article-journal","abstract":"Extant literature has increased our understanding of speciﬁc aspects of digital transformation, however we lack a comprehensive portrait of its nature and implications. Through a review of 282 works, we inductively build a framework of digital transformation articulated across eight building blocks. Our framework foregrounds digital transformation as a process where digital technologies create disruptions triggering strategic responses from organizations that seek to alter their value creation paths while managing the structural changes and organizational barriers that a</w:instrText>
            </w:r>
            <w:r w:rsidRPr="002559FE">
              <w:rPr>
                <w:rFonts w:ascii="Cambria Math" w:hAnsi="Cambria Math" w:cs="Cambria Math"/>
                <w:color w:val="000000" w:themeColor="text1"/>
                <w:sz w:val="21"/>
                <w:szCs w:val="21"/>
              </w:rPr>
              <w:instrText>ﬀ</w:instrText>
            </w:r>
            <w:r w:rsidRPr="002559FE">
              <w:rPr>
                <w:rFonts w:cs="Arial"/>
                <w:color w:val="000000" w:themeColor="text1"/>
                <w:sz w:val="21"/>
                <w:szCs w:val="21"/>
              </w:rPr>
              <w:instrText xml:space="preserve">ect the positive and negative outcomes of this process. Building on this framework, we elaborate a research agenda that proposes [1] examining the role of dynamic capabilities, and [2] accounting for ethical issues as important avenues for future strategic IS research on digital transformation.","archive":"DT","call-number":"1","container-title":"The Journal of Strategic Information Systems","DOI":"10.1016/j.jsis.2019.01.003","ISSN":"09638687","issue":"2","journalAbbreviation":"The Journal of Strategic Information Systems","language":"en","note":"titleTranslation: </w:instrText>
            </w:r>
            <w:r w:rsidRPr="002559FE">
              <w:rPr>
                <w:rFonts w:cs="Arial"/>
                <w:color w:val="000000" w:themeColor="text1"/>
                <w:sz w:val="21"/>
                <w:szCs w:val="21"/>
              </w:rPr>
              <w:instrText>了解数字化转型：回顾和研究议程</w:instrText>
            </w:r>
            <w:r w:rsidRPr="002559FE">
              <w:rPr>
                <w:rFonts w:cs="Arial"/>
                <w:color w:val="000000" w:themeColor="text1"/>
                <w:sz w:val="21"/>
                <w:szCs w:val="21"/>
              </w:rPr>
              <w:instrText xml:space="preserve">\nabstractTranslation:  </w:instrText>
            </w:r>
            <w:r w:rsidRPr="002559FE">
              <w:rPr>
                <w:rFonts w:cs="Arial"/>
                <w:color w:val="000000" w:themeColor="text1"/>
                <w:sz w:val="21"/>
                <w:szCs w:val="21"/>
              </w:rPr>
              <w:instrText>现有文献增加了我们对数字化转型特定方面的理解，但我们缺乏对其本质和影响的全面描述。通过对</w:instrText>
            </w:r>
            <w:r w:rsidRPr="002559FE">
              <w:rPr>
                <w:rFonts w:cs="Arial"/>
                <w:color w:val="000000" w:themeColor="text1"/>
                <w:sz w:val="21"/>
                <w:szCs w:val="21"/>
              </w:rPr>
              <w:instrText xml:space="preserve"> 282 </w:instrText>
            </w:r>
            <w:r w:rsidRPr="002559FE">
              <w:rPr>
                <w:rFonts w:cs="Arial"/>
                <w:color w:val="000000" w:themeColor="text1"/>
                <w:sz w:val="21"/>
                <w:szCs w:val="21"/>
              </w:rPr>
              <w:instrText>项作品的回顾，我们归纳构建了一个跨八个构建模块的数字化转型框架。我们的框架将数字化转型视为一个过程，在这个过程中，数字技术造成颠覆，引发组织的战略响应，这些组织寻求改变其价值创造路径，同时管理影响该过程的积极和消极结果的结构变化和组织障碍。在此框架的基础上，我们制定了一个研究议程，建议</w:instrText>
            </w:r>
            <w:r w:rsidRPr="002559FE">
              <w:rPr>
                <w:rFonts w:cs="Arial"/>
                <w:color w:val="000000" w:themeColor="text1"/>
                <w:sz w:val="21"/>
                <w:szCs w:val="21"/>
              </w:rPr>
              <w:instrText>[1]</w:instrText>
            </w:r>
            <w:r w:rsidRPr="002559FE">
              <w:rPr>
                <w:rFonts w:cs="Arial"/>
                <w:color w:val="000000" w:themeColor="text1"/>
                <w:sz w:val="21"/>
                <w:szCs w:val="21"/>
              </w:rPr>
              <w:instrText>检查动态能力的作用，</w:instrText>
            </w:r>
            <w:r w:rsidRPr="002559FE">
              <w:rPr>
                <w:rFonts w:cs="Arial"/>
                <w:color w:val="000000" w:themeColor="text1"/>
                <w:sz w:val="21"/>
                <w:szCs w:val="21"/>
              </w:rPr>
              <w:instrText>[2]</w:instrText>
            </w:r>
            <w:r w:rsidRPr="002559FE">
              <w:rPr>
                <w:rFonts w:cs="Arial"/>
                <w:color w:val="000000" w:themeColor="text1"/>
                <w:sz w:val="21"/>
                <w:szCs w:val="21"/>
              </w:rPr>
              <w:instrText>将伦理问题视为未来数字化转型战略信息系统研究的重要途径。</w:instrText>
            </w:r>
            <w:r w:rsidRPr="002559FE">
              <w:rPr>
                <w:rFonts w:cs="Arial"/>
                <w:color w:val="000000" w:themeColor="text1"/>
                <w:sz w:val="21"/>
                <w:szCs w:val="21"/>
              </w:rPr>
              <w:instrText xml:space="preserve">","page":"118-144","source":"7","title":"Understanding digital transformation: A review and a research agenda","title-short":"Understanding digital transformation","volume":"28","author":[{"family":"Vial","given":"Gregory"}],"issued":{"date-parts":[["2019",6]]},"citation-key":"vialUnderstandingDigitalTransformation2019"}}],"schema":"https://github.com/citation-style-language/schema/raw/master/csl-citation.json"} </w:instrText>
            </w:r>
            <w:r w:rsidRPr="002559FE">
              <w:rPr>
                <w:rFonts w:cs="Arial"/>
                <w:color w:val="000000" w:themeColor="text1"/>
                <w:sz w:val="21"/>
                <w:szCs w:val="21"/>
                <w:lang w:val="en-US"/>
              </w:rPr>
              <w:fldChar w:fldCharType="separate"/>
            </w:r>
            <w:r w:rsidRPr="002559FE">
              <w:rPr>
                <w:rFonts w:cs="Arial"/>
                <w:color w:val="000000" w:themeColor="text1"/>
                <w:sz w:val="21"/>
                <w:szCs w:val="21"/>
              </w:rPr>
              <w:t>(Birkel &amp; Wehrle, 2024; Tornatzky et al., 1990; Vial, 2019)</w:t>
            </w:r>
            <w:r w:rsidRPr="002559FE">
              <w:rPr>
                <w:rFonts w:cs="Arial"/>
                <w:color w:val="000000" w:themeColor="text1"/>
                <w:sz w:val="21"/>
                <w:szCs w:val="21"/>
              </w:rPr>
              <w:fldChar w:fldCharType="end"/>
            </w:r>
            <w:r w:rsidRPr="002559FE">
              <w:rPr>
                <w:rFonts w:cs="Arial"/>
                <w:color w:val="000000" w:themeColor="text1"/>
                <w:sz w:val="21"/>
                <w:szCs w:val="21"/>
              </w:rPr>
              <w:t>.</w:t>
            </w:r>
            <w:r w:rsidRPr="002559FE">
              <w:rPr>
                <w:rFonts w:cs="Arial"/>
                <w:sz w:val="21"/>
                <w:szCs w:val="21"/>
              </w:rPr>
              <w:t xml:space="preserve"> </w:t>
            </w:r>
            <w:r w:rsidRPr="002559FE">
              <w:rPr>
                <w:rFonts w:cs="Arial"/>
                <w:color w:val="000000" w:themeColor="text1"/>
                <w:sz w:val="21"/>
                <w:szCs w:val="21"/>
              </w:rPr>
              <w:t>Technology applications include IoT, big data analytics, artificial intelligence, etc</w:t>
            </w:r>
            <w:r w:rsidRPr="002559FE">
              <w:rPr>
                <w:rFonts w:cs="Arial"/>
                <w:color w:val="000000" w:themeColor="text1"/>
                <w:sz w:val="21"/>
                <w:szCs w:val="21"/>
              </w:rPr>
              <w:fldChar w:fldCharType="begin"/>
            </w:r>
            <w:r w:rsidRPr="002559FE">
              <w:rPr>
                <w:rFonts w:cs="Arial"/>
                <w:color w:val="000000" w:themeColor="text1"/>
                <w:sz w:val="21"/>
                <w:szCs w:val="21"/>
              </w:rPr>
              <w:instrText xml:space="preserve"> ADDIN ZOTERO_ITEM CSL_CITATION {"citationID":"UCzaPl0V","properties":{"formattedCitation":"(Birkel &amp; Wehrle, 2024; Jia et al., 2024; Peillon &amp; Dubruc, 2019; Perno et al., 2022)","plainCitation":"(Birkel &amp; Wehrle, 2024; Jia et al., 2024; Peillon &amp; Dubruc, 2019; Perno et al., 2022)","noteIndex":0},"citationItems":[{"id":31377,"uris":["http://zotero.org/users/4106135/items/UYMDYRYN"],"itemData":{"id":31377,"type":"article-journal","abstract":"Current research lacks in-depth insights into the digital transformation management of supply chain (SC) processes in small- and medium-sized enterprises (SMEs) from an intraﬁrm level perspective. Therefore, the aim of this article is to investigate how SMEs strategically and organizationally manage the digital transformation of SC processes to ascertain the reasons for the low penetration of digitally transformed SC processes. To address the challenges arising from digital transformation, we conduct a multiple case study with 15 highly knowledgeable stakeholders from seven companies within the German manufacturing industry using semistructured interviews. Our ﬁndings are varied and indicate that explicitly formulated digital SC strategies are absent in SMEs, but companies use three different approaches to digitally transform their SC processes. Accordingly, the article reveals how these approaches are organizationally implemented and explains the barriers impeding further digital SC process transformation in SMEs, such as insufﬁcient attention by upper management, uncoordinated initiatives due to uncertainty, and inadequate operational capabilities. In addition, the article conﬁrms the link between the creation of transparency and organizational structure. Consequently, this article is one of the ﬁrst to enhance the knowledge of digital process transformation by examining the existing core transformation principles of SMEs, developing a bottom-up implementation model, holistically analyzing barriers, and necessary prerequisites to the digital transformation of SC processes, providing in-depth managerial implications, and laying the foundation for further research endeavors.","call-number":"3","container-title":"IEEE Transactions on Engineering Management","DOI":"10.1109/TEM.2022.3209131","ISSN":"0018-9391, 1558-0040","journalAbbreviation":"IEEE Trans. Eng. Manage.","language":"en","note":"titleTranslation: </w:instrText>
            </w:r>
            <w:r w:rsidRPr="002559FE">
              <w:rPr>
                <w:rFonts w:cs="Arial"/>
                <w:color w:val="000000" w:themeColor="text1"/>
                <w:sz w:val="21"/>
                <w:szCs w:val="21"/>
              </w:rPr>
              <w:instrText>中小型企业应对供应链流程的数字化转型：来自德国制造业多个案例研究的见解</w:instrText>
            </w:r>
            <w:r w:rsidRPr="002559FE">
              <w:rPr>
                <w:rFonts w:cs="Arial"/>
                <w:color w:val="000000" w:themeColor="text1"/>
                <w:sz w:val="21"/>
                <w:szCs w:val="21"/>
              </w:rPr>
              <w:instrText xml:space="preserve">\nabstractTranslation:  </w:instrText>
            </w:r>
            <w:r w:rsidRPr="002559FE">
              <w:rPr>
                <w:rFonts w:cs="Arial"/>
                <w:color w:val="000000" w:themeColor="text1"/>
                <w:sz w:val="21"/>
                <w:szCs w:val="21"/>
              </w:rPr>
              <w:instrText>目前的研究缺乏从企业内部角度对中小企业（</w:instrText>
            </w:r>
            <w:r w:rsidRPr="002559FE">
              <w:rPr>
                <w:rFonts w:cs="Arial"/>
                <w:color w:val="000000" w:themeColor="text1"/>
                <w:sz w:val="21"/>
                <w:szCs w:val="21"/>
              </w:rPr>
              <w:instrText>SME</w:instrText>
            </w:r>
            <w:r w:rsidRPr="002559FE">
              <w:rPr>
                <w:rFonts w:cs="Arial"/>
                <w:color w:val="000000" w:themeColor="text1"/>
                <w:sz w:val="21"/>
                <w:szCs w:val="21"/>
              </w:rPr>
              <w:instrText>）供应链（</w:instrText>
            </w:r>
            <w:r w:rsidRPr="002559FE">
              <w:rPr>
                <w:rFonts w:cs="Arial"/>
                <w:color w:val="000000" w:themeColor="text1"/>
                <w:sz w:val="21"/>
                <w:szCs w:val="21"/>
              </w:rPr>
              <w:instrText>SC</w:instrText>
            </w:r>
            <w:r w:rsidRPr="002559FE">
              <w:rPr>
                <w:rFonts w:cs="Arial"/>
                <w:color w:val="000000" w:themeColor="text1"/>
                <w:sz w:val="21"/>
                <w:szCs w:val="21"/>
              </w:rPr>
              <w:instrText>）流程的数字化转型管理的深入见解。因此，本文的目的是研究中小企业如何从战略和组织上管理供应链流程的数字化转型，以确定数字化转型供应链流程渗透率低的原因。为了应对数字化转型带来的挑战，我们采用半结构化访谈的方式对来自德国制造业</w:instrText>
            </w:r>
            <w:r w:rsidRPr="002559FE">
              <w:rPr>
                <w:rFonts w:cs="Arial"/>
                <w:color w:val="000000" w:themeColor="text1"/>
                <w:sz w:val="21"/>
                <w:szCs w:val="21"/>
              </w:rPr>
              <w:instrText xml:space="preserve"> 7 </w:instrText>
            </w:r>
            <w:r w:rsidRPr="002559FE">
              <w:rPr>
                <w:rFonts w:cs="Arial"/>
                <w:color w:val="000000" w:themeColor="text1"/>
                <w:sz w:val="21"/>
                <w:szCs w:val="21"/>
              </w:rPr>
              <w:instrText>家公司的</w:instrText>
            </w:r>
            <w:r w:rsidRPr="002559FE">
              <w:rPr>
                <w:rFonts w:cs="Arial"/>
                <w:color w:val="000000" w:themeColor="text1"/>
                <w:sz w:val="21"/>
                <w:szCs w:val="21"/>
              </w:rPr>
              <w:instrText xml:space="preserve"> 15 </w:instrText>
            </w:r>
            <w:r w:rsidRPr="002559FE">
              <w:rPr>
                <w:rFonts w:cs="Arial"/>
                <w:color w:val="000000" w:themeColor="text1"/>
                <w:sz w:val="21"/>
                <w:szCs w:val="21"/>
              </w:rPr>
              <w:instrText>名知识渊博的利益相关者进行了多案例研究。我们的研究结果各不相同，表明中小企业缺乏明确制定的数字供应链战略，但公司使用三种不同的方法对其供应链流程进行数字化转型。因此，本文揭示了这些方法是如何在组织上实施的，并解释了阻碍中小企业进一步数字化供应链流程转型的障碍，例如高层管理人员的重视不够、由于不确定性而导致的举措不协调以及运营能力不足。此外，文章还证实了透明度的创建与组织结构之间的联系。因此，本文是第一篇通过研究中小企业现有的核心转型原则、开发自下而上的实施模型、全面分析供应链流程数字化转型的障碍和必要先决条件来增强数字化流程转型知识的文章之一，提供深入的管理启示，并为进一步的研究工作奠定基础。</w:instrText>
            </w:r>
            <w:r w:rsidRPr="002559FE">
              <w:rPr>
                <w:rFonts w:cs="Arial"/>
                <w:color w:val="000000" w:themeColor="text1"/>
                <w:sz w:val="21"/>
                <w:szCs w:val="21"/>
              </w:rPr>
              <w:instrText xml:space="preserve">\nTLDR: This article is one of the first to enhance the knowledge of digital process transformation by examining the existing core transformation principles of SMEs, developing a bottom-up implementation model, holistically analyzing barriers, and necessary prerequisites to the digital transformation of SC processes, providing in-depth managerial implications, and laying the foundation for further research endeavors.","page":"1-16","source":"5.8","title":"Small- and Medium-Sized Companies Tackling the Digital Transformation of Supply Chain Processes: Insights From a Multiple Case Study in the German Manufacturing Industry","title-short":"Small- and Medium-Sized Companies Tackling the Digital Transformation of Supply Chain Processes","author":[{"family":"Birkel","given":"Hendrik"},{"family":"Wehrle","given":"Manuel"}],"issued":{"date-parts":[["2024"]]},"citation-key":"birkelSmallMediumSizedCompanies2024"}},{"id":28458,"uris":["http://zotero.org/users/4106135/items/QVFG2IFQ"],"itemData":{"id":28458,"type":"article-journal","abstract":"The digital transformation of Chinese SMEs faces the reality of slow start-up and difficult deepening. Considering the multi-stage characteristics of SMEs’ digital transformation, this article is drawn on the theory of strategic momentum and the TOE framework is improved to examine the process of Chinese SMEs’ digital transformation from the dimensions of response speed and implementation depth. Data from 221SMEs is analyzed through the fsQCA to explore the complex interactions between digital technology, organization, environment and the initial and deepening stages of Chinese SMEs’ digital transformation. Three key findings are revealed. Firstly, to effectively promote the initiation speed and implementation depth of SMEs’ digital transformation, a collabo­ rative effort is required by entrepreneurs, digital service companies, customers, and government. Secondly, external factors have a significant promoting effect on both the initial and deepening stage of SMEs’ digital transformation. Of particular note is the usability of digital technology, which is indicated to be a crucial factor for both the initial and integration stage. This indicates that SMEs exhibit a heightened sensitivity to the complexity and future uncertainty of digital technologies. Thirdly, by promoting the digitalization of industrial clusters, the deepening stage can be facilitated effectively by governments.","container-title":"Technological Forecasting and Social Change","DOI":"10.1016/j.techfore.2023.123038","ISSN":"00401625","journalAbbreviation":"Technological Forecasting and Social Change","language":"en","note":"titleTranslation: </w:instrText>
            </w:r>
            <w:r w:rsidRPr="002559FE">
              <w:rPr>
                <w:rFonts w:cs="Arial"/>
                <w:color w:val="000000" w:themeColor="text1"/>
                <w:sz w:val="21"/>
                <w:szCs w:val="21"/>
              </w:rPr>
              <w:instrText>中小企业数字化转型战略动力研究：来自中国的证据</w:instrText>
            </w:r>
            <w:r w:rsidRPr="002559FE">
              <w:rPr>
                <w:rFonts w:cs="Arial"/>
                <w:color w:val="000000" w:themeColor="text1"/>
                <w:sz w:val="21"/>
                <w:szCs w:val="21"/>
              </w:rPr>
              <w:instrText xml:space="preserve">\nabstractTranslation:  </w:instrText>
            </w:r>
            <w:r w:rsidRPr="002559FE">
              <w:rPr>
                <w:rFonts w:cs="Arial"/>
                <w:color w:val="000000" w:themeColor="text1"/>
                <w:sz w:val="21"/>
                <w:szCs w:val="21"/>
              </w:rPr>
              <w:instrText>中国中小企业数字化转型面临起步慢、深化难的现实。鉴于中小企业数字化转型的多阶段特征，本文借鉴战略动量理论，改进</w:instrText>
            </w:r>
            <w:r w:rsidRPr="002559FE">
              <w:rPr>
                <w:rFonts w:cs="Arial"/>
                <w:color w:val="000000" w:themeColor="text1"/>
                <w:sz w:val="21"/>
                <w:szCs w:val="21"/>
              </w:rPr>
              <w:instrText>TOE</w:instrText>
            </w:r>
            <w:r w:rsidRPr="002559FE">
              <w:rPr>
                <w:rFonts w:cs="Arial"/>
                <w:color w:val="000000" w:themeColor="text1"/>
                <w:sz w:val="21"/>
                <w:szCs w:val="21"/>
              </w:rPr>
              <w:instrText>框架，从响应速度和实施深度两个维度审视中国中小企业数字化转型的进程。通过</w:instrText>
            </w:r>
            <w:r w:rsidRPr="002559FE">
              <w:rPr>
                <w:rFonts w:cs="Arial"/>
                <w:color w:val="000000" w:themeColor="text1"/>
                <w:sz w:val="21"/>
                <w:szCs w:val="21"/>
              </w:rPr>
              <w:instrText>fsQCA</w:instrText>
            </w:r>
            <w:r w:rsidRPr="002559FE">
              <w:rPr>
                <w:rFonts w:cs="Arial"/>
                <w:color w:val="000000" w:themeColor="text1"/>
                <w:sz w:val="21"/>
                <w:szCs w:val="21"/>
              </w:rPr>
              <w:instrText>分析</w:instrText>
            </w:r>
            <w:r w:rsidRPr="002559FE">
              <w:rPr>
                <w:rFonts w:cs="Arial"/>
                <w:color w:val="000000" w:themeColor="text1"/>
                <w:sz w:val="21"/>
                <w:szCs w:val="21"/>
              </w:rPr>
              <w:instrText>221</w:instrText>
            </w:r>
            <w:r w:rsidRPr="002559FE">
              <w:rPr>
                <w:rFonts w:cs="Arial"/>
                <w:color w:val="000000" w:themeColor="text1"/>
                <w:sz w:val="21"/>
                <w:szCs w:val="21"/>
              </w:rPr>
              <w:instrText>家中小企业的数据，探讨数字技术、组织、环境与中国中小企业数字化转型的初始和深化阶段之间的复杂相互作用。揭示了三个关键发现。首先，有效推动中小企业数字化转型的启动速度和实施深度，需要企业家、数字服务企业、客户、政府的共同努力。其次，外部因素对中小企业数字化转型的初始阶段和深化阶段都有显着的促进作用。特别值得注意的是数字技术的可用性，这被认为是初始阶段和集成阶段的关键因素。这表明中小企业对数字技术的复杂性和未来的不确定性表现出高度的敏感性。第三，通过推动产业集群数字化，政府可以有效推动产业集群的深化阶段。</w:instrText>
            </w:r>
            <w:r w:rsidRPr="002559FE">
              <w:rPr>
                <w:rFonts w:cs="Arial"/>
                <w:color w:val="000000" w:themeColor="text1"/>
                <w:sz w:val="21"/>
                <w:szCs w:val="21"/>
              </w:rPr>
              <w:instrText xml:space="preserve">","page":"123038","source":"12","title":"A study on the strategic momentum of SMEs’ digital transformation: Evidence from China","title-short":"A study on the strategic momentum of SMEs’ digital transformation","volume":"200","author":[{"family":"Jia","given":"Junbo"},{"family":"Xu","given":"Yusen"},{"family":"Li","given":"Wenli"}],"issued":{"date-parts":[["2024",3]]},"citation-key":"jiaStudyStrategicMomentum2024"}},{"id":31383,"uris":["http://zotero.org/users/4106135/items/BPPBIHBA"],"itemData":{"id":31383,"type":"article-journal","abstract":"The importance of digitalization is widely recognized, but digital transformation is not commonplace, and companies often struggle to face the challenges it entails. Digitalization and digital transformation are even more challenging for manufacturing SMEs. In this paper, we aim at investigating the barriers to digital servitization faced by manufacturing SMEs. We build on a literature review on barriers and obstacles to digital servitization, and present a set of case studies that enable us to identify the main barriers these French manufacturing SMEs face in their move toward digital servitization. Our findings show that digital servitization is at a very early stage in these SMEs, and that the main barriers they face are both organizational and customerrelated.","container-title":"Procedia CIRP","DOI":"10.1016/j.procir.2019.04.008","ISSN":"22128271","journalAbbreviation":"Procedia CIRP","language":"en","note":"titleTranslation: </w:instrText>
            </w:r>
            <w:r w:rsidRPr="002559FE">
              <w:rPr>
                <w:rFonts w:cs="Arial"/>
                <w:color w:val="000000" w:themeColor="text1"/>
                <w:sz w:val="21"/>
                <w:szCs w:val="21"/>
              </w:rPr>
              <w:instrText>法国制造业中小企业数字服务化的障碍</w:instrText>
            </w:r>
            <w:r w:rsidRPr="002559FE">
              <w:rPr>
                <w:rFonts w:cs="Arial"/>
                <w:color w:val="000000" w:themeColor="text1"/>
                <w:sz w:val="21"/>
                <w:szCs w:val="21"/>
              </w:rPr>
              <w:instrText xml:space="preserve">\nabstractTranslation:  </w:instrText>
            </w:r>
            <w:r w:rsidRPr="002559FE">
              <w:rPr>
                <w:rFonts w:cs="Arial"/>
                <w:color w:val="000000" w:themeColor="text1"/>
                <w:sz w:val="21"/>
                <w:szCs w:val="21"/>
              </w:rPr>
              <w:instrText>数字化的重要性已得到广泛认可，但数字化转型并不普遍，企业往往难以应对其带来的挑战。数字化和数字化转型对于制造业中小企业来说更具挑战性。在本文中，我们旨在调查制造业中小企业面临的数字服务化障碍。我们在对数字服务化障碍和阻碍的文献综述的基础上，提出了一系列案例研究，使我们能够确定这些法国制造业中小企业在迈向数字服务化过程中面临的主要障碍。我们的研究结果表明，这些中小企业的数字服务化还处于非常早期的阶段，他们面临的主要障碍与组织和客户相关。</w:instrText>
            </w:r>
            <w:r w:rsidRPr="002559FE">
              <w:rPr>
                <w:rFonts w:cs="Arial"/>
                <w:color w:val="000000" w:themeColor="text1"/>
                <w:sz w:val="21"/>
                <w:szCs w:val="21"/>
              </w:rPr>
              <w:instrText xml:space="preserve">\nTLDR: The findings show that digital servitization is at a very early stage in these SMEs, and that the main barriers they face are both organizational and customer-related.","page":"146-150","source":"DOI.org (Crossref)","title":"Barriers to digital servitization in French manufacturing SMEs","volume":"83","author":[{"family":"Peillon","given":"Sophie"},{"family":"Dubruc","given":"Nadine"}],"issued":{"date-parts":[["2019"]]},"citation-key":"peillonBarriersDigitalServitization2019"}},{"id":18964,"uris":["http://zotero.org/users/4106135/items/2LCEMCY7"],"itemData":{"id":18964,"type":"article-journal","abstract":"Since the introduction of the concept of “digital twins” (DTs) in 2002, the number of practical applications in different industrial sectors has grown rapidly. Despite the hype surrounding this technology, companies face significant challenges upon deciding to implement DTs in their organizations due to the novelty of the concept. Furthermore, little research on DT has been conducted for the process industry, which may be explained by the high complexity of accurately representing and modeling the physics behind production processes. To consolidate the fragmented literature on the enabling factors and challenges in DT im­ plementation in the process industry, this study organizes the existing studies on DTs with a focus on barriers and enablers. On this basis, this study contributes to the existing body of knowledge on DTs by organizing the DT literature and by proposing conceptual models describing enablers of and barriers to DT implementation, as well as their mutual relationships.","call-number":"2","container-title":"Computers in Industry","DOI":"10.1016/j.compind.2021.103558","ISSN":"01663615","journalAbbreviation":"Computers in Industry","language":"en","note":"titleTranslation: </w:instrText>
            </w:r>
            <w:r w:rsidRPr="002559FE">
              <w:rPr>
                <w:rFonts w:cs="Arial"/>
                <w:color w:val="000000" w:themeColor="text1"/>
                <w:sz w:val="21"/>
                <w:szCs w:val="21"/>
              </w:rPr>
              <w:instrText>数字孪生在流程工业中的实施：对推动因素和障碍的系统文献综述</w:instrText>
            </w:r>
            <w:r w:rsidRPr="002559FE">
              <w:rPr>
                <w:rFonts w:cs="Arial"/>
                <w:color w:val="000000" w:themeColor="text1"/>
                <w:sz w:val="21"/>
                <w:szCs w:val="21"/>
              </w:rPr>
              <w:instrText xml:space="preserve">\nabstractTranslation:  </w:instrText>
            </w:r>
            <w:r w:rsidRPr="002559FE">
              <w:rPr>
                <w:rFonts w:cs="Arial"/>
                <w:color w:val="000000" w:themeColor="text1"/>
                <w:sz w:val="21"/>
                <w:szCs w:val="21"/>
              </w:rPr>
              <w:instrText>自</w:instrText>
            </w:r>
            <w:r w:rsidRPr="002559FE">
              <w:rPr>
                <w:rFonts w:cs="Arial"/>
                <w:color w:val="000000" w:themeColor="text1"/>
                <w:sz w:val="21"/>
                <w:szCs w:val="21"/>
              </w:rPr>
              <w:instrText>2002</w:instrText>
            </w:r>
            <w:r w:rsidRPr="002559FE">
              <w:rPr>
                <w:rFonts w:cs="Arial"/>
                <w:color w:val="000000" w:themeColor="text1"/>
                <w:sz w:val="21"/>
                <w:szCs w:val="21"/>
              </w:rPr>
              <w:instrText>年提出</w:instrText>
            </w:r>
            <w:r w:rsidRPr="002559FE">
              <w:rPr>
                <w:rFonts w:cs="Arial"/>
                <w:color w:val="000000" w:themeColor="text1"/>
                <w:sz w:val="21"/>
                <w:szCs w:val="21"/>
              </w:rPr>
              <w:instrText>“</w:instrText>
            </w:r>
            <w:r w:rsidRPr="002559FE">
              <w:rPr>
                <w:rFonts w:cs="Arial"/>
                <w:color w:val="000000" w:themeColor="text1"/>
                <w:sz w:val="21"/>
                <w:szCs w:val="21"/>
              </w:rPr>
              <w:instrText>数字孪生</w:instrText>
            </w:r>
            <w:r w:rsidRPr="002559FE">
              <w:rPr>
                <w:rFonts w:cs="Arial"/>
                <w:color w:val="000000" w:themeColor="text1"/>
                <w:sz w:val="21"/>
                <w:szCs w:val="21"/>
              </w:rPr>
              <w:instrText>”</w:instrText>
            </w:r>
            <w:r w:rsidRPr="002559FE">
              <w:rPr>
                <w:rFonts w:cs="Arial"/>
                <w:color w:val="000000" w:themeColor="text1"/>
                <w:sz w:val="21"/>
                <w:szCs w:val="21"/>
              </w:rPr>
              <w:instrText>（</w:instrText>
            </w:r>
            <w:r w:rsidRPr="002559FE">
              <w:rPr>
                <w:rFonts w:cs="Arial"/>
                <w:color w:val="000000" w:themeColor="text1"/>
                <w:sz w:val="21"/>
                <w:szCs w:val="21"/>
              </w:rPr>
              <w:instrText>DT</w:instrText>
            </w:r>
            <w:r w:rsidRPr="002559FE">
              <w:rPr>
                <w:rFonts w:cs="Arial"/>
                <w:color w:val="000000" w:themeColor="text1"/>
                <w:sz w:val="21"/>
                <w:szCs w:val="21"/>
              </w:rPr>
              <w:instrText>）概念以来，不同工业领域的实际应用数量迅速增长。尽管围绕这项技术进行了大肆宣传，但由于该概念的新颖性，公司在决定在其组织中实施</w:instrText>
            </w:r>
            <w:r w:rsidRPr="002559FE">
              <w:rPr>
                <w:rFonts w:cs="Arial"/>
                <w:color w:val="000000" w:themeColor="text1"/>
                <w:sz w:val="21"/>
                <w:szCs w:val="21"/>
              </w:rPr>
              <w:instrText xml:space="preserve"> DT </w:instrText>
            </w:r>
            <w:r w:rsidRPr="002559FE">
              <w:rPr>
                <w:rFonts w:cs="Arial"/>
                <w:color w:val="000000" w:themeColor="text1"/>
                <w:sz w:val="21"/>
                <w:szCs w:val="21"/>
              </w:rPr>
              <w:instrText>时面临着重大挑战。此外，针对流程工业对数字孪生的研究很少，这可能是因为准确表示和建模生产过程背后的物理过程非常复杂。为了整合有关流程工业实施数字化转型的促成因素和挑战的零碎文献，本研究整理了现有的数字化转型研究，重点关注障碍和推动因素。在此基础上，本研究通过组织数字技术文献并提出描述数字技术实施的推动因素和障碍及其相互关系的概念模型，为现有的数字技术知识体系做出贡献。</w:instrText>
            </w:r>
            <w:r w:rsidRPr="002559FE">
              <w:rPr>
                <w:rFonts w:cs="Arial"/>
                <w:color w:val="000000" w:themeColor="text1"/>
                <w:sz w:val="21"/>
                <w:szCs w:val="21"/>
              </w:rPr>
              <w:instrText xml:space="preserve">","page":"103558","source":"10","title":"Implementation of digital twins in the process industry: A systematic literature review of enablers and barriers","title-short":"Implementation of digital twins in the process industry","volume":"134","author":[{"family":"Perno","given":"Matteo"},{"family":"Hvam","given":"Lars"},{"family":"Haug","given":"Anders"}],"issued":{"date-parts":[["2022",1]]},"citation-key":"pernoImplementationDigitalTwins2022"}}],"schema":"https://github.com/citation-style-language/schema/raw/master/csl-citation.json"} </w:instrText>
            </w:r>
            <w:r w:rsidRPr="002559FE">
              <w:rPr>
                <w:rFonts w:cs="Arial"/>
                <w:color w:val="000000" w:themeColor="text1"/>
                <w:sz w:val="21"/>
                <w:szCs w:val="21"/>
              </w:rPr>
              <w:fldChar w:fldCharType="separate"/>
            </w:r>
            <w:r w:rsidRPr="002559FE">
              <w:rPr>
                <w:rFonts w:cs="Arial"/>
                <w:noProof/>
                <w:color w:val="000000" w:themeColor="text1"/>
                <w:sz w:val="21"/>
                <w:szCs w:val="21"/>
              </w:rPr>
              <w:t>(Birkel &amp; Wehrle, 2024; Jia et al., 2024; Peillon &amp; Dubruc, 2019; Perno et al., 2022)</w:t>
            </w:r>
            <w:r w:rsidRPr="002559FE">
              <w:rPr>
                <w:rFonts w:cs="Arial"/>
                <w:color w:val="000000" w:themeColor="text1"/>
                <w:sz w:val="21"/>
                <w:szCs w:val="21"/>
              </w:rPr>
              <w:fldChar w:fldCharType="end"/>
            </w:r>
            <w:r w:rsidRPr="002559FE">
              <w:rPr>
                <w:rFonts w:cs="Arial"/>
                <w:color w:val="000000" w:themeColor="text1"/>
                <w:sz w:val="21"/>
                <w:szCs w:val="21"/>
              </w:rPr>
              <w:t>.</w:t>
            </w:r>
            <w:r w:rsidRPr="002559FE">
              <w:rPr>
                <w:rFonts w:cs="Arial"/>
                <w:sz w:val="21"/>
                <w:szCs w:val="21"/>
              </w:rPr>
              <w:t xml:space="preserve"> </w:t>
            </w:r>
            <w:r w:rsidRPr="002559FE">
              <w:rPr>
                <w:rFonts w:cs="Arial"/>
                <w:color w:val="000000" w:themeColor="text1"/>
                <w:sz w:val="21"/>
                <w:szCs w:val="21"/>
              </w:rPr>
              <w:t>Digital transformation is not just about technology updates, it's more about organisational change</w:t>
            </w:r>
            <w:r w:rsidRPr="002559FE">
              <w:rPr>
                <w:rFonts w:cs="Arial"/>
                <w:color w:val="000000" w:themeColor="text1"/>
                <w:sz w:val="21"/>
                <w:szCs w:val="21"/>
              </w:rPr>
              <w:fldChar w:fldCharType="begin"/>
            </w:r>
            <w:r w:rsidRPr="002559FE">
              <w:rPr>
                <w:rFonts w:cs="Arial"/>
                <w:color w:val="000000" w:themeColor="text1"/>
                <w:sz w:val="21"/>
                <w:szCs w:val="21"/>
              </w:rPr>
              <w:instrText xml:space="preserve"> ADDIN ZOTERO_ITEM CSL_CITATION {"citationID":"K4ZZAylF","properties":{"formattedCitation":"(Hansen et al., 2024; Mazur et al., 2019; Peillon &amp; Dubruc, 2019)","plainCitation":"(Hansen et al., 2024; Mazur et al., 2019; Peillon &amp; Dubruc, 2019)","noteIndex":0},"citationItems":[{"id":31380,"uris":["http://zotero.org/users/4106135/items/HK8SXFUG"],"itemData":{"id":31380,"type":"article-journal","abstract":"Despite a general lack of examples showcasing seamless implementation of industry 4.0, talks of a human-centric, resilient, and sustainable industry 5.0 have already begun. But are the managers and workers of manufacturing enterprises today even ready for that? Digital transformation is still slowgoing, especially within small- and medium-sized companies. Supported by an existing framework and interpretive structural model for digitalisation, we argue that a big part of digital transformation depends on the workers’ competencies. Guided by the research question: How can the approach to competence development in SMEs explain patterns of slow digital transformation?, we investigate 30 manufacturing SMEs pursuing digitalisation. While manufacturing companies are aware of the need for additional competencies, few are actively working towards obtaining them. We expand on a theoretical model for smart manufacturing determinants and argue how a scaffold is needed to support SMEs in the early stages of digitalisation to increase understanding of core concepts, i.e. Industry 4.0 concepts and available technologies, data handling, integration capability, upskilling and training, and strategic management capabilities. We propose that a scaffolding approach to competence development can enable knowledge acquisition and the formation of digital transformation strategies.","call-number":"2","container-title":"International Journal of Production Research","DOI":"10.1080/00207543.2024.2305800","ISSN":"0020-7543, 1366-588X","journalAbbreviation":"International Journal of Production Research","language":"en","note":"titleTranslation: </w:instrText>
            </w:r>
            <w:r w:rsidRPr="002559FE">
              <w:rPr>
                <w:rFonts w:cs="Arial"/>
                <w:color w:val="000000" w:themeColor="text1"/>
                <w:sz w:val="21"/>
                <w:szCs w:val="21"/>
              </w:rPr>
              <w:instrText>技术不足以实现工业</w:instrText>
            </w:r>
            <w:r w:rsidRPr="002559FE">
              <w:rPr>
                <w:rFonts w:cs="Arial"/>
                <w:color w:val="000000" w:themeColor="text1"/>
                <w:sz w:val="21"/>
                <w:szCs w:val="21"/>
              </w:rPr>
              <w:instrText xml:space="preserve"> 4.0</w:instrText>
            </w:r>
            <w:r w:rsidRPr="002559FE">
              <w:rPr>
                <w:rFonts w:cs="Arial"/>
                <w:color w:val="000000" w:themeColor="text1"/>
                <w:sz w:val="21"/>
                <w:szCs w:val="21"/>
              </w:rPr>
              <w:instrText>：关于中小企业和数字化转型的障碍</w:instrText>
            </w:r>
            <w:r w:rsidRPr="002559FE">
              <w:rPr>
                <w:rFonts w:cs="Arial"/>
                <w:color w:val="000000" w:themeColor="text1"/>
                <w:sz w:val="21"/>
                <w:szCs w:val="21"/>
              </w:rPr>
              <w:instrText xml:space="preserve">\nabstractTranslation:  </w:instrText>
            </w:r>
            <w:r w:rsidRPr="002559FE">
              <w:rPr>
                <w:rFonts w:cs="Arial"/>
                <w:color w:val="000000" w:themeColor="text1"/>
                <w:sz w:val="21"/>
                <w:szCs w:val="21"/>
              </w:rPr>
              <w:instrText>尽管普遍缺乏展示工业</w:instrText>
            </w:r>
            <w:r w:rsidRPr="002559FE">
              <w:rPr>
                <w:rFonts w:cs="Arial"/>
                <w:color w:val="000000" w:themeColor="text1"/>
                <w:sz w:val="21"/>
                <w:szCs w:val="21"/>
              </w:rPr>
              <w:instrText xml:space="preserve"> 4.0 </w:instrText>
            </w:r>
            <w:r w:rsidRPr="002559FE">
              <w:rPr>
                <w:rFonts w:cs="Arial"/>
                <w:color w:val="000000" w:themeColor="text1"/>
                <w:sz w:val="21"/>
                <w:szCs w:val="21"/>
              </w:rPr>
              <w:instrText>无缝实施的例子，但有关以人为本、有弹性和可持续的工业</w:instrText>
            </w:r>
            <w:r w:rsidRPr="002559FE">
              <w:rPr>
                <w:rFonts w:cs="Arial"/>
                <w:color w:val="000000" w:themeColor="text1"/>
                <w:sz w:val="21"/>
                <w:szCs w:val="21"/>
              </w:rPr>
              <w:instrText xml:space="preserve"> 5.0 </w:instrText>
            </w:r>
            <w:r w:rsidRPr="002559FE">
              <w:rPr>
                <w:rFonts w:cs="Arial"/>
                <w:color w:val="000000" w:themeColor="text1"/>
                <w:sz w:val="21"/>
                <w:szCs w:val="21"/>
              </w:rPr>
              <w:instrText>的讨论已经开始。但如今制造企业的管理者和工人准备好了吗？数字化转型仍然进展缓慢，尤其是在中小型企业中。在现有数字化框架和解释结构模型的支持下，我们认为数字化转型的很大一部分取决于工人的能力。在</w:instrText>
            </w:r>
            <w:r w:rsidRPr="002559FE">
              <w:rPr>
                <w:rFonts w:cs="Arial"/>
                <w:color w:val="000000" w:themeColor="text1"/>
                <w:sz w:val="21"/>
                <w:szCs w:val="21"/>
              </w:rPr>
              <w:instrText>“</w:instrText>
            </w:r>
            <w:r w:rsidRPr="002559FE">
              <w:rPr>
                <w:rFonts w:cs="Arial"/>
                <w:color w:val="000000" w:themeColor="text1"/>
                <w:sz w:val="21"/>
                <w:szCs w:val="21"/>
              </w:rPr>
              <w:instrText>中小企业能力发展方法如何解释数字化转型缓慢的模式？</w:instrText>
            </w:r>
            <w:r w:rsidRPr="002559FE">
              <w:rPr>
                <w:rFonts w:cs="Arial"/>
                <w:color w:val="000000" w:themeColor="text1"/>
                <w:sz w:val="21"/>
                <w:szCs w:val="21"/>
              </w:rPr>
              <w:instrText>”</w:instrText>
            </w:r>
            <w:r w:rsidRPr="002559FE">
              <w:rPr>
                <w:rFonts w:cs="Arial"/>
                <w:color w:val="000000" w:themeColor="text1"/>
                <w:sz w:val="21"/>
                <w:szCs w:val="21"/>
              </w:rPr>
              <w:instrText>这一研究问题的指导下，我们调查了</w:instrText>
            </w:r>
            <w:r w:rsidRPr="002559FE">
              <w:rPr>
                <w:rFonts w:cs="Arial"/>
                <w:color w:val="000000" w:themeColor="text1"/>
                <w:sz w:val="21"/>
                <w:szCs w:val="21"/>
              </w:rPr>
              <w:instrText xml:space="preserve"> 30 </w:instrText>
            </w:r>
            <w:r w:rsidRPr="002559FE">
              <w:rPr>
                <w:rFonts w:cs="Arial"/>
                <w:color w:val="000000" w:themeColor="text1"/>
                <w:sz w:val="21"/>
                <w:szCs w:val="21"/>
              </w:rPr>
              <w:instrText>家追求数字化的制造业中小企业。虽然制造公司意识到需要额外的能力，但很少有制造公司积极努力获得这些能力。我们扩展了智能制造决定因素的理论模型，并讨论了在数字化的早期阶段如何需要一个支架来支持中小企业，以增加对核心概念的理解，即工业</w:instrText>
            </w:r>
            <w:r w:rsidRPr="002559FE">
              <w:rPr>
                <w:rFonts w:cs="Arial"/>
                <w:color w:val="000000" w:themeColor="text1"/>
                <w:sz w:val="21"/>
                <w:szCs w:val="21"/>
              </w:rPr>
              <w:instrText xml:space="preserve"> 4.0 </w:instrText>
            </w:r>
            <w:r w:rsidRPr="002559FE">
              <w:rPr>
                <w:rFonts w:cs="Arial"/>
                <w:color w:val="000000" w:themeColor="text1"/>
                <w:sz w:val="21"/>
                <w:szCs w:val="21"/>
              </w:rPr>
              <w:instrText>概念和可用技术、数据处理、集成能力、技能提升和培训和战略管理能力。我们建议采用支架式的能力发展方法可以实现知识获取和数字化转型战略的形成。</w:instrText>
            </w:r>
            <w:r w:rsidRPr="002559FE">
              <w:rPr>
                <w:rFonts w:cs="Arial"/>
                <w:color w:val="000000" w:themeColor="text1"/>
                <w:sz w:val="21"/>
                <w:szCs w:val="21"/>
              </w:rPr>
              <w:instrText xml:space="preserve">","page":"1-21","source":"9.2","title":"Technology isn't enough for Industry 4.0: on SMEs and hindrances to digital transformation","title-short":"Technology isn't enough for Industry 4.0","author":[{"family":"Hansen","given":"Andreas Kornmaaler"},{"family":"Christiansen","given":"Lasse"},{"family":"Lassen","given":"Astrid Heidemann"}],"issued":{"date-parts":[["2024",1,31]]},"citation-key":"hansenTechnologyIsnEnough2024"}},{"id":33596,"uris":["http://zotero.org/users/4106135/items/3YU879M7"],"itemData":{"id":33596,"type":"article-journal","abstract":"Energy system decarbonisation and changing consumer behaviours will create and destroy new markets in the electric power sector. This means that the energy industry will have to adapt their business models in order to capture these pools of value. Recent work explores how changes to the utility business model that include digital, decentralised or service-based offers could both disrupt the market and accelerate low carbon transitions. However, it is unclear whether these business models are technologically feasible. To answer this question, we undertook an expert panel study to determine the readiness levels of key enabling technologies. The result is an analysis of what technologies may hinder electricity business model innovation and where more research or development is necessary. The study shows that none of the business models that are compatible with a low carbon power sector are facing technology barriers that cannot be overcome, but there is still work to be done in the domain of system integration. We conclude that, especially in the ﬁeld of energy system coordination and operation, there is a need for comprehensive demonstration trials which can iteratively combine and test information and communications technology (ICT) solutions. This form of innovation support would require a new approach to energy system trials.","call-number":"4","container-title":"Energies","DOI":"10.3390/en12030428","ISSN":"1996-1073","issue":"3","journalAbbreviation":"Energies","language":"en","note":"abstractTranslation:  </w:instrText>
            </w:r>
            <w:r w:rsidRPr="002559FE">
              <w:rPr>
                <w:rFonts w:cs="Arial"/>
                <w:color w:val="000000" w:themeColor="text1"/>
                <w:sz w:val="21"/>
                <w:szCs w:val="21"/>
              </w:rPr>
              <w:instrText>能源系统脱碳和不断变化的消费者行为将创造和摧毁电力行业的新市场。这意味着能源行业必须调整其商业模式才能抓住这些价值池。最近的工作探讨了公用事业商业模式的变化（包括数字化、去中心化或基于服务的服务）如何既扰乱市场又加速低碳转型。然而，目前尚不清楚这些商业模式在技术上是否可行。为了回答这个问题，我们进行了专家小组研究，以确定关键支持技术的准备水平。其结果是分析哪些技术可能阻碍电力商业模式创新以及哪些技术需要更多的研究或开发。研究表明，与低碳电力行业兼容的商业模式都没有面临无法克服的技术障碍，但在系统集成领域仍有工作要做。我们的结论是，特别是在能源系统协调和运行领域，需要进行全面的示范试验，以迭代地组合和测试信息和通信技术（</w:instrText>
            </w:r>
            <w:r w:rsidRPr="002559FE">
              <w:rPr>
                <w:rFonts w:cs="Arial"/>
                <w:color w:val="000000" w:themeColor="text1"/>
                <w:sz w:val="21"/>
                <w:szCs w:val="21"/>
              </w:rPr>
              <w:instrText>ICT</w:instrText>
            </w:r>
            <w:r w:rsidRPr="002559FE">
              <w:rPr>
                <w:rFonts w:cs="Arial"/>
                <w:color w:val="000000" w:themeColor="text1"/>
                <w:sz w:val="21"/>
                <w:szCs w:val="21"/>
              </w:rPr>
              <w:instrText>）解决方案。这种形式的创新支持需要采用新的能源系统试验方法。</w:instrText>
            </w:r>
            <w:r w:rsidRPr="002559FE">
              <w:rPr>
                <w:rFonts w:cs="Arial"/>
                <w:color w:val="000000" w:themeColor="text1"/>
                <w:sz w:val="21"/>
                <w:szCs w:val="21"/>
              </w:rPr>
              <w:instrText xml:space="preserve">\ntitleTranslation: </w:instrText>
            </w:r>
            <w:r w:rsidRPr="002559FE">
              <w:rPr>
                <w:rFonts w:cs="Arial"/>
                <w:color w:val="000000" w:themeColor="text1"/>
                <w:sz w:val="21"/>
                <w:szCs w:val="21"/>
              </w:rPr>
              <w:instrText>技术不是障碍：推动低碳能源革命的创新电力商业模式所需的能源系统技术调查</w:instrText>
            </w:r>
            <w:r w:rsidRPr="002559FE">
              <w:rPr>
                <w:rFonts w:cs="Arial"/>
                <w:color w:val="000000" w:themeColor="text1"/>
                <w:sz w:val="21"/>
                <w:szCs w:val="21"/>
              </w:rPr>
              <w:instrText xml:space="preserve">","page":"428","source":"3.2","title":"Technology is not a Barrier: A Survey of Energy System Technologies Required for Innovative Electricity Business Models Driving the Low Carbon Energy Revolution","title-short":"Technology is not a Barrier","volume":"12","author":[{"family":"Mazur","given":"Christoph"},{"family":"Hall","given":"Stephen"},{"family":"Hardy","given":"Jeffrey"},{"family":"Workman","given":"Mark"}],"issued":{"date-parts":[["2019",1,29]]},"citation-key":"mazurTechnologyNotBarrier2019"}},{"id":31383,"uris":["http://zotero.org/users/4106135/items/BPPBIHBA"],"itemData":{"id":31383,"type":"article-journal","abstract":"The importance of digitalization is widely recognized, but digital transformation is not commonplace, and companies often struggle to face the challenges it entails. Digitalization and digital transformation are even more challenging for manufacturing SMEs. In this paper, we aim at investigating the barriers to digital servitization faced by manufacturing SMEs. We build on a literature review on barriers and obstacles to digital servitization, and present a set of case studies that enable us to identify the main barriers these French manufacturing SMEs face in their move toward digital servitization. Our findings show that digital servitization is at a very early stage in these SMEs, and that the main barriers they face are both organizational and customerrelated.","container-title":"Procedia CIRP","DOI":"10.1016/j.procir.2019.04.008","ISSN":"22128271","journalAbbreviation":"Procedia CIRP","language":"en","note":"titleTranslation: </w:instrText>
            </w:r>
            <w:r w:rsidRPr="002559FE">
              <w:rPr>
                <w:rFonts w:cs="Arial"/>
                <w:color w:val="000000" w:themeColor="text1"/>
                <w:sz w:val="21"/>
                <w:szCs w:val="21"/>
              </w:rPr>
              <w:instrText>法国制造业中小企业数字服务化的障碍</w:instrText>
            </w:r>
            <w:r w:rsidRPr="002559FE">
              <w:rPr>
                <w:rFonts w:cs="Arial"/>
                <w:color w:val="000000" w:themeColor="text1"/>
                <w:sz w:val="21"/>
                <w:szCs w:val="21"/>
              </w:rPr>
              <w:instrText xml:space="preserve">\nabstractTranslation:  </w:instrText>
            </w:r>
            <w:r w:rsidRPr="002559FE">
              <w:rPr>
                <w:rFonts w:cs="Arial"/>
                <w:color w:val="000000" w:themeColor="text1"/>
                <w:sz w:val="21"/>
                <w:szCs w:val="21"/>
              </w:rPr>
              <w:instrText>数字化的重要性已得到广泛认可，但数字化转型并不普遍，企业往往难以应对其带来的挑战。数字化和数字化转型对于制造业中小企业来说更具挑战性。在本文中，我们旨在调查制造业中小企业面临的数字服务化障碍。我们在对数字服务化障碍和阻碍的文献综述的基础上，提出了一系列案例研究，使我们能够确定这些法国制造业中小企业在迈向数字服务化过程中面临的主要障碍。我们的研究结果表明，这些中小企业的数字服务化还处于非常早期的阶段，他们面临的主要障碍与组织和客户相关。</w:instrText>
            </w:r>
            <w:r w:rsidRPr="002559FE">
              <w:rPr>
                <w:rFonts w:cs="Arial"/>
                <w:color w:val="000000" w:themeColor="text1"/>
                <w:sz w:val="21"/>
                <w:szCs w:val="21"/>
              </w:rPr>
              <w:instrText xml:space="preserve">\nTLDR: The findings show that digital servitization is at a very early stage in these SMEs, and that the main barriers they face are both organizational and customer-related.","page":"146-150","source":"DOI.org (Crossref)","title":"Barriers to digital servitization in French manufacturing SMEs","volume":"83","author":[{"family":"Peillon","given":"Sophie"},{"family":"Dubruc","given":"Nadine"}],"issued":{"date-parts":[["2019"]]},"citation-key":"peillonBarriersDigitalServitization2019"}}],"schema":"https://github.com/citation-style-language/schema/raw/master/csl-citation.json"} </w:instrText>
            </w:r>
            <w:r w:rsidRPr="002559FE">
              <w:rPr>
                <w:rFonts w:cs="Arial"/>
                <w:color w:val="000000" w:themeColor="text1"/>
                <w:sz w:val="21"/>
                <w:szCs w:val="21"/>
              </w:rPr>
              <w:fldChar w:fldCharType="separate"/>
            </w:r>
            <w:r w:rsidRPr="002559FE">
              <w:rPr>
                <w:rFonts w:cs="Arial"/>
                <w:noProof/>
                <w:color w:val="000000" w:themeColor="text1"/>
                <w:sz w:val="21"/>
                <w:szCs w:val="21"/>
              </w:rPr>
              <w:t>(Hansen et al., 2024; Mazur et al., 2019; Peillon &amp; Dubruc, 2019)</w:t>
            </w:r>
            <w:r w:rsidRPr="002559FE">
              <w:rPr>
                <w:rFonts w:cs="Arial"/>
                <w:color w:val="000000" w:themeColor="text1"/>
                <w:sz w:val="21"/>
                <w:szCs w:val="21"/>
              </w:rPr>
              <w:fldChar w:fldCharType="end"/>
            </w:r>
            <w:r w:rsidRPr="002559FE">
              <w:rPr>
                <w:rFonts w:cs="Arial"/>
                <w:color w:val="000000" w:themeColor="text1"/>
                <w:sz w:val="21"/>
                <w:szCs w:val="21"/>
              </w:rPr>
              <w:t>.</w:t>
            </w:r>
            <w:r w:rsidRPr="002559FE">
              <w:rPr>
                <w:rFonts w:cs="Arial"/>
                <w:sz w:val="21"/>
                <w:szCs w:val="21"/>
              </w:rPr>
              <w:t xml:space="preserve"> </w:t>
            </w:r>
            <w:r w:rsidRPr="002559FE">
              <w:rPr>
                <w:rFonts w:cs="Arial"/>
                <w:color w:val="000000" w:themeColor="text1"/>
                <w:sz w:val="21"/>
                <w:szCs w:val="21"/>
              </w:rPr>
              <w:t>The importance of human resources in the transformation process cannot be ignored, both for leaders and employees</w:t>
            </w:r>
            <w:r w:rsidRPr="002559FE">
              <w:rPr>
                <w:rFonts w:cs="Arial"/>
                <w:color w:val="000000" w:themeColor="text1"/>
                <w:sz w:val="21"/>
                <w:szCs w:val="21"/>
              </w:rPr>
              <w:fldChar w:fldCharType="begin"/>
            </w:r>
            <w:r w:rsidRPr="002559FE">
              <w:rPr>
                <w:rFonts w:cs="Arial"/>
                <w:color w:val="000000" w:themeColor="text1"/>
                <w:sz w:val="21"/>
                <w:szCs w:val="21"/>
              </w:rPr>
              <w:instrText xml:space="preserve"> ADDIN ZOTERO_ITEM CSL_CITATION {"citationID":"v7qX9FPb","properties":{"formattedCitation":"(Aghimien et al., 2020; Hansen et al., 2024; Matsunaga, 2024)","plainCitation":"(Aghimien et al., 2020; Hansen et al., 2024; Matsunaga, 2024)","noteIndex":0},"citationItems":[{"id":36394,"uris":["http://zotero.org/users/4106135/items/7IMXJK22"],"itemData":{"id":36394,"type":"article-journal","abstract":"Purpose – The construction organisations in developing countries are lagging in digital technology usage; hence, they are still characterised by poor project delivery and technological backwardness. To checkmate this problem, partnering with other organisations was proposed, while critical factors needed for successful digital partnering of construction organisations were assessed.","container-title":"Engineering, Construction and Architectural Management","DOI":"10.1108/ECAM-11-2019-0602","ISSN":"0969-9988","issue":"10","journalAbbreviation":"ECAM","language":"en","note":"titleTranslation: </w:instrText>
            </w:r>
            <w:r w:rsidRPr="002559FE">
              <w:rPr>
                <w:rFonts w:cs="Arial"/>
                <w:color w:val="000000" w:themeColor="text1"/>
                <w:sz w:val="21"/>
                <w:szCs w:val="21"/>
              </w:rPr>
              <w:instrText>建筑组织数字化合作的关键成功因素</w:instrText>
            </w:r>
            <w:r w:rsidRPr="002559FE">
              <w:rPr>
                <w:rFonts w:cs="Arial"/>
                <w:color w:val="000000" w:themeColor="text1"/>
                <w:sz w:val="21"/>
                <w:szCs w:val="21"/>
              </w:rPr>
              <w:instrText>——</w:instrText>
            </w:r>
            <w:r w:rsidRPr="002559FE">
              <w:rPr>
                <w:rFonts w:cs="Arial"/>
                <w:color w:val="000000" w:themeColor="text1"/>
                <w:sz w:val="21"/>
                <w:szCs w:val="21"/>
              </w:rPr>
              <w:instrText>德尔福研究</w:instrText>
            </w:r>
            <w:r w:rsidRPr="002559FE">
              <w:rPr>
                <w:rFonts w:cs="Arial"/>
                <w:color w:val="000000" w:themeColor="text1"/>
                <w:sz w:val="21"/>
                <w:szCs w:val="21"/>
              </w:rPr>
              <w:instrText xml:space="preserve">\nabstractTranslation:  </w:instrText>
            </w:r>
            <w:r w:rsidRPr="002559FE">
              <w:rPr>
                <w:rFonts w:cs="Arial"/>
                <w:color w:val="000000" w:themeColor="text1"/>
                <w:sz w:val="21"/>
                <w:szCs w:val="21"/>
              </w:rPr>
              <w:instrText>目的</w:instrText>
            </w:r>
            <w:r w:rsidRPr="002559FE">
              <w:rPr>
                <w:rFonts w:cs="Arial"/>
                <w:color w:val="000000" w:themeColor="text1"/>
                <w:sz w:val="21"/>
                <w:szCs w:val="21"/>
              </w:rPr>
              <w:instrText>——</w:instrText>
            </w:r>
            <w:r w:rsidRPr="002559FE">
              <w:rPr>
                <w:rFonts w:cs="Arial"/>
                <w:color w:val="000000" w:themeColor="text1"/>
                <w:sz w:val="21"/>
                <w:szCs w:val="21"/>
              </w:rPr>
              <w:instrText>发展中国家的建筑组织在数字技术的使用方面落后；因此，它们仍然存在项目交付差和技术落后的特点。为了解决这个问题，建议与其他组织合作，同时评估建筑组织成功数字合作所需的关键因素。</w:instrText>
            </w:r>
            <w:r w:rsidRPr="002559FE">
              <w:rPr>
                <w:rFonts w:cs="Arial"/>
                <w:color w:val="000000" w:themeColor="text1"/>
                <w:sz w:val="21"/>
                <w:szCs w:val="21"/>
              </w:rPr>
              <w:instrText xml:space="preserve">","page":"3171-3188","source":"DOI.org (Crossref)","title":"Critical success factors for digital partnering of construction organisations – a Delphi study","volume":"27","author":[{"family":"Aghimien","given":"Douglas Omoregie"},{"family":"Aigbavboa","given":"Clinton Ohis"},{"family":"Oke","given":"Ayodeji Emmanuel"}],"issued":{"date-parts":[["2020",6,2]]},"citation-key":"aghimienCriticalSuccessFactors2020"}},{"id":31380,"uris":["http://zotero.org/users/4106135/items/HK8SXFUG"],"itemData":{"id":31380,"type":"article-journal","abstract":"Despite a general lack of examples showcasing seamless implementation of industry 4.0, talks of a human-centric, resilient, and sustainable industry 5.0 have already begun. But are the managers and workers of manufacturing enterprises today even ready for that? Digital transformation is still slowgoing, especially within small- and medium-sized companies. Supported by an existing framework and interpretive structural model for digitalisation, we argue that a big part of digital transformation depends on the workers’ competencies. Guided by the research question: How can the approach to competence development in SMEs explain patterns of slow digital transformation?, we investigate 30 manufacturing SMEs pursuing digitalisation. While manufacturing companies are aware of the need for additional competencies, few are actively working towards obtaining them. We expand on a theoretical model for smart manufacturing determinants and argue how a scaffold is needed to support SMEs in the early stages of digitalisation to increase understanding of core concepts, i.e. Industry 4.0 concepts and available technologies, data handling, integration capability, upskilling and training, and strategic management capabilities. We propose that a scaffolding approach to competence development can enable knowledge acquisition and the formation of digital transformation strategies.","call-number":"2","container-title":"International Journal of Production Research","DOI":"10.1080/00207543.2024.2305800","ISSN":"0020-7543, 1366-588X","journalAbbreviation":"International Journal of Production Research","language":"en","note":"titleTranslation: </w:instrText>
            </w:r>
            <w:r w:rsidRPr="002559FE">
              <w:rPr>
                <w:rFonts w:cs="Arial"/>
                <w:color w:val="000000" w:themeColor="text1"/>
                <w:sz w:val="21"/>
                <w:szCs w:val="21"/>
              </w:rPr>
              <w:instrText>技术不足以实现工业</w:instrText>
            </w:r>
            <w:r w:rsidRPr="002559FE">
              <w:rPr>
                <w:rFonts w:cs="Arial"/>
                <w:color w:val="000000" w:themeColor="text1"/>
                <w:sz w:val="21"/>
                <w:szCs w:val="21"/>
              </w:rPr>
              <w:instrText xml:space="preserve"> 4.0</w:instrText>
            </w:r>
            <w:r w:rsidRPr="002559FE">
              <w:rPr>
                <w:rFonts w:cs="Arial"/>
                <w:color w:val="000000" w:themeColor="text1"/>
                <w:sz w:val="21"/>
                <w:szCs w:val="21"/>
              </w:rPr>
              <w:instrText>：关于中小企业和数字化转型的障碍</w:instrText>
            </w:r>
            <w:r w:rsidRPr="002559FE">
              <w:rPr>
                <w:rFonts w:cs="Arial"/>
                <w:color w:val="000000" w:themeColor="text1"/>
                <w:sz w:val="21"/>
                <w:szCs w:val="21"/>
              </w:rPr>
              <w:instrText xml:space="preserve">\nabstractTranslation:  </w:instrText>
            </w:r>
            <w:r w:rsidRPr="002559FE">
              <w:rPr>
                <w:rFonts w:cs="Arial"/>
                <w:color w:val="000000" w:themeColor="text1"/>
                <w:sz w:val="21"/>
                <w:szCs w:val="21"/>
              </w:rPr>
              <w:instrText>尽管普遍缺乏展示工业</w:instrText>
            </w:r>
            <w:r w:rsidRPr="002559FE">
              <w:rPr>
                <w:rFonts w:cs="Arial"/>
                <w:color w:val="000000" w:themeColor="text1"/>
                <w:sz w:val="21"/>
                <w:szCs w:val="21"/>
              </w:rPr>
              <w:instrText xml:space="preserve"> 4.0 </w:instrText>
            </w:r>
            <w:r w:rsidRPr="002559FE">
              <w:rPr>
                <w:rFonts w:cs="Arial"/>
                <w:color w:val="000000" w:themeColor="text1"/>
                <w:sz w:val="21"/>
                <w:szCs w:val="21"/>
              </w:rPr>
              <w:instrText>无缝实施的例子，但有关以人为本、有弹性和可持续的工业</w:instrText>
            </w:r>
            <w:r w:rsidRPr="002559FE">
              <w:rPr>
                <w:rFonts w:cs="Arial"/>
                <w:color w:val="000000" w:themeColor="text1"/>
                <w:sz w:val="21"/>
                <w:szCs w:val="21"/>
              </w:rPr>
              <w:instrText xml:space="preserve"> 5.0 </w:instrText>
            </w:r>
            <w:r w:rsidRPr="002559FE">
              <w:rPr>
                <w:rFonts w:cs="Arial"/>
                <w:color w:val="000000" w:themeColor="text1"/>
                <w:sz w:val="21"/>
                <w:szCs w:val="21"/>
              </w:rPr>
              <w:instrText>的讨论已经开始。但如今制造企业的管理者和工人准备好了吗？数字化转型仍然进展缓慢，尤其是在中小型企业中。在现有数字化框架和解释结构模型的支持下，我们认为数字化转型的很大一部分取决于工人的能力。在</w:instrText>
            </w:r>
            <w:r w:rsidRPr="002559FE">
              <w:rPr>
                <w:rFonts w:cs="Arial"/>
                <w:color w:val="000000" w:themeColor="text1"/>
                <w:sz w:val="21"/>
                <w:szCs w:val="21"/>
              </w:rPr>
              <w:instrText>“</w:instrText>
            </w:r>
            <w:r w:rsidRPr="002559FE">
              <w:rPr>
                <w:rFonts w:cs="Arial"/>
                <w:color w:val="000000" w:themeColor="text1"/>
                <w:sz w:val="21"/>
                <w:szCs w:val="21"/>
              </w:rPr>
              <w:instrText>中小企业能力发展方法如何解释数字化转型缓慢的模式？</w:instrText>
            </w:r>
            <w:r w:rsidRPr="002559FE">
              <w:rPr>
                <w:rFonts w:cs="Arial"/>
                <w:color w:val="000000" w:themeColor="text1"/>
                <w:sz w:val="21"/>
                <w:szCs w:val="21"/>
              </w:rPr>
              <w:instrText>”</w:instrText>
            </w:r>
            <w:r w:rsidRPr="002559FE">
              <w:rPr>
                <w:rFonts w:cs="Arial"/>
                <w:color w:val="000000" w:themeColor="text1"/>
                <w:sz w:val="21"/>
                <w:szCs w:val="21"/>
              </w:rPr>
              <w:instrText>这一研究问题的指导下，我们调查了</w:instrText>
            </w:r>
            <w:r w:rsidRPr="002559FE">
              <w:rPr>
                <w:rFonts w:cs="Arial"/>
                <w:color w:val="000000" w:themeColor="text1"/>
                <w:sz w:val="21"/>
                <w:szCs w:val="21"/>
              </w:rPr>
              <w:instrText xml:space="preserve"> 30 </w:instrText>
            </w:r>
            <w:r w:rsidRPr="002559FE">
              <w:rPr>
                <w:rFonts w:cs="Arial"/>
                <w:color w:val="000000" w:themeColor="text1"/>
                <w:sz w:val="21"/>
                <w:szCs w:val="21"/>
              </w:rPr>
              <w:instrText>家追求数字化的制造业中小企业。虽然制造公司意识到需要额外的能力，但很少有制造公司积极努力获得这些能力。我们扩展了智能制造决定因素的理论模型，并讨论了在数字化的早期阶段如何需要一个支架来支持中小企业，以增加对核心概念的理解，即工业</w:instrText>
            </w:r>
            <w:r w:rsidRPr="002559FE">
              <w:rPr>
                <w:rFonts w:cs="Arial"/>
                <w:color w:val="000000" w:themeColor="text1"/>
                <w:sz w:val="21"/>
                <w:szCs w:val="21"/>
              </w:rPr>
              <w:instrText xml:space="preserve"> 4.0 </w:instrText>
            </w:r>
            <w:r w:rsidRPr="002559FE">
              <w:rPr>
                <w:rFonts w:cs="Arial"/>
                <w:color w:val="000000" w:themeColor="text1"/>
                <w:sz w:val="21"/>
                <w:szCs w:val="21"/>
              </w:rPr>
              <w:instrText>概念和可用技术、数据处理、集成能力、技能提升和培训和战略管理能力。我们建议采用支架式的能力发展方法可以实现知识获取和数字化转型战略的形成。</w:instrText>
            </w:r>
            <w:r w:rsidRPr="002559FE">
              <w:rPr>
                <w:rFonts w:cs="Arial"/>
                <w:color w:val="000000" w:themeColor="text1"/>
                <w:sz w:val="21"/>
                <w:szCs w:val="21"/>
              </w:rPr>
              <w:instrText xml:space="preserve">","page":"1-21","source":"9.2","title":"Technology isn't enough for Industry 4.0: on SMEs and hindrances to digital transformation","title-short":"Technology isn't enough for Industry 4.0","author":[{"family":"Hansen","given":"Andreas Kornmaaler"},{"family":"Christiansen","given":"Lasse"},{"family":"Lassen","given":"Astrid Heidemann"}],"issued":{"date-parts":[["2024",1,31]]},"citation-key":"hansenTechnologyIsnEnough2024"}},{"id":26996,"uris":["http://zotero.org/users/4106135/items/MM4BQ45F"],"itemData":{"id":26996,"type":"book","collection-title":"Future of Business and Finance","event-place":"Singapore","ISBN":"978-981-9984-08-4","language":"en","note":"DOI: 10.1007/978-981-99-8409-1\ntitleTranslation: </w:instrText>
            </w:r>
            <w:r w:rsidRPr="002559FE">
              <w:rPr>
                <w:rFonts w:cs="Arial"/>
                <w:color w:val="000000" w:themeColor="text1"/>
                <w:sz w:val="21"/>
                <w:szCs w:val="21"/>
              </w:rPr>
              <w:instrText>员工对数字化转型的不确定性：机制和解决方案</w:instrText>
            </w:r>
            <w:r w:rsidRPr="002559FE">
              <w:rPr>
                <w:rFonts w:cs="Arial"/>
                <w:color w:val="000000" w:themeColor="text1"/>
                <w:sz w:val="21"/>
                <w:szCs w:val="21"/>
              </w:rPr>
              <w:instrText xml:space="preserve">","publisher":"Springer Nature Singapore","publisher-place":"Singapore","title":"Employee Uncertainty Over Digital Transformation: Mechanisms and Solutions","title-short":"Employee Uncertainty Over Digital Transformation","URL":"https://link.springer.com/10.1007/978-981-99-8409-1","author":[{"family":"Matsunaga","given":"Masaki"}],"accessed":{"date-parts":[["2024",1,9]]},"issued":{"date-parts":[["2024"]]},"citation-key":"matsunagaEmployeeUncertaintyDigital2024"}}],"schema":"https://github.com/citation-style-language/schema/raw/master/csl-citation.json"} </w:instrText>
            </w:r>
            <w:r w:rsidRPr="002559FE">
              <w:rPr>
                <w:rFonts w:cs="Arial"/>
                <w:color w:val="000000" w:themeColor="text1"/>
                <w:sz w:val="21"/>
                <w:szCs w:val="21"/>
              </w:rPr>
              <w:fldChar w:fldCharType="separate"/>
            </w:r>
            <w:r w:rsidRPr="002559FE">
              <w:rPr>
                <w:rFonts w:cs="Arial"/>
                <w:noProof/>
                <w:color w:val="000000" w:themeColor="text1"/>
                <w:sz w:val="21"/>
                <w:szCs w:val="21"/>
              </w:rPr>
              <w:t>(Aghimien et al., 2020; Hansen et al., 2024; Matsunaga, 2024)</w:t>
            </w:r>
            <w:r w:rsidRPr="002559FE">
              <w:rPr>
                <w:rFonts w:cs="Arial"/>
                <w:color w:val="000000" w:themeColor="text1"/>
                <w:sz w:val="21"/>
                <w:szCs w:val="21"/>
              </w:rPr>
              <w:fldChar w:fldCharType="end"/>
            </w:r>
            <w:r w:rsidRPr="002559FE">
              <w:rPr>
                <w:rFonts w:cs="Arial"/>
                <w:color w:val="000000" w:themeColor="text1"/>
                <w:sz w:val="21"/>
                <w:szCs w:val="21"/>
              </w:rPr>
              <w:t>.</w:t>
            </w:r>
            <w:r w:rsidRPr="002559FE">
              <w:rPr>
                <w:rFonts w:cs="Arial"/>
                <w:sz w:val="21"/>
                <w:szCs w:val="21"/>
              </w:rPr>
              <w:t xml:space="preserve"> </w:t>
            </w:r>
            <w:r w:rsidRPr="002559FE">
              <w:rPr>
                <w:rFonts w:cs="Arial"/>
                <w:color w:val="000000" w:themeColor="text1"/>
                <w:sz w:val="21"/>
                <w:szCs w:val="21"/>
              </w:rPr>
              <w:t>Therefore,</w:t>
            </w:r>
            <w:r w:rsidRPr="002559FE">
              <w:rPr>
                <w:rFonts w:cs="Arial"/>
                <w:color w:val="000000"/>
                <w:sz w:val="21"/>
                <w:szCs w:val="21"/>
              </w:rPr>
              <w:t xml:space="preserve"> </w:t>
            </w:r>
            <w:r w:rsidRPr="002559FE">
              <w:rPr>
                <w:rFonts w:cs="Arial"/>
                <w:color w:val="000000" w:themeColor="text1"/>
                <w:sz w:val="21"/>
                <w:szCs w:val="21"/>
              </w:rPr>
              <w:t>many studies have investigated the barriers and motivations of digital transformation in various industries </w:t>
            </w:r>
            <w:r w:rsidRPr="002559FE">
              <w:rPr>
                <w:rFonts w:cs="Arial"/>
                <w:color w:val="000000" w:themeColor="text1"/>
                <w:sz w:val="21"/>
                <w:szCs w:val="21"/>
                <w:lang w:eastAsia="zh-CN"/>
              </w:rPr>
              <w:t>with</w:t>
            </w:r>
            <w:r w:rsidRPr="002559FE">
              <w:rPr>
                <w:rFonts w:cs="Arial"/>
                <w:color w:val="000000" w:themeColor="text1"/>
                <w:sz w:val="21"/>
                <w:szCs w:val="21"/>
              </w:rPr>
              <w:t xml:space="preserve"> </w:t>
            </w:r>
            <w:r w:rsidRPr="002559FE">
              <w:rPr>
                <w:rFonts w:cs="Arial"/>
                <w:color w:val="000000" w:themeColor="text1"/>
                <w:sz w:val="21"/>
                <w:szCs w:val="21"/>
                <w:lang w:eastAsia="zh-CN"/>
              </w:rPr>
              <w:t>the</w:t>
            </w:r>
            <w:r w:rsidRPr="002559FE">
              <w:rPr>
                <w:rFonts w:cs="Arial"/>
                <w:color w:val="000000" w:themeColor="text1"/>
                <w:sz w:val="21"/>
                <w:szCs w:val="21"/>
              </w:rPr>
              <w:t xml:space="preserve"> </w:t>
            </w:r>
            <w:r w:rsidRPr="002559FE">
              <w:rPr>
                <w:rFonts w:cs="Arial"/>
                <w:color w:val="000000" w:themeColor="text1"/>
                <w:sz w:val="21"/>
                <w:szCs w:val="21"/>
                <w:lang w:eastAsia="zh-CN"/>
              </w:rPr>
              <w:t>TOE</w:t>
            </w:r>
            <w:r w:rsidRPr="002559FE">
              <w:rPr>
                <w:rFonts w:cs="Arial"/>
                <w:color w:val="000000" w:themeColor="text1"/>
                <w:sz w:val="21"/>
                <w:szCs w:val="21"/>
              </w:rPr>
              <w:t xml:space="preserve"> </w:t>
            </w:r>
            <w:r w:rsidRPr="002559FE">
              <w:rPr>
                <w:rFonts w:cs="Arial"/>
                <w:color w:val="000000" w:themeColor="text1"/>
                <w:sz w:val="21"/>
                <w:szCs w:val="21"/>
                <w:lang w:eastAsia="zh-CN"/>
              </w:rPr>
              <w:t>theory</w:t>
            </w:r>
            <w:r w:rsidRPr="002559FE">
              <w:rPr>
                <w:rFonts w:cs="Arial"/>
                <w:color w:val="000000" w:themeColor="text1"/>
                <w:sz w:val="21"/>
                <w:szCs w:val="21"/>
              </w:rPr>
              <w:fldChar w:fldCharType="begin"/>
            </w:r>
            <w:r w:rsidRPr="002559FE">
              <w:rPr>
                <w:rFonts w:cs="Arial"/>
                <w:color w:val="000000" w:themeColor="text1"/>
                <w:sz w:val="21"/>
                <w:szCs w:val="21"/>
              </w:rPr>
              <w:instrText xml:space="preserve"> ADDIN ZOTERO_ITEM CSL_CITATION {"citationID":"mxEZNLlK","properties":{"formattedCitation":"(Agrawal et al., 2019; Birkel &amp; Wehrle, 2024; Feliciano-Cestero et al., 2023; Muhic et al., 2023; Perno et al., 2022; Stentoft et al., 2021)","plainCitation":"(Agrawal et al., 2019; Birkel &amp; Wehrle, 2024; Feliciano-Cestero et al., 2023; Muhic et al., 2023; Perno et al., 2022; Stentoft et al., 2021)","noteIndex":0},"citationItems":[{"id":4148,"uris":["http://zotero.org/users/4106135/items/F8XV2FGT"],"itemData":{"id":4148,"type":"article-journal","abstract":"Purpose – Digital supply chain (DSC) is an agile, customer-driven and productive way to develop different forms of returns for companies and to leverage efﬁcient approaches with emerging techniques and data analytics. Though the advantages of digital supply chain management (DSCM) are many, its implementation is quite slow for several reasons. The purpose of this paper is to identify the major barriers which hinder the adoption of DSC and to analyse the interrelationship among them. The barriers of DSC are explored on the basis of existing literature and experts’ opinion.","archive":"DT","archive_location":"</w:instrText>
            </w:r>
            <w:r w:rsidRPr="002559FE">
              <w:rPr>
                <w:rFonts w:cs="Arial"/>
                <w:color w:val="000000" w:themeColor="text1"/>
                <w:sz w:val="21"/>
                <w:szCs w:val="21"/>
              </w:rPr>
              <w:instrText>引用</w:instrText>
            </w:r>
            <w:r w:rsidRPr="002559FE">
              <w:rPr>
                <w:rFonts w:cs="Arial"/>
                <w:color w:val="000000" w:themeColor="text1"/>
                <w:sz w:val="21"/>
                <w:szCs w:val="21"/>
              </w:rPr>
              <w:instrText xml:space="preserve">TUD","container-title":"Journal of Modelling in Management","DOI":"10.1108/JM2-03-2019-0066","ISSN":"1746-5664, 1746-5664","issue":"1","journalAbbreviation":"JM2","language":"en","note":"titleTranslation: </w:instrText>
            </w:r>
            <w:r w:rsidRPr="002559FE">
              <w:rPr>
                <w:rFonts w:cs="Arial"/>
                <w:color w:val="000000" w:themeColor="text1"/>
                <w:sz w:val="21"/>
                <w:szCs w:val="21"/>
              </w:rPr>
              <w:instrText>使用解释结构建模方法分析供应链数字化转型实施的障碍</w:instrText>
            </w:r>
            <w:r w:rsidRPr="002559FE">
              <w:rPr>
                <w:rFonts w:cs="Arial"/>
                <w:color w:val="000000" w:themeColor="text1"/>
                <w:sz w:val="21"/>
                <w:szCs w:val="21"/>
              </w:rPr>
              <w:instrText xml:space="preserve">\nabstractTranslation:  </w:instrText>
            </w:r>
            <w:r w:rsidRPr="002559FE">
              <w:rPr>
                <w:rFonts w:cs="Arial"/>
                <w:color w:val="000000" w:themeColor="text1"/>
                <w:sz w:val="21"/>
                <w:szCs w:val="21"/>
              </w:rPr>
              <w:instrText>目的</w:instrText>
            </w:r>
            <w:r w:rsidRPr="002559FE">
              <w:rPr>
                <w:rFonts w:cs="Arial"/>
                <w:color w:val="000000" w:themeColor="text1"/>
                <w:sz w:val="21"/>
                <w:szCs w:val="21"/>
              </w:rPr>
              <w:instrText>——</w:instrText>
            </w:r>
            <w:r w:rsidRPr="002559FE">
              <w:rPr>
                <w:rFonts w:cs="Arial"/>
                <w:color w:val="000000" w:themeColor="text1"/>
                <w:sz w:val="21"/>
                <w:szCs w:val="21"/>
              </w:rPr>
              <w:instrText>数字供应链</w:instrText>
            </w:r>
            <w:r w:rsidRPr="002559FE">
              <w:rPr>
                <w:rFonts w:cs="Arial"/>
                <w:color w:val="000000" w:themeColor="text1"/>
                <w:sz w:val="21"/>
                <w:szCs w:val="21"/>
              </w:rPr>
              <w:instrText xml:space="preserve"> (DSC) </w:instrText>
            </w:r>
            <w:r w:rsidRPr="002559FE">
              <w:rPr>
                <w:rFonts w:cs="Arial"/>
                <w:color w:val="000000" w:themeColor="text1"/>
                <w:sz w:val="21"/>
                <w:szCs w:val="21"/>
              </w:rPr>
              <w:instrText>是一种灵活、以客户为导向且富有成效的方式，可为公司开发不同形式的回报，并利用新兴技术和数据分析的有效方法。尽管数字供应链管理</w:instrText>
            </w:r>
            <w:r w:rsidRPr="002559FE">
              <w:rPr>
                <w:rFonts w:cs="Arial"/>
                <w:color w:val="000000" w:themeColor="text1"/>
                <w:sz w:val="21"/>
                <w:szCs w:val="21"/>
              </w:rPr>
              <w:instrText xml:space="preserve"> (DSCM) </w:instrText>
            </w:r>
            <w:r w:rsidRPr="002559FE">
              <w:rPr>
                <w:rFonts w:cs="Arial"/>
                <w:color w:val="000000" w:themeColor="text1"/>
                <w:sz w:val="21"/>
                <w:szCs w:val="21"/>
              </w:rPr>
              <w:instrText>的优势很多，但由于多种原因，其实施速度相当缓慢。本文的目的是确定阻碍采用</w:instrText>
            </w:r>
            <w:r w:rsidRPr="002559FE">
              <w:rPr>
                <w:rFonts w:cs="Arial"/>
                <w:color w:val="000000" w:themeColor="text1"/>
                <w:sz w:val="21"/>
                <w:szCs w:val="21"/>
              </w:rPr>
              <w:instrText xml:space="preserve"> DSC </w:instrText>
            </w:r>
            <w:r w:rsidRPr="002559FE">
              <w:rPr>
                <w:rFonts w:cs="Arial"/>
                <w:color w:val="000000" w:themeColor="text1"/>
                <w:sz w:val="21"/>
                <w:szCs w:val="21"/>
              </w:rPr>
              <w:instrText>的主要障碍并分析它们之间的相互关系。在现有文献和专家意见的基础上探讨了</w:instrText>
            </w:r>
            <w:r w:rsidRPr="002559FE">
              <w:rPr>
                <w:rFonts w:cs="Arial"/>
                <w:color w:val="000000" w:themeColor="text1"/>
                <w:sz w:val="21"/>
                <w:szCs w:val="21"/>
              </w:rPr>
              <w:instrText xml:space="preserve"> DSC </w:instrText>
            </w:r>
            <w:r w:rsidRPr="002559FE">
              <w:rPr>
                <w:rFonts w:cs="Arial"/>
                <w:color w:val="000000" w:themeColor="text1"/>
                <w:sz w:val="21"/>
                <w:szCs w:val="21"/>
              </w:rPr>
              <w:instrText>的障碍。</w:instrText>
            </w:r>
            <w:r w:rsidRPr="002559FE">
              <w:rPr>
                <w:rFonts w:cs="Arial"/>
                <w:color w:val="000000" w:themeColor="text1"/>
                <w:sz w:val="21"/>
                <w:szCs w:val="21"/>
              </w:rPr>
              <w:instrText xml:space="preserve">","page":"297-317","source":"2.4","title":"Analysis of barriers in implementation of digital transformation of supply chain using interpretive structural modelling approach","volume":"15","author":[{"family":"Agrawal","given":"Prakash"},{"family":"Narain","given":"Rakesh"},{"family":"Ullah","given":"Inayat"}],"issued":{"date-parts":[["2019",10,14]]},"citation-key":"agrawalAnalysisBarriersImplementation2019"}},{"id":31377,"uris":["http://zotero.org/users/4106135/items/UYMDYRYN"],"itemData":{"id":31377,"type":"article-journal","abstract":"Current research lacks in-depth insights into the digital transformation management of supply chain (SC) processes in small- and medium-sized enterprises (SMEs) from an intraﬁrm level perspective. Therefore, the aim of this article is to investigate how SMEs strategically and organizationally manage the digital transformation of SC processes to ascertain the reasons for the low penetration of digitally transformed SC processes. To address the challenges arising from digital transformation, we conduct a multiple case study with 15 highly knowledgeable stakeholders from seven companies within the German manufacturing industry using semistructured interviews. Our ﬁndings are varied and indicate that explicitly formulated digital SC strategies are absent in SMEs, but companies use three different approaches to digitally transform their SC processes. Accordingly, the article reveals how these approaches are organizationally implemented and explains the barriers impeding further digital SC process transformation in SMEs, such as insufﬁcient attention by upper management, uncoordinated initiatives due to uncertainty, and inadequate operational capabilities. In addition, the article conﬁrms the link between the creation of transparency and organizational structure. Consequently, this article is one of the ﬁrst to enhance the knowledge of digital process transformation by examining the existing core transformation principles of SMEs, developing a bottom-up implementation model, holistically analyzing barriers, and necessary prerequisites to the digital transformation of SC processes, providing in-depth managerial implications, and laying the foundation for further research endeavors.","call-number":"3","container-title":"IEEE Transactions on Engineering Management","DOI":"10.1109/TEM.2022.3209131","ISSN":"0018-9391, 1558-0040","journalAbbreviation":"IEEE Trans. Eng. Manage.","language":"en","note":"titleTranslation: </w:instrText>
            </w:r>
            <w:r w:rsidRPr="002559FE">
              <w:rPr>
                <w:rFonts w:cs="Arial"/>
                <w:color w:val="000000" w:themeColor="text1"/>
                <w:sz w:val="21"/>
                <w:szCs w:val="21"/>
              </w:rPr>
              <w:instrText>中小型企业应对供应链流程的数字化转型：来自德国制造业多个案例研究的见解</w:instrText>
            </w:r>
            <w:r w:rsidRPr="002559FE">
              <w:rPr>
                <w:rFonts w:cs="Arial"/>
                <w:color w:val="000000" w:themeColor="text1"/>
                <w:sz w:val="21"/>
                <w:szCs w:val="21"/>
              </w:rPr>
              <w:instrText xml:space="preserve">\nabstractTranslation:  </w:instrText>
            </w:r>
            <w:r w:rsidRPr="002559FE">
              <w:rPr>
                <w:rFonts w:cs="Arial"/>
                <w:color w:val="000000" w:themeColor="text1"/>
                <w:sz w:val="21"/>
                <w:szCs w:val="21"/>
              </w:rPr>
              <w:instrText>目前的研究缺乏从企业内部角度对中小企业（</w:instrText>
            </w:r>
            <w:r w:rsidRPr="002559FE">
              <w:rPr>
                <w:rFonts w:cs="Arial"/>
                <w:color w:val="000000" w:themeColor="text1"/>
                <w:sz w:val="21"/>
                <w:szCs w:val="21"/>
              </w:rPr>
              <w:instrText>SME</w:instrText>
            </w:r>
            <w:r w:rsidRPr="002559FE">
              <w:rPr>
                <w:rFonts w:cs="Arial"/>
                <w:color w:val="000000" w:themeColor="text1"/>
                <w:sz w:val="21"/>
                <w:szCs w:val="21"/>
              </w:rPr>
              <w:instrText>）供应链（</w:instrText>
            </w:r>
            <w:r w:rsidRPr="002559FE">
              <w:rPr>
                <w:rFonts w:cs="Arial"/>
                <w:color w:val="000000" w:themeColor="text1"/>
                <w:sz w:val="21"/>
                <w:szCs w:val="21"/>
              </w:rPr>
              <w:instrText>SC</w:instrText>
            </w:r>
            <w:r w:rsidRPr="002559FE">
              <w:rPr>
                <w:rFonts w:cs="Arial"/>
                <w:color w:val="000000" w:themeColor="text1"/>
                <w:sz w:val="21"/>
                <w:szCs w:val="21"/>
              </w:rPr>
              <w:instrText>）流程的数字化转型管理的深入见解。因此，本文的目的是研究中小企业如何从战略和组织上管理供应链流程的数字化转型，以确定数字化转型供应链流程渗透率低的原因。为了应对数字化转型带来的挑战，我们采用半结构化访谈的方式对来自德国制造业</w:instrText>
            </w:r>
            <w:r w:rsidRPr="002559FE">
              <w:rPr>
                <w:rFonts w:cs="Arial"/>
                <w:color w:val="000000" w:themeColor="text1"/>
                <w:sz w:val="21"/>
                <w:szCs w:val="21"/>
              </w:rPr>
              <w:instrText xml:space="preserve"> 7 </w:instrText>
            </w:r>
            <w:r w:rsidRPr="002559FE">
              <w:rPr>
                <w:rFonts w:cs="Arial"/>
                <w:color w:val="000000" w:themeColor="text1"/>
                <w:sz w:val="21"/>
                <w:szCs w:val="21"/>
              </w:rPr>
              <w:instrText>家公司的</w:instrText>
            </w:r>
            <w:r w:rsidRPr="002559FE">
              <w:rPr>
                <w:rFonts w:cs="Arial"/>
                <w:color w:val="000000" w:themeColor="text1"/>
                <w:sz w:val="21"/>
                <w:szCs w:val="21"/>
              </w:rPr>
              <w:instrText xml:space="preserve"> 15 </w:instrText>
            </w:r>
            <w:r w:rsidRPr="002559FE">
              <w:rPr>
                <w:rFonts w:cs="Arial"/>
                <w:color w:val="000000" w:themeColor="text1"/>
                <w:sz w:val="21"/>
                <w:szCs w:val="21"/>
              </w:rPr>
              <w:instrText>名知识渊博的利益相关者进行了多案例研究。我们的研究结果各不相同，表明中小企业缺乏明确制定的数字供应链战略，但公司使用三种不同的方法对其供应链流程进行数字化转型。因此，本文揭示了这些方法是如何在组织上实施的，并解释了阻碍中小企业进一步数字化供应链流程转型的障碍，例如高层管理人员的重视不够、由于不确定性而导致的举措不协调以及运营能力不足。此外，文章还证实了透明度的创建与组织结构之间的联系。因此，本文是第一篇通过研究中小企业现有的核心转型原则、开发自下而上的实施模型、全面分析供应链流程数字化转型的障碍和必要先决条件来增强数字化流程转型知识的文章之一，提供深入的管理启示，并为进一步的研究工作奠定基础。</w:instrText>
            </w:r>
            <w:r w:rsidRPr="002559FE">
              <w:rPr>
                <w:rFonts w:cs="Arial"/>
                <w:color w:val="000000" w:themeColor="text1"/>
                <w:sz w:val="21"/>
                <w:szCs w:val="21"/>
              </w:rPr>
              <w:instrText xml:space="preserve">\nTLDR: This article is one of the first to enhance the knowledge of digital process transformation by examining the existing core transformation principles of SMEs, developing a bottom-up implementation model, holistically analyzing barriers, and necessary prerequisites to the digital transformation of SC processes, providing in-depth managerial implications, and laying the foundation for further research endeavors.","page":"1-16","source":"5.8","title":"Small- and Medium-Sized Companies Tackling the Digital Transformation of Supply Chain Processes: Insights From a Multiple Case Study in the German Manufacturing Industry","title-short":"Small- and Medium-Sized Companies Tackling the Digital Transformation of Supply Chain Processes","author":[{"family":"Birkel","given":"Hendrik"},{"family":"Wehrle","given":"Manuel"}],"issued":{"date-parts":[["2024"]]},"citation-key":"birkelSmallMediumSizedCompanies2024"}},{"id":16411,"uris":["http://zotero.org/users/4106135/items/PDSG9RWE"],"itemData":{"id":16411,"type":"article-journal","abstract":"Digital transformation has a significant impact on firm internationalization. This paper aims to provide a sys­ tematic literature review to analyze two decades of literature on key issues related to digital transformation at the individual, firm, and macro (international) levels and its impact on firms’ internationalization process. We show the impact of human (soft side) and non-human components (i.e., knowledge, leadership, digital serviti­ zation, technological) of digital transformation that can either allow or threaten it and their impact on firms’ internationalization. In addition, our findings show that digital transformation can positively and negatively impact firm internationalization at the individual, firm, and macro levels. Moreover, we review the existing theories related to digital transformation and internationalization and identify the current gaps in these theories. Finally, we provide directions for future research to address these gaps.","archive":"DT","container-title":"Journal of Business Research","DOI":"10.1016/j.jbusres.2022.113546","ISSN":"01482963","journalAbbreviation":"Journal of Business Research","language":"en","note":"abstractTranslation:  </w:instrText>
            </w:r>
            <w:r w:rsidRPr="002559FE">
              <w:rPr>
                <w:rFonts w:cs="Arial"/>
                <w:color w:val="000000" w:themeColor="text1"/>
                <w:sz w:val="21"/>
                <w:szCs w:val="21"/>
              </w:rPr>
              <w:instrText>数字化转型对企业国际化产生重大影响。本文旨在提供系统的文献综述，分析二十年来关于个人、企业和宏观（国际）层面数字化转型相关关键问题及其对企业国际化进程影响的文献。我们展示了数字化转型中人类（软方面）和非人类成分（即知识、领导力、数字服务化、技术）的影响，这些影响可能允许或威胁数字化转型，以及它们对企业国际化的影响。此外，我们的研究结果表明，数字化转型可以在个人、公司和宏观层面对公司国际化产生积极和消极的影响。此外，我们回顾了与数字化转型和国际化相关的现有理论，并找出了这些理论中当前的差距。最后，我们为未来的研究提供了方向，以解决这些差距。</w:instrText>
            </w:r>
            <w:r w:rsidRPr="002559FE">
              <w:rPr>
                <w:rFonts w:cs="Arial"/>
                <w:color w:val="000000" w:themeColor="text1"/>
                <w:sz w:val="21"/>
                <w:szCs w:val="21"/>
              </w:rPr>
              <w:instrText xml:space="preserve">\ntitleTranslation: </w:instrText>
            </w:r>
            <w:r w:rsidRPr="002559FE">
              <w:rPr>
                <w:rFonts w:cs="Arial"/>
                <w:color w:val="000000" w:themeColor="text1"/>
                <w:sz w:val="21"/>
                <w:szCs w:val="21"/>
              </w:rPr>
              <w:instrText>数字化转型是否受到威胁？对影响企业数字化转型和国际化因素的系统文献综述</w:instrText>
            </w:r>
            <w:r w:rsidRPr="002559FE">
              <w:rPr>
                <w:rFonts w:cs="Arial"/>
                <w:color w:val="000000" w:themeColor="text1"/>
                <w:sz w:val="21"/>
                <w:szCs w:val="21"/>
              </w:rPr>
              <w:instrText xml:space="preserve">","page":"113546","source":"11.3","title":"Is digital transformation threatened? A systematic literature review of the factors influencing firms’ digital transformation and internationalization","title-short":"Is digital transformation threatened?","volume":"157","author":[{"family":"Feliciano-Cestero","given":"María M."},{"family":"Ameen","given":"Nisreen"},{"family":"Kotabe","given":"Masaaki"},{"family":"Paul","given":"Justin"},{"family":"Signoret","given":"Mario"}],"issued":{"date-parts":[["2023",3]]},"citation-key":"feliciano-cesteroDigitalTransformationThreatened2023"}},{"id":16335,"uris":["http://zotero.org/users/4106135/items/SSIY4HNU"],"itemData":{"id":16335,"type":"article-journal","abstract":"Continuous use of cloud computing and cloud sourcing has received limited research attention compared to cloud adoption. There are indications that cloud sourcing benefits are not easy to reap in continuous use for companies, calling for more research on the continuance use of cloud computing. The current study is one of the first studies of the continuance use of cloud computing processes at the organizational level, contributing to the management and business research literature on cloud computing. In particular, the present study has contributed with two case studies verifying the existence of barriers and more importantly identifying an additional type of barrier: management process barriers (MP), i.e., lack of objectives and strategies for cloud sourcing and lack of organizing cloud vendor communication. Overcoming or reducing management process barriers guides the continuance use of cloud computing process in a strategic direction for the company and enables cloud-related innovation. As a contribution, our research builds on and extends extant research by providing a TOMPE framework of barriers to the continuance use of cloud computing (based and modified from the technology–organization–environment (TOE) framework, by complementing it with the identified man­ agement process barriers).","archive":"Cloud","call-number":"2","container-title":"Information &amp; Management","DOI":"10.1016/j.im.2023.103792","ISSN":"03787206","issue":"5","journalAbbreviation":"Information &amp; Management","language":"en","note":"abstractTranslation:  </w:instrText>
            </w:r>
            <w:r w:rsidRPr="002559FE">
              <w:rPr>
                <w:rFonts w:cs="Arial"/>
                <w:color w:val="000000" w:themeColor="text1"/>
                <w:sz w:val="21"/>
                <w:szCs w:val="21"/>
              </w:rPr>
              <w:instrText>与云采用相比，云计算和云采购的持续使用受到的研究关注有限。有迹象表明，企业在持续使用云计算的过程中并不容易获得好处，需要对云计算的持续使用进行更多研究。当前的研究是在组织层面持续使用云计算流程的首批研究之一，为云计算的管理和业务研究文献做出了贡献。特别是，本研究提供了两个案例研究，验证了障碍的存在，更重要的是确定了另一种障碍：管理流程障碍（</w:instrText>
            </w:r>
            <w:r w:rsidRPr="002559FE">
              <w:rPr>
                <w:rFonts w:cs="Arial"/>
                <w:color w:val="000000" w:themeColor="text1"/>
                <w:sz w:val="21"/>
                <w:szCs w:val="21"/>
              </w:rPr>
              <w:instrText>MP</w:instrText>
            </w:r>
            <w:r w:rsidRPr="002559FE">
              <w:rPr>
                <w:rFonts w:cs="Arial"/>
                <w:color w:val="000000" w:themeColor="text1"/>
                <w:sz w:val="21"/>
                <w:szCs w:val="21"/>
              </w:rPr>
              <w:instrText>），即缺乏云采购的目标和策略以及缺乏组织云供应商沟通。克服或减少管理流程障碍可以引导云计算流程在公司战略方向上的持续使用，并实现与云相关的创新。作为一项贡献，我们的研究建立在现有研究的基础上并对其进行了扩展，提供了一个关于继续使用云计算的障碍的</w:instrText>
            </w:r>
            <w:r w:rsidRPr="002559FE">
              <w:rPr>
                <w:rFonts w:cs="Arial"/>
                <w:color w:val="000000" w:themeColor="text1"/>
                <w:sz w:val="21"/>
                <w:szCs w:val="21"/>
              </w:rPr>
              <w:instrText xml:space="preserve"> TOMPE </w:instrText>
            </w:r>
            <w:r w:rsidRPr="002559FE">
              <w:rPr>
                <w:rFonts w:cs="Arial"/>
                <w:color w:val="000000" w:themeColor="text1"/>
                <w:sz w:val="21"/>
                <w:szCs w:val="21"/>
              </w:rPr>
              <w:instrText>框架（基于技术</w:instrText>
            </w:r>
            <w:r w:rsidRPr="002559FE">
              <w:rPr>
                <w:rFonts w:cs="Arial"/>
                <w:color w:val="000000" w:themeColor="text1"/>
                <w:sz w:val="21"/>
                <w:szCs w:val="21"/>
              </w:rPr>
              <w:instrText>-</w:instrText>
            </w:r>
            <w:r w:rsidRPr="002559FE">
              <w:rPr>
                <w:rFonts w:cs="Arial"/>
                <w:color w:val="000000" w:themeColor="text1"/>
                <w:sz w:val="21"/>
                <w:szCs w:val="21"/>
              </w:rPr>
              <w:instrText>组织</w:instrText>
            </w:r>
            <w:r w:rsidRPr="002559FE">
              <w:rPr>
                <w:rFonts w:cs="Arial"/>
                <w:color w:val="000000" w:themeColor="text1"/>
                <w:sz w:val="21"/>
                <w:szCs w:val="21"/>
              </w:rPr>
              <w:instrText>-</w:instrText>
            </w:r>
            <w:r w:rsidRPr="002559FE">
              <w:rPr>
                <w:rFonts w:cs="Arial"/>
                <w:color w:val="000000" w:themeColor="text1"/>
                <w:sz w:val="21"/>
                <w:szCs w:val="21"/>
              </w:rPr>
              <w:instrText>环境</w:instrText>
            </w:r>
            <w:r w:rsidRPr="002559FE">
              <w:rPr>
                <w:rFonts w:cs="Arial"/>
                <w:color w:val="000000" w:themeColor="text1"/>
                <w:sz w:val="21"/>
                <w:szCs w:val="21"/>
              </w:rPr>
              <w:instrText xml:space="preserve"> (TOE) </w:instrText>
            </w:r>
            <w:r w:rsidRPr="002559FE">
              <w:rPr>
                <w:rFonts w:cs="Arial"/>
                <w:color w:val="000000" w:themeColor="text1"/>
                <w:sz w:val="21"/>
                <w:szCs w:val="21"/>
              </w:rPr>
              <w:instrText>框架并对其进行了修改，通过用已确定的管理对其进行补充）过程障碍）。</w:instrText>
            </w:r>
            <w:r w:rsidRPr="002559FE">
              <w:rPr>
                <w:rFonts w:cs="Arial"/>
                <w:color w:val="000000" w:themeColor="text1"/>
                <w:sz w:val="21"/>
                <w:szCs w:val="21"/>
              </w:rPr>
              <w:instrText xml:space="preserve">\ntitleTranslation: </w:instrText>
            </w:r>
            <w:r w:rsidRPr="002559FE">
              <w:rPr>
                <w:rFonts w:cs="Arial"/>
                <w:color w:val="000000" w:themeColor="text1"/>
                <w:sz w:val="21"/>
                <w:szCs w:val="21"/>
              </w:rPr>
              <w:instrText>继续使用云计算的障碍：两个案例研究的证据</w:instrText>
            </w:r>
            <w:r w:rsidRPr="002559FE">
              <w:rPr>
                <w:rFonts w:cs="Arial"/>
                <w:color w:val="000000" w:themeColor="text1"/>
                <w:sz w:val="21"/>
                <w:szCs w:val="21"/>
              </w:rPr>
              <w:instrText xml:space="preserve">","page":"103792","source":"9.9","title":"Barriers to continuance use of cloud computing: Evidence from two case studies","title-short":"Barriers to continuance use of cloud computing","volume":"60","author":[{"family":"Muhic","given":"Mirella"},{"family":"Bengtsson","given":"Lars"},{"family":"Holmström","given":"Jonny"}],"issued":{"date-parts":[["2023",7]]},"citation-key":"muhicBarriersContinuanceUse2023"}},{"id":18964,"uris":["http://zotero.org/users/4106135/items/2LCEMCY7"],"itemData":{"id":18964,"type":"article-journal","abstract":"Since the introduction of the concept of “digital twins” (DTs) in 2002, the number of practical applications in different industrial sectors has grown rapidly. Despite the hype surrounding this technology, companies face significant challenges upon deciding to implement DTs in their organizations due to the novelty of the concept. Furthermore, little research on DT has been conducted for the process industry, which may be explained by the high complexity of accurately representing and modeling the physics behind production processes. To consolidate the fragmented literature on the enabling factors and challenges in DT im­ plementation in the process industry, this study organizes the existing studies on DTs with a focus on barriers and enablers. On this basis, this study contributes to the existing body of knowledge on DTs by organizing the DT literature and by proposing conceptual models describing enablers of and barriers to DT implementation, as well as their mutual relationships.","call-number":"2","container-title":"Computers in Industry","DOI":"10.1016/j.compind.2021.103558","ISSN":"01663615","journalAbbreviation":"Computers in Industry","language":"en","note":"titleTranslation: </w:instrText>
            </w:r>
            <w:r w:rsidRPr="002559FE">
              <w:rPr>
                <w:rFonts w:cs="Arial"/>
                <w:color w:val="000000" w:themeColor="text1"/>
                <w:sz w:val="21"/>
                <w:szCs w:val="21"/>
              </w:rPr>
              <w:instrText>数字孪生在流程工业中的实施：对推动因素和障碍的系统文献综述</w:instrText>
            </w:r>
            <w:r w:rsidRPr="002559FE">
              <w:rPr>
                <w:rFonts w:cs="Arial"/>
                <w:color w:val="000000" w:themeColor="text1"/>
                <w:sz w:val="21"/>
                <w:szCs w:val="21"/>
              </w:rPr>
              <w:instrText xml:space="preserve">\nabstractTranslation:  </w:instrText>
            </w:r>
            <w:r w:rsidRPr="002559FE">
              <w:rPr>
                <w:rFonts w:cs="Arial"/>
                <w:color w:val="000000" w:themeColor="text1"/>
                <w:sz w:val="21"/>
                <w:szCs w:val="21"/>
              </w:rPr>
              <w:instrText>自</w:instrText>
            </w:r>
            <w:r w:rsidRPr="002559FE">
              <w:rPr>
                <w:rFonts w:cs="Arial"/>
                <w:color w:val="000000" w:themeColor="text1"/>
                <w:sz w:val="21"/>
                <w:szCs w:val="21"/>
              </w:rPr>
              <w:instrText>2002</w:instrText>
            </w:r>
            <w:r w:rsidRPr="002559FE">
              <w:rPr>
                <w:rFonts w:cs="Arial"/>
                <w:color w:val="000000" w:themeColor="text1"/>
                <w:sz w:val="21"/>
                <w:szCs w:val="21"/>
              </w:rPr>
              <w:instrText>年提出</w:instrText>
            </w:r>
            <w:r w:rsidRPr="002559FE">
              <w:rPr>
                <w:rFonts w:cs="Arial"/>
                <w:color w:val="000000" w:themeColor="text1"/>
                <w:sz w:val="21"/>
                <w:szCs w:val="21"/>
              </w:rPr>
              <w:instrText>“</w:instrText>
            </w:r>
            <w:r w:rsidRPr="002559FE">
              <w:rPr>
                <w:rFonts w:cs="Arial"/>
                <w:color w:val="000000" w:themeColor="text1"/>
                <w:sz w:val="21"/>
                <w:szCs w:val="21"/>
              </w:rPr>
              <w:instrText>数字孪生</w:instrText>
            </w:r>
            <w:r w:rsidRPr="002559FE">
              <w:rPr>
                <w:rFonts w:cs="Arial"/>
                <w:color w:val="000000" w:themeColor="text1"/>
                <w:sz w:val="21"/>
                <w:szCs w:val="21"/>
              </w:rPr>
              <w:instrText>”</w:instrText>
            </w:r>
            <w:r w:rsidRPr="002559FE">
              <w:rPr>
                <w:rFonts w:cs="Arial"/>
                <w:color w:val="000000" w:themeColor="text1"/>
                <w:sz w:val="21"/>
                <w:szCs w:val="21"/>
              </w:rPr>
              <w:instrText>（</w:instrText>
            </w:r>
            <w:r w:rsidRPr="002559FE">
              <w:rPr>
                <w:rFonts w:cs="Arial"/>
                <w:color w:val="000000" w:themeColor="text1"/>
                <w:sz w:val="21"/>
                <w:szCs w:val="21"/>
              </w:rPr>
              <w:instrText>DT</w:instrText>
            </w:r>
            <w:r w:rsidRPr="002559FE">
              <w:rPr>
                <w:rFonts w:cs="Arial"/>
                <w:color w:val="000000" w:themeColor="text1"/>
                <w:sz w:val="21"/>
                <w:szCs w:val="21"/>
              </w:rPr>
              <w:instrText>）概念以来，不同工业领域的实际应用数量迅速增长。尽管围绕这项技术进行了大肆宣传，但由于该概念的新颖性，公司在决定在其组织中实施</w:instrText>
            </w:r>
            <w:r w:rsidRPr="002559FE">
              <w:rPr>
                <w:rFonts w:cs="Arial"/>
                <w:color w:val="000000" w:themeColor="text1"/>
                <w:sz w:val="21"/>
                <w:szCs w:val="21"/>
              </w:rPr>
              <w:instrText xml:space="preserve"> DT </w:instrText>
            </w:r>
            <w:r w:rsidRPr="002559FE">
              <w:rPr>
                <w:rFonts w:cs="Arial"/>
                <w:color w:val="000000" w:themeColor="text1"/>
                <w:sz w:val="21"/>
                <w:szCs w:val="21"/>
              </w:rPr>
              <w:instrText>时面临着重大挑战。此外，针对流程工业对数字孪生的研究很少，这可能是因为准确表示和建模生产过程背后的物理过程非常复杂。为了整合有关流程工业实施数字化转型的促成因素和挑战的零碎文献，本研究整理了现有的数字化转型研究，重点关注障碍和推动因素。在此基础上，本研究通过组织数字技术文献并提出描述数字技术实施的推动因素和障碍及其相互关系的概念模型，为现有的数字技术知识体系做出贡献。</w:instrText>
            </w:r>
            <w:r w:rsidRPr="002559FE">
              <w:rPr>
                <w:rFonts w:cs="Arial"/>
                <w:color w:val="000000" w:themeColor="text1"/>
                <w:sz w:val="21"/>
                <w:szCs w:val="21"/>
              </w:rPr>
              <w:instrText xml:space="preserve">","page":"103558","source":"10","title":"Implementation of digital twins in the process industry: A systematic literature review of enablers and barriers","title-short":"Implementation of digital twins in the process industry","volume":"134","author":[{"family":"Perno","given":"Matteo"},{"family":"Hvam","given":"Lars"},{"family":"Haug","given":"Anders"}],"issued":{"date-parts":[["2022",1]]},"citation-key":"pernoImplementationDigitalTwins2022"}},{"id":32302,"uris":["http://zotero.org/users/4106135/items/KLF3BS4C"],"itemData":{"id":32302,"type":"article-journal","abstract":"The technological development e.g. in terms of Industry 4.0 is moving rapidly enabling manufacturing companies with new possibilities for digital transformations to offer products and services to current and new markets at competitive costs. A mixed-method approach is used to investigate the drivers and barriers for Industry 4.0 readiness and practice among Danish small and medium-sized manufacturers. Data is based on a questionnaire-survey among 190 manufacturers about their readiness for digitalized manufacturing and their actual practice in this area. A main finding is that it is the managers’ lack of perceiving Industry 4.0 drivers, not their perceptions of high Industry 4.0 barriers that obstruct SMEs’ development of Industry 4.0 readiness and their application of Industry 4.0 technologies. Using these insights provide four more nuanced interpretations of the significance of the Industry 4.0 challenges faced by the four case companies. The finding that SMEs seem to engage positively with Industry 4.0 barriers, when there is perceived a business case to do so, has important consequences for our understanding of the inertial dynamics surrounding SMEs’ Industry 4.0 application, and consequently for guiding policy initiatives to promote Industry 4.0 adaptation among SMEs.","call-number":"3","container-title":"Production Planning &amp; Control","DOI":"10.1080/09537287.2020.1768318","ISSN":"0953-7287, 1366-5871","issue":"10","journalAbbreviation":"Production Planning &amp; Control","language":"en","note":"titleTranslation: </w:instrText>
            </w:r>
            <w:r w:rsidRPr="002559FE">
              <w:rPr>
                <w:rFonts w:cs="Arial"/>
                <w:color w:val="000000" w:themeColor="text1"/>
                <w:sz w:val="21"/>
                <w:szCs w:val="21"/>
              </w:rPr>
              <w:instrText>工业</w:instrText>
            </w:r>
            <w:r w:rsidRPr="002559FE">
              <w:rPr>
                <w:rFonts w:cs="Arial"/>
                <w:color w:val="000000" w:themeColor="text1"/>
                <w:sz w:val="21"/>
                <w:szCs w:val="21"/>
              </w:rPr>
              <w:instrText xml:space="preserve"> 4.0 </w:instrText>
            </w:r>
            <w:r w:rsidRPr="002559FE">
              <w:rPr>
                <w:rFonts w:cs="Arial"/>
                <w:color w:val="000000" w:themeColor="text1"/>
                <w:sz w:val="21"/>
                <w:szCs w:val="21"/>
              </w:rPr>
              <w:instrText>准备和实践的驱动因素和障碍：来自中小型制造商的经验证据</w:instrText>
            </w:r>
            <w:r w:rsidRPr="002559FE">
              <w:rPr>
                <w:rFonts w:cs="Arial"/>
                <w:color w:val="000000" w:themeColor="text1"/>
                <w:sz w:val="21"/>
                <w:szCs w:val="21"/>
              </w:rPr>
              <w:instrText xml:space="preserve">\nabstractTranslation:  </w:instrText>
            </w:r>
            <w:r w:rsidRPr="002559FE">
              <w:rPr>
                <w:rFonts w:cs="Arial"/>
                <w:color w:val="000000" w:themeColor="text1"/>
                <w:sz w:val="21"/>
                <w:szCs w:val="21"/>
              </w:rPr>
              <w:instrText>技术发展，例如工业</w:instrText>
            </w:r>
            <w:r w:rsidRPr="002559FE">
              <w:rPr>
                <w:rFonts w:cs="Arial"/>
                <w:color w:val="000000" w:themeColor="text1"/>
                <w:sz w:val="21"/>
                <w:szCs w:val="21"/>
              </w:rPr>
              <w:instrText xml:space="preserve"> 4.0 </w:instrText>
            </w:r>
            <w:r w:rsidRPr="002559FE">
              <w:rPr>
                <w:rFonts w:cs="Arial"/>
                <w:color w:val="000000" w:themeColor="text1"/>
                <w:sz w:val="21"/>
                <w:szCs w:val="21"/>
              </w:rPr>
              <w:instrText>正在迅速发展，使制造企业能够以具有竞争力的成本向当前和新市场提供新的数字化转型可能性的产品和服务。采用混合方法来调查丹麦中小型制造商工业</w:instrText>
            </w:r>
            <w:r w:rsidRPr="002559FE">
              <w:rPr>
                <w:rFonts w:cs="Arial"/>
                <w:color w:val="000000" w:themeColor="text1"/>
                <w:sz w:val="21"/>
                <w:szCs w:val="21"/>
              </w:rPr>
              <w:instrText xml:space="preserve"> 4.0 </w:instrText>
            </w:r>
            <w:r w:rsidRPr="002559FE">
              <w:rPr>
                <w:rFonts w:cs="Arial"/>
                <w:color w:val="000000" w:themeColor="text1"/>
                <w:sz w:val="21"/>
                <w:szCs w:val="21"/>
              </w:rPr>
              <w:instrText>准备和实践的驱动因素和障碍。数据基于对</w:instrText>
            </w:r>
            <w:r w:rsidRPr="002559FE">
              <w:rPr>
                <w:rFonts w:cs="Arial"/>
                <w:color w:val="000000" w:themeColor="text1"/>
                <w:sz w:val="21"/>
                <w:szCs w:val="21"/>
              </w:rPr>
              <w:instrText xml:space="preserve"> 190 </w:instrText>
            </w:r>
            <w:r w:rsidRPr="002559FE">
              <w:rPr>
                <w:rFonts w:cs="Arial"/>
                <w:color w:val="000000" w:themeColor="text1"/>
                <w:sz w:val="21"/>
                <w:szCs w:val="21"/>
              </w:rPr>
              <w:instrText>家制造商进行的问卷调查，了解他们对数字化制造的准备情况以及在该领域的实际实践。一个主要发现是，阻碍中小企业发展工业</w:instrText>
            </w:r>
            <w:r w:rsidRPr="002559FE">
              <w:rPr>
                <w:rFonts w:cs="Arial"/>
                <w:color w:val="000000" w:themeColor="text1"/>
                <w:sz w:val="21"/>
                <w:szCs w:val="21"/>
              </w:rPr>
              <w:instrText xml:space="preserve"> 4.0 </w:instrText>
            </w:r>
            <w:r w:rsidRPr="002559FE">
              <w:rPr>
                <w:rFonts w:cs="Arial"/>
                <w:color w:val="000000" w:themeColor="text1"/>
                <w:sz w:val="21"/>
                <w:szCs w:val="21"/>
              </w:rPr>
              <w:instrText>准备和应用工业</w:instrText>
            </w:r>
            <w:r w:rsidRPr="002559FE">
              <w:rPr>
                <w:rFonts w:cs="Arial"/>
                <w:color w:val="000000" w:themeColor="text1"/>
                <w:sz w:val="21"/>
                <w:szCs w:val="21"/>
              </w:rPr>
              <w:instrText xml:space="preserve"> 4.0 </w:instrText>
            </w:r>
            <w:r w:rsidRPr="002559FE">
              <w:rPr>
                <w:rFonts w:cs="Arial"/>
                <w:color w:val="000000" w:themeColor="text1"/>
                <w:sz w:val="21"/>
                <w:szCs w:val="21"/>
              </w:rPr>
              <w:instrText>技术的，是管理者缺乏对工业</w:instrText>
            </w:r>
            <w:r w:rsidRPr="002559FE">
              <w:rPr>
                <w:rFonts w:cs="Arial"/>
                <w:color w:val="000000" w:themeColor="text1"/>
                <w:sz w:val="21"/>
                <w:szCs w:val="21"/>
              </w:rPr>
              <w:instrText xml:space="preserve"> 4.0 </w:instrText>
            </w:r>
            <w:r w:rsidRPr="002559FE">
              <w:rPr>
                <w:rFonts w:cs="Arial"/>
                <w:color w:val="000000" w:themeColor="text1"/>
                <w:sz w:val="21"/>
                <w:szCs w:val="21"/>
              </w:rPr>
              <w:instrText>驱动因素的感知，而不是他们对工业</w:instrText>
            </w:r>
            <w:r w:rsidRPr="002559FE">
              <w:rPr>
                <w:rFonts w:cs="Arial"/>
                <w:color w:val="000000" w:themeColor="text1"/>
                <w:sz w:val="21"/>
                <w:szCs w:val="21"/>
              </w:rPr>
              <w:instrText xml:space="preserve"> 4.0 </w:instrText>
            </w:r>
            <w:r w:rsidRPr="002559FE">
              <w:rPr>
                <w:rFonts w:cs="Arial"/>
                <w:color w:val="000000" w:themeColor="text1"/>
                <w:sz w:val="21"/>
                <w:szCs w:val="21"/>
              </w:rPr>
              <w:instrText>高壁垒的认知。利用这些见解，可以对四家案例公司所面临的工业</w:instrText>
            </w:r>
            <w:r w:rsidRPr="002559FE">
              <w:rPr>
                <w:rFonts w:cs="Arial"/>
                <w:color w:val="000000" w:themeColor="text1"/>
                <w:sz w:val="21"/>
                <w:szCs w:val="21"/>
              </w:rPr>
              <w:instrText xml:space="preserve"> 4.0 </w:instrText>
            </w:r>
            <w:r w:rsidRPr="002559FE">
              <w:rPr>
                <w:rFonts w:cs="Arial"/>
                <w:color w:val="000000" w:themeColor="text1"/>
                <w:sz w:val="21"/>
                <w:szCs w:val="21"/>
              </w:rPr>
              <w:instrText>挑战的重要性提供四种更细致的解释。中小企业似乎积极应对工业</w:instrText>
            </w:r>
            <w:r w:rsidRPr="002559FE">
              <w:rPr>
                <w:rFonts w:cs="Arial"/>
                <w:color w:val="000000" w:themeColor="text1"/>
                <w:sz w:val="21"/>
                <w:szCs w:val="21"/>
              </w:rPr>
              <w:instrText xml:space="preserve"> 4.0 </w:instrText>
            </w:r>
            <w:r w:rsidRPr="002559FE">
              <w:rPr>
                <w:rFonts w:cs="Arial"/>
                <w:color w:val="000000" w:themeColor="text1"/>
                <w:sz w:val="21"/>
                <w:szCs w:val="21"/>
              </w:rPr>
              <w:instrText>障碍（当有商业案例时）这一发现对于我们理解中小企业工业</w:instrText>
            </w:r>
            <w:r w:rsidRPr="002559FE">
              <w:rPr>
                <w:rFonts w:cs="Arial"/>
                <w:color w:val="000000" w:themeColor="text1"/>
                <w:sz w:val="21"/>
                <w:szCs w:val="21"/>
              </w:rPr>
              <w:instrText xml:space="preserve"> 4.0 </w:instrText>
            </w:r>
            <w:r w:rsidRPr="002559FE">
              <w:rPr>
                <w:rFonts w:cs="Arial"/>
                <w:color w:val="000000" w:themeColor="text1"/>
                <w:sz w:val="21"/>
                <w:szCs w:val="21"/>
              </w:rPr>
              <w:instrText>应用的惯性动力具有重要影响，从而指导促进工业</w:instrText>
            </w:r>
            <w:r w:rsidRPr="002559FE">
              <w:rPr>
                <w:rFonts w:cs="Arial"/>
                <w:color w:val="000000" w:themeColor="text1"/>
                <w:sz w:val="21"/>
                <w:szCs w:val="21"/>
              </w:rPr>
              <w:instrText xml:space="preserve">4.0 </w:instrText>
            </w:r>
            <w:r w:rsidRPr="002559FE">
              <w:rPr>
                <w:rFonts w:cs="Arial"/>
                <w:color w:val="000000" w:themeColor="text1"/>
                <w:sz w:val="21"/>
                <w:szCs w:val="21"/>
              </w:rPr>
              <w:instrText>的政策举措中小企业适应</w:instrText>
            </w:r>
            <w:r w:rsidRPr="002559FE">
              <w:rPr>
                <w:rFonts w:cs="Arial"/>
                <w:color w:val="000000" w:themeColor="text1"/>
                <w:sz w:val="21"/>
                <w:szCs w:val="21"/>
              </w:rPr>
              <w:instrText>4.0</w:instrText>
            </w:r>
            <w:r w:rsidRPr="002559FE">
              <w:rPr>
                <w:rFonts w:cs="Arial"/>
                <w:color w:val="000000" w:themeColor="text1"/>
                <w:sz w:val="21"/>
                <w:szCs w:val="21"/>
              </w:rPr>
              <w:instrText>。</w:instrText>
            </w:r>
            <w:r w:rsidRPr="002559FE">
              <w:rPr>
                <w:rFonts w:cs="Arial"/>
                <w:color w:val="000000" w:themeColor="text1"/>
                <w:sz w:val="21"/>
                <w:szCs w:val="21"/>
              </w:rPr>
              <w:instrText xml:space="preserve">","page":"811-828","source":"8.3","title":"Drivers and barriers for Industry 4.0 readiness and practice: empirical evidence from small and medium-sized manufacturers","title-short":"Drivers and barriers for Industry 4.0 readiness and practice","volume":"32","author":[{"family":"Stentoft","given":"Jan"},{"family":"Adsbøll Wickstrøm","given":"Kent"},{"family":"Philipsen","given":"Kristian"},{"family":"Haug","given":"Anders"}],"issued":{"date-parts":[["2021",7,27]]},"citation-key":"stentoftDriversBarriersIndustry2021"}}],"schema":"https://github.com/citation-style-language/schema/raw/master/csl-citation.json"} </w:instrText>
            </w:r>
            <w:r w:rsidRPr="002559FE">
              <w:rPr>
                <w:rFonts w:cs="Arial"/>
                <w:color w:val="000000" w:themeColor="text1"/>
                <w:sz w:val="21"/>
                <w:szCs w:val="21"/>
              </w:rPr>
              <w:fldChar w:fldCharType="separate"/>
            </w:r>
            <w:r w:rsidRPr="002559FE">
              <w:rPr>
                <w:rFonts w:cs="Arial"/>
                <w:noProof/>
                <w:color w:val="000000" w:themeColor="text1"/>
                <w:sz w:val="21"/>
                <w:szCs w:val="21"/>
              </w:rPr>
              <w:t>(Agrawal et al., 2019; Birkel &amp; Wehrle, 2024; Feliciano-Cestero et al., 2023; Muhic et al., 2023; Perno et al., 2022; Stentoft et al., 2021)</w:t>
            </w:r>
            <w:r w:rsidRPr="002559FE">
              <w:rPr>
                <w:rFonts w:cs="Arial"/>
                <w:color w:val="000000" w:themeColor="text1"/>
                <w:sz w:val="21"/>
                <w:szCs w:val="21"/>
              </w:rPr>
              <w:fldChar w:fldCharType="end"/>
            </w:r>
            <w:r w:rsidRPr="002559FE">
              <w:rPr>
                <w:rFonts w:cs="Arial"/>
                <w:color w:val="000000" w:themeColor="text1"/>
                <w:sz w:val="21"/>
                <w:szCs w:val="21"/>
              </w:rPr>
              <w:t>.</w:t>
            </w:r>
          </w:p>
          <w:p w14:paraId="5FAC8967" w14:textId="77777777" w:rsidR="00C9708D" w:rsidRPr="0056491B" w:rsidRDefault="00C9708D" w:rsidP="00C9708D">
            <w:pPr>
              <w:widowControl w:val="0"/>
              <w:spacing w:line="360" w:lineRule="auto"/>
              <w:jc w:val="both"/>
              <w:rPr>
                <w:rFonts w:cs="Arial"/>
                <w:b/>
                <w:bCs/>
                <w:color w:val="000000" w:themeColor="text1"/>
                <w:sz w:val="21"/>
                <w:szCs w:val="21"/>
                <w:lang w:val="en-US"/>
              </w:rPr>
            </w:pPr>
            <w:bookmarkStart w:id="2" w:name="_Toc167949103"/>
            <w:r w:rsidRPr="0056491B">
              <w:rPr>
                <w:rFonts w:cs="Arial"/>
                <w:b/>
                <w:bCs/>
                <w:color w:val="000000" w:themeColor="text1"/>
                <w:sz w:val="21"/>
                <w:szCs w:val="21"/>
                <w:lang w:val="en-US"/>
              </w:rPr>
              <w:t xml:space="preserve">Digital transformation of </w:t>
            </w:r>
            <w:r w:rsidRPr="002559FE">
              <w:rPr>
                <w:rFonts w:cs="Arial"/>
                <w:b/>
                <w:bCs/>
                <w:color w:val="000000" w:themeColor="text1"/>
                <w:sz w:val="21"/>
                <w:szCs w:val="21"/>
              </w:rPr>
              <w:t xml:space="preserve">the </w:t>
            </w:r>
            <w:r w:rsidRPr="0056491B">
              <w:rPr>
                <w:rFonts w:cs="Arial"/>
                <w:b/>
                <w:bCs/>
                <w:color w:val="000000" w:themeColor="text1"/>
                <w:sz w:val="21"/>
                <w:szCs w:val="21"/>
                <w:lang w:val="en-US"/>
              </w:rPr>
              <w:t>Coal Mining industry</w:t>
            </w:r>
            <w:bookmarkEnd w:id="2"/>
          </w:p>
          <w:p w14:paraId="79201B5E" w14:textId="77777777" w:rsidR="00C9708D" w:rsidRPr="002559FE" w:rsidRDefault="00C9708D" w:rsidP="00C9708D">
            <w:pPr>
              <w:spacing w:line="360" w:lineRule="auto"/>
              <w:rPr>
                <w:rFonts w:cs="Arial"/>
                <w:color w:val="000000" w:themeColor="text1"/>
                <w:sz w:val="21"/>
                <w:szCs w:val="21"/>
                <w:lang w:val="en-US"/>
              </w:rPr>
            </w:pPr>
            <w:r w:rsidRPr="002559FE">
              <w:rPr>
                <w:rFonts w:cs="Arial"/>
                <w:color w:val="000000" w:themeColor="text1"/>
                <w:sz w:val="21"/>
                <w:szCs w:val="21"/>
                <w:lang w:val="en-US"/>
              </w:rPr>
              <w:t xml:space="preserve">To fully transition from conventional to clean energy, the mining industry has introduced the </w:t>
            </w:r>
            <w:r w:rsidRPr="002559FE">
              <w:rPr>
                <w:rFonts w:cs="Arial"/>
                <w:color w:val="000000" w:themeColor="text1"/>
                <w:sz w:val="21"/>
                <w:szCs w:val="21"/>
                <w:lang w:eastAsia="zh-CN"/>
              </w:rPr>
              <w:t>mining</w:t>
            </w:r>
            <w:r w:rsidRPr="002559FE">
              <w:rPr>
                <w:rFonts w:cs="Arial"/>
                <w:color w:val="000000" w:themeColor="text1"/>
                <w:sz w:val="21"/>
                <w:szCs w:val="21"/>
                <w:lang w:val="en-US"/>
              </w:rPr>
              <w:t>3.0-5.0 concept, aimed at increasing resource efficiency, reducing environmental impact, and enhancing safety</w:t>
            </w:r>
            <w:r w:rsidRPr="002559FE">
              <w:rPr>
                <w:rFonts w:cs="Arial"/>
                <w:color w:val="000000" w:themeColor="text1"/>
                <w:sz w:val="21"/>
                <w:szCs w:val="21"/>
              </w:rPr>
              <w:fldChar w:fldCharType="begin"/>
            </w:r>
            <w:r>
              <w:rPr>
                <w:rFonts w:cs="Arial"/>
                <w:color w:val="000000" w:themeColor="text1"/>
                <w:szCs w:val="21"/>
              </w:rPr>
              <w:instrText xml:space="preserve"> ADDIN ZOTERO_ITEM CSL_CITATION {"citationID":"oXNbPkiU","properties":{"formattedCitation":"(Chen et al., 2023; G. Wang et al., 2019; Yang et al., 2023)","plainCitation":"(Chen et al., 2023; G. Wang et al., 2019; Yang et al., 2023)","noteIndex":0},"citationItems":[{"id":35072,"uris":["http://zotero.org/users/4106135/items/FVR62K9B"],"itemData":{"id":35072,"type":"article-journal","abstract":"This letter is part of the Intelligent Mining Development Forum and aims to summarize the discussions of Mining 5.0 from Intelligent Vehicle 5.0 project by IEEE TIV, which represents a shift from Cyber-Physical Systems (CPS) to Cyber-PhysicalSocial Systems (CPSS). This letter highlights the basic theories and summarizes the framework of Mining 5.0 with three worlds, three modes, and three technologies that promote values of ESG, ERS, and DEI in physical, mental, and arti</w:instrText>
            </w:r>
            <w:r>
              <w:rPr>
                <w:rFonts w:ascii="Times New Roman" w:hAnsi="Times New Roman"/>
                <w:color w:val="000000" w:themeColor="text1"/>
                <w:szCs w:val="21"/>
              </w:rPr>
              <w:instrText>ﬁ</w:instrText>
            </w:r>
            <w:r>
              <w:rPr>
                <w:rFonts w:cs="Arial"/>
                <w:color w:val="000000" w:themeColor="text1"/>
                <w:szCs w:val="21"/>
              </w:rPr>
              <w:instrText>cial worlds. Mining 5.0 plays a pivotal role in achieving “6S” goals (Safety, Security, Sustainability, Sensitivity, Service, Smartness) for mining industries.","call-number":"4","container-title":"IEEE Transactions on Intelligent Vehicles","DOI":"10.1109/TIV.2023.3285417","ISSN":"2379-8904, 2379-8858","issue":"6","journalAbbreviation":"IEEE Trans. Intell. Veh.","language":"en","note":"abstractTransla</w:instrText>
            </w:r>
            <w:r>
              <w:rPr>
                <w:rFonts w:cs="Arial" w:hint="eastAsia"/>
                <w:color w:val="000000" w:themeColor="text1"/>
                <w:szCs w:val="21"/>
              </w:rPr>
              <w:instrText xml:space="preserve">tion:  </w:instrText>
            </w:r>
            <w:r>
              <w:rPr>
                <w:rFonts w:cs="Arial" w:hint="eastAsia"/>
                <w:color w:val="000000" w:themeColor="text1"/>
                <w:szCs w:val="21"/>
              </w:rPr>
              <w:instrText>这封信是智能采矿发展论坛的一部分，旨在总结</w:instrText>
            </w:r>
            <w:r>
              <w:rPr>
                <w:rFonts w:cs="Arial" w:hint="eastAsia"/>
                <w:color w:val="000000" w:themeColor="text1"/>
                <w:szCs w:val="21"/>
              </w:rPr>
              <w:instrText xml:space="preserve"> IEEE TIV </w:instrText>
            </w:r>
            <w:r>
              <w:rPr>
                <w:rFonts w:cs="Arial" w:hint="eastAsia"/>
                <w:color w:val="000000" w:themeColor="text1"/>
                <w:szCs w:val="21"/>
              </w:rPr>
              <w:instrText>智能车辆</w:instrText>
            </w:r>
            <w:r>
              <w:rPr>
                <w:rFonts w:cs="Arial" w:hint="eastAsia"/>
                <w:color w:val="000000" w:themeColor="text1"/>
                <w:szCs w:val="21"/>
              </w:rPr>
              <w:instrText xml:space="preserve"> 5.0 </w:instrText>
            </w:r>
            <w:r>
              <w:rPr>
                <w:rFonts w:cs="Arial" w:hint="eastAsia"/>
                <w:color w:val="000000" w:themeColor="text1"/>
                <w:szCs w:val="21"/>
              </w:rPr>
              <w:instrText>项目对采矿</w:instrText>
            </w:r>
            <w:r>
              <w:rPr>
                <w:rFonts w:cs="Arial" w:hint="eastAsia"/>
                <w:color w:val="000000" w:themeColor="text1"/>
                <w:szCs w:val="21"/>
              </w:rPr>
              <w:instrText xml:space="preserve"> 5.0 </w:instrText>
            </w:r>
            <w:r>
              <w:rPr>
                <w:rFonts w:cs="Arial" w:hint="eastAsia"/>
                <w:color w:val="000000" w:themeColor="text1"/>
                <w:szCs w:val="21"/>
              </w:rPr>
              <w:instrText>的讨论，代表着从网络物理系统</w:instrText>
            </w:r>
            <w:r>
              <w:rPr>
                <w:rFonts w:cs="Arial" w:hint="eastAsia"/>
                <w:color w:val="000000" w:themeColor="text1"/>
                <w:szCs w:val="21"/>
              </w:rPr>
              <w:instrText xml:space="preserve"> (CPS) </w:instrText>
            </w:r>
            <w:r>
              <w:rPr>
                <w:rFonts w:cs="Arial" w:hint="eastAsia"/>
                <w:color w:val="000000" w:themeColor="text1"/>
                <w:szCs w:val="21"/>
              </w:rPr>
              <w:instrText>到网络物理社会系统</w:instrText>
            </w:r>
            <w:r>
              <w:rPr>
                <w:rFonts w:cs="Arial" w:hint="eastAsia"/>
                <w:color w:val="000000" w:themeColor="text1"/>
                <w:szCs w:val="21"/>
              </w:rPr>
              <w:instrText xml:space="preserve"> (CPSS) </w:instrText>
            </w:r>
            <w:r>
              <w:rPr>
                <w:rFonts w:cs="Arial" w:hint="eastAsia"/>
                <w:color w:val="000000" w:themeColor="text1"/>
                <w:szCs w:val="21"/>
              </w:rPr>
              <w:instrText>的转变。这封信重点介绍了基础理论，并总结了采矿</w:instrText>
            </w:r>
            <w:r>
              <w:rPr>
                <w:rFonts w:cs="Arial" w:hint="eastAsia"/>
                <w:color w:val="000000" w:themeColor="text1"/>
                <w:szCs w:val="21"/>
              </w:rPr>
              <w:instrText>5.0</w:instrText>
            </w:r>
            <w:r>
              <w:rPr>
                <w:rFonts w:cs="Arial" w:hint="eastAsia"/>
                <w:color w:val="000000" w:themeColor="text1"/>
                <w:szCs w:val="21"/>
              </w:rPr>
              <w:instrText>的框架，包括三个世界、三种模式和三种技术，在物理、心理和人工世界中提升</w:instrText>
            </w:r>
            <w:r>
              <w:rPr>
                <w:rFonts w:cs="Arial" w:hint="eastAsia"/>
                <w:color w:val="000000" w:themeColor="text1"/>
                <w:szCs w:val="21"/>
              </w:rPr>
              <w:instrText>ESG</w:instrText>
            </w:r>
            <w:r>
              <w:rPr>
                <w:rFonts w:cs="Arial" w:hint="eastAsia"/>
                <w:color w:val="000000" w:themeColor="text1"/>
                <w:szCs w:val="21"/>
              </w:rPr>
              <w:instrText>、</w:instrText>
            </w:r>
            <w:r>
              <w:rPr>
                <w:rFonts w:cs="Arial" w:hint="eastAsia"/>
                <w:color w:val="000000" w:themeColor="text1"/>
                <w:szCs w:val="21"/>
              </w:rPr>
              <w:instrText>ERS</w:instrText>
            </w:r>
            <w:r>
              <w:rPr>
                <w:rFonts w:cs="Arial" w:hint="eastAsia"/>
                <w:color w:val="000000" w:themeColor="text1"/>
                <w:szCs w:val="21"/>
              </w:rPr>
              <w:instrText>和</w:instrText>
            </w:r>
            <w:r>
              <w:rPr>
                <w:rFonts w:cs="Arial" w:hint="eastAsia"/>
                <w:color w:val="000000" w:themeColor="text1"/>
                <w:szCs w:val="21"/>
              </w:rPr>
              <w:instrText>DEI</w:instrText>
            </w:r>
            <w:r>
              <w:rPr>
                <w:rFonts w:cs="Arial" w:hint="eastAsia"/>
                <w:color w:val="000000" w:themeColor="text1"/>
                <w:szCs w:val="21"/>
              </w:rPr>
              <w:instrText>的价值。矿业</w:instrText>
            </w:r>
            <w:r>
              <w:rPr>
                <w:rFonts w:cs="Arial" w:hint="eastAsia"/>
                <w:color w:val="000000" w:themeColor="text1"/>
                <w:szCs w:val="21"/>
              </w:rPr>
              <w:instrText>5.0</w:instrText>
            </w:r>
            <w:r>
              <w:rPr>
                <w:rFonts w:cs="Arial" w:hint="eastAsia"/>
                <w:color w:val="000000" w:themeColor="text1"/>
                <w:szCs w:val="21"/>
              </w:rPr>
              <w:instrText>在实现采矿业“</w:instrText>
            </w:r>
            <w:r>
              <w:rPr>
                <w:rFonts w:cs="Arial" w:hint="eastAsia"/>
                <w:color w:val="000000" w:themeColor="text1"/>
                <w:szCs w:val="21"/>
              </w:rPr>
              <w:instrText>6S</w:instrText>
            </w:r>
            <w:r>
              <w:rPr>
                <w:rFonts w:cs="Arial" w:hint="eastAsia"/>
                <w:color w:val="000000" w:themeColor="text1"/>
                <w:szCs w:val="21"/>
              </w:rPr>
              <w:instrText>”目标（安全、安保、可持续、敏感性、服务、智能）方面发挥着关键作用。</w:instrText>
            </w:r>
            <w:r>
              <w:rPr>
                <w:rFonts w:cs="Arial" w:hint="eastAsia"/>
                <w:color w:val="000000" w:themeColor="text1"/>
                <w:szCs w:val="21"/>
              </w:rPr>
              <w:instrText xml:space="preserve">\ntitleTranslation: </w:instrText>
            </w:r>
            <w:r>
              <w:rPr>
                <w:rFonts w:cs="Arial" w:hint="eastAsia"/>
                <w:color w:val="000000" w:themeColor="text1"/>
                <w:szCs w:val="21"/>
              </w:rPr>
              <w:instrText>采矿</w:instrText>
            </w:r>
            <w:r>
              <w:rPr>
                <w:rFonts w:cs="Arial" w:hint="eastAsia"/>
                <w:color w:val="000000" w:themeColor="text1"/>
                <w:szCs w:val="21"/>
              </w:rPr>
              <w:instrText>5.0</w:instrText>
            </w:r>
            <w:r>
              <w:rPr>
                <w:rFonts w:cs="Arial" w:hint="eastAsia"/>
                <w:color w:val="000000" w:themeColor="text1"/>
                <w:szCs w:val="21"/>
              </w:rPr>
              <w:instrText>：</w:instrText>
            </w:r>
            <w:r>
              <w:rPr>
                <w:rFonts w:cs="Arial" w:hint="eastAsia"/>
                <w:color w:val="000000" w:themeColor="text1"/>
                <w:szCs w:val="21"/>
              </w:rPr>
              <w:instrText>CPSS</w:instrText>
            </w:r>
            <w:r>
              <w:rPr>
                <w:rFonts w:cs="Arial" w:hint="eastAsia"/>
                <w:color w:val="000000" w:themeColor="text1"/>
                <w:szCs w:val="21"/>
              </w:rPr>
              <w:instrText>中智能采矿系统的概念和框架</w:instrText>
            </w:r>
            <w:r>
              <w:rPr>
                <w:rFonts w:cs="Arial" w:hint="eastAsia"/>
                <w:color w:val="000000" w:themeColor="text1"/>
                <w:szCs w:val="21"/>
              </w:rPr>
              <w:instrText>\nTLDR: This letter highlights the basic theories and summarizes the framework of Mining 5.0 with three worlds, three modes, and three technologies that promote values of ESG, ERS, and DEI in physical, mental, and artificial worlds.","page":"3533-3</w:instrText>
            </w:r>
            <w:r>
              <w:rPr>
                <w:rFonts w:cs="Arial"/>
                <w:color w:val="000000" w:themeColor="text1"/>
                <w:szCs w:val="21"/>
              </w:rPr>
              <w:instrText>536","source":"8.2","title":"Mining 5.0: Concept and Framework for Intelligent Mining Systems in CPSS","title-short":"Mining 5.0","volume":"8","author":[{"family":"Chen","given":"Long"},{"family":"Xie","given":"Junkun"},{"family":"Zhang","given":"Xiaotong"},{"family":"Deng","given":"Jianling"},{"family":"Ge","given":"Shirong"},{"family":"Wang","given":"Fei-Yue"}],"issued":{"date-parts":[["2023",6]]},"citation-key":"chenMining50Concept2023"}},{"id":35061,"uris":["http://zotero.org/users/4106135/items/CCSWUXPT"],"itemData":{"id":35061,"type":"article-journal","abstract":"Coal is an essential fossil fuel in China; however, coal mining and its utilization are being under the increasing pressure from ecological and environmental protection. Therefore, the consulting project ‘‘Technical Revolution in Ecological and Ef</w:instrText>
            </w:r>
            <w:r>
              <w:rPr>
                <w:rFonts w:ascii="Times New Roman" w:hAnsi="Times New Roman"/>
                <w:color w:val="000000" w:themeColor="text1"/>
                <w:szCs w:val="21"/>
              </w:rPr>
              <w:instrText>ﬁ</w:instrText>
            </w:r>
            <w:r>
              <w:rPr>
                <w:rFonts w:cs="Arial"/>
                <w:color w:val="000000" w:themeColor="text1"/>
                <w:szCs w:val="21"/>
              </w:rPr>
              <w:instrText>cient Coal Mining and Utilization &amp; Intelligence and Diverse Coordination of Coal-based Energy System,” initiated by Chinese Academy of Engineering, puts forward three stages (3.0, 4.0 and 5.0) of China’s coal industry development strategy. Aimed at ‘‘reduced staff, ultra-low ecological damage, and emission level near to natural gas,” breakthroughs should be achieved in the following three key technologies during the China Coal Industry 3.0 stage (2016–2025): including intelligent coal mining, ecological mining, ultra-low emission and environmental protection. This paper focuses on the development trends of the China Coal Industry 3.0 and its support for China Coal Industry 4.0 and 5.0 is analyzed and prospected as well, which may offer technical assistance and strategy orientation for realizing the transformation from traditional coal energy to clean energy.","call-number":"1","container-title":"International Journal of Mining Science and Technol</w:instrText>
            </w:r>
            <w:r>
              <w:rPr>
                <w:rFonts w:cs="Arial" w:hint="eastAsia"/>
                <w:color w:val="000000" w:themeColor="text1"/>
                <w:szCs w:val="21"/>
              </w:rPr>
              <w:instrText xml:space="preserve">ogy","DOI":"10.1016/j.ijmst.2018.06.005","ISSN":"20952686","issue":"2","journalAbbreviation":"International Journal of Mining Science and Technology","language":"en","note":"abstractTranslation:  </w:instrText>
            </w:r>
            <w:r>
              <w:rPr>
                <w:rFonts w:cs="Arial" w:hint="eastAsia"/>
                <w:color w:val="000000" w:themeColor="text1"/>
                <w:szCs w:val="21"/>
              </w:rPr>
              <w:instrText>煤炭是中国重要的化石燃料；然而，煤炭开采和利用面临着越来越大的生态环境保护压力。为此，中国工程院发起的“煤炭生态高效开采利用技术革命与煤基能源系统多元协同”咨询项目提出了中国煤炭工业的三个阶段（</w:instrText>
            </w:r>
            <w:r>
              <w:rPr>
                <w:rFonts w:cs="Arial" w:hint="eastAsia"/>
                <w:color w:val="000000" w:themeColor="text1"/>
                <w:szCs w:val="21"/>
              </w:rPr>
              <w:instrText>3.0</w:instrText>
            </w:r>
            <w:r>
              <w:rPr>
                <w:rFonts w:cs="Arial" w:hint="eastAsia"/>
                <w:color w:val="000000" w:themeColor="text1"/>
                <w:szCs w:val="21"/>
              </w:rPr>
              <w:instrText>、</w:instrText>
            </w:r>
            <w:r>
              <w:rPr>
                <w:rFonts w:cs="Arial" w:hint="eastAsia"/>
                <w:color w:val="000000" w:themeColor="text1"/>
                <w:szCs w:val="21"/>
              </w:rPr>
              <w:instrText>4.0</w:instrText>
            </w:r>
            <w:r>
              <w:rPr>
                <w:rFonts w:cs="Arial" w:hint="eastAsia"/>
                <w:color w:val="000000" w:themeColor="text1"/>
                <w:szCs w:val="21"/>
              </w:rPr>
              <w:instrText>、</w:instrText>
            </w:r>
            <w:r>
              <w:rPr>
                <w:rFonts w:cs="Arial" w:hint="eastAsia"/>
                <w:color w:val="000000" w:themeColor="text1"/>
                <w:szCs w:val="21"/>
              </w:rPr>
              <w:instrText>5.0</w:instrText>
            </w:r>
            <w:r>
              <w:rPr>
                <w:rFonts w:cs="Arial" w:hint="eastAsia"/>
                <w:color w:val="000000" w:themeColor="text1"/>
                <w:szCs w:val="21"/>
              </w:rPr>
              <w:instrText>）。煤炭工业发展战略。以“减少人员、超低生态破坏、接近天然气的排放水平”为目标，中国煤炭工业</w:instrText>
            </w:r>
            <w:r>
              <w:rPr>
                <w:rFonts w:cs="Arial" w:hint="eastAsia"/>
                <w:color w:val="000000" w:themeColor="text1"/>
                <w:szCs w:val="21"/>
              </w:rPr>
              <w:instrText>3.0</w:instrText>
            </w:r>
            <w:r>
              <w:rPr>
                <w:rFonts w:cs="Arial" w:hint="eastAsia"/>
                <w:color w:val="000000" w:themeColor="text1"/>
                <w:szCs w:val="21"/>
              </w:rPr>
              <w:instrText>阶段（</w:instrText>
            </w:r>
            <w:r>
              <w:rPr>
                <w:rFonts w:cs="Arial" w:hint="eastAsia"/>
                <w:color w:val="000000" w:themeColor="text1"/>
                <w:szCs w:val="21"/>
              </w:rPr>
              <w:instrText>2016-2025</w:instrText>
            </w:r>
            <w:r>
              <w:rPr>
                <w:rFonts w:cs="Arial" w:hint="eastAsia"/>
                <w:color w:val="000000" w:themeColor="text1"/>
                <w:szCs w:val="21"/>
              </w:rPr>
              <w:instrText>年）应突破以下三项关键技术：生态采矿，超低排放，保护环境。本文重点分析了中国煤炭工业</w:instrText>
            </w:r>
            <w:r>
              <w:rPr>
                <w:rFonts w:cs="Arial" w:hint="eastAsia"/>
                <w:color w:val="000000" w:themeColor="text1"/>
                <w:szCs w:val="21"/>
              </w:rPr>
              <w:instrText>3.0</w:instrText>
            </w:r>
            <w:r>
              <w:rPr>
                <w:rFonts w:cs="Arial" w:hint="eastAsia"/>
                <w:color w:val="000000" w:themeColor="text1"/>
                <w:szCs w:val="21"/>
              </w:rPr>
              <w:instrText>的发展趋势，并对煤炭工业</w:instrText>
            </w:r>
            <w:r>
              <w:rPr>
                <w:rFonts w:cs="Arial" w:hint="eastAsia"/>
                <w:color w:val="000000" w:themeColor="text1"/>
                <w:szCs w:val="21"/>
              </w:rPr>
              <w:instrText>4.0</w:instrText>
            </w:r>
            <w:r>
              <w:rPr>
                <w:rFonts w:cs="Arial" w:hint="eastAsia"/>
                <w:color w:val="000000" w:themeColor="text1"/>
                <w:szCs w:val="21"/>
              </w:rPr>
              <w:instrText>和</w:instrText>
            </w:r>
            <w:r>
              <w:rPr>
                <w:rFonts w:cs="Arial" w:hint="eastAsia"/>
                <w:color w:val="000000" w:themeColor="text1"/>
                <w:szCs w:val="21"/>
              </w:rPr>
              <w:instrText>5.0</w:instrText>
            </w:r>
            <w:r>
              <w:rPr>
                <w:rFonts w:cs="Arial" w:hint="eastAsia"/>
                <w:color w:val="000000" w:themeColor="text1"/>
                <w:szCs w:val="21"/>
              </w:rPr>
              <w:instrText>的支撑进行了分析和展望，为实现传统煤炭能源向清洁能源转型提供技术支撑和战略导向。</w:instrText>
            </w:r>
            <w:r>
              <w:rPr>
                <w:rFonts w:cs="Arial" w:hint="eastAsia"/>
                <w:color w:val="000000" w:themeColor="text1"/>
                <w:szCs w:val="21"/>
              </w:rPr>
              <w:instrText xml:space="preserve">\ntitleTranslation: </w:instrText>
            </w:r>
            <w:r>
              <w:rPr>
                <w:rFonts w:cs="Arial" w:hint="eastAsia"/>
                <w:color w:val="000000" w:themeColor="text1"/>
                <w:szCs w:val="21"/>
              </w:rPr>
              <w:instrText>我国煤炭智能化、生态开采与清洁利用技术：回顾与展望</w:instrText>
            </w:r>
            <w:r>
              <w:rPr>
                <w:rFonts w:cs="Arial" w:hint="eastAsia"/>
                <w:color w:val="000000" w:themeColor="text1"/>
                <w:szCs w:val="21"/>
              </w:rPr>
              <w:instrText>","page":"161-169","source":"11.8","title":"Intelligent and ecological coal mining as well as clean utilization technology in China: Review and prospects","title-short":"Intelligent and ecological coal mining as well as clean utilization technology in</w:instrText>
            </w:r>
            <w:r>
              <w:rPr>
                <w:rFonts w:cs="Arial"/>
                <w:color w:val="000000" w:themeColor="text1"/>
                <w:szCs w:val="21"/>
              </w:rPr>
              <w:instrText xml:space="preserve"> China","volume":"29","author":[{"family":"Wang","given":"Guofa"},{"family":"Xu","given":"Yongxiang"},{"family":"Ren","given":"Huaiwei"}],"issued":{"date-parts":[["2019",3]]},"citation-key":"wangIntelligentEcologicalCoal2019"},"label":"page"},{"id":35074,"uris":["http://zotero.org/users/4106135/items/PPPUXVIL"],"itemData":{"id":35074,"type":"article-journal","abstract":"The level of intelligence across various industries, including mining, has experienced a notable advancement since the introduction of Industry 4.0. However, the societal demands for employee well-being, resource conservation, and environmental preservation continues to be unavoidable challenges. Thus, the parallel system theory based Industry 5.0 is proposed, which augments industries with human-machine collaboration, virtual-real interaction and local-global balanced resources. In this letter, we proposed the concept of Mining 5.0. Mining 5.0 aims to realize green and sustainable development goals while prioritizing a humancentric perspective. This letter begins by elucidating the prerequisites, characteristics, and construction objectives of Mining 5.0. It then introduces the “4I”, “5O” and “6S” concluded framework of “Intelligent Mining Using Parallel Intelligence” for achieving Mining 5.0. In the last part, the efforts made by Chinese mining research institutions and leading enterprises in the development of mining intelligence standards, and the practical application of parallel mining within the mining sector are outlined. This letter is a summary of recent Distributed/Decentralized Hybrid Workshop on Autonomous Mining (DHW-AM) and aims at enhancing the intelligence of future mining operations.","call-number":"4","container-title":"IEEE Transactions on Intelligent Vehicles","DOI":"1</w:instrText>
            </w:r>
            <w:r>
              <w:rPr>
                <w:rFonts w:cs="Arial" w:hint="eastAsia"/>
                <w:color w:val="000000" w:themeColor="text1"/>
                <w:szCs w:val="21"/>
              </w:rPr>
              <w:instrText xml:space="preserve">0.1109/TIV.2023.3316132","ISSN":"2379-8904, 2379-8858","issue":"10","journalAbbreviation":"IEEE Trans. Intell. Veh.","language":"en","note":"abstractTranslation:  </w:instrText>
            </w:r>
            <w:r>
              <w:rPr>
                <w:rFonts w:cs="Arial" w:hint="eastAsia"/>
                <w:color w:val="000000" w:themeColor="text1"/>
                <w:szCs w:val="21"/>
              </w:rPr>
              <w:instrText>自工业</w:instrText>
            </w:r>
            <w:r>
              <w:rPr>
                <w:rFonts w:cs="Arial" w:hint="eastAsia"/>
                <w:color w:val="000000" w:themeColor="text1"/>
                <w:szCs w:val="21"/>
              </w:rPr>
              <w:instrText>4.0</w:instrText>
            </w:r>
            <w:r>
              <w:rPr>
                <w:rFonts w:cs="Arial" w:hint="eastAsia"/>
                <w:color w:val="000000" w:themeColor="text1"/>
                <w:szCs w:val="21"/>
              </w:rPr>
              <w:instrText>推出以来，包括采矿业在内的各行业的智能化水平都取得了显着进步。然而，社会对员工福祉、资源节约和环境保护的要求仍然是不可避免的挑战。因此，提出了基于并行系统理论的工业</w:instrText>
            </w:r>
            <w:r>
              <w:rPr>
                <w:rFonts w:cs="Arial" w:hint="eastAsia"/>
                <w:color w:val="000000" w:themeColor="text1"/>
                <w:szCs w:val="21"/>
              </w:rPr>
              <w:instrText>5.0</w:instrText>
            </w:r>
            <w:r>
              <w:rPr>
                <w:rFonts w:cs="Arial" w:hint="eastAsia"/>
                <w:color w:val="000000" w:themeColor="text1"/>
                <w:szCs w:val="21"/>
              </w:rPr>
              <w:instrText>，通过人机协作、虚拟与现实交互以及本地与全球平衡资源来增强工业。在这封信中，我们提出了挖矿</w:instrText>
            </w:r>
            <w:r>
              <w:rPr>
                <w:rFonts w:cs="Arial" w:hint="eastAsia"/>
                <w:color w:val="000000" w:themeColor="text1"/>
                <w:szCs w:val="21"/>
              </w:rPr>
              <w:instrText>5.0</w:instrText>
            </w:r>
            <w:r>
              <w:rPr>
                <w:rFonts w:cs="Arial" w:hint="eastAsia"/>
                <w:color w:val="000000" w:themeColor="text1"/>
                <w:szCs w:val="21"/>
              </w:rPr>
              <w:instrText>的概念。矿业</w:instrText>
            </w:r>
            <w:r>
              <w:rPr>
                <w:rFonts w:cs="Arial" w:hint="eastAsia"/>
                <w:color w:val="000000" w:themeColor="text1"/>
                <w:szCs w:val="21"/>
              </w:rPr>
              <w:instrText>5.0</w:instrText>
            </w:r>
            <w:r>
              <w:rPr>
                <w:rFonts w:cs="Arial" w:hint="eastAsia"/>
                <w:color w:val="000000" w:themeColor="text1"/>
                <w:szCs w:val="21"/>
              </w:rPr>
              <w:instrText>旨在实现绿色可持续发展目标，同时优先考虑以人为本的视角。本信首先阐述了挖矿</w:instrText>
            </w:r>
            <w:r>
              <w:rPr>
                <w:rFonts w:cs="Arial" w:hint="eastAsia"/>
                <w:color w:val="000000" w:themeColor="text1"/>
                <w:szCs w:val="21"/>
              </w:rPr>
              <w:instrText>5.0</w:instrText>
            </w:r>
            <w:r>
              <w:rPr>
                <w:rFonts w:cs="Arial" w:hint="eastAsia"/>
                <w:color w:val="000000" w:themeColor="text1"/>
                <w:szCs w:val="21"/>
              </w:rPr>
              <w:instrText>的前提条件、特点和建设目标。然后介绍了实现挖矿</w:instrText>
            </w:r>
            <w:r>
              <w:rPr>
                <w:rFonts w:cs="Arial" w:hint="eastAsia"/>
                <w:color w:val="000000" w:themeColor="text1"/>
                <w:szCs w:val="21"/>
              </w:rPr>
              <w:instrText>5.0</w:instrText>
            </w:r>
            <w:r>
              <w:rPr>
                <w:rFonts w:cs="Arial" w:hint="eastAsia"/>
                <w:color w:val="000000" w:themeColor="text1"/>
                <w:szCs w:val="21"/>
              </w:rPr>
              <w:instrText>的“</w:instrText>
            </w:r>
            <w:r>
              <w:rPr>
                <w:rFonts w:cs="Arial" w:hint="eastAsia"/>
                <w:color w:val="000000" w:themeColor="text1"/>
                <w:szCs w:val="21"/>
              </w:rPr>
              <w:instrText>4I</w:instrText>
            </w:r>
            <w:r>
              <w:rPr>
                <w:rFonts w:cs="Arial" w:hint="eastAsia"/>
                <w:color w:val="000000" w:themeColor="text1"/>
                <w:szCs w:val="21"/>
              </w:rPr>
              <w:instrText>”、“</w:instrText>
            </w:r>
            <w:r>
              <w:rPr>
                <w:rFonts w:cs="Arial" w:hint="eastAsia"/>
                <w:color w:val="000000" w:themeColor="text1"/>
                <w:szCs w:val="21"/>
              </w:rPr>
              <w:instrText>5O</w:instrText>
            </w:r>
            <w:r>
              <w:rPr>
                <w:rFonts w:cs="Arial" w:hint="eastAsia"/>
                <w:color w:val="000000" w:themeColor="text1"/>
                <w:szCs w:val="21"/>
              </w:rPr>
              <w:instrText>”和“</w:instrText>
            </w:r>
            <w:r>
              <w:rPr>
                <w:rFonts w:cs="Arial" w:hint="eastAsia"/>
                <w:color w:val="000000" w:themeColor="text1"/>
                <w:szCs w:val="21"/>
              </w:rPr>
              <w:instrText>6S</w:instrText>
            </w:r>
            <w:r>
              <w:rPr>
                <w:rFonts w:cs="Arial" w:hint="eastAsia"/>
                <w:color w:val="000000" w:themeColor="text1"/>
                <w:szCs w:val="21"/>
              </w:rPr>
              <w:instrText>”总结的“利用并行智能的智能挖矿”框架。最后一部分概述了中国矿业研究机构和龙头企业在矿业智能标准制定以及并行采矿在矿业领域的实际应用方面所做的努力。这封信是最近分布式</w:instrText>
            </w:r>
            <w:r>
              <w:rPr>
                <w:rFonts w:cs="Arial" w:hint="eastAsia"/>
                <w:color w:val="000000" w:themeColor="text1"/>
                <w:szCs w:val="21"/>
              </w:rPr>
              <w:instrText>/</w:instrText>
            </w:r>
            <w:r>
              <w:rPr>
                <w:rFonts w:cs="Arial" w:hint="eastAsia"/>
                <w:color w:val="000000" w:themeColor="text1"/>
                <w:szCs w:val="21"/>
              </w:rPr>
              <w:instrText>去中心化混合自主采矿研讨会（</w:instrText>
            </w:r>
            <w:r>
              <w:rPr>
                <w:rFonts w:cs="Arial" w:hint="eastAsia"/>
                <w:color w:val="000000" w:themeColor="text1"/>
                <w:szCs w:val="21"/>
              </w:rPr>
              <w:instrText>DHW-AM</w:instrText>
            </w:r>
            <w:r>
              <w:rPr>
                <w:rFonts w:cs="Arial" w:hint="eastAsia"/>
                <w:color w:val="000000" w:themeColor="text1"/>
                <w:szCs w:val="21"/>
              </w:rPr>
              <w:instrText>）的总结，旨在增强未来采矿作业的智能化。</w:instrText>
            </w:r>
            <w:r>
              <w:rPr>
                <w:rFonts w:cs="Arial" w:hint="eastAsia"/>
                <w:color w:val="000000" w:themeColor="text1"/>
                <w:szCs w:val="21"/>
              </w:rPr>
              <w:instrText xml:space="preserve">\ntitleTranslation: </w:instrText>
            </w:r>
            <w:r>
              <w:rPr>
                <w:rFonts w:cs="Arial" w:hint="eastAsia"/>
                <w:color w:val="000000" w:themeColor="text1"/>
                <w:szCs w:val="21"/>
              </w:rPr>
              <w:instrText>论并行智能的智能挖掘</w:instrText>
            </w:r>
            <w:r>
              <w:rPr>
                <w:rFonts w:cs="Arial" w:hint="eastAsia"/>
                <w:color w:val="000000" w:themeColor="text1"/>
                <w:szCs w:val="21"/>
              </w:rPr>
              <w:instrText>","page":"4296-4300","source":"8.2","title":"On Intelligent Mining With Parallel Intelligence","volume":"8","author":[{"family":"Yang","given":"Jianjian"},{"family":"Huang","given":"Qiankun"},{"family":"Ge","given":"Shir</w:instrText>
            </w:r>
            <w:r>
              <w:rPr>
                <w:rFonts w:cs="Arial"/>
                <w:color w:val="000000" w:themeColor="text1"/>
                <w:szCs w:val="21"/>
              </w:rPr>
              <w:instrText xml:space="preserve">ong"},{"family":"Wang","given":"Xiao"},{"family":"Chen","given":"Long"},{"family":"Guo","given":"Yinan"},{"family":"Gui","given":"Tianmu"}],"issued":{"date-parts":[["2023",10]]},"citation-key":"yangIntelligentMiningParallel2023"},"label":"page"}],"schema":"https://github.com/citation-style-language/schema/raw/master/csl-citation.json"} </w:instrText>
            </w:r>
            <w:r w:rsidRPr="002559FE">
              <w:rPr>
                <w:rFonts w:cs="Arial"/>
                <w:color w:val="000000" w:themeColor="text1"/>
                <w:sz w:val="21"/>
                <w:szCs w:val="21"/>
              </w:rPr>
              <w:fldChar w:fldCharType="separate"/>
            </w:r>
            <w:r>
              <w:rPr>
                <w:rFonts w:cs="Arial"/>
                <w:noProof/>
                <w:color w:val="000000" w:themeColor="text1"/>
                <w:szCs w:val="21"/>
              </w:rPr>
              <w:t>(Chen et al., 2023; G. Wang et al., 2019; Yang et al., 2023)</w:t>
            </w:r>
            <w:r w:rsidRPr="002559FE">
              <w:rPr>
                <w:rFonts w:cs="Arial"/>
                <w:color w:val="000000" w:themeColor="text1"/>
                <w:sz w:val="21"/>
                <w:szCs w:val="21"/>
              </w:rPr>
              <w:fldChar w:fldCharType="end"/>
            </w:r>
            <w:r w:rsidRPr="002559FE">
              <w:rPr>
                <w:rFonts w:cs="Arial"/>
                <w:color w:val="000000" w:themeColor="text1"/>
                <w:sz w:val="21"/>
                <w:szCs w:val="21"/>
                <w:lang w:val="en-US"/>
              </w:rPr>
              <w:t>. However, the coal industry's digital transformation continues to face numerous challenges</w:t>
            </w:r>
            <w:r w:rsidRPr="002559FE">
              <w:rPr>
                <w:rFonts w:cs="Arial"/>
                <w:color w:val="000000" w:themeColor="text1"/>
                <w:sz w:val="21"/>
                <w:szCs w:val="21"/>
              </w:rPr>
              <w:fldChar w:fldCharType="begin"/>
            </w:r>
            <w:r w:rsidRPr="002559FE">
              <w:rPr>
                <w:rFonts w:cs="Arial"/>
                <w:color w:val="000000" w:themeColor="text1"/>
                <w:sz w:val="21"/>
                <w:szCs w:val="21"/>
              </w:rPr>
              <w:instrText xml:space="preserve"> ADDIN ZOTERO_ITEM CSL_CITATION {"citationID":"E6cL7uaK","properties":{"formattedCitation":"(Young &amp; Rogers, 2019; Zhironkin &amp; Taran, 2023; Zhironkina &amp; Zhironkin, 2023)","plainCitation":"(Young &amp; Rogers, 2019; Zhironkin &amp; Taran, 2023; Zhironkina &amp; Zhironkin, 2023)","noteIndex":0},"citationItems":[{"id":33852,"uris":["http://zotero.org/users/4106135/items/LQSVC82J"],"itemData":{"id":33852,"type":"article-journal","abstract":"Digital transformation (DT) is the process by which entities adapt themselves to modern technology. As digital technology becomes more prevalent (automation, cameras, sensors, touchscreens, artificial intelligence, etc.), there will be increased pressure on companies to leverage it for additional gains. For many companies in the mining industry, this will involve overcoming a steep learning curve. Furthermore, as the long-term success of the mining industry is dependent on a labor force with new skills (data management, analytics, digital literacy, etc.), new curriculum will need to be appended to the mining engineering discipline. This paper considers the mining industry’s need for DT. Then, it presents a three-part review of the foundational components of the DT process–ubiquitous data, connectivity, and decision making. Finally, it provides a discussion on the future of DT in mining as well as a research direction, which identifies the need of academia to provide support for mining companies in the form of both research and the education of digitally literate, dynamically capable mining engineers into the coming decades.","container-title":"Mining, Metallurgy &amp; Exploration","DOI":"10.1007/s42461-019-00103-w","ISSN":"2524-3462, 2524-3470","issue":"4","journalAbbreviation":"Mining, Metallurgy &amp; Exploration","language":"en","note":"titleTranslation: </w:instrText>
            </w:r>
            <w:r w:rsidRPr="002559FE">
              <w:rPr>
                <w:rFonts w:cs="Arial"/>
                <w:color w:val="000000" w:themeColor="text1"/>
                <w:sz w:val="21"/>
                <w:szCs w:val="21"/>
              </w:rPr>
              <w:instrText>矿业数字化转型回顾</w:instrText>
            </w:r>
            <w:r w:rsidRPr="002559FE">
              <w:rPr>
                <w:rFonts w:cs="Arial"/>
                <w:color w:val="000000" w:themeColor="text1"/>
                <w:sz w:val="21"/>
                <w:szCs w:val="21"/>
              </w:rPr>
              <w:instrText xml:space="preserve">\nabstractTranslation:  </w:instrText>
            </w:r>
            <w:r w:rsidRPr="002559FE">
              <w:rPr>
                <w:rFonts w:cs="Arial"/>
                <w:color w:val="000000" w:themeColor="text1"/>
                <w:sz w:val="21"/>
                <w:szCs w:val="21"/>
              </w:rPr>
              <w:instrText>数字化转型（</w:instrText>
            </w:r>
            <w:r w:rsidRPr="002559FE">
              <w:rPr>
                <w:rFonts w:cs="Arial"/>
                <w:color w:val="000000" w:themeColor="text1"/>
                <w:sz w:val="21"/>
                <w:szCs w:val="21"/>
              </w:rPr>
              <w:instrText>DT</w:instrText>
            </w:r>
            <w:r w:rsidRPr="002559FE">
              <w:rPr>
                <w:rFonts w:cs="Arial"/>
                <w:color w:val="000000" w:themeColor="text1"/>
                <w:sz w:val="21"/>
                <w:szCs w:val="21"/>
              </w:rPr>
              <w:instrText>）是实体适应现代技术的过程。随着数字技术变得越来越普遍（自动化、摄像头、传感器、触摸屏、人工智能等），公司利用其获得额外收益的压力将会越来越大。对于采矿业的许多公司来说，这将涉及克服陡峭的学习曲线。此外，由于采矿业的长期成功取决于拥有新技能（数据管理、分析、数字素养等）的劳动力，因此采矿工程学科需要附加新课程。本文考虑了采矿业对</w:instrText>
            </w:r>
            <w:r w:rsidRPr="002559FE">
              <w:rPr>
                <w:rFonts w:cs="Arial"/>
                <w:color w:val="000000" w:themeColor="text1"/>
                <w:sz w:val="21"/>
                <w:szCs w:val="21"/>
              </w:rPr>
              <w:instrText xml:space="preserve"> DT </w:instrText>
            </w:r>
            <w:r w:rsidRPr="002559FE">
              <w:rPr>
                <w:rFonts w:cs="Arial"/>
                <w:color w:val="000000" w:themeColor="text1"/>
                <w:sz w:val="21"/>
                <w:szCs w:val="21"/>
              </w:rPr>
              <w:instrText>的需求。然后，它对</w:instrText>
            </w:r>
            <w:r w:rsidRPr="002559FE">
              <w:rPr>
                <w:rFonts w:cs="Arial"/>
                <w:color w:val="000000" w:themeColor="text1"/>
                <w:sz w:val="21"/>
                <w:szCs w:val="21"/>
              </w:rPr>
              <w:instrText xml:space="preserve"> DT </w:instrText>
            </w:r>
            <w:r w:rsidRPr="002559FE">
              <w:rPr>
                <w:rFonts w:cs="Arial"/>
                <w:color w:val="000000" w:themeColor="text1"/>
                <w:sz w:val="21"/>
                <w:szCs w:val="21"/>
              </w:rPr>
              <w:instrText>流程的基本组成部分进行了三部分回顾</w:instrText>
            </w:r>
            <w:r w:rsidRPr="002559FE">
              <w:rPr>
                <w:rFonts w:cs="Arial"/>
                <w:color w:val="000000" w:themeColor="text1"/>
                <w:sz w:val="21"/>
                <w:szCs w:val="21"/>
              </w:rPr>
              <w:instrText>——</w:instrText>
            </w:r>
            <w:r w:rsidRPr="002559FE">
              <w:rPr>
                <w:rFonts w:cs="Arial"/>
                <w:color w:val="000000" w:themeColor="text1"/>
                <w:sz w:val="21"/>
                <w:szCs w:val="21"/>
              </w:rPr>
              <w:instrText>无处不在的数据、连接性和决策。最后，它讨论了数字技术在采矿业的未来以及研究方向，确定了学术界需要通过研究和教育具有数字素养、动态能力的采矿工程师来为采矿公司提供支持。未来几十年。</w:instrText>
            </w:r>
            <w:r w:rsidRPr="002559FE">
              <w:rPr>
                <w:rFonts w:cs="Arial"/>
                <w:color w:val="000000" w:themeColor="text1"/>
                <w:sz w:val="21"/>
                <w:szCs w:val="21"/>
              </w:rPr>
              <w:instrText xml:space="preserve">\nTLDR: This paper considers the mining industry’s need for DT, and presents a three-part review of the foundational components of the DT process–ubiquitous data, connectivity, and decision making.","page":"683-699","title":"A Review of Digital Transformation in Mining","volume":"36","author":[{"family":"Young","given":"Aaron"},{"family":"Rogers","given":"Pratt"}],"issued":{"date-parts":[["2019",8]]},"citation-key":"youngReviewDigitalTransformation2019"}},{"id":33655,"uris":["http://zotero.org/users/4106135/items/DHZRFJ78"],"itemData":{"id":33655,"type":"article-journal","abstract":"The expansion of end-to-end Industry 4.0 technologies in various industries has caused a technological shock in the mineral resource sector, wherein itsdigital maturity is lower than in the manufacturing sector. As a result of the shock, the productivity and proﬁtability of raw materials extraction has begun to lag behind the industries of its deep processing, which, in the conditions of volatile raw materials markets, can provoke sectoral crises. The diffusion of Industry 4.0 technologies in the mining sector (Mining 4.0) can prevent a technological shock if they are implemented in all segments, including quarrying (Surface Mining 4.0). The Surface Mining 4.0 technological platform would connect the advanced achievements of the Fourth Industrial Revolution (end-to-end digital artiﬁcial intelligence technologies, cyber-physical systems and unmanned production with traditional geotechnology) without canceling them, but instead bringing them to a new level of productivity, resource consumption, and environmental friendliness. In the future, the development of Surface Mining 4.0 will provide a response to the technological shock associated with the acceleration of the digital modernization of the mining sector and the increase in labor productivity, which are reducing the operating costs of raw materials extraction. In this regard, the given review is an attempt to analyze the surface mining digital transformation over the course of the diffusion of Industry 4.0 technologies covered in scientiﬁc publications. The authors tried to show the core and frontiers of Surface Mining 4.0 development to determine the production, economic, and social effect of replacing humans with digital and cyber-physical systems in the processes of mineral extraction. Particular attention was paid to the review of research on the role of Surface Mining 4.0 in achieving sustainable development goals.","call-number":"4","container-title":"Energies","DOI":"10.3390/en16093639","ISSN":"1996-1073","issue":"9","journalAbbreviation":"Energies","language":"en","note":"titleTranslation: </w:instrText>
            </w:r>
            <w:r w:rsidRPr="002559FE">
              <w:rPr>
                <w:rFonts w:cs="Arial"/>
                <w:color w:val="000000" w:themeColor="text1"/>
                <w:sz w:val="21"/>
                <w:szCs w:val="21"/>
              </w:rPr>
              <w:instrText>从能源转型的技术冲击来看露天采矿</w:instrText>
            </w:r>
            <w:r w:rsidRPr="002559FE">
              <w:rPr>
                <w:rFonts w:cs="Arial"/>
                <w:color w:val="000000" w:themeColor="text1"/>
                <w:sz w:val="21"/>
                <w:szCs w:val="21"/>
              </w:rPr>
              <w:instrText>4.0</w:instrText>
            </w:r>
            <w:r w:rsidRPr="002559FE">
              <w:rPr>
                <w:rFonts w:cs="Arial"/>
                <w:color w:val="000000" w:themeColor="text1"/>
                <w:sz w:val="21"/>
                <w:szCs w:val="21"/>
              </w:rPr>
              <w:instrText>的发展：回顾</w:instrText>
            </w:r>
            <w:r w:rsidRPr="002559FE">
              <w:rPr>
                <w:rFonts w:cs="Arial"/>
                <w:color w:val="000000" w:themeColor="text1"/>
                <w:sz w:val="21"/>
                <w:szCs w:val="21"/>
              </w:rPr>
              <w:instrText xml:space="preserve">\nabstractTranslation:  </w:instrText>
            </w:r>
            <w:r w:rsidRPr="002559FE">
              <w:rPr>
                <w:rFonts w:cs="Arial"/>
                <w:color w:val="000000" w:themeColor="text1"/>
                <w:sz w:val="21"/>
                <w:szCs w:val="21"/>
              </w:rPr>
              <w:instrText>端到端工业</w:instrText>
            </w:r>
            <w:r w:rsidRPr="002559FE">
              <w:rPr>
                <w:rFonts w:cs="Arial"/>
                <w:color w:val="000000" w:themeColor="text1"/>
                <w:sz w:val="21"/>
                <w:szCs w:val="21"/>
              </w:rPr>
              <w:instrText>4.0</w:instrText>
            </w:r>
            <w:r w:rsidRPr="002559FE">
              <w:rPr>
                <w:rFonts w:cs="Arial"/>
                <w:color w:val="000000" w:themeColor="text1"/>
                <w:sz w:val="21"/>
                <w:szCs w:val="21"/>
              </w:rPr>
              <w:instrText>技术在各行业的扩展对矿产资源行业造成了技术冲击，其数字化成熟度低于制造业。受冲击的影响，原材料开采的生产率和盈利能力开始落后于深加工行业，在原材料市场波动的情况下，可能引发行业危机。如果工业</w:instrText>
            </w:r>
            <w:r w:rsidRPr="002559FE">
              <w:rPr>
                <w:rFonts w:cs="Arial"/>
                <w:color w:val="000000" w:themeColor="text1"/>
                <w:sz w:val="21"/>
                <w:szCs w:val="21"/>
              </w:rPr>
              <w:instrText xml:space="preserve"> 4.0 </w:instrText>
            </w:r>
            <w:r w:rsidRPr="002559FE">
              <w:rPr>
                <w:rFonts w:cs="Arial"/>
                <w:color w:val="000000" w:themeColor="text1"/>
                <w:sz w:val="21"/>
                <w:szCs w:val="21"/>
              </w:rPr>
              <w:instrText>技术在包括采石场（露天采矿</w:instrText>
            </w:r>
            <w:r w:rsidRPr="002559FE">
              <w:rPr>
                <w:rFonts w:cs="Arial"/>
                <w:color w:val="000000" w:themeColor="text1"/>
                <w:sz w:val="21"/>
                <w:szCs w:val="21"/>
              </w:rPr>
              <w:instrText xml:space="preserve"> 4.0</w:instrText>
            </w:r>
            <w:r w:rsidRPr="002559FE">
              <w:rPr>
                <w:rFonts w:cs="Arial"/>
                <w:color w:val="000000" w:themeColor="text1"/>
                <w:sz w:val="21"/>
                <w:szCs w:val="21"/>
              </w:rPr>
              <w:instrText>）在内的所有领域实施，那么工业</w:instrText>
            </w:r>
            <w:r w:rsidRPr="002559FE">
              <w:rPr>
                <w:rFonts w:cs="Arial"/>
                <w:color w:val="000000" w:themeColor="text1"/>
                <w:sz w:val="21"/>
                <w:szCs w:val="21"/>
              </w:rPr>
              <w:instrText xml:space="preserve"> 4.0 </w:instrText>
            </w:r>
            <w:r w:rsidRPr="002559FE">
              <w:rPr>
                <w:rFonts w:cs="Arial"/>
                <w:color w:val="000000" w:themeColor="text1"/>
                <w:sz w:val="21"/>
                <w:szCs w:val="21"/>
              </w:rPr>
              <w:instrText>技术在采矿业（采矿</w:instrText>
            </w:r>
            <w:r w:rsidRPr="002559FE">
              <w:rPr>
                <w:rFonts w:cs="Arial"/>
                <w:color w:val="000000" w:themeColor="text1"/>
                <w:sz w:val="21"/>
                <w:szCs w:val="21"/>
              </w:rPr>
              <w:instrText xml:space="preserve"> 4.0</w:instrText>
            </w:r>
            <w:r w:rsidRPr="002559FE">
              <w:rPr>
                <w:rFonts w:cs="Arial"/>
                <w:color w:val="000000" w:themeColor="text1"/>
                <w:sz w:val="21"/>
                <w:szCs w:val="21"/>
              </w:rPr>
              <w:instrText>）的传播可以防止技术冲击。露天采矿</w:instrText>
            </w:r>
            <w:r w:rsidRPr="002559FE">
              <w:rPr>
                <w:rFonts w:cs="Arial"/>
                <w:color w:val="000000" w:themeColor="text1"/>
                <w:sz w:val="21"/>
                <w:szCs w:val="21"/>
              </w:rPr>
              <w:instrText>4.0</w:instrText>
            </w:r>
            <w:r w:rsidRPr="002559FE">
              <w:rPr>
                <w:rFonts w:cs="Arial"/>
                <w:color w:val="000000" w:themeColor="text1"/>
                <w:sz w:val="21"/>
                <w:szCs w:val="21"/>
              </w:rPr>
              <w:instrText>技术平台将把第四次工业革命的先进成果（端到端数字人工智能技术、网络物理系统、无人生产与传统岩土技术）连接起来，而不是取消它们，而是将它们提升到一个新的水平生产力、资源消耗和环境友好性。未来，露天采矿</w:instrText>
            </w:r>
            <w:r w:rsidRPr="002559FE">
              <w:rPr>
                <w:rFonts w:cs="Arial"/>
                <w:color w:val="000000" w:themeColor="text1"/>
                <w:sz w:val="21"/>
                <w:szCs w:val="21"/>
              </w:rPr>
              <w:instrText>4.0</w:instrText>
            </w:r>
            <w:r w:rsidRPr="002559FE">
              <w:rPr>
                <w:rFonts w:cs="Arial"/>
                <w:color w:val="000000" w:themeColor="text1"/>
                <w:sz w:val="21"/>
                <w:szCs w:val="21"/>
              </w:rPr>
              <w:instrText>的发展将应对采矿业数字化现代化加速和劳动生产率提高带来的技术冲击，从而降低原材料开采的运营成本。在这方面，本文试图分析科学出版物中涉及的工业</w:instrText>
            </w:r>
            <w:r w:rsidRPr="002559FE">
              <w:rPr>
                <w:rFonts w:cs="Arial"/>
                <w:color w:val="000000" w:themeColor="text1"/>
                <w:sz w:val="21"/>
                <w:szCs w:val="21"/>
              </w:rPr>
              <w:instrText xml:space="preserve"> 4.0 </w:instrText>
            </w:r>
            <w:r w:rsidRPr="002559FE">
              <w:rPr>
                <w:rFonts w:cs="Arial"/>
                <w:color w:val="000000" w:themeColor="text1"/>
                <w:sz w:val="21"/>
                <w:szCs w:val="21"/>
              </w:rPr>
              <w:instrText>技术传播过程中的露天采矿数字化转型。作者试图展示露天采矿</w:instrText>
            </w:r>
            <w:r w:rsidRPr="002559FE">
              <w:rPr>
                <w:rFonts w:cs="Arial"/>
                <w:color w:val="000000" w:themeColor="text1"/>
                <w:sz w:val="21"/>
                <w:szCs w:val="21"/>
              </w:rPr>
              <w:instrText xml:space="preserve"> 4.0 </w:instrText>
            </w:r>
            <w:r w:rsidRPr="002559FE">
              <w:rPr>
                <w:rFonts w:cs="Arial"/>
                <w:color w:val="000000" w:themeColor="text1"/>
                <w:sz w:val="21"/>
                <w:szCs w:val="21"/>
              </w:rPr>
              <w:instrText>开发的核</w:instrText>
            </w:r>
            <w:r w:rsidRPr="002559FE">
              <w:rPr>
                <w:rFonts w:cs="Arial"/>
                <w:color w:val="000000" w:themeColor="text1"/>
                <w:sz w:val="21"/>
                <w:szCs w:val="21"/>
              </w:rPr>
              <w:instrText>​​</w:instrText>
            </w:r>
            <w:r w:rsidRPr="002559FE">
              <w:rPr>
                <w:rFonts w:cs="Arial"/>
                <w:color w:val="000000" w:themeColor="text1"/>
                <w:sz w:val="21"/>
                <w:szCs w:val="21"/>
              </w:rPr>
              <w:instrText>心和前沿，以确定在矿物开采过程中用数字和网络物理系统取代人类的生产、经济和社会影响。特别关注了露天采矿</w:instrText>
            </w:r>
            <w:r w:rsidRPr="002559FE">
              <w:rPr>
                <w:rFonts w:cs="Arial"/>
                <w:color w:val="000000" w:themeColor="text1"/>
                <w:sz w:val="21"/>
                <w:szCs w:val="21"/>
              </w:rPr>
              <w:instrText xml:space="preserve"> 4.0 </w:instrText>
            </w:r>
            <w:r w:rsidRPr="002559FE">
              <w:rPr>
                <w:rFonts w:cs="Arial"/>
                <w:color w:val="000000" w:themeColor="text1"/>
                <w:sz w:val="21"/>
                <w:szCs w:val="21"/>
              </w:rPr>
              <w:instrText>在实现可持续发展目标中的作用的研究回顾。</w:instrText>
            </w:r>
            <w:r w:rsidRPr="002559FE">
              <w:rPr>
                <w:rFonts w:cs="Arial"/>
                <w:color w:val="000000" w:themeColor="text1"/>
                <w:sz w:val="21"/>
                <w:szCs w:val="21"/>
              </w:rPr>
              <w:instrText xml:space="preserve">","page":"3639","source":"3.2","title":"Development of Surface Mining 4.0 in Terms of Technological Shock in Energy Transition: A Review","title-short":"Development of Surface Mining 4.0 in Terms of Technological Shock in Energy Transition","volume":"16","author":[{"family":"Zhironkin","given":"Sergey"},{"family":"Taran","given":"Ekaterina"}],"issued":{"date-parts":[["2023",4,24]]},"citation-key":"zhironkinDevelopmentSurfaceMining2023"}},{"id":33656,"uris":["http://zotero.org/users/4106135/items/95KBY6UX"],"itemData":{"id":33656,"type":"article-journal","abstract":"Ensuring a sustainable supply for humankind with mineral raw materials and preventing fuel and energy crises, minimizing human-made accidents and the negative impact of industry on the environment, the inﬂow of funds and innovations into the mining sector should be expanding in time and space. To do this, new mining platforms should have not only innovative and technological, but also social-and-economic coverage of the latest competencies, which Mining 4.0 fully corresponds to. The achievements of the Fourth Industrial Revolution, embodied in “end-to-end” digital and convergent technologies, are able to ensure the stable development of the mineral resource sector in the face of ﬂuctuations in raw material demand and the proﬁtability of mining enterprises, strengthening environmental safety legislation. Mining 4.0 is also a response to the technological shocks associated with the accelerated digital modernization of the manufacturing and infrastructure industries. This article attempts to give a multilateral overview of mining industries transformation in the course of the diffusion of Industry 4.0 technologies, to highlight the core and frontiers of Mining 4.0 expansion, to show the opportunities and threats of replacing physical systems and humans in mining with cyber-physical systems. Further, the technological, economic and social horizons of the transformation of Mining 4.0 into Mining 5.0 with speciﬁc threats of total digitalization are discussed.","call-number":"4","container-title":"Energies","DOI":"10.3390/en16031427","ISSN":"1996-1073","issue":"3","journalAbbreviation":"Energies","language":"en","note":"abstractTranslation:  </w:instrText>
            </w:r>
            <w:r w:rsidRPr="002559FE">
              <w:rPr>
                <w:rFonts w:cs="Arial"/>
                <w:color w:val="000000" w:themeColor="text1"/>
                <w:sz w:val="21"/>
                <w:szCs w:val="21"/>
              </w:rPr>
              <w:instrText>为了确保人类矿物原料的可持续供应，防止燃料和能源危机，最大限度地减少人为事故和工业对环境的负面影响，资金和创新对采矿业的流入应在时间和空间上不断扩大。为此，新的挖矿平台不仅应具有创新和技术，而且还应具有最新能力的社会和经济覆盖范围，而采矿</w:instrText>
            </w:r>
            <w:r w:rsidRPr="002559FE">
              <w:rPr>
                <w:rFonts w:cs="Arial"/>
                <w:color w:val="000000" w:themeColor="text1"/>
                <w:sz w:val="21"/>
                <w:szCs w:val="21"/>
              </w:rPr>
              <w:instrText>4.0</w:instrText>
            </w:r>
            <w:r w:rsidRPr="002559FE">
              <w:rPr>
                <w:rFonts w:cs="Arial"/>
                <w:color w:val="000000" w:themeColor="text1"/>
                <w:sz w:val="21"/>
                <w:szCs w:val="21"/>
              </w:rPr>
              <w:instrText>完全符合这一点。第四次工业革命的成果体现为</w:instrText>
            </w:r>
            <w:r w:rsidRPr="002559FE">
              <w:rPr>
                <w:rFonts w:cs="Arial"/>
                <w:color w:val="000000" w:themeColor="text1"/>
                <w:sz w:val="21"/>
                <w:szCs w:val="21"/>
              </w:rPr>
              <w:instrText>“</w:instrText>
            </w:r>
            <w:r w:rsidRPr="002559FE">
              <w:rPr>
                <w:rFonts w:cs="Arial"/>
                <w:color w:val="000000" w:themeColor="text1"/>
                <w:sz w:val="21"/>
                <w:szCs w:val="21"/>
              </w:rPr>
              <w:instrText>端到端</w:instrText>
            </w:r>
            <w:r w:rsidRPr="002559FE">
              <w:rPr>
                <w:rFonts w:cs="Arial"/>
                <w:color w:val="000000" w:themeColor="text1"/>
                <w:sz w:val="21"/>
                <w:szCs w:val="21"/>
              </w:rPr>
              <w:instrText>”</w:instrText>
            </w:r>
            <w:r w:rsidRPr="002559FE">
              <w:rPr>
                <w:rFonts w:cs="Arial"/>
                <w:color w:val="000000" w:themeColor="text1"/>
                <w:sz w:val="21"/>
                <w:szCs w:val="21"/>
              </w:rPr>
              <w:instrText>的数字化、融合技术，能够保证矿产资源行业在原材料需求和矿业企业盈利能力波动的情况下稳定发展，加强环境安全立法。采矿</w:instrText>
            </w:r>
            <w:r w:rsidRPr="002559FE">
              <w:rPr>
                <w:rFonts w:cs="Arial"/>
                <w:color w:val="000000" w:themeColor="text1"/>
                <w:sz w:val="21"/>
                <w:szCs w:val="21"/>
              </w:rPr>
              <w:instrText xml:space="preserve"> 4.0 </w:instrText>
            </w:r>
            <w:r w:rsidRPr="002559FE">
              <w:rPr>
                <w:rFonts w:cs="Arial"/>
                <w:color w:val="000000" w:themeColor="text1"/>
                <w:sz w:val="21"/>
                <w:szCs w:val="21"/>
              </w:rPr>
              <w:instrText>也是对制造业和基础设施行业加速数字化现代化带来的技术冲击的回应。本文试图对工业</w:instrText>
            </w:r>
            <w:r w:rsidRPr="002559FE">
              <w:rPr>
                <w:rFonts w:cs="Arial"/>
                <w:color w:val="000000" w:themeColor="text1"/>
                <w:sz w:val="21"/>
                <w:szCs w:val="21"/>
              </w:rPr>
              <w:instrText>4.0</w:instrText>
            </w:r>
            <w:r w:rsidRPr="002559FE">
              <w:rPr>
                <w:rFonts w:cs="Arial"/>
                <w:color w:val="000000" w:themeColor="text1"/>
                <w:sz w:val="21"/>
                <w:szCs w:val="21"/>
              </w:rPr>
              <w:instrText>技术传播过程中采矿业的转型进行多边概述，突出采矿</w:instrText>
            </w:r>
            <w:r w:rsidRPr="002559FE">
              <w:rPr>
                <w:rFonts w:cs="Arial"/>
                <w:color w:val="000000" w:themeColor="text1"/>
                <w:sz w:val="21"/>
                <w:szCs w:val="21"/>
              </w:rPr>
              <w:instrText>4.0</w:instrText>
            </w:r>
            <w:r w:rsidRPr="002559FE">
              <w:rPr>
                <w:rFonts w:cs="Arial"/>
                <w:color w:val="000000" w:themeColor="text1"/>
                <w:sz w:val="21"/>
                <w:szCs w:val="21"/>
              </w:rPr>
              <w:instrText>扩展的核心和前沿，展示用网络取代采矿中的物理系统和人类的机遇和威胁</w:instrText>
            </w:r>
            <w:r w:rsidRPr="002559FE">
              <w:rPr>
                <w:rFonts w:cs="Arial"/>
                <w:color w:val="000000" w:themeColor="text1"/>
                <w:sz w:val="21"/>
                <w:szCs w:val="21"/>
              </w:rPr>
              <w:instrText>-</w:instrText>
            </w:r>
            <w:r w:rsidRPr="002559FE">
              <w:rPr>
                <w:rFonts w:cs="Arial"/>
                <w:color w:val="000000" w:themeColor="text1"/>
                <w:sz w:val="21"/>
                <w:szCs w:val="21"/>
              </w:rPr>
              <w:instrText>物理系统。此外，还讨论了采矿</w:instrText>
            </w:r>
            <w:r w:rsidRPr="002559FE">
              <w:rPr>
                <w:rFonts w:cs="Arial"/>
                <w:color w:val="000000" w:themeColor="text1"/>
                <w:sz w:val="21"/>
                <w:szCs w:val="21"/>
              </w:rPr>
              <w:instrText xml:space="preserve"> 4.0 </w:instrText>
            </w:r>
            <w:r w:rsidRPr="002559FE">
              <w:rPr>
                <w:rFonts w:cs="Arial"/>
                <w:color w:val="000000" w:themeColor="text1"/>
                <w:sz w:val="21"/>
                <w:szCs w:val="21"/>
              </w:rPr>
              <w:instrText>向采矿</w:instrText>
            </w:r>
            <w:r w:rsidRPr="002559FE">
              <w:rPr>
                <w:rFonts w:cs="Arial"/>
                <w:color w:val="000000" w:themeColor="text1"/>
                <w:sz w:val="21"/>
                <w:szCs w:val="21"/>
              </w:rPr>
              <w:instrText xml:space="preserve"> 5.0 </w:instrText>
            </w:r>
            <w:r w:rsidRPr="002559FE">
              <w:rPr>
                <w:rFonts w:cs="Arial"/>
                <w:color w:val="000000" w:themeColor="text1"/>
                <w:sz w:val="21"/>
                <w:szCs w:val="21"/>
              </w:rPr>
              <w:instrText>转型的技术、经济和社会前景，以及全面数字化的具体威胁。</w:instrText>
            </w:r>
            <w:r w:rsidRPr="002559FE">
              <w:rPr>
                <w:rFonts w:cs="Arial"/>
                <w:color w:val="000000" w:themeColor="text1"/>
                <w:sz w:val="21"/>
                <w:szCs w:val="21"/>
              </w:rPr>
              <w:instrText xml:space="preserve">\ntitleTranslation: </w:instrText>
            </w:r>
            <w:r w:rsidRPr="002559FE">
              <w:rPr>
                <w:rFonts w:cs="Arial"/>
                <w:color w:val="000000" w:themeColor="text1"/>
                <w:sz w:val="21"/>
                <w:szCs w:val="21"/>
              </w:rPr>
              <w:instrText>向采矿</w:instrText>
            </w:r>
            <w:r w:rsidRPr="002559FE">
              <w:rPr>
                <w:rFonts w:cs="Arial"/>
                <w:color w:val="000000" w:themeColor="text1"/>
                <w:sz w:val="21"/>
                <w:szCs w:val="21"/>
              </w:rPr>
              <w:instrText xml:space="preserve"> 4.0 </w:instrText>
            </w:r>
            <w:r w:rsidRPr="002559FE">
              <w:rPr>
                <w:rFonts w:cs="Arial"/>
                <w:color w:val="000000" w:themeColor="text1"/>
                <w:sz w:val="21"/>
                <w:szCs w:val="21"/>
              </w:rPr>
              <w:instrText>的技术和知识转型：回顾</w:instrText>
            </w:r>
            <w:r w:rsidRPr="002559FE">
              <w:rPr>
                <w:rFonts w:cs="Arial"/>
                <w:color w:val="000000" w:themeColor="text1"/>
                <w:sz w:val="21"/>
                <w:szCs w:val="21"/>
              </w:rPr>
              <w:instrText xml:space="preserve">","page":"1427","source":"3.2","title":"Technological and Intellectual Transition to Mining 4.0: A Review","title-short":"Technological and Intellectual Transition to Mining 4.0","volume":"16","author":[{"family":"Zhironkina","given":"Olga"},{"family":"Zhironkin","given":"Sergey"}],"issued":{"date-parts":[["2023",2,1]]},"citation-key":"zhironkinaTechnologicalIntellectualTransition2023"}}],"schema":"https://github.com/citation-style-language/schema/raw/master/csl-citation.json"} </w:instrText>
            </w:r>
            <w:r w:rsidRPr="002559FE">
              <w:rPr>
                <w:rFonts w:cs="Arial"/>
                <w:color w:val="000000" w:themeColor="text1"/>
                <w:sz w:val="21"/>
                <w:szCs w:val="21"/>
              </w:rPr>
              <w:fldChar w:fldCharType="separate"/>
            </w:r>
            <w:r w:rsidRPr="002559FE">
              <w:rPr>
                <w:rFonts w:cs="Arial"/>
                <w:noProof/>
                <w:color w:val="000000" w:themeColor="text1"/>
                <w:sz w:val="21"/>
                <w:szCs w:val="21"/>
              </w:rPr>
              <w:t>(Young &amp; Rogers, 2019; Zhironkin &amp; Taran, 2023; Zhironkina &amp; Zhironkin, 2023)</w:t>
            </w:r>
            <w:r w:rsidRPr="002559FE">
              <w:rPr>
                <w:rFonts w:cs="Arial"/>
                <w:color w:val="000000" w:themeColor="text1"/>
                <w:sz w:val="21"/>
                <w:szCs w:val="21"/>
              </w:rPr>
              <w:fldChar w:fldCharType="end"/>
            </w:r>
            <w:r w:rsidRPr="002559FE">
              <w:rPr>
                <w:rFonts w:cs="Arial"/>
                <w:color w:val="000000" w:themeColor="text1"/>
                <w:sz w:val="21"/>
                <w:szCs w:val="21"/>
                <w:lang w:val="en-US"/>
              </w:rPr>
              <w:t>.</w:t>
            </w:r>
          </w:p>
          <w:p w14:paraId="5FC6D504" w14:textId="77777777" w:rsidR="00C9708D" w:rsidRPr="00E43144" w:rsidRDefault="00C9708D" w:rsidP="00C9708D">
            <w:pPr>
              <w:spacing w:line="360" w:lineRule="auto"/>
              <w:rPr>
                <w:rFonts w:cs="Arial"/>
                <w:b/>
                <w:bCs/>
                <w:color w:val="000000" w:themeColor="text1"/>
                <w:sz w:val="21"/>
                <w:szCs w:val="21"/>
              </w:rPr>
            </w:pPr>
            <w:r w:rsidRPr="00E43144">
              <w:rPr>
                <w:rFonts w:cs="Arial" w:hint="eastAsia"/>
                <w:b/>
                <w:bCs/>
                <w:color w:val="000000" w:themeColor="text1"/>
                <w:szCs w:val="21"/>
                <w:lang w:eastAsia="zh-CN"/>
              </w:rPr>
              <w:t>Research</w:t>
            </w:r>
            <w:r w:rsidRPr="00E43144">
              <w:rPr>
                <w:rFonts w:cs="Arial" w:hint="eastAsia"/>
                <w:b/>
                <w:bCs/>
                <w:color w:val="000000" w:themeColor="text1"/>
                <w:szCs w:val="21"/>
              </w:rPr>
              <w:t xml:space="preserve"> </w:t>
            </w:r>
            <w:r w:rsidRPr="00E43144">
              <w:rPr>
                <w:rFonts w:cs="Arial" w:hint="eastAsia"/>
                <w:b/>
                <w:bCs/>
                <w:color w:val="000000" w:themeColor="text1"/>
                <w:szCs w:val="21"/>
                <w:lang w:eastAsia="zh-CN"/>
              </w:rPr>
              <w:t>conceptual</w:t>
            </w:r>
            <w:r w:rsidRPr="00E43144">
              <w:rPr>
                <w:rFonts w:cs="Arial" w:hint="eastAsia"/>
                <w:b/>
                <w:bCs/>
                <w:color w:val="000000" w:themeColor="text1"/>
                <w:szCs w:val="21"/>
              </w:rPr>
              <w:t xml:space="preserve"> </w:t>
            </w:r>
            <w:r w:rsidRPr="00E43144">
              <w:rPr>
                <w:rFonts w:cs="Arial" w:hint="eastAsia"/>
                <w:b/>
                <w:bCs/>
                <w:color w:val="000000" w:themeColor="text1"/>
                <w:szCs w:val="21"/>
                <w:lang w:eastAsia="zh-CN"/>
              </w:rPr>
              <w:t>framework</w:t>
            </w:r>
          </w:p>
          <w:p w14:paraId="69E6DBA2" w14:textId="77777777" w:rsidR="00C9708D" w:rsidRDefault="00C9708D" w:rsidP="00C9708D">
            <w:pPr>
              <w:spacing w:line="360" w:lineRule="auto"/>
              <w:rPr>
                <w:rFonts w:cs="Arial"/>
                <w:color w:val="000000" w:themeColor="text1"/>
                <w:szCs w:val="21"/>
              </w:rPr>
            </w:pPr>
            <w:r w:rsidRPr="003A71B9">
              <w:rPr>
                <w:rFonts w:cs="Arial"/>
                <w:color w:val="000000" w:themeColor="text1"/>
                <w:szCs w:val="21"/>
              </w:rPr>
              <w:t>Based on TOE and RBV theories, this study explores the challenges and opportunities of digital transformation in the coal industry</w:t>
            </w:r>
            <w:r>
              <w:rPr>
                <w:rFonts w:cs="Arial"/>
                <w:color w:val="000000" w:themeColor="text1"/>
                <w:szCs w:val="21"/>
              </w:rPr>
              <w:fldChar w:fldCharType="begin"/>
            </w:r>
            <w:r>
              <w:rPr>
                <w:rFonts w:cs="Arial"/>
                <w:color w:val="000000" w:themeColor="text1"/>
                <w:szCs w:val="21"/>
              </w:rPr>
              <w:instrText xml:space="preserve"> ADDIN ZOTERO_ITEM CSL_CITATION {"citationID":"if7GIgOO","properties":{"formattedCitation":"(Barney, 1991; Teece et al., 1997; Tornatzky et al., 1990)","plainCitation":"(Barney, 1991; Teece et al., 1997; Tornatzky et al., 1990)","noteIndex":0},"citationItems":[{"id":26902,"uris":["http://zotero.org/users/4106135/items/YDK752BI"],"itemData":{"id":26902,"type":"article-journal","abstract":"Understanding sources of sustained competitive advantage has become a major area of research in strategic management. Building on the assumptions that strategic resources are heterogeneously distributed acrossfirms and that these differences are stable over time, this article examines the link betweenfirm resources and sustained competitive advantage. Four empirical indicators of the potential of firm resources to generate sustained competitive advantage-value, rareness, imitability, and substitutability-are discussed. The model is applied by analyzing the potential of severalfirm resourcesfor generating sustained competitive advantages. The article concludes by examining implications of this firm resource model of sustained competitive advantage for other business disciplines.","container-title":"Journal of Management","DOI":"10.1177/014920639101700108","ISSN":"0149-2063</w:instrText>
            </w:r>
            <w:r>
              <w:rPr>
                <w:rFonts w:cs="Arial" w:hint="eastAsia"/>
                <w:color w:val="000000" w:themeColor="text1"/>
                <w:szCs w:val="21"/>
              </w:rPr>
              <w:instrText xml:space="preserve">, 1557-1211","issue":"1","journalAbbreviation":"Journal of Management","language":"en","note":"abstractTranslation:  </w:instrText>
            </w:r>
            <w:r>
              <w:rPr>
                <w:rFonts w:cs="Arial" w:hint="eastAsia"/>
                <w:color w:val="000000" w:themeColor="text1"/>
                <w:szCs w:val="21"/>
              </w:rPr>
              <w:instrText>了解持续竞争优势的来源已成为战略管理研究的一个主要领域。基于战略资源在企业之间分布不均且这些差异随着时间的推移保持稳定的假设，本文研究了企业资源与持续竞争优势之间的联系。讨论了企业资源产生持续竞争优势潜力的四个实证指标——价值、稀有性、可模仿性和可替代性。该模型通过分析几种企业资源产生持续竞争优势的潜力来应用。本文最后探讨了这种持续竞争优势的公司资源模型对其他业务学科的影响。</w:instrText>
            </w:r>
            <w:r>
              <w:rPr>
                <w:rFonts w:cs="Arial" w:hint="eastAsia"/>
                <w:color w:val="000000" w:themeColor="text1"/>
                <w:szCs w:val="21"/>
              </w:rPr>
              <w:instrText xml:space="preserve">\ntitleTranslation: </w:instrText>
            </w:r>
            <w:r>
              <w:rPr>
                <w:rFonts w:cs="Arial" w:hint="eastAsia"/>
                <w:color w:val="000000" w:themeColor="text1"/>
                <w:szCs w:val="21"/>
              </w:rPr>
              <w:instrText>公司资源和持续竞争优势</w:instrText>
            </w:r>
            <w:r>
              <w:rPr>
                <w:rFonts w:cs="Arial" w:hint="eastAsia"/>
                <w:color w:val="000000" w:themeColor="text1"/>
                <w:szCs w:val="21"/>
              </w:rPr>
              <w:instrText>","page":"99-120","source":"13.5","title":"Firm Resources and Sustained Competitive Advantage","volume":"17","author":[{"family":"Barney","given":"Jay"}],"issued":{"date-par</w:instrText>
            </w:r>
            <w:r>
              <w:rPr>
                <w:rFonts w:cs="Arial"/>
                <w:color w:val="000000" w:themeColor="text1"/>
                <w:szCs w:val="21"/>
              </w:rPr>
              <w:instrText>ts":[["1991",3]]},"citation-key":"barneyFirmResourcesSustained1991"},"label":"page"},{"id":31353,"uris":["http://zotero.org/users/4106135/items/8EKY9JZ9"],"itemData":{"id":31353,"type":"article-journal","container-title":"Strategic Management Journal","DO</w:instrText>
            </w:r>
            <w:r>
              <w:rPr>
                <w:rFonts w:cs="Arial" w:hint="eastAsia"/>
                <w:color w:val="000000" w:themeColor="text1"/>
                <w:szCs w:val="21"/>
              </w:rPr>
              <w:instrText xml:space="preserve">I":"10.1002/(SICI)1097-0266(199708)18:7&lt;509::AID-SMJ882&gt;3.0.CO;2-Z","ISSN":"0143-2095, 1097-0266","issue":"7","journalAbbreviation":"Strat. Mgmt. J.","language":"en","note":"titleTranslation: </w:instrText>
            </w:r>
            <w:r>
              <w:rPr>
                <w:rFonts w:cs="Arial" w:hint="eastAsia"/>
                <w:color w:val="000000" w:themeColor="text1"/>
                <w:szCs w:val="21"/>
              </w:rPr>
              <w:instrText>动态能力和战略管理</w:instrText>
            </w:r>
            <w:r>
              <w:rPr>
                <w:rFonts w:cs="Arial" w:hint="eastAsia"/>
                <w:color w:val="000000" w:themeColor="text1"/>
                <w:szCs w:val="21"/>
              </w:rPr>
              <w:instrText>","page":"509-533","source":"8.3","title":"Dynamic cap</w:instrText>
            </w:r>
            <w:r>
              <w:rPr>
                <w:rFonts w:cs="Arial"/>
                <w:color w:val="000000" w:themeColor="text1"/>
                <w:szCs w:val="21"/>
              </w:rPr>
              <w:instrText>abilities and strategic management","volume":"18","author":[{"family":"Teece","given":"David J."},{"family":"Pisano","given":"Gary"},{"family":"Shuen","given":"Amy"}],"issued":{"date-parts":[["1997",8]]},"citation-key":"teeceDynamicCapabilitiesStrategic1997"},"label":"page"},{"id":28115,"uris":["http://zotero.org/users/4106135/items/S9BQUZBQ"],"itemData":{"id":28115,"type":"book","call-number":"T173.8 .T67 1990","collection-title":"Issues in organization and management series","event-place":"Lexington, Ma</w:instrText>
            </w:r>
            <w:r>
              <w:rPr>
                <w:rFonts w:cs="Arial" w:hint="eastAsia"/>
                <w:color w:val="000000" w:themeColor="text1"/>
                <w:szCs w:val="21"/>
              </w:rPr>
              <w:instrText xml:space="preserve">ss","ISBN":"978-0-669-20348-6","language":"en-US","note":"titleTranslation: </w:instrText>
            </w:r>
            <w:r>
              <w:rPr>
                <w:rFonts w:cs="Arial" w:hint="eastAsia"/>
                <w:color w:val="000000" w:themeColor="text1"/>
                <w:szCs w:val="21"/>
              </w:rPr>
              <w:instrText>技术创新的过程</w:instrText>
            </w:r>
            <w:r>
              <w:rPr>
                <w:rFonts w:cs="Arial" w:hint="eastAsia"/>
                <w:color w:val="000000" w:themeColor="text1"/>
                <w:szCs w:val="21"/>
              </w:rPr>
              <w:instrText>","number-of-pages":"298","publisher":"Lexington Books","publisher-place":"Lexington, Mass","source":"Library of Congress ISBN","title":"The processes of technological inno</w:instrText>
            </w:r>
            <w:r>
              <w:rPr>
                <w:rFonts w:cs="Arial"/>
                <w:color w:val="000000" w:themeColor="text1"/>
                <w:szCs w:val="21"/>
              </w:rPr>
              <w:instrText xml:space="preserve">vation","author":[{"family":"Tornatzky","given":"Louis G."},{"family":"Fleischer","given":"Mitchell"},{"family":"Chakrabarti","given":"Alok K."}],"issued":{"date-parts":[["1990"]]},"citation-key":"tornatzkyProcessesTechnologicalInnovation1990"},"label":"page"}],"schema":"https://github.com/citation-style-language/schema/raw/master/csl-citation.json"} </w:instrText>
            </w:r>
            <w:r>
              <w:rPr>
                <w:rFonts w:cs="Arial"/>
                <w:color w:val="000000" w:themeColor="text1"/>
                <w:szCs w:val="21"/>
              </w:rPr>
              <w:fldChar w:fldCharType="separate"/>
            </w:r>
            <w:r>
              <w:rPr>
                <w:rFonts w:cs="Arial"/>
                <w:noProof/>
                <w:color w:val="000000" w:themeColor="text1"/>
                <w:szCs w:val="21"/>
              </w:rPr>
              <w:t>(Barney, 1991;Tornatzky et al., 1990)</w:t>
            </w:r>
            <w:r>
              <w:rPr>
                <w:rFonts w:cs="Arial"/>
                <w:color w:val="000000" w:themeColor="text1"/>
                <w:szCs w:val="21"/>
              </w:rPr>
              <w:fldChar w:fldCharType="end"/>
            </w:r>
            <w:r w:rsidRPr="003A71B9">
              <w:rPr>
                <w:rFonts w:cs="Arial"/>
                <w:color w:val="000000" w:themeColor="text1"/>
                <w:szCs w:val="21"/>
              </w:rPr>
              <w:t>. It also analyses the role of digital transformation in enhancing the dynamic capabilities of enterprises</w:t>
            </w:r>
            <w:r>
              <w:rPr>
                <w:rFonts w:cs="Arial"/>
                <w:color w:val="000000" w:themeColor="text1"/>
                <w:szCs w:val="21"/>
              </w:rPr>
              <w:fldChar w:fldCharType="begin"/>
            </w:r>
            <w:r>
              <w:rPr>
                <w:rFonts w:cs="Arial"/>
                <w:color w:val="000000" w:themeColor="text1"/>
                <w:szCs w:val="21"/>
              </w:rPr>
              <w:instrText xml:space="preserve"> ADDIN ZOTERO_ITEM CSL_CITATION {"citationID":"Z8RX3IMO","properties":{"formattedCitation":"(Teece et al., 1997)","plainCitation":"(Teece et al., 1997)","noteIndex":0},"citationItems":[{"id":31353,"uris":["http://zotero.org/users/4106135/items/8EKY9JZ9"],"itemData":{"id":31353,"type":"article-journal","container-title":"Strategic Management Journal","DOI":"10.1002/(SICI)1097-0266(199708)18:7&lt;509::AID-SMJ882&gt;3.0.CO;2-Z","ISSN":"0143-2095, 1097-0266","issue":"7","journalAbbreviation":"Strat. Mgmt. J.","lang</w:instrText>
            </w:r>
            <w:r>
              <w:rPr>
                <w:rFonts w:cs="Arial" w:hint="eastAsia"/>
                <w:color w:val="000000" w:themeColor="text1"/>
                <w:szCs w:val="21"/>
              </w:rPr>
              <w:instrText xml:space="preserve">uage":"en","note":"titleTranslation: </w:instrText>
            </w:r>
            <w:r>
              <w:rPr>
                <w:rFonts w:cs="Arial" w:hint="eastAsia"/>
                <w:color w:val="000000" w:themeColor="text1"/>
                <w:szCs w:val="21"/>
              </w:rPr>
              <w:instrText>动态能力和战略管理</w:instrText>
            </w:r>
            <w:r>
              <w:rPr>
                <w:rFonts w:cs="Arial" w:hint="eastAsia"/>
                <w:color w:val="000000" w:themeColor="text1"/>
                <w:szCs w:val="21"/>
              </w:rPr>
              <w:instrText>","page":"509-533","source":"8.3","title":"Dynamic capabilities and strategic management","volume":"18","author":[{"family":"Teece","given":"David J."},{"family":"Pisano","given":"Gary"},{"family":"Shuen","giv</w:instrText>
            </w:r>
            <w:r>
              <w:rPr>
                <w:rFonts w:cs="Arial"/>
                <w:color w:val="000000" w:themeColor="text1"/>
                <w:szCs w:val="21"/>
              </w:rPr>
              <w:instrText xml:space="preserve">en":"Amy"}],"issued":{"date-parts":[["1997",8]]},"citation-key":"teeceDynamicCapabilitiesStrategic1997"}}],"schema":"https://github.com/citation-style-language/schema/raw/master/csl-citation.json"} </w:instrText>
            </w:r>
            <w:r>
              <w:rPr>
                <w:rFonts w:cs="Arial"/>
                <w:color w:val="000000" w:themeColor="text1"/>
                <w:szCs w:val="21"/>
              </w:rPr>
              <w:fldChar w:fldCharType="separate"/>
            </w:r>
            <w:r>
              <w:rPr>
                <w:rFonts w:cs="Arial"/>
                <w:noProof/>
                <w:color w:val="000000" w:themeColor="text1"/>
                <w:szCs w:val="21"/>
              </w:rPr>
              <w:t>(Teece et al., 1997)</w:t>
            </w:r>
            <w:r>
              <w:rPr>
                <w:rFonts w:cs="Arial"/>
                <w:color w:val="000000" w:themeColor="text1"/>
                <w:szCs w:val="21"/>
              </w:rPr>
              <w:fldChar w:fldCharType="end"/>
            </w:r>
            <w:r w:rsidRPr="003A71B9">
              <w:rPr>
                <w:rFonts w:cs="Arial"/>
                <w:color w:val="000000" w:themeColor="text1"/>
                <w:szCs w:val="21"/>
              </w:rPr>
              <w:t>. Therefore, TOE, RBV and dynamic capability theory form the theoretical foundation of this study.</w:t>
            </w:r>
          </w:p>
          <w:p w14:paraId="5884C63E" w14:textId="77777777" w:rsidR="00C9708D" w:rsidRDefault="00C9708D" w:rsidP="00C9708D">
            <w:pPr>
              <w:spacing w:line="360" w:lineRule="auto"/>
              <w:jc w:val="center"/>
              <w:rPr>
                <w:rFonts w:cs="Arial"/>
                <w:color w:val="000000" w:themeColor="text1"/>
                <w:szCs w:val="21"/>
              </w:rPr>
            </w:pPr>
            <w:r>
              <w:rPr>
                <w:rFonts w:cs="Arial"/>
                <w:noProof/>
                <w:color w:val="000000" w:themeColor="text1"/>
                <w:szCs w:val="21"/>
              </w:rPr>
              <w:lastRenderedPageBreak/>
              <w:drawing>
                <wp:inline distT="0" distB="0" distL="0" distR="0" wp14:anchorId="1EC1F979" wp14:editId="128C4677">
                  <wp:extent cx="3010678" cy="2574264"/>
                  <wp:effectExtent l="0" t="0" r="0" b="4445"/>
                  <wp:docPr id="1959521281" name="图片 1"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9521281" name="图片 1" descr="图示&#10;&#10;描述已自动生成"/>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018062" cy="2580577"/>
                          </a:xfrm>
                          <a:prstGeom prst="rect">
                            <a:avLst/>
                          </a:prstGeom>
                        </pic:spPr>
                      </pic:pic>
                    </a:graphicData>
                  </a:graphic>
                </wp:inline>
              </w:drawing>
            </w:r>
          </w:p>
          <w:p w14:paraId="7E91ACEF" w14:textId="7C79652F" w:rsidR="00C9708D" w:rsidRPr="00ED6488" w:rsidRDefault="00C9708D" w:rsidP="00ED6488">
            <w:pPr>
              <w:spacing w:line="360" w:lineRule="auto"/>
              <w:jc w:val="center"/>
              <w:rPr>
                <w:rFonts w:cs="Arial"/>
                <w:color w:val="000000" w:themeColor="text1"/>
                <w:sz w:val="18"/>
                <w:szCs w:val="18"/>
                <w:lang w:eastAsia="zh-CN"/>
              </w:rPr>
            </w:pPr>
            <w:r w:rsidRPr="00ED6488">
              <w:rPr>
                <w:rFonts w:cs="Arial" w:hint="eastAsia"/>
                <w:color w:val="000000" w:themeColor="text1"/>
                <w:sz w:val="18"/>
                <w:szCs w:val="18"/>
                <w:lang w:eastAsia="zh-CN"/>
              </w:rPr>
              <w:t>Fig</w:t>
            </w:r>
            <w:r w:rsidRPr="00ED6488">
              <w:rPr>
                <w:rFonts w:cs="Arial" w:hint="eastAsia"/>
                <w:color w:val="000000" w:themeColor="text1"/>
                <w:sz w:val="18"/>
                <w:szCs w:val="18"/>
              </w:rPr>
              <w:t xml:space="preserve">1 </w:t>
            </w:r>
            <w:r w:rsidRPr="00ED6488">
              <w:rPr>
                <w:rFonts w:cs="Arial" w:hint="eastAsia"/>
                <w:color w:val="000000" w:themeColor="text1"/>
                <w:sz w:val="18"/>
                <w:szCs w:val="18"/>
                <w:lang w:eastAsia="zh-CN"/>
              </w:rPr>
              <w:t>The</w:t>
            </w:r>
            <w:r w:rsidRPr="00ED6488">
              <w:rPr>
                <w:rFonts w:cs="Arial" w:hint="eastAsia"/>
                <w:color w:val="000000" w:themeColor="text1"/>
                <w:sz w:val="18"/>
                <w:szCs w:val="18"/>
              </w:rPr>
              <w:t xml:space="preserve"> </w:t>
            </w:r>
            <w:r w:rsidRPr="00ED6488">
              <w:rPr>
                <w:rFonts w:cs="Arial" w:hint="eastAsia"/>
                <w:color w:val="000000" w:themeColor="text1"/>
                <w:sz w:val="18"/>
                <w:szCs w:val="18"/>
                <w:lang w:eastAsia="zh-CN"/>
              </w:rPr>
              <w:t>theory</w:t>
            </w:r>
            <w:r w:rsidRPr="00ED6488">
              <w:rPr>
                <w:rFonts w:cs="Arial" w:hint="eastAsia"/>
                <w:color w:val="000000" w:themeColor="text1"/>
                <w:sz w:val="18"/>
                <w:szCs w:val="18"/>
              </w:rPr>
              <w:t xml:space="preserve"> </w:t>
            </w:r>
            <w:r w:rsidRPr="00ED6488">
              <w:rPr>
                <w:rFonts w:cs="Arial" w:hint="eastAsia"/>
                <w:color w:val="000000" w:themeColor="text1"/>
                <w:sz w:val="18"/>
                <w:szCs w:val="18"/>
                <w:lang w:eastAsia="zh-CN"/>
              </w:rPr>
              <w:t>of</w:t>
            </w:r>
            <w:r w:rsidRPr="00ED6488">
              <w:rPr>
                <w:rFonts w:cs="Arial" w:hint="eastAsia"/>
                <w:color w:val="000000" w:themeColor="text1"/>
                <w:sz w:val="18"/>
                <w:szCs w:val="18"/>
              </w:rPr>
              <w:t xml:space="preserve"> </w:t>
            </w:r>
            <w:r w:rsidRPr="00ED6488">
              <w:rPr>
                <w:rFonts w:cs="Arial" w:hint="eastAsia"/>
                <w:color w:val="000000" w:themeColor="text1"/>
                <w:sz w:val="18"/>
                <w:szCs w:val="18"/>
                <w:lang w:eastAsia="zh-CN"/>
              </w:rPr>
              <w:t>TOE</w:t>
            </w:r>
          </w:p>
          <w:p w14:paraId="35A43F3E" w14:textId="77777777" w:rsidR="00C9708D" w:rsidRDefault="00C9708D" w:rsidP="00C9708D">
            <w:pPr>
              <w:spacing w:line="360" w:lineRule="auto"/>
              <w:rPr>
                <w:rFonts w:cs="Arial"/>
                <w:color w:val="000000" w:themeColor="text1"/>
                <w:szCs w:val="21"/>
              </w:rPr>
            </w:pPr>
            <w:r w:rsidRPr="00232EB8">
              <w:rPr>
                <w:rFonts w:cs="Arial"/>
                <w:color w:val="000000" w:themeColor="text1"/>
                <w:szCs w:val="21"/>
                <w:lang w:val="en-US"/>
              </w:rPr>
              <w:t>This project has developed a conceptual framework through literature review and pilot studies to gain a more comprehensive understanding of digital transformation</w:t>
            </w:r>
            <w:r>
              <w:rPr>
                <w:rFonts w:cs="Arial"/>
                <w:color w:val="000000" w:themeColor="text1"/>
                <w:szCs w:val="21"/>
              </w:rPr>
              <w:fldChar w:fldCharType="begin"/>
            </w:r>
            <w:r>
              <w:rPr>
                <w:rFonts w:cs="Arial"/>
                <w:color w:val="000000" w:themeColor="text1"/>
                <w:szCs w:val="21"/>
              </w:rPr>
              <w:instrText xml:space="preserve"> ADDIN ZOTERO_ITEM CSL_CITATION {"citationID":"0GPROoZI","properties":{"formattedCitation":"(Grant &amp; Osanloo, 2014; Imenda, 2014; Joseph A. Maxwell, 2013)","plainCitation":"(Grant &amp; Osanloo, 2014; Imenda, 2014; Joseph A. Maxwell, 2013)","noteIndex":0},"citationItems":[{"id":27070,"uris":["http://zotero.org/users/4106135/items/4HDZWXB6"],"itemData":{"id":27070,"type":"article-journal","abstract":"The theoretical framework is one of the most important aspects in the research process, yet is often misunderstood by doctoral candidates as they prepare their dissertation research study. The importance of theory-driven thinking and acting is emphasized in relation to the selection of a topic, the development of research questions, the conceptualization of the literature review, the design approach, and the analysis plan for the dissertation study. Using a metaphor of the “blueprint” of a house, this article explains the application of a theoretical framework in a dissertation. Steps for how to select and integrate a theoretical framework to structure all aspects of the research process are described, with an example of how to thread theory throughout the dissertation.","container-title":"Administrative Issues Journal Education Practice and Research","DOI":"10.59</w:instrText>
            </w:r>
            <w:r>
              <w:rPr>
                <w:rFonts w:cs="Arial" w:hint="eastAsia"/>
                <w:color w:val="000000" w:themeColor="text1"/>
                <w:szCs w:val="21"/>
              </w:rPr>
              <w:instrText xml:space="preserve">29/2014.4.2.9","ISSN":"21537615","issue":"2","journalAbbreviation":"AIJ","language":"en","note":"abstractTranslation:  </w:instrText>
            </w:r>
            <w:r>
              <w:rPr>
                <w:rFonts w:cs="Arial" w:hint="eastAsia"/>
                <w:color w:val="000000" w:themeColor="text1"/>
                <w:szCs w:val="21"/>
              </w:rPr>
              <w:instrText>理论框架是研究过程中最重要的方面之一，但博士生在准备论文研究时经常被误解。在论文研究的主题选择、研究问题的发展、文献综述的概念化、设计方法和分析计划方面，强调了理论驱动的思维和行动的重要性。本文用房子的“蓝图”来比喻，解释了理论框架在论文中的应用。描述了如何选择和整合理论框架来构建研究过程的各个方面的步骤，并举例说明了如何将理论贯穿于整个论文。</w:instrText>
            </w:r>
            <w:r>
              <w:rPr>
                <w:rFonts w:cs="Arial" w:hint="eastAsia"/>
                <w:color w:val="000000" w:themeColor="text1"/>
                <w:szCs w:val="21"/>
              </w:rPr>
              <w:instrText xml:space="preserve">\ntitleTranslation: </w:instrText>
            </w:r>
            <w:r>
              <w:rPr>
                <w:rFonts w:cs="Arial" w:hint="eastAsia"/>
                <w:color w:val="000000" w:themeColor="text1"/>
                <w:szCs w:val="21"/>
              </w:rPr>
              <w:instrText>理解、选择和整合论文研究中的理论框架：为你的“房子”绘制蓝图</w:instrText>
            </w:r>
            <w:r>
              <w:rPr>
                <w:rFonts w:cs="Arial" w:hint="eastAsia"/>
                <w:color w:val="000000" w:themeColor="text1"/>
                <w:szCs w:val="21"/>
              </w:rPr>
              <w:instrText>\nTLDR: Steps for how to select and integrate a theoretical framework to structure all aspects of the research process are described, with an example of how to thread t</w:instrText>
            </w:r>
            <w:r>
              <w:rPr>
                <w:rFonts w:cs="Arial"/>
                <w:color w:val="000000" w:themeColor="text1"/>
                <w:szCs w:val="21"/>
              </w:rPr>
              <w:instrText>heory throughout the dissertation.","source":"DOI.org (Crossref)","title":"Understanding, Selecting, and Integrating a Theoretical Framework in Dissertation Research: Creating the Blueprint for Your “House”","title-short":"Understanding, Selecting, and Integrating a Theoretical Framework in Dissertation Research","URL":"https://aij.scholasticahq.com/article/7-understanding-selecting-and-integrating-a-theoretical-framework-in-dissertation-research-creating-the-blueprint-for-your-house","volume":"4","author":[{"family":"Grant","given":"Cynthia"},{"family":"Osanloo","given":"Azadeh"}],"accessed":{"date-parts":[["2024",1,10]]},"issued":{"date-parts":[["2014"]]},"citation-key":"grantUnderstandingSelectingIntegrating2014"}},{"id":11391,"uris":["http://zotero.org/users/4106135/items/L6KCCV23"],"itemData":{"id":11391,"type":"article-journal","abstract":"This is an opinion piece on the subject of whether or not ‘theoretical’ and ‘conceptual’ frameworks are conceptual synonyms, or they refer to different constructs. Although, generally, a lot of liter ature uses these two terms interchangeably – suggesting that they are conceptually equivalent, the researcher argues that these are two different constructs – both by definition and as actualised during the research process. Thus, in this paper, the researcher starts by developing his argument by examining the role of theory in research, and then draws a distinction between areas of research that typically follow deductive versus inductive approaches, with regard to both the review of literature and data collection. The researcher then subsequently argues that whereas a deductive approach to literature review typically makes use of theories and theoretical frameworks, the induct ive approach tends to lead to the development of a conceptual framework – which may take the form of a (conceptua l) model. Examples depicting this distinction are advanced.","container-title":"Journal of Social Sciences","DOI":"10.1080/09718923.2014.11893249","ISSN":"0971-8923","issue":"2","j</w:instrText>
            </w:r>
            <w:r>
              <w:rPr>
                <w:rFonts w:cs="Arial" w:hint="eastAsia"/>
                <w:color w:val="000000" w:themeColor="text1"/>
                <w:szCs w:val="21"/>
              </w:rPr>
              <w:instrText xml:space="preserve">ournalAbbreviation":"Journal of Social Sciences","language":"en","note":"titleTranslation: </w:instrText>
            </w:r>
            <w:r>
              <w:rPr>
                <w:rFonts w:cs="Arial" w:hint="eastAsia"/>
                <w:color w:val="000000" w:themeColor="text1"/>
                <w:szCs w:val="21"/>
              </w:rPr>
              <w:instrText>理论框架和概念框架之间存在概念差异吗？</w:instrText>
            </w:r>
            <w:r>
              <w:rPr>
                <w:rFonts w:cs="Arial" w:hint="eastAsia"/>
                <w:color w:val="000000" w:themeColor="text1"/>
                <w:szCs w:val="21"/>
              </w:rPr>
              <w:instrText xml:space="preserve">\nabstractTranslation:  </w:instrText>
            </w:r>
            <w:r>
              <w:rPr>
                <w:rFonts w:cs="Arial" w:hint="eastAsia"/>
                <w:color w:val="000000" w:themeColor="text1"/>
                <w:szCs w:val="21"/>
              </w:rPr>
              <w:instrText>这是一篇关于“理论”和“概念”框架是否是概念同义词，或者它们指的是不同的构造的观点文章。尽管一般来说，许多文献可以互换使用这两个术语——这表明它们在概念上是等效的，但研究人员认为，无论是从定义上还是在研究过程中实现的情况下，它们都是两种不同的结构。因此，在本文中，研究人员首先通过考察理论在研究中的作用来发展自己的论点，然后在文献综述和数据收集方面区分通常遵循演绎方法和归纳方法的研究领域。研究人员随后提出，虽然文献综述的演绎方法通常利用理论和理论框架，但归纳方法往往会导致概念框架的发展——该框架可能采取（概念）模型的形式。描述这种区别的例子是先进的。</w:instrText>
            </w:r>
            <w:r>
              <w:rPr>
                <w:rFonts w:cs="Arial" w:hint="eastAsia"/>
                <w:color w:val="000000" w:themeColor="text1"/>
                <w:szCs w:val="21"/>
              </w:rPr>
              <w:instrText>","page":"185-195","source":"DOI.org (Crossref)","title":"Is There a Conceptual Difference between Theoretical and Conceptual Frameworks?","title-short":"</w:instrText>
            </w:r>
            <w:r>
              <w:rPr>
                <w:rFonts w:ascii="Apple Color Emoji" w:hAnsi="Apple Color Emoji" w:cs="Apple Color Emoji"/>
                <w:color w:val="000000" w:themeColor="text1"/>
                <w:szCs w:val="21"/>
              </w:rPr>
              <w:instrText>🔤</w:instrText>
            </w:r>
            <w:r>
              <w:rPr>
                <w:rFonts w:cs="Arial" w:hint="eastAsia"/>
                <w:color w:val="000000" w:themeColor="text1"/>
                <w:szCs w:val="21"/>
              </w:rPr>
              <w:instrText xml:space="preserve"> </w:instrText>
            </w:r>
            <w:r>
              <w:rPr>
                <w:rFonts w:cs="Arial" w:hint="eastAsia"/>
                <w:color w:val="000000" w:themeColor="text1"/>
                <w:szCs w:val="21"/>
              </w:rPr>
              <w:instrText>理论框架和概念框架之间是否存在概念差异？</w:instrText>
            </w:r>
            <w:r>
              <w:rPr>
                <w:rFonts w:cs="Arial" w:hint="eastAsia"/>
                <w:color w:val="000000" w:themeColor="text1"/>
                <w:szCs w:val="21"/>
              </w:rPr>
              <w:instrText>","volume":"38","author":[{"family":"Imenda","given":"Sitwala"}],"issued":{"date-parts":[["2014",2]]},"citation-key":"imendaThereConceptualDifference2014"}},{"id":26166,"uris":[</w:instrText>
            </w:r>
            <w:r>
              <w:rPr>
                <w:rFonts w:cs="Arial"/>
                <w:color w:val="000000" w:themeColor="text1"/>
                <w:szCs w:val="21"/>
              </w:rPr>
              <w:instrText>"http://zotero.org/users/4106135/items/HUHURR3Z"],"itemData":{"id":26166,"type":"book","abstract":"The Third Edition presents an approach to qualitative research design that both captures what researchers really do and provides step-by-step support and guidance for those embarking for the first time on designing a qualitative study. This book gives researchers and students a user-friendly, step-by-step guide to planning qualitative research. Based on a course that the author taught for 7 years at the Harvard Graduate School of Education, it is written in an informal, jargon-free style and incorporates many examples and hands-on exercises. Rather than the rigid, linear approach to design that is usually found in research methods textbooks--and which is particularly ill suited for qualitative research--this book presents a flexible, systemic model of design. This model not only better fits what experienced qualitative researchers actually do, but provides a clear framework for designing a study and developing a research proposal. This edition includes new or substantially expanded discussions of research paradigms, defining a research problem, site and participant selection, relationships with research participants, data analysis, and validity, as well as m</w:instrText>
            </w:r>
            <w:r>
              <w:rPr>
                <w:rFonts w:cs="Arial" w:hint="eastAsia"/>
                <w:color w:val="000000" w:themeColor="text1"/>
                <w:szCs w:val="21"/>
              </w:rPr>
              <w:instrText xml:space="preserve">ore examples and exercises","collection-number":"41","collection-title":"Applied social research methods series","edition":"3rd edition","event-place":"Los Angeles London New Delhi","ISBN":"978-1-4129-8119-4","language":"en-US","note":"titleTranslation: </w:instrText>
            </w:r>
            <w:r>
              <w:rPr>
                <w:rFonts w:cs="Arial" w:hint="eastAsia"/>
                <w:color w:val="000000" w:themeColor="text1"/>
                <w:szCs w:val="21"/>
              </w:rPr>
              <w:instrText>定性研究设计：互动方法</w:instrText>
            </w:r>
            <w:r>
              <w:rPr>
                <w:rFonts w:cs="Arial" w:hint="eastAsia"/>
                <w:color w:val="000000" w:themeColor="text1"/>
                <w:szCs w:val="21"/>
              </w:rPr>
              <w:instrText xml:space="preserve">\nabstractTranslation:  </w:instrText>
            </w:r>
            <w:r>
              <w:rPr>
                <w:rFonts w:cs="Arial" w:hint="eastAsia"/>
                <w:color w:val="000000" w:themeColor="text1"/>
                <w:szCs w:val="21"/>
              </w:rPr>
              <w:instrText>第三版提出了一种定性研究设计方法，既捕捉了研究人员真正所做的事情，又为那些首次开始设计定性研究的人提供了逐步的支持和指导。本书为研究人员和学生提供了规划定性研究的用户友好的分步指南。本书基于作者在哈佛大学教育研究生院教授了</w:instrText>
            </w:r>
            <w:r>
              <w:rPr>
                <w:rFonts w:cs="Arial" w:hint="eastAsia"/>
                <w:color w:val="000000" w:themeColor="text1"/>
                <w:szCs w:val="21"/>
              </w:rPr>
              <w:instrText xml:space="preserve"> 7 </w:instrText>
            </w:r>
            <w:r>
              <w:rPr>
                <w:rFonts w:cs="Arial" w:hint="eastAsia"/>
                <w:color w:val="000000" w:themeColor="text1"/>
                <w:szCs w:val="21"/>
              </w:rPr>
              <w:instrText>年的课程，以非正式、无行话的风格编写，并包含许多示例和实践练习。本书提出了一种灵活的、系统的设计模型，而不是研究方法教科书中通常采用的僵化的、线性的设计方法——而且这种方法特别不适合定性研究。该模型不仅更适合经验丰富的定性研究人员的实际工作，而且为设计研究和制定研究计划提供了清晰的框架。该版本包括对研究范式的新的或实质性扩展的讨论、定义研究问题、地点和参与者选择、与研究参与者的关系、数据分析和有效性，以及更多示例和练习</w:instrText>
            </w:r>
            <w:r>
              <w:rPr>
                <w:rFonts w:cs="Arial" w:hint="eastAsia"/>
                <w:color w:val="000000" w:themeColor="text1"/>
                <w:szCs w:val="21"/>
              </w:rPr>
              <w:instrText>","number-of-pages":"218","publisher":"Sage","publisher-place":"Los Angeles London New Delhi","source":"K10plus ISBN","title":"Qualitative research des</w:instrText>
            </w:r>
            <w:r>
              <w:rPr>
                <w:rFonts w:cs="Arial"/>
                <w:color w:val="000000" w:themeColor="text1"/>
                <w:szCs w:val="21"/>
              </w:rPr>
              <w:instrText xml:space="preserve">ign: an interactive approach","title-short":"Qualitative research design","author":[{"literal":"Joseph A. Maxwell"}],"issued":{"date-parts":[["2013"]]},"citation-key":"josepha.maxwellQualitativeResearchDesign2013"}}],"schema":"https://github.com/citation-style-language/schema/raw/master/csl-citation.json"} </w:instrText>
            </w:r>
            <w:r>
              <w:rPr>
                <w:rFonts w:cs="Arial"/>
                <w:color w:val="000000" w:themeColor="text1"/>
                <w:szCs w:val="21"/>
              </w:rPr>
              <w:fldChar w:fldCharType="separate"/>
            </w:r>
            <w:r>
              <w:rPr>
                <w:rFonts w:cs="Arial"/>
                <w:noProof/>
                <w:color w:val="000000" w:themeColor="text1"/>
                <w:szCs w:val="21"/>
              </w:rPr>
              <w:t>(Grant &amp; Osanloo, 2014; Imenda, 2014; Joseph A. Maxwell, 2013)</w:t>
            </w:r>
            <w:r>
              <w:rPr>
                <w:rFonts w:cs="Arial"/>
                <w:color w:val="000000" w:themeColor="text1"/>
                <w:szCs w:val="21"/>
              </w:rPr>
              <w:fldChar w:fldCharType="end"/>
            </w:r>
            <w:r w:rsidRPr="00232EB8">
              <w:rPr>
                <w:rFonts w:cs="Arial"/>
                <w:color w:val="000000" w:themeColor="text1"/>
                <w:szCs w:val="21"/>
                <w:lang w:val="en-US"/>
              </w:rPr>
              <w:t>.</w:t>
            </w:r>
            <w:r w:rsidRPr="000D198F">
              <w:rPr>
                <w:rFonts w:eastAsia="Arial" w:cs="Arial"/>
                <w:szCs w:val="21"/>
              </w:rPr>
              <w:t xml:space="preserve"> </w:t>
            </w:r>
            <w:r w:rsidRPr="000D198F">
              <w:rPr>
                <w:rFonts w:cs="Arial"/>
                <w:color w:val="000000" w:themeColor="text1"/>
                <w:szCs w:val="21"/>
              </w:rPr>
              <w:t>Technology is a major factor in digital transformation, such as the application of technologies such as IoT, AI, DBA, etc., which help organizations to transform their legacy business models into digital</w:t>
            </w:r>
            <w:r w:rsidRPr="000D198F">
              <w:rPr>
                <w:rFonts w:cs="Arial"/>
                <w:color w:val="000000" w:themeColor="text1"/>
                <w:szCs w:val="21"/>
              </w:rPr>
              <w:fldChar w:fldCharType="begin"/>
            </w:r>
            <w:r w:rsidRPr="000D198F">
              <w:rPr>
                <w:rFonts w:cs="Arial"/>
                <w:color w:val="000000" w:themeColor="text1"/>
                <w:szCs w:val="21"/>
              </w:rPr>
              <w:instrText xml:space="preserve"> ADDIN ZOTERO_ITEM CSL_CITATION {"citationID":"HleUowZe","properties":{"formattedCitation":"(Blasco-Arcas et al., 2022; Paiola et al., 2022)","plainCitation":"(Blasco-Arcas et al., 2022; Paiola et al., 2022)","noteIndex":0},"citationItems":[{"id":16282,"uris":["http://zotero.org/users/4106135/items/7588232R"],"itemData":{"id":16282,"type":"article-journal","abstract":"Increased access to various kinds of consumer data has opened up new avenues of value creation for companies, but it also poses new challenges. The proliferation of digital data sources alongside new technologies for tracking consumers in physical spaces has added complexity to consumer data management, thus reshaping marketing activities. Despite heightened interest in understanding the role of consumer data in marketing, significant gaps related to their conceptualization remain. This research offers an integrative framework that focuses on the forms of consumer data disclosure and the company usage of consumer data. Using topic modeling, we analyze a sample of 1846 articles pertaining to three quadrants of consumer data research expansion due to the impact of technology. In addition, we identify research directions that suggest key aspects to advance research in each of the relevant quadrants of expansion.","archive":"BDA","container-title":"Journal of Business Research","DOI":"10.1016/j.jbusres.2022.03.054","ISSN":"01482963","journalAbbreviation":"Journal of Business Research","language":"en","note":"abstractTranslation:  </w:instrText>
            </w:r>
            <w:r w:rsidRPr="000D198F">
              <w:rPr>
                <w:rFonts w:cs="Arial"/>
                <w:color w:val="000000" w:themeColor="text1"/>
                <w:szCs w:val="21"/>
              </w:rPr>
              <w:instrText>增加对各种消费者数据的访问为公司开辟了价值创造的新途径，但也带来了新的挑战。数字数据源的激增以及在物理空间中跟踪消费者的新技术增加了消费者数据管理的复杂性，从而重塑了营销活动。尽管人们对了解消费者数据在营销中的作用越来越感兴趣，但与其概念化相关的重大差距仍然存在。这项研究提供了一个综合框架，重点关注消费者数据披露的形式和公司对消费者数据的使用。使用主题建模，我们分析了</w:instrText>
            </w:r>
            <w:r w:rsidRPr="000D198F">
              <w:rPr>
                <w:rFonts w:cs="Arial"/>
                <w:color w:val="000000" w:themeColor="text1"/>
                <w:szCs w:val="21"/>
              </w:rPr>
              <w:instrText xml:space="preserve"> 1846 </w:instrText>
            </w:r>
            <w:r w:rsidRPr="000D198F">
              <w:rPr>
                <w:rFonts w:cs="Arial"/>
                <w:color w:val="000000" w:themeColor="text1"/>
                <w:szCs w:val="21"/>
              </w:rPr>
              <w:instrText>篇文章样本，这些文章涉及由于技术的影响而导致消费者数据研究扩展的三个象限。此外，我们还确定了研究方向，这些方向提出了在每个相关扩展象限中推进研究的关键方面。</w:instrText>
            </w:r>
            <w:r w:rsidRPr="000D198F">
              <w:rPr>
                <w:rFonts w:cs="Arial"/>
                <w:color w:val="000000" w:themeColor="text1"/>
                <w:szCs w:val="21"/>
              </w:rPr>
              <w:instrText xml:space="preserve">\ntitleTranslation: </w:instrText>
            </w:r>
            <w:r w:rsidRPr="000D198F">
              <w:rPr>
                <w:rFonts w:cs="Arial"/>
                <w:color w:val="000000" w:themeColor="text1"/>
                <w:szCs w:val="21"/>
              </w:rPr>
              <w:instrText>消费者数据在营销中的作用：研究议程</w:instrText>
            </w:r>
            <w:r w:rsidRPr="000D198F">
              <w:rPr>
                <w:rFonts w:cs="Arial"/>
                <w:color w:val="000000" w:themeColor="text1"/>
                <w:szCs w:val="21"/>
              </w:rPr>
              <w:instrText xml:space="preserve">","page":"436-452","source":"11.3","title":"The role of consumer data in marketing: A research agenda","title-short":"The role of consumer data in marketing","volume":"146","author":[{"family":"Blasco-Arcas","given":"Lorena"},{"family":"Lee","given":"Hsin-Hsuan Meg"},{"family":"Kastanakis","given":"Minas N."},{"family":"Alcañiz","given":"Mariano"},{"family":"Reyes-Menendez","given":"Ana"}],"issued":{"date-parts":[["2022",7]]},"citation-key":"blasco-arcasRoleConsumerData2022"},"label":"page"},{"id":16429,"uris":["http://zotero.org/users/4106135/items/HGZGYJ9G"],"itemData":{"id":16429,"type":"article-journal","abstract":"Industry 4.0 is dramatically affecting firms’ strategies. In particular, technologies like the Internet of Things (IoT) are offering firms the possibility to manage product functions, remotely and globally, enabling the design of innovative business models. The aim of the article is to investigate how incumbent small and medium enterprises can manage the evolution of a new IoT-based business model in parallel with its extant one. A qualitative and longitudinal case study research has been conducted on two Italian firms involved in a process of IoT-driven business model innovation. The empirical evidence show that the process of business model innovation is in­ cremental in terms of resources dedicated to the new business, with a fine tuning based on trial-and-error learning. During the phases of this process, namely inception, experimentation, and replication, the effective management of the interaction between the two business models with their dedicated resources and the customer-related capabilities play a crucial role.","archive":"Iot","container-title":"Industrial Marketing Management","DOI":"10.1016/j.indmarman.2022.03.006","ISSN":"00198501","journalAbbreviation":"Industrial Marketing Management","language":"en","note":"titleTranslation: </w:instrText>
            </w:r>
            <w:r w:rsidRPr="000D198F">
              <w:rPr>
                <w:rFonts w:cs="Arial"/>
                <w:color w:val="000000" w:themeColor="text1"/>
                <w:szCs w:val="21"/>
              </w:rPr>
              <w:instrText>物联网驱动的商业模式创新过程：现有中小企业案例探索</w:instrText>
            </w:r>
            <w:r w:rsidRPr="000D198F">
              <w:rPr>
                <w:rFonts w:cs="Arial"/>
                <w:color w:val="000000" w:themeColor="text1"/>
                <w:szCs w:val="21"/>
              </w:rPr>
              <w:instrText xml:space="preserve">\nabstractTranslation:  </w:instrText>
            </w:r>
            <w:r w:rsidRPr="000D198F">
              <w:rPr>
                <w:rFonts w:cs="Arial"/>
                <w:color w:val="000000" w:themeColor="text1"/>
                <w:szCs w:val="21"/>
              </w:rPr>
              <w:instrText>工业</w:instrText>
            </w:r>
            <w:r w:rsidRPr="000D198F">
              <w:rPr>
                <w:rFonts w:cs="Arial"/>
                <w:color w:val="000000" w:themeColor="text1"/>
                <w:szCs w:val="21"/>
              </w:rPr>
              <w:instrText xml:space="preserve"> 4.0 </w:instrText>
            </w:r>
            <w:r w:rsidRPr="000D198F">
              <w:rPr>
                <w:rFonts w:cs="Arial"/>
                <w:color w:val="000000" w:themeColor="text1"/>
                <w:szCs w:val="21"/>
              </w:rPr>
              <w:instrText>正在极大地影响企业的战略。特别是，物联网</w:instrText>
            </w:r>
            <w:r w:rsidRPr="000D198F">
              <w:rPr>
                <w:rFonts w:cs="Arial"/>
                <w:color w:val="000000" w:themeColor="text1"/>
                <w:szCs w:val="21"/>
              </w:rPr>
              <w:instrText xml:space="preserve"> (IoT) </w:instrText>
            </w:r>
            <w:r w:rsidRPr="000D198F">
              <w:rPr>
                <w:rFonts w:cs="Arial"/>
                <w:color w:val="000000" w:themeColor="text1"/>
                <w:szCs w:val="21"/>
              </w:rPr>
              <w:instrText>等技术为企业提供了在全球范围内远程管理产品功能的可能性，从而能够设计创新的商业模式。本文的目的是研究现有中小企业如何管理基于物联网的新业务模式与其现有业务模式的并行发展。对两家参与物联网驱动的商业模式创新过程的意大利公司进行了定性和纵向案例研究。经验证据表明，商业模式创新的过程在专门用于新业务的资源方面不断增加，并且基于试错学习进行微调。在此过程的初始、实验和复制阶段，有效管理两种业务模型及其专用资源和客户相关能力之间的交互起着至关重要的作用。</w:instrText>
            </w:r>
            <w:r w:rsidRPr="000D198F">
              <w:rPr>
                <w:rFonts w:cs="Arial"/>
                <w:color w:val="000000" w:themeColor="text1"/>
                <w:szCs w:val="21"/>
              </w:rPr>
              <w:instrText xml:space="preserve">","page":"30-46","source":"10.3","title":"The process of business model innovation driven by IoT: Exploring the case of incumbent SMEs","title-short":"The process of business model innovation driven by IoT","volume":"103","author":[{"family":"Paiola","given":"M."},{"family":"Agostini","given":"L."},{"family":"Grandinetti","given":"R."},{"family":"Nosella","given":"A."}],"issued":{"date-parts":[["2022",5]]},"citation-key":"paiolaProcessBusinessModel2022"},"label":"page"}],"schema":"https://github.com/citation-style-language/schema/raw/master/csl-citation.json"} </w:instrText>
            </w:r>
            <w:r w:rsidRPr="000D198F">
              <w:rPr>
                <w:rFonts w:cs="Arial"/>
                <w:color w:val="000000" w:themeColor="text1"/>
                <w:szCs w:val="21"/>
              </w:rPr>
              <w:fldChar w:fldCharType="separate"/>
            </w:r>
            <w:r w:rsidRPr="000D198F">
              <w:rPr>
                <w:rFonts w:cs="Arial"/>
                <w:color w:val="000000" w:themeColor="text1"/>
                <w:szCs w:val="21"/>
              </w:rPr>
              <w:t>(Blasco-Arcas et al., 2022; Paiola et al., 2022)</w:t>
            </w:r>
            <w:r w:rsidRPr="000D198F">
              <w:rPr>
                <w:rFonts w:cs="Arial"/>
                <w:color w:val="000000" w:themeColor="text1"/>
                <w:szCs w:val="21"/>
              </w:rPr>
              <w:fldChar w:fldCharType="end"/>
            </w:r>
            <w:r w:rsidRPr="000D198F">
              <w:rPr>
                <w:rFonts w:cs="Arial"/>
                <w:color w:val="000000" w:themeColor="text1"/>
                <w:szCs w:val="21"/>
              </w:rPr>
              <w:t>. Organizational roles play an important role in managing change</w:t>
            </w:r>
            <w:r w:rsidRPr="000D198F">
              <w:rPr>
                <w:rFonts w:cs="Arial"/>
                <w:color w:val="000000" w:themeColor="text1"/>
                <w:szCs w:val="21"/>
              </w:rPr>
              <w:fldChar w:fldCharType="begin"/>
            </w:r>
            <w:r w:rsidRPr="000D198F">
              <w:rPr>
                <w:rFonts w:cs="Arial"/>
                <w:color w:val="000000" w:themeColor="text1"/>
                <w:szCs w:val="21"/>
              </w:rPr>
              <w:instrText xml:space="preserve"> ADDIN ZOTERO_ITEM CSL_CITATION {"citationID":"Lwa8KHW4","properties":{"formattedCitation":"(Cameron, E. &amp; Green, M., 2019)","plainCitation":"(Cameron, E. &amp; Green, M., 2019)","noteIndex":0},"citationItems":[{"id":27518,"uris":["http://zotero.org/users/4106135/items/NTLPSJ57"],"itemData":{"id":27518,"type":"book","ISBN":"978-0-7494-5310-7","language":"en","note":"titleTranslation: </w:instrText>
            </w:r>
            <w:r w:rsidRPr="000D198F">
              <w:rPr>
                <w:rFonts w:cs="Arial"/>
                <w:color w:val="000000" w:themeColor="text1"/>
                <w:szCs w:val="21"/>
              </w:rPr>
              <w:instrText>理解变革管理：组织变革模型、工具和技术的完整指南</w:instrText>
            </w:r>
            <w:r w:rsidRPr="000D198F">
              <w:rPr>
                <w:rFonts w:cs="Arial"/>
                <w:color w:val="000000" w:themeColor="text1"/>
                <w:szCs w:val="21"/>
              </w:rPr>
              <w:instrText xml:space="preserve">","publisher":"Kogan Page Publishers.","source":"Zotero","title":"Making sense of change management: A complete guide to the models, tools and techniques of organizational change","author":[{"literal":"Cameron, E."},{"literal":"Green, M."}],"issued":{"date-parts":[["2019"]]},"citation-key":"camerone.MakingSenseChange2019"}}],"schema":"https://github.com/citation-style-language/schema/raw/master/csl-citation.json"} </w:instrText>
            </w:r>
            <w:r w:rsidRPr="000D198F">
              <w:rPr>
                <w:rFonts w:cs="Arial"/>
                <w:color w:val="000000" w:themeColor="text1"/>
                <w:szCs w:val="21"/>
              </w:rPr>
              <w:fldChar w:fldCharType="separate"/>
            </w:r>
            <w:r w:rsidRPr="000D198F">
              <w:rPr>
                <w:rFonts w:cs="Arial"/>
                <w:color w:val="000000" w:themeColor="text1"/>
                <w:szCs w:val="21"/>
              </w:rPr>
              <w:t>(Cameron, E. &amp; Green, M., 2019)</w:t>
            </w:r>
            <w:r w:rsidRPr="000D198F">
              <w:rPr>
                <w:rFonts w:cs="Arial"/>
                <w:color w:val="000000" w:themeColor="text1"/>
                <w:szCs w:val="21"/>
              </w:rPr>
              <w:fldChar w:fldCharType="end"/>
            </w:r>
            <w:r w:rsidRPr="000D198F">
              <w:rPr>
                <w:rFonts w:cs="Arial"/>
                <w:color w:val="000000" w:themeColor="text1"/>
                <w:szCs w:val="21"/>
              </w:rPr>
              <w:t>. Employee capacity and resistance are also important factors affecting digital transformation</w:t>
            </w:r>
            <w:r w:rsidRPr="000D198F">
              <w:rPr>
                <w:rFonts w:cs="Arial"/>
                <w:color w:val="000000" w:themeColor="text1"/>
                <w:szCs w:val="21"/>
              </w:rPr>
              <w:fldChar w:fldCharType="begin"/>
            </w:r>
            <w:r w:rsidRPr="000D198F">
              <w:rPr>
                <w:rFonts w:cs="Arial"/>
                <w:color w:val="000000" w:themeColor="text1"/>
                <w:szCs w:val="21"/>
              </w:rPr>
              <w:instrText xml:space="preserve"> ADDIN ZOTERO_ITEM CSL_CITATION {"citationID":"AyHrQVkh","properties":{"formattedCitation":"(Blanka et al., 2022)","plainCitation":"(Blanka et al., 2022)","noteIndex":0},"citationItems":[{"id":27608,"uris":["http://zotero.org/users/4106135/items/TMBYLHFT"],"itemData":{"id":27608,"type":"article-journal","abstract":"Businesses and academia alike agree upon the significant influence of digitalization on the business world. Hence, digital transformation is a very topical issue. While researchers underline that the movement toward digitalization is a challenge influencing various dimensions, studies to date have largely focused on the tech­ nological and organizational aspects of digitalization. Consequently, there is a gap in digital transformation concerning the role of human resources and employee competency. This paper adopts a human-centered view of digitalization at the intersection of digital and human transformation. Drawing on design science research (DSR), we developed a framework as an artifact that takes into account individual employee competency related to an organization’s level of digital transformation. As suggested by DSR, the framework was developed in iterations and refined after evaluation by various domain experts in academia and business. The final framework illustrates the interplay between the individual and organizational levels; in particular, employees’ transformation com­ petency (intrapreneurial and digital competencies) driving digital transformation. Our findings suggest that the development of intrapreneurial competencies is dynamic. Based on an intrapreneurial journey, employee com­ petencies function as triggers to reach the next level of digital transformation. As such, employee competency is crucial in enabling an organization’s transformation toward digitalization.","container-title":"Technological Forecasting and Social Change","DOI":"10.1016/j.techfore.2022.121575","ISSN":"00401625","journalAbbreviation":"Technological Forecasting and Social Change","language":"en","note":"titleTranslation: </w:instrText>
            </w:r>
            <w:r w:rsidRPr="000D198F">
              <w:rPr>
                <w:rFonts w:cs="Arial"/>
                <w:color w:val="000000" w:themeColor="text1"/>
                <w:szCs w:val="21"/>
              </w:rPr>
              <w:instrText>数字化转型与员工能力的相互作用：设计科学方法</w:instrText>
            </w:r>
            <w:r w:rsidRPr="000D198F">
              <w:rPr>
                <w:rFonts w:cs="Arial"/>
                <w:color w:val="000000" w:themeColor="text1"/>
                <w:szCs w:val="21"/>
              </w:rPr>
              <w:instrText xml:space="preserve">\nabstractTranslation:  </w:instrText>
            </w:r>
            <w:r w:rsidRPr="000D198F">
              <w:rPr>
                <w:rFonts w:cs="Arial"/>
                <w:color w:val="000000" w:themeColor="text1"/>
                <w:szCs w:val="21"/>
              </w:rPr>
              <w:instrText>企业和学术界都同意数字化对商业世界的重大影响。因此，数字化转型是一个非常热门的话题。尽管研究人员强调数字化运动是一个影响各个方面的挑战，但迄今为止的研究主要集中在数字化的技术和组织方面。因此，数字化转型在人力资源和员工能力方面存在差距。本文在数字化和人类转型的交叉点上采用了以人为本的数字化观点。借鉴设计科学研究</w:instrText>
            </w:r>
            <w:r w:rsidRPr="000D198F">
              <w:rPr>
                <w:rFonts w:cs="Arial"/>
                <w:color w:val="000000" w:themeColor="text1"/>
                <w:szCs w:val="21"/>
              </w:rPr>
              <w:instrText xml:space="preserve"> (DSR)</w:instrText>
            </w:r>
            <w:r w:rsidRPr="000D198F">
              <w:rPr>
                <w:rFonts w:cs="Arial"/>
                <w:color w:val="000000" w:themeColor="text1"/>
                <w:szCs w:val="21"/>
              </w:rPr>
              <w:instrText>，我们开发了一个框架作为工件，其中考虑了与组织数字化转型水平相关的员工个人能力。正如</w:instrText>
            </w:r>
            <w:r w:rsidRPr="000D198F">
              <w:rPr>
                <w:rFonts w:cs="Arial"/>
                <w:color w:val="000000" w:themeColor="text1"/>
                <w:szCs w:val="21"/>
              </w:rPr>
              <w:instrText>DSR</w:instrText>
            </w:r>
            <w:r w:rsidRPr="000D198F">
              <w:rPr>
                <w:rFonts w:cs="Arial"/>
                <w:color w:val="000000" w:themeColor="text1"/>
                <w:szCs w:val="21"/>
              </w:rPr>
              <w:instrText>所建议的，该框架是在学术界和企业界各领域专家评估后迭代开发和完善的。最终的框架说明了个人和组织层面之间的相互作用；特别是员工的转型能力（内部创业能力和数字能力）推动数字化转型。我们的研究结果表明，内部创业能力的发展是动态的。基于内部创业之旅，员工能力可以作为达到下一阶段数字化转型的触发器。因此，员工能力对于组织向数字化转型至关重要。</w:instrText>
            </w:r>
            <w:r w:rsidRPr="000D198F">
              <w:rPr>
                <w:rFonts w:cs="Arial"/>
                <w:color w:val="000000" w:themeColor="text1"/>
                <w:szCs w:val="21"/>
              </w:rPr>
              <w:instrText xml:space="preserve">","page":"121575","source":"12","title":"The interplay of digital transformation and employee competency: A design science approach","title-short":"The interplay of digital transformation and employee competency","volume":"178","author":[{"family":"Blanka","given":"Christine"},{"family":"Krumay","given":"Barbara"},{"family":"Rueckel","given":"David"}],"issued":{"date-parts":[["2022",5]]},"citation-key":"blankaInterplayDigitalTransformation2022"}}],"schema":"https://github.com/citation-style-language/schema/raw/master/csl-citation.json"} </w:instrText>
            </w:r>
            <w:r w:rsidRPr="000D198F">
              <w:rPr>
                <w:rFonts w:cs="Arial"/>
                <w:color w:val="000000" w:themeColor="text1"/>
                <w:szCs w:val="21"/>
              </w:rPr>
              <w:fldChar w:fldCharType="separate"/>
            </w:r>
            <w:r w:rsidRPr="000D198F">
              <w:rPr>
                <w:rFonts w:cs="Arial"/>
                <w:color w:val="000000" w:themeColor="text1"/>
                <w:szCs w:val="21"/>
              </w:rPr>
              <w:t>(Blanka et al., 2022)</w:t>
            </w:r>
            <w:r w:rsidRPr="000D198F">
              <w:rPr>
                <w:rFonts w:cs="Arial"/>
                <w:color w:val="000000" w:themeColor="text1"/>
                <w:szCs w:val="21"/>
              </w:rPr>
              <w:fldChar w:fldCharType="end"/>
            </w:r>
            <w:r w:rsidRPr="000D198F">
              <w:rPr>
                <w:rFonts w:cs="Arial"/>
                <w:color w:val="000000" w:themeColor="text1"/>
                <w:szCs w:val="21"/>
              </w:rPr>
              <w:t>. A pilot study of coal companies shows that policy support is an important driver of digital transformation</w:t>
            </w:r>
            <w:r w:rsidRPr="000D198F">
              <w:rPr>
                <w:rFonts w:cs="Arial"/>
                <w:color w:val="000000" w:themeColor="text1"/>
                <w:szCs w:val="21"/>
              </w:rPr>
              <w:fldChar w:fldCharType="begin"/>
            </w:r>
            <w:r w:rsidRPr="000D198F">
              <w:rPr>
                <w:rFonts w:cs="Arial"/>
                <w:color w:val="000000" w:themeColor="text1"/>
                <w:szCs w:val="21"/>
              </w:rPr>
              <w:instrText xml:space="preserve"> ADDIN ZOTERO_ITEM CSL_CITATION {"citationID":"ZnRIGT1Z","properties":{"formattedCitation":"(S. Wang et al., 2023)","plainCitation":"(S. Wang et al., 2023)","noteIndex":0},"citationItems":[{"id":33641,"uris":["http://zotero.org/users/4106135/items/WYK4QCJV"],"itemData":{"id":33641,"type":"article-journal","abstract":"Digital transformation has become a general trend for enterprises, and it is necessary to investigate the impact of government support on enterprises' digital transformation from the perspective of policy instruments. But so far, there is less empirical evidence on their relationship. Based on Chinese firm-level data, we investigate the effects of government subsidies and tax incentives on enterprises' digital transformation. The results show that two forms of government support both positively promote enterprises' digital transformation. Moreover, we analyze which factors mediate the observed effects. We demonstrate that easing financial constraints, increasing Research and Development (R&amp;D) investment, and improving risk-taking ability are underlying mechanisms. Heterogeneity analysis indicates that enterprises that are non-state-owned, with higher technology level and higher absorptive capacity, have higher digital transformation. The higher the level of digital finance development and network infrastructure construction in a region, the greater the positive effect of government support on enterprises' digital transformation. The results provide clearer guidance for governments to provide government support so as to stimulate enterprises' digital transformation.","container-title":"Managerial and Decision Economics","DOI":"10.1002/mde.3831","ISSN":"0143-6570, 1099-1468","issue":"5","journalAbbreviation":"Manage Decis Econ","language":"en","note":"abstractTranslation:  </w:instrText>
            </w:r>
            <w:r w:rsidRPr="000D198F">
              <w:rPr>
                <w:rFonts w:cs="Arial"/>
                <w:color w:val="000000" w:themeColor="text1"/>
                <w:szCs w:val="21"/>
              </w:rPr>
              <w:instrText>数字化转型已成为企业的大势所趋，有必要从政策工具的角度考察政府支持对企业数字化转型的影响。但到目前为止，关于它们之间关系的实证证据还较少。我们基于中国企业层面的数据，研究了政府补贴和税收优惠对企业数字化转型的影响。结果表明，两种形式的政府支持均对企业数字化转型产生积极推动作用。此外，我们分析了哪些因素介导了观察到的影响。我们证明，放松财务约束、增加研发投资和提高风险承担能力是潜在机制。异质性分析表明，技术水平较高、吸收能力较高的非国有企业数字化转型程度较高。一个地区的数字金融发展和网络基础设施建设水平越高，政府支持对企业数字化转型的积极作用就越大。研究结果为政府提供政府支持、刺激企业数字化转型提供了更清晰的指导。</w:instrText>
            </w:r>
            <w:r w:rsidRPr="000D198F">
              <w:rPr>
                <w:rFonts w:cs="Arial"/>
                <w:color w:val="000000" w:themeColor="text1"/>
                <w:szCs w:val="21"/>
              </w:rPr>
              <w:instrText xml:space="preserve">\ntitleTranslation: </w:instrText>
            </w:r>
            <w:r w:rsidRPr="000D198F">
              <w:rPr>
                <w:rFonts w:cs="Arial"/>
                <w:color w:val="000000" w:themeColor="text1"/>
                <w:szCs w:val="21"/>
              </w:rPr>
              <w:instrText>政府支持对企业数字化转型的影响：来自中国的证据</w:instrText>
            </w:r>
            <w:r w:rsidRPr="000D198F">
              <w:rPr>
                <w:rFonts w:cs="Arial"/>
                <w:color w:val="000000" w:themeColor="text1"/>
                <w:szCs w:val="21"/>
              </w:rPr>
              <w:instrText xml:space="preserve">","page":"2520-2539","source":"2.2","title":"The effects of government support on enterprises' digital transformation: Evidence from China","title-short":"The effects of government support on enterprises' digital transformation","volume":"44","author":[{"family":"Wang","given":"Siwei"},{"family":"Li","given":"Xin"},{"family":"Li","given":"Zibiao"},{"family":"Ye","given":"Yongwei"}],"issued":{"date-parts":[["2023",7]]},"citation-key":"wangEffectsGovernmentSupport2023"}}],"schema":"https://github.com/citation-style-language/schema/raw/master/csl-citation.json"} </w:instrText>
            </w:r>
            <w:r w:rsidRPr="000D198F">
              <w:rPr>
                <w:rFonts w:cs="Arial"/>
                <w:color w:val="000000" w:themeColor="text1"/>
                <w:szCs w:val="21"/>
              </w:rPr>
              <w:fldChar w:fldCharType="separate"/>
            </w:r>
            <w:r w:rsidRPr="000D198F">
              <w:rPr>
                <w:rFonts w:cs="Arial"/>
                <w:color w:val="000000" w:themeColor="text1"/>
                <w:szCs w:val="21"/>
              </w:rPr>
              <w:t>(S. Wang et al., 2023)</w:t>
            </w:r>
            <w:r w:rsidRPr="000D198F">
              <w:rPr>
                <w:rFonts w:cs="Arial"/>
                <w:color w:val="000000" w:themeColor="text1"/>
                <w:szCs w:val="21"/>
              </w:rPr>
              <w:fldChar w:fldCharType="end"/>
            </w:r>
            <w:r w:rsidRPr="000D198F">
              <w:rPr>
                <w:rFonts w:cs="Arial"/>
                <w:color w:val="000000" w:themeColor="text1"/>
                <w:szCs w:val="21"/>
              </w:rPr>
              <w:t>.</w:t>
            </w:r>
          </w:p>
          <w:p w14:paraId="791AEF15" w14:textId="77777777" w:rsidR="00C9708D" w:rsidRDefault="00C9708D" w:rsidP="00C9708D">
            <w:pPr>
              <w:spacing w:line="360" w:lineRule="auto"/>
              <w:jc w:val="center"/>
              <w:rPr>
                <w:rFonts w:cs="Arial"/>
                <w:color w:val="000000" w:themeColor="text1"/>
                <w:szCs w:val="21"/>
              </w:rPr>
            </w:pPr>
            <w:r>
              <w:rPr>
                <w:rFonts w:cs="Arial" w:hint="eastAsia"/>
                <w:noProof/>
                <w:color w:val="000000" w:themeColor="text1"/>
                <w:szCs w:val="21"/>
              </w:rPr>
              <w:drawing>
                <wp:inline distT="0" distB="0" distL="0" distR="0" wp14:anchorId="2A77FCDA" wp14:editId="2CB4D514">
                  <wp:extent cx="5323840" cy="2699657"/>
                  <wp:effectExtent l="0" t="0" r="0" b="5715"/>
                  <wp:docPr id="2064260958" name="图片 2"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4260958" name="图片 2" descr="图示&#10;&#10;描述已自动生成"/>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371838" cy="2723996"/>
                          </a:xfrm>
                          <a:prstGeom prst="rect">
                            <a:avLst/>
                          </a:prstGeom>
                        </pic:spPr>
                      </pic:pic>
                    </a:graphicData>
                  </a:graphic>
                </wp:inline>
              </w:drawing>
            </w:r>
          </w:p>
          <w:p w14:paraId="1952F65C" w14:textId="77777777" w:rsidR="00C9708D" w:rsidRDefault="00C9708D" w:rsidP="00C9708D">
            <w:pPr>
              <w:spacing w:line="360" w:lineRule="auto"/>
              <w:jc w:val="center"/>
              <w:rPr>
                <w:rFonts w:cs="Arial"/>
                <w:color w:val="000000" w:themeColor="text1"/>
                <w:sz w:val="18"/>
                <w:szCs w:val="18"/>
                <w:lang w:eastAsia="zh-CN"/>
              </w:rPr>
            </w:pPr>
            <w:r w:rsidRPr="00ED6488">
              <w:rPr>
                <w:rFonts w:cs="Arial" w:hint="eastAsia"/>
                <w:color w:val="000000" w:themeColor="text1"/>
                <w:sz w:val="18"/>
                <w:szCs w:val="18"/>
                <w:lang w:eastAsia="zh-CN"/>
              </w:rPr>
              <w:t>Fig</w:t>
            </w:r>
            <w:r w:rsidRPr="00ED6488">
              <w:rPr>
                <w:rFonts w:cs="Arial" w:hint="eastAsia"/>
                <w:color w:val="000000" w:themeColor="text1"/>
                <w:sz w:val="18"/>
                <w:szCs w:val="18"/>
              </w:rPr>
              <w:t xml:space="preserve"> 2 </w:t>
            </w:r>
            <w:r w:rsidRPr="00ED6488">
              <w:rPr>
                <w:rFonts w:cs="Arial" w:hint="eastAsia"/>
                <w:color w:val="000000" w:themeColor="text1"/>
                <w:sz w:val="18"/>
                <w:szCs w:val="18"/>
                <w:lang w:eastAsia="zh-CN"/>
              </w:rPr>
              <w:t>Conceptual</w:t>
            </w:r>
            <w:r w:rsidRPr="00ED6488">
              <w:rPr>
                <w:rFonts w:cs="Arial" w:hint="eastAsia"/>
                <w:color w:val="000000" w:themeColor="text1"/>
                <w:sz w:val="18"/>
                <w:szCs w:val="18"/>
              </w:rPr>
              <w:t xml:space="preserve"> </w:t>
            </w:r>
            <w:r w:rsidRPr="00ED6488">
              <w:rPr>
                <w:rFonts w:cs="Arial" w:hint="eastAsia"/>
                <w:color w:val="000000" w:themeColor="text1"/>
                <w:sz w:val="18"/>
                <w:szCs w:val="18"/>
                <w:lang w:eastAsia="zh-CN"/>
              </w:rPr>
              <w:t>Framework</w:t>
            </w:r>
            <w:r w:rsidRPr="00ED6488">
              <w:rPr>
                <w:rFonts w:cs="Arial" w:hint="eastAsia"/>
                <w:color w:val="000000" w:themeColor="text1"/>
                <w:sz w:val="18"/>
                <w:szCs w:val="18"/>
              </w:rPr>
              <w:t xml:space="preserve"> </w:t>
            </w:r>
            <w:r w:rsidRPr="00ED6488">
              <w:rPr>
                <w:rFonts w:cs="Arial" w:hint="eastAsia"/>
                <w:color w:val="000000" w:themeColor="text1"/>
                <w:sz w:val="18"/>
                <w:szCs w:val="18"/>
                <w:lang w:eastAsia="zh-CN"/>
              </w:rPr>
              <w:t>of</w:t>
            </w:r>
            <w:r w:rsidRPr="00ED6488">
              <w:rPr>
                <w:rFonts w:cs="Arial" w:hint="eastAsia"/>
                <w:color w:val="000000" w:themeColor="text1"/>
                <w:sz w:val="18"/>
                <w:szCs w:val="18"/>
              </w:rPr>
              <w:t xml:space="preserve"> </w:t>
            </w:r>
            <w:r w:rsidRPr="00ED6488">
              <w:rPr>
                <w:rFonts w:cs="Arial" w:hint="eastAsia"/>
                <w:color w:val="000000" w:themeColor="text1"/>
                <w:sz w:val="18"/>
                <w:szCs w:val="18"/>
                <w:lang w:eastAsia="zh-CN"/>
              </w:rPr>
              <w:t>DT</w:t>
            </w:r>
            <w:r w:rsidRPr="00ED6488">
              <w:rPr>
                <w:rFonts w:cs="Arial" w:hint="eastAsia"/>
                <w:color w:val="000000" w:themeColor="text1"/>
                <w:sz w:val="18"/>
                <w:szCs w:val="18"/>
              </w:rPr>
              <w:t xml:space="preserve"> </w:t>
            </w:r>
            <w:r w:rsidRPr="00ED6488">
              <w:rPr>
                <w:rFonts w:cs="Arial" w:hint="eastAsia"/>
                <w:color w:val="000000" w:themeColor="text1"/>
                <w:sz w:val="18"/>
                <w:szCs w:val="18"/>
                <w:lang w:eastAsia="zh-CN"/>
              </w:rPr>
              <w:t>in</w:t>
            </w:r>
            <w:r w:rsidRPr="00ED6488">
              <w:rPr>
                <w:rFonts w:cs="Arial" w:hint="eastAsia"/>
                <w:color w:val="000000" w:themeColor="text1"/>
                <w:sz w:val="18"/>
                <w:szCs w:val="18"/>
              </w:rPr>
              <w:t xml:space="preserve"> </w:t>
            </w:r>
            <w:r w:rsidRPr="00ED6488">
              <w:rPr>
                <w:rFonts w:cs="Arial" w:hint="eastAsia"/>
                <w:color w:val="000000" w:themeColor="text1"/>
                <w:sz w:val="18"/>
                <w:szCs w:val="18"/>
                <w:lang w:eastAsia="zh-CN"/>
              </w:rPr>
              <w:t>Coal</w:t>
            </w:r>
            <w:r w:rsidRPr="00ED6488">
              <w:rPr>
                <w:rFonts w:cs="Arial" w:hint="eastAsia"/>
                <w:color w:val="000000" w:themeColor="text1"/>
                <w:sz w:val="18"/>
                <w:szCs w:val="18"/>
              </w:rPr>
              <w:t xml:space="preserve"> </w:t>
            </w:r>
            <w:r w:rsidRPr="00ED6488">
              <w:rPr>
                <w:rFonts w:cs="Arial" w:hint="eastAsia"/>
                <w:color w:val="000000" w:themeColor="text1"/>
                <w:sz w:val="18"/>
                <w:szCs w:val="18"/>
                <w:lang w:eastAsia="zh-CN"/>
              </w:rPr>
              <w:t>mining</w:t>
            </w:r>
            <w:r w:rsidRPr="00ED6488">
              <w:rPr>
                <w:rFonts w:cs="Arial" w:hint="eastAsia"/>
                <w:color w:val="000000" w:themeColor="text1"/>
                <w:sz w:val="18"/>
                <w:szCs w:val="18"/>
              </w:rPr>
              <w:t xml:space="preserve"> </w:t>
            </w:r>
            <w:r w:rsidRPr="00ED6488">
              <w:rPr>
                <w:rFonts w:cs="Arial" w:hint="eastAsia"/>
                <w:color w:val="000000" w:themeColor="text1"/>
                <w:sz w:val="18"/>
                <w:szCs w:val="18"/>
                <w:lang w:eastAsia="zh-CN"/>
              </w:rPr>
              <w:t>industry</w:t>
            </w:r>
          </w:p>
          <w:p w14:paraId="6B79FB4D" w14:textId="77777777" w:rsidR="0078686D" w:rsidRPr="00CD5A0D" w:rsidRDefault="0078686D" w:rsidP="0078686D">
            <w:pPr>
              <w:spacing w:line="276" w:lineRule="auto"/>
              <w:rPr>
                <w:rFonts w:cs="Arial"/>
                <w:b/>
                <w:bCs/>
                <w:sz w:val="18"/>
                <w:szCs w:val="18"/>
              </w:rPr>
            </w:pPr>
            <w:r w:rsidRPr="00CD5A0D">
              <w:rPr>
                <w:rFonts w:cs="Arial"/>
                <w:b/>
                <w:bCs/>
                <w:sz w:val="18"/>
                <w:szCs w:val="18"/>
              </w:rPr>
              <w:t xml:space="preserve">Reference </w:t>
            </w:r>
          </w:p>
          <w:p w14:paraId="41AAB55B" w14:textId="77777777" w:rsidR="0078686D" w:rsidRPr="00B043C8" w:rsidRDefault="0078686D" w:rsidP="0078686D">
            <w:pPr>
              <w:pStyle w:val="af9"/>
              <w:spacing w:line="276" w:lineRule="auto"/>
              <w:rPr>
                <w:rFonts w:cs="Arial"/>
                <w:sz w:val="18"/>
                <w:szCs w:val="18"/>
              </w:rPr>
            </w:pPr>
            <w:r w:rsidRPr="00B043C8">
              <w:rPr>
                <w:rFonts w:cs="Arial"/>
                <w:sz w:val="18"/>
                <w:szCs w:val="18"/>
              </w:rPr>
              <w:fldChar w:fldCharType="begin"/>
            </w:r>
            <w:r w:rsidRPr="00B043C8">
              <w:rPr>
                <w:rFonts w:cs="Arial"/>
                <w:sz w:val="18"/>
                <w:szCs w:val="18"/>
              </w:rPr>
              <w:instrText xml:space="preserve"> ADDIN ZOTERO_BIBL {"uncited":[],"omitted":[],"custom":[]} CSL_BIBLIOGRAPHY </w:instrText>
            </w:r>
            <w:r w:rsidRPr="00B043C8">
              <w:rPr>
                <w:rFonts w:cs="Arial"/>
                <w:sz w:val="18"/>
                <w:szCs w:val="18"/>
              </w:rPr>
              <w:fldChar w:fldCharType="separate"/>
            </w:r>
            <w:proofErr w:type="spellStart"/>
            <w:r w:rsidRPr="00B043C8">
              <w:rPr>
                <w:rFonts w:cs="Arial"/>
                <w:sz w:val="18"/>
                <w:szCs w:val="18"/>
              </w:rPr>
              <w:t>Aghimien</w:t>
            </w:r>
            <w:proofErr w:type="spellEnd"/>
            <w:r w:rsidRPr="00B043C8">
              <w:rPr>
                <w:rFonts w:cs="Arial"/>
                <w:sz w:val="18"/>
                <w:szCs w:val="18"/>
              </w:rPr>
              <w:t xml:space="preserve">, D. O., </w:t>
            </w:r>
            <w:proofErr w:type="spellStart"/>
            <w:r w:rsidRPr="00B043C8">
              <w:rPr>
                <w:rFonts w:cs="Arial"/>
                <w:sz w:val="18"/>
                <w:szCs w:val="18"/>
              </w:rPr>
              <w:t>Aigbavboa</w:t>
            </w:r>
            <w:proofErr w:type="spellEnd"/>
            <w:r w:rsidRPr="00B043C8">
              <w:rPr>
                <w:rFonts w:cs="Arial"/>
                <w:sz w:val="18"/>
                <w:szCs w:val="18"/>
              </w:rPr>
              <w:t xml:space="preserve">, C. O., &amp; </w:t>
            </w:r>
            <w:proofErr w:type="spellStart"/>
            <w:r w:rsidRPr="00B043C8">
              <w:rPr>
                <w:rFonts w:cs="Arial"/>
                <w:sz w:val="18"/>
                <w:szCs w:val="18"/>
              </w:rPr>
              <w:t>Oke</w:t>
            </w:r>
            <w:proofErr w:type="spellEnd"/>
            <w:r w:rsidRPr="00B043C8">
              <w:rPr>
                <w:rFonts w:cs="Arial"/>
                <w:sz w:val="18"/>
                <w:szCs w:val="18"/>
              </w:rPr>
              <w:t xml:space="preserve">, A. E. (2020). Critical success factors for digital partnering of construction organisations – a Delphi study. </w:t>
            </w:r>
            <w:r w:rsidRPr="00B043C8">
              <w:rPr>
                <w:rFonts w:cs="Arial"/>
                <w:i/>
                <w:iCs/>
                <w:sz w:val="18"/>
                <w:szCs w:val="18"/>
              </w:rPr>
              <w:t>Engineering, Construction and Architectural Management</w:t>
            </w:r>
            <w:r w:rsidRPr="00B043C8">
              <w:rPr>
                <w:rFonts w:cs="Arial"/>
                <w:sz w:val="18"/>
                <w:szCs w:val="18"/>
              </w:rPr>
              <w:t xml:space="preserve">, </w:t>
            </w:r>
            <w:r w:rsidRPr="00B043C8">
              <w:rPr>
                <w:rFonts w:cs="Arial"/>
                <w:i/>
                <w:iCs/>
                <w:sz w:val="18"/>
                <w:szCs w:val="18"/>
              </w:rPr>
              <w:t>27</w:t>
            </w:r>
            <w:r w:rsidRPr="00B043C8">
              <w:rPr>
                <w:rFonts w:cs="Arial"/>
                <w:sz w:val="18"/>
                <w:szCs w:val="18"/>
              </w:rPr>
              <w:t>(10), 3171–3188. https://doi.org/10.1108/ECAM-11-2019-0602</w:t>
            </w:r>
          </w:p>
          <w:p w14:paraId="4CFC2B9D" w14:textId="77777777" w:rsidR="0078686D" w:rsidRPr="00B043C8" w:rsidRDefault="0078686D" w:rsidP="0078686D">
            <w:pPr>
              <w:pStyle w:val="af9"/>
              <w:spacing w:line="276" w:lineRule="auto"/>
              <w:rPr>
                <w:rFonts w:cs="Arial"/>
                <w:sz w:val="18"/>
                <w:szCs w:val="18"/>
              </w:rPr>
            </w:pPr>
            <w:r w:rsidRPr="00B043C8">
              <w:rPr>
                <w:rFonts w:cs="Arial"/>
                <w:sz w:val="18"/>
                <w:szCs w:val="18"/>
              </w:rPr>
              <w:t xml:space="preserve">Agrawal, P., </w:t>
            </w:r>
            <w:proofErr w:type="spellStart"/>
            <w:r w:rsidRPr="00B043C8">
              <w:rPr>
                <w:rFonts w:cs="Arial"/>
                <w:sz w:val="18"/>
                <w:szCs w:val="18"/>
              </w:rPr>
              <w:t>Narain</w:t>
            </w:r>
            <w:proofErr w:type="spellEnd"/>
            <w:r w:rsidRPr="00B043C8">
              <w:rPr>
                <w:rFonts w:cs="Arial"/>
                <w:sz w:val="18"/>
                <w:szCs w:val="18"/>
              </w:rPr>
              <w:t xml:space="preserve">, R., &amp; Ullah, I. (2019). Analysis of barriers in implementation of digital transformation of supply chain using interpretive structural modelling approach. </w:t>
            </w:r>
            <w:r w:rsidRPr="00B043C8">
              <w:rPr>
                <w:rFonts w:cs="Arial"/>
                <w:i/>
                <w:iCs/>
                <w:sz w:val="18"/>
                <w:szCs w:val="18"/>
              </w:rPr>
              <w:t>Journal of Modelling in Management</w:t>
            </w:r>
            <w:r w:rsidRPr="00B043C8">
              <w:rPr>
                <w:rFonts w:cs="Arial"/>
                <w:sz w:val="18"/>
                <w:szCs w:val="18"/>
              </w:rPr>
              <w:t xml:space="preserve">, </w:t>
            </w:r>
            <w:r w:rsidRPr="00B043C8">
              <w:rPr>
                <w:rFonts w:cs="Arial"/>
                <w:i/>
                <w:iCs/>
                <w:sz w:val="18"/>
                <w:szCs w:val="18"/>
              </w:rPr>
              <w:t>15</w:t>
            </w:r>
            <w:r w:rsidRPr="00B043C8">
              <w:rPr>
                <w:rFonts w:cs="Arial"/>
                <w:sz w:val="18"/>
                <w:szCs w:val="18"/>
              </w:rPr>
              <w:t>(1), 297–317. DT. https://doi.org/10.1108/JM2-03-2019-0066</w:t>
            </w:r>
          </w:p>
          <w:p w14:paraId="012211C9" w14:textId="77777777" w:rsidR="0078686D" w:rsidRPr="00B043C8" w:rsidRDefault="0078686D" w:rsidP="0078686D">
            <w:pPr>
              <w:pStyle w:val="af9"/>
              <w:spacing w:line="276" w:lineRule="auto"/>
              <w:rPr>
                <w:rFonts w:cs="Arial"/>
                <w:sz w:val="18"/>
                <w:szCs w:val="18"/>
              </w:rPr>
            </w:pPr>
            <w:r w:rsidRPr="00B043C8">
              <w:rPr>
                <w:rFonts w:cs="Arial"/>
                <w:sz w:val="18"/>
                <w:szCs w:val="18"/>
              </w:rPr>
              <w:lastRenderedPageBreak/>
              <w:t xml:space="preserve">Ahmed, A., Bhatti, S. H., </w:t>
            </w:r>
            <w:proofErr w:type="spellStart"/>
            <w:r w:rsidRPr="00B043C8">
              <w:rPr>
                <w:rFonts w:cs="Arial"/>
                <w:sz w:val="18"/>
                <w:szCs w:val="18"/>
              </w:rPr>
              <w:t>Gölgeci</w:t>
            </w:r>
            <w:proofErr w:type="spellEnd"/>
            <w:r w:rsidRPr="00B043C8">
              <w:rPr>
                <w:rFonts w:cs="Arial"/>
                <w:sz w:val="18"/>
                <w:szCs w:val="18"/>
              </w:rPr>
              <w:t xml:space="preserve">, I., &amp; Arslan, A. (2022). Digital platform capability and organizational agility of emerging market manufacturing SMEs: The mediating role of intellectual capital and the moderating role of environmental dynamism. </w:t>
            </w:r>
            <w:r w:rsidRPr="00B043C8">
              <w:rPr>
                <w:rFonts w:cs="Arial"/>
                <w:i/>
                <w:iCs/>
                <w:sz w:val="18"/>
                <w:szCs w:val="18"/>
              </w:rPr>
              <w:t>Technological Forecasting and Social Change</w:t>
            </w:r>
            <w:r w:rsidRPr="00B043C8">
              <w:rPr>
                <w:rFonts w:cs="Arial"/>
                <w:sz w:val="18"/>
                <w:szCs w:val="18"/>
              </w:rPr>
              <w:t xml:space="preserve">, </w:t>
            </w:r>
            <w:r w:rsidRPr="00B043C8">
              <w:rPr>
                <w:rFonts w:cs="Arial"/>
                <w:i/>
                <w:iCs/>
                <w:sz w:val="18"/>
                <w:szCs w:val="18"/>
              </w:rPr>
              <w:t>177</w:t>
            </w:r>
            <w:r w:rsidRPr="00B043C8">
              <w:rPr>
                <w:rFonts w:cs="Arial"/>
                <w:sz w:val="18"/>
                <w:szCs w:val="18"/>
              </w:rPr>
              <w:t>, 121513. https://doi.org/10.1016/j.techfore.2022.121513</w:t>
            </w:r>
          </w:p>
          <w:p w14:paraId="13110724" w14:textId="77777777" w:rsidR="0078686D" w:rsidRPr="00B043C8" w:rsidRDefault="0078686D" w:rsidP="0078686D">
            <w:pPr>
              <w:pStyle w:val="af9"/>
              <w:spacing w:line="276" w:lineRule="auto"/>
              <w:rPr>
                <w:rFonts w:cs="Arial"/>
                <w:sz w:val="18"/>
                <w:szCs w:val="18"/>
              </w:rPr>
            </w:pPr>
            <w:proofErr w:type="spellStart"/>
            <w:r w:rsidRPr="00B043C8">
              <w:rPr>
                <w:rFonts w:cs="Arial"/>
                <w:sz w:val="18"/>
                <w:szCs w:val="18"/>
              </w:rPr>
              <w:t>Annosi</w:t>
            </w:r>
            <w:proofErr w:type="spellEnd"/>
            <w:r w:rsidRPr="00B043C8">
              <w:rPr>
                <w:rFonts w:cs="Arial"/>
                <w:sz w:val="18"/>
                <w:szCs w:val="18"/>
              </w:rPr>
              <w:t xml:space="preserve">, M. C., </w:t>
            </w:r>
            <w:proofErr w:type="spellStart"/>
            <w:r w:rsidRPr="00B043C8">
              <w:rPr>
                <w:rFonts w:cs="Arial"/>
                <w:sz w:val="18"/>
                <w:szCs w:val="18"/>
              </w:rPr>
              <w:t>Brunetta</w:t>
            </w:r>
            <w:proofErr w:type="spellEnd"/>
            <w:r w:rsidRPr="00B043C8">
              <w:rPr>
                <w:rFonts w:cs="Arial"/>
                <w:sz w:val="18"/>
                <w:szCs w:val="18"/>
              </w:rPr>
              <w:t xml:space="preserve">, F., Bimbo, F., &amp; </w:t>
            </w:r>
            <w:proofErr w:type="spellStart"/>
            <w:r w:rsidRPr="00B043C8">
              <w:rPr>
                <w:rFonts w:cs="Arial"/>
                <w:sz w:val="18"/>
                <w:szCs w:val="18"/>
              </w:rPr>
              <w:t>Kostoula</w:t>
            </w:r>
            <w:proofErr w:type="spellEnd"/>
            <w:r w:rsidRPr="00B043C8">
              <w:rPr>
                <w:rFonts w:cs="Arial"/>
                <w:sz w:val="18"/>
                <w:szCs w:val="18"/>
              </w:rPr>
              <w:t xml:space="preserve">, M. (2021). Digitalization within food supply chains to prevent food waste. Drivers, barriers and collaboration practices. </w:t>
            </w:r>
            <w:r w:rsidRPr="00B043C8">
              <w:rPr>
                <w:rFonts w:cs="Arial"/>
                <w:i/>
                <w:iCs/>
                <w:sz w:val="18"/>
                <w:szCs w:val="18"/>
              </w:rPr>
              <w:t>Industrial Marketing Management</w:t>
            </w:r>
            <w:r w:rsidRPr="00B043C8">
              <w:rPr>
                <w:rFonts w:cs="Arial"/>
                <w:sz w:val="18"/>
                <w:szCs w:val="18"/>
              </w:rPr>
              <w:t xml:space="preserve">, </w:t>
            </w:r>
            <w:r w:rsidRPr="00B043C8">
              <w:rPr>
                <w:rFonts w:cs="Arial"/>
                <w:i/>
                <w:iCs/>
                <w:sz w:val="18"/>
                <w:szCs w:val="18"/>
              </w:rPr>
              <w:t>93</w:t>
            </w:r>
            <w:r w:rsidRPr="00B043C8">
              <w:rPr>
                <w:rFonts w:cs="Arial"/>
                <w:sz w:val="18"/>
                <w:szCs w:val="18"/>
              </w:rPr>
              <w:t>, 208–220. DT. https://doi.org/10.1016/j.indmarman.2021.01.005</w:t>
            </w:r>
          </w:p>
          <w:p w14:paraId="0F4BAF9F" w14:textId="77777777" w:rsidR="0078686D" w:rsidRPr="00B043C8" w:rsidRDefault="0078686D" w:rsidP="0078686D">
            <w:pPr>
              <w:pStyle w:val="af9"/>
              <w:spacing w:line="276" w:lineRule="auto"/>
              <w:rPr>
                <w:rFonts w:cs="Arial"/>
                <w:sz w:val="18"/>
                <w:szCs w:val="18"/>
              </w:rPr>
            </w:pPr>
            <w:r w:rsidRPr="00B043C8">
              <w:rPr>
                <w:rFonts w:cs="Arial"/>
                <w:sz w:val="18"/>
                <w:szCs w:val="18"/>
              </w:rPr>
              <w:t xml:space="preserve">Barney, J. (1991). Firm Resources and Sustained Competitive Advantage. </w:t>
            </w:r>
            <w:r w:rsidRPr="00B043C8">
              <w:rPr>
                <w:rFonts w:cs="Arial"/>
                <w:i/>
                <w:iCs/>
                <w:sz w:val="18"/>
                <w:szCs w:val="18"/>
              </w:rPr>
              <w:t>Journal of Management</w:t>
            </w:r>
            <w:r w:rsidRPr="00B043C8">
              <w:rPr>
                <w:rFonts w:cs="Arial"/>
                <w:sz w:val="18"/>
                <w:szCs w:val="18"/>
              </w:rPr>
              <w:t xml:space="preserve">, </w:t>
            </w:r>
            <w:r w:rsidRPr="00B043C8">
              <w:rPr>
                <w:rFonts w:cs="Arial"/>
                <w:i/>
                <w:iCs/>
                <w:sz w:val="18"/>
                <w:szCs w:val="18"/>
              </w:rPr>
              <w:t>17</w:t>
            </w:r>
            <w:r w:rsidRPr="00B043C8">
              <w:rPr>
                <w:rFonts w:cs="Arial"/>
                <w:sz w:val="18"/>
                <w:szCs w:val="18"/>
              </w:rPr>
              <w:t>(1), 99–120. https://doi.org/10.1177/014920639101700108</w:t>
            </w:r>
          </w:p>
          <w:p w14:paraId="659D26F0" w14:textId="77777777" w:rsidR="0078686D" w:rsidRPr="00B043C8" w:rsidRDefault="0078686D" w:rsidP="0078686D">
            <w:pPr>
              <w:pStyle w:val="af9"/>
              <w:spacing w:line="276" w:lineRule="auto"/>
              <w:rPr>
                <w:rFonts w:cs="Arial"/>
                <w:sz w:val="18"/>
                <w:szCs w:val="18"/>
              </w:rPr>
            </w:pPr>
            <w:proofErr w:type="spellStart"/>
            <w:r w:rsidRPr="00B043C8">
              <w:rPr>
                <w:rFonts w:cs="Arial"/>
                <w:sz w:val="18"/>
                <w:szCs w:val="18"/>
              </w:rPr>
              <w:t>Bhattacherjee</w:t>
            </w:r>
            <w:proofErr w:type="spellEnd"/>
            <w:r w:rsidRPr="00B043C8">
              <w:rPr>
                <w:rFonts w:cs="Arial"/>
                <w:sz w:val="18"/>
                <w:szCs w:val="18"/>
              </w:rPr>
              <w:t xml:space="preserve">, A. (2012). </w:t>
            </w:r>
            <w:r w:rsidRPr="00B043C8">
              <w:rPr>
                <w:rFonts w:cs="Arial"/>
                <w:i/>
                <w:iCs/>
                <w:sz w:val="18"/>
                <w:szCs w:val="18"/>
              </w:rPr>
              <w:t>Social science research: Principles, methods, and practices</w:t>
            </w:r>
            <w:r w:rsidRPr="00B043C8">
              <w:rPr>
                <w:rFonts w:cs="Arial"/>
                <w:sz w:val="18"/>
                <w:szCs w:val="18"/>
              </w:rPr>
              <w:t xml:space="preserve"> (Second edition). </w:t>
            </w:r>
            <w:proofErr w:type="spellStart"/>
            <w:r w:rsidRPr="00B043C8">
              <w:rPr>
                <w:rFonts w:cs="Arial"/>
                <w:sz w:val="18"/>
                <w:szCs w:val="18"/>
              </w:rPr>
              <w:t>Anol</w:t>
            </w:r>
            <w:proofErr w:type="spellEnd"/>
            <w:r w:rsidRPr="00B043C8">
              <w:rPr>
                <w:rFonts w:cs="Arial"/>
                <w:sz w:val="18"/>
                <w:szCs w:val="18"/>
              </w:rPr>
              <w:t xml:space="preserve"> </w:t>
            </w:r>
            <w:proofErr w:type="spellStart"/>
            <w:r w:rsidRPr="00B043C8">
              <w:rPr>
                <w:rFonts w:cs="Arial"/>
                <w:sz w:val="18"/>
                <w:szCs w:val="18"/>
              </w:rPr>
              <w:t>Bhattacherjee</w:t>
            </w:r>
            <w:proofErr w:type="spellEnd"/>
            <w:r w:rsidRPr="00B043C8">
              <w:rPr>
                <w:rFonts w:cs="Arial"/>
                <w:sz w:val="18"/>
                <w:szCs w:val="18"/>
              </w:rPr>
              <w:t>.</w:t>
            </w:r>
          </w:p>
          <w:p w14:paraId="58EBA1E9" w14:textId="77777777" w:rsidR="0078686D" w:rsidRPr="00B043C8" w:rsidRDefault="0078686D" w:rsidP="0078686D">
            <w:pPr>
              <w:pStyle w:val="af9"/>
              <w:spacing w:line="276" w:lineRule="auto"/>
              <w:rPr>
                <w:rFonts w:cs="Arial"/>
                <w:sz w:val="18"/>
                <w:szCs w:val="18"/>
              </w:rPr>
            </w:pPr>
            <w:proofErr w:type="spellStart"/>
            <w:r w:rsidRPr="00B043C8">
              <w:rPr>
                <w:rFonts w:cs="Arial"/>
                <w:sz w:val="18"/>
                <w:szCs w:val="18"/>
              </w:rPr>
              <w:t>Birkel</w:t>
            </w:r>
            <w:proofErr w:type="spellEnd"/>
            <w:r w:rsidRPr="00B043C8">
              <w:rPr>
                <w:rFonts w:cs="Arial"/>
                <w:sz w:val="18"/>
                <w:szCs w:val="18"/>
              </w:rPr>
              <w:t xml:space="preserve">, H., &amp; </w:t>
            </w:r>
            <w:proofErr w:type="spellStart"/>
            <w:r w:rsidRPr="00B043C8">
              <w:rPr>
                <w:rFonts w:cs="Arial"/>
                <w:sz w:val="18"/>
                <w:szCs w:val="18"/>
              </w:rPr>
              <w:t>Wehrle</w:t>
            </w:r>
            <w:proofErr w:type="spellEnd"/>
            <w:r w:rsidRPr="00B043C8">
              <w:rPr>
                <w:rFonts w:cs="Arial"/>
                <w:sz w:val="18"/>
                <w:szCs w:val="18"/>
              </w:rPr>
              <w:t xml:space="preserve">, M. (2024). Small- and Medium-Sized Companies Tackling the Digital Transformation of Supply Chain Processes: Insights </w:t>
            </w:r>
            <w:proofErr w:type="gramStart"/>
            <w:r w:rsidRPr="00B043C8">
              <w:rPr>
                <w:rFonts w:cs="Arial"/>
                <w:sz w:val="18"/>
                <w:szCs w:val="18"/>
              </w:rPr>
              <w:t>From</w:t>
            </w:r>
            <w:proofErr w:type="gramEnd"/>
            <w:r w:rsidRPr="00B043C8">
              <w:rPr>
                <w:rFonts w:cs="Arial"/>
                <w:sz w:val="18"/>
                <w:szCs w:val="18"/>
              </w:rPr>
              <w:t xml:space="preserve"> a Multiple Case Study in the German Manufacturing Industry. </w:t>
            </w:r>
            <w:r w:rsidRPr="00B043C8">
              <w:rPr>
                <w:rFonts w:cs="Arial"/>
                <w:i/>
                <w:iCs/>
                <w:sz w:val="18"/>
                <w:szCs w:val="18"/>
              </w:rPr>
              <w:t>IEEE Transactions on Engineering Management</w:t>
            </w:r>
            <w:r w:rsidRPr="00B043C8">
              <w:rPr>
                <w:rFonts w:cs="Arial"/>
                <w:sz w:val="18"/>
                <w:szCs w:val="18"/>
              </w:rPr>
              <w:t>, 1–16. https://doi.org/10.1109/TEM.2022.3209131</w:t>
            </w:r>
          </w:p>
          <w:p w14:paraId="62AF4C32" w14:textId="77777777" w:rsidR="0078686D" w:rsidRPr="00B043C8" w:rsidRDefault="0078686D" w:rsidP="0078686D">
            <w:pPr>
              <w:pStyle w:val="af9"/>
              <w:spacing w:line="276" w:lineRule="auto"/>
              <w:rPr>
                <w:rFonts w:cs="Arial"/>
                <w:sz w:val="18"/>
                <w:szCs w:val="18"/>
              </w:rPr>
            </w:pPr>
            <w:r w:rsidRPr="00B043C8">
              <w:rPr>
                <w:rFonts w:cs="Arial"/>
                <w:sz w:val="18"/>
                <w:szCs w:val="18"/>
              </w:rPr>
              <w:t xml:space="preserve">Blanka, C., </w:t>
            </w:r>
            <w:proofErr w:type="spellStart"/>
            <w:r w:rsidRPr="00B043C8">
              <w:rPr>
                <w:rFonts w:cs="Arial"/>
                <w:sz w:val="18"/>
                <w:szCs w:val="18"/>
              </w:rPr>
              <w:t>Krumay</w:t>
            </w:r>
            <w:proofErr w:type="spellEnd"/>
            <w:r w:rsidRPr="00B043C8">
              <w:rPr>
                <w:rFonts w:cs="Arial"/>
                <w:sz w:val="18"/>
                <w:szCs w:val="18"/>
              </w:rPr>
              <w:t xml:space="preserve">, B., &amp; </w:t>
            </w:r>
            <w:proofErr w:type="spellStart"/>
            <w:r w:rsidRPr="00B043C8">
              <w:rPr>
                <w:rFonts w:cs="Arial"/>
                <w:sz w:val="18"/>
                <w:szCs w:val="18"/>
              </w:rPr>
              <w:t>Rueckel</w:t>
            </w:r>
            <w:proofErr w:type="spellEnd"/>
            <w:r w:rsidRPr="00B043C8">
              <w:rPr>
                <w:rFonts w:cs="Arial"/>
                <w:sz w:val="18"/>
                <w:szCs w:val="18"/>
              </w:rPr>
              <w:t xml:space="preserve">, D. (2022). The interplay of digital transformation and employee competency: A design science approach. </w:t>
            </w:r>
            <w:r w:rsidRPr="00B043C8">
              <w:rPr>
                <w:rFonts w:cs="Arial"/>
                <w:i/>
                <w:iCs/>
                <w:sz w:val="18"/>
                <w:szCs w:val="18"/>
              </w:rPr>
              <w:t>Technological Forecasting and Social Change</w:t>
            </w:r>
            <w:r w:rsidRPr="00B043C8">
              <w:rPr>
                <w:rFonts w:cs="Arial"/>
                <w:sz w:val="18"/>
                <w:szCs w:val="18"/>
              </w:rPr>
              <w:t xml:space="preserve">, </w:t>
            </w:r>
            <w:r w:rsidRPr="00B043C8">
              <w:rPr>
                <w:rFonts w:cs="Arial"/>
                <w:i/>
                <w:iCs/>
                <w:sz w:val="18"/>
                <w:szCs w:val="18"/>
              </w:rPr>
              <w:t>178</w:t>
            </w:r>
            <w:r w:rsidRPr="00B043C8">
              <w:rPr>
                <w:rFonts w:cs="Arial"/>
                <w:sz w:val="18"/>
                <w:szCs w:val="18"/>
              </w:rPr>
              <w:t>, 121575. https://doi.org/10.1016/j.techfore.2022.121575</w:t>
            </w:r>
          </w:p>
          <w:p w14:paraId="7A0B1139" w14:textId="77777777" w:rsidR="0078686D" w:rsidRPr="00B043C8" w:rsidRDefault="0078686D" w:rsidP="0078686D">
            <w:pPr>
              <w:pStyle w:val="af9"/>
              <w:spacing w:line="276" w:lineRule="auto"/>
              <w:rPr>
                <w:rFonts w:cs="Arial"/>
                <w:sz w:val="18"/>
                <w:szCs w:val="18"/>
              </w:rPr>
            </w:pPr>
            <w:proofErr w:type="spellStart"/>
            <w:r w:rsidRPr="00B043C8">
              <w:rPr>
                <w:rFonts w:cs="Arial"/>
                <w:sz w:val="18"/>
                <w:szCs w:val="18"/>
              </w:rPr>
              <w:t>Blasco-Arcas</w:t>
            </w:r>
            <w:proofErr w:type="spellEnd"/>
            <w:r w:rsidRPr="00B043C8">
              <w:rPr>
                <w:rFonts w:cs="Arial"/>
                <w:sz w:val="18"/>
                <w:szCs w:val="18"/>
              </w:rPr>
              <w:t xml:space="preserve">, L., Lee, H.-H. M., </w:t>
            </w:r>
            <w:proofErr w:type="spellStart"/>
            <w:r w:rsidRPr="00B043C8">
              <w:rPr>
                <w:rFonts w:cs="Arial"/>
                <w:sz w:val="18"/>
                <w:szCs w:val="18"/>
              </w:rPr>
              <w:t>Kastanakis</w:t>
            </w:r>
            <w:proofErr w:type="spellEnd"/>
            <w:r w:rsidRPr="00B043C8">
              <w:rPr>
                <w:rFonts w:cs="Arial"/>
                <w:sz w:val="18"/>
                <w:szCs w:val="18"/>
              </w:rPr>
              <w:t xml:space="preserve">, M. N., </w:t>
            </w:r>
            <w:proofErr w:type="spellStart"/>
            <w:r w:rsidRPr="00B043C8">
              <w:rPr>
                <w:rFonts w:cs="Arial"/>
                <w:sz w:val="18"/>
                <w:szCs w:val="18"/>
              </w:rPr>
              <w:t>Alcañiz</w:t>
            </w:r>
            <w:proofErr w:type="spellEnd"/>
            <w:r w:rsidRPr="00B043C8">
              <w:rPr>
                <w:rFonts w:cs="Arial"/>
                <w:sz w:val="18"/>
                <w:szCs w:val="18"/>
              </w:rPr>
              <w:t xml:space="preserve">, M., &amp; Reyes-Menendez, A. (2022). The role of consumer data in marketing: A research agenda. </w:t>
            </w:r>
            <w:r w:rsidRPr="00B043C8">
              <w:rPr>
                <w:rFonts w:cs="Arial"/>
                <w:i/>
                <w:iCs/>
                <w:sz w:val="18"/>
                <w:szCs w:val="18"/>
              </w:rPr>
              <w:t>Journal of Business Research</w:t>
            </w:r>
            <w:r w:rsidRPr="00B043C8">
              <w:rPr>
                <w:rFonts w:cs="Arial"/>
                <w:sz w:val="18"/>
                <w:szCs w:val="18"/>
              </w:rPr>
              <w:t xml:space="preserve">, </w:t>
            </w:r>
            <w:r w:rsidRPr="00B043C8">
              <w:rPr>
                <w:rFonts w:cs="Arial"/>
                <w:i/>
                <w:iCs/>
                <w:sz w:val="18"/>
                <w:szCs w:val="18"/>
              </w:rPr>
              <w:t>146</w:t>
            </w:r>
            <w:r w:rsidRPr="00B043C8">
              <w:rPr>
                <w:rFonts w:cs="Arial"/>
                <w:sz w:val="18"/>
                <w:szCs w:val="18"/>
              </w:rPr>
              <w:t>, 436–452. BDA. https://doi.org/10.1016/j.jbusres.2022.03.054</w:t>
            </w:r>
          </w:p>
          <w:p w14:paraId="15A0A99A" w14:textId="77777777" w:rsidR="0078686D" w:rsidRPr="00B043C8" w:rsidRDefault="0078686D" w:rsidP="0078686D">
            <w:pPr>
              <w:pStyle w:val="af9"/>
              <w:spacing w:line="276" w:lineRule="auto"/>
              <w:rPr>
                <w:rFonts w:cs="Arial"/>
                <w:sz w:val="18"/>
                <w:szCs w:val="18"/>
              </w:rPr>
            </w:pPr>
            <w:r w:rsidRPr="00B043C8">
              <w:rPr>
                <w:rFonts w:cs="Arial"/>
                <w:sz w:val="18"/>
                <w:szCs w:val="18"/>
              </w:rPr>
              <w:t xml:space="preserve">Bryman, A., &amp; Bell, E. (2019). </w:t>
            </w:r>
            <w:r w:rsidRPr="00B043C8">
              <w:rPr>
                <w:rFonts w:cs="Arial"/>
                <w:i/>
                <w:iCs/>
                <w:sz w:val="18"/>
                <w:szCs w:val="18"/>
              </w:rPr>
              <w:t>Social research methods</w:t>
            </w:r>
            <w:r w:rsidRPr="00B043C8">
              <w:rPr>
                <w:rFonts w:cs="Arial"/>
                <w:sz w:val="18"/>
                <w:szCs w:val="18"/>
              </w:rPr>
              <w:t xml:space="preserve"> (Fifth Canadian edition). Oxford University Press.</w:t>
            </w:r>
          </w:p>
          <w:p w14:paraId="4F973004" w14:textId="77777777" w:rsidR="0078686D" w:rsidRPr="00B043C8" w:rsidRDefault="0078686D" w:rsidP="0078686D">
            <w:pPr>
              <w:pStyle w:val="af9"/>
              <w:spacing w:line="276" w:lineRule="auto"/>
              <w:rPr>
                <w:rFonts w:cs="Arial"/>
                <w:sz w:val="18"/>
                <w:szCs w:val="18"/>
              </w:rPr>
            </w:pPr>
            <w:proofErr w:type="spellStart"/>
            <w:r w:rsidRPr="00B043C8">
              <w:rPr>
                <w:rFonts w:cs="Arial"/>
                <w:sz w:val="18"/>
                <w:szCs w:val="18"/>
              </w:rPr>
              <w:t>Busulwa</w:t>
            </w:r>
            <w:proofErr w:type="spellEnd"/>
            <w:r w:rsidRPr="00B043C8">
              <w:rPr>
                <w:rFonts w:cs="Arial"/>
                <w:sz w:val="18"/>
                <w:szCs w:val="18"/>
              </w:rPr>
              <w:t xml:space="preserve">, R., Pickering, M., &amp; Mao, I. (2022). Digital transformation and hospitality management competencies: Toward an integrative framework. </w:t>
            </w:r>
            <w:r w:rsidRPr="00B043C8">
              <w:rPr>
                <w:rFonts w:cs="Arial"/>
                <w:i/>
                <w:iCs/>
                <w:sz w:val="18"/>
                <w:szCs w:val="18"/>
              </w:rPr>
              <w:t>International Journal of Hospitality Management</w:t>
            </w:r>
            <w:r w:rsidRPr="00B043C8">
              <w:rPr>
                <w:rFonts w:cs="Arial"/>
                <w:sz w:val="18"/>
                <w:szCs w:val="18"/>
              </w:rPr>
              <w:t xml:space="preserve">, </w:t>
            </w:r>
            <w:r w:rsidRPr="00B043C8">
              <w:rPr>
                <w:rFonts w:cs="Arial"/>
                <w:i/>
                <w:iCs/>
                <w:sz w:val="18"/>
                <w:szCs w:val="18"/>
              </w:rPr>
              <w:t>102</w:t>
            </w:r>
            <w:r w:rsidRPr="00B043C8">
              <w:rPr>
                <w:rFonts w:cs="Arial"/>
                <w:sz w:val="18"/>
                <w:szCs w:val="18"/>
              </w:rPr>
              <w:t>, 103132. DT. https://doi.org/10.1016/j.ijhm.2021.103132</w:t>
            </w:r>
          </w:p>
          <w:p w14:paraId="7619F6B2" w14:textId="77777777" w:rsidR="0078686D" w:rsidRPr="00B043C8" w:rsidRDefault="0078686D" w:rsidP="0078686D">
            <w:pPr>
              <w:pStyle w:val="af9"/>
              <w:spacing w:line="276" w:lineRule="auto"/>
              <w:rPr>
                <w:rFonts w:cs="Arial"/>
                <w:sz w:val="18"/>
                <w:szCs w:val="18"/>
              </w:rPr>
            </w:pPr>
            <w:proofErr w:type="spellStart"/>
            <w:r w:rsidRPr="00B043C8">
              <w:rPr>
                <w:rFonts w:cs="Arial"/>
                <w:sz w:val="18"/>
                <w:szCs w:val="18"/>
              </w:rPr>
              <w:t>Calış</w:t>
            </w:r>
            <w:proofErr w:type="spellEnd"/>
            <w:r w:rsidRPr="00B043C8">
              <w:rPr>
                <w:rFonts w:cs="Arial"/>
                <w:sz w:val="18"/>
                <w:szCs w:val="18"/>
              </w:rPr>
              <w:t xml:space="preserve"> Duman, M., &amp; </w:t>
            </w:r>
            <w:proofErr w:type="spellStart"/>
            <w:r w:rsidRPr="00B043C8">
              <w:rPr>
                <w:rFonts w:cs="Arial"/>
                <w:sz w:val="18"/>
                <w:szCs w:val="18"/>
              </w:rPr>
              <w:t>Akdemir</w:t>
            </w:r>
            <w:proofErr w:type="spellEnd"/>
            <w:r w:rsidRPr="00B043C8">
              <w:rPr>
                <w:rFonts w:cs="Arial"/>
                <w:sz w:val="18"/>
                <w:szCs w:val="18"/>
              </w:rPr>
              <w:t xml:space="preserve">, B. (2021). A study to determine the effects of industry 4.0 technology components on organizational performance. </w:t>
            </w:r>
            <w:r w:rsidRPr="00B043C8">
              <w:rPr>
                <w:rFonts w:cs="Arial"/>
                <w:i/>
                <w:iCs/>
                <w:sz w:val="18"/>
                <w:szCs w:val="18"/>
              </w:rPr>
              <w:t>Technological Forecasting and Social Change</w:t>
            </w:r>
            <w:r w:rsidRPr="00B043C8">
              <w:rPr>
                <w:rFonts w:cs="Arial"/>
                <w:sz w:val="18"/>
                <w:szCs w:val="18"/>
              </w:rPr>
              <w:t xml:space="preserve">, </w:t>
            </w:r>
            <w:r w:rsidRPr="00B043C8">
              <w:rPr>
                <w:rFonts w:cs="Arial"/>
                <w:i/>
                <w:iCs/>
                <w:sz w:val="18"/>
                <w:szCs w:val="18"/>
              </w:rPr>
              <w:t>167</w:t>
            </w:r>
            <w:r w:rsidRPr="00B043C8">
              <w:rPr>
                <w:rFonts w:cs="Arial"/>
                <w:sz w:val="18"/>
                <w:szCs w:val="18"/>
              </w:rPr>
              <w:t>, 120615. DT. https://doi.org/10.1016/j.techfore.2021.120615</w:t>
            </w:r>
          </w:p>
          <w:p w14:paraId="5D1A046C" w14:textId="77777777" w:rsidR="0078686D" w:rsidRPr="00B043C8" w:rsidRDefault="0078686D" w:rsidP="0078686D">
            <w:pPr>
              <w:pStyle w:val="af9"/>
              <w:spacing w:line="276" w:lineRule="auto"/>
              <w:rPr>
                <w:rFonts w:cs="Arial"/>
                <w:sz w:val="18"/>
                <w:szCs w:val="18"/>
              </w:rPr>
            </w:pPr>
            <w:r w:rsidRPr="00B043C8">
              <w:rPr>
                <w:rFonts w:cs="Arial"/>
                <w:sz w:val="18"/>
                <w:szCs w:val="18"/>
              </w:rPr>
              <w:t xml:space="preserve">Cameron, E. &amp; Green, M. (2019). </w:t>
            </w:r>
            <w:r w:rsidRPr="00B043C8">
              <w:rPr>
                <w:rFonts w:cs="Arial"/>
                <w:i/>
                <w:iCs/>
                <w:sz w:val="18"/>
                <w:szCs w:val="18"/>
              </w:rPr>
              <w:t>Making sense of change management: A complete guide to the models, tools and techniques of organizational change</w:t>
            </w:r>
            <w:r w:rsidRPr="00B043C8">
              <w:rPr>
                <w:rFonts w:cs="Arial"/>
                <w:sz w:val="18"/>
                <w:szCs w:val="18"/>
              </w:rPr>
              <w:t>. Kogan Page Publishers.</w:t>
            </w:r>
          </w:p>
          <w:p w14:paraId="4A288384" w14:textId="77777777" w:rsidR="0078686D" w:rsidRPr="00B043C8" w:rsidRDefault="0078686D" w:rsidP="0078686D">
            <w:pPr>
              <w:pStyle w:val="af9"/>
              <w:spacing w:line="276" w:lineRule="auto"/>
              <w:rPr>
                <w:rFonts w:cs="Arial"/>
                <w:sz w:val="18"/>
                <w:szCs w:val="18"/>
              </w:rPr>
            </w:pPr>
            <w:r w:rsidRPr="00B043C8">
              <w:rPr>
                <w:rFonts w:cs="Arial"/>
                <w:sz w:val="18"/>
                <w:szCs w:val="18"/>
              </w:rPr>
              <w:t xml:space="preserve">Chen, L., Xie, J., Zhang, X., Deng, J., Ge, S., &amp; Wang, F.-Y. (2023). Mining 5.0: Concept and Framework for Intelligent Mining Systems in CPSS. </w:t>
            </w:r>
            <w:r w:rsidRPr="00B043C8">
              <w:rPr>
                <w:rFonts w:cs="Arial"/>
                <w:i/>
                <w:iCs/>
                <w:sz w:val="18"/>
                <w:szCs w:val="18"/>
              </w:rPr>
              <w:t>IEEE Transactions on Intelligent Vehicles</w:t>
            </w:r>
            <w:r w:rsidRPr="00B043C8">
              <w:rPr>
                <w:rFonts w:cs="Arial"/>
                <w:sz w:val="18"/>
                <w:szCs w:val="18"/>
              </w:rPr>
              <w:t xml:space="preserve">, </w:t>
            </w:r>
            <w:r w:rsidRPr="00B043C8">
              <w:rPr>
                <w:rFonts w:cs="Arial"/>
                <w:i/>
                <w:iCs/>
                <w:sz w:val="18"/>
                <w:szCs w:val="18"/>
              </w:rPr>
              <w:t>8</w:t>
            </w:r>
            <w:r w:rsidRPr="00B043C8">
              <w:rPr>
                <w:rFonts w:cs="Arial"/>
                <w:sz w:val="18"/>
                <w:szCs w:val="18"/>
              </w:rPr>
              <w:t>(6), 3533–3536. https://doi.org/10.1109/TIV.2023.3285417</w:t>
            </w:r>
          </w:p>
          <w:p w14:paraId="0F4A4875" w14:textId="77777777" w:rsidR="0078686D" w:rsidRPr="00B043C8" w:rsidRDefault="0078686D" w:rsidP="0078686D">
            <w:pPr>
              <w:pStyle w:val="af9"/>
              <w:spacing w:line="276" w:lineRule="auto"/>
              <w:rPr>
                <w:rFonts w:cs="Arial"/>
                <w:sz w:val="18"/>
                <w:szCs w:val="18"/>
              </w:rPr>
            </w:pPr>
            <w:r w:rsidRPr="00B043C8">
              <w:rPr>
                <w:rFonts w:cs="Arial"/>
                <w:sz w:val="18"/>
                <w:szCs w:val="18"/>
              </w:rPr>
              <w:t xml:space="preserve">Chowdhury, S., </w:t>
            </w:r>
            <w:proofErr w:type="spellStart"/>
            <w:r w:rsidRPr="00B043C8">
              <w:rPr>
                <w:rFonts w:cs="Arial"/>
                <w:sz w:val="18"/>
                <w:szCs w:val="18"/>
              </w:rPr>
              <w:t>Budhwar</w:t>
            </w:r>
            <w:proofErr w:type="spellEnd"/>
            <w:r w:rsidRPr="00B043C8">
              <w:rPr>
                <w:rFonts w:cs="Arial"/>
                <w:sz w:val="18"/>
                <w:szCs w:val="18"/>
              </w:rPr>
              <w:t xml:space="preserve">, P., Dey, P. K., Joel-Edgar, S., &amp; Abadie, A. (2022). AI-employee collaboration and business performance: Integrating knowledge-based view, socio-technical systems and organisational socialisation framework. </w:t>
            </w:r>
            <w:r w:rsidRPr="00B043C8">
              <w:rPr>
                <w:rFonts w:cs="Arial"/>
                <w:i/>
                <w:iCs/>
                <w:sz w:val="18"/>
                <w:szCs w:val="18"/>
              </w:rPr>
              <w:t>Journal of Business Research</w:t>
            </w:r>
            <w:r w:rsidRPr="00B043C8">
              <w:rPr>
                <w:rFonts w:cs="Arial"/>
                <w:sz w:val="18"/>
                <w:szCs w:val="18"/>
              </w:rPr>
              <w:t xml:space="preserve">, </w:t>
            </w:r>
            <w:r w:rsidRPr="00B043C8">
              <w:rPr>
                <w:rFonts w:cs="Arial"/>
                <w:i/>
                <w:iCs/>
                <w:sz w:val="18"/>
                <w:szCs w:val="18"/>
              </w:rPr>
              <w:t>144</w:t>
            </w:r>
            <w:r w:rsidRPr="00B043C8">
              <w:rPr>
                <w:rFonts w:cs="Arial"/>
                <w:sz w:val="18"/>
                <w:szCs w:val="18"/>
              </w:rPr>
              <w:t>, 31–49. AI. https://doi.org/10.1016/j.jbusres.2022.01.069</w:t>
            </w:r>
          </w:p>
          <w:p w14:paraId="2FCA5A64" w14:textId="77777777" w:rsidR="0078686D" w:rsidRPr="00B043C8" w:rsidRDefault="0078686D" w:rsidP="0078686D">
            <w:pPr>
              <w:pStyle w:val="af9"/>
              <w:spacing w:line="276" w:lineRule="auto"/>
              <w:rPr>
                <w:rFonts w:cs="Arial"/>
                <w:sz w:val="18"/>
                <w:szCs w:val="18"/>
              </w:rPr>
            </w:pPr>
            <w:r w:rsidRPr="00B043C8">
              <w:rPr>
                <w:rFonts w:cs="Arial"/>
                <w:sz w:val="18"/>
                <w:szCs w:val="18"/>
              </w:rPr>
              <w:t xml:space="preserve">Cronk, B. C. (2023). </w:t>
            </w:r>
            <w:r w:rsidRPr="00B043C8">
              <w:rPr>
                <w:rFonts w:cs="Arial"/>
                <w:i/>
                <w:iCs/>
                <w:sz w:val="18"/>
                <w:szCs w:val="18"/>
              </w:rPr>
              <w:t>How to Use SPSS®: A Step-By-Step Guide to Analysis and Interpretation</w:t>
            </w:r>
            <w:r w:rsidRPr="00B043C8">
              <w:rPr>
                <w:rFonts w:cs="Arial"/>
                <w:sz w:val="18"/>
                <w:szCs w:val="18"/>
              </w:rPr>
              <w:t xml:space="preserve"> (12th ed.). Routledge. https://doi.org/10.4324/9781003450467</w:t>
            </w:r>
          </w:p>
          <w:p w14:paraId="00FA766A" w14:textId="77777777" w:rsidR="0078686D" w:rsidRPr="00B043C8" w:rsidRDefault="0078686D" w:rsidP="0078686D">
            <w:pPr>
              <w:pStyle w:val="af9"/>
              <w:spacing w:line="276" w:lineRule="auto"/>
              <w:rPr>
                <w:rFonts w:cs="Arial"/>
                <w:sz w:val="18"/>
                <w:szCs w:val="18"/>
              </w:rPr>
            </w:pPr>
            <w:r w:rsidRPr="00B043C8">
              <w:rPr>
                <w:rFonts w:cs="Arial"/>
                <w:sz w:val="18"/>
                <w:szCs w:val="18"/>
              </w:rPr>
              <w:t xml:space="preserve">Denscombe, M. (2008). Communities of </w:t>
            </w:r>
            <w:proofErr w:type="gramStart"/>
            <w:r w:rsidRPr="00B043C8">
              <w:rPr>
                <w:rFonts w:cs="Arial"/>
                <w:sz w:val="18"/>
                <w:szCs w:val="18"/>
              </w:rPr>
              <w:t>Practice  A</w:t>
            </w:r>
            <w:proofErr w:type="gramEnd"/>
            <w:r w:rsidRPr="00B043C8">
              <w:rPr>
                <w:rFonts w:cs="Arial"/>
                <w:sz w:val="18"/>
                <w:szCs w:val="18"/>
              </w:rPr>
              <w:t xml:space="preserve"> Research Paradigm for the Mixed Methods Approach. </w:t>
            </w:r>
            <w:r w:rsidRPr="00B043C8">
              <w:rPr>
                <w:rFonts w:cs="Arial"/>
                <w:i/>
                <w:iCs/>
                <w:sz w:val="18"/>
                <w:szCs w:val="18"/>
              </w:rPr>
              <w:t>Journal of Mixed Methods Research</w:t>
            </w:r>
            <w:r w:rsidRPr="00B043C8">
              <w:rPr>
                <w:rFonts w:cs="Arial"/>
                <w:sz w:val="18"/>
                <w:szCs w:val="18"/>
              </w:rPr>
              <w:t xml:space="preserve">, </w:t>
            </w:r>
            <w:r w:rsidRPr="00B043C8">
              <w:rPr>
                <w:rFonts w:cs="Arial"/>
                <w:i/>
                <w:iCs/>
                <w:sz w:val="18"/>
                <w:szCs w:val="18"/>
              </w:rPr>
              <w:t>2</w:t>
            </w:r>
            <w:r w:rsidRPr="00B043C8">
              <w:rPr>
                <w:rFonts w:cs="Arial"/>
                <w:sz w:val="18"/>
                <w:szCs w:val="18"/>
              </w:rPr>
              <w:t>(3), 270–283. https://doi.org/10.1177/1558689808316807</w:t>
            </w:r>
          </w:p>
          <w:p w14:paraId="239D69F2" w14:textId="77777777" w:rsidR="0078686D" w:rsidRPr="00B043C8" w:rsidRDefault="0078686D" w:rsidP="0078686D">
            <w:pPr>
              <w:pStyle w:val="af9"/>
              <w:spacing w:line="276" w:lineRule="auto"/>
              <w:rPr>
                <w:rFonts w:cs="Arial"/>
                <w:sz w:val="18"/>
                <w:szCs w:val="18"/>
              </w:rPr>
            </w:pPr>
            <w:r w:rsidRPr="00B043C8">
              <w:rPr>
                <w:rFonts w:cs="Arial"/>
                <w:sz w:val="18"/>
                <w:szCs w:val="18"/>
              </w:rPr>
              <w:t>Feliciano-</w:t>
            </w:r>
            <w:proofErr w:type="spellStart"/>
            <w:r w:rsidRPr="00B043C8">
              <w:rPr>
                <w:rFonts w:cs="Arial"/>
                <w:sz w:val="18"/>
                <w:szCs w:val="18"/>
              </w:rPr>
              <w:t>Cestero</w:t>
            </w:r>
            <w:proofErr w:type="spellEnd"/>
            <w:r w:rsidRPr="00B043C8">
              <w:rPr>
                <w:rFonts w:cs="Arial"/>
                <w:sz w:val="18"/>
                <w:szCs w:val="18"/>
              </w:rPr>
              <w:t xml:space="preserve">, M. M., Ameen, N., </w:t>
            </w:r>
            <w:proofErr w:type="spellStart"/>
            <w:r w:rsidRPr="00B043C8">
              <w:rPr>
                <w:rFonts w:cs="Arial"/>
                <w:sz w:val="18"/>
                <w:szCs w:val="18"/>
              </w:rPr>
              <w:t>Kotabe</w:t>
            </w:r>
            <w:proofErr w:type="spellEnd"/>
            <w:r w:rsidRPr="00B043C8">
              <w:rPr>
                <w:rFonts w:cs="Arial"/>
                <w:sz w:val="18"/>
                <w:szCs w:val="18"/>
              </w:rPr>
              <w:t xml:space="preserve">, M., Paul, J., &amp; Signoret, M. (2023). Is digital transformation threatened? A systematic literature review of the factors influencing firms’ digital transformation and internationalization. </w:t>
            </w:r>
            <w:r w:rsidRPr="00B043C8">
              <w:rPr>
                <w:rFonts w:cs="Arial"/>
                <w:i/>
                <w:iCs/>
                <w:sz w:val="18"/>
                <w:szCs w:val="18"/>
              </w:rPr>
              <w:t>Journal of Business Research</w:t>
            </w:r>
            <w:r w:rsidRPr="00B043C8">
              <w:rPr>
                <w:rFonts w:cs="Arial"/>
                <w:sz w:val="18"/>
                <w:szCs w:val="18"/>
              </w:rPr>
              <w:t xml:space="preserve">, </w:t>
            </w:r>
            <w:r w:rsidRPr="00B043C8">
              <w:rPr>
                <w:rFonts w:cs="Arial"/>
                <w:i/>
                <w:iCs/>
                <w:sz w:val="18"/>
                <w:szCs w:val="18"/>
              </w:rPr>
              <w:t>157</w:t>
            </w:r>
            <w:r w:rsidRPr="00B043C8">
              <w:rPr>
                <w:rFonts w:cs="Arial"/>
                <w:sz w:val="18"/>
                <w:szCs w:val="18"/>
              </w:rPr>
              <w:t>, 113546. DT. https://doi.org/10.1016/j.jbusres.2022.113546</w:t>
            </w:r>
          </w:p>
          <w:p w14:paraId="68F62D8C" w14:textId="77777777" w:rsidR="0078686D" w:rsidRPr="00B043C8" w:rsidRDefault="0078686D" w:rsidP="0078686D">
            <w:pPr>
              <w:pStyle w:val="af9"/>
              <w:spacing w:line="276" w:lineRule="auto"/>
              <w:rPr>
                <w:rFonts w:cs="Arial"/>
                <w:sz w:val="18"/>
                <w:szCs w:val="18"/>
              </w:rPr>
            </w:pPr>
            <w:r w:rsidRPr="00B043C8">
              <w:rPr>
                <w:rFonts w:cs="Arial"/>
                <w:sz w:val="18"/>
                <w:szCs w:val="18"/>
              </w:rPr>
              <w:t xml:space="preserve">Fetters, M. D., &amp; Freshwater, D. (2015). The 1 + 1 = 3 Integration Challenge. </w:t>
            </w:r>
            <w:r w:rsidRPr="00B043C8">
              <w:rPr>
                <w:rFonts w:cs="Arial"/>
                <w:i/>
                <w:iCs/>
                <w:sz w:val="18"/>
                <w:szCs w:val="18"/>
              </w:rPr>
              <w:t>Journal of Mixed Methods Research</w:t>
            </w:r>
            <w:r w:rsidRPr="00B043C8">
              <w:rPr>
                <w:rFonts w:cs="Arial"/>
                <w:sz w:val="18"/>
                <w:szCs w:val="18"/>
              </w:rPr>
              <w:t xml:space="preserve">, </w:t>
            </w:r>
            <w:r w:rsidRPr="00B043C8">
              <w:rPr>
                <w:rFonts w:cs="Arial"/>
                <w:i/>
                <w:iCs/>
                <w:sz w:val="18"/>
                <w:szCs w:val="18"/>
              </w:rPr>
              <w:t>9</w:t>
            </w:r>
            <w:r w:rsidRPr="00B043C8">
              <w:rPr>
                <w:rFonts w:cs="Arial"/>
                <w:sz w:val="18"/>
                <w:szCs w:val="18"/>
              </w:rPr>
              <w:t>(2), 115–117. https://doi.org/10.1177/1558689815581222</w:t>
            </w:r>
          </w:p>
          <w:p w14:paraId="473E47E3" w14:textId="77777777" w:rsidR="0078686D" w:rsidRPr="00B043C8" w:rsidRDefault="0078686D" w:rsidP="0078686D">
            <w:pPr>
              <w:pStyle w:val="af9"/>
              <w:spacing w:line="276" w:lineRule="auto"/>
              <w:rPr>
                <w:rFonts w:cs="Arial"/>
                <w:sz w:val="18"/>
                <w:szCs w:val="18"/>
              </w:rPr>
            </w:pPr>
            <w:r w:rsidRPr="00B043C8">
              <w:rPr>
                <w:rFonts w:cs="Arial"/>
                <w:sz w:val="18"/>
                <w:szCs w:val="18"/>
              </w:rPr>
              <w:t xml:space="preserve">Field, A. (2024). </w:t>
            </w:r>
            <w:r w:rsidRPr="00B043C8">
              <w:rPr>
                <w:rFonts w:cs="Arial"/>
                <w:i/>
                <w:iCs/>
                <w:sz w:val="18"/>
                <w:szCs w:val="18"/>
              </w:rPr>
              <w:t>Discovering statistics using IBM SPSS statistics</w:t>
            </w:r>
            <w:r w:rsidRPr="00B043C8">
              <w:rPr>
                <w:rFonts w:cs="Arial"/>
                <w:sz w:val="18"/>
                <w:szCs w:val="18"/>
              </w:rPr>
              <w:t xml:space="preserve"> (Sixth). Sage Publishing.</w:t>
            </w:r>
          </w:p>
          <w:p w14:paraId="3B58A08A" w14:textId="77777777" w:rsidR="0078686D" w:rsidRPr="00B043C8" w:rsidRDefault="0078686D" w:rsidP="0078686D">
            <w:pPr>
              <w:pStyle w:val="af9"/>
              <w:spacing w:line="276" w:lineRule="auto"/>
              <w:rPr>
                <w:rFonts w:cs="Arial"/>
                <w:sz w:val="18"/>
                <w:szCs w:val="18"/>
              </w:rPr>
            </w:pPr>
            <w:proofErr w:type="spellStart"/>
            <w:r w:rsidRPr="00B043C8">
              <w:rPr>
                <w:rFonts w:cs="Arial"/>
                <w:sz w:val="18"/>
                <w:szCs w:val="18"/>
              </w:rPr>
              <w:t>Fosso</w:t>
            </w:r>
            <w:proofErr w:type="spellEnd"/>
            <w:r w:rsidRPr="00B043C8">
              <w:rPr>
                <w:rFonts w:cs="Arial"/>
                <w:sz w:val="18"/>
                <w:szCs w:val="18"/>
              </w:rPr>
              <w:t xml:space="preserve"> Wamba, S. (2022). Impact of artificial intelligence assimilation on firm performance: The mediating effects of organizational agility and customer agility. </w:t>
            </w:r>
            <w:r w:rsidRPr="00B043C8">
              <w:rPr>
                <w:rFonts w:cs="Arial"/>
                <w:i/>
                <w:iCs/>
                <w:sz w:val="18"/>
                <w:szCs w:val="18"/>
              </w:rPr>
              <w:t>International Journal of Information Management</w:t>
            </w:r>
            <w:r w:rsidRPr="00B043C8">
              <w:rPr>
                <w:rFonts w:cs="Arial"/>
                <w:sz w:val="18"/>
                <w:szCs w:val="18"/>
              </w:rPr>
              <w:t xml:space="preserve">, </w:t>
            </w:r>
            <w:r w:rsidRPr="00B043C8">
              <w:rPr>
                <w:rFonts w:cs="Arial"/>
                <w:i/>
                <w:iCs/>
                <w:sz w:val="18"/>
                <w:szCs w:val="18"/>
              </w:rPr>
              <w:t>67</w:t>
            </w:r>
            <w:r w:rsidRPr="00B043C8">
              <w:rPr>
                <w:rFonts w:cs="Arial"/>
                <w:sz w:val="18"/>
                <w:szCs w:val="18"/>
              </w:rPr>
              <w:t>, 102544. AI. https://doi.org/10.1016/j.ijinfomgt.2022.102544</w:t>
            </w:r>
          </w:p>
          <w:p w14:paraId="52139623" w14:textId="77777777" w:rsidR="0078686D" w:rsidRPr="00B043C8" w:rsidRDefault="0078686D" w:rsidP="0078686D">
            <w:pPr>
              <w:pStyle w:val="af9"/>
              <w:spacing w:line="276" w:lineRule="auto"/>
              <w:rPr>
                <w:rFonts w:cs="Arial"/>
                <w:sz w:val="18"/>
                <w:szCs w:val="18"/>
              </w:rPr>
            </w:pPr>
            <w:r w:rsidRPr="00B043C8">
              <w:rPr>
                <w:rFonts w:cs="Arial"/>
                <w:sz w:val="18"/>
                <w:szCs w:val="18"/>
              </w:rPr>
              <w:t xml:space="preserve">Grant, C., &amp; </w:t>
            </w:r>
            <w:proofErr w:type="spellStart"/>
            <w:r w:rsidRPr="00B043C8">
              <w:rPr>
                <w:rFonts w:cs="Arial"/>
                <w:sz w:val="18"/>
                <w:szCs w:val="18"/>
              </w:rPr>
              <w:t>Osanloo</w:t>
            </w:r>
            <w:proofErr w:type="spellEnd"/>
            <w:r w:rsidRPr="00B043C8">
              <w:rPr>
                <w:rFonts w:cs="Arial"/>
                <w:sz w:val="18"/>
                <w:szCs w:val="18"/>
              </w:rPr>
              <w:t xml:space="preserve">, A. (2014). Understanding, Selecting, and Integrating a Theoretical Framework in Dissertation Research: Creating the Blueprint for Your “House”. </w:t>
            </w:r>
            <w:r w:rsidRPr="00B043C8">
              <w:rPr>
                <w:rFonts w:cs="Arial"/>
                <w:i/>
                <w:iCs/>
                <w:sz w:val="18"/>
                <w:szCs w:val="18"/>
              </w:rPr>
              <w:t>Administrative Issues Journal Education Practice and Research</w:t>
            </w:r>
            <w:r w:rsidRPr="00B043C8">
              <w:rPr>
                <w:rFonts w:cs="Arial"/>
                <w:sz w:val="18"/>
                <w:szCs w:val="18"/>
              </w:rPr>
              <w:t xml:space="preserve">, </w:t>
            </w:r>
            <w:r w:rsidRPr="00B043C8">
              <w:rPr>
                <w:rFonts w:cs="Arial"/>
                <w:i/>
                <w:iCs/>
                <w:sz w:val="18"/>
                <w:szCs w:val="18"/>
              </w:rPr>
              <w:t>4</w:t>
            </w:r>
            <w:r w:rsidRPr="00B043C8">
              <w:rPr>
                <w:rFonts w:cs="Arial"/>
                <w:sz w:val="18"/>
                <w:szCs w:val="18"/>
              </w:rPr>
              <w:t>(2). https://doi.org/10.5929/2014.4.2.9</w:t>
            </w:r>
          </w:p>
          <w:p w14:paraId="5473ABE8" w14:textId="77777777" w:rsidR="0078686D" w:rsidRPr="00B043C8" w:rsidRDefault="0078686D" w:rsidP="0078686D">
            <w:pPr>
              <w:pStyle w:val="af9"/>
              <w:spacing w:line="276" w:lineRule="auto"/>
              <w:rPr>
                <w:rFonts w:cs="Arial"/>
                <w:sz w:val="18"/>
                <w:szCs w:val="18"/>
              </w:rPr>
            </w:pPr>
            <w:r w:rsidRPr="00B043C8">
              <w:rPr>
                <w:rFonts w:cs="Arial"/>
                <w:sz w:val="18"/>
                <w:szCs w:val="18"/>
              </w:rPr>
              <w:t xml:space="preserve">Guan, W., Ding, W., Zhang, B., </w:t>
            </w:r>
            <w:proofErr w:type="spellStart"/>
            <w:r w:rsidRPr="00B043C8">
              <w:rPr>
                <w:rFonts w:cs="Arial"/>
                <w:sz w:val="18"/>
                <w:szCs w:val="18"/>
              </w:rPr>
              <w:t>Verny</w:t>
            </w:r>
            <w:proofErr w:type="spellEnd"/>
            <w:r w:rsidRPr="00B043C8">
              <w:rPr>
                <w:rFonts w:cs="Arial"/>
                <w:sz w:val="18"/>
                <w:szCs w:val="18"/>
              </w:rPr>
              <w:t xml:space="preserve">, J., &amp; Hao, R. (2023). Do supply chain related factors enhance the prediction accuracy of blockchain adoption? A machine learning approach. </w:t>
            </w:r>
            <w:r w:rsidRPr="00B043C8">
              <w:rPr>
                <w:rFonts w:cs="Arial"/>
                <w:i/>
                <w:iCs/>
                <w:sz w:val="18"/>
                <w:szCs w:val="18"/>
              </w:rPr>
              <w:t>Technological Forecasting and Social Change</w:t>
            </w:r>
            <w:r w:rsidRPr="00B043C8">
              <w:rPr>
                <w:rFonts w:cs="Arial"/>
                <w:sz w:val="18"/>
                <w:szCs w:val="18"/>
              </w:rPr>
              <w:t xml:space="preserve">, </w:t>
            </w:r>
            <w:r w:rsidRPr="00B043C8">
              <w:rPr>
                <w:rFonts w:cs="Arial"/>
                <w:i/>
                <w:iCs/>
                <w:sz w:val="18"/>
                <w:szCs w:val="18"/>
              </w:rPr>
              <w:t>192</w:t>
            </w:r>
            <w:r w:rsidRPr="00B043C8">
              <w:rPr>
                <w:rFonts w:cs="Arial"/>
                <w:sz w:val="18"/>
                <w:szCs w:val="18"/>
              </w:rPr>
              <w:t>, 122552. ML. https://doi.org/10.1016/j.techfore.2023.122552</w:t>
            </w:r>
          </w:p>
          <w:p w14:paraId="7496D266" w14:textId="77777777" w:rsidR="0078686D" w:rsidRPr="00B043C8" w:rsidRDefault="0078686D" w:rsidP="0078686D">
            <w:pPr>
              <w:pStyle w:val="af9"/>
              <w:spacing w:line="276" w:lineRule="auto"/>
              <w:rPr>
                <w:rFonts w:cs="Arial"/>
                <w:sz w:val="18"/>
                <w:szCs w:val="18"/>
              </w:rPr>
            </w:pPr>
            <w:r w:rsidRPr="00B043C8">
              <w:rPr>
                <w:rFonts w:cs="Arial"/>
                <w:sz w:val="18"/>
                <w:szCs w:val="18"/>
              </w:rPr>
              <w:t xml:space="preserve">Guo, L., &amp; Xu, L. (2021). The Effects of Digital Transformation on Firm Performance: Evidence from China’s Manufacturing Sector. </w:t>
            </w:r>
            <w:r w:rsidRPr="00B043C8">
              <w:rPr>
                <w:rFonts w:cs="Arial"/>
                <w:i/>
                <w:iCs/>
                <w:sz w:val="18"/>
                <w:szCs w:val="18"/>
              </w:rPr>
              <w:t>Sustainability</w:t>
            </w:r>
            <w:r w:rsidRPr="00B043C8">
              <w:rPr>
                <w:rFonts w:cs="Arial"/>
                <w:sz w:val="18"/>
                <w:szCs w:val="18"/>
              </w:rPr>
              <w:t xml:space="preserve">, </w:t>
            </w:r>
            <w:r w:rsidRPr="00B043C8">
              <w:rPr>
                <w:rFonts w:cs="Arial"/>
                <w:i/>
                <w:iCs/>
                <w:sz w:val="18"/>
                <w:szCs w:val="18"/>
              </w:rPr>
              <w:t>13</w:t>
            </w:r>
            <w:r w:rsidRPr="00B043C8">
              <w:rPr>
                <w:rFonts w:cs="Arial"/>
                <w:sz w:val="18"/>
                <w:szCs w:val="18"/>
              </w:rPr>
              <w:t xml:space="preserve">(22), Article 22. </w:t>
            </w:r>
            <w:proofErr w:type="spellStart"/>
            <w:r w:rsidRPr="00B043C8">
              <w:rPr>
                <w:rFonts w:cs="Arial"/>
                <w:sz w:val="18"/>
                <w:szCs w:val="18"/>
              </w:rPr>
              <w:t>Perfromance</w:t>
            </w:r>
            <w:proofErr w:type="spellEnd"/>
            <w:r w:rsidRPr="00B043C8">
              <w:rPr>
                <w:rFonts w:cs="Arial"/>
                <w:sz w:val="18"/>
                <w:szCs w:val="18"/>
              </w:rPr>
              <w:t>. https://doi.org/10.3390/su132212844</w:t>
            </w:r>
          </w:p>
          <w:p w14:paraId="59127B34" w14:textId="77777777" w:rsidR="0078686D" w:rsidRPr="00B043C8" w:rsidRDefault="0078686D" w:rsidP="0078686D">
            <w:pPr>
              <w:pStyle w:val="af9"/>
              <w:spacing w:line="276" w:lineRule="auto"/>
              <w:rPr>
                <w:rFonts w:cs="Arial"/>
                <w:sz w:val="18"/>
                <w:szCs w:val="18"/>
              </w:rPr>
            </w:pPr>
            <w:r w:rsidRPr="00B043C8">
              <w:rPr>
                <w:rFonts w:cs="Arial"/>
                <w:sz w:val="18"/>
                <w:szCs w:val="18"/>
              </w:rPr>
              <w:lastRenderedPageBreak/>
              <w:t xml:space="preserve">Gupta, S., Drave, V. A., Dwivedi, Y. K., </w:t>
            </w:r>
            <w:proofErr w:type="spellStart"/>
            <w:r w:rsidRPr="00B043C8">
              <w:rPr>
                <w:rFonts w:cs="Arial"/>
                <w:sz w:val="18"/>
                <w:szCs w:val="18"/>
              </w:rPr>
              <w:t>Baabdullah</w:t>
            </w:r>
            <w:proofErr w:type="spellEnd"/>
            <w:r w:rsidRPr="00B043C8">
              <w:rPr>
                <w:rFonts w:cs="Arial"/>
                <w:sz w:val="18"/>
                <w:szCs w:val="18"/>
              </w:rPr>
              <w:t xml:space="preserve">, A. M., &amp; </w:t>
            </w:r>
            <w:proofErr w:type="spellStart"/>
            <w:r w:rsidRPr="00B043C8">
              <w:rPr>
                <w:rFonts w:cs="Arial"/>
                <w:sz w:val="18"/>
                <w:szCs w:val="18"/>
              </w:rPr>
              <w:t>Ismagilova</w:t>
            </w:r>
            <w:proofErr w:type="spellEnd"/>
            <w:r w:rsidRPr="00B043C8">
              <w:rPr>
                <w:rFonts w:cs="Arial"/>
                <w:sz w:val="18"/>
                <w:szCs w:val="18"/>
              </w:rPr>
              <w:t xml:space="preserve">, E. (2020). Achieving superior organizational performance via big data predictive analytics: A dynamic capability view. </w:t>
            </w:r>
            <w:r w:rsidRPr="00B043C8">
              <w:rPr>
                <w:rFonts w:cs="Arial"/>
                <w:i/>
                <w:iCs/>
                <w:sz w:val="18"/>
                <w:szCs w:val="18"/>
              </w:rPr>
              <w:t>Industrial Marketing Management</w:t>
            </w:r>
            <w:r w:rsidRPr="00B043C8">
              <w:rPr>
                <w:rFonts w:cs="Arial"/>
                <w:sz w:val="18"/>
                <w:szCs w:val="18"/>
              </w:rPr>
              <w:t xml:space="preserve">, </w:t>
            </w:r>
            <w:r w:rsidRPr="00B043C8">
              <w:rPr>
                <w:rFonts w:cs="Arial"/>
                <w:i/>
                <w:iCs/>
                <w:sz w:val="18"/>
                <w:szCs w:val="18"/>
              </w:rPr>
              <w:t>90</w:t>
            </w:r>
            <w:r w:rsidRPr="00B043C8">
              <w:rPr>
                <w:rFonts w:cs="Arial"/>
                <w:sz w:val="18"/>
                <w:szCs w:val="18"/>
              </w:rPr>
              <w:t xml:space="preserve">, 581–592. </w:t>
            </w:r>
            <w:proofErr w:type="spellStart"/>
            <w:r w:rsidRPr="00B043C8">
              <w:rPr>
                <w:rFonts w:cs="Arial"/>
                <w:sz w:val="18"/>
                <w:szCs w:val="18"/>
              </w:rPr>
              <w:t>Perfromance</w:t>
            </w:r>
            <w:proofErr w:type="spellEnd"/>
            <w:r w:rsidRPr="00B043C8">
              <w:rPr>
                <w:rFonts w:cs="Arial"/>
                <w:sz w:val="18"/>
                <w:szCs w:val="18"/>
              </w:rPr>
              <w:t>. https://doi.org/10.1016/j.indmarman.2019.11.009</w:t>
            </w:r>
          </w:p>
          <w:p w14:paraId="350D6650" w14:textId="77777777" w:rsidR="0078686D" w:rsidRPr="00B043C8" w:rsidRDefault="0078686D" w:rsidP="0078686D">
            <w:pPr>
              <w:pStyle w:val="af9"/>
              <w:spacing w:line="276" w:lineRule="auto"/>
              <w:rPr>
                <w:rFonts w:cs="Arial"/>
                <w:sz w:val="18"/>
                <w:szCs w:val="18"/>
              </w:rPr>
            </w:pPr>
            <w:r w:rsidRPr="00B043C8">
              <w:rPr>
                <w:rFonts w:cs="Arial"/>
                <w:sz w:val="18"/>
                <w:szCs w:val="18"/>
              </w:rPr>
              <w:t xml:space="preserve">Hansen, A. K., Christiansen, L., &amp; Lassen, A. H. (2024). Technology isn’t enough for Industry 4.0: On SMEs and hindrances to digital transformation. </w:t>
            </w:r>
            <w:r w:rsidRPr="00B043C8">
              <w:rPr>
                <w:rFonts w:cs="Arial"/>
                <w:i/>
                <w:iCs/>
                <w:sz w:val="18"/>
                <w:szCs w:val="18"/>
              </w:rPr>
              <w:t>International Journal of Production Research</w:t>
            </w:r>
            <w:r w:rsidRPr="00B043C8">
              <w:rPr>
                <w:rFonts w:cs="Arial"/>
                <w:sz w:val="18"/>
                <w:szCs w:val="18"/>
              </w:rPr>
              <w:t>, 1–21. https://doi.org/10.1080/00207543.2024.2305800</w:t>
            </w:r>
          </w:p>
          <w:p w14:paraId="5E1ADE88" w14:textId="77777777" w:rsidR="0078686D" w:rsidRPr="00B043C8" w:rsidRDefault="0078686D" w:rsidP="0078686D">
            <w:pPr>
              <w:pStyle w:val="af9"/>
              <w:spacing w:line="276" w:lineRule="auto"/>
              <w:rPr>
                <w:rFonts w:cs="Arial"/>
                <w:sz w:val="18"/>
                <w:szCs w:val="18"/>
              </w:rPr>
            </w:pPr>
            <w:r w:rsidRPr="00B043C8">
              <w:rPr>
                <w:rFonts w:cs="Arial"/>
                <w:sz w:val="18"/>
                <w:szCs w:val="18"/>
              </w:rPr>
              <w:t xml:space="preserve">Hosseini, S., Fallon, G., </w:t>
            </w:r>
            <w:proofErr w:type="spellStart"/>
            <w:r w:rsidRPr="00B043C8">
              <w:rPr>
                <w:rFonts w:cs="Arial"/>
                <w:sz w:val="18"/>
                <w:szCs w:val="18"/>
              </w:rPr>
              <w:t>Weerakkody</w:t>
            </w:r>
            <w:proofErr w:type="spellEnd"/>
            <w:r w:rsidRPr="00B043C8">
              <w:rPr>
                <w:rFonts w:cs="Arial"/>
                <w:sz w:val="18"/>
                <w:szCs w:val="18"/>
              </w:rPr>
              <w:t xml:space="preserve">, V., &amp; Sivarajah, U. (2019). Cloud computing utilization and mitigation of informational and marketing barriers of the SMEs from the emerging markets: Evidence from Iran and Turkey. </w:t>
            </w:r>
            <w:r w:rsidRPr="00B043C8">
              <w:rPr>
                <w:rFonts w:cs="Arial"/>
                <w:i/>
                <w:iCs/>
                <w:sz w:val="18"/>
                <w:szCs w:val="18"/>
              </w:rPr>
              <w:t>International Journal of Information Management</w:t>
            </w:r>
            <w:r w:rsidRPr="00B043C8">
              <w:rPr>
                <w:rFonts w:cs="Arial"/>
                <w:sz w:val="18"/>
                <w:szCs w:val="18"/>
              </w:rPr>
              <w:t xml:space="preserve">, </w:t>
            </w:r>
            <w:r w:rsidRPr="00B043C8">
              <w:rPr>
                <w:rFonts w:cs="Arial"/>
                <w:i/>
                <w:iCs/>
                <w:sz w:val="18"/>
                <w:szCs w:val="18"/>
              </w:rPr>
              <w:t>46</w:t>
            </w:r>
            <w:r w:rsidRPr="00B043C8">
              <w:rPr>
                <w:rFonts w:cs="Arial"/>
                <w:sz w:val="18"/>
                <w:szCs w:val="18"/>
              </w:rPr>
              <w:t>, 54–69. Cloud. https://doi.org/10.1016/j.ijinfomgt.2018.11.011</w:t>
            </w:r>
          </w:p>
          <w:p w14:paraId="47D7EE95" w14:textId="77777777" w:rsidR="0078686D" w:rsidRPr="00B043C8" w:rsidRDefault="0078686D" w:rsidP="0078686D">
            <w:pPr>
              <w:pStyle w:val="af9"/>
              <w:spacing w:line="276" w:lineRule="auto"/>
              <w:rPr>
                <w:rFonts w:cs="Arial"/>
                <w:sz w:val="18"/>
                <w:szCs w:val="18"/>
              </w:rPr>
            </w:pPr>
            <w:r w:rsidRPr="00B043C8">
              <w:rPr>
                <w:rFonts w:cs="Arial"/>
                <w:sz w:val="18"/>
                <w:szCs w:val="18"/>
              </w:rPr>
              <w:t xml:space="preserve">Hu, Y., Che, D., Wu, F., &amp; Chang, X. (2023). Corporate maturity mismatch and enterprise digital transformation: Evidence from China. </w:t>
            </w:r>
            <w:r w:rsidRPr="00B043C8">
              <w:rPr>
                <w:rFonts w:cs="Arial"/>
                <w:i/>
                <w:iCs/>
                <w:sz w:val="18"/>
                <w:szCs w:val="18"/>
              </w:rPr>
              <w:t>Finance Research Letters</w:t>
            </w:r>
            <w:r w:rsidRPr="00B043C8">
              <w:rPr>
                <w:rFonts w:cs="Arial"/>
                <w:sz w:val="18"/>
                <w:szCs w:val="18"/>
              </w:rPr>
              <w:t xml:space="preserve">, </w:t>
            </w:r>
            <w:r w:rsidRPr="00B043C8">
              <w:rPr>
                <w:rFonts w:cs="Arial"/>
                <w:i/>
                <w:iCs/>
                <w:sz w:val="18"/>
                <w:szCs w:val="18"/>
              </w:rPr>
              <w:t>53</w:t>
            </w:r>
            <w:r w:rsidRPr="00B043C8">
              <w:rPr>
                <w:rFonts w:cs="Arial"/>
                <w:sz w:val="18"/>
                <w:szCs w:val="18"/>
              </w:rPr>
              <w:t>, 103677. https://doi.org/10.1016/j.frl.2023.103677</w:t>
            </w:r>
          </w:p>
          <w:p w14:paraId="41E8A88A" w14:textId="77777777" w:rsidR="0078686D" w:rsidRPr="00B043C8" w:rsidRDefault="0078686D" w:rsidP="0078686D">
            <w:pPr>
              <w:pStyle w:val="af9"/>
              <w:spacing w:line="276" w:lineRule="auto"/>
              <w:rPr>
                <w:rFonts w:cs="Arial"/>
                <w:sz w:val="18"/>
                <w:szCs w:val="18"/>
              </w:rPr>
            </w:pPr>
            <w:proofErr w:type="spellStart"/>
            <w:r w:rsidRPr="00B043C8">
              <w:rPr>
                <w:rFonts w:cs="Arial"/>
                <w:sz w:val="18"/>
                <w:szCs w:val="18"/>
              </w:rPr>
              <w:t>Imenda</w:t>
            </w:r>
            <w:proofErr w:type="spellEnd"/>
            <w:r w:rsidRPr="00B043C8">
              <w:rPr>
                <w:rFonts w:cs="Arial"/>
                <w:sz w:val="18"/>
                <w:szCs w:val="18"/>
              </w:rPr>
              <w:t xml:space="preserve">, S. (2014). Is There a Conceptual Difference between Theoretical and Conceptual Frameworks? </w:t>
            </w:r>
            <w:r w:rsidRPr="00B043C8">
              <w:rPr>
                <w:rFonts w:cs="Arial"/>
                <w:i/>
                <w:iCs/>
                <w:sz w:val="18"/>
                <w:szCs w:val="18"/>
              </w:rPr>
              <w:t>Journal of Social Sciences</w:t>
            </w:r>
            <w:r w:rsidRPr="00B043C8">
              <w:rPr>
                <w:rFonts w:cs="Arial"/>
                <w:sz w:val="18"/>
                <w:szCs w:val="18"/>
              </w:rPr>
              <w:t xml:space="preserve">, </w:t>
            </w:r>
            <w:r w:rsidRPr="00B043C8">
              <w:rPr>
                <w:rFonts w:cs="Arial"/>
                <w:i/>
                <w:iCs/>
                <w:sz w:val="18"/>
                <w:szCs w:val="18"/>
              </w:rPr>
              <w:t>38</w:t>
            </w:r>
            <w:r w:rsidRPr="00B043C8">
              <w:rPr>
                <w:rFonts w:cs="Arial"/>
                <w:sz w:val="18"/>
                <w:szCs w:val="18"/>
              </w:rPr>
              <w:t>(2), 185–195. https://doi.org/10.1080/09718923.2014.11893249</w:t>
            </w:r>
          </w:p>
          <w:p w14:paraId="15968AE1" w14:textId="77777777" w:rsidR="0078686D" w:rsidRPr="00B043C8" w:rsidRDefault="0078686D" w:rsidP="0078686D">
            <w:pPr>
              <w:pStyle w:val="af9"/>
              <w:spacing w:line="276" w:lineRule="auto"/>
              <w:rPr>
                <w:rFonts w:cs="Arial"/>
                <w:sz w:val="18"/>
                <w:szCs w:val="18"/>
              </w:rPr>
            </w:pPr>
            <w:proofErr w:type="spellStart"/>
            <w:r w:rsidRPr="00B043C8">
              <w:rPr>
                <w:rFonts w:cs="Arial"/>
                <w:sz w:val="18"/>
                <w:szCs w:val="18"/>
              </w:rPr>
              <w:t>Jachimczyk</w:t>
            </w:r>
            <w:proofErr w:type="spellEnd"/>
            <w:r w:rsidRPr="00B043C8">
              <w:rPr>
                <w:rFonts w:cs="Arial"/>
                <w:sz w:val="18"/>
                <w:szCs w:val="18"/>
              </w:rPr>
              <w:t xml:space="preserve">, B., Tkaczyk, R., Piotrowski, T., Johansson, S., &amp; </w:t>
            </w:r>
            <w:proofErr w:type="spellStart"/>
            <w:r w:rsidRPr="00B043C8">
              <w:rPr>
                <w:rFonts w:cs="Arial"/>
                <w:sz w:val="18"/>
                <w:szCs w:val="18"/>
              </w:rPr>
              <w:t>Kulesza</w:t>
            </w:r>
            <w:proofErr w:type="spellEnd"/>
            <w:r w:rsidRPr="00B043C8">
              <w:rPr>
                <w:rFonts w:cs="Arial"/>
                <w:sz w:val="18"/>
                <w:szCs w:val="18"/>
              </w:rPr>
              <w:t xml:space="preserve">, W. (2021). IoT-based Dairy Supply Chain—An Ontological Approach. </w:t>
            </w:r>
            <w:proofErr w:type="spellStart"/>
            <w:r w:rsidRPr="00B043C8">
              <w:rPr>
                <w:rFonts w:cs="Arial"/>
                <w:i/>
                <w:iCs/>
                <w:sz w:val="18"/>
                <w:szCs w:val="18"/>
              </w:rPr>
              <w:t>Elektronika</w:t>
            </w:r>
            <w:proofErr w:type="spellEnd"/>
            <w:r w:rsidRPr="00B043C8">
              <w:rPr>
                <w:rFonts w:cs="Arial"/>
                <w:i/>
                <w:iCs/>
                <w:sz w:val="18"/>
                <w:szCs w:val="18"/>
              </w:rPr>
              <w:t xml:space="preserve"> </w:t>
            </w:r>
            <w:proofErr w:type="spellStart"/>
            <w:r w:rsidRPr="00B043C8">
              <w:rPr>
                <w:rFonts w:cs="Arial"/>
                <w:i/>
                <w:iCs/>
                <w:sz w:val="18"/>
                <w:szCs w:val="18"/>
              </w:rPr>
              <w:t>Ir</w:t>
            </w:r>
            <w:proofErr w:type="spellEnd"/>
            <w:r w:rsidRPr="00B043C8">
              <w:rPr>
                <w:rFonts w:cs="Arial"/>
                <w:i/>
                <w:iCs/>
                <w:sz w:val="18"/>
                <w:szCs w:val="18"/>
              </w:rPr>
              <w:t xml:space="preserve"> </w:t>
            </w:r>
            <w:proofErr w:type="spellStart"/>
            <w:r w:rsidRPr="00B043C8">
              <w:rPr>
                <w:rFonts w:cs="Arial"/>
                <w:i/>
                <w:iCs/>
                <w:sz w:val="18"/>
                <w:szCs w:val="18"/>
              </w:rPr>
              <w:t>Elektrotechnika</w:t>
            </w:r>
            <w:proofErr w:type="spellEnd"/>
            <w:r w:rsidRPr="00B043C8">
              <w:rPr>
                <w:rFonts w:cs="Arial"/>
                <w:sz w:val="18"/>
                <w:szCs w:val="18"/>
              </w:rPr>
              <w:t xml:space="preserve">, </w:t>
            </w:r>
            <w:r w:rsidRPr="00B043C8">
              <w:rPr>
                <w:rFonts w:cs="Arial"/>
                <w:i/>
                <w:iCs/>
                <w:sz w:val="18"/>
                <w:szCs w:val="18"/>
              </w:rPr>
              <w:t>27</w:t>
            </w:r>
            <w:r w:rsidRPr="00B043C8">
              <w:rPr>
                <w:rFonts w:cs="Arial"/>
                <w:sz w:val="18"/>
                <w:szCs w:val="18"/>
              </w:rPr>
              <w:t>(1), 71–83. AI. https://doi.org/10.5755/j02.eie.27612</w:t>
            </w:r>
          </w:p>
          <w:p w14:paraId="4B5A9DEC" w14:textId="77777777" w:rsidR="0078686D" w:rsidRPr="00B043C8" w:rsidRDefault="0078686D" w:rsidP="0078686D">
            <w:pPr>
              <w:pStyle w:val="af9"/>
              <w:spacing w:line="276" w:lineRule="auto"/>
              <w:rPr>
                <w:rFonts w:cs="Arial"/>
                <w:sz w:val="18"/>
                <w:szCs w:val="18"/>
              </w:rPr>
            </w:pPr>
            <w:r w:rsidRPr="00B043C8">
              <w:rPr>
                <w:rFonts w:cs="Arial"/>
                <w:sz w:val="18"/>
                <w:szCs w:val="18"/>
              </w:rPr>
              <w:t xml:space="preserve">James, W. (2001). What pragmatism means. In </w:t>
            </w:r>
            <w:r w:rsidRPr="00B043C8">
              <w:rPr>
                <w:rFonts w:cs="Arial"/>
                <w:i/>
                <w:iCs/>
                <w:sz w:val="18"/>
                <w:szCs w:val="18"/>
              </w:rPr>
              <w:t>Writing New England: An Anthology from the Puritans to the Present</w:t>
            </w:r>
            <w:r w:rsidRPr="00B043C8">
              <w:rPr>
                <w:rFonts w:cs="Arial"/>
                <w:sz w:val="18"/>
                <w:szCs w:val="18"/>
              </w:rPr>
              <w:t xml:space="preserve"> (pp. 80–93). Harvard University Press.</w:t>
            </w:r>
          </w:p>
          <w:p w14:paraId="6E694BCF" w14:textId="77777777" w:rsidR="0078686D" w:rsidRPr="00B043C8" w:rsidRDefault="0078686D" w:rsidP="0078686D">
            <w:pPr>
              <w:pStyle w:val="af9"/>
              <w:spacing w:line="276" w:lineRule="auto"/>
              <w:rPr>
                <w:rFonts w:cs="Arial"/>
                <w:sz w:val="18"/>
                <w:szCs w:val="18"/>
              </w:rPr>
            </w:pPr>
            <w:r w:rsidRPr="00B043C8">
              <w:rPr>
                <w:rFonts w:cs="Arial"/>
                <w:sz w:val="18"/>
                <w:szCs w:val="18"/>
              </w:rPr>
              <w:t xml:space="preserve">Jia, J., Xu, Y., &amp; Li, W. (2024). A study on the strategic momentum of SMEs’ digital transformation: Evidence from China. </w:t>
            </w:r>
            <w:r w:rsidRPr="00B043C8">
              <w:rPr>
                <w:rFonts w:cs="Arial"/>
                <w:i/>
                <w:iCs/>
                <w:sz w:val="18"/>
                <w:szCs w:val="18"/>
              </w:rPr>
              <w:t>Technological Forecasting and Social Change</w:t>
            </w:r>
            <w:r w:rsidRPr="00B043C8">
              <w:rPr>
                <w:rFonts w:cs="Arial"/>
                <w:sz w:val="18"/>
                <w:szCs w:val="18"/>
              </w:rPr>
              <w:t xml:space="preserve">, </w:t>
            </w:r>
            <w:r w:rsidRPr="00B043C8">
              <w:rPr>
                <w:rFonts w:cs="Arial"/>
                <w:i/>
                <w:iCs/>
                <w:sz w:val="18"/>
                <w:szCs w:val="18"/>
              </w:rPr>
              <w:t>200</w:t>
            </w:r>
            <w:r w:rsidRPr="00B043C8">
              <w:rPr>
                <w:rFonts w:cs="Arial"/>
                <w:sz w:val="18"/>
                <w:szCs w:val="18"/>
              </w:rPr>
              <w:t>, 123038. https://doi.org/10.1016/j.techfore.2023.123038</w:t>
            </w:r>
          </w:p>
          <w:p w14:paraId="588E45AD" w14:textId="77777777" w:rsidR="0078686D" w:rsidRPr="00B043C8" w:rsidRDefault="0078686D" w:rsidP="0078686D">
            <w:pPr>
              <w:pStyle w:val="af9"/>
              <w:spacing w:line="276" w:lineRule="auto"/>
              <w:rPr>
                <w:rFonts w:cs="Arial"/>
                <w:sz w:val="18"/>
                <w:szCs w:val="18"/>
              </w:rPr>
            </w:pPr>
            <w:r w:rsidRPr="00B043C8">
              <w:rPr>
                <w:rFonts w:cs="Arial"/>
                <w:sz w:val="18"/>
                <w:szCs w:val="18"/>
              </w:rPr>
              <w:t xml:space="preserve">John W. Creswell &amp; J. David Creswell. (2023). </w:t>
            </w:r>
            <w:r w:rsidRPr="00B043C8">
              <w:rPr>
                <w:rFonts w:cs="Arial"/>
                <w:i/>
                <w:iCs/>
                <w:sz w:val="18"/>
                <w:szCs w:val="18"/>
              </w:rPr>
              <w:t xml:space="preserve">Research design: Qualitative, quantitative, and mixed methods </w:t>
            </w:r>
            <w:proofErr w:type="gramStart"/>
            <w:r w:rsidRPr="00B043C8">
              <w:rPr>
                <w:rFonts w:cs="Arial"/>
                <w:i/>
                <w:iCs/>
                <w:sz w:val="18"/>
                <w:szCs w:val="18"/>
              </w:rPr>
              <w:t>approaches</w:t>
            </w:r>
            <w:proofErr w:type="gramEnd"/>
            <w:r w:rsidRPr="00B043C8">
              <w:rPr>
                <w:rFonts w:cs="Arial"/>
                <w:sz w:val="18"/>
                <w:szCs w:val="18"/>
              </w:rPr>
              <w:t xml:space="preserve"> (Sixth edition, international student edition). Sage.</w:t>
            </w:r>
          </w:p>
          <w:p w14:paraId="6513D2E4" w14:textId="77777777" w:rsidR="0078686D" w:rsidRPr="00B043C8" w:rsidRDefault="0078686D" w:rsidP="0078686D">
            <w:pPr>
              <w:pStyle w:val="af9"/>
              <w:spacing w:line="276" w:lineRule="auto"/>
              <w:rPr>
                <w:rFonts w:cs="Arial"/>
                <w:sz w:val="18"/>
                <w:szCs w:val="18"/>
              </w:rPr>
            </w:pPr>
            <w:r w:rsidRPr="00B043C8">
              <w:rPr>
                <w:rFonts w:cs="Arial"/>
                <w:sz w:val="18"/>
                <w:szCs w:val="18"/>
              </w:rPr>
              <w:t xml:space="preserve">Johnson, R. B., &amp; Onwuegbuzie, A. J. (2004). Mixed Methods Research: A Research Paradigm Whose Time Has Come. </w:t>
            </w:r>
            <w:r w:rsidRPr="00B043C8">
              <w:rPr>
                <w:rFonts w:cs="Arial"/>
                <w:i/>
                <w:iCs/>
                <w:sz w:val="18"/>
                <w:szCs w:val="18"/>
              </w:rPr>
              <w:t>Educational Researcher</w:t>
            </w:r>
            <w:r w:rsidRPr="00B043C8">
              <w:rPr>
                <w:rFonts w:cs="Arial"/>
                <w:sz w:val="18"/>
                <w:szCs w:val="18"/>
              </w:rPr>
              <w:t xml:space="preserve">, </w:t>
            </w:r>
            <w:r w:rsidRPr="00B043C8">
              <w:rPr>
                <w:rFonts w:cs="Arial"/>
                <w:i/>
                <w:iCs/>
                <w:sz w:val="18"/>
                <w:szCs w:val="18"/>
              </w:rPr>
              <w:t>33</w:t>
            </w:r>
            <w:r w:rsidRPr="00B043C8">
              <w:rPr>
                <w:rFonts w:cs="Arial"/>
                <w:sz w:val="18"/>
                <w:szCs w:val="18"/>
              </w:rPr>
              <w:t>(7), 14–26. https://doi.org/10.3102/0013189X033007014</w:t>
            </w:r>
          </w:p>
          <w:p w14:paraId="448E54E3" w14:textId="77777777" w:rsidR="0078686D" w:rsidRPr="00B043C8" w:rsidRDefault="0078686D" w:rsidP="0078686D">
            <w:pPr>
              <w:pStyle w:val="af9"/>
              <w:spacing w:line="276" w:lineRule="auto"/>
              <w:rPr>
                <w:rFonts w:cs="Arial"/>
                <w:sz w:val="18"/>
                <w:szCs w:val="18"/>
              </w:rPr>
            </w:pPr>
            <w:r w:rsidRPr="00B043C8">
              <w:rPr>
                <w:rFonts w:cs="Arial"/>
                <w:sz w:val="18"/>
                <w:szCs w:val="18"/>
              </w:rPr>
              <w:t xml:space="preserve">Joseph A. Maxwell. (2013). </w:t>
            </w:r>
            <w:r w:rsidRPr="00B043C8">
              <w:rPr>
                <w:rFonts w:cs="Arial"/>
                <w:i/>
                <w:iCs/>
                <w:sz w:val="18"/>
                <w:szCs w:val="18"/>
              </w:rPr>
              <w:t>Qualitative research design: An interactive approach</w:t>
            </w:r>
            <w:r w:rsidRPr="00B043C8">
              <w:rPr>
                <w:rFonts w:cs="Arial"/>
                <w:sz w:val="18"/>
                <w:szCs w:val="18"/>
              </w:rPr>
              <w:t xml:space="preserve"> (3rd edition). Sage.</w:t>
            </w:r>
          </w:p>
          <w:p w14:paraId="235B5D10" w14:textId="77777777" w:rsidR="0078686D" w:rsidRPr="00B043C8" w:rsidRDefault="0078686D" w:rsidP="0078686D">
            <w:pPr>
              <w:pStyle w:val="af9"/>
              <w:spacing w:line="276" w:lineRule="auto"/>
              <w:rPr>
                <w:rFonts w:cs="Arial"/>
                <w:sz w:val="18"/>
                <w:szCs w:val="18"/>
              </w:rPr>
            </w:pPr>
            <w:proofErr w:type="spellStart"/>
            <w:r w:rsidRPr="00B043C8">
              <w:rPr>
                <w:rFonts w:cs="Arial"/>
                <w:sz w:val="18"/>
                <w:szCs w:val="18"/>
              </w:rPr>
              <w:t>Kagermann</w:t>
            </w:r>
            <w:proofErr w:type="spellEnd"/>
            <w:r w:rsidRPr="00B043C8">
              <w:rPr>
                <w:rFonts w:cs="Arial"/>
                <w:sz w:val="18"/>
                <w:szCs w:val="18"/>
              </w:rPr>
              <w:t xml:space="preserve">, H., Lukas, W.D., &amp; </w:t>
            </w:r>
            <w:proofErr w:type="spellStart"/>
            <w:r w:rsidRPr="00B043C8">
              <w:rPr>
                <w:rFonts w:cs="Arial"/>
                <w:sz w:val="18"/>
                <w:szCs w:val="18"/>
              </w:rPr>
              <w:t>Wahlster</w:t>
            </w:r>
            <w:proofErr w:type="spellEnd"/>
            <w:r w:rsidRPr="00B043C8">
              <w:rPr>
                <w:rFonts w:cs="Arial"/>
                <w:sz w:val="18"/>
                <w:szCs w:val="18"/>
              </w:rPr>
              <w:t xml:space="preserve">, W. (2011). </w:t>
            </w:r>
            <w:proofErr w:type="spellStart"/>
            <w:r w:rsidRPr="00B043C8">
              <w:rPr>
                <w:rFonts w:cs="Arial"/>
                <w:sz w:val="18"/>
                <w:szCs w:val="18"/>
              </w:rPr>
              <w:t>Industrie</w:t>
            </w:r>
            <w:proofErr w:type="spellEnd"/>
            <w:r w:rsidRPr="00B043C8">
              <w:rPr>
                <w:rFonts w:cs="Arial"/>
                <w:sz w:val="18"/>
                <w:szCs w:val="18"/>
              </w:rPr>
              <w:t xml:space="preserve"> 4.0: </w:t>
            </w:r>
            <w:proofErr w:type="spellStart"/>
            <w:r w:rsidRPr="00B043C8">
              <w:rPr>
                <w:rFonts w:cs="Arial"/>
                <w:sz w:val="18"/>
                <w:szCs w:val="18"/>
              </w:rPr>
              <w:t>Mit</w:t>
            </w:r>
            <w:proofErr w:type="spellEnd"/>
            <w:r w:rsidRPr="00B043C8">
              <w:rPr>
                <w:rFonts w:cs="Arial"/>
                <w:sz w:val="18"/>
                <w:szCs w:val="18"/>
              </w:rPr>
              <w:t xml:space="preserve"> </w:t>
            </w:r>
            <w:proofErr w:type="spellStart"/>
            <w:r w:rsidRPr="00B043C8">
              <w:rPr>
                <w:rFonts w:cs="Arial"/>
                <w:sz w:val="18"/>
                <w:szCs w:val="18"/>
              </w:rPr>
              <w:t>dem</w:t>
            </w:r>
            <w:proofErr w:type="spellEnd"/>
            <w:r w:rsidRPr="00B043C8">
              <w:rPr>
                <w:rFonts w:cs="Arial"/>
                <w:sz w:val="18"/>
                <w:szCs w:val="18"/>
              </w:rPr>
              <w:t xml:space="preserve"> Internet der Dinge auf </w:t>
            </w:r>
            <w:proofErr w:type="spellStart"/>
            <w:r w:rsidRPr="00B043C8">
              <w:rPr>
                <w:rFonts w:cs="Arial"/>
                <w:sz w:val="18"/>
                <w:szCs w:val="18"/>
              </w:rPr>
              <w:t>dem</w:t>
            </w:r>
            <w:proofErr w:type="spellEnd"/>
            <w:r w:rsidRPr="00B043C8">
              <w:rPr>
                <w:rFonts w:cs="Arial"/>
                <w:sz w:val="18"/>
                <w:szCs w:val="18"/>
              </w:rPr>
              <w:t xml:space="preserve"> Weg </w:t>
            </w:r>
            <w:proofErr w:type="spellStart"/>
            <w:r w:rsidRPr="00B043C8">
              <w:rPr>
                <w:rFonts w:cs="Arial"/>
                <w:sz w:val="18"/>
                <w:szCs w:val="18"/>
              </w:rPr>
              <w:t>zur</w:t>
            </w:r>
            <w:proofErr w:type="spellEnd"/>
            <w:r w:rsidRPr="00B043C8">
              <w:rPr>
                <w:rFonts w:cs="Arial"/>
                <w:sz w:val="18"/>
                <w:szCs w:val="18"/>
              </w:rPr>
              <w:t xml:space="preserve"> 4. </w:t>
            </w:r>
            <w:proofErr w:type="spellStart"/>
            <w:r w:rsidRPr="00B043C8">
              <w:rPr>
                <w:rFonts w:cs="Arial"/>
                <w:i/>
                <w:iCs/>
                <w:sz w:val="18"/>
                <w:szCs w:val="18"/>
              </w:rPr>
              <w:t>Industriellen</w:t>
            </w:r>
            <w:proofErr w:type="spellEnd"/>
            <w:r w:rsidRPr="00B043C8">
              <w:rPr>
                <w:rFonts w:cs="Arial"/>
                <w:i/>
                <w:iCs/>
                <w:sz w:val="18"/>
                <w:szCs w:val="18"/>
              </w:rPr>
              <w:t xml:space="preserve"> Revolution. VDI </w:t>
            </w:r>
            <w:proofErr w:type="spellStart"/>
            <w:r w:rsidRPr="00B043C8">
              <w:rPr>
                <w:rFonts w:cs="Arial"/>
                <w:i/>
                <w:iCs/>
                <w:sz w:val="18"/>
                <w:szCs w:val="18"/>
              </w:rPr>
              <w:t>Nachrichten</w:t>
            </w:r>
            <w:proofErr w:type="spellEnd"/>
            <w:r w:rsidRPr="00B043C8">
              <w:rPr>
                <w:rFonts w:cs="Arial"/>
                <w:i/>
                <w:iCs/>
                <w:sz w:val="18"/>
                <w:szCs w:val="18"/>
              </w:rPr>
              <w:t>,</w:t>
            </w:r>
            <w:r w:rsidRPr="00B043C8">
              <w:rPr>
                <w:rFonts w:cs="Arial"/>
                <w:sz w:val="18"/>
                <w:szCs w:val="18"/>
              </w:rPr>
              <w:t xml:space="preserve"> </w:t>
            </w:r>
            <w:r w:rsidRPr="00B043C8">
              <w:rPr>
                <w:rFonts w:cs="Arial"/>
                <w:i/>
                <w:iCs/>
                <w:sz w:val="18"/>
                <w:szCs w:val="18"/>
              </w:rPr>
              <w:t>13</w:t>
            </w:r>
            <w:r w:rsidRPr="00B043C8">
              <w:rPr>
                <w:rFonts w:cs="Arial"/>
                <w:sz w:val="18"/>
                <w:szCs w:val="18"/>
              </w:rPr>
              <w:t>(1), 2–3.</w:t>
            </w:r>
          </w:p>
          <w:p w14:paraId="030DE511" w14:textId="77777777" w:rsidR="0078686D" w:rsidRPr="00B043C8" w:rsidRDefault="0078686D" w:rsidP="0078686D">
            <w:pPr>
              <w:pStyle w:val="af9"/>
              <w:spacing w:line="276" w:lineRule="auto"/>
              <w:rPr>
                <w:rFonts w:cs="Arial"/>
                <w:sz w:val="18"/>
                <w:szCs w:val="18"/>
              </w:rPr>
            </w:pPr>
            <w:r w:rsidRPr="00B043C8">
              <w:rPr>
                <w:rFonts w:cs="Arial"/>
                <w:sz w:val="18"/>
                <w:szCs w:val="18"/>
              </w:rPr>
              <w:t xml:space="preserve">King, N., Horrocks, C., &amp; Brooks, J. M. (2019). </w:t>
            </w:r>
            <w:r w:rsidRPr="00B043C8">
              <w:rPr>
                <w:rFonts w:cs="Arial"/>
                <w:i/>
                <w:iCs/>
                <w:sz w:val="18"/>
                <w:szCs w:val="18"/>
              </w:rPr>
              <w:t>Interviews in qualitative research</w:t>
            </w:r>
            <w:r w:rsidRPr="00B043C8">
              <w:rPr>
                <w:rFonts w:cs="Arial"/>
                <w:sz w:val="18"/>
                <w:szCs w:val="18"/>
              </w:rPr>
              <w:t xml:space="preserve"> (2nd edition). SAGE.</w:t>
            </w:r>
          </w:p>
          <w:p w14:paraId="47195DC5" w14:textId="77777777" w:rsidR="0078686D" w:rsidRPr="00B043C8" w:rsidRDefault="0078686D" w:rsidP="0078686D">
            <w:pPr>
              <w:pStyle w:val="af9"/>
              <w:spacing w:line="276" w:lineRule="auto"/>
              <w:rPr>
                <w:rFonts w:cs="Arial"/>
                <w:sz w:val="18"/>
                <w:szCs w:val="18"/>
              </w:rPr>
            </w:pPr>
            <w:r w:rsidRPr="00B043C8">
              <w:rPr>
                <w:rFonts w:cs="Arial"/>
                <w:sz w:val="18"/>
                <w:szCs w:val="18"/>
              </w:rPr>
              <w:t xml:space="preserve">Li, L., Tong, Y., Wei, L., &amp; Yang, S. (2022). Digital technology-enabled dynamic capabilities and their impacts on firm performance: Evidence from the COVID-19 pandemic. </w:t>
            </w:r>
            <w:r w:rsidRPr="00B043C8">
              <w:rPr>
                <w:rFonts w:cs="Arial"/>
                <w:i/>
                <w:iCs/>
                <w:sz w:val="18"/>
                <w:szCs w:val="18"/>
              </w:rPr>
              <w:t>Information &amp; Management</w:t>
            </w:r>
            <w:r w:rsidRPr="00B043C8">
              <w:rPr>
                <w:rFonts w:cs="Arial"/>
                <w:sz w:val="18"/>
                <w:szCs w:val="18"/>
              </w:rPr>
              <w:t xml:space="preserve">, </w:t>
            </w:r>
            <w:r w:rsidRPr="00B043C8">
              <w:rPr>
                <w:rFonts w:cs="Arial"/>
                <w:i/>
                <w:iCs/>
                <w:sz w:val="18"/>
                <w:szCs w:val="18"/>
              </w:rPr>
              <w:t>59</w:t>
            </w:r>
            <w:r w:rsidRPr="00B043C8">
              <w:rPr>
                <w:rFonts w:cs="Arial"/>
                <w:sz w:val="18"/>
                <w:szCs w:val="18"/>
              </w:rPr>
              <w:t>(8), 103689. https://doi.org/10.1016/j.im.2022.103689</w:t>
            </w:r>
          </w:p>
          <w:p w14:paraId="332F28EF" w14:textId="77777777" w:rsidR="0078686D" w:rsidRPr="00B043C8" w:rsidRDefault="0078686D" w:rsidP="0078686D">
            <w:pPr>
              <w:pStyle w:val="af9"/>
              <w:spacing w:line="276" w:lineRule="auto"/>
              <w:rPr>
                <w:rFonts w:cs="Arial"/>
                <w:sz w:val="18"/>
                <w:szCs w:val="18"/>
              </w:rPr>
            </w:pPr>
            <w:r w:rsidRPr="00B043C8">
              <w:rPr>
                <w:rFonts w:cs="Arial"/>
                <w:sz w:val="18"/>
                <w:szCs w:val="18"/>
              </w:rPr>
              <w:t xml:space="preserve">Liu, C., Li, H., Tang, Y., Lin, D., &amp; Liu, J. (2019). Next generation integrated smart manufacturing based on big data analytics, reinforced learning, and optimal routes planning methods. </w:t>
            </w:r>
            <w:r w:rsidRPr="00B043C8">
              <w:rPr>
                <w:rFonts w:cs="Arial"/>
                <w:i/>
                <w:iCs/>
                <w:sz w:val="18"/>
                <w:szCs w:val="18"/>
              </w:rPr>
              <w:t>International Journal of Computer Integrated Manufacturing</w:t>
            </w:r>
            <w:r w:rsidRPr="00B043C8">
              <w:rPr>
                <w:rFonts w:cs="Arial"/>
                <w:sz w:val="18"/>
                <w:szCs w:val="18"/>
              </w:rPr>
              <w:t xml:space="preserve">, </w:t>
            </w:r>
            <w:r w:rsidRPr="00B043C8">
              <w:rPr>
                <w:rFonts w:cs="Arial"/>
                <w:i/>
                <w:iCs/>
                <w:sz w:val="18"/>
                <w:szCs w:val="18"/>
              </w:rPr>
              <w:t>32</w:t>
            </w:r>
            <w:r w:rsidRPr="00B043C8">
              <w:rPr>
                <w:rFonts w:cs="Arial"/>
                <w:sz w:val="18"/>
                <w:szCs w:val="18"/>
              </w:rPr>
              <w:t>(9), Article 9. BDA. https://doi.org/10.1080/0951192X.2019.1636412</w:t>
            </w:r>
          </w:p>
          <w:p w14:paraId="3342258D" w14:textId="77777777" w:rsidR="0078686D" w:rsidRPr="00B043C8" w:rsidRDefault="0078686D" w:rsidP="0078686D">
            <w:pPr>
              <w:pStyle w:val="af9"/>
              <w:spacing w:line="276" w:lineRule="auto"/>
              <w:rPr>
                <w:rFonts w:cs="Arial"/>
                <w:sz w:val="18"/>
                <w:szCs w:val="18"/>
              </w:rPr>
            </w:pPr>
            <w:proofErr w:type="spellStart"/>
            <w:r w:rsidRPr="00B043C8">
              <w:rPr>
                <w:rFonts w:cs="Arial"/>
                <w:sz w:val="18"/>
                <w:szCs w:val="18"/>
              </w:rPr>
              <w:t>Llopis</w:t>
            </w:r>
            <w:proofErr w:type="spellEnd"/>
            <w:r w:rsidRPr="00B043C8">
              <w:rPr>
                <w:rFonts w:cs="Arial"/>
                <w:sz w:val="18"/>
                <w:szCs w:val="18"/>
              </w:rPr>
              <w:t xml:space="preserve">-Albert, C., Rubio, F., &amp; Valero, F. (2021). Impact of digital transformation on the automotive industry. </w:t>
            </w:r>
            <w:r w:rsidRPr="00B043C8">
              <w:rPr>
                <w:rFonts w:cs="Arial"/>
                <w:i/>
                <w:iCs/>
                <w:sz w:val="18"/>
                <w:szCs w:val="18"/>
              </w:rPr>
              <w:t>Technological Forecasting and Social Change</w:t>
            </w:r>
            <w:r w:rsidRPr="00B043C8">
              <w:rPr>
                <w:rFonts w:cs="Arial"/>
                <w:sz w:val="18"/>
                <w:szCs w:val="18"/>
              </w:rPr>
              <w:t xml:space="preserve">, </w:t>
            </w:r>
            <w:r w:rsidRPr="00B043C8">
              <w:rPr>
                <w:rFonts w:cs="Arial"/>
                <w:i/>
                <w:iCs/>
                <w:sz w:val="18"/>
                <w:szCs w:val="18"/>
              </w:rPr>
              <w:t>162</w:t>
            </w:r>
            <w:r w:rsidRPr="00B043C8">
              <w:rPr>
                <w:rFonts w:cs="Arial"/>
                <w:sz w:val="18"/>
                <w:szCs w:val="18"/>
              </w:rPr>
              <w:t>, 120343. https://doi.org/10.1016/j.techfore.2020.120343</w:t>
            </w:r>
          </w:p>
          <w:p w14:paraId="0BA76C11" w14:textId="77777777" w:rsidR="0078686D" w:rsidRPr="00B043C8" w:rsidRDefault="0078686D" w:rsidP="0078686D">
            <w:pPr>
              <w:pStyle w:val="af9"/>
              <w:spacing w:line="276" w:lineRule="auto"/>
              <w:rPr>
                <w:rFonts w:cs="Arial"/>
                <w:sz w:val="18"/>
                <w:szCs w:val="18"/>
              </w:rPr>
            </w:pPr>
            <w:r w:rsidRPr="00B043C8">
              <w:rPr>
                <w:rFonts w:cs="Arial"/>
                <w:sz w:val="18"/>
                <w:szCs w:val="18"/>
              </w:rPr>
              <w:t xml:space="preserve">Maguire, M., &amp; Delahunt, B. (2017). </w:t>
            </w:r>
            <w:r w:rsidRPr="00B043C8">
              <w:rPr>
                <w:rFonts w:cs="Arial"/>
                <w:i/>
                <w:iCs/>
                <w:sz w:val="18"/>
                <w:szCs w:val="18"/>
              </w:rPr>
              <w:t>Doing a Thematic Analysis: A Practical, Step-by-Step Guide for Learning and Teaching Scholars.</w:t>
            </w:r>
            <w:r w:rsidRPr="00B043C8">
              <w:rPr>
                <w:rFonts w:cs="Arial"/>
                <w:sz w:val="18"/>
                <w:szCs w:val="18"/>
              </w:rPr>
              <w:t xml:space="preserve"> </w:t>
            </w:r>
            <w:r w:rsidRPr="00B043C8">
              <w:rPr>
                <w:rFonts w:cs="Arial"/>
                <w:i/>
                <w:iCs/>
                <w:sz w:val="18"/>
                <w:szCs w:val="18"/>
              </w:rPr>
              <w:t>8</w:t>
            </w:r>
            <w:r w:rsidRPr="00B043C8">
              <w:rPr>
                <w:rFonts w:cs="Arial"/>
                <w:sz w:val="18"/>
                <w:szCs w:val="18"/>
              </w:rPr>
              <w:t>(3).</w:t>
            </w:r>
          </w:p>
          <w:p w14:paraId="30E9737C" w14:textId="77777777" w:rsidR="0078686D" w:rsidRPr="00B043C8" w:rsidRDefault="0078686D" w:rsidP="0078686D">
            <w:pPr>
              <w:pStyle w:val="af9"/>
              <w:spacing w:line="276" w:lineRule="auto"/>
              <w:rPr>
                <w:rFonts w:cs="Arial"/>
                <w:sz w:val="18"/>
                <w:szCs w:val="18"/>
              </w:rPr>
            </w:pPr>
            <w:r w:rsidRPr="00B043C8">
              <w:rPr>
                <w:rFonts w:cs="Arial"/>
                <w:sz w:val="18"/>
                <w:szCs w:val="18"/>
              </w:rPr>
              <w:t xml:space="preserve">Malik, H., Chaudhary, G., &amp; Srivastava, S. (2022). Digital transformation through advances in artificial intelligence and machine learning. </w:t>
            </w:r>
            <w:r w:rsidRPr="00B043C8">
              <w:rPr>
                <w:rFonts w:cs="Arial"/>
                <w:i/>
                <w:iCs/>
                <w:sz w:val="18"/>
                <w:szCs w:val="18"/>
              </w:rPr>
              <w:t>Journal of Intelligent &amp; Fuzzy Systems</w:t>
            </w:r>
            <w:r w:rsidRPr="00B043C8">
              <w:rPr>
                <w:rFonts w:cs="Arial"/>
                <w:sz w:val="18"/>
                <w:szCs w:val="18"/>
              </w:rPr>
              <w:t xml:space="preserve">, </w:t>
            </w:r>
            <w:r w:rsidRPr="00B043C8">
              <w:rPr>
                <w:rFonts w:cs="Arial"/>
                <w:i/>
                <w:iCs/>
                <w:sz w:val="18"/>
                <w:szCs w:val="18"/>
              </w:rPr>
              <w:t>42</w:t>
            </w:r>
            <w:r w:rsidRPr="00B043C8">
              <w:rPr>
                <w:rFonts w:cs="Arial"/>
                <w:sz w:val="18"/>
                <w:szCs w:val="18"/>
              </w:rPr>
              <w:t>(2), 615–622. ML. https://doi.org/10.3233/JIFS-189787</w:t>
            </w:r>
          </w:p>
          <w:p w14:paraId="07003571" w14:textId="77777777" w:rsidR="0078686D" w:rsidRPr="00B043C8" w:rsidRDefault="0078686D" w:rsidP="0078686D">
            <w:pPr>
              <w:pStyle w:val="af9"/>
              <w:spacing w:line="276" w:lineRule="auto"/>
              <w:rPr>
                <w:rFonts w:cs="Arial"/>
                <w:sz w:val="18"/>
                <w:szCs w:val="18"/>
              </w:rPr>
            </w:pPr>
            <w:r w:rsidRPr="00B043C8">
              <w:rPr>
                <w:rFonts w:cs="Arial"/>
                <w:sz w:val="18"/>
                <w:szCs w:val="18"/>
              </w:rPr>
              <w:t xml:space="preserve">Matsunaga, M. (2024). </w:t>
            </w:r>
            <w:r w:rsidRPr="00B043C8">
              <w:rPr>
                <w:rFonts w:cs="Arial"/>
                <w:i/>
                <w:iCs/>
                <w:sz w:val="18"/>
                <w:szCs w:val="18"/>
              </w:rPr>
              <w:t>Employee Uncertainty Over Digital Transformation: Mechanisms and Solutions</w:t>
            </w:r>
            <w:r w:rsidRPr="00B043C8">
              <w:rPr>
                <w:rFonts w:cs="Arial"/>
                <w:sz w:val="18"/>
                <w:szCs w:val="18"/>
              </w:rPr>
              <w:t>. Springer Nature Singapore. https://doi.org/10.1007/978-981-99-8409-1</w:t>
            </w:r>
          </w:p>
          <w:p w14:paraId="2E0ED7EA" w14:textId="77777777" w:rsidR="0078686D" w:rsidRPr="00B043C8" w:rsidRDefault="0078686D" w:rsidP="0078686D">
            <w:pPr>
              <w:pStyle w:val="af9"/>
              <w:spacing w:line="276" w:lineRule="auto"/>
              <w:rPr>
                <w:rFonts w:cs="Arial"/>
                <w:sz w:val="18"/>
                <w:szCs w:val="18"/>
              </w:rPr>
            </w:pPr>
            <w:r w:rsidRPr="00B043C8">
              <w:rPr>
                <w:rFonts w:cs="Arial"/>
                <w:sz w:val="18"/>
                <w:szCs w:val="18"/>
              </w:rPr>
              <w:t xml:space="preserve">Mazur, C., Hall, S., Hardy, J., &amp; Workman, M. (2019). Technology is not a Barrier: A Survey of Energy System Technologies Required for Innovative Electricity Business Models Driving the Low Carbon Energy Revolution. </w:t>
            </w:r>
            <w:r w:rsidRPr="00B043C8">
              <w:rPr>
                <w:rFonts w:cs="Arial"/>
                <w:i/>
                <w:iCs/>
                <w:sz w:val="18"/>
                <w:szCs w:val="18"/>
              </w:rPr>
              <w:t>Energies</w:t>
            </w:r>
            <w:r w:rsidRPr="00B043C8">
              <w:rPr>
                <w:rFonts w:cs="Arial"/>
                <w:sz w:val="18"/>
                <w:szCs w:val="18"/>
              </w:rPr>
              <w:t xml:space="preserve">, </w:t>
            </w:r>
            <w:r w:rsidRPr="00B043C8">
              <w:rPr>
                <w:rFonts w:cs="Arial"/>
                <w:i/>
                <w:iCs/>
                <w:sz w:val="18"/>
                <w:szCs w:val="18"/>
              </w:rPr>
              <w:t>12</w:t>
            </w:r>
            <w:r w:rsidRPr="00B043C8">
              <w:rPr>
                <w:rFonts w:cs="Arial"/>
                <w:sz w:val="18"/>
                <w:szCs w:val="18"/>
              </w:rPr>
              <w:t>(3), 428. https://doi.org/10.3390/en12030428</w:t>
            </w:r>
          </w:p>
          <w:p w14:paraId="0A7DF7C4" w14:textId="77777777" w:rsidR="0078686D" w:rsidRPr="00B043C8" w:rsidRDefault="0078686D" w:rsidP="0078686D">
            <w:pPr>
              <w:pStyle w:val="af9"/>
              <w:spacing w:line="276" w:lineRule="auto"/>
              <w:rPr>
                <w:rFonts w:cs="Arial"/>
                <w:sz w:val="18"/>
                <w:szCs w:val="18"/>
              </w:rPr>
            </w:pPr>
            <w:proofErr w:type="spellStart"/>
            <w:r w:rsidRPr="00B043C8">
              <w:rPr>
                <w:rFonts w:cs="Arial"/>
                <w:sz w:val="18"/>
                <w:szCs w:val="18"/>
              </w:rPr>
              <w:t>Muhic</w:t>
            </w:r>
            <w:proofErr w:type="spellEnd"/>
            <w:r w:rsidRPr="00B043C8">
              <w:rPr>
                <w:rFonts w:cs="Arial"/>
                <w:sz w:val="18"/>
                <w:szCs w:val="18"/>
              </w:rPr>
              <w:t xml:space="preserve">, M., Bengtsson, L., &amp; </w:t>
            </w:r>
            <w:proofErr w:type="spellStart"/>
            <w:r w:rsidRPr="00B043C8">
              <w:rPr>
                <w:rFonts w:cs="Arial"/>
                <w:sz w:val="18"/>
                <w:szCs w:val="18"/>
              </w:rPr>
              <w:t>Holmström</w:t>
            </w:r>
            <w:proofErr w:type="spellEnd"/>
            <w:r w:rsidRPr="00B043C8">
              <w:rPr>
                <w:rFonts w:cs="Arial"/>
                <w:sz w:val="18"/>
                <w:szCs w:val="18"/>
              </w:rPr>
              <w:t xml:space="preserve">, J. (2023). Barriers to continuance use of cloud computing: Evidence from two case studies. </w:t>
            </w:r>
            <w:r w:rsidRPr="00B043C8">
              <w:rPr>
                <w:rFonts w:cs="Arial"/>
                <w:i/>
                <w:iCs/>
                <w:sz w:val="18"/>
                <w:szCs w:val="18"/>
              </w:rPr>
              <w:t>Information &amp; Management</w:t>
            </w:r>
            <w:r w:rsidRPr="00B043C8">
              <w:rPr>
                <w:rFonts w:cs="Arial"/>
                <w:sz w:val="18"/>
                <w:szCs w:val="18"/>
              </w:rPr>
              <w:t xml:space="preserve">, </w:t>
            </w:r>
            <w:r w:rsidRPr="00B043C8">
              <w:rPr>
                <w:rFonts w:cs="Arial"/>
                <w:i/>
                <w:iCs/>
                <w:sz w:val="18"/>
                <w:szCs w:val="18"/>
              </w:rPr>
              <w:t>60</w:t>
            </w:r>
            <w:r w:rsidRPr="00B043C8">
              <w:rPr>
                <w:rFonts w:cs="Arial"/>
                <w:sz w:val="18"/>
                <w:szCs w:val="18"/>
              </w:rPr>
              <w:t>(5), 103792. Cloud. https://doi.org/10.1016/j.im.2023.103792</w:t>
            </w:r>
          </w:p>
          <w:p w14:paraId="1D96BFD2" w14:textId="77777777" w:rsidR="0078686D" w:rsidRPr="00B043C8" w:rsidRDefault="0078686D" w:rsidP="0078686D">
            <w:pPr>
              <w:pStyle w:val="af9"/>
              <w:spacing w:line="276" w:lineRule="auto"/>
              <w:rPr>
                <w:rFonts w:cs="Arial"/>
                <w:sz w:val="18"/>
                <w:szCs w:val="18"/>
              </w:rPr>
            </w:pPr>
            <w:r w:rsidRPr="00B043C8">
              <w:rPr>
                <w:rFonts w:cs="Arial"/>
                <w:sz w:val="18"/>
                <w:szCs w:val="18"/>
              </w:rPr>
              <w:t xml:space="preserve">Ormerod, R. (2006). The history and ideas of pragmatism. </w:t>
            </w:r>
            <w:r w:rsidRPr="00B043C8">
              <w:rPr>
                <w:rFonts w:cs="Arial"/>
                <w:i/>
                <w:iCs/>
                <w:sz w:val="18"/>
                <w:szCs w:val="18"/>
              </w:rPr>
              <w:t>Journal of the Operational Research Society</w:t>
            </w:r>
            <w:r w:rsidRPr="00B043C8">
              <w:rPr>
                <w:rFonts w:cs="Arial"/>
                <w:sz w:val="18"/>
                <w:szCs w:val="18"/>
              </w:rPr>
              <w:t xml:space="preserve">, </w:t>
            </w:r>
            <w:r w:rsidRPr="00B043C8">
              <w:rPr>
                <w:rFonts w:cs="Arial"/>
                <w:i/>
                <w:iCs/>
                <w:sz w:val="18"/>
                <w:szCs w:val="18"/>
              </w:rPr>
              <w:t>57</w:t>
            </w:r>
            <w:r w:rsidRPr="00B043C8">
              <w:rPr>
                <w:rFonts w:cs="Arial"/>
                <w:sz w:val="18"/>
                <w:szCs w:val="18"/>
              </w:rPr>
              <w:t>(8), 892–909. https://doi.org/10.1057/palgrave.jors.2602065</w:t>
            </w:r>
          </w:p>
          <w:p w14:paraId="3B4995CF" w14:textId="77777777" w:rsidR="0078686D" w:rsidRPr="00B043C8" w:rsidRDefault="0078686D" w:rsidP="0078686D">
            <w:pPr>
              <w:pStyle w:val="af9"/>
              <w:spacing w:line="276" w:lineRule="auto"/>
              <w:rPr>
                <w:rFonts w:cs="Arial"/>
                <w:sz w:val="18"/>
                <w:szCs w:val="18"/>
              </w:rPr>
            </w:pPr>
            <w:proofErr w:type="spellStart"/>
            <w:r w:rsidRPr="00B043C8">
              <w:rPr>
                <w:rFonts w:cs="Arial"/>
                <w:sz w:val="18"/>
                <w:szCs w:val="18"/>
              </w:rPr>
              <w:t>Paiola</w:t>
            </w:r>
            <w:proofErr w:type="spellEnd"/>
            <w:r w:rsidRPr="00B043C8">
              <w:rPr>
                <w:rFonts w:cs="Arial"/>
                <w:sz w:val="18"/>
                <w:szCs w:val="18"/>
              </w:rPr>
              <w:t xml:space="preserve">, M., Agostini, L., </w:t>
            </w:r>
            <w:proofErr w:type="spellStart"/>
            <w:r w:rsidRPr="00B043C8">
              <w:rPr>
                <w:rFonts w:cs="Arial"/>
                <w:sz w:val="18"/>
                <w:szCs w:val="18"/>
              </w:rPr>
              <w:t>Grandinetti</w:t>
            </w:r>
            <w:proofErr w:type="spellEnd"/>
            <w:r w:rsidRPr="00B043C8">
              <w:rPr>
                <w:rFonts w:cs="Arial"/>
                <w:sz w:val="18"/>
                <w:szCs w:val="18"/>
              </w:rPr>
              <w:t xml:space="preserve">, R., &amp; </w:t>
            </w:r>
            <w:proofErr w:type="spellStart"/>
            <w:r w:rsidRPr="00B043C8">
              <w:rPr>
                <w:rFonts w:cs="Arial"/>
                <w:sz w:val="18"/>
                <w:szCs w:val="18"/>
              </w:rPr>
              <w:t>Nosella</w:t>
            </w:r>
            <w:proofErr w:type="spellEnd"/>
            <w:r w:rsidRPr="00B043C8">
              <w:rPr>
                <w:rFonts w:cs="Arial"/>
                <w:sz w:val="18"/>
                <w:szCs w:val="18"/>
              </w:rPr>
              <w:t xml:space="preserve">, A. (2022). The process of business model innovation driven by IoT: Exploring the case of incumbent SMEs. </w:t>
            </w:r>
            <w:r w:rsidRPr="00B043C8">
              <w:rPr>
                <w:rFonts w:cs="Arial"/>
                <w:i/>
                <w:iCs/>
                <w:sz w:val="18"/>
                <w:szCs w:val="18"/>
              </w:rPr>
              <w:t>Industrial Marketing Management</w:t>
            </w:r>
            <w:r w:rsidRPr="00B043C8">
              <w:rPr>
                <w:rFonts w:cs="Arial"/>
                <w:sz w:val="18"/>
                <w:szCs w:val="18"/>
              </w:rPr>
              <w:t xml:space="preserve">, </w:t>
            </w:r>
            <w:r w:rsidRPr="00B043C8">
              <w:rPr>
                <w:rFonts w:cs="Arial"/>
                <w:i/>
                <w:iCs/>
                <w:sz w:val="18"/>
                <w:szCs w:val="18"/>
              </w:rPr>
              <w:t>103</w:t>
            </w:r>
            <w:r w:rsidRPr="00B043C8">
              <w:rPr>
                <w:rFonts w:cs="Arial"/>
                <w:sz w:val="18"/>
                <w:szCs w:val="18"/>
              </w:rPr>
              <w:t xml:space="preserve">, 30–46. </w:t>
            </w:r>
            <w:proofErr w:type="spellStart"/>
            <w:r w:rsidRPr="00B043C8">
              <w:rPr>
                <w:rFonts w:cs="Arial"/>
                <w:sz w:val="18"/>
                <w:szCs w:val="18"/>
              </w:rPr>
              <w:t>Iot</w:t>
            </w:r>
            <w:proofErr w:type="spellEnd"/>
            <w:r w:rsidRPr="00B043C8">
              <w:rPr>
                <w:rFonts w:cs="Arial"/>
                <w:sz w:val="18"/>
                <w:szCs w:val="18"/>
              </w:rPr>
              <w:t>. https://doi.org/10.1016/j.indmarman.2022.03.006</w:t>
            </w:r>
          </w:p>
          <w:p w14:paraId="1104FAB9" w14:textId="77777777" w:rsidR="0078686D" w:rsidRPr="00B043C8" w:rsidRDefault="0078686D" w:rsidP="0078686D">
            <w:pPr>
              <w:pStyle w:val="af9"/>
              <w:spacing w:line="276" w:lineRule="auto"/>
              <w:rPr>
                <w:rFonts w:cs="Arial"/>
                <w:sz w:val="18"/>
                <w:szCs w:val="18"/>
              </w:rPr>
            </w:pPr>
            <w:r w:rsidRPr="00B043C8">
              <w:rPr>
                <w:rFonts w:cs="Arial"/>
                <w:sz w:val="18"/>
                <w:szCs w:val="18"/>
              </w:rPr>
              <w:t xml:space="preserve">Paul, T., Islam, N., Mondal, S., &amp; </w:t>
            </w:r>
            <w:proofErr w:type="spellStart"/>
            <w:r w:rsidRPr="00B043C8">
              <w:rPr>
                <w:rFonts w:cs="Arial"/>
                <w:sz w:val="18"/>
                <w:szCs w:val="18"/>
              </w:rPr>
              <w:t>Rakshit</w:t>
            </w:r>
            <w:proofErr w:type="spellEnd"/>
            <w:r w:rsidRPr="00B043C8">
              <w:rPr>
                <w:rFonts w:cs="Arial"/>
                <w:sz w:val="18"/>
                <w:szCs w:val="18"/>
              </w:rPr>
              <w:t xml:space="preserve">, S. (2022). RFID-integrated blockchain-driven circular supply chain management: A system architecture for B2B tea industry. </w:t>
            </w:r>
            <w:r w:rsidRPr="00B043C8">
              <w:rPr>
                <w:rFonts w:cs="Arial"/>
                <w:i/>
                <w:iCs/>
                <w:sz w:val="18"/>
                <w:szCs w:val="18"/>
              </w:rPr>
              <w:t>Industrial Marketing Management</w:t>
            </w:r>
            <w:r w:rsidRPr="00B043C8">
              <w:rPr>
                <w:rFonts w:cs="Arial"/>
                <w:sz w:val="18"/>
                <w:szCs w:val="18"/>
              </w:rPr>
              <w:t xml:space="preserve">, </w:t>
            </w:r>
            <w:r w:rsidRPr="00B043C8">
              <w:rPr>
                <w:rFonts w:cs="Arial"/>
                <w:i/>
                <w:iCs/>
                <w:sz w:val="18"/>
                <w:szCs w:val="18"/>
              </w:rPr>
              <w:t>101</w:t>
            </w:r>
            <w:r w:rsidRPr="00B043C8">
              <w:rPr>
                <w:rFonts w:cs="Arial"/>
                <w:sz w:val="18"/>
                <w:szCs w:val="18"/>
              </w:rPr>
              <w:t xml:space="preserve">, 238–257. </w:t>
            </w:r>
            <w:proofErr w:type="spellStart"/>
            <w:r w:rsidRPr="00B043C8">
              <w:rPr>
                <w:rFonts w:cs="Arial"/>
                <w:sz w:val="18"/>
                <w:szCs w:val="18"/>
              </w:rPr>
              <w:t>Iot</w:t>
            </w:r>
            <w:proofErr w:type="spellEnd"/>
            <w:r w:rsidRPr="00B043C8">
              <w:rPr>
                <w:rFonts w:cs="Arial"/>
                <w:sz w:val="18"/>
                <w:szCs w:val="18"/>
              </w:rPr>
              <w:t>. https://doi.org/10.1016/j.indmarman.2021.12.003</w:t>
            </w:r>
          </w:p>
          <w:p w14:paraId="07133A7E" w14:textId="77777777" w:rsidR="0078686D" w:rsidRPr="00B043C8" w:rsidRDefault="0078686D" w:rsidP="0078686D">
            <w:pPr>
              <w:pStyle w:val="af9"/>
              <w:spacing w:line="276" w:lineRule="auto"/>
              <w:rPr>
                <w:rFonts w:cs="Arial"/>
                <w:sz w:val="18"/>
                <w:szCs w:val="18"/>
              </w:rPr>
            </w:pPr>
            <w:r w:rsidRPr="00B043C8">
              <w:rPr>
                <w:rFonts w:cs="Arial"/>
                <w:sz w:val="18"/>
                <w:szCs w:val="18"/>
              </w:rPr>
              <w:t xml:space="preserve">Peillon, S., &amp; </w:t>
            </w:r>
            <w:proofErr w:type="spellStart"/>
            <w:r w:rsidRPr="00B043C8">
              <w:rPr>
                <w:rFonts w:cs="Arial"/>
                <w:sz w:val="18"/>
                <w:szCs w:val="18"/>
              </w:rPr>
              <w:t>Dubruc</w:t>
            </w:r>
            <w:proofErr w:type="spellEnd"/>
            <w:r w:rsidRPr="00B043C8">
              <w:rPr>
                <w:rFonts w:cs="Arial"/>
                <w:sz w:val="18"/>
                <w:szCs w:val="18"/>
              </w:rPr>
              <w:t xml:space="preserve">, N. (2019). Barriers to digital </w:t>
            </w:r>
            <w:proofErr w:type="spellStart"/>
            <w:r w:rsidRPr="00B043C8">
              <w:rPr>
                <w:rFonts w:cs="Arial"/>
                <w:sz w:val="18"/>
                <w:szCs w:val="18"/>
              </w:rPr>
              <w:t>servitization</w:t>
            </w:r>
            <w:proofErr w:type="spellEnd"/>
            <w:r w:rsidRPr="00B043C8">
              <w:rPr>
                <w:rFonts w:cs="Arial"/>
                <w:sz w:val="18"/>
                <w:szCs w:val="18"/>
              </w:rPr>
              <w:t xml:space="preserve"> in French manufacturing SMEs. </w:t>
            </w:r>
            <w:r w:rsidRPr="00B043C8">
              <w:rPr>
                <w:rFonts w:cs="Arial"/>
                <w:i/>
                <w:iCs/>
                <w:sz w:val="18"/>
                <w:szCs w:val="18"/>
              </w:rPr>
              <w:t>Procedia CIRP</w:t>
            </w:r>
            <w:r w:rsidRPr="00B043C8">
              <w:rPr>
                <w:rFonts w:cs="Arial"/>
                <w:sz w:val="18"/>
                <w:szCs w:val="18"/>
              </w:rPr>
              <w:t xml:space="preserve">, </w:t>
            </w:r>
            <w:r w:rsidRPr="00B043C8">
              <w:rPr>
                <w:rFonts w:cs="Arial"/>
                <w:i/>
                <w:iCs/>
                <w:sz w:val="18"/>
                <w:szCs w:val="18"/>
              </w:rPr>
              <w:t>83</w:t>
            </w:r>
            <w:r w:rsidRPr="00B043C8">
              <w:rPr>
                <w:rFonts w:cs="Arial"/>
                <w:sz w:val="18"/>
                <w:szCs w:val="18"/>
              </w:rPr>
              <w:t>, 146–150. https://doi.org/10.1016/j.procir.2019.04.008</w:t>
            </w:r>
          </w:p>
          <w:p w14:paraId="07B7987E" w14:textId="77777777" w:rsidR="0078686D" w:rsidRPr="00B043C8" w:rsidRDefault="0078686D" w:rsidP="0078686D">
            <w:pPr>
              <w:pStyle w:val="af9"/>
              <w:spacing w:line="276" w:lineRule="auto"/>
              <w:rPr>
                <w:rFonts w:cs="Arial"/>
                <w:sz w:val="18"/>
                <w:szCs w:val="18"/>
              </w:rPr>
            </w:pPr>
            <w:proofErr w:type="spellStart"/>
            <w:r w:rsidRPr="00B043C8">
              <w:rPr>
                <w:rFonts w:cs="Arial"/>
                <w:sz w:val="18"/>
                <w:szCs w:val="18"/>
              </w:rPr>
              <w:lastRenderedPageBreak/>
              <w:t>Perno</w:t>
            </w:r>
            <w:proofErr w:type="spellEnd"/>
            <w:r w:rsidRPr="00B043C8">
              <w:rPr>
                <w:rFonts w:cs="Arial"/>
                <w:sz w:val="18"/>
                <w:szCs w:val="18"/>
              </w:rPr>
              <w:t xml:space="preserve">, M., </w:t>
            </w:r>
            <w:proofErr w:type="spellStart"/>
            <w:r w:rsidRPr="00B043C8">
              <w:rPr>
                <w:rFonts w:cs="Arial"/>
                <w:sz w:val="18"/>
                <w:szCs w:val="18"/>
              </w:rPr>
              <w:t>Hvam</w:t>
            </w:r>
            <w:proofErr w:type="spellEnd"/>
            <w:r w:rsidRPr="00B043C8">
              <w:rPr>
                <w:rFonts w:cs="Arial"/>
                <w:sz w:val="18"/>
                <w:szCs w:val="18"/>
              </w:rPr>
              <w:t xml:space="preserve">, L., &amp; </w:t>
            </w:r>
            <w:proofErr w:type="spellStart"/>
            <w:r w:rsidRPr="00B043C8">
              <w:rPr>
                <w:rFonts w:cs="Arial"/>
                <w:sz w:val="18"/>
                <w:szCs w:val="18"/>
              </w:rPr>
              <w:t>Haug</w:t>
            </w:r>
            <w:proofErr w:type="spellEnd"/>
            <w:r w:rsidRPr="00B043C8">
              <w:rPr>
                <w:rFonts w:cs="Arial"/>
                <w:sz w:val="18"/>
                <w:szCs w:val="18"/>
              </w:rPr>
              <w:t xml:space="preserve">, A. (2022). Implementation of digital twins in the process industry: A systematic literature review of enablers and barriers. </w:t>
            </w:r>
            <w:r w:rsidRPr="00B043C8">
              <w:rPr>
                <w:rFonts w:cs="Arial"/>
                <w:i/>
                <w:iCs/>
                <w:sz w:val="18"/>
                <w:szCs w:val="18"/>
              </w:rPr>
              <w:t>Computers in Industry</w:t>
            </w:r>
            <w:r w:rsidRPr="00B043C8">
              <w:rPr>
                <w:rFonts w:cs="Arial"/>
                <w:sz w:val="18"/>
                <w:szCs w:val="18"/>
              </w:rPr>
              <w:t xml:space="preserve">, </w:t>
            </w:r>
            <w:r w:rsidRPr="00B043C8">
              <w:rPr>
                <w:rFonts w:cs="Arial"/>
                <w:i/>
                <w:iCs/>
                <w:sz w:val="18"/>
                <w:szCs w:val="18"/>
              </w:rPr>
              <w:t>134</w:t>
            </w:r>
            <w:r w:rsidRPr="00B043C8">
              <w:rPr>
                <w:rFonts w:cs="Arial"/>
                <w:sz w:val="18"/>
                <w:szCs w:val="18"/>
              </w:rPr>
              <w:t>, 103558. https://doi.org/10.1016/j.compind.2021.103558</w:t>
            </w:r>
          </w:p>
          <w:p w14:paraId="2961CD67" w14:textId="77777777" w:rsidR="0078686D" w:rsidRPr="00B043C8" w:rsidRDefault="0078686D" w:rsidP="0078686D">
            <w:pPr>
              <w:pStyle w:val="af9"/>
              <w:spacing w:line="276" w:lineRule="auto"/>
              <w:rPr>
                <w:rFonts w:cs="Arial"/>
                <w:sz w:val="18"/>
                <w:szCs w:val="18"/>
              </w:rPr>
            </w:pPr>
            <w:proofErr w:type="spellStart"/>
            <w:r w:rsidRPr="00B043C8">
              <w:rPr>
                <w:rFonts w:cs="Arial"/>
                <w:sz w:val="18"/>
                <w:szCs w:val="18"/>
              </w:rPr>
              <w:t>Rekabi</w:t>
            </w:r>
            <w:proofErr w:type="spellEnd"/>
            <w:r w:rsidRPr="00B043C8">
              <w:rPr>
                <w:rFonts w:cs="Arial"/>
                <w:sz w:val="18"/>
                <w:szCs w:val="18"/>
              </w:rPr>
              <w:t xml:space="preserve">, S., </w:t>
            </w:r>
            <w:proofErr w:type="spellStart"/>
            <w:r w:rsidRPr="00B043C8">
              <w:rPr>
                <w:rFonts w:cs="Arial"/>
                <w:sz w:val="18"/>
                <w:szCs w:val="18"/>
              </w:rPr>
              <w:t>Sazvar</w:t>
            </w:r>
            <w:proofErr w:type="spellEnd"/>
            <w:r w:rsidRPr="00B043C8">
              <w:rPr>
                <w:rFonts w:cs="Arial"/>
                <w:sz w:val="18"/>
                <w:szCs w:val="18"/>
              </w:rPr>
              <w:t xml:space="preserve">, Z., &amp; </w:t>
            </w:r>
            <w:proofErr w:type="spellStart"/>
            <w:r w:rsidRPr="00B043C8">
              <w:rPr>
                <w:rFonts w:cs="Arial"/>
                <w:sz w:val="18"/>
                <w:szCs w:val="18"/>
              </w:rPr>
              <w:t>Goodarzian</w:t>
            </w:r>
            <w:proofErr w:type="spellEnd"/>
            <w:r w:rsidRPr="00B043C8">
              <w:rPr>
                <w:rFonts w:cs="Arial"/>
                <w:sz w:val="18"/>
                <w:szCs w:val="18"/>
              </w:rPr>
              <w:t xml:space="preserve">, F. (2023). A machine learning model with linear and quadratic regression for designing pharmaceutical supply chains with soft time windows and perishable products. </w:t>
            </w:r>
            <w:r w:rsidRPr="00B043C8">
              <w:rPr>
                <w:rFonts w:cs="Arial"/>
                <w:i/>
                <w:iCs/>
                <w:sz w:val="18"/>
                <w:szCs w:val="18"/>
              </w:rPr>
              <w:t>Decision Analytics Journal</w:t>
            </w:r>
            <w:r w:rsidRPr="00B043C8">
              <w:rPr>
                <w:rFonts w:cs="Arial"/>
                <w:sz w:val="18"/>
                <w:szCs w:val="18"/>
              </w:rPr>
              <w:t xml:space="preserve">, </w:t>
            </w:r>
            <w:r w:rsidRPr="00B043C8">
              <w:rPr>
                <w:rFonts w:cs="Arial"/>
                <w:i/>
                <w:iCs/>
                <w:sz w:val="18"/>
                <w:szCs w:val="18"/>
              </w:rPr>
              <w:t>9</w:t>
            </w:r>
            <w:r w:rsidRPr="00B043C8">
              <w:rPr>
                <w:rFonts w:cs="Arial"/>
                <w:sz w:val="18"/>
                <w:szCs w:val="18"/>
              </w:rPr>
              <w:t>, 100325. ML. https://doi.org/10.1016/j.dajour.2023.100325</w:t>
            </w:r>
          </w:p>
          <w:p w14:paraId="2811A1AA" w14:textId="77777777" w:rsidR="0078686D" w:rsidRPr="00B043C8" w:rsidRDefault="0078686D" w:rsidP="0078686D">
            <w:pPr>
              <w:pStyle w:val="af9"/>
              <w:spacing w:line="276" w:lineRule="auto"/>
              <w:rPr>
                <w:rFonts w:cs="Arial"/>
                <w:sz w:val="18"/>
                <w:szCs w:val="18"/>
              </w:rPr>
            </w:pPr>
            <w:r w:rsidRPr="00B043C8">
              <w:rPr>
                <w:rFonts w:cs="Arial"/>
                <w:sz w:val="18"/>
                <w:szCs w:val="18"/>
              </w:rPr>
              <w:t xml:space="preserve">Seidman, I. (2019). </w:t>
            </w:r>
            <w:r w:rsidRPr="00B043C8">
              <w:rPr>
                <w:rFonts w:cs="Arial"/>
                <w:i/>
                <w:iCs/>
                <w:sz w:val="18"/>
                <w:szCs w:val="18"/>
              </w:rPr>
              <w:t>Interviewing as qualitative research: A guide for researchers in education and the social sciences</w:t>
            </w:r>
            <w:r w:rsidRPr="00B043C8">
              <w:rPr>
                <w:rFonts w:cs="Arial"/>
                <w:sz w:val="18"/>
                <w:szCs w:val="18"/>
              </w:rPr>
              <w:t xml:space="preserve"> (Fifth edition). Teachers College Press.</w:t>
            </w:r>
          </w:p>
          <w:p w14:paraId="4773C7E8" w14:textId="77777777" w:rsidR="0078686D" w:rsidRPr="00B043C8" w:rsidRDefault="0078686D" w:rsidP="0078686D">
            <w:pPr>
              <w:pStyle w:val="af9"/>
              <w:spacing w:line="276" w:lineRule="auto"/>
              <w:rPr>
                <w:rFonts w:cs="Arial"/>
                <w:sz w:val="18"/>
                <w:szCs w:val="18"/>
              </w:rPr>
            </w:pPr>
            <w:r w:rsidRPr="00B043C8">
              <w:rPr>
                <w:rFonts w:cs="Arial"/>
                <w:sz w:val="18"/>
                <w:szCs w:val="18"/>
              </w:rPr>
              <w:t xml:space="preserve">Srivastava, D. K., Kumar, V., </w:t>
            </w:r>
            <w:proofErr w:type="spellStart"/>
            <w:r w:rsidRPr="00B043C8">
              <w:rPr>
                <w:rFonts w:cs="Arial"/>
                <w:sz w:val="18"/>
                <w:szCs w:val="18"/>
              </w:rPr>
              <w:t>Ekren</w:t>
            </w:r>
            <w:proofErr w:type="spellEnd"/>
            <w:r w:rsidRPr="00B043C8">
              <w:rPr>
                <w:rFonts w:cs="Arial"/>
                <w:sz w:val="18"/>
                <w:szCs w:val="18"/>
              </w:rPr>
              <w:t xml:space="preserve">, B. Y., Upadhyay, A., Tyagi, M., &amp; Kumari, A. (2022). Adopting Industry 4.0 by leveraging organisational factors. </w:t>
            </w:r>
            <w:r w:rsidRPr="00B043C8">
              <w:rPr>
                <w:rFonts w:cs="Arial"/>
                <w:i/>
                <w:iCs/>
                <w:sz w:val="18"/>
                <w:szCs w:val="18"/>
              </w:rPr>
              <w:t>Technological Forecasting and Social Change</w:t>
            </w:r>
            <w:r w:rsidRPr="00B043C8">
              <w:rPr>
                <w:rFonts w:cs="Arial"/>
                <w:sz w:val="18"/>
                <w:szCs w:val="18"/>
              </w:rPr>
              <w:t xml:space="preserve">, </w:t>
            </w:r>
            <w:r w:rsidRPr="00B043C8">
              <w:rPr>
                <w:rFonts w:cs="Arial"/>
                <w:i/>
                <w:iCs/>
                <w:sz w:val="18"/>
                <w:szCs w:val="18"/>
              </w:rPr>
              <w:t>176</w:t>
            </w:r>
            <w:r w:rsidRPr="00B043C8">
              <w:rPr>
                <w:rFonts w:cs="Arial"/>
                <w:sz w:val="18"/>
                <w:szCs w:val="18"/>
              </w:rPr>
              <w:t>, 121439. https://doi.org/10.1016/j.techfore.2021.121439</w:t>
            </w:r>
          </w:p>
          <w:p w14:paraId="3FC8DE42" w14:textId="77777777" w:rsidR="0078686D" w:rsidRPr="00B043C8" w:rsidRDefault="0078686D" w:rsidP="0078686D">
            <w:pPr>
              <w:pStyle w:val="af9"/>
              <w:spacing w:line="276" w:lineRule="auto"/>
              <w:rPr>
                <w:rFonts w:cs="Arial"/>
                <w:sz w:val="18"/>
                <w:szCs w:val="18"/>
              </w:rPr>
            </w:pPr>
            <w:proofErr w:type="spellStart"/>
            <w:r w:rsidRPr="00B043C8">
              <w:rPr>
                <w:rFonts w:cs="Arial"/>
                <w:sz w:val="18"/>
                <w:szCs w:val="18"/>
              </w:rPr>
              <w:t>Stentoft</w:t>
            </w:r>
            <w:proofErr w:type="spellEnd"/>
            <w:r w:rsidRPr="00B043C8">
              <w:rPr>
                <w:rFonts w:cs="Arial"/>
                <w:sz w:val="18"/>
                <w:szCs w:val="18"/>
              </w:rPr>
              <w:t xml:space="preserve">, J., </w:t>
            </w:r>
            <w:proofErr w:type="spellStart"/>
            <w:r w:rsidRPr="00B043C8">
              <w:rPr>
                <w:rFonts w:cs="Arial"/>
                <w:sz w:val="18"/>
                <w:szCs w:val="18"/>
              </w:rPr>
              <w:t>Adsbøll</w:t>
            </w:r>
            <w:proofErr w:type="spellEnd"/>
            <w:r w:rsidRPr="00B043C8">
              <w:rPr>
                <w:rFonts w:cs="Arial"/>
                <w:sz w:val="18"/>
                <w:szCs w:val="18"/>
              </w:rPr>
              <w:t xml:space="preserve"> </w:t>
            </w:r>
            <w:proofErr w:type="spellStart"/>
            <w:r w:rsidRPr="00B043C8">
              <w:rPr>
                <w:rFonts w:cs="Arial"/>
                <w:sz w:val="18"/>
                <w:szCs w:val="18"/>
              </w:rPr>
              <w:t>Wickstrøm</w:t>
            </w:r>
            <w:proofErr w:type="spellEnd"/>
            <w:r w:rsidRPr="00B043C8">
              <w:rPr>
                <w:rFonts w:cs="Arial"/>
                <w:sz w:val="18"/>
                <w:szCs w:val="18"/>
              </w:rPr>
              <w:t xml:space="preserve">, K., </w:t>
            </w:r>
            <w:proofErr w:type="spellStart"/>
            <w:r w:rsidRPr="00B043C8">
              <w:rPr>
                <w:rFonts w:cs="Arial"/>
                <w:sz w:val="18"/>
                <w:szCs w:val="18"/>
              </w:rPr>
              <w:t>Philipsen</w:t>
            </w:r>
            <w:proofErr w:type="spellEnd"/>
            <w:r w:rsidRPr="00B043C8">
              <w:rPr>
                <w:rFonts w:cs="Arial"/>
                <w:sz w:val="18"/>
                <w:szCs w:val="18"/>
              </w:rPr>
              <w:t xml:space="preserve">, K., &amp; </w:t>
            </w:r>
            <w:proofErr w:type="spellStart"/>
            <w:r w:rsidRPr="00B043C8">
              <w:rPr>
                <w:rFonts w:cs="Arial"/>
                <w:sz w:val="18"/>
                <w:szCs w:val="18"/>
              </w:rPr>
              <w:t>Haug</w:t>
            </w:r>
            <w:proofErr w:type="spellEnd"/>
            <w:r w:rsidRPr="00B043C8">
              <w:rPr>
                <w:rFonts w:cs="Arial"/>
                <w:sz w:val="18"/>
                <w:szCs w:val="18"/>
              </w:rPr>
              <w:t xml:space="preserve">, A. (2021). Drivers and barriers for Industry 4.0 readiness and practice: Empirical evidence from small and medium-sized manufacturers. </w:t>
            </w:r>
            <w:r w:rsidRPr="00B043C8">
              <w:rPr>
                <w:rFonts w:cs="Arial"/>
                <w:i/>
                <w:iCs/>
                <w:sz w:val="18"/>
                <w:szCs w:val="18"/>
              </w:rPr>
              <w:t>Production Planning &amp; Control</w:t>
            </w:r>
            <w:r w:rsidRPr="00B043C8">
              <w:rPr>
                <w:rFonts w:cs="Arial"/>
                <w:sz w:val="18"/>
                <w:szCs w:val="18"/>
              </w:rPr>
              <w:t xml:space="preserve">, </w:t>
            </w:r>
            <w:r w:rsidRPr="00B043C8">
              <w:rPr>
                <w:rFonts w:cs="Arial"/>
                <w:i/>
                <w:iCs/>
                <w:sz w:val="18"/>
                <w:szCs w:val="18"/>
              </w:rPr>
              <w:t>32</w:t>
            </w:r>
            <w:r w:rsidRPr="00B043C8">
              <w:rPr>
                <w:rFonts w:cs="Arial"/>
                <w:sz w:val="18"/>
                <w:szCs w:val="18"/>
              </w:rPr>
              <w:t>(10), 811–828. https://doi.org/10.1080/09537287.2020.1768318</w:t>
            </w:r>
          </w:p>
          <w:p w14:paraId="18034EB0" w14:textId="77777777" w:rsidR="0078686D" w:rsidRPr="00B043C8" w:rsidRDefault="0078686D" w:rsidP="0078686D">
            <w:pPr>
              <w:pStyle w:val="af9"/>
              <w:spacing w:line="276" w:lineRule="auto"/>
              <w:rPr>
                <w:rFonts w:cs="Arial"/>
                <w:sz w:val="18"/>
                <w:szCs w:val="18"/>
              </w:rPr>
            </w:pPr>
            <w:proofErr w:type="spellStart"/>
            <w:r w:rsidRPr="00B043C8">
              <w:rPr>
                <w:rFonts w:cs="Arial"/>
                <w:sz w:val="18"/>
                <w:szCs w:val="18"/>
              </w:rPr>
              <w:t>Stockemer</w:t>
            </w:r>
            <w:proofErr w:type="spellEnd"/>
            <w:r w:rsidRPr="00B043C8">
              <w:rPr>
                <w:rFonts w:cs="Arial"/>
                <w:sz w:val="18"/>
                <w:szCs w:val="18"/>
              </w:rPr>
              <w:t xml:space="preserve">, D. (2019). </w:t>
            </w:r>
            <w:r w:rsidRPr="00B043C8">
              <w:rPr>
                <w:rFonts w:cs="Arial"/>
                <w:i/>
                <w:iCs/>
                <w:sz w:val="18"/>
                <w:szCs w:val="18"/>
              </w:rPr>
              <w:t>Quantitative Methods for the Social Sciences: A Practical Introduction with Examples in SPSS and Stata</w:t>
            </w:r>
            <w:r w:rsidRPr="00B043C8">
              <w:rPr>
                <w:rFonts w:cs="Arial"/>
                <w:sz w:val="18"/>
                <w:szCs w:val="18"/>
              </w:rPr>
              <w:t>. Springer International Publishing. https://doi.org/10.1007/978-3-319-99118-4</w:t>
            </w:r>
          </w:p>
          <w:p w14:paraId="51EE7F11" w14:textId="77777777" w:rsidR="0078686D" w:rsidRPr="00B043C8" w:rsidRDefault="0078686D" w:rsidP="0078686D">
            <w:pPr>
              <w:pStyle w:val="af9"/>
              <w:spacing w:line="276" w:lineRule="auto"/>
              <w:rPr>
                <w:rFonts w:cs="Arial"/>
                <w:sz w:val="18"/>
                <w:szCs w:val="18"/>
              </w:rPr>
            </w:pPr>
            <w:r w:rsidRPr="00B043C8">
              <w:rPr>
                <w:rFonts w:cs="Arial"/>
                <w:sz w:val="18"/>
                <w:szCs w:val="18"/>
              </w:rPr>
              <w:t xml:space="preserve">Teece, D. J., Pisano, G., &amp; </w:t>
            </w:r>
            <w:proofErr w:type="spellStart"/>
            <w:r w:rsidRPr="00B043C8">
              <w:rPr>
                <w:rFonts w:cs="Arial"/>
                <w:sz w:val="18"/>
                <w:szCs w:val="18"/>
              </w:rPr>
              <w:t>Shuen</w:t>
            </w:r>
            <w:proofErr w:type="spellEnd"/>
            <w:r w:rsidRPr="00B043C8">
              <w:rPr>
                <w:rFonts w:cs="Arial"/>
                <w:sz w:val="18"/>
                <w:szCs w:val="18"/>
              </w:rPr>
              <w:t xml:space="preserve">, A. (1997). Dynamic capabilities and strategic management. </w:t>
            </w:r>
            <w:r w:rsidRPr="00B043C8">
              <w:rPr>
                <w:rFonts w:cs="Arial"/>
                <w:i/>
                <w:iCs/>
                <w:sz w:val="18"/>
                <w:szCs w:val="18"/>
              </w:rPr>
              <w:t>Strategic Management Journal</w:t>
            </w:r>
            <w:r w:rsidRPr="00B043C8">
              <w:rPr>
                <w:rFonts w:cs="Arial"/>
                <w:sz w:val="18"/>
                <w:szCs w:val="18"/>
              </w:rPr>
              <w:t xml:space="preserve">, </w:t>
            </w:r>
            <w:r w:rsidRPr="00B043C8">
              <w:rPr>
                <w:rFonts w:cs="Arial"/>
                <w:i/>
                <w:iCs/>
                <w:sz w:val="18"/>
                <w:szCs w:val="18"/>
              </w:rPr>
              <w:t>18</w:t>
            </w:r>
            <w:r w:rsidRPr="00B043C8">
              <w:rPr>
                <w:rFonts w:cs="Arial"/>
                <w:sz w:val="18"/>
                <w:szCs w:val="18"/>
              </w:rPr>
              <w:t>(7), 509–533. https://doi.org/10.1002/(SICI)1097-0266(199708)18:7&lt;</w:t>
            </w:r>
            <w:proofErr w:type="gramStart"/>
            <w:r w:rsidRPr="00B043C8">
              <w:rPr>
                <w:rFonts w:cs="Arial"/>
                <w:sz w:val="18"/>
                <w:szCs w:val="18"/>
              </w:rPr>
              <w:t>509::</w:t>
            </w:r>
            <w:proofErr w:type="gramEnd"/>
            <w:r w:rsidRPr="00B043C8">
              <w:rPr>
                <w:rFonts w:cs="Arial"/>
                <w:sz w:val="18"/>
                <w:szCs w:val="18"/>
              </w:rPr>
              <w:t>AID-SMJ882&gt;3.0.CO;2-Z</w:t>
            </w:r>
          </w:p>
          <w:p w14:paraId="458D93CE" w14:textId="77777777" w:rsidR="0078686D" w:rsidRPr="00B043C8" w:rsidRDefault="0078686D" w:rsidP="0078686D">
            <w:pPr>
              <w:pStyle w:val="af9"/>
              <w:spacing w:line="276" w:lineRule="auto"/>
              <w:rPr>
                <w:rFonts w:cs="Arial"/>
                <w:sz w:val="18"/>
                <w:szCs w:val="18"/>
              </w:rPr>
            </w:pPr>
            <w:proofErr w:type="spellStart"/>
            <w:r w:rsidRPr="00B043C8">
              <w:rPr>
                <w:rFonts w:cs="Arial"/>
                <w:sz w:val="18"/>
                <w:szCs w:val="18"/>
              </w:rPr>
              <w:t>Tornatzky</w:t>
            </w:r>
            <w:proofErr w:type="spellEnd"/>
            <w:r w:rsidRPr="00B043C8">
              <w:rPr>
                <w:rFonts w:cs="Arial"/>
                <w:sz w:val="18"/>
                <w:szCs w:val="18"/>
              </w:rPr>
              <w:t xml:space="preserve">, L. G., Fleischer, M., &amp; Chakrabarti, A. K. (1990). </w:t>
            </w:r>
            <w:r w:rsidRPr="00B043C8">
              <w:rPr>
                <w:rFonts w:cs="Arial"/>
                <w:i/>
                <w:iCs/>
                <w:sz w:val="18"/>
                <w:szCs w:val="18"/>
              </w:rPr>
              <w:t>The processes of technological innovation</w:t>
            </w:r>
            <w:r w:rsidRPr="00B043C8">
              <w:rPr>
                <w:rFonts w:cs="Arial"/>
                <w:sz w:val="18"/>
                <w:szCs w:val="18"/>
              </w:rPr>
              <w:t>. Lexington Books.</w:t>
            </w:r>
          </w:p>
          <w:p w14:paraId="636C1D80" w14:textId="77777777" w:rsidR="0078686D" w:rsidRPr="00B043C8" w:rsidRDefault="0078686D" w:rsidP="0078686D">
            <w:pPr>
              <w:pStyle w:val="af9"/>
              <w:spacing w:line="276" w:lineRule="auto"/>
              <w:rPr>
                <w:rFonts w:cs="Arial"/>
                <w:sz w:val="18"/>
                <w:szCs w:val="18"/>
              </w:rPr>
            </w:pPr>
            <w:proofErr w:type="spellStart"/>
            <w:r w:rsidRPr="00B043C8">
              <w:rPr>
                <w:rFonts w:cs="Arial"/>
                <w:sz w:val="18"/>
                <w:szCs w:val="18"/>
              </w:rPr>
              <w:t>Vasi</w:t>
            </w:r>
            <w:proofErr w:type="spellEnd"/>
            <w:r w:rsidRPr="00B043C8">
              <w:rPr>
                <w:rFonts w:cs="Arial"/>
                <w:sz w:val="18"/>
                <w:szCs w:val="18"/>
              </w:rPr>
              <w:t xml:space="preserve">, M., Sansone, G., &amp; English, V. (2024). Exogenous crises and SMEs resilience: The Dynamic Open Innovation Funnel. </w:t>
            </w:r>
            <w:proofErr w:type="spellStart"/>
            <w:r w:rsidRPr="00B043C8">
              <w:rPr>
                <w:rFonts w:cs="Arial"/>
                <w:i/>
                <w:iCs/>
                <w:sz w:val="18"/>
                <w:szCs w:val="18"/>
              </w:rPr>
              <w:t>Technovation</w:t>
            </w:r>
            <w:proofErr w:type="spellEnd"/>
            <w:r w:rsidRPr="00B043C8">
              <w:rPr>
                <w:rFonts w:cs="Arial"/>
                <w:sz w:val="18"/>
                <w:szCs w:val="18"/>
              </w:rPr>
              <w:t xml:space="preserve">, </w:t>
            </w:r>
            <w:r w:rsidRPr="00B043C8">
              <w:rPr>
                <w:rFonts w:cs="Arial"/>
                <w:i/>
                <w:iCs/>
                <w:sz w:val="18"/>
                <w:szCs w:val="18"/>
              </w:rPr>
              <w:t>129</w:t>
            </w:r>
            <w:r w:rsidRPr="00B043C8">
              <w:rPr>
                <w:rFonts w:cs="Arial"/>
                <w:sz w:val="18"/>
                <w:szCs w:val="18"/>
              </w:rPr>
              <w:t>, 102886. https://doi.org/10.1016/j.technovation.2023.102886</w:t>
            </w:r>
          </w:p>
          <w:p w14:paraId="45B4A545" w14:textId="77777777" w:rsidR="0078686D" w:rsidRPr="00B043C8" w:rsidRDefault="0078686D" w:rsidP="0078686D">
            <w:pPr>
              <w:pStyle w:val="af9"/>
              <w:spacing w:line="276" w:lineRule="auto"/>
              <w:rPr>
                <w:rFonts w:cs="Arial"/>
                <w:sz w:val="18"/>
                <w:szCs w:val="18"/>
              </w:rPr>
            </w:pPr>
            <w:r w:rsidRPr="00B043C8">
              <w:rPr>
                <w:rFonts w:cs="Arial"/>
                <w:sz w:val="18"/>
                <w:szCs w:val="18"/>
              </w:rPr>
              <w:t xml:space="preserve">Vial, G. (2019). Understanding digital transformation: A review and a research agenda. </w:t>
            </w:r>
            <w:r w:rsidRPr="00B043C8">
              <w:rPr>
                <w:rFonts w:cs="Arial"/>
                <w:i/>
                <w:iCs/>
                <w:sz w:val="18"/>
                <w:szCs w:val="18"/>
              </w:rPr>
              <w:t>The Journal of Strategic Information Systems</w:t>
            </w:r>
            <w:r w:rsidRPr="00B043C8">
              <w:rPr>
                <w:rFonts w:cs="Arial"/>
                <w:sz w:val="18"/>
                <w:szCs w:val="18"/>
              </w:rPr>
              <w:t xml:space="preserve">, </w:t>
            </w:r>
            <w:r w:rsidRPr="00B043C8">
              <w:rPr>
                <w:rFonts w:cs="Arial"/>
                <w:i/>
                <w:iCs/>
                <w:sz w:val="18"/>
                <w:szCs w:val="18"/>
              </w:rPr>
              <w:t>28</w:t>
            </w:r>
            <w:r w:rsidRPr="00B043C8">
              <w:rPr>
                <w:rFonts w:cs="Arial"/>
                <w:sz w:val="18"/>
                <w:szCs w:val="18"/>
              </w:rPr>
              <w:t>(2), 118–144. DT. https://doi.org/10.1016/j.jsis.2019.01.003</w:t>
            </w:r>
          </w:p>
          <w:p w14:paraId="3E3525E1" w14:textId="77777777" w:rsidR="0078686D" w:rsidRPr="00B043C8" w:rsidRDefault="0078686D" w:rsidP="0078686D">
            <w:pPr>
              <w:pStyle w:val="af9"/>
              <w:spacing w:line="276" w:lineRule="auto"/>
              <w:rPr>
                <w:rFonts w:cs="Arial"/>
                <w:sz w:val="18"/>
                <w:szCs w:val="18"/>
              </w:rPr>
            </w:pPr>
            <w:r w:rsidRPr="00B043C8">
              <w:rPr>
                <w:rFonts w:cs="Arial"/>
                <w:sz w:val="18"/>
                <w:szCs w:val="18"/>
              </w:rPr>
              <w:t xml:space="preserve">Wang, G., Xu, Y., &amp; Ren, H. (2019). Intelligent and ecological coal mining as well as clean utilization technology in China: Review and prospects. </w:t>
            </w:r>
            <w:r w:rsidRPr="00B043C8">
              <w:rPr>
                <w:rFonts w:cs="Arial"/>
                <w:i/>
                <w:iCs/>
                <w:sz w:val="18"/>
                <w:szCs w:val="18"/>
              </w:rPr>
              <w:t>International Journal of Mining Science and Technology</w:t>
            </w:r>
            <w:r w:rsidRPr="00B043C8">
              <w:rPr>
                <w:rFonts w:cs="Arial"/>
                <w:sz w:val="18"/>
                <w:szCs w:val="18"/>
              </w:rPr>
              <w:t xml:space="preserve">, </w:t>
            </w:r>
            <w:r w:rsidRPr="00B043C8">
              <w:rPr>
                <w:rFonts w:cs="Arial"/>
                <w:i/>
                <w:iCs/>
                <w:sz w:val="18"/>
                <w:szCs w:val="18"/>
              </w:rPr>
              <w:t>29</w:t>
            </w:r>
            <w:r w:rsidRPr="00B043C8">
              <w:rPr>
                <w:rFonts w:cs="Arial"/>
                <w:sz w:val="18"/>
                <w:szCs w:val="18"/>
              </w:rPr>
              <w:t>(2), 161–169. https://doi.org/10.1016/j.ijmst.2018.06.005</w:t>
            </w:r>
          </w:p>
          <w:p w14:paraId="17FAEC1A" w14:textId="77777777" w:rsidR="0078686D" w:rsidRPr="00B043C8" w:rsidRDefault="0078686D" w:rsidP="0078686D">
            <w:pPr>
              <w:pStyle w:val="af9"/>
              <w:spacing w:line="276" w:lineRule="auto"/>
              <w:rPr>
                <w:rFonts w:cs="Arial"/>
                <w:sz w:val="18"/>
                <w:szCs w:val="18"/>
              </w:rPr>
            </w:pPr>
            <w:r w:rsidRPr="00B043C8">
              <w:rPr>
                <w:rFonts w:cs="Arial"/>
                <w:sz w:val="18"/>
                <w:szCs w:val="18"/>
              </w:rPr>
              <w:t xml:space="preserve">Wang, S., Li, X., Li, Z., &amp; Ye, Y. (2023). The effects of government support on enterprises’ digital transformation: Evidence from China. </w:t>
            </w:r>
            <w:r w:rsidRPr="00B043C8">
              <w:rPr>
                <w:rFonts w:cs="Arial"/>
                <w:i/>
                <w:iCs/>
                <w:sz w:val="18"/>
                <w:szCs w:val="18"/>
              </w:rPr>
              <w:t>Managerial and Decision Economics</w:t>
            </w:r>
            <w:r w:rsidRPr="00B043C8">
              <w:rPr>
                <w:rFonts w:cs="Arial"/>
                <w:sz w:val="18"/>
                <w:szCs w:val="18"/>
              </w:rPr>
              <w:t xml:space="preserve">, </w:t>
            </w:r>
            <w:r w:rsidRPr="00B043C8">
              <w:rPr>
                <w:rFonts w:cs="Arial"/>
                <w:i/>
                <w:iCs/>
                <w:sz w:val="18"/>
                <w:szCs w:val="18"/>
              </w:rPr>
              <w:t>44</w:t>
            </w:r>
            <w:r w:rsidRPr="00B043C8">
              <w:rPr>
                <w:rFonts w:cs="Arial"/>
                <w:sz w:val="18"/>
                <w:szCs w:val="18"/>
              </w:rPr>
              <w:t>(5), 2520–2539. https://doi.org/10.1002/mde.3831</w:t>
            </w:r>
          </w:p>
          <w:p w14:paraId="1040603D" w14:textId="77777777" w:rsidR="0078686D" w:rsidRPr="00B043C8" w:rsidRDefault="0078686D" w:rsidP="0078686D">
            <w:pPr>
              <w:pStyle w:val="af9"/>
              <w:spacing w:line="276" w:lineRule="auto"/>
              <w:rPr>
                <w:rFonts w:cs="Arial"/>
                <w:sz w:val="18"/>
                <w:szCs w:val="18"/>
              </w:rPr>
            </w:pPr>
            <w:r w:rsidRPr="00B043C8">
              <w:rPr>
                <w:rFonts w:cs="Arial"/>
                <w:sz w:val="18"/>
                <w:szCs w:val="18"/>
              </w:rPr>
              <w:t xml:space="preserve">Warner, K. S. R., &amp; </w:t>
            </w:r>
            <w:proofErr w:type="spellStart"/>
            <w:r w:rsidRPr="00B043C8">
              <w:rPr>
                <w:rFonts w:cs="Arial"/>
                <w:sz w:val="18"/>
                <w:szCs w:val="18"/>
              </w:rPr>
              <w:t>Wäger</w:t>
            </w:r>
            <w:proofErr w:type="spellEnd"/>
            <w:r w:rsidRPr="00B043C8">
              <w:rPr>
                <w:rFonts w:cs="Arial"/>
                <w:sz w:val="18"/>
                <w:szCs w:val="18"/>
              </w:rPr>
              <w:t xml:space="preserve">, M. (2019). Building dynamic capabilities for digital transformation: An ongoing process of strategic renewal. </w:t>
            </w:r>
            <w:r w:rsidRPr="00B043C8">
              <w:rPr>
                <w:rFonts w:cs="Arial"/>
                <w:i/>
                <w:iCs/>
                <w:sz w:val="18"/>
                <w:szCs w:val="18"/>
              </w:rPr>
              <w:t>Long Range Planning</w:t>
            </w:r>
            <w:r w:rsidRPr="00B043C8">
              <w:rPr>
                <w:rFonts w:cs="Arial"/>
                <w:sz w:val="18"/>
                <w:szCs w:val="18"/>
              </w:rPr>
              <w:t xml:space="preserve">, </w:t>
            </w:r>
            <w:r w:rsidRPr="00B043C8">
              <w:rPr>
                <w:rFonts w:cs="Arial"/>
                <w:i/>
                <w:iCs/>
                <w:sz w:val="18"/>
                <w:szCs w:val="18"/>
              </w:rPr>
              <w:t>52</w:t>
            </w:r>
            <w:r w:rsidRPr="00B043C8">
              <w:rPr>
                <w:rFonts w:cs="Arial"/>
                <w:sz w:val="18"/>
                <w:szCs w:val="18"/>
              </w:rPr>
              <w:t xml:space="preserve">(3), Article 3. </w:t>
            </w:r>
            <w:proofErr w:type="spellStart"/>
            <w:r w:rsidRPr="00B043C8">
              <w:rPr>
                <w:rFonts w:cs="Arial"/>
                <w:sz w:val="18"/>
                <w:szCs w:val="18"/>
              </w:rPr>
              <w:t>Perfromance</w:t>
            </w:r>
            <w:proofErr w:type="spellEnd"/>
            <w:r w:rsidRPr="00B043C8">
              <w:rPr>
                <w:rFonts w:cs="Arial"/>
                <w:sz w:val="18"/>
                <w:szCs w:val="18"/>
              </w:rPr>
              <w:t>. https://doi.org/10.1016/j.lrp.2018.12.001</w:t>
            </w:r>
          </w:p>
          <w:p w14:paraId="10B8BFE2" w14:textId="77777777" w:rsidR="0078686D" w:rsidRPr="00B043C8" w:rsidRDefault="0078686D" w:rsidP="0078686D">
            <w:pPr>
              <w:pStyle w:val="af9"/>
              <w:spacing w:line="276" w:lineRule="auto"/>
              <w:rPr>
                <w:rFonts w:cs="Arial"/>
                <w:sz w:val="18"/>
                <w:szCs w:val="18"/>
              </w:rPr>
            </w:pPr>
            <w:r w:rsidRPr="00B043C8">
              <w:rPr>
                <w:rFonts w:cs="Arial"/>
                <w:sz w:val="18"/>
                <w:szCs w:val="18"/>
              </w:rPr>
              <w:t xml:space="preserve">Yang, J., Huang, Q., Ge, S., Wang, X., Chen, L., Guo, Y., &amp; Gui, T. (2023). On Intelligent Mining </w:t>
            </w:r>
            <w:proofErr w:type="gramStart"/>
            <w:r w:rsidRPr="00B043C8">
              <w:rPr>
                <w:rFonts w:cs="Arial"/>
                <w:sz w:val="18"/>
                <w:szCs w:val="18"/>
              </w:rPr>
              <w:t>With</w:t>
            </w:r>
            <w:proofErr w:type="gramEnd"/>
            <w:r w:rsidRPr="00B043C8">
              <w:rPr>
                <w:rFonts w:cs="Arial"/>
                <w:sz w:val="18"/>
                <w:szCs w:val="18"/>
              </w:rPr>
              <w:t xml:space="preserve"> Parallel Intelligence. </w:t>
            </w:r>
            <w:r w:rsidRPr="00B043C8">
              <w:rPr>
                <w:rFonts w:cs="Arial"/>
                <w:i/>
                <w:iCs/>
                <w:sz w:val="18"/>
                <w:szCs w:val="18"/>
              </w:rPr>
              <w:t>IEEE Transactions on Intelligent Vehicles</w:t>
            </w:r>
            <w:r w:rsidRPr="00B043C8">
              <w:rPr>
                <w:rFonts w:cs="Arial"/>
                <w:sz w:val="18"/>
                <w:szCs w:val="18"/>
              </w:rPr>
              <w:t xml:space="preserve">, </w:t>
            </w:r>
            <w:r w:rsidRPr="00B043C8">
              <w:rPr>
                <w:rFonts w:cs="Arial"/>
                <w:i/>
                <w:iCs/>
                <w:sz w:val="18"/>
                <w:szCs w:val="18"/>
              </w:rPr>
              <w:t>8</w:t>
            </w:r>
            <w:r w:rsidRPr="00B043C8">
              <w:rPr>
                <w:rFonts w:cs="Arial"/>
                <w:sz w:val="18"/>
                <w:szCs w:val="18"/>
              </w:rPr>
              <w:t>(10), 4296–4300. https://doi.org/10.1109/TIV.2023.3316132</w:t>
            </w:r>
          </w:p>
          <w:p w14:paraId="1AA5EBAA" w14:textId="77777777" w:rsidR="0078686D" w:rsidRPr="00B043C8" w:rsidRDefault="0078686D" w:rsidP="0078686D">
            <w:pPr>
              <w:pStyle w:val="af9"/>
              <w:spacing w:line="276" w:lineRule="auto"/>
              <w:rPr>
                <w:rFonts w:cs="Arial"/>
                <w:sz w:val="18"/>
                <w:szCs w:val="18"/>
              </w:rPr>
            </w:pPr>
            <w:r w:rsidRPr="00B043C8">
              <w:rPr>
                <w:rFonts w:cs="Arial"/>
                <w:sz w:val="18"/>
                <w:szCs w:val="18"/>
              </w:rPr>
              <w:t xml:space="preserve">Young, A., &amp; Rogers, P. (2019). A Review of Digital Transformation in Mining. </w:t>
            </w:r>
            <w:r w:rsidRPr="00B043C8">
              <w:rPr>
                <w:rFonts w:cs="Arial"/>
                <w:i/>
                <w:iCs/>
                <w:sz w:val="18"/>
                <w:szCs w:val="18"/>
              </w:rPr>
              <w:t>Mining, Metallurgy &amp; Exploration</w:t>
            </w:r>
            <w:r w:rsidRPr="00B043C8">
              <w:rPr>
                <w:rFonts w:cs="Arial"/>
                <w:sz w:val="18"/>
                <w:szCs w:val="18"/>
              </w:rPr>
              <w:t xml:space="preserve">, </w:t>
            </w:r>
            <w:r w:rsidRPr="00B043C8">
              <w:rPr>
                <w:rFonts w:cs="Arial"/>
                <w:i/>
                <w:iCs/>
                <w:sz w:val="18"/>
                <w:szCs w:val="18"/>
              </w:rPr>
              <w:t>36</w:t>
            </w:r>
            <w:r w:rsidRPr="00B043C8">
              <w:rPr>
                <w:rFonts w:cs="Arial"/>
                <w:sz w:val="18"/>
                <w:szCs w:val="18"/>
              </w:rPr>
              <w:t>(4), 683–699. https://doi.org/10.1007/s42461-019-00103-w</w:t>
            </w:r>
          </w:p>
          <w:p w14:paraId="6A4E92D3" w14:textId="77777777" w:rsidR="0078686D" w:rsidRPr="00B043C8" w:rsidRDefault="0078686D" w:rsidP="0078686D">
            <w:pPr>
              <w:pStyle w:val="af9"/>
              <w:spacing w:line="276" w:lineRule="auto"/>
              <w:rPr>
                <w:rFonts w:cs="Arial"/>
                <w:sz w:val="18"/>
                <w:szCs w:val="18"/>
              </w:rPr>
            </w:pPr>
            <w:r w:rsidRPr="00B043C8">
              <w:rPr>
                <w:rFonts w:cs="Arial"/>
                <w:sz w:val="18"/>
                <w:szCs w:val="18"/>
              </w:rPr>
              <w:t xml:space="preserve">Zhang, Q. (2024). The Impact of Digitalization on the Upgrading of China’s Manufacturing Sector’s Global Value Chains. </w:t>
            </w:r>
            <w:r w:rsidRPr="00B043C8">
              <w:rPr>
                <w:rFonts w:cs="Arial"/>
                <w:i/>
                <w:iCs/>
                <w:sz w:val="18"/>
                <w:szCs w:val="18"/>
              </w:rPr>
              <w:t>Journal of the Knowledge Economy</w:t>
            </w:r>
            <w:r w:rsidRPr="00B043C8">
              <w:rPr>
                <w:rFonts w:cs="Arial"/>
                <w:sz w:val="18"/>
                <w:szCs w:val="18"/>
              </w:rPr>
              <w:t>. https://doi.org/10.1007/s13132-023-01698-8</w:t>
            </w:r>
          </w:p>
          <w:p w14:paraId="6363A016" w14:textId="77777777" w:rsidR="0078686D" w:rsidRPr="00B043C8" w:rsidRDefault="0078686D" w:rsidP="0078686D">
            <w:pPr>
              <w:pStyle w:val="af9"/>
              <w:spacing w:line="276" w:lineRule="auto"/>
              <w:rPr>
                <w:rFonts w:cs="Arial"/>
                <w:sz w:val="18"/>
                <w:szCs w:val="18"/>
              </w:rPr>
            </w:pPr>
            <w:r w:rsidRPr="00B043C8">
              <w:rPr>
                <w:rFonts w:cs="Arial"/>
                <w:sz w:val="18"/>
                <w:szCs w:val="18"/>
              </w:rPr>
              <w:t xml:space="preserve">Zhao, M., Liu, R., &amp; Dai, D. (2021). Synergistic Effect between China’s Digital Transformation and Economic Development: A Study Based on Sustainable Development. </w:t>
            </w:r>
            <w:r w:rsidRPr="00B043C8">
              <w:rPr>
                <w:rFonts w:cs="Arial"/>
                <w:i/>
                <w:iCs/>
                <w:sz w:val="18"/>
                <w:szCs w:val="18"/>
              </w:rPr>
              <w:t>Sustainability</w:t>
            </w:r>
            <w:r w:rsidRPr="00B043C8">
              <w:rPr>
                <w:rFonts w:cs="Arial"/>
                <w:sz w:val="18"/>
                <w:szCs w:val="18"/>
              </w:rPr>
              <w:t xml:space="preserve">, </w:t>
            </w:r>
            <w:r w:rsidRPr="00B043C8">
              <w:rPr>
                <w:rFonts w:cs="Arial"/>
                <w:i/>
                <w:iCs/>
                <w:sz w:val="18"/>
                <w:szCs w:val="18"/>
              </w:rPr>
              <w:t>13</w:t>
            </w:r>
            <w:r w:rsidRPr="00B043C8">
              <w:rPr>
                <w:rFonts w:cs="Arial"/>
                <w:sz w:val="18"/>
                <w:szCs w:val="18"/>
              </w:rPr>
              <w:t>(24), 13773. DT. https://doi.org/10.3390/su132413773</w:t>
            </w:r>
          </w:p>
          <w:p w14:paraId="00015A5E" w14:textId="77777777" w:rsidR="0078686D" w:rsidRPr="00B043C8" w:rsidRDefault="0078686D" w:rsidP="0078686D">
            <w:pPr>
              <w:pStyle w:val="af9"/>
              <w:spacing w:line="276" w:lineRule="auto"/>
              <w:rPr>
                <w:rFonts w:cs="Arial"/>
                <w:sz w:val="18"/>
                <w:szCs w:val="18"/>
              </w:rPr>
            </w:pPr>
            <w:proofErr w:type="spellStart"/>
            <w:r w:rsidRPr="00B043C8">
              <w:rPr>
                <w:rFonts w:cs="Arial"/>
                <w:sz w:val="18"/>
                <w:szCs w:val="18"/>
              </w:rPr>
              <w:t>Zhironkin</w:t>
            </w:r>
            <w:proofErr w:type="spellEnd"/>
            <w:r w:rsidRPr="00B043C8">
              <w:rPr>
                <w:rFonts w:cs="Arial"/>
                <w:sz w:val="18"/>
                <w:szCs w:val="18"/>
              </w:rPr>
              <w:t xml:space="preserve">, S., &amp; Taran, E. (2023). Development of Surface Mining 4.0 in Terms of Technological Shock in Energy Transition: A Review. </w:t>
            </w:r>
            <w:r w:rsidRPr="00B043C8">
              <w:rPr>
                <w:rFonts w:cs="Arial"/>
                <w:i/>
                <w:iCs/>
                <w:sz w:val="18"/>
                <w:szCs w:val="18"/>
              </w:rPr>
              <w:t>Energies</w:t>
            </w:r>
            <w:r w:rsidRPr="00B043C8">
              <w:rPr>
                <w:rFonts w:cs="Arial"/>
                <w:sz w:val="18"/>
                <w:szCs w:val="18"/>
              </w:rPr>
              <w:t xml:space="preserve">, </w:t>
            </w:r>
            <w:r w:rsidRPr="00B043C8">
              <w:rPr>
                <w:rFonts w:cs="Arial"/>
                <w:i/>
                <w:iCs/>
                <w:sz w:val="18"/>
                <w:szCs w:val="18"/>
              </w:rPr>
              <w:t>16</w:t>
            </w:r>
            <w:r w:rsidRPr="00B043C8">
              <w:rPr>
                <w:rFonts w:cs="Arial"/>
                <w:sz w:val="18"/>
                <w:szCs w:val="18"/>
              </w:rPr>
              <w:t>(9), 3639. https://doi.org/10.3390/en16093639</w:t>
            </w:r>
          </w:p>
          <w:p w14:paraId="4EF46A9D" w14:textId="77777777" w:rsidR="0078686D" w:rsidRPr="00B043C8" w:rsidRDefault="0078686D" w:rsidP="0078686D">
            <w:pPr>
              <w:pStyle w:val="af9"/>
              <w:spacing w:line="276" w:lineRule="auto"/>
              <w:rPr>
                <w:rFonts w:cs="Arial"/>
                <w:sz w:val="18"/>
                <w:szCs w:val="18"/>
              </w:rPr>
            </w:pPr>
            <w:proofErr w:type="spellStart"/>
            <w:r w:rsidRPr="00B043C8">
              <w:rPr>
                <w:rFonts w:cs="Arial"/>
                <w:sz w:val="18"/>
                <w:szCs w:val="18"/>
              </w:rPr>
              <w:t>Zhironkina</w:t>
            </w:r>
            <w:proofErr w:type="spellEnd"/>
            <w:r w:rsidRPr="00B043C8">
              <w:rPr>
                <w:rFonts w:cs="Arial"/>
                <w:sz w:val="18"/>
                <w:szCs w:val="18"/>
              </w:rPr>
              <w:t xml:space="preserve">, O., &amp; </w:t>
            </w:r>
            <w:proofErr w:type="spellStart"/>
            <w:r w:rsidRPr="00B043C8">
              <w:rPr>
                <w:rFonts w:cs="Arial"/>
                <w:sz w:val="18"/>
                <w:szCs w:val="18"/>
              </w:rPr>
              <w:t>Zhironkin</w:t>
            </w:r>
            <w:proofErr w:type="spellEnd"/>
            <w:r w:rsidRPr="00B043C8">
              <w:rPr>
                <w:rFonts w:cs="Arial"/>
                <w:sz w:val="18"/>
                <w:szCs w:val="18"/>
              </w:rPr>
              <w:t xml:space="preserve">, S. (2023). Technological and Intellectual Transition to Mining 4.0: A Review. </w:t>
            </w:r>
            <w:r w:rsidRPr="00B043C8">
              <w:rPr>
                <w:rFonts w:cs="Arial"/>
                <w:i/>
                <w:iCs/>
                <w:sz w:val="18"/>
                <w:szCs w:val="18"/>
              </w:rPr>
              <w:t>Energies</w:t>
            </w:r>
            <w:r w:rsidRPr="00B043C8">
              <w:rPr>
                <w:rFonts w:cs="Arial"/>
                <w:sz w:val="18"/>
                <w:szCs w:val="18"/>
              </w:rPr>
              <w:t xml:space="preserve">, </w:t>
            </w:r>
            <w:r w:rsidRPr="00B043C8">
              <w:rPr>
                <w:rFonts w:cs="Arial"/>
                <w:i/>
                <w:iCs/>
                <w:sz w:val="18"/>
                <w:szCs w:val="18"/>
              </w:rPr>
              <w:t>16</w:t>
            </w:r>
            <w:r w:rsidRPr="00B043C8">
              <w:rPr>
                <w:rFonts w:cs="Arial"/>
                <w:sz w:val="18"/>
                <w:szCs w:val="18"/>
              </w:rPr>
              <w:t>(3), 1427. https://doi.org/10.3390/en16031427</w:t>
            </w:r>
          </w:p>
          <w:p w14:paraId="4419EC76" w14:textId="70F449E3" w:rsidR="00660727" w:rsidRPr="006048CF" w:rsidRDefault="0078686D" w:rsidP="006048CF">
            <w:pPr>
              <w:spacing w:line="360" w:lineRule="auto"/>
              <w:rPr>
                <w:rFonts w:cs="Arial"/>
                <w:color w:val="000000" w:themeColor="text1"/>
                <w:sz w:val="18"/>
                <w:szCs w:val="18"/>
                <w:lang w:val="en-US" w:eastAsia="zh-CN"/>
              </w:rPr>
            </w:pPr>
            <w:r w:rsidRPr="00B043C8">
              <w:rPr>
                <w:rFonts w:cs="Arial"/>
                <w:sz w:val="18"/>
                <w:szCs w:val="18"/>
              </w:rPr>
              <w:fldChar w:fldCharType="end"/>
            </w:r>
          </w:p>
        </w:tc>
      </w:tr>
      <w:tr w:rsidR="00660727" w:rsidRPr="00A830D5" w14:paraId="0A7B5513" w14:textId="77777777" w:rsidTr="00AC4DCF">
        <w:trPr>
          <w:trHeight w:val="397"/>
        </w:trPr>
        <w:tc>
          <w:tcPr>
            <w:tcW w:w="9781" w:type="dxa"/>
            <w:shd w:val="clear" w:color="auto" w:fill="F2F2F2" w:themeFill="background1" w:themeFillShade="F2"/>
            <w:vAlign w:val="center"/>
          </w:tcPr>
          <w:p w14:paraId="2D927F17" w14:textId="77777777" w:rsidR="00660727" w:rsidRPr="00A830D5" w:rsidRDefault="00660727" w:rsidP="00E04FED">
            <w:pPr>
              <w:rPr>
                <w:rFonts w:cs="Arial"/>
                <w:sz w:val="22"/>
                <w:szCs w:val="22"/>
              </w:rPr>
            </w:pPr>
          </w:p>
          <w:p w14:paraId="682264A1" w14:textId="77777777" w:rsidR="00660727" w:rsidRPr="00A830D5" w:rsidRDefault="00660727" w:rsidP="00E04FED">
            <w:pPr>
              <w:rPr>
                <w:rFonts w:cs="Arial"/>
                <w:sz w:val="22"/>
                <w:szCs w:val="22"/>
              </w:rPr>
            </w:pPr>
            <w:r w:rsidRPr="00A830D5">
              <w:rPr>
                <w:rFonts w:cs="Arial"/>
                <w:sz w:val="22"/>
                <w:szCs w:val="22"/>
              </w:rPr>
              <w:t>Aims and Objectives (</w:t>
            </w:r>
            <w:proofErr w:type="gramStart"/>
            <w:r w:rsidRPr="00A830D5">
              <w:rPr>
                <w:rFonts w:cs="Arial"/>
                <w:sz w:val="22"/>
                <w:szCs w:val="22"/>
              </w:rPr>
              <w:t>approx..</w:t>
            </w:r>
            <w:proofErr w:type="gramEnd"/>
            <w:r w:rsidRPr="00A830D5">
              <w:rPr>
                <w:rFonts w:cs="Arial"/>
                <w:sz w:val="22"/>
                <w:szCs w:val="22"/>
              </w:rPr>
              <w:t xml:space="preserve"> 250 – 500 words)</w:t>
            </w:r>
          </w:p>
        </w:tc>
      </w:tr>
      <w:tr w:rsidR="00660727" w:rsidRPr="00A830D5" w14:paraId="72E64AFC" w14:textId="77777777" w:rsidTr="00AC4DCF">
        <w:trPr>
          <w:trHeight w:val="397"/>
        </w:trPr>
        <w:tc>
          <w:tcPr>
            <w:tcW w:w="9781" w:type="dxa"/>
            <w:vAlign w:val="center"/>
          </w:tcPr>
          <w:p w14:paraId="27295043" w14:textId="77777777" w:rsidR="00B66EDC" w:rsidRPr="00725C39" w:rsidRDefault="00B66EDC" w:rsidP="00B66EDC">
            <w:pPr>
              <w:adjustRightInd w:val="0"/>
              <w:snapToGrid w:val="0"/>
              <w:spacing w:line="360" w:lineRule="auto"/>
              <w:rPr>
                <w:rFonts w:cs="Arial"/>
                <w:b/>
                <w:bCs/>
                <w:sz w:val="21"/>
                <w:szCs w:val="21"/>
              </w:rPr>
            </w:pPr>
            <w:r w:rsidRPr="00725C39">
              <w:rPr>
                <w:rFonts w:cs="Arial" w:hint="eastAsia"/>
                <w:b/>
                <w:bCs/>
                <w:szCs w:val="21"/>
                <w:lang w:eastAsia="zh-CN"/>
              </w:rPr>
              <w:t>R</w:t>
            </w:r>
            <w:r w:rsidRPr="00725C39">
              <w:rPr>
                <w:rFonts w:cs="Arial"/>
                <w:b/>
                <w:bCs/>
                <w:sz w:val="21"/>
                <w:szCs w:val="21"/>
              </w:rPr>
              <w:t xml:space="preserve">esearch </w:t>
            </w:r>
            <w:r w:rsidRPr="00725C39">
              <w:rPr>
                <w:rFonts w:cs="Arial" w:hint="eastAsia"/>
                <w:b/>
                <w:bCs/>
                <w:szCs w:val="21"/>
                <w:lang w:eastAsia="zh-CN"/>
              </w:rPr>
              <w:t>A</w:t>
            </w:r>
            <w:r w:rsidRPr="00725C39">
              <w:rPr>
                <w:rFonts w:cs="Arial"/>
                <w:b/>
                <w:bCs/>
                <w:sz w:val="21"/>
                <w:szCs w:val="21"/>
              </w:rPr>
              <w:t>ims</w:t>
            </w:r>
            <w:r w:rsidRPr="00725C39">
              <w:rPr>
                <w:rFonts w:cs="Arial" w:hint="eastAsia"/>
                <w:b/>
                <w:bCs/>
                <w:szCs w:val="21"/>
              </w:rPr>
              <w:t>：</w:t>
            </w:r>
          </w:p>
          <w:p w14:paraId="76F8E26B" w14:textId="77777777" w:rsidR="00B66EDC" w:rsidRPr="002559FE" w:rsidRDefault="00B66EDC" w:rsidP="00B66EDC">
            <w:pPr>
              <w:adjustRightInd w:val="0"/>
              <w:snapToGrid w:val="0"/>
              <w:spacing w:line="360" w:lineRule="auto"/>
              <w:rPr>
                <w:rFonts w:cs="Arial"/>
                <w:sz w:val="21"/>
                <w:szCs w:val="21"/>
              </w:rPr>
            </w:pPr>
            <w:r w:rsidRPr="002559FE">
              <w:rPr>
                <w:rFonts w:cs="Arial"/>
                <w:sz w:val="21"/>
                <w:szCs w:val="21"/>
              </w:rPr>
              <w:t xml:space="preserve">This research aims to explore the impact of technology, organisation, and environment on the digital transformation of the coal mining industry and test how digital transformation impacts its performance. </w:t>
            </w:r>
          </w:p>
          <w:p w14:paraId="45131908" w14:textId="77777777" w:rsidR="00B66EDC" w:rsidRPr="00725C39" w:rsidRDefault="00B66EDC" w:rsidP="00B66EDC">
            <w:pPr>
              <w:adjustRightInd w:val="0"/>
              <w:snapToGrid w:val="0"/>
              <w:spacing w:line="360" w:lineRule="auto"/>
              <w:rPr>
                <w:rFonts w:cs="Arial"/>
                <w:b/>
                <w:bCs/>
                <w:sz w:val="21"/>
                <w:szCs w:val="21"/>
              </w:rPr>
            </w:pPr>
            <w:r w:rsidRPr="00725C39">
              <w:rPr>
                <w:rFonts w:cs="Arial"/>
                <w:b/>
                <w:bCs/>
                <w:sz w:val="21"/>
                <w:szCs w:val="21"/>
              </w:rPr>
              <w:t>Research objectives:</w:t>
            </w:r>
          </w:p>
          <w:p w14:paraId="08B432FC" w14:textId="77777777" w:rsidR="00B66EDC" w:rsidRPr="002559FE" w:rsidRDefault="00B66EDC" w:rsidP="00B66EDC">
            <w:pPr>
              <w:adjustRightInd w:val="0"/>
              <w:snapToGrid w:val="0"/>
              <w:spacing w:line="360" w:lineRule="auto"/>
              <w:rPr>
                <w:rFonts w:cs="Arial"/>
                <w:sz w:val="21"/>
                <w:szCs w:val="21"/>
              </w:rPr>
            </w:pPr>
            <w:r w:rsidRPr="002559FE">
              <w:rPr>
                <w:rFonts w:cs="Arial"/>
                <w:sz w:val="21"/>
                <w:szCs w:val="21"/>
              </w:rPr>
              <w:t xml:space="preserve">To understand the influencing factors: Identify and understand the internal and external factors that affect the digital transformation of enterprises in the coal industry. </w:t>
            </w:r>
          </w:p>
          <w:p w14:paraId="04149051" w14:textId="77777777" w:rsidR="00B66EDC" w:rsidRPr="002559FE" w:rsidRDefault="00B66EDC" w:rsidP="00B66EDC">
            <w:pPr>
              <w:adjustRightInd w:val="0"/>
              <w:snapToGrid w:val="0"/>
              <w:spacing w:line="360" w:lineRule="auto"/>
              <w:rPr>
                <w:rFonts w:cs="Arial"/>
                <w:sz w:val="21"/>
                <w:szCs w:val="21"/>
              </w:rPr>
            </w:pPr>
            <w:r w:rsidRPr="002559FE">
              <w:rPr>
                <w:rFonts w:cs="Arial"/>
                <w:sz w:val="21"/>
                <w:szCs w:val="21"/>
              </w:rPr>
              <w:lastRenderedPageBreak/>
              <w:t xml:space="preserve">To assess digital maturity: Assess the digital maturity of enterprises in the coal industry, including technology application, organizational capabilities and cultural adaptability. </w:t>
            </w:r>
          </w:p>
          <w:p w14:paraId="23F131B1" w14:textId="77777777" w:rsidR="00B66EDC" w:rsidRPr="002559FE" w:rsidRDefault="00B66EDC" w:rsidP="00B66EDC">
            <w:pPr>
              <w:adjustRightInd w:val="0"/>
              <w:snapToGrid w:val="0"/>
              <w:spacing w:line="360" w:lineRule="auto"/>
              <w:rPr>
                <w:rFonts w:cs="Arial"/>
                <w:sz w:val="21"/>
                <w:szCs w:val="21"/>
              </w:rPr>
            </w:pPr>
            <w:r w:rsidRPr="002559FE">
              <w:rPr>
                <w:rFonts w:cs="Arial"/>
                <w:sz w:val="21"/>
                <w:szCs w:val="21"/>
              </w:rPr>
              <w:t xml:space="preserve">To explore Digital Strategies: </w:t>
            </w:r>
            <w:proofErr w:type="spellStart"/>
            <w:r w:rsidRPr="002559FE">
              <w:rPr>
                <w:rFonts w:cs="Arial"/>
                <w:sz w:val="21"/>
                <w:szCs w:val="21"/>
              </w:rPr>
              <w:t>Analyze</w:t>
            </w:r>
            <w:proofErr w:type="spellEnd"/>
            <w:r w:rsidRPr="002559FE">
              <w:rPr>
                <w:rFonts w:cs="Arial"/>
                <w:sz w:val="21"/>
                <w:szCs w:val="21"/>
              </w:rPr>
              <w:t xml:space="preserve"> how companies in the coal industry develop and implement digital strategies and how these strategies align with their long-term goals and market needs. </w:t>
            </w:r>
          </w:p>
          <w:p w14:paraId="770C2AF7" w14:textId="77777777" w:rsidR="00B66EDC" w:rsidRPr="00725C39" w:rsidRDefault="00B66EDC" w:rsidP="00B66EDC">
            <w:pPr>
              <w:adjustRightInd w:val="0"/>
              <w:snapToGrid w:val="0"/>
              <w:spacing w:line="360" w:lineRule="auto"/>
              <w:rPr>
                <w:rFonts w:cs="Arial"/>
                <w:sz w:val="21"/>
                <w:szCs w:val="21"/>
              </w:rPr>
            </w:pPr>
            <w:r w:rsidRPr="002559FE">
              <w:rPr>
                <w:rFonts w:cs="Arial"/>
                <w:sz w:val="21"/>
                <w:szCs w:val="21"/>
              </w:rPr>
              <w:t>To test the impact of digital transformation on the performance of companies in the coal industry, including economic, operational and strategic performance.</w:t>
            </w:r>
          </w:p>
          <w:p w14:paraId="28D93381" w14:textId="77777777" w:rsidR="00B66EDC" w:rsidRPr="00725C39" w:rsidRDefault="00B66EDC" w:rsidP="00B66EDC">
            <w:pPr>
              <w:adjustRightInd w:val="0"/>
              <w:snapToGrid w:val="0"/>
              <w:spacing w:line="360" w:lineRule="auto"/>
              <w:rPr>
                <w:rFonts w:cs="Arial"/>
                <w:b/>
                <w:bCs/>
                <w:sz w:val="21"/>
                <w:szCs w:val="21"/>
              </w:rPr>
            </w:pPr>
            <w:r w:rsidRPr="00725C39">
              <w:rPr>
                <w:rFonts w:cs="Arial"/>
                <w:b/>
                <w:bCs/>
                <w:sz w:val="21"/>
                <w:szCs w:val="21"/>
              </w:rPr>
              <w:t xml:space="preserve">Research </w:t>
            </w:r>
            <w:proofErr w:type="spellStart"/>
            <w:r w:rsidRPr="00725C39">
              <w:rPr>
                <w:rFonts w:cs="Arial"/>
                <w:b/>
                <w:bCs/>
                <w:sz w:val="21"/>
                <w:szCs w:val="21"/>
              </w:rPr>
              <w:t>Queastion</w:t>
            </w:r>
            <w:proofErr w:type="spellEnd"/>
            <w:r w:rsidRPr="00725C39">
              <w:rPr>
                <w:rFonts w:cs="Arial"/>
                <w:b/>
                <w:bCs/>
                <w:sz w:val="21"/>
                <w:szCs w:val="21"/>
              </w:rPr>
              <w:t>:</w:t>
            </w:r>
          </w:p>
          <w:p w14:paraId="2F999363" w14:textId="77777777" w:rsidR="00B66EDC" w:rsidRPr="002559FE" w:rsidRDefault="00B66EDC" w:rsidP="00B66EDC">
            <w:pPr>
              <w:pStyle w:val="af3"/>
              <w:adjustRightInd w:val="0"/>
              <w:snapToGrid w:val="0"/>
              <w:spacing w:before="0" w:beforeAutospacing="0" w:after="0" w:afterAutospacing="0" w:line="360" w:lineRule="auto"/>
              <w:rPr>
                <w:rFonts w:ascii="Arial" w:hAnsi="Arial" w:cs="Arial"/>
                <w:sz w:val="21"/>
                <w:szCs w:val="21"/>
              </w:rPr>
            </w:pPr>
            <w:r w:rsidRPr="002559FE">
              <w:rPr>
                <w:rFonts w:ascii="Arial" w:hAnsi="Arial" w:cs="Arial"/>
                <w:sz w:val="21"/>
                <w:szCs w:val="21"/>
              </w:rPr>
              <w:t xml:space="preserve">What are the internal and external factors of the digital transformation of companies in the coal industry? </w:t>
            </w:r>
          </w:p>
          <w:p w14:paraId="31B8074B" w14:textId="77777777" w:rsidR="00B66EDC" w:rsidRPr="002559FE" w:rsidRDefault="00B66EDC" w:rsidP="00B66EDC">
            <w:pPr>
              <w:pStyle w:val="af3"/>
              <w:adjustRightInd w:val="0"/>
              <w:snapToGrid w:val="0"/>
              <w:spacing w:before="0" w:beforeAutospacing="0" w:after="0" w:afterAutospacing="0" w:line="360" w:lineRule="auto"/>
              <w:rPr>
                <w:rFonts w:ascii="Arial" w:hAnsi="Arial" w:cs="Arial"/>
                <w:sz w:val="21"/>
                <w:szCs w:val="21"/>
              </w:rPr>
            </w:pPr>
            <w:r w:rsidRPr="002559FE">
              <w:rPr>
                <w:rFonts w:ascii="Arial" w:hAnsi="Arial" w:cs="Arial"/>
                <w:sz w:val="21"/>
                <w:szCs w:val="21"/>
              </w:rPr>
              <w:t xml:space="preserve">What are the main challenges and opportunities facing the coal industry in implementing digital transformation? </w:t>
            </w:r>
          </w:p>
          <w:p w14:paraId="7BFCA946" w14:textId="77777777" w:rsidR="00B66EDC" w:rsidRPr="002559FE" w:rsidRDefault="00B66EDC" w:rsidP="00B66EDC">
            <w:pPr>
              <w:pStyle w:val="af3"/>
              <w:adjustRightInd w:val="0"/>
              <w:snapToGrid w:val="0"/>
              <w:spacing w:before="0" w:beforeAutospacing="0" w:after="0" w:afterAutospacing="0" w:line="360" w:lineRule="auto"/>
              <w:rPr>
                <w:rFonts w:ascii="Arial" w:hAnsi="Arial" w:cs="Arial"/>
                <w:sz w:val="21"/>
                <w:szCs w:val="21"/>
                <w:lang w:val="en-US"/>
              </w:rPr>
            </w:pPr>
            <w:r w:rsidRPr="002559FE">
              <w:rPr>
                <w:rFonts w:ascii="Arial" w:hAnsi="Arial" w:cs="Arial"/>
                <w:sz w:val="21"/>
                <w:szCs w:val="21"/>
              </w:rPr>
              <w:t xml:space="preserve">How does technology application can positive affect the coal industry to implement DT? </w:t>
            </w:r>
          </w:p>
          <w:p w14:paraId="26F6EB40" w14:textId="77777777" w:rsidR="00B66EDC" w:rsidRPr="002559FE" w:rsidRDefault="00B66EDC" w:rsidP="00B66EDC">
            <w:pPr>
              <w:pStyle w:val="af3"/>
              <w:adjustRightInd w:val="0"/>
              <w:snapToGrid w:val="0"/>
              <w:spacing w:before="0" w:beforeAutospacing="0" w:after="0" w:afterAutospacing="0" w:line="360" w:lineRule="auto"/>
              <w:rPr>
                <w:rFonts w:ascii="Arial" w:hAnsi="Arial" w:cs="Arial"/>
                <w:sz w:val="21"/>
                <w:szCs w:val="21"/>
              </w:rPr>
            </w:pPr>
            <w:r w:rsidRPr="002559FE">
              <w:rPr>
                <w:rFonts w:ascii="Arial" w:hAnsi="Arial" w:cs="Arial"/>
                <w:sz w:val="21"/>
                <w:szCs w:val="21"/>
              </w:rPr>
              <w:t xml:space="preserve">How does </w:t>
            </w:r>
            <w:r w:rsidRPr="002559FE">
              <w:rPr>
                <w:rFonts w:ascii="Arial" w:hAnsi="Arial" w:cs="Arial"/>
                <w:sz w:val="21"/>
                <w:szCs w:val="21"/>
                <w:lang w:eastAsia="zh-CN"/>
              </w:rPr>
              <w:t>organization</w:t>
            </w:r>
            <w:r w:rsidRPr="002559FE">
              <w:rPr>
                <w:rFonts w:ascii="Arial" w:hAnsi="Arial" w:cs="Arial"/>
                <w:sz w:val="21"/>
                <w:szCs w:val="21"/>
              </w:rPr>
              <w:t xml:space="preserve"> </w:t>
            </w:r>
            <w:r w:rsidRPr="002559FE">
              <w:rPr>
                <w:rFonts w:ascii="Arial" w:hAnsi="Arial" w:cs="Arial"/>
                <w:sz w:val="21"/>
                <w:szCs w:val="21"/>
                <w:lang w:eastAsia="zh-CN"/>
              </w:rPr>
              <w:t>performance</w:t>
            </w:r>
            <w:r w:rsidRPr="002559FE">
              <w:rPr>
                <w:rFonts w:ascii="Arial" w:hAnsi="Arial" w:cs="Arial"/>
                <w:sz w:val="21"/>
                <w:szCs w:val="21"/>
              </w:rPr>
              <w:t xml:space="preserve"> </w:t>
            </w:r>
            <w:r w:rsidRPr="002559FE">
              <w:rPr>
                <w:rFonts w:ascii="Arial" w:hAnsi="Arial" w:cs="Arial"/>
                <w:sz w:val="21"/>
                <w:szCs w:val="21"/>
                <w:lang w:val="en-US"/>
              </w:rPr>
              <w:t>(</w:t>
            </w:r>
            <w:proofErr w:type="spellStart"/>
            <w:proofErr w:type="gramStart"/>
            <w:r w:rsidRPr="002559FE">
              <w:rPr>
                <w:rFonts w:ascii="Arial" w:hAnsi="Arial" w:cs="Arial"/>
                <w:sz w:val="21"/>
                <w:szCs w:val="21"/>
                <w:lang w:val="en-US"/>
              </w:rPr>
              <w:t>eg.</w:t>
            </w:r>
            <w:proofErr w:type="spellEnd"/>
            <w:r w:rsidRPr="002559FE">
              <w:rPr>
                <w:rFonts w:ascii="Arial" w:hAnsi="Arial" w:cs="Arial"/>
                <w:sz w:val="21"/>
                <w:szCs w:val="21"/>
              </w:rPr>
              <w:t>employee</w:t>
            </w:r>
            <w:proofErr w:type="gramEnd"/>
            <w:r w:rsidRPr="002559FE">
              <w:rPr>
                <w:rFonts w:ascii="Arial" w:hAnsi="Arial" w:cs="Arial"/>
                <w:sz w:val="21"/>
                <w:szCs w:val="21"/>
              </w:rPr>
              <w:t xml:space="preserve"> digital abilities) can positive impact the coal industry to implement DT?</w:t>
            </w:r>
          </w:p>
          <w:p w14:paraId="69ABC3CC" w14:textId="77777777" w:rsidR="00B66EDC" w:rsidRPr="002559FE" w:rsidRDefault="00B66EDC" w:rsidP="00B66EDC">
            <w:pPr>
              <w:pStyle w:val="af3"/>
              <w:adjustRightInd w:val="0"/>
              <w:snapToGrid w:val="0"/>
              <w:spacing w:before="0" w:beforeAutospacing="0" w:after="0" w:afterAutospacing="0" w:line="360" w:lineRule="auto"/>
              <w:rPr>
                <w:rFonts w:ascii="Arial" w:hAnsi="Arial" w:cs="Arial"/>
                <w:sz w:val="21"/>
                <w:szCs w:val="21"/>
              </w:rPr>
            </w:pPr>
            <w:r w:rsidRPr="002559FE">
              <w:rPr>
                <w:rFonts w:ascii="Arial" w:hAnsi="Arial" w:cs="Arial"/>
                <w:sz w:val="21"/>
                <w:szCs w:val="21"/>
              </w:rPr>
              <w:t xml:space="preserve">How does DT positive affect of coal mining </w:t>
            </w:r>
            <w:proofErr w:type="gramStart"/>
            <w:r w:rsidRPr="002559FE">
              <w:rPr>
                <w:rFonts w:ascii="Arial" w:hAnsi="Arial" w:cs="Arial"/>
                <w:sz w:val="21"/>
                <w:szCs w:val="21"/>
              </w:rPr>
              <w:t>industry(</w:t>
            </w:r>
            <w:proofErr w:type="gramEnd"/>
            <w:r w:rsidRPr="002559FE">
              <w:rPr>
                <w:rFonts w:ascii="Arial" w:hAnsi="Arial" w:cs="Arial"/>
                <w:sz w:val="21"/>
                <w:szCs w:val="21"/>
              </w:rPr>
              <w:t>such as productivity, carbon natural sustainable development).</w:t>
            </w:r>
          </w:p>
          <w:p w14:paraId="387B728D" w14:textId="7D83693C" w:rsidR="00660727" w:rsidRPr="00B66EDC" w:rsidRDefault="00B66EDC" w:rsidP="00B66EDC">
            <w:pPr>
              <w:autoSpaceDE w:val="0"/>
              <w:autoSpaceDN w:val="0"/>
              <w:adjustRightInd w:val="0"/>
              <w:snapToGrid w:val="0"/>
              <w:spacing w:line="360" w:lineRule="auto"/>
              <w:rPr>
                <w:rFonts w:cs="Arial"/>
                <w:sz w:val="22"/>
                <w:szCs w:val="22"/>
                <w:lang w:eastAsia="zh-CN"/>
              </w:rPr>
            </w:pPr>
            <w:r w:rsidRPr="002559FE">
              <w:rPr>
                <w:rFonts w:cs="Arial"/>
                <w:sz w:val="21"/>
                <w:szCs w:val="21"/>
              </w:rPr>
              <w:t>How does DT positive affect the of supply chain management of coal mining industry.</w:t>
            </w:r>
          </w:p>
        </w:tc>
      </w:tr>
      <w:tr w:rsidR="00660727" w:rsidRPr="00A830D5" w14:paraId="241A6E18" w14:textId="77777777" w:rsidTr="00AC4DCF">
        <w:trPr>
          <w:trHeight w:val="397"/>
        </w:trPr>
        <w:tc>
          <w:tcPr>
            <w:tcW w:w="9781" w:type="dxa"/>
            <w:shd w:val="clear" w:color="auto" w:fill="F2F2F2" w:themeFill="background1" w:themeFillShade="F2"/>
            <w:vAlign w:val="center"/>
          </w:tcPr>
          <w:p w14:paraId="07D7957E" w14:textId="77777777" w:rsidR="00660727" w:rsidRPr="00A830D5" w:rsidRDefault="00660727" w:rsidP="00E04FED">
            <w:pPr>
              <w:rPr>
                <w:rFonts w:cs="Arial"/>
                <w:sz w:val="22"/>
                <w:szCs w:val="22"/>
              </w:rPr>
            </w:pPr>
          </w:p>
          <w:p w14:paraId="748EC4A2" w14:textId="69E27A6E" w:rsidR="00660727" w:rsidRPr="00A830D5" w:rsidRDefault="00660727" w:rsidP="00A67160">
            <w:pPr>
              <w:rPr>
                <w:rFonts w:cs="Arial"/>
                <w:sz w:val="22"/>
                <w:szCs w:val="22"/>
              </w:rPr>
            </w:pPr>
            <w:r w:rsidRPr="00A830D5">
              <w:rPr>
                <w:rFonts w:cs="Arial"/>
                <w:sz w:val="22"/>
                <w:szCs w:val="22"/>
              </w:rPr>
              <w:t xml:space="preserve">Proposed plan of work </w:t>
            </w:r>
            <w:r w:rsidR="009905BC" w:rsidRPr="00A830D5">
              <w:rPr>
                <w:rFonts w:cs="Arial"/>
                <w:sz w:val="22"/>
                <w:szCs w:val="22"/>
              </w:rPr>
              <w:t xml:space="preserve">including timetable </w:t>
            </w:r>
          </w:p>
        </w:tc>
      </w:tr>
      <w:tr w:rsidR="00C74109" w:rsidRPr="00A830D5" w14:paraId="4B5AB186" w14:textId="77777777" w:rsidTr="00AC4DCF">
        <w:trPr>
          <w:trHeight w:val="397"/>
        </w:trPr>
        <w:tc>
          <w:tcPr>
            <w:tcW w:w="9781" w:type="dxa"/>
          </w:tcPr>
          <w:p w14:paraId="74ED2DBE" w14:textId="77777777" w:rsidR="00C74109" w:rsidRPr="00A830D5" w:rsidRDefault="00C74109" w:rsidP="00C74109">
            <w:pPr>
              <w:rPr>
                <w:rFonts w:cs="Arial"/>
                <w:i/>
                <w:sz w:val="22"/>
                <w:szCs w:val="22"/>
              </w:rPr>
            </w:pPr>
            <w:r w:rsidRPr="00A830D5">
              <w:rPr>
                <w:rFonts w:cs="Arial"/>
                <w:i/>
                <w:sz w:val="22"/>
                <w:szCs w:val="22"/>
              </w:rPr>
              <w:t>Proposed plan of work</w:t>
            </w:r>
          </w:p>
          <w:p w14:paraId="4A00C2B7" w14:textId="77777777" w:rsidR="00C74109" w:rsidRPr="00A830D5" w:rsidRDefault="00C74109" w:rsidP="00C74109">
            <w:pPr>
              <w:rPr>
                <w:rFonts w:cs="Arial"/>
                <w:sz w:val="22"/>
                <w:szCs w:val="22"/>
              </w:rPr>
            </w:pPr>
          </w:p>
          <w:p w14:paraId="1A3AC784" w14:textId="347785FC" w:rsidR="00C74109" w:rsidRPr="00A830D5" w:rsidRDefault="00C74109" w:rsidP="00C74109">
            <w:pPr>
              <w:rPr>
                <w:rFonts w:cs="Arial"/>
                <w:sz w:val="22"/>
                <w:szCs w:val="22"/>
              </w:rPr>
            </w:pPr>
            <w:r w:rsidRPr="00A830D5">
              <w:rPr>
                <w:rFonts w:cs="Arial"/>
                <w:sz w:val="22"/>
                <w:szCs w:val="22"/>
              </w:rPr>
              <w:t xml:space="preserve">In this section you will need to complete a proposed plan of your work explaining the timeline for key elements of the thesis. This can be set out as a table like below or as a </w:t>
            </w:r>
            <w:proofErr w:type="spellStart"/>
            <w:r w:rsidRPr="00A830D5">
              <w:rPr>
                <w:rFonts w:cs="Arial"/>
                <w:sz w:val="22"/>
                <w:szCs w:val="22"/>
              </w:rPr>
              <w:t>gantt</w:t>
            </w:r>
            <w:proofErr w:type="spellEnd"/>
            <w:r w:rsidRPr="00A830D5">
              <w:rPr>
                <w:rFonts w:cs="Arial"/>
                <w:sz w:val="22"/>
                <w:szCs w:val="22"/>
              </w:rPr>
              <w:t xml:space="preserve"> chart (for example)</w:t>
            </w:r>
          </w:p>
          <w:p w14:paraId="7CF22867" w14:textId="77777777" w:rsidR="00C74109" w:rsidRPr="00A830D5" w:rsidRDefault="00C74109" w:rsidP="00C74109">
            <w:pPr>
              <w:rPr>
                <w:rFonts w:cs="Arial"/>
                <w:sz w:val="22"/>
                <w:szCs w:val="22"/>
              </w:rPr>
            </w:pPr>
          </w:p>
          <w:p w14:paraId="7DC10DD9" w14:textId="2C8BF70A" w:rsidR="00D03BB7" w:rsidRDefault="00C74109" w:rsidP="00C74109">
            <w:pPr>
              <w:rPr>
                <w:rFonts w:cs="Arial"/>
                <w:sz w:val="22"/>
                <w:szCs w:val="22"/>
              </w:rPr>
            </w:pPr>
            <w:r w:rsidRPr="00A830D5">
              <w:rPr>
                <w:rFonts w:cs="Arial"/>
                <w:sz w:val="22"/>
                <w:szCs w:val="22"/>
              </w:rPr>
              <w:t xml:space="preserve">This plan should indicate that the research will be completed by the end of the </w:t>
            </w:r>
            <w:proofErr w:type="gramStart"/>
            <w:r w:rsidRPr="00A830D5">
              <w:rPr>
                <w:rFonts w:cs="Arial"/>
                <w:sz w:val="22"/>
                <w:szCs w:val="22"/>
              </w:rPr>
              <w:t>fee paying</w:t>
            </w:r>
            <w:proofErr w:type="gramEnd"/>
            <w:r w:rsidRPr="00A830D5">
              <w:rPr>
                <w:rFonts w:cs="Arial"/>
                <w:sz w:val="22"/>
                <w:szCs w:val="22"/>
              </w:rPr>
              <w:t xml:space="preserve"> period (the minimum period of candidature.</w:t>
            </w:r>
          </w:p>
          <w:p w14:paraId="41B59C7D" w14:textId="5FEB95BD" w:rsidR="00D03BB7" w:rsidRDefault="00D03BB7" w:rsidP="00C74109">
            <w:pPr>
              <w:rPr>
                <w:rFonts w:cs="Arial"/>
                <w:sz w:val="22"/>
                <w:szCs w:val="22"/>
              </w:rPr>
            </w:pPr>
          </w:p>
          <w:tbl>
            <w:tblPr>
              <w:tblStyle w:val="ac"/>
              <w:tblW w:w="0" w:type="auto"/>
              <w:tblLayout w:type="fixed"/>
              <w:tblLook w:val="04A0" w:firstRow="1" w:lastRow="0" w:firstColumn="1" w:lastColumn="0" w:noHBand="0" w:noVBand="1"/>
            </w:tblPr>
            <w:tblGrid>
              <w:gridCol w:w="4777"/>
              <w:gridCol w:w="4778"/>
            </w:tblGrid>
            <w:tr w:rsidR="00D03BB7" w14:paraId="0020089C" w14:textId="77777777" w:rsidTr="00D03BB7">
              <w:tc>
                <w:tcPr>
                  <w:tcW w:w="4777" w:type="dxa"/>
                </w:tcPr>
                <w:p w14:paraId="1C1EAD3D" w14:textId="75AD2086" w:rsidR="00D03BB7" w:rsidRDefault="00D03BB7" w:rsidP="00C74109">
                  <w:pPr>
                    <w:rPr>
                      <w:rFonts w:cs="Arial"/>
                      <w:sz w:val="22"/>
                      <w:szCs w:val="22"/>
                    </w:rPr>
                  </w:pPr>
                  <w:r>
                    <w:rPr>
                      <w:rFonts w:cs="Arial"/>
                      <w:sz w:val="22"/>
                      <w:szCs w:val="22"/>
                    </w:rPr>
                    <w:t>Planned Development (e.g. submission of form, completion of chapter, submission of thesis)</w:t>
                  </w:r>
                </w:p>
              </w:tc>
              <w:tc>
                <w:tcPr>
                  <w:tcW w:w="4778" w:type="dxa"/>
                </w:tcPr>
                <w:p w14:paraId="5FE8C6D0" w14:textId="6B4B2020" w:rsidR="00D03BB7" w:rsidRDefault="00D03BB7" w:rsidP="00C74109">
                  <w:pPr>
                    <w:rPr>
                      <w:rFonts w:cs="Arial"/>
                      <w:sz w:val="22"/>
                      <w:szCs w:val="22"/>
                    </w:rPr>
                  </w:pPr>
                  <w:r>
                    <w:rPr>
                      <w:rFonts w:cs="Arial"/>
                      <w:sz w:val="22"/>
                      <w:szCs w:val="22"/>
                    </w:rPr>
                    <w:t>Target Date</w:t>
                  </w:r>
                </w:p>
              </w:tc>
            </w:tr>
            <w:tr w:rsidR="00D03BB7" w14:paraId="64372C61" w14:textId="77777777" w:rsidTr="00D03BB7">
              <w:tc>
                <w:tcPr>
                  <w:tcW w:w="4777" w:type="dxa"/>
                </w:tcPr>
                <w:p w14:paraId="67F7037D" w14:textId="4F901C54" w:rsidR="00D03BB7" w:rsidRDefault="000A54CF" w:rsidP="00C74109">
                  <w:pPr>
                    <w:rPr>
                      <w:rFonts w:cs="Arial"/>
                      <w:sz w:val="22"/>
                      <w:szCs w:val="22"/>
                    </w:rPr>
                  </w:pPr>
                  <w:r w:rsidRPr="00186A02">
                    <w:rPr>
                      <w:rFonts w:cs="Arial"/>
                      <w:sz w:val="22"/>
                      <w:szCs w:val="22"/>
                      <w:lang w:eastAsia="zh-CN"/>
                    </w:rPr>
                    <w:t>S</w:t>
                  </w:r>
                  <w:r w:rsidRPr="00186A02">
                    <w:rPr>
                      <w:rFonts w:cs="Arial" w:hint="eastAsia"/>
                      <w:sz w:val="22"/>
                      <w:szCs w:val="22"/>
                      <w:lang w:eastAsia="zh-CN"/>
                    </w:rPr>
                    <w:t>ubmission of the proposal form</w:t>
                  </w:r>
                </w:p>
              </w:tc>
              <w:tc>
                <w:tcPr>
                  <w:tcW w:w="4778" w:type="dxa"/>
                </w:tcPr>
                <w:p w14:paraId="0A4DC2CF" w14:textId="12F5A837" w:rsidR="00D03BB7" w:rsidRPr="000A54CF" w:rsidRDefault="000A54CF" w:rsidP="00C74109">
                  <w:pPr>
                    <w:rPr>
                      <w:rFonts w:cs="Arial"/>
                      <w:sz w:val="22"/>
                      <w:szCs w:val="22"/>
                      <w:lang w:val="en-US"/>
                    </w:rPr>
                  </w:pPr>
                  <w:r>
                    <w:rPr>
                      <w:rFonts w:cs="Arial" w:hint="eastAsia"/>
                      <w:sz w:val="22"/>
                      <w:szCs w:val="22"/>
                      <w:lang w:eastAsia="zh-CN"/>
                    </w:rPr>
                    <w:t>Oct</w:t>
                  </w:r>
                  <w:r>
                    <w:rPr>
                      <w:rFonts w:cs="Arial"/>
                      <w:sz w:val="22"/>
                      <w:szCs w:val="22"/>
                      <w:lang w:val="en-US" w:eastAsia="zh-CN"/>
                    </w:rPr>
                    <w:t>.2024</w:t>
                  </w:r>
                </w:p>
              </w:tc>
            </w:tr>
            <w:tr w:rsidR="000A54CF" w14:paraId="36650FF3" w14:textId="77777777" w:rsidTr="00D03BB7">
              <w:tc>
                <w:tcPr>
                  <w:tcW w:w="4777" w:type="dxa"/>
                </w:tcPr>
                <w:p w14:paraId="33AE7362" w14:textId="70E10192" w:rsidR="000A54CF" w:rsidRDefault="000A54CF" w:rsidP="000A54CF">
                  <w:pPr>
                    <w:rPr>
                      <w:rFonts w:cs="Arial"/>
                      <w:sz w:val="22"/>
                      <w:szCs w:val="22"/>
                    </w:rPr>
                  </w:pPr>
                  <w:r w:rsidRPr="00186A02">
                    <w:rPr>
                      <w:rFonts w:cs="Arial"/>
                      <w:sz w:val="22"/>
                      <w:szCs w:val="22"/>
                      <w:lang w:eastAsia="zh-CN"/>
                    </w:rPr>
                    <w:t>L</w:t>
                  </w:r>
                  <w:r w:rsidRPr="00186A02">
                    <w:rPr>
                      <w:rFonts w:cs="Arial" w:hint="eastAsia"/>
                      <w:sz w:val="22"/>
                      <w:szCs w:val="22"/>
                      <w:lang w:eastAsia="zh-CN"/>
                    </w:rPr>
                    <w:t>iterature review</w:t>
                  </w:r>
                  <w:r w:rsidRPr="00186A02">
                    <w:rPr>
                      <w:rFonts w:cs="Arial"/>
                      <w:sz w:val="22"/>
                      <w:szCs w:val="22"/>
                      <w:lang w:eastAsia="zh-CN"/>
                    </w:rPr>
                    <w:t>, first draft</w:t>
                  </w:r>
                </w:p>
              </w:tc>
              <w:tc>
                <w:tcPr>
                  <w:tcW w:w="4778" w:type="dxa"/>
                </w:tcPr>
                <w:p w14:paraId="468D50E4" w14:textId="2E5CABD4" w:rsidR="000A54CF" w:rsidRDefault="000A54CF" w:rsidP="000A54CF">
                  <w:pPr>
                    <w:rPr>
                      <w:rFonts w:cs="Arial"/>
                      <w:sz w:val="22"/>
                      <w:szCs w:val="22"/>
                    </w:rPr>
                  </w:pPr>
                  <w:r>
                    <w:rPr>
                      <w:rFonts w:cs="Arial"/>
                      <w:sz w:val="22"/>
                      <w:szCs w:val="22"/>
                    </w:rPr>
                    <w:t>Nov.2024</w:t>
                  </w:r>
                </w:p>
              </w:tc>
            </w:tr>
            <w:tr w:rsidR="000A54CF" w14:paraId="1B757E2B" w14:textId="77777777" w:rsidTr="00D03BB7">
              <w:tc>
                <w:tcPr>
                  <w:tcW w:w="4777" w:type="dxa"/>
                </w:tcPr>
                <w:p w14:paraId="5E219DF0" w14:textId="0306425E" w:rsidR="000A54CF" w:rsidRDefault="000A54CF" w:rsidP="000A54CF">
                  <w:pPr>
                    <w:rPr>
                      <w:rFonts w:cs="Arial"/>
                      <w:sz w:val="22"/>
                      <w:szCs w:val="22"/>
                    </w:rPr>
                  </w:pPr>
                  <w:r w:rsidRPr="00186A02">
                    <w:rPr>
                      <w:rFonts w:cs="Arial"/>
                      <w:sz w:val="22"/>
                      <w:szCs w:val="22"/>
                      <w:lang w:eastAsia="zh-CN"/>
                    </w:rPr>
                    <w:t>Literature review,</w:t>
                  </w:r>
                  <w:r w:rsidRPr="00186A02">
                    <w:rPr>
                      <w:rFonts w:cs="Arial" w:hint="eastAsia"/>
                      <w:sz w:val="22"/>
                      <w:szCs w:val="22"/>
                      <w:lang w:eastAsia="zh-CN"/>
                    </w:rPr>
                    <w:t xml:space="preserve"> final version</w:t>
                  </w:r>
                </w:p>
              </w:tc>
              <w:tc>
                <w:tcPr>
                  <w:tcW w:w="4778" w:type="dxa"/>
                </w:tcPr>
                <w:p w14:paraId="4AB4F706" w14:textId="31346CBC" w:rsidR="000A54CF" w:rsidRDefault="000A54CF" w:rsidP="000A54CF">
                  <w:pPr>
                    <w:rPr>
                      <w:rFonts w:cs="Arial"/>
                      <w:sz w:val="22"/>
                      <w:szCs w:val="22"/>
                    </w:rPr>
                  </w:pPr>
                  <w:r>
                    <w:rPr>
                      <w:rFonts w:cs="Arial"/>
                      <w:sz w:val="22"/>
                      <w:szCs w:val="22"/>
                    </w:rPr>
                    <w:t>Jan.2025</w:t>
                  </w:r>
                </w:p>
              </w:tc>
            </w:tr>
            <w:tr w:rsidR="000A54CF" w14:paraId="5338B337" w14:textId="77777777" w:rsidTr="00D03BB7">
              <w:tc>
                <w:tcPr>
                  <w:tcW w:w="4777" w:type="dxa"/>
                </w:tcPr>
                <w:p w14:paraId="0575FB0F" w14:textId="222CBB3C" w:rsidR="000A54CF" w:rsidRDefault="000A54CF" w:rsidP="000A54CF">
                  <w:pPr>
                    <w:rPr>
                      <w:rFonts w:cs="Arial"/>
                      <w:sz w:val="22"/>
                      <w:szCs w:val="22"/>
                    </w:rPr>
                  </w:pPr>
                  <w:r w:rsidRPr="00186A02">
                    <w:rPr>
                      <w:rFonts w:cs="Arial" w:hint="eastAsia"/>
                      <w:sz w:val="22"/>
                      <w:szCs w:val="22"/>
                      <w:lang w:eastAsia="zh-CN"/>
                    </w:rPr>
                    <w:t>Methodology</w:t>
                  </w:r>
                </w:p>
              </w:tc>
              <w:tc>
                <w:tcPr>
                  <w:tcW w:w="4778" w:type="dxa"/>
                </w:tcPr>
                <w:p w14:paraId="1A2D3436" w14:textId="4071B326" w:rsidR="000A54CF" w:rsidRDefault="000A54CF" w:rsidP="000A54CF">
                  <w:pPr>
                    <w:rPr>
                      <w:rFonts w:cs="Arial"/>
                      <w:sz w:val="22"/>
                      <w:szCs w:val="22"/>
                    </w:rPr>
                  </w:pPr>
                  <w:r>
                    <w:rPr>
                      <w:rFonts w:cs="Arial"/>
                      <w:sz w:val="22"/>
                      <w:szCs w:val="22"/>
                    </w:rPr>
                    <w:t>Apr.2025</w:t>
                  </w:r>
                </w:p>
              </w:tc>
            </w:tr>
            <w:tr w:rsidR="000A54CF" w14:paraId="6540A238" w14:textId="77777777" w:rsidTr="00D03BB7">
              <w:tc>
                <w:tcPr>
                  <w:tcW w:w="4777" w:type="dxa"/>
                </w:tcPr>
                <w:p w14:paraId="41401647" w14:textId="2917B149" w:rsidR="000A54CF" w:rsidRDefault="000A54CF" w:rsidP="000A54CF">
                  <w:pPr>
                    <w:rPr>
                      <w:rFonts w:cs="Arial"/>
                      <w:sz w:val="22"/>
                      <w:szCs w:val="22"/>
                    </w:rPr>
                  </w:pPr>
                  <w:r w:rsidRPr="00186A02">
                    <w:rPr>
                      <w:rFonts w:cs="Arial"/>
                      <w:sz w:val="22"/>
                      <w:szCs w:val="22"/>
                      <w:lang w:eastAsia="zh-CN"/>
                    </w:rPr>
                    <w:t>D</w:t>
                  </w:r>
                  <w:r w:rsidRPr="00186A02">
                    <w:rPr>
                      <w:rFonts w:cs="Arial" w:hint="eastAsia"/>
                      <w:sz w:val="22"/>
                      <w:szCs w:val="22"/>
                      <w:lang w:eastAsia="zh-CN"/>
                    </w:rPr>
                    <w:t>ata collection</w:t>
                  </w:r>
                </w:p>
              </w:tc>
              <w:tc>
                <w:tcPr>
                  <w:tcW w:w="4778" w:type="dxa"/>
                </w:tcPr>
                <w:p w14:paraId="52A37EB4" w14:textId="500CEF86" w:rsidR="000A54CF" w:rsidRDefault="000A54CF" w:rsidP="000A54CF">
                  <w:pPr>
                    <w:rPr>
                      <w:rFonts w:cs="Arial"/>
                      <w:sz w:val="22"/>
                      <w:szCs w:val="22"/>
                    </w:rPr>
                  </w:pPr>
                  <w:r>
                    <w:rPr>
                      <w:rFonts w:cs="Arial"/>
                      <w:sz w:val="22"/>
                      <w:szCs w:val="22"/>
                    </w:rPr>
                    <w:t>July.2025</w:t>
                  </w:r>
                </w:p>
              </w:tc>
            </w:tr>
            <w:tr w:rsidR="000A54CF" w14:paraId="638CEA28" w14:textId="77777777" w:rsidTr="00D03BB7">
              <w:tc>
                <w:tcPr>
                  <w:tcW w:w="4777" w:type="dxa"/>
                </w:tcPr>
                <w:p w14:paraId="7B9C2E95" w14:textId="0CF908C0" w:rsidR="000A54CF" w:rsidRDefault="000A54CF" w:rsidP="000A54CF">
                  <w:pPr>
                    <w:rPr>
                      <w:rFonts w:cs="Arial"/>
                      <w:sz w:val="22"/>
                      <w:szCs w:val="22"/>
                    </w:rPr>
                  </w:pPr>
                  <w:r w:rsidRPr="00186A02">
                    <w:rPr>
                      <w:rFonts w:cs="Arial"/>
                      <w:sz w:val="22"/>
                      <w:szCs w:val="22"/>
                      <w:lang w:eastAsia="zh-CN"/>
                    </w:rPr>
                    <w:t>D</w:t>
                  </w:r>
                  <w:r w:rsidRPr="00186A02">
                    <w:rPr>
                      <w:rFonts w:cs="Arial" w:hint="eastAsia"/>
                      <w:sz w:val="22"/>
                      <w:szCs w:val="22"/>
                      <w:lang w:eastAsia="zh-CN"/>
                    </w:rPr>
                    <w:t>ata analysis</w:t>
                  </w:r>
                </w:p>
              </w:tc>
              <w:tc>
                <w:tcPr>
                  <w:tcW w:w="4778" w:type="dxa"/>
                </w:tcPr>
                <w:p w14:paraId="31B40E14" w14:textId="076A2367" w:rsidR="000A54CF" w:rsidRDefault="000A54CF" w:rsidP="000A54CF">
                  <w:pPr>
                    <w:rPr>
                      <w:rFonts w:cs="Arial"/>
                      <w:sz w:val="22"/>
                      <w:szCs w:val="22"/>
                    </w:rPr>
                  </w:pPr>
                  <w:r>
                    <w:rPr>
                      <w:rFonts w:cs="Arial"/>
                      <w:sz w:val="22"/>
                      <w:szCs w:val="22"/>
                    </w:rPr>
                    <w:t>Oct.2025</w:t>
                  </w:r>
                </w:p>
              </w:tc>
            </w:tr>
            <w:tr w:rsidR="000A54CF" w14:paraId="63C12E6B" w14:textId="77777777" w:rsidTr="00D03BB7">
              <w:tc>
                <w:tcPr>
                  <w:tcW w:w="4777" w:type="dxa"/>
                </w:tcPr>
                <w:p w14:paraId="3EFD78DC" w14:textId="051EB21D" w:rsidR="000A54CF" w:rsidRPr="00186A02" w:rsidRDefault="000A54CF" w:rsidP="000A54CF">
                  <w:pPr>
                    <w:rPr>
                      <w:rFonts w:cs="Arial"/>
                      <w:sz w:val="22"/>
                      <w:szCs w:val="22"/>
                      <w:lang w:eastAsia="zh-CN"/>
                    </w:rPr>
                  </w:pPr>
                  <w:r w:rsidRPr="00186A02">
                    <w:rPr>
                      <w:rFonts w:cs="Arial"/>
                      <w:sz w:val="22"/>
                      <w:szCs w:val="22"/>
                      <w:lang w:eastAsia="zh-CN"/>
                    </w:rPr>
                    <w:t>Write up Findings and Discussion</w:t>
                  </w:r>
                </w:p>
              </w:tc>
              <w:tc>
                <w:tcPr>
                  <w:tcW w:w="4778" w:type="dxa"/>
                </w:tcPr>
                <w:p w14:paraId="1D1257DB" w14:textId="44A35020" w:rsidR="000A54CF" w:rsidRDefault="000A54CF" w:rsidP="000A54CF">
                  <w:pPr>
                    <w:rPr>
                      <w:rFonts w:cs="Arial"/>
                      <w:sz w:val="22"/>
                      <w:szCs w:val="22"/>
                    </w:rPr>
                  </w:pPr>
                  <w:r>
                    <w:rPr>
                      <w:rFonts w:cs="Arial"/>
                      <w:sz w:val="22"/>
                      <w:szCs w:val="22"/>
                    </w:rPr>
                    <w:t>Jan.2026</w:t>
                  </w:r>
                </w:p>
              </w:tc>
            </w:tr>
            <w:tr w:rsidR="000A54CF" w14:paraId="73F676A6" w14:textId="77777777" w:rsidTr="00D03BB7">
              <w:tc>
                <w:tcPr>
                  <w:tcW w:w="4777" w:type="dxa"/>
                </w:tcPr>
                <w:p w14:paraId="1B249BE5" w14:textId="5132B045" w:rsidR="000A54CF" w:rsidRPr="00186A02" w:rsidRDefault="000A54CF" w:rsidP="000A54CF">
                  <w:pPr>
                    <w:rPr>
                      <w:rFonts w:cs="Arial"/>
                      <w:sz w:val="22"/>
                      <w:szCs w:val="22"/>
                      <w:lang w:eastAsia="zh-CN"/>
                    </w:rPr>
                  </w:pPr>
                  <w:r w:rsidRPr="00186A02">
                    <w:rPr>
                      <w:rFonts w:cs="Arial"/>
                      <w:sz w:val="22"/>
                      <w:szCs w:val="22"/>
                      <w:lang w:eastAsia="zh-CN"/>
                    </w:rPr>
                    <w:t>Write up</w:t>
                  </w:r>
                  <w:r w:rsidRPr="00186A02">
                    <w:rPr>
                      <w:rFonts w:cs="Arial" w:hint="eastAsia"/>
                      <w:sz w:val="22"/>
                      <w:szCs w:val="22"/>
                      <w:lang w:eastAsia="zh-CN"/>
                    </w:rPr>
                    <w:t xml:space="preserve"> conclusion </w:t>
                  </w:r>
                </w:p>
              </w:tc>
              <w:tc>
                <w:tcPr>
                  <w:tcW w:w="4778" w:type="dxa"/>
                </w:tcPr>
                <w:p w14:paraId="667D6772" w14:textId="378320B3" w:rsidR="000A54CF" w:rsidRDefault="000A54CF" w:rsidP="000A54CF">
                  <w:pPr>
                    <w:rPr>
                      <w:rFonts w:cs="Arial"/>
                      <w:sz w:val="22"/>
                      <w:szCs w:val="22"/>
                    </w:rPr>
                  </w:pPr>
                  <w:r>
                    <w:rPr>
                      <w:rFonts w:cs="Arial"/>
                      <w:sz w:val="22"/>
                      <w:szCs w:val="22"/>
                    </w:rPr>
                    <w:t>Mar.2026</w:t>
                  </w:r>
                </w:p>
              </w:tc>
            </w:tr>
            <w:tr w:rsidR="000A54CF" w14:paraId="1654FA81" w14:textId="77777777" w:rsidTr="00D03BB7">
              <w:tc>
                <w:tcPr>
                  <w:tcW w:w="4777" w:type="dxa"/>
                </w:tcPr>
                <w:p w14:paraId="29C96782" w14:textId="551AE880" w:rsidR="000A54CF" w:rsidRPr="00186A02" w:rsidRDefault="000A54CF" w:rsidP="000A54CF">
                  <w:pPr>
                    <w:rPr>
                      <w:rFonts w:cs="Arial"/>
                      <w:sz w:val="22"/>
                      <w:szCs w:val="22"/>
                      <w:lang w:eastAsia="zh-CN"/>
                    </w:rPr>
                  </w:pPr>
                  <w:r w:rsidRPr="00186A02">
                    <w:rPr>
                      <w:rFonts w:cs="Arial"/>
                      <w:sz w:val="22"/>
                      <w:szCs w:val="22"/>
                      <w:lang w:val="cy-GB"/>
                    </w:rPr>
                    <w:t>Footnotes and references</w:t>
                  </w:r>
                </w:p>
              </w:tc>
              <w:tc>
                <w:tcPr>
                  <w:tcW w:w="4778" w:type="dxa"/>
                </w:tcPr>
                <w:p w14:paraId="2E949CED" w14:textId="6412FFFE" w:rsidR="000A54CF" w:rsidRDefault="000A54CF" w:rsidP="000A54CF">
                  <w:pPr>
                    <w:rPr>
                      <w:rFonts w:cs="Arial"/>
                      <w:sz w:val="22"/>
                      <w:szCs w:val="22"/>
                    </w:rPr>
                  </w:pPr>
                  <w:r>
                    <w:rPr>
                      <w:rFonts w:cs="Arial"/>
                      <w:sz w:val="22"/>
                      <w:szCs w:val="22"/>
                    </w:rPr>
                    <w:t>April.2026</w:t>
                  </w:r>
                </w:p>
              </w:tc>
            </w:tr>
            <w:tr w:rsidR="000A54CF" w14:paraId="513440CF" w14:textId="77777777" w:rsidTr="00D03BB7">
              <w:tc>
                <w:tcPr>
                  <w:tcW w:w="4777" w:type="dxa"/>
                </w:tcPr>
                <w:p w14:paraId="7353AD9F" w14:textId="5CA731C5" w:rsidR="000A54CF" w:rsidRPr="00186A02" w:rsidRDefault="000A54CF" w:rsidP="000A54CF">
                  <w:pPr>
                    <w:rPr>
                      <w:rFonts w:cs="Arial"/>
                      <w:sz w:val="22"/>
                      <w:szCs w:val="22"/>
                      <w:lang w:val="cy-GB"/>
                    </w:rPr>
                  </w:pPr>
                  <w:r w:rsidRPr="00186A02">
                    <w:rPr>
                      <w:rFonts w:cs="Arial"/>
                      <w:sz w:val="22"/>
                      <w:szCs w:val="22"/>
                      <w:lang w:eastAsia="zh-CN"/>
                    </w:rPr>
                    <w:t>S</w:t>
                  </w:r>
                  <w:r w:rsidRPr="00186A02">
                    <w:rPr>
                      <w:rFonts w:cs="Arial" w:hint="eastAsia"/>
                      <w:sz w:val="22"/>
                      <w:szCs w:val="22"/>
                      <w:lang w:eastAsia="zh-CN"/>
                    </w:rPr>
                    <w:t>ubmission of thesis</w:t>
                  </w:r>
                </w:p>
              </w:tc>
              <w:tc>
                <w:tcPr>
                  <w:tcW w:w="4778" w:type="dxa"/>
                </w:tcPr>
                <w:p w14:paraId="6C38918A" w14:textId="666DB836" w:rsidR="000A54CF" w:rsidRDefault="000A54CF" w:rsidP="000A54CF">
                  <w:pPr>
                    <w:rPr>
                      <w:rFonts w:cs="Arial"/>
                      <w:sz w:val="22"/>
                      <w:szCs w:val="22"/>
                    </w:rPr>
                  </w:pPr>
                  <w:r>
                    <w:rPr>
                      <w:rFonts w:cs="Arial"/>
                      <w:sz w:val="22"/>
                      <w:szCs w:val="22"/>
                    </w:rPr>
                    <w:t>April.2026</w:t>
                  </w:r>
                </w:p>
              </w:tc>
            </w:tr>
          </w:tbl>
          <w:p w14:paraId="1660C1B3" w14:textId="7F30ED16" w:rsidR="00D03BB7" w:rsidRDefault="00D03BB7" w:rsidP="00C74109">
            <w:pPr>
              <w:rPr>
                <w:rFonts w:cs="Arial"/>
                <w:sz w:val="22"/>
                <w:szCs w:val="22"/>
              </w:rPr>
            </w:pPr>
          </w:p>
          <w:p w14:paraId="24FE5048" w14:textId="77777777" w:rsidR="00C74109" w:rsidRPr="00A830D5" w:rsidRDefault="00C74109" w:rsidP="00C74109">
            <w:pPr>
              <w:rPr>
                <w:rFonts w:cs="Arial"/>
                <w:sz w:val="22"/>
                <w:szCs w:val="22"/>
              </w:rPr>
            </w:pPr>
          </w:p>
        </w:tc>
      </w:tr>
      <w:tr w:rsidR="00C74109" w:rsidRPr="00A830D5" w14:paraId="061C7CB3" w14:textId="77777777" w:rsidTr="00AC4DCF">
        <w:trPr>
          <w:trHeight w:val="397"/>
        </w:trPr>
        <w:tc>
          <w:tcPr>
            <w:tcW w:w="9781" w:type="dxa"/>
            <w:shd w:val="clear" w:color="auto" w:fill="F2F2F2" w:themeFill="background1" w:themeFillShade="F2"/>
            <w:vAlign w:val="center"/>
          </w:tcPr>
          <w:p w14:paraId="71593393" w14:textId="77777777" w:rsidR="00C74109" w:rsidRPr="00A830D5" w:rsidRDefault="00C74109" w:rsidP="00C74109">
            <w:pPr>
              <w:rPr>
                <w:rFonts w:cs="Arial"/>
                <w:sz w:val="22"/>
                <w:szCs w:val="22"/>
              </w:rPr>
            </w:pPr>
            <w:r w:rsidRPr="00A830D5">
              <w:rPr>
                <w:rFonts w:cs="Arial"/>
                <w:sz w:val="22"/>
                <w:szCs w:val="22"/>
              </w:rPr>
              <w:t>Proposed methodology (approx. 500 words):</w:t>
            </w:r>
          </w:p>
        </w:tc>
      </w:tr>
      <w:tr w:rsidR="00C74109" w:rsidRPr="00A830D5" w14:paraId="307117B5" w14:textId="77777777" w:rsidTr="00AC4DCF">
        <w:trPr>
          <w:trHeight w:val="397"/>
        </w:trPr>
        <w:tc>
          <w:tcPr>
            <w:tcW w:w="9781" w:type="dxa"/>
            <w:vAlign w:val="center"/>
          </w:tcPr>
          <w:p w14:paraId="77F7D19E" w14:textId="77777777" w:rsidR="00C60979" w:rsidRPr="00C60979" w:rsidRDefault="00C60979" w:rsidP="00C60979">
            <w:pPr>
              <w:adjustRightInd w:val="0"/>
              <w:snapToGrid w:val="0"/>
              <w:spacing w:line="360" w:lineRule="auto"/>
              <w:rPr>
                <w:rFonts w:cs="Arial"/>
                <w:b/>
                <w:bCs/>
                <w:sz w:val="21"/>
                <w:szCs w:val="21"/>
              </w:rPr>
            </w:pPr>
            <w:r w:rsidRPr="00C60979">
              <w:rPr>
                <w:rFonts w:cs="Arial"/>
                <w:b/>
                <w:bCs/>
                <w:sz w:val="21"/>
                <w:szCs w:val="21"/>
              </w:rPr>
              <w:lastRenderedPageBreak/>
              <w:t>Research Paradigm</w:t>
            </w:r>
          </w:p>
          <w:p w14:paraId="79318B2A" w14:textId="77777777" w:rsidR="00C60979" w:rsidRPr="00C60979" w:rsidRDefault="00C60979" w:rsidP="00C60979">
            <w:pPr>
              <w:adjustRightInd w:val="0"/>
              <w:snapToGrid w:val="0"/>
              <w:spacing w:line="360" w:lineRule="auto"/>
              <w:rPr>
                <w:rFonts w:cs="Arial"/>
                <w:sz w:val="21"/>
                <w:szCs w:val="21"/>
              </w:rPr>
            </w:pPr>
            <w:r w:rsidRPr="00C60979">
              <w:rPr>
                <w:rFonts w:cs="Arial"/>
                <w:sz w:val="21"/>
                <w:szCs w:val="21"/>
              </w:rPr>
              <w:t xml:space="preserve">This research guided by the pragmatism </w:t>
            </w:r>
            <w:proofErr w:type="spellStart"/>
            <w:proofErr w:type="gramStart"/>
            <w:r w:rsidRPr="00C60979">
              <w:rPr>
                <w:rFonts w:cs="Arial"/>
                <w:sz w:val="21"/>
                <w:szCs w:val="21"/>
              </w:rPr>
              <w:t>paradigm,vwhichis</w:t>
            </w:r>
            <w:proofErr w:type="spellEnd"/>
            <w:proofErr w:type="gramEnd"/>
            <w:r w:rsidRPr="00C60979">
              <w:rPr>
                <w:rFonts w:cs="Arial"/>
                <w:sz w:val="21"/>
                <w:szCs w:val="21"/>
              </w:rPr>
              <w:t xml:space="preserve"> about finding practical solutions to real-world problems. It focuses on acting responsibly and having a real impact. The key value of research should be guided by practicality, actionability, and real-world impact.</w:t>
            </w:r>
            <w:r w:rsidRPr="00C60979">
              <w:rPr>
                <w:rFonts w:cs="Arial"/>
                <w:sz w:val="21"/>
                <w:szCs w:val="21"/>
              </w:rPr>
              <w:fldChar w:fldCharType="begin"/>
            </w:r>
            <w:r w:rsidRPr="00C60979">
              <w:rPr>
                <w:rFonts w:cs="Arial"/>
                <w:sz w:val="21"/>
                <w:szCs w:val="21"/>
              </w:rPr>
              <w:instrText xml:space="preserve"> ADDIN ZOTERO_ITEM CSL_CITATION {"citationID":"anlcPBJL","properties":{"formattedCitation":"(James, W., 2001; Ormerod, 2006)","plainCitation":"(James, W., 2001; Ormerod, 2006)","noteIndex":0},"citationItems":[{"id":26142,"uris":["http://zotero.org/users/4106135/items/7HKNWKNZ"],"itemData":{"id":26142,"type":"chapter","container-title":"Writing New England: An Anthology from the Puritans to the Present","language":"en-US","note":"titleTranslation: </w:instrText>
            </w:r>
            <w:r w:rsidRPr="00C60979">
              <w:rPr>
                <w:rFonts w:cs="Arial"/>
                <w:sz w:val="21"/>
                <w:szCs w:val="21"/>
              </w:rPr>
              <w:instrText>实用主义是什么意思</w:instrText>
            </w:r>
            <w:r w:rsidRPr="00C60979">
              <w:rPr>
                <w:rFonts w:cs="Arial"/>
                <w:sz w:val="21"/>
                <w:szCs w:val="21"/>
              </w:rPr>
              <w:instrText xml:space="preserve">","page":"pp. 80-93","publisher":"Harvard University Press","title":"What pragmatism means","author":[{"literal":"James, W."}],"issued":{"date-parts":[["2001"]]},"citation-key":"jamesw.WhatPragmatismMeans2001"}},{"id":42656,"uris":["http://zotero.org/users/4106135/items/ND2CUEJP"],"itemData":{"id":42656,"type":"article-journal","call-number":"4","container-title":"Journal of the Operational Research Society","DOI":"10.1057/palgrave.jors.2602065","ISSN":"0160-5682, 1476-9360","issue":"8","journalAbbreviation":"Journal of the Operational Research Society","language":"en","license":"http://www.springer.com/tdm","note":"TLDR: It is suggested that the practical, commonsense, scientific approach embedded in pragmatism resonates with OR as practised and that much of pragmatist could be attractive to practitioners and academics alike.","page":"892-909","source":"2.7","title":"The history and ideas of pragmatism","volume":"57","author":[{"family":"Ormerod","given":"R"}],"issued":{"date-parts":[["2006",8]]},"citation-key":"ormerodHistoryIdeasPragmatism2006"}}],"schema":"https://github.com/citation-style-language/schema/raw/master/csl-citation.json"} </w:instrText>
            </w:r>
            <w:r w:rsidRPr="00C60979">
              <w:rPr>
                <w:rFonts w:cs="Arial"/>
                <w:sz w:val="21"/>
                <w:szCs w:val="21"/>
              </w:rPr>
              <w:fldChar w:fldCharType="separate"/>
            </w:r>
            <w:r w:rsidRPr="00C60979">
              <w:rPr>
                <w:rFonts w:cs="Arial"/>
                <w:sz w:val="21"/>
                <w:szCs w:val="21"/>
              </w:rPr>
              <w:t>(James, W., 2001; Ormerod, 2006)</w:t>
            </w:r>
            <w:r w:rsidRPr="00C60979">
              <w:rPr>
                <w:rFonts w:cs="Arial"/>
                <w:sz w:val="21"/>
                <w:szCs w:val="21"/>
              </w:rPr>
              <w:fldChar w:fldCharType="end"/>
            </w:r>
            <w:r w:rsidRPr="00C60979">
              <w:rPr>
                <w:rFonts w:cs="Arial"/>
                <w:sz w:val="21"/>
                <w:szCs w:val="21"/>
              </w:rPr>
              <w:t xml:space="preserve">.  The reality of digital transformation in the coal industry is shaped by the interaction between technology and organizational </w:t>
            </w:r>
            <w:proofErr w:type="spellStart"/>
            <w:r w:rsidRPr="00C60979">
              <w:rPr>
                <w:rFonts w:cs="Arial"/>
                <w:sz w:val="21"/>
                <w:szCs w:val="21"/>
              </w:rPr>
              <w:t>behavior</w:t>
            </w:r>
            <w:proofErr w:type="spellEnd"/>
            <w:r w:rsidRPr="00C60979">
              <w:rPr>
                <w:rFonts w:cs="Arial"/>
                <w:sz w:val="21"/>
                <w:szCs w:val="21"/>
              </w:rPr>
              <w:fldChar w:fldCharType="begin"/>
            </w:r>
            <w:r w:rsidRPr="00C60979">
              <w:rPr>
                <w:rFonts w:cs="Arial"/>
                <w:sz w:val="21"/>
                <w:szCs w:val="21"/>
              </w:rPr>
              <w:instrText xml:space="preserve"> ADDIN ZOTERO_ITEM CSL_CITATION {"citationID":"AsHmc2E4","properties":{"formattedCitation":"(Hansen et al., 2024; Srivastava et al., 2022)","plainCitation":"(Hansen et al., 2024; Srivastava et al., 2022)","noteIndex":0},"citationItems":[{"id":31380,"uris":["http://zotero.org/users/4106135/items/HK8SXFUG"],"itemData":{"id":31380,"type":"article-journal","abstract":"Despite a general lack of examples showcasing seamless implementation of industry 4.0, talks of a human-centric, resilient, and sustainable industry 5.0 have already begun. But are the managers and workers of manufacturing enterprises today even ready for that? Digital transformation is still slowgoing, especially within small- and medium-sized companies. Supported by an existing framework and interpretive structural model for digitalisation, we argue that a big part of digital transformation depends on the workers’ competencies. Guided by the research question: How can the approach to competence development in SMEs explain patterns of slow digital transformation?, we investigate 30 manufacturing SMEs pursuing digitalisation. While manufacturing companies are aware of the need for additional competencies, few are actively working towards obtaining them. We expand on a theoretical model for smart manufacturing determinants and argue how a scaffold is needed to support SMEs in the early stages of digitalisation to increase understanding of core concepts, i.e. Industry 4.0 concepts and available technologies, data handling, integration capability, upskilling and training, and strategic management capabilities. We propose that a scaffolding approach to competence development can enable knowledge acquisition and the formation of digital transformation strategies.","call-number":"2","container-title":"International Journal of Production Research","DOI":"10.1080/00207543.2024.2305800","ISSN":"0020-7543, 1366-588X","journalAbbreviation":"International Journal of Production Research","language":"en","note":"titleTranslation: </w:instrText>
            </w:r>
            <w:r w:rsidRPr="00C60979">
              <w:rPr>
                <w:rFonts w:cs="Arial"/>
                <w:sz w:val="21"/>
                <w:szCs w:val="21"/>
              </w:rPr>
              <w:instrText>技术不足以实现工业</w:instrText>
            </w:r>
            <w:r w:rsidRPr="00C60979">
              <w:rPr>
                <w:rFonts w:cs="Arial"/>
                <w:sz w:val="21"/>
                <w:szCs w:val="21"/>
              </w:rPr>
              <w:instrText xml:space="preserve"> 4.0</w:instrText>
            </w:r>
            <w:r w:rsidRPr="00C60979">
              <w:rPr>
                <w:rFonts w:cs="Arial"/>
                <w:sz w:val="21"/>
                <w:szCs w:val="21"/>
              </w:rPr>
              <w:instrText>：关于中小企业和数字化转型的障碍</w:instrText>
            </w:r>
            <w:r w:rsidRPr="00C60979">
              <w:rPr>
                <w:rFonts w:cs="Arial"/>
                <w:sz w:val="21"/>
                <w:szCs w:val="21"/>
              </w:rPr>
              <w:instrText xml:space="preserve">\nabstractTranslation:  </w:instrText>
            </w:r>
            <w:r w:rsidRPr="00C60979">
              <w:rPr>
                <w:rFonts w:cs="Arial"/>
                <w:sz w:val="21"/>
                <w:szCs w:val="21"/>
              </w:rPr>
              <w:instrText>尽管普遍缺乏展示工业</w:instrText>
            </w:r>
            <w:r w:rsidRPr="00C60979">
              <w:rPr>
                <w:rFonts w:cs="Arial"/>
                <w:sz w:val="21"/>
                <w:szCs w:val="21"/>
              </w:rPr>
              <w:instrText xml:space="preserve"> 4.0 </w:instrText>
            </w:r>
            <w:r w:rsidRPr="00C60979">
              <w:rPr>
                <w:rFonts w:cs="Arial"/>
                <w:sz w:val="21"/>
                <w:szCs w:val="21"/>
              </w:rPr>
              <w:instrText>无缝实施的例子，但有关以人为本、有弹性和可持续的工业</w:instrText>
            </w:r>
            <w:r w:rsidRPr="00C60979">
              <w:rPr>
                <w:rFonts w:cs="Arial"/>
                <w:sz w:val="21"/>
                <w:szCs w:val="21"/>
              </w:rPr>
              <w:instrText xml:space="preserve"> 5.0 </w:instrText>
            </w:r>
            <w:r w:rsidRPr="00C60979">
              <w:rPr>
                <w:rFonts w:cs="Arial"/>
                <w:sz w:val="21"/>
                <w:szCs w:val="21"/>
              </w:rPr>
              <w:instrText>的讨论已经开始。但如今制造企业的管理者和工人准备好了吗？数字化转型仍然进展缓慢，尤其是在中小型企业中。在现有数字化框架和解释结构模型的支持下，我们认为数字化转型的很大一部分取决于工人的能力。在</w:instrText>
            </w:r>
            <w:r w:rsidRPr="00C60979">
              <w:rPr>
                <w:rFonts w:cs="Arial"/>
                <w:sz w:val="21"/>
                <w:szCs w:val="21"/>
              </w:rPr>
              <w:instrText>“</w:instrText>
            </w:r>
            <w:r w:rsidRPr="00C60979">
              <w:rPr>
                <w:rFonts w:cs="Arial"/>
                <w:sz w:val="21"/>
                <w:szCs w:val="21"/>
              </w:rPr>
              <w:instrText>中小企业能力发展方法如何解释数字化转型缓慢的模式？</w:instrText>
            </w:r>
            <w:r w:rsidRPr="00C60979">
              <w:rPr>
                <w:rFonts w:cs="Arial"/>
                <w:sz w:val="21"/>
                <w:szCs w:val="21"/>
              </w:rPr>
              <w:instrText>”</w:instrText>
            </w:r>
            <w:r w:rsidRPr="00C60979">
              <w:rPr>
                <w:rFonts w:cs="Arial"/>
                <w:sz w:val="21"/>
                <w:szCs w:val="21"/>
              </w:rPr>
              <w:instrText>这一研究问题的指导下，我们调查了</w:instrText>
            </w:r>
            <w:r w:rsidRPr="00C60979">
              <w:rPr>
                <w:rFonts w:cs="Arial"/>
                <w:sz w:val="21"/>
                <w:szCs w:val="21"/>
              </w:rPr>
              <w:instrText xml:space="preserve"> 30 </w:instrText>
            </w:r>
            <w:r w:rsidRPr="00C60979">
              <w:rPr>
                <w:rFonts w:cs="Arial"/>
                <w:sz w:val="21"/>
                <w:szCs w:val="21"/>
              </w:rPr>
              <w:instrText>家追求数字化的制造业中小企业。虽然制造公司意识到需要额外的能力，但很少有制造公司积极努力获得这些能力。我们扩展了智能制造决定因素的理论模型，并讨论了在数字化的早期阶段如何需要一个支架来支持中小企业，以增加对核心概念的理解，即工业</w:instrText>
            </w:r>
            <w:r w:rsidRPr="00C60979">
              <w:rPr>
                <w:rFonts w:cs="Arial"/>
                <w:sz w:val="21"/>
                <w:szCs w:val="21"/>
              </w:rPr>
              <w:instrText xml:space="preserve"> 4.0 </w:instrText>
            </w:r>
            <w:r w:rsidRPr="00C60979">
              <w:rPr>
                <w:rFonts w:cs="Arial"/>
                <w:sz w:val="21"/>
                <w:szCs w:val="21"/>
              </w:rPr>
              <w:instrText>概念和可用技术、数据处理、集成能力、技能提升和培训和战略管理能力。我们建议采用支架式的能力发展方法可以实现知识获取和数字化转型战略的形成。</w:instrText>
            </w:r>
            <w:r w:rsidRPr="00C60979">
              <w:rPr>
                <w:rFonts w:cs="Arial"/>
                <w:sz w:val="21"/>
                <w:szCs w:val="21"/>
              </w:rPr>
              <w:instrText xml:space="preserve">","page":"1-21","source":"9.2","title":"Technology isn't enough for Industry 4.0: on SMEs and hindrances to digital transformation","title-short":"Technology isn't enough for Industry 4.0","author":[{"family":"Hansen","given":"Andreas Kornmaaler"},{"family":"Christiansen","given":"Lasse"},{"family":"Lassen","given":"Astrid Heidemann"}],"issued":{"date-parts":[["2024",1,31]]},"citation-key":"hansenTechnologyIsnEnough2024"}},{"id":32431,"uris":["http://zotero.org/users/4106135/items/TDIR4C4A"],"itemData":{"id":32431,"type":"article-journal","abstract":"The manufacturing sector needs to focus on social, environmental and technological factors to integrate Industry 4.0 in production planning, logistics and supply chains. Technical Education Institutes (TEIs) can play a key role in achieving this ambition as they are responsible for the workforce of the digital future. To this end, a learning factory is often referred to as a realistic manufacturing environment. However, the existing research regarding the successful adoption of a learning factory based on Industry 4.0 is scant in the literature. We, therefore, aim to address this research gap by examining key factors that affect the decision to adopt Industry 4.0 in technical education institutes. We have adopted the theoretical lens of the Technology-Organisation-Environment (T-O-E) framework to study industry 4.0 adoption in TEIs. The findings based on 134 valid responses from TEIs in India indicate that the organisational dimension is critical in determining whether or not to adopt Industry 4.0. Our study shows that top management support, internal resources, and the capabilities of the teaching staff are vital for the adoption of Industry 4.0. Additionally, our findings indicate that significant differences exist between public and private TEIs concerning the adoption of Industry 4.0.","container-title":"Technological Forecasting and Social Change","DOI":"10.1016/j.techfore.2021.121439","ISSN":"00401625","journalAbbreviation":"Technological Forecasting and Social Change","language":"en","note":"titleTranslation: </w:instrText>
            </w:r>
            <w:r w:rsidRPr="00C60979">
              <w:rPr>
                <w:rFonts w:cs="Arial"/>
                <w:sz w:val="21"/>
                <w:szCs w:val="21"/>
              </w:rPr>
              <w:instrText>利用组织因素采用工业</w:instrText>
            </w:r>
            <w:r w:rsidRPr="00C60979">
              <w:rPr>
                <w:rFonts w:cs="Arial"/>
                <w:sz w:val="21"/>
                <w:szCs w:val="21"/>
              </w:rPr>
              <w:instrText xml:space="preserve"> 4.0\nabstractTranslation:  </w:instrText>
            </w:r>
            <w:r w:rsidRPr="00C60979">
              <w:rPr>
                <w:rFonts w:cs="Arial"/>
                <w:sz w:val="21"/>
                <w:szCs w:val="21"/>
              </w:rPr>
              <w:instrText>制造业需要关注社会、环境和技术因素，将工业</w:instrText>
            </w:r>
            <w:r w:rsidRPr="00C60979">
              <w:rPr>
                <w:rFonts w:cs="Arial"/>
                <w:sz w:val="21"/>
                <w:szCs w:val="21"/>
              </w:rPr>
              <w:instrText>4.0</w:instrText>
            </w:r>
            <w:r w:rsidRPr="00C60979">
              <w:rPr>
                <w:rFonts w:cs="Arial"/>
                <w:sz w:val="21"/>
                <w:szCs w:val="21"/>
              </w:rPr>
              <w:instrText>整合到生产规划、物流和供应链中。技术教育机构</w:instrText>
            </w:r>
            <w:r w:rsidRPr="00C60979">
              <w:rPr>
                <w:rFonts w:cs="Arial"/>
                <w:sz w:val="21"/>
                <w:szCs w:val="21"/>
              </w:rPr>
              <w:instrText xml:space="preserve"> (TEI) </w:instrText>
            </w:r>
            <w:r w:rsidRPr="00C60979">
              <w:rPr>
                <w:rFonts w:cs="Arial"/>
                <w:sz w:val="21"/>
                <w:szCs w:val="21"/>
              </w:rPr>
              <w:instrText>可以在实现这一目标方面发挥关键作用，因为它们负责培养数字化未来的劳动力。为此，学习工厂通常被称为现实制造环境。然而，现有关于成功采用基于工业</w:instrText>
            </w:r>
            <w:r w:rsidRPr="00C60979">
              <w:rPr>
                <w:rFonts w:cs="Arial"/>
                <w:sz w:val="21"/>
                <w:szCs w:val="21"/>
              </w:rPr>
              <w:instrText>4.0</w:instrText>
            </w:r>
            <w:r w:rsidRPr="00C60979">
              <w:rPr>
                <w:rFonts w:cs="Arial"/>
                <w:sz w:val="21"/>
                <w:szCs w:val="21"/>
              </w:rPr>
              <w:instrText>的学习工厂的研究文献还很少。因此，我们的目标是通过研究影响技术教育机构采用工业</w:instrText>
            </w:r>
            <w:r w:rsidRPr="00C60979">
              <w:rPr>
                <w:rFonts w:cs="Arial"/>
                <w:sz w:val="21"/>
                <w:szCs w:val="21"/>
              </w:rPr>
              <w:instrText xml:space="preserve"> 4.0 </w:instrText>
            </w:r>
            <w:r w:rsidRPr="00C60979">
              <w:rPr>
                <w:rFonts w:cs="Arial"/>
                <w:sz w:val="21"/>
                <w:szCs w:val="21"/>
              </w:rPr>
              <w:instrText>决策的关键因素来解决这一研究空白。我们采用技术</w:instrText>
            </w:r>
            <w:r w:rsidRPr="00C60979">
              <w:rPr>
                <w:rFonts w:cs="Arial"/>
                <w:sz w:val="21"/>
                <w:szCs w:val="21"/>
              </w:rPr>
              <w:instrText>-</w:instrText>
            </w:r>
            <w:r w:rsidRPr="00C60979">
              <w:rPr>
                <w:rFonts w:cs="Arial"/>
                <w:sz w:val="21"/>
                <w:szCs w:val="21"/>
              </w:rPr>
              <w:instrText>组织</w:instrText>
            </w:r>
            <w:r w:rsidRPr="00C60979">
              <w:rPr>
                <w:rFonts w:cs="Arial"/>
                <w:sz w:val="21"/>
                <w:szCs w:val="21"/>
              </w:rPr>
              <w:instrText>-</w:instrText>
            </w:r>
            <w:r w:rsidRPr="00C60979">
              <w:rPr>
                <w:rFonts w:cs="Arial"/>
                <w:sz w:val="21"/>
                <w:szCs w:val="21"/>
              </w:rPr>
              <w:instrText>环境</w:instrText>
            </w:r>
            <w:r w:rsidRPr="00C60979">
              <w:rPr>
                <w:rFonts w:cs="Arial"/>
                <w:sz w:val="21"/>
                <w:szCs w:val="21"/>
              </w:rPr>
              <w:instrText xml:space="preserve"> (T-O-E) </w:instrText>
            </w:r>
            <w:r w:rsidRPr="00C60979">
              <w:rPr>
                <w:rFonts w:cs="Arial"/>
                <w:sz w:val="21"/>
                <w:szCs w:val="21"/>
              </w:rPr>
              <w:instrText>框架的理论视角来研究</w:instrText>
            </w:r>
            <w:r w:rsidRPr="00C60979">
              <w:rPr>
                <w:rFonts w:cs="Arial"/>
                <w:sz w:val="21"/>
                <w:szCs w:val="21"/>
              </w:rPr>
              <w:instrText xml:space="preserve"> TEI </w:instrText>
            </w:r>
            <w:r w:rsidRPr="00C60979">
              <w:rPr>
                <w:rFonts w:cs="Arial"/>
                <w:sz w:val="21"/>
                <w:szCs w:val="21"/>
              </w:rPr>
              <w:instrText>中工业</w:instrText>
            </w:r>
            <w:r w:rsidRPr="00C60979">
              <w:rPr>
                <w:rFonts w:cs="Arial"/>
                <w:sz w:val="21"/>
                <w:szCs w:val="21"/>
              </w:rPr>
              <w:instrText xml:space="preserve"> 4.0 </w:instrText>
            </w:r>
            <w:r w:rsidRPr="00C60979">
              <w:rPr>
                <w:rFonts w:cs="Arial"/>
                <w:sz w:val="21"/>
                <w:szCs w:val="21"/>
              </w:rPr>
              <w:instrText>的采用。基于印度</w:instrText>
            </w:r>
            <w:r w:rsidRPr="00C60979">
              <w:rPr>
                <w:rFonts w:cs="Arial"/>
                <w:sz w:val="21"/>
                <w:szCs w:val="21"/>
              </w:rPr>
              <w:instrText xml:space="preserve"> TEI 134 </w:instrText>
            </w:r>
            <w:r w:rsidRPr="00C60979">
              <w:rPr>
                <w:rFonts w:cs="Arial"/>
                <w:sz w:val="21"/>
                <w:szCs w:val="21"/>
              </w:rPr>
              <w:instrText>份有效回复的调查结果表明，组织维度对于决定是否采用工业</w:instrText>
            </w:r>
            <w:r w:rsidRPr="00C60979">
              <w:rPr>
                <w:rFonts w:cs="Arial"/>
                <w:sz w:val="21"/>
                <w:szCs w:val="21"/>
              </w:rPr>
              <w:instrText xml:space="preserve"> 4.0 </w:instrText>
            </w:r>
            <w:r w:rsidRPr="00C60979">
              <w:rPr>
                <w:rFonts w:cs="Arial"/>
                <w:sz w:val="21"/>
                <w:szCs w:val="21"/>
              </w:rPr>
              <w:instrText>至关重要。我们的研究表明，高层管理人员的支持、内部资源和教学人员的能力对于工业</w:instrText>
            </w:r>
            <w:r w:rsidRPr="00C60979">
              <w:rPr>
                <w:rFonts w:cs="Arial"/>
                <w:sz w:val="21"/>
                <w:szCs w:val="21"/>
              </w:rPr>
              <w:instrText xml:space="preserve"> 4.0 </w:instrText>
            </w:r>
            <w:r w:rsidRPr="00C60979">
              <w:rPr>
                <w:rFonts w:cs="Arial"/>
                <w:sz w:val="21"/>
                <w:szCs w:val="21"/>
              </w:rPr>
              <w:instrText>的采用至关重要。此外，我们的研究结果表明，公共和私营</w:instrText>
            </w:r>
            <w:r w:rsidRPr="00C60979">
              <w:rPr>
                <w:rFonts w:cs="Arial"/>
                <w:sz w:val="21"/>
                <w:szCs w:val="21"/>
              </w:rPr>
              <w:instrText xml:space="preserve"> TEI </w:instrText>
            </w:r>
            <w:r w:rsidRPr="00C60979">
              <w:rPr>
                <w:rFonts w:cs="Arial"/>
                <w:sz w:val="21"/>
                <w:szCs w:val="21"/>
              </w:rPr>
              <w:instrText>在采用工业</w:instrText>
            </w:r>
            <w:r w:rsidRPr="00C60979">
              <w:rPr>
                <w:rFonts w:cs="Arial"/>
                <w:sz w:val="21"/>
                <w:szCs w:val="21"/>
              </w:rPr>
              <w:instrText xml:space="preserve"> 4.0 </w:instrText>
            </w:r>
            <w:r w:rsidRPr="00C60979">
              <w:rPr>
                <w:rFonts w:cs="Arial"/>
                <w:sz w:val="21"/>
                <w:szCs w:val="21"/>
              </w:rPr>
              <w:instrText>方面存在显着差异。</w:instrText>
            </w:r>
            <w:r w:rsidRPr="00C60979">
              <w:rPr>
                <w:rFonts w:cs="Arial"/>
                <w:sz w:val="21"/>
                <w:szCs w:val="21"/>
              </w:rPr>
              <w:instrText xml:space="preserve">","page":"121439","source":"12","title":"Adopting Industry 4.0 by leveraging organisational factors","volume":"176","author":[{"family":"Srivastava","given":"Deepak Kumar"},{"family":"Kumar","given":"Vikas"},{"family":"Ekren","given":"Banu Yetkin"},{"family":"Upadhyay","given":"Arvind"},{"family":"Tyagi","given":"Mrinal"},{"family":"Kumari","given":"Archana"}],"issued":{"date-parts":[["2022",3]]},"citation-key":"srivastavaAdoptingIndustryLeveraging2022"}}],"schema":"https://github.com/citation-style-language/schema/raw/master/csl-citation.json"} </w:instrText>
            </w:r>
            <w:r w:rsidRPr="00C60979">
              <w:rPr>
                <w:rFonts w:cs="Arial"/>
                <w:sz w:val="21"/>
                <w:szCs w:val="21"/>
              </w:rPr>
              <w:fldChar w:fldCharType="separate"/>
            </w:r>
            <w:r w:rsidRPr="00C60979">
              <w:rPr>
                <w:rFonts w:cs="Arial"/>
                <w:noProof/>
                <w:sz w:val="21"/>
                <w:szCs w:val="21"/>
              </w:rPr>
              <w:t>(Hansen et al., 2024; Srivastava et al., 2022)</w:t>
            </w:r>
            <w:r w:rsidRPr="00C60979">
              <w:rPr>
                <w:rFonts w:cs="Arial"/>
                <w:sz w:val="21"/>
                <w:szCs w:val="21"/>
              </w:rPr>
              <w:fldChar w:fldCharType="end"/>
            </w:r>
            <w:r w:rsidRPr="00C60979">
              <w:rPr>
                <w:rFonts w:cs="Arial"/>
                <w:sz w:val="21"/>
                <w:szCs w:val="21"/>
              </w:rPr>
              <w:t>. Knowledge is gained through a combination of action and reflection. Technology organization</w:t>
            </w:r>
            <w:r w:rsidRPr="00C60979">
              <w:rPr>
                <w:rFonts w:cs="Arial"/>
                <w:sz w:val="21"/>
                <w:szCs w:val="21"/>
              </w:rPr>
              <w:t>，</w:t>
            </w:r>
            <w:r w:rsidRPr="00C60979">
              <w:rPr>
                <w:rFonts w:cs="Arial"/>
                <w:sz w:val="21"/>
                <w:szCs w:val="21"/>
              </w:rPr>
              <w:t xml:space="preserve"> </w:t>
            </w:r>
            <w:proofErr w:type="spellStart"/>
            <w:r w:rsidRPr="00C60979">
              <w:rPr>
                <w:rFonts w:cs="Arial"/>
                <w:sz w:val="21"/>
                <w:szCs w:val="21"/>
              </w:rPr>
              <w:t>environment</w:t>
            </w:r>
            <w:r w:rsidRPr="00C60979">
              <w:rPr>
                <w:rFonts w:cs="Arial"/>
                <w:sz w:val="21"/>
                <w:szCs w:val="21"/>
              </w:rPr>
              <w:t>（</w:t>
            </w:r>
            <w:r w:rsidRPr="00C60979">
              <w:rPr>
                <w:rFonts w:cs="Arial"/>
                <w:sz w:val="21"/>
                <w:szCs w:val="21"/>
              </w:rPr>
              <w:t>TOE</w:t>
            </w:r>
            <w:r w:rsidRPr="00C60979">
              <w:rPr>
                <w:rFonts w:cs="Arial"/>
                <w:sz w:val="21"/>
                <w:szCs w:val="21"/>
              </w:rPr>
              <w:t>）</w:t>
            </w:r>
            <w:r w:rsidRPr="00C60979">
              <w:rPr>
                <w:rFonts w:cs="Arial"/>
                <w:sz w:val="21"/>
                <w:szCs w:val="21"/>
              </w:rPr>
              <w:t>theory</w:t>
            </w:r>
            <w:proofErr w:type="spellEnd"/>
            <w:r w:rsidRPr="00C60979">
              <w:rPr>
                <w:rFonts w:cs="Arial"/>
                <w:sz w:val="21"/>
                <w:szCs w:val="21"/>
              </w:rPr>
              <w:t> </w:t>
            </w:r>
            <w:proofErr w:type="gramStart"/>
            <w:r w:rsidRPr="00C60979">
              <w:rPr>
                <w:rFonts w:cs="Arial"/>
                <w:sz w:val="21"/>
                <w:szCs w:val="21"/>
              </w:rPr>
              <w:t>and  Resource</w:t>
            </w:r>
            <w:proofErr w:type="gramEnd"/>
            <w:r w:rsidRPr="00C60979">
              <w:rPr>
                <w:rFonts w:cs="Arial"/>
                <w:sz w:val="21"/>
                <w:szCs w:val="21"/>
              </w:rPr>
              <w:t xml:space="preserve">-based </w:t>
            </w:r>
            <w:proofErr w:type="spellStart"/>
            <w:r w:rsidRPr="00C60979">
              <w:rPr>
                <w:rFonts w:cs="Arial"/>
                <w:sz w:val="21"/>
                <w:szCs w:val="21"/>
              </w:rPr>
              <w:t>view</w:t>
            </w:r>
            <w:r w:rsidRPr="00C60979">
              <w:rPr>
                <w:rFonts w:cs="Arial"/>
                <w:sz w:val="21"/>
                <w:szCs w:val="21"/>
              </w:rPr>
              <w:t>（</w:t>
            </w:r>
            <w:r w:rsidRPr="00C60979">
              <w:rPr>
                <w:rFonts w:cs="Arial"/>
                <w:sz w:val="21"/>
                <w:szCs w:val="21"/>
              </w:rPr>
              <w:t>RBV</w:t>
            </w:r>
            <w:r w:rsidRPr="00C60979">
              <w:rPr>
                <w:rFonts w:cs="Arial"/>
                <w:sz w:val="21"/>
                <w:szCs w:val="21"/>
              </w:rPr>
              <w:t>）</w:t>
            </w:r>
            <w:r w:rsidRPr="00C60979">
              <w:rPr>
                <w:rFonts w:cs="Arial"/>
                <w:sz w:val="21"/>
                <w:szCs w:val="21"/>
              </w:rPr>
              <w:t>theory</w:t>
            </w:r>
            <w:proofErr w:type="spellEnd"/>
            <w:r w:rsidRPr="00C60979">
              <w:rPr>
                <w:rFonts w:cs="Arial"/>
                <w:sz w:val="21"/>
                <w:szCs w:val="21"/>
              </w:rPr>
              <w:t xml:space="preserve"> can explain how technology, the organization, and resources work together to drive digital </w:t>
            </w:r>
            <w:proofErr w:type="spellStart"/>
            <w:r w:rsidRPr="00C60979">
              <w:rPr>
                <w:rFonts w:cs="Arial"/>
                <w:sz w:val="21"/>
                <w:szCs w:val="21"/>
              </w:rPr>
              <w:t>transformation.Therefore</w:t>
            </w:r>
            <w:proofErr w:type="spellEnd"/>
            <w:r w:rsidRPr="00C60979">
              <w:rPr>
                <w:rFonts w:cs="Arial"/>
                <w:sz w:val="21"/>
                <w:szCs w:val="21"/>
              </w:rPr>
              <w:t>, pragmatism is important in helping researchers to understand how research is conducted. Likewise, it is important guidelines on how to solve problems.</w:t>
            </w:r>
          </w:p>
          <w:p w14:paraId="7CB4B254" w14:textId="77777777" w:rsidR="00C60979" w:rsidRPr="00C60979" w:rsidRDefault="00C60979" w:rsidP="00C60979">
            <w:pPr>
              <w:adjustRightInd w:val="0"/>
              <w:snapToGrid w:val="0"/>
              <w:spacing w:line="360" w:lineRule="auto"/>
              <w:rPr>
                <w:rFonts w:cs="Arial"/>
                <w:b/>
                <w:bCs/>
                <w:sz w:val="21"/>
                <w:szCs w:val="21"/>
              </w:rPr>
            </w:pPr>
            <w:r w:rsidRPr="00C60979">
              <w:rPr>
                <w:rFonts w:cs="Arial"/>
                <w:b/>
                <w:bCs/>
                <w:sz w:val="21"/>
                <w:szCs w:val="21"/>
              </w:rPr>
              <w:t xml:space="preserve">Research Methodology </w:t>
            </w:r>
          </w:p>
          <w:p w14:paraId="3B2A4C42" w14:textId="77777777" w:rsidR="00C60979" w:rsidRPr="00C60979" w:rsidRDefault="00C60979" w:rsidP="00C60979">
            <w:pPr>
              <w:adjustRightInd w:val="0"/>
              <w:snapToGrid w:val="0"/>
              <w:spacing w:line="360" w:lineRule="auto"/>
              <w:rPr>
                <w:rFonts w:cs="Arial"/>
                <w:sz w:val="21"/>
                <w:szCs w:val="21"/>
              </w:rPr>
            </w:pPr>
            <w:r w:rsidRPr="00C60979">
              <w:rPr>
                <w:rFonts w:cs="Arial"/>
                <w:sz w:val="21"/>
                <w:szCs w:val="21"/>
              </w:rPr>
              <w:t xml:space="preserve">As a major coal-producing province in China, Shanxi accounts for 30% of the country's total coal output. This study focuses on Shanxi Province and employs a cluster sampling strategy </w:t>
            </w:r>
            <w:r w:rsidRPr="00C60979">
              <w:rPr>
                <w:rFonts w:cs="Arial"/>
                <w:sz w:val="21"/>
                <w:szCs w:val="21"/>
              </w:rPr>
              <w:fldChar w:fldCharType="begin"/>
            </w:r>
            <w:r w:rsidRPr="00C60979">
              <w:rPr>
                <w:rFonts w:cs="Arial"/>
                <w:sz w:val="21"/>
                <w:szCs w:val="21"/>
              </w:rPr>
              <w:instrText xml:space="preserve"> ADDIN ZOTERO_ITEM CSL_CITATION {"citationID":"J3xTMjgV","properties":{"formattedCitation":"(Bhattacherjee, 2012)","plainCitation":"(Bhattacherjee, 2012)","noteIndex":0},"citationItems":[{"id":25969,"uris":["http://zotero.org/users/4106135/items/E7W2NBSH"],"itemData":{"id":25969,"type":"book","abstract":"Science and scientific research -- Thinking like a researcher -- The research process -- Theories in scientific research -- Research design -- Measurement of constructs -- Scale reliability and validity -- Sampling -- Survey research -- Experimental research -- Case research -- Interpretive research -- Qualitative analysis -- Quantitative analysis : descriptive statistics -- Quantitative analysis : inferential statistics -- Research ethics","edition":"Second edition","event-place":"Tampa, Florida?","ISBN":"978-1-4751-4612-7","language":"en","note":"abstractTranslation:  </w:instrText>
            </w:r>
            <w:r w:rsidRPr="00C60979">
              <w:rPr>
                <w:rFonts w:cs="Arial"/>
                <w:sz w:val="21"/>
                <w:szCs w:val="21"/>
              </w:rPr>
              <w:instrText>科学与科学研究</w:instrText>
            </w:r>
            <w:r w:rsidRPr="00C60979">
              <w:rPr>
                <w:rFonts w:cs="Arial"/>
                <w:sz w:val="21"/>
                <w:szCs w:val="21"/>
              </w:rPr>
              <w:instrText xml:space="preserve"> -- </w:instrText>
            </w:r>
            <w:r w:rsidRPr="00C60979">
              <w:rPr>
                <w:rFonts w:cs="Arial"/>
                <w:sz w:val="21"/>
                <w:szCs w:val="21"/>
              </w:rPr>
              <w:instrText>像研究者一样思考</w:instrText>
            </w:r>
            <w:r w:rsidRPr="00C60979">
              <w:rPr>
                <w:rFonts w:cs="Arial"/>
                <w:sz w:val="21"/>
                <w:szCs w:val="21"/>
              </w:rPr>
              <w:instrText xml:space="preserve"> -- </w:instrText>
            </w:r>
            <w:r w:rsidRPr="00C60979">
              <w:rPr>
                <w:rFonts w:cs="Arial"/>
                <w:sz w:val="21"/>
                <w:szCs w:val="21"/>
              </w:rPr>
              <w:instrText>研究过程</w:instrText>
            </w:r>
            <w:r w:rsidRPr="00C60979">
              <w:rPr>
                <w:rFonts w:cs="Arial"/>
                <w:sz w:val="21"/>
                <w:szCs w:val="21"/>
              </w:rPr>
              <w:instrText xml:space="preserve"> -- </w:instrText>
            </w:r>
            <w:r w:rsidRPr="00C60979">
              <w:rPr>
                <w:rFonts w:cs="Arial"/>
                <w:sz w:val="21"/>
                <w:szCs w:val="21"/>
              </w:rPr>
              <w:instrText>科学研究理论</w:instrText>
            </w:r>
            <w:r w:rsidRPr="00C60979">
              <w:rPr>
                <w:rFonts w:cs="Arial"/>
                <w:sz w:val="21"/>
                <w:szCs w:val="21"/>
              </w:rPr>
              <w:instrText xml:space="preserve"> -- </w:instrText>
            </w:r>
            <w:r w:rsidRPr="00C60979">
              <w:rPr>
                <w:rFonts w:cs="Arial"/>
                <w:sz w:val="21"/>
                <w:szCs w:val="21"/>
              </w:rPr>
              <w:instrText>研究设计</w:instrText>
            </w:r>
            <w:r w:rsidRPr="00C60979">
              <w:rPr>
                <w:rFonts w:cs="Arial"/>
                <w:sz w:val="21"/>
                <w:szCs w:val="21"/>
              </w:rPr>
              <w:instrText xml:space="preserve"> -- </w:instrText>
            </w:r>
            <w:r w:rsidRPr="00C60979">
              <w:rPr>
                <w:rFonts w:cs="Arial"/>
                <w:sz w:val="21"/>
                <w:szCs w:val="21"/>
              </w:rPr>
              <w:instrText>结构测量</w:instrText>
            </w:r>
            <w:r w:rsidRPr="00C60979">
              <w:rPr>
                <w:rFonts w:cs="Arial"/>
                <w:sz w:val="21"/>
                <w:szCs w:val="21"/>
              </w:rPr>
              <w:instrText xml:space="preserve"> -- </w:instrText>
            </w:r>
            <w:r w:rsidRPr="00C60979">
              <w:rPr>
                <w:rFonts w:cs="Arial"/>
                <w:sz w:val="21"/>
                <w:szCs w:val="21"/>
              </w:rPr>
              <w:instrText>量表信度和效度</w:instrText>
            </w:r>
            <w:r w:rsidRPr="00C60979">
              <w:rPr>
                <w:rFonts w:cs="Arial"/>
                <w:sz w:val="21"/>
                <w:szCs w:val="21"/>
              </w:rPr>
              <w:instrText xml:space="preserve"> -- </w:instrText>
            </w:r>
            <w:r w:rsidRPr="00C60979">
              <w:rPr>
                <w:rFonts w:cs="Arial"/>
                <w:sz w:val="21"/>
                <w:szCs w:val="21"/>
              </w:rPr>
              <w:instrText>抽样</w:instrText>
            </w:r>
            <w:r w:rsidRPr="00C60979">
              <w:rPr>
                <w:rFonts w:cs="Arial"/>
                <w:sz w:val="21"/>
                <w:szCs w:val="21"/>
              </w:rPr>
              <w:instrText xml:space="preserve"> -- </w:instrText>
            </w:r>
            <w:r w:rsidRPr="00C60979">
              <w:rPr>
                <w:rFonts w:cs="Arial"/>
                <w:sz w:val="21"/>
                <w:szCs w:val="21"/>
              </w:rPr>
              <w:instrText>调查研究</w:instrText>
            </w:r>
            <w:r w:rsidRPr="00C60979">
              <w:rPr>
                <w:rFonts w:cs="Arial"/>
                <w:sz w:val="21"/>
                <w:szCs w:val="21"/>
              </w:rPr>
              <w:instrText xml:space="preserve"> -- </w:instrText>
            </w:r>
            <w:r w:rsidRPr="00C60979">
              <w:rPr>
                <w:rFonts w:cs="Arial"/>
                <w:sz w:val="21"/>
                <w:szCs w:val="21"/>
              </w:rPr>
              <w:instrText>实验研究</w:instrText>
            </w:r>
            <w:r w:rsidRPr="00C60979">
              <w:rPr>
                <w:rFonts w:cs="Arial"/>
                <w:sz w:val="21"/>
                <w:szCs w:val="21"/>
              </w:rPr>
              <w:instrText xml:space="preserve"> -- </w:instrText>
            </w:r>
            <w:r w:rsidRPr="00C60979">
              <w:rPr>
                <w:rFonts w:cs="Arial"/>
                <w:sz w:val="21"/>
                <w:szCs w:val="21"/>
              </w:rPr>
              <w:instrText>案例研究</w:instrText>
            </w:r>
            <w:r w:rsidRPr="00C60979">
              <w:rPr>
                <w:rFonts w:cs="Arial"/>
                <w:sz w:val="21"/>
                <w:szCs w:val="21"/>
              </w:rPr>
              <w:instrText xml:space="preserve"> -- </w:instrText>
            </w:r>
            <w:r w:rsidRPr="00C60979">
              <w:rPr>
                <w:rFonts w:cs="Arial"/>
                <w:sz w:val="21"/>
                <w:szCs w:val="21"/>
              </w:rPr>
              <w:instrText>解释性研究</w:instrText>
            </w:r>
            <w:r w:rsidRPr="00C60979">
              <w:rPr>
                <w:rFonts w:cs="Arial"/>
                <w:sz w:val="21"/>
                <w:szCs w:val="21"/>
              </w:rPr>
              <w:instrText xml:space="preserve"> -- </w:instrText>
            </w:r>
            <w:r w:rsidRPr="00C60979">
              <w:rPr>
                <w:rFonts w:cs="Arial"/>
                <w:sz w:val="21"/>
                <w:szCs w:val="21"/>
              </w:rPr>
              <w:instrText>定性分析</w:instrText>
            </w:r>
            <w:r w:rsidRPr="00C60979">
              <w:rPr>
                <w:rFonts w:cs="Arial"/>
                <w:sz w:val="21"/>
                <w:szCs w:val="21"/>
              </w:rPr>
              <w:instrText xml:space="preserve"> -- </w:instrText>
            </w:r>
            <w:r w:rsidRPr="00C60979">
              <w:rPr>
                <w:rFonts w:cs="Arial"/>
                <w:sz w:val="21"/>
                <w:szCs w:val="21"/>
              </w:rPr>
              <w:instrText>定量分析：描述性统计</w:instrText>
            </w:r>
            <w:r w:rsidRPr="00C60979">
              <w:rPr>
                <w:rFonts w:cs="Arial"/>
                <w:sz w:val="21"/>
                <w:szCs w:val="21"/>
              </w:rPr>
              <w:instrText xml:space="preserve"> -- </w:instrText>
            </w:r>
            <w:r w:rsidRPr="00C60979">
              <w:rPr>
                <w:rFonts w:cs="Arial"/>
                <w:sz w:val="21"/>
                <w:szCs w:val="21"/>
              </w:rPr>
              <w:instrText>定量分析：推论统计</w:instrText>
            </w:r>
            <w:r w:rsidRPr="00C60979">
              <w:rPr>
                <w:rFonts w:cs="Arial"/>
                <w:sz w:val="21"/>
                <w:szCs w:val="21"/>
              </w:rPr>
              <w:instrText xml:space="preserve"> -- </w:instrText>
            </w:r>
            <w:r w:rsidRPr="00C60979">
              <w:rPr>
                <w:rFonts w:cs="Arial"/>
                <w:sz w:val="21"/>
                <w:szCs w:val="21"/>
              </w:rPr>
              <w:instrText>研究伦理</w:instrText>
            </w:r>
            <w:r w:rsidRPr="00C60979">
              <w:rPr>
                <w:rFonts w:cs="Arial"/>
                <w:sz w:val="21"/>
                <w:szCs w:val="21"/>
              </w:rPr>
              <w:instrText xml:space="preserve">\ntitleTranslation: </w:instrText>
            </w:r>
            <w:r w:rsidRPr="00C60979">
              <w:rPr>
                <w:rFonts w:cs="Arial"/>
                <w:sz w:val="21"/>
                <w:szCs w:val="21"/>
              </w:rPr>
              <w:instrText>社会科学研究：原理、方法与实践</w:instrText>
            </w:r>
            <w:r w:rsidRPr="00C60979">
              <w:rPr>
                <w:rFonts w:cs="Arial"/>
                <w:sz w:val="21"/>
                <w:szCs w:val="21"/>
              </w:rPr>
              <w:instrText xml:space="preserve">","number-of-pages":"149","publisher":"Anol Bhattacherjee","publisher-place":"Tampa, Florida?","source":"K10plus ISBN","title":"Social science research: principles, methods, and practices","title-short":"Social science research","author":[{"family":"Bhattacherjee","given":"Anol"}],"issued":{"date-parts":[["2012"]]},"citation-key":"bhattacherjeeSocialScienceResearch2012"}}],"schema":"https://github.com/citation-style-language/schema/raw/master/csl-citation.json"} </w:instrText>
            </w:r>
            <w:r w:rsidRPr="00C60979">
              <w:rPr>
                <w:rFonts w:cs="Arial"/>
                <w:sz w:val="21"/>
                <w:szCs w:val="21"/>
              </w:rPr>
              <w:fldChar w:fldCharType="separate"/>
            </w:r>
            <w:r w:rsidRPr="00C60979">
              <w:rPr>
                <w:rFonts w:cs="Arial"/>
                <w:noProof/>
                <w:sz w:val="21"/>
                <w:szCs w:val="21"/>
              </w:rPr>
              <w:t>(Bhattacherjee, 2012)</w:t>
            </w:r>
            <w:r w:rsidRPr="00C60979">
              <w:rPr>
                <w:rFonts w:cs="Arial"/>
                <w:sz w:val="21"/>
                <w:szCs w:val="21"/>
              </w:rPr>
              <w:fldChar w:fldCharType="end"/>
            </w:r>
            <w:r w:rsidRPr="00C60979">
              <w:rPr>
                <w:rFonts w:cs="Arial"/>
                <w:sz w:val="21"/>
                <w:szCs w:val="21"/>
              </w:rPr>
              <w:t xml:space="preserve"> to thoroughly investigate the digital transformation of enterprises in China's coal industry, ensuring that the sample is broadly representative and reflects the diversity and transformation process within the industry. </w:t>
            </w:r>
          </w:p>
          <w:p w14:paraId="60BC50AC" w14:textId="77777777" w:rsidR="00C60979" w:rsidRPr="00C60979" w:rsidRDefault="00C60979" w:rsidP="00C60979">
            <w:pPr>
              <w:adjustRightInd w:val="0"/>
              <w:snapToGrid w:val="0"/>
              <w:spacing w:line="360" w:lineRule="auto"/>
              <w:rPr>
                <w:rFonts w:cs="Arial"/>
                <w:sz w:val="21"/>
                <w:szCs w:val="21"/>
              </w:rPr>
            </w:pPr>
            <w:r w:rsidRPr="00C60979">
              <w:rPr>
                <w:rFonts w:cs="Arial"/>
                <w:sz w:val="21"/>
                <w:szCs w:val="21"/>
              </w:rPr>
              <w:t>In this project mixed method is used to deal with research question from practical perspective. The mixed methods approach is a combination of quantitative and qualitative to propose a viable solution</w:t>
            </w:r>
            <w:r w:rsidRPr="00C60979">
              <w:rPr>
                <w:rFonts w:cs="Arial"/>
                <w:sz w:val="21"/>
                <w:szCs w:val="21"/>
              </w:rPr>
              <w:fldChar w:fldCharType="begin"/>
            </w:r>
            <w:r w:rsidRPr="00C60979">
              <w:rPr>
                <w:rFonts w:cs="Arial"/>
                <w:sz w:val="21"/>
                <w:szCs w:val="21"/>
              </w:rPr>
              <w:instrText xml:space="preserve"> ADDIN ZOTERO_ITEM CSL_CITATION {"citationID":"tQOAPFP5","properties":{"formattedCitation":"(Johnson &amp; Onwuegbuzie, 2004)","plainCitation":"(Johnson &amp; Onwuegbuzie, 2004)","noteIndex":0},"citationItems":[{"id":26473,"uris":["http://zotero.org/users/4106135/items/JJJE6VLD"],"itemData":{"id":26473,"type":"article-journal","abstract":"The purposes of this article are to position mixed methods research ( mixed research is a synonym) as the natural complement to traditional qualitative and quantitative research, to present pragmatism as offering an attractive philosophical partner for mixed methods research, and to provide a framework for designing and conducting mixed methods research. In doing this, we briefly review the paradigm “wars” and incompatibility thesis, we show some commonalities between quantitative and qualitative research, we explain the tenets of pragmatism, we explain the fundamental principle of mixed research and how to apply it, we provide specific sets of designs for the two major types of mixed methods research ( mixed-model designs and mixed-method designs), and, finally, we explain mixed methods research as following (recursively) an eight-step process. A key feature of mixed methods research is its methodological pluralism or eclecticism, which frequently results in superior research (compared to monomethod research). Mixed methods research will be successful as more investigators study and help advance its concepts and as they regularly practice it.","container-title":"Educational Researcher","DOI":"10.3102/0013189X033007014","ISSN":"0013-189X, 1935-102X","issue":"7","journalAbbreviation":"Educational Researcher","language":"en","note":"titleTranslation: </w:instrText>
            </w:r>
            <w:r w:rsidRPr="00C60979">
              <w:rPr>
                <w:rFonts w:cs="Arial"/>
                <w:sz w:val="21"/>
                <w:szCs w:val="21"/>
              </w:rPr>
              <w:instrText>混合方法研究：一种研究范式的时代已经到来</w:instrText>
            </w:r>
            <w:r w:rsidRPr="00C60979">
              <w:rPr>
                <w:rFonts w:cs="Arial"/>
                <w:sz w:val="21"/>
                <w:szCs w:val="21"/>
              </w:rPr>
              <w:instrText xml:space="preserve">\nabstractTranslation:  </w:instrText>
            </w:r>
            <w:r w:rsidRPr="00C60979">
              <w:rPr>
                <w:rFonts w:cs="Arial"/>
                <w:sz w:val="21"/>
                <w:szCs w:val="21"/>
              </w:rPr>
              <w:instrText>本文的目的是将混合方法研究（混合研究是同义词）定位为传统定性和定量研究的自然补充，将实用主义呈现为混合方法研究提供有吸引力的哲学伙伴，并提供设计框架并进行混合方法研究。在此过程中，我们简要回顾了范式</w:instrText>
            </w:r>
            <w:r w:rsidRPr="00C60979">
              <w:rPr>
                <w:rFonts w:cs="Arial"/>
                <w:sz w:val="21"/>
                <w:szCs w:val="21"/>
              </w:rPr>
              <w:instrText>“</w:instrText>
            </w:r>
            <w:r w:rsidRPr="00C60979">
              <w:rPr>
                <w:rFonts w:cs="Arial"/>
                <w:sz w:val="21"/>
                <w:szCs w:val="21"/>
              </w:rPr>
              <w:instrText>战争</w:instrText>
            </w:r>
            <w:r w:rsidRPr="00C60979">
              <w:rPr>
                <w:rFonts w:cs="Arial"/>
                <w:sz w:val="21"/>
                <w:szCs w:val="21"/>
              </w:rPr>
              <w:instrText>”</w:instrText>
            </w:r>
            <w:r w:rsidRPr="00C60979">
              <w:rPr>
                <w:rFonts w:cs="Arial"/>
                <w:sz w:val="21"/>
                <w:szCs w:val="21"/>
              </w:rPr>
              <w:instrText>和不相容论点，我们展示了定量研究和定性研究之间的一些共性，我们解释了实用主义的原则，我们解释了混合研究的基本原则以及如何应用它，我们提供了具体的研究混合方法研究的两种主要类型（混合模型设计和混合方法设计）的设计集，最后，我们将混合方法研究解释为以下（递归）八步过程。混合方法研究的一个关键特征是其方法论的多元化或折衷主义，这通常会产生卓越的研究（与单一方法研究相比）。随着更多的研究人员研究并帮助推进其概念并定期实践，混合方法研究将取得成功。</w:instrText>
            </w:r>
            <w:r w:rsidRPr="00C60979">
              <w:rPr>
                <w:rFonts w:cs="Arial"/>
                <w:sz w:val="21"/>
                <w:szCs w:val="21"/>
              </w:rPr>
              <w:instrText xml:space="preserve">","page":"14-26","source":"8.2","title":"Mixed Methods Research: A Research Paradigm Whose Time Has Come","title-short":"Mixed Methods Research","volume":"33","author":[{"family":"Johnson","given":"R. Burke"},{"family":"Onwuegbuzie","given":"Anthony J."}],"issued":{"date-parts":[["2004",10]]},"citation-key":"johnsonMixedMethodsResearch2004"}}],"schema":"https://github.com/citation-style-language/schema/raw/master/csl-citation.json"} </w:instrText>
            </w:r>
            <w:r w:rsidRPr="00C60979">
              <w:rPr>
                <w:rFonts w:cs="Arial"/>
                <w:sz w:val="21"/>
                <w:szCs w:val="21"/>
              </w:rPr>
              <w:fldChar w:fldCharType="separate"/>
            </w:r>
            <w:r w:rsidRPr="00C60979">
              <w:rPr>
                <w:rFonts w:cs="Arial"/>
                <w:noProof/>
                <w:sz w:val="21"/>
                <w:szCs w:val="21"/>
              </w:rPr>
              <w:t>(Johnson &amp; Onwuegbuzie, 2004)</w:t>
            </w:r>
            <w:r w:rsidRPr="00C60979">
              <w:rPr>
                <w:rFonts w:cs="Arial"/>
                <w:sz w:val="21"/>
                <w:szCs w:val="21"/>
              </w:rPr>
              <w:fldChar w:fldCharType="end"/>
            </w:r>
            <w:r w:rsidRPr="00C60979">
              <w:rPr>
                <w:rFonts w:cs="Arial"/>
                <w:sz w:val="21"/>
                <w:szCs w:val="21"/>
              </w:rPr>
              <w:t>. Mixed research methods are not simply adding together the results of separate qualitative and quantitative studies</w:t>
            </w:r>
            <w:r w:rsidRPr="00C60979">
              <w:rPr>
                <w:rFonts w:cs="Arial"/>
                <w:sz w:val="21"/>
                <w:szCs w:val="21"/>
              </w:rPr>
              <w:fldChar w:fldCharType="begin"/>
            </w:r>
            <w:r w:rsidRPr="00C60979">
              <w:rPr>
                <w:rFonts w:cs="Arial"/>
                <w:sz w:val="21"/>
                <w:szCs w:val="21"/>
              </w:rPr>
              <w:instrText xml:space="preserve"> ADDIN ZOTERO_ITEM CSL_CITATION {"citationID":"jirA5TzR","properties":{"formattedCitation":"(Fetters &amp; Freshwater, 2015)","plainCitation":"(Fetters &amp; Freshwater, 2015)","noteIndex":0},"citationItems":[{"id":26477,"uris":["http://zotero.org/users/4106135/items/TYCFN23H"],"itemData":{"id":26477,"type":"article-journal","container-title":"Journal of Mixed Methods Research","DOI":"10.1177/1558689815581222","ISSN":"1558-6898, 1558-6901","issue":"2","journalAbbreviation":"Journal of Mixed Methods Research","language":"en","note":"titleTranslation: 1 + 1 = 3 </w:instrText>
            </w:r>
            <w:r w:rsidRPr="00C60979">
              <w:rPr>
                <w:rFonts w:cs="Arial"/>
                <w:sz w:val="21"/>
                <w:szCs w:val="21"/>
              </w:rPr>
              <w:instrText>集成挑战</w:instrText>
            </w:r>
            <w:r w:rsidRPr="00C60979">
              <w:rPr>
                <w:rFonts w:cs="Arial"/>
                <w:sz w:val="21"/>
                <w:szCs w:val="21"/>
              </w:rPr>
              <w:instrText xml:space="preserve">","page":"115-117","source":"3.9","title":"The 1 + 1 = 3 Integration Challenge","volume":"9","author":[{"family":"Fetters","given":"Michael D."},{"family":"Freshwater","given":"Dawn"}],"issued":{"date-parts":[["2015",4]]},"citation-key":"fettersIntegrationChallenge2015"}}],"schema":"https://github.com/citation-style-language/schema/raw/master/csl-citation.json"} </w:instrText>
            </w:r>
            <w:r w:rsidRPr="00C60979">
              <w:rPr>
                <w:rFonts w:cs="Arial"/>
                <w:sz w:val="21"/>
                <w:szCs w:val="21"/>
              </w:rPr>
              <w:fldChar w:fldCharType="separate"/>
            </w:r>
            <w:r w:rsidRPr="00C60979">
              <w:rPr>
                <w:rFonts w:cs="Arial"/>
                <w:noProof/>
                <w:sz w:val="21"/>
                <w:szCs w:val="21"/>
              </w:rPr>
              <w:t>(Fetters &amp; Freshwater, 2015)</w:t>
            </w:r>
            <w:r w:rsidRPr="00C60979">
              <w:rPr>
                <w:rFonts w:cs="Arial"/>
                <w:sz w:val="21"/>
                <w:szCs w:val="21"/>
              </w:rPr>
              <w:fldChar w:fldCharType="end"/>
            </w:r>
            <w:r w:rsidRPr="00C60979">
              <w:rPr>
                <w:rFonts w:cs="Arial"/>
                <w:sz w:val="21"/>
                <w:szCs w:val="21"/>
              </w:rPr>
              <w:t>.</w:t>
            </w:r>
            <w:r w:rsidRPr="00C60979">
              <w:rPr>
                <w:rFonts w:cs="Arial"/>
                <w:color w:val="000000"/>
                <w:sz w:val="21"/>
                <w:szCs w:val="21"/>
              </w:rPr>
              <w:t xml:space="preserve"> </w:t>
            </w:r>
            <w:r w:rsidRPr="00C60979">
              <w:rPr>
                <w:rFonts w:cs="Arial"/>
                <w:sz w:val="21"/>
                <w:szCs w:val="21"/>
              </w:rPr>
              <w:t>The mixed method combines various types of information to provide a more comprehensive understanding of the data while mitigating the limitations of relying on a single approach. Additionally, it facilitates the analysis of different data types and helps build upon previous discoveries</w:t>
            </w:r>
            <w:r w:rsidRPr="00C60979">
              <w:rPr>
                <w:rFonts w:cs="Arial"/>
                <w:sz w:val="21"/>
                <w:szCs w:val="21"/>
              </w:rPr>
              <w:fldChar w:fldCharType="begin"/>
            </w:r>
            <w:r w:rsidRPr="00C60979">
              <w:rPr>
                <w:rFonts w:cs="Arial"/>
                <w:sz w:val="21"/>
                <w:szCs w:val="21"/>
              </w:rPr>
              <w:instrText xml:space="preserve"> ADDIN ZOTERO_ITEM CSL_CITATION {"citationID":"VgUc1HrS","properties":{"formattedCitation":"(Denscombe, 2008)","plainCitation":"(Denscombe, 2008)","noteIndex":0},"citationItems":[{"id":26476,"uris":["http://zotero.org/users/4106135/items/6K54IP9A"],"itemData":{"id":26476,"type":"article-journal","abstract":"The mixed methods approach has emerged as a ``third paradigm'' for social research. It has developed a platform of ideas and practices that are credible and distinctive and that mark the approach out as a viable alternative to quantitative and qualitative paradigms. However, there are also a number of variations and inconsistencies within the mixed methods approach that should not be ignored. This article argues the need for a vision of research paradigm that accommodates such variations and inconsistencies. It is argued that the use of ``communities of practice'' as the basis for such a research paradigm is (a) consistent with the pragmatist underpinnings of the mixed methods approach, (b) accommodates a level of diversity, and (c) has good potential for understanding the methodological choices made by those conducting mixed methods research.","container-title":"Journal of Mixed Methods Research","DOI":"10.1177/1558689808316807","ISSN":"1558-6898, 1558-6901","issue":"3","journalAbbreviation":"Journal of Mixed Methods Research","language":"en","note":"titleTranslation: </w:instrText>
            </w:r>
            <w:r w:rsidRPr="00C60979">
              <w:rPr>
                <w:rFonts w:cs="Arial"/>
                <w:sz w:val="21"/>
                <w:szCs w:val="21"/>
              </w:rPr>
              <w:instrText>实践社区：混合方法的研究范式</w:instrText>
            </w:r>
            <w:r w:rsidRPr="00C60979">
              <w:rPr>
                <w:rFonts w:cs="Arial"/>
                <w:sz w:val="21"/>
                <w:szCs w:val="21"/>
              </w:rPr>
              <w:instrText xml:space="preserve">\nabstractTranslation:  </w:instrText>
            </w:r>
            <w:r w:rsidRPr="00C60979">
              <w:rPr>
                <w:rFonts w:cs="Arial"/>
                <w:sz w:val="21"/>
                <w:szCs w:val="21"/>
              </w:rPr>
              <w:instrText>混合方法已成为社会研究的</w:instrText>
            </w:r>
            <w:r w:rsidRPr="00C60979">
              <w:rPr>
                <w:rFonts w:cs="Arial"/>
                <w:sz w:val="21"/>
                <w:szCs w:val="21"/>
              </w:rPr>
              <w:instrText>“</w:instrText>
            </w:r>
            <w:r w:rsidRPr="00C60979">
              <w:rPr>
                <w:rFonts w:cs="Arial"/>
                <w:sz w:val="21"/>
                <w:szCs w:val="21"/>
              </w:rPr>
              <w:instrText>第三范式</w:instrText>
            </w:r>
            <w:r w:rsidRPr="00C60979">
              <w:rPr>
                <w:rFonts w:cs="Arial"/>
                <w:sz w:val="21"/>
                <w:szCs w:val="21"/>
              </w:rPr>
              <w:instrText>”</w:instrText>
            </w:r>
            <w:r w:rsidRPr="00C60979">
              <w:rPr>
                <w:rFonts w:cs="Arial"/>
                <w:sz w:val="21"/>
                <w:szCs w:val="21"/>
              </w:rPr>
              <w:instrText>。它开发了一个可信且独特的思想和实践平台，使该方法成为定量和定性范式的可行替代方案。然而，混合方法中也存在一些不容忽视的变化和不一致。本文认为需要一种适应这种变化和不一致的研究范式。有人认为，使用</w:instrText>
            </w:r>
            <w:r w:rsidRPr="00C60979">
              <w:rPr>
                <w:rFonts w:cs="Arial"/>
                <w:sz w:val="21"/>
                <w:szCs w:val="21"/>
              </w:rPr>
              <w:instrText>“</w:instrText>
            </w:r>
            <w:r w:rsidRPr="00C60979">
              <w:rPr>
                <w:rFonts w:cs="Arial"/>
                <w:sz w:val="21"/>
                <w:szCs w:val="21"/>
              </w:rPr>
              <w:instrText>实践社区</w:instrText>
            </w:r>
            <w:r w:rsidRPr="00C60979">
              <w:rPr>
                <w:rFonts w:cs="Arial"/>
                <w:sz w:val="21"/>
                <w:szCs w:val="21"/>
              </w:rPr>
              <w:instrText>”</w:instrText>
            </w:r>
            <w:r w:rsidRPr="00C60979">
              <w:rPr>
                <w:rFonts w:cs="Arial"/>
                <w:sz w:val="21"/>
                <w:szCs w:val="21"/>
              </w:rPr>
              <w:instrText>作为这种研究范式的基础是（</w:instrText>
            </w:r>
            <w:r w:rsidRPr="00C60979">
              <w:rPr>
                <w:rFonts w:cs="Arial"/>
                <w:sz w:val="21"/>
                <w:szCs w:val="21"/>
              </w:rPr>
              <w:instrText>a</w:instrText>
            </w:r>
            <w:r w:rsidRPr="00C60979">
              <w:rPr>
                <w:rFonts w:cs="Arial"/>
                <w:sz w:val="21"/>
                <w:szCs w:val="21"/>
              </w:rPr>
              <w:instrText>）符合混合方法方法的实用主义基础，（</w:instrText>
            </w:r>
            <w:r w:rsidRPr="00C60979">
              <w:rPr>
                <w:rFonts w:cs="Arial"/>
                <w:sz w:val="21"/>
                <w:szCs w:val="21"/>
              </w:rPr>
              <w:instrText>b</w:instrText>
            </w:r>
            <w:r w:rsidRPr="00C60979">
              <w:rPr>
                <w:rFonts w:cs="Arial"/>
                <w:sz w:val="21"/>
                <w:szCs w:val="21"/>
              </w:rPr>
              <w:instrText>）适应一定程度的多样性，以及（</w:instrText>
            </w:r>
            <w:r w:rsidRPr="00C60979">
              <w:rPr>
                <w:rFonts w:cs="Arial"/>
                <w:sz w:val="21"/>
                <w:szCs w:val="21"/>
              </w:rPr>
              <w:instrText>c</w:instrText>
            </w:r>
            <w:r w:rsidRPr="00C60979">
              <w:rPr>
                <w:rFonts w:cs="Arial"/>
                <w:sz w:val="21"/>
                <w:szCs w:val="21"/>
              </w:rPr>
              <w:instrText>）具有很好的潜力来理解那些进行混合方法研究的人所做出的方法选择。</w:instrText>
            </w:r>
            <w:r w:rsidRPr="00C60979">
              <w:rPr>
                <w:rFonts w:cs="Arial"/>
                <w:sz w:val="21"/>
                <w:szCs w:val="21"/>
              </w:rPr>
              <w:instrText xml:space="preserve">","page":"270-283","source":"3.9","title":"Communities of Practice  A Research Paradigm for the Mixed Methods Approach","title-short":"Communities of Practice","volume":"2","author":[{"family":"Denscombe","given":"Martyn"}],"issued":{"date-parts":[["2008",7]]},"citation-key":"denscombeCommunitiesPracticeResearch2008"}}],"schema":"https://github.com/citation-style-language/schema/raw/master/csl-citation.json"} </w:instrText>
            </w:r>
            <w:r w:rsidRPr="00C60979">
              <w:rPr>
                <w:rFonts w:cs="Arial"/>
                <w:sz w:val="21"/>
                <w:szCs w:val="21"/>
              </w:rPr>
              <w:fldChar w:fldCharType="separate"/>
            </w:r>
            <w:r w:rsidRPr="00C60979">
              <w:rPr>
                <w:rFonts w:cs="Arial"/>
                <w:noProof/>
                <w:sz w:val="21"/>
                <w:szCs w:val="21"/>
              </w:rPr>
              <w:t>(Denscombe, 2008)</w:t>
            </w:r>
            <w:r w:rsidRPr="00C60979">
              <w:rPr>
                <w:rFonts w:cs="Arial"/>
                <w:sz w:val="21"/>
                <w:szCs w:val="21"/>
              </w:rPr>
              <w:fldChar w:fldCharType="end"/>
            </w:r>
            <w:r w:rsidRPr="00C60979">
              <w:rPr>
                <w:rFonts w:cs="Arial"/>
                <w:sz w:val="21"/>
                <w:szCs w:val="21"/>
              </w:rPr>
              <w:t>.</w:t>
            </w:r>
          </w:p>
          <w:p w14:paraId="336FC860" w14:textId="77777777" w:rsidR="00C60979" w:rsidRPr="00C60979" w:rsidRDefault="00C60979" w:rsidP="00C60979">
            <w:pPr>
              <w:adjustRightInd w:val="0"/>
              <w:snapToGrid w:val="0"/>
              <w:spacing w:line="360" w:lineRule="auto"/>
              <w:rPr>
                <w:rFonts w:cs="Arial"/>
                <w:sz w:val="21"/>
                <w:szCs w:val="21"/>
              </w:rPr>
            </w:pPr>
            <w:r w:rsidRPr="00C60979">
              <w:rPr>
                <w:rFonts w:cs="Arial"/>
                <w:sz w:val="21"/>
                <w:szCs w:val="21"/>
              </w:rPr>
              <w:t>Qualitative research emphasizes the significance of human experiences in the research process. Researchers typically gather data directly at the location where participants encounter the issue being studied</w:t>
            </w:r>
            <w:r w:rsidRPr="00C60979">
              <w:rPr>
                <w:rFonts w:cs="Arial"/>
                <w:sz w:val="21"/>
                <w:szCs w:val="21"/>
              </w:rPr>
              <w:fldChar w:fldCharType="begin"/>
            </w:r>
            <w:r w:rsidRPr="00C60979">
              <w:rPr>
                <w:rFonts w:cs="Arial"/>
                <w:sz w:val="21"/>
                <w:szCs w:val="21"/>
              </w:rPr>
              <w:instrText xml:space="preserve"> ADDIN ZOTERO_ITEM CSL_CITATION {"citationID":"i3Zt5Q5x","properties":{"formattedCitation":"(John W. Creswell &amp; J. David Creswell, 2023, p. 225)","plainCitation":"(John W. Creswell &amp; J. David Creswell, 2023, p. 225)","noteIndex":0},"citationItems":[{"id":26170,"uris":["http://zotero.org/users/4106135/items/AIP3MDPJ"],"itemData":{"id":26170,"type":"book","edition":"Sixth edition, international student edition","event-place":"Los Angeles London New Delhi Singapore Washington DC Melbourne","ISBN":"978-1-07-181796-4","language":"en-US","note":"titleTranslation: </w:instrText>
            </w:r>
            <w:r w:rsidRPr="00C60979">
              <w:rPr>
                <w:rFonts w:cs="Arial"/>
                <w:sz w:val="21"/>
                <w:szCs w:val="21"/>
              </w:rPr>
              <w:instrText>研究设计：定性、定量和混合方法</w:instrText>
            </w:r>
            <w:r w:rsidRPr="00C60979">
              <w:rPr>
                <w:rFonts w:cs="Arial"/>
                <w:sz w:val="21"/>
                <w:szCs w:val="21"/>
              </w:rPr>
              <w:instrText xml:space="preserve">","number-of-pages":"291","publisher":"Sage","publisher-place":"Los Angeles London New Delhi Singapore Washington DC Melbourne","source":"K10plus ISBN","title":"Research design: qualitative, quantitative, and mixed methods approaches","title-short":"Research design","author":[{"literal":"John W. Creswell"},{"literal":"J. David Creswell"}],"issued":{"date-parts":[["2023"]]},"citation-key":"johnw.creswellResearchDesignQualitative2023"},"locator":"225","label":"page"}],"schema":"https://github.com/citation-style-language/schema/raw/master/csl-citation.json"} </w:instrText>
            </w:r>
            <w:r w:rsidRPr="00C60979">
              <w:rPr>
                <w:rFonts w:cs="Arial"/>
                <w:sz w:val="21"/>
                <w:szCs w:val="21"/>
              </w:rPr>
              <w:fldChar w:fldCharType="separate"/>
            </w:r>
            <w:r w:rsidRPr="00C60979">
              <w:rPr>
                <w:rFonts w:cs="Arial"/>
                <w:noProof/>
                <w:sz w:val="21"/>
                <w:szCs w:val="21"/>
              </w:rPr>
              <w:t>(John W. Creswell &amp; J. David Creswell, 2023, p. 225)</w:t>
            </w:r>
            <w:r w:rsidRPr="00C60979">
              <w:rPr>
                <w:rFonts w:cs="Arial"/>
                <w:sz w:val="21"/>
                <w:szCs w:val="21"/>
              </w:rPr>
              <w:fldChar w:fldCharType="end"/>
            </w:r>
            <w:r w:rsidRPr="00C60979">
              <w:rPr>
                <w:rFonts w:cs="Arial"/>
                <w:sz w:val="21"/>
                <w:szCs w:val="21"/>
              </w:rPr>
              <w:t>.</w:t>
            </w:r>
          </w:p>
          <w:p w14:paraId="20EB0BF2" w14:textId="0D8F6CA4" w:rsidR="00C60979" w:rsidRPr="00C60979" w:rsidRDefault="00C60979" w:rsidP="00C60979">
            <w:pPr>
              <w:adjustRightInd w:val="0"/>
              <w:snapToGrid w:val="0"/>
              <w:spacing w:line="360" w:lineRule="auto"/>
              <w:rPr>
                <w:rFonts w:cs="Arial"/>
                <w:sz w:val="21"/>
                <w:szCs w:val="21"/>
                <w:lang w:eastAsia="zh-CN"/>
              </w:rPr>
            </w:pPr>
            <w:r w:rsidRPr="00C60979">
              <w:rPr>
                <w:rFonts w:cs="Arial"/>
                <w:sz w:val="21"/>
                <w:szCs w:val="21"/>
              </w:rPr>
              <w:t>Quantitative research collects digital data based on an objectivist conception of social reality. It emphasises the relationship of deductive reasoning between theory and research</w:t>
            </w:r>
            <w:r w:rsidRPr="00C60979">
              <w:rPr>
                <w:rFonts w:cs="Arial"/>
                <w:sz w:val="21"/>
                <w:szCs w:val="21"/>
              </w:rPr>
              <w:fldChar w:fldCharType="begin"/>
            </w:r>
            <w:r w:rsidRPr="00C60979">
              <w:rPr>
                <w:rFonts w:cs="Arial"/>
                <w:sz w:val="21"/>
                <w:szCs w:val="21"/>
              </w:rPr>
              <w:instrText xml:space="preserve"> ADDIN ZOTERO_ITEM CSL_CITATION {"citationID":"lLh1wKuY","properties":{"formattedCitation":"(Bryman &amp; Bell, 2019, p. 75)","plainCitation":"(Bryman &amp; Bell, 2019, p. 75)","noteIndex":0},"citationItems":[{"id":24408,"uris":["http://zotero.org/users/4106135/items/69KSAUWZ"],"itemData":{"id":24408,"type":"book","abstract":"\"In the fifth Canadian edition of Social Research Methods, Edward Bell has restructured and thoroughly updated the most trusted go-to research guide for undergraduates in the social sciences in order to better suit how social research is taught in Canada today. Guided by the text's practical, step-by-step advice, and numerous real-world examples, readers travel through all stages of the processes involved in quantitative and qualitative research, from formulating questions, choosing methods, and recruiting participants, to analysing the data and writing up the results. Accessible, engaging, and thorough, Social Research Methods offers students the conceptual foundations and practical skills they need to not only carry out their own social research, but also to think critically about studies conducted by other scholars.\"-- Provided by publisher","edition":"Fifth Canadian edition","event-place":"Don Mills, Ontario, Canada","ISBN":"978-0-19-902944-0","language":"en","note":"OCLC: 1080215809\nabstractTranslation:  “</w:instrText>
            </w:r>
            <w:r w:rsidRPr="00C60979">
              <w:rPr>
                <w:rFonts w:cs="Arial"/>
                <w:sz w:val="21"/>
                <w:szCs w:val="21"/>
              </w:rPr>
              <w:instrText>在《社会研究方法》加拿大第五版中，爱德华</w:instrText>
            </w:r>
            <w:r w:rsidRPr="00C60979">
              <w:rPr>
                <w:rFonts w:cs="Arial"/>
                <w:sz w:val="21"/>
                <w:szCs w:val="21"/>
              </w:rPr>
              <w:instrText>·</w:instrText>
            </w:r>
            <w:r w:rsidRPr="00C60979">
              <w:rPr>
                <w:rFonts w:cs="Arial"/>
                <w:sz w:val="21"/>
                <w:szCs w:val="21"/>
              </w:rPr>
              <w:instrText>贝尔重组并彻底更新了社会科学本科生最值得信赖的研究指南，以更好地适应当今加拿大社会研究的教学方式。通过实用的、循序渐进的建议和大量的现实世界的例子，读者经历了定量和定性研究过程的所有阶段，从提出问题、选择方法和招募参与者，到分析数据和撰写研究报告。社会研究方法通俗易懂、引人入胜且透彻，为学生提供了所需的概念基础和实践技能，他们不仅可以进行自己的社会研究，还可以批判性地思考其他学者进行的研究。</w:instrText>
            </w:r>
            <w:r w:rsidRPr="00C60979">
              <w:rPr>
                <w:rFonts w:cs="Arial"/>
                <w:sz w:val="21"/>
                <w:szCs w:val="21"/>
              </w:rPr>
              <w:instrText>”——</w:instrText>
            </w:r>
            <w:r w:rsidRPr="00C60979">
              <w:rPr>
                <w:rFonts w:cs="Arial"/>
                <w:sz w:val="21"/>
                <w:szCs w:val="21"/>
              </w:rPr>
              <w:instrText>由出版商提供</w:instrText>
            </w:r>
            <w:r w:rsidRPr="00C60979">
              <w:rPr>
                <w:rFonts w:cs="Arial"/>
                <w:sz w:val="21"/>
                <w:szCs w:val="21"/>
              </w:rPr>
              <w:instrText xml:space="preserve">\ntitleTranslation: </w:instrText>
            </w:r>
            <w:r w:rsidRPr="00C60979">
              <w:rPr>
                <w:rFonts w:cs="Arial"/>
                <w:sz w:val="21"/>
                <w:szCs w:val="21"/>
              </w:rPr>
              <w:instrText>社会研究方法</w:instrText>
            </w:r>
            <w:r w:rsidRPr="00C60979">
              <w:rPr>
                <w:rFonts w:cs="Arial"/>
                <w:sz w:val="21"/>
                <w:szCs w:val="21"/>
              </w:rPr>
              <w:instrText xml:space="preserve">","publisher":"Oxford University Press","publisher-place":"Don Mills, Ontario, Canada","source":"Open WorldCat","title":"Social research methods","author":[{"family":"Bryman","given":"Alan"},{"family":"Bell","given":"Edward"}],"issued":{"date-parts":[["2019"]]},"citation-key":"brymanSocialResearchMethods2019"},"locator":"75","label":"page"}],"schema":"https://github.com/citation-style-language/schema/raw/master/csl-citation.json"} </w:instrText>
            </w:r>
            <w:r w:rsidRPr="00C60979">
              <w:rPr>
                <w:rFonts w:cs="Arial"/>
                <w:sz w:val="21"/>
                <w:szCs w:val="21"/>
              </w:rPr>
              <w:fldChar w:fldCharType="separate"/>
            </w:r>
            <w:r w:rsidRPr="00C60979">
              <w:rPr>
                <w:rFonts w:cs="Arial"/>
                <w:noProof/>
                <w:sz w:val="21"/>
                <w:szCs w:val="21"/>
              </w:rPr>
              <w:t>(Bryman &amp; Bell, 2019, p. 75)</w:t>
            </w:r>
            <w:r w:rsidRPr="00C60979">
              <w:rPr>
                <w:rFonts w:cs="Arial"/>
                <w:sz w:val="21"/>
                <w:szCs w:val="21"/>
              </w:rPr>
              <w:fldChar w:fldCharType="end"/>
            </w:r>
            <w:r w:rsidRPr="00C60979">
              <w:rPr>
                <w:rFonts w:cs="Arial"/>
                <w:sz w:val="21"/>
                <w:szCs w:val="21"/>
              </w:rPr>
              <w:t>.</w:t>
            </w:r>
          </w:p>
          <w:p w14:paraId="7436164E" w14:textId="77777777" w:rsidR="00C60979" w:rsidRPr="00C60979" w:rsidRDefault="00C60979" w:rsidP="00C60979">
            <w:pPr>
              <w:adjustRightInd w:val="0"/>
              <w:snapToGrid w:val="0"/>
              <w:spacing w:line="360" w:lineRule="auto"/>
              <w:rPr>
                <w:rFonts w:cs="Arial"/>
                <w:b/>
                <w:bCs/>
                <w:sz w:val="21"/>
                <w:szCs w:val="21"/>
              </w:rPr>
            </w:pPr>
            <w:r w:rsidRPr="00C60979">
              <w:rPr>
                <w:rFonts w:cs="Arial"/>
                <w:b/>
                <w:bCs/>
                <w:sz w:val="21"/>
                <w:szCs w:val="21"/>
              </w:rPr>
              <w:t>Data Collection</w:t>
            </w:r>
          </w:p>
          <w:p w14:paraId="5A02B4E8" w14:textId="77777777" w:rsidR="00C60979" w:rsidRPr="00C60979" w:rsidRDefault="00C60979" w:rsidP="00C60979">
            <w:pPr>
              <w:adjustRightInd w:val="0"/>
              <w:snapToGrid w:val="0"/>
              <w:spacing w:line="360" w:lineRule="auto"/>
              <w:rPr>
                <w:rFonts w:cs="Arial"/>
                <w:vanish/>
                <w:sz w:val="21"/>
                <w:szCs w:val="21"/>
              </w:rPr>
            </w:pPr>
            <w:r w:rsidRPr="00B05DDB">
              <w:rPr>
                <w:rFonts w:cs="Arial"/>
                <w:sz w:val="21"/>
                <w:szCs w:val="21"/>
              </w:rPr>
              <w:t xml:space="preserve">For the qualitative method, </w:t>
            </w:r>
            <w:r w:rsidRPr="00C60979">
              <w:rPr>
                <w:rFonts w:cs="Arial"/>
                <w:sz w:val="21"/>
                <w:szCs w:val="21"/>
              </w:rPr>
              <w:t xml:space="preserve">Semi-structured interviews applied to qualitative research </w:t>
            </w:r>
            <w:r w:rsidRPr="00C60979">
              <w:rPr>
                <w:rFonts w:cs="Arial"/>
                <w:sz w:val="21"/>
                <w:szCs w:val="21"/>
              </w:rPr>
              <w:fldChar w:fldCharType="begin"/>
            </w:r>
            <w:r w:rsidRPr="00C60979">
              <w:rPr>
                <w:rFonts w:cs="Arial"/>
                <w:sz w:val="21"/>
                <w:szCs w:val="21"/>
              </w:rPr>
              <w:instrText xml:space="preserve"> ADDIN ZOTERO_ITEM CSL_CITATION {"citationID":"TAhyke2i","properties":{"formattedCitation":"(Seidman, 2019)","plainCitation":"(Seidman, 2019)","noteIndex":0},"citationItems":[{"id":31475,"uris":["http://zotero.org/users/4106135/items/EF7XDL4F"],"itemData":{"id":31475,"type":"book","call-number":"H61.28","edition":"Fifth edition","event-place":"New York, NY","ISBN":"978-0-8077-7785-5","language":"en","note":"titleTranslation: </w:instrText>
            </w:r>
            <w:r w:rsidRPr="00C60979">
              <w:rPr>
                <w:rFonts w:cs="Arial"/>
                <w:sz w:val="21"/>
                <w:szCs w:val="21"/>
              </w:rPr>
              <w:instrText>作为定性研究的访谈：教育和社会科学研究人员指南</w:instrText>
            </w:r>
            <w:r w:rsidRPr="00C60979">
              <w:rPr>
                <w:rFonts w:cs="Arial"/>
                <w:sz w:val="21"/>
                <w:szCs w:val="21"/>
              </w:rPr>
              <w:instrText xml:space="preserve">","number-of-pages":"1","publisher":"Teachers College Press","publisher-place":"New York, NY","source":"Library of Congress ISBN","title":"Interviewing as qualitative research: a guide for researchers in education and the social sciences","title-short":"Interviewing as qualitative research","author":[{"family":"Seidman","given":"Irving"}],"issued":{"date-parts":[["2019"]]},"citation-key":"seidmanInterviewingQualitativeResearch2019"}}],"schema":"https://github.com/citation-style-language/schema/raw/master/csl-citation.json"} </w:instrText>
            </w:r>
            <w:r w:rsidRPr="00C60979">
              <w:rPr>
                <w:rFonts w:cs="Arial"/>
                <w:sz w:val="21"/>
                <w:szCs w:val="21"/>
              </w:rPr>
              <w:fldChar w:fldCharType="separate"/>
            </w:r>
            <w:r w:rsidRPr="00C60979">
              <w:rPr>
                <w:rFonts w:cs="Arial"/>
                <w:noProof/>
                <w:sz w:val="21"/>
                <w:szCs w:val="21"/>
              </w:rPr>
              <w:t>(Seidman, 2019)</w:t>
            </w:r>
            <w:r w:rsidRPr="00C60979">
              <w:rPr>
                <w:rFonts w:cs="Arial"/>
                <w:sz w:val="21"/>
                <w:szCs w:val="21"/>
              </w:rPr>
              <w:fldChar w:fldCharType="end"/>
            </w:r>
            <w:r w:rsidRPr="00C60979">
              <w:rPr>
                <w:rFonts w:cs="Arial"/>
                <w:sz w:val="21"/>
                <w:szCs w:val="21"/>
              </w:rPr>
              <w:t xml:space="preserve">. The interviews are conducted remotely, utilizing software such as WeChat, Zoom, Tencent Meeting, or Teams. During the interviews, the participants are asked to share their personal views and experiences regarding digital transformation. The interviews are conducted in Mandarin Chinese and the content of the interviews is transcribed into English. </w:t>
            </w:r>
            <w:r w:rsidRPr="00C60979">
              <w:rPr>
                <w:rFonts w:cs="Arial"/>
                <w:vanish/>
                <w:sz w:val="21"/>
                <w:szCs w:val="21"/>
              </w:rPr>
              <w:t>窗体顶端</w:t>
            </w:r>
          </w:p>
          <w:p w14:paraId="34E30AD0" w14:textId="77777777" w:rsidR="00C60979" w:rsidRPr="00C60979" w:rsidRDefault="00C60979" w:rsidP="00C60979">
            <w:pPr>
              <w:adjustRightInd w:val="0"/>
              <w:snapToGrid w:val="0"/>
              <w:spacing w:line="360" w:lineRule="auto"/>
              <w:ind w:firstLineChars="50" w:firstLine="105"/>
              <w:rPr>
                <w:rFonts w:cs="Arial"/>
                <w:vanish/>
                <w:sz w:val="21"/>
                <w:szCs w:val="21"/>
              </w:rPr>
            </w:pPr>
            <w:r w:rsidRPr="00C60979">
              <w:rPr>
                <w:rFonts w:cs="Arial"/>
                <w:vanish/>
                <w:sz w:val="21"/>
                <w:szCs w:val="21"/>
              </w:rPr>
              <w:t>窗体底端</w:t>
            </w:r>
          </w:p>
          <w:p w14:paraId="0522A1F0" w14:textId="77777777" w:rsidR="00C60979" w:rsidRPr="00C60979" w:rsidRDefault="00C60979" w:rsidP="00C60979">
            <w:pPr>
              <w:adjustRightInd w:val="0"/>
              <w:snapToGrid w:val="0"/>
              <w:spacing w:line="360" w:lineRule="auto"/>
              <w:rPr>
                <w:rFonts w:cs="Arial"/>
                <w:sz w:val="21"/>
                <w:szCs w:val="21"/>
              </w:rPr>
            </w:pPr>
            <w:r w:rsidRPr="00C60979">
              <w:rPr>
                <w:rFonts w:cs="Arial"/>
                <w:sz w:val="21"/>
                <w:szCs w:val="21"/>
              </w:rPr>
              <w:t xml:space="preserve">To facilitate the discussion, we introduced participants to the concept of dynamic capabilities and discussed how it guides companies in terms of </w:t>
            </w:r>
            <w:r w:rsidRPr="00C60979">
              <w:rPr>
                <w:rFonts w:cs="Arial"/>
                <w:sz w:val="21"/>
                <w:szCs w:val="21"/>
              </w:rPr>
              <w:lastRenderedPageBreak/>
              <w:t>knowledge and experience regarding digital transformation</w:t>
            </w:r>
            <w:r w:rsidRPr="00C60979">
              <w:rPr>
                <w:rFonts w:cs="Arial"/>
                <w:sz w:val="21"/>
                <w:szCs w:val="21"/>
              </w:rPr>
              <w:fldChar w:fldCharType="begin"/>
            </w:r>
            <w:r w:rsidRPr="00C60979">
              <w:rPr>
                <w:rFonts w:cs="Arial"/>
                <w:sz w:val="21"/>
                <w:szCs w:val="21"/>
              </w:rPr>
              <w:instrText xml:space="preserve"> ADDIN ZOTERO_ITEM CSL_CITATION {"citationID":"oIynn3mQ","properties":{"formattedCitation":"(Warner &amp; W\\uc0\\u228{}ger, 2019)","plainCitation":"(Warner &amp; Wäger, 2019)","noteIndex":0},"citationItems":[{"id":2264,"uris":["http://zotero.org/users/4106135/items/NIXRQRNP"],"itemData":{"id":2264,"type":"article-journal","abstract":"In this qualitative study, we explore how incumbent firms in traditional industries build dynamic capabilities for digital transformation. Digital transformation has been defined as the use of new digital technologies, such as mobile, artificial intelligence, cloud, blockchain, and the Internet of things (IoT) technologies, to enable major business improvements to augment customer experience, streamline operations, or create new business models. In making sense of digital transformation, we discovered that leaders in various industry circles use the term inconsistently to describe various strategizing and organizing activities; in addition, the term has gained limited scholarly attention as a context for study of strategic change. Drawing on senior executives' experiences with leading digitalization projects at incumbent firms, we propose a process model comprising of nine microfoundations to reveal the generic contingency factors that trigger, enable, and hinder the building of dynamic capabilities for digital transformation. Our findings reveal that digital transformation is an ongoing process of using new digital technologies in everyday organizational life, which recognizes agility as the core mechanism for the strategic renewal of an organization's (1) business model, (2) collaborative approach, and eventually the (3) culture.","archive":"Perfromance","container-title":"Long Range Planning","DOI":"10.1016/j.lrp.2018.12.001","ISSN":"00246301","issue":"3","journalAbbreviation":"Long Range Planning","language":"en","note":"number: 3\ntitleTranslation: </w:instrText>
            </w:r>
            <w:r w:rsidRPr="00C60979">
              <w:rPr>
                <w:rFonts w:cs="Arial"/>
                <w:sz w:val="21"/>
                <w:szCs w:val="21"/>
              </w:rPr>
              <w:instrText>为数字化转型构建动态能力：持续的战略更新过程</w:instrText>
            </w:r>
            <w:r w:rsidRPr="00C60979">
              <w:rPr>
                <w:rFonts w:cs="Arial"/>
                <w:sz w:val="21"/>
                <w:szCs w:val="21"/>
              </w:rPr>
              <w:instrText xml:space="preserve">\nabstractTranslation:  </w:instrText>
            </w:r>
            <w:r w:rsidRPr="00C60979">
              <w:rPr>
                <w:rFonts w:cs="Arial"/>
                <w:sz w:val="21"/>
                <w:szCs w:val="21"/>
              </w:rPr>
              <w:instrText>在这项定性研究中，我们探讨了传统行业中的现有企业如何为数字化转型构建动态能力。数字化转型被定义为使用新的数字技术，如移动、人工智能、云、区块链和物联网</w:instrText>
            </w:r>
            <w:r w:rsidRPr="00C60979">
              <w:rPr>
                <w:rFonts w:cs="Arial"/>
                <w:sz w:val="21"/>
                <w:szCs w:val="21"/>
              </w:rPr>
              <w:instrText xml:space="preserve"> (IoT) </w:instrText>
            </w:r>
            <w:r w:rsidRPr="00C60979">
              <w:rPr>
                <w:rFonts w:cs="Arial"/>
                <w:sz w:val="21"/>
                <w:szCs w:val="21"/>
              </w:rPr>
              <w:instrText>技术，以实现重大业务改进，以增强客户体验、简化运营或创造新的商业模式。在理解数字化转型的过程中，我们发现各个行业的领导者不一致地使用这个术语来描述各种战略和组织活动；此外，该术语作为研究战略变革的语境，在学术界的关注度有限。根据高级管理人员在现有公司领导数字化项目方面的经验，我们提出了一个由九个微观基础组成的过程模型，以揭示触发、启用和阻碍数字化转型动态能力建设的一般权变因素。我们的研究结果表明，数字化转型是在日常组织生活中使用新数字技术的持续过程，它将敏捷性视为组织</w:instrText>
            </w:r>
            <w:r w:rsidRPr="00C60979">
              <w:rPr>
                <w:rFonts w:cs="Arial"/>
                <w:sz w:val="21"/>
                <w:szCs w:val="21"/>
              </w:rPr>
              <w:instrText xml:space="preserve"> (1) </w:instrText>
            </w:r>
            <w:r w:rsidRPr="00C60979">
              <w:rPr>
                <w:rFonts w:cs="Arial"/>
                <w:sz w:val="21"/>
                <w:szCs w:val="21"/>
              </w:rPr>
              <w:instrText>业务模型、</w:instrText>
            </w:r>
            <w:r w:rsidRPr="00C60979">
              <w:rPr>
                <w:rFonts w:cs="Arial"/>
                <w:sz w:val="21"/>
                <w:szCs w:val="21"/>
              </w:rPr>
              <w:instrText xml:space="preserve">(2) </w:instrText>
            </w:r>
            <w:r w:rsidRPr="00C60979">
              <w:rPr>
                <w:rFonts w:cs="Arial"/>
                <w:sz w:val="21"/>
                <w:szCs w:val="21"/>
              </w:rPr>
              <w:instrText>协作方法以及最终</w:instrText>
            </w:r>
            <w:r w:rsidRPr="00C60979">
              <w:rPr>
                <w:rFonts w:cs="Arial"/>
                <w:sz w:val="21"/>
                <w:szCs w:val="21"/>
              </w:rPr>
              <w:instrText xml:space="preserve"> ( 3</w:instrText>
            </w:r>
            <w:r w:rsidRPr="00C60979">
              <w:rPr>
                <w:rFonts w:cs="Arial"/>
                <w:sz w:val="21"/>
                <w:szCs w:val="21"/>
              </w:rPr>
              <w:instrText>）文化。</w:instrText>
            </w:r>
            <w:r w:rsidRPr="00C60979">
              <w:rPr>
                <w:rFonts w:cs="Arial"/>
                <w:sz w:val="21"/>
                <w:szCs w:val="21"/>
              </w:rPr>
              <w:instrText xml:space="preserve">","page":"326-349","source":"8.5","title":"Building dynamic capabilities for digital transformation: An ongoing process of strategic renewal","title-short":"Building dynamic capabilities for digital transformation","volume":"52","author":[{"family":"Warner","given":"Karl S.R."},{"family":"Wäger","given":"Maximilian"}],"issued":{"date-parts":[["2019",6]]},"citation-key":"warnerBuildingDynamicCapabilities2019"}}],"schema":"https://github.com/citation-style-language/schema/raw/master/csl-citation.json"} </w:instrText>
            </w:r>
            <w:r w:rsidRPr="00C60979">
              <w:rPr>
                <w:rFonts w:cs="Arial"/>
                <w:sz w:val="21"/>
                <w:szCs w:val="21"/>
              </w:rPr>
              <w:fldChar w:fldCharType="separate"/>
            </w:r>
            <w:r w:rsidRPr="00C60979">
              <w:rPr>
                <w:rFonts w:cs="Arial"/>
                <w:sz w:val="21"/>
                <w:szCs w:val="21"/>
              </w:rPr>
              <w:t>(Warner &amp; Wäger, 2019)</w:t>
            </w:r>
            <w:r w:rsidRPr="00C60979">
              <w:rPr>
                <w:rFonts w:cs="Arial"/>
                <w:sz w:val="21"/>
                <w:szCs w:val="21"/>
              </w:rPr>
              <w:fldChar w:fldCharType="end"/>
            </w:r>
            <w:r w:rsidRPr="00C60979">
              <w:rPr>
                <w:rFonts w:cs="Arial"/>
                <w:sz w:val="21"/>
                <w:szCs w:val="21"/>
              </w:rPr>
              <w:t>.</w:t>
            </w:r>
            <w:r w:rsidRPr="00C60979">
              <w:rPr>
                <w:rFonts w:cs="Arial"/>
                <w:sz w:val="21"/>
                <w:szCs w:val="21"/>
              </w:rPr>
              <w:t>（</w:t>
            </w:r>
            <w:r w:rsidRPr="00C60979">
              <w:rPr>
                <w:rFonts w:cs="Arial"/>
                <w:sz w:val="21"/>
                <w:szCs w:val="21"/>
              </w:rPr>
              <w:t xml:space="preserve">Building dynamic capabilities for digital transformation: An ongoing process of strategic </w:t>
            </w:r>
            <w:proofErr w:type="spellStart"/>
            <w:r w:rsidRPr="00C60979">
              <w:rPr>
                <w:rFonts w:cs="Arial"/>
                <w:sz w:val="21"/>
                <w:szCs w:val="21"/>
              </w:rPr>
              <w:t>renewal</w:t>
            </w:r>
            <w:r w:rsidRPr="00C60979">
              <w:rPr>
                <w:rFonts w:cs="Arial"/>
                <w:sz w:val="21"/>
                <w:szCs w:val="21"/>
              </w:rPr>
              <w:t>）</w:t>
            </w:r>
            <w:r w:rsidRPr="00C60979">
              <w:rPr>
                <w:rStyle w:val="highlight"/>
                <w:rFonts w:cs="Arial"/>
                <w:sz w:val="21"/>
                <w:szCs w:val="21"/>
              </w:rPr>
              <w:t>Each</w:t>
            </w:r>
            <w:proofErr w:type="spellEnd"/>
            <w:r w:rsidRPr="00C60979">
              <w:rPr>
                <w:rStyle w:val="highlight"/>
                <w:rFonts w:cs="Arial"/>
                <w:sz w:val="21"/>
                <w:szCs w:val="21"/>
              </w:rPr>
              <w:t xml:space="preserve"> interview lasts 45 to 60 minutes, is recorded and transcribed, and then shared with the interviewees for a sense check to ensure their views are accurately expressed</w:t>
            </w:r>
            <w:r w:rsidRPr="00C60979">
              <w:rPr>
                <w:rStyle w:val="highlight"/>
                <w:rFonts w:cs="Arial"/>
                <w:sz w:val="21"/>
                <w:szCs w:val="21"/>
              </w:rPr>
              <w:fldChar w:fldCharType="begin"/>
            </w:r>
            <w:r w:rsidRPr="00C60979">
              <w:rPr>
                <w:rStyle w:val="highlight"/>
                <w:rFonts w:cs="Arial"/>
                <w:sz w:val="21"/>
                <w:szCs w:val="21"/>
              </w:rPr>
              <w:instrText xml:space="preserve"> ADDIN ZOTERO_ITEM CSL_CITATION {"citationID":"gTPi1yQV","properties":{"formattedCitation":"(King et al., 2019)","plainCitation":"(King et al., 2019)","noteIndex":0},"citationItems":[{"id":31482,"uris":["http://zotero.org/users/4106135/items/43S7CRGE"],"itemData":{"id":31482,"type":"book","edition":"2nd edition","event-place":"Los Angeles London New Delhi Singapore Washington, DC Melbourne","ISBN":"978-1-4462-7497-2","language":"eng","note":"titleTranslation: </w:instrText>
            </w:r>
            <w:r w:rsidRPr="00C60979">
              <w:rPr>
                <w:rStyle w:val="highlight"/>
                <w:rFonts w:cs="Arial"/>
                <w:sz w:val="21"/>
                <w:szCs w:val="21"/>
              </w:rPr>
              <w:instrText>定性研究访谈</w:instrText>
            </w:r>
            <w:r w:rsidRPr="00C60979">
              <w:rPr>
                <w:rStyle w:val="highlight"/>
                <w:rFonts w:cs="Arial"/>
                <w:sz w:val="21"/>
                <w:szCs w:val="21"/>
              </w:rPr>
              <w:instrText xml:space="preserve">","number-of-pages":"349","publisher":"SAGE","publisher-place":"Los Angeles London New Delhi Singapore Washington, DC Melbourne","source":"K10plus ISBN","title":"Interviews in qualitative research","author":[{"family":"King","given":"Nigel"},{"family":"Horrocks","given":"Christine"},{"family":"Brooks","given":"Joanna M."}],"issued":{"date-parts":[["2019"]]},"citation-key":"kingInterviewsQualitativeResearch2019"}}],"schema":"https://github.com/citation-style-language/schema/raw/master/csl-citation.json"} </w:instrText>
            </w:r>
            <w:r w:rsidRPr="00C60979">
              <w:rPr>
                <w:rStyle w:val="highlight"/>
                <w:rFonts w:cs="Arial"/>
                <w:sz w:val="21"/>
                <w:szCs w:val="21"/>
              </w:rPr>
              <w:fldChar w:fldCharType="separate"/>
            </w:r>
            <w:r w:rsidRPr="00C60979">
              <w:rPr>
                <w:rStyle w:val="highlight"/>
                <w:rFonts w:cs="Arial"/>
                <w:noProof/>
                <w:sz w:val="21"/>
                <w:szCs w:val="21"/>
              </w:rPr>
              <w:t>(King et al., 2019)</w:t>
            </w:r>
            <w:r w:rsidRPr="00C60979">
              <w:rPr>
                <w:rStyle w:val="highlight"/>
                <w:rFonts w:cs="Arial"/>
                <w:sz w:val="21"/>
                <w:szCs w:val="21"/>
              </w:rPr>
              <w:fldChar w:fldCharType="end"/>
            </w:r>
            <w:r w:rsidRPr="00C60979">
              <w:rPr>
                <w:rStyle w:val="highlight"/>
                <w:rFonts w:cs="Arial"/>
                <w:sz w:val="21"/>
                <w:szCs w:val="21"/>
              </w:rPr>
              <w:t>.</w:t>
            </w:r>
          </w:p>
          <w:p w14:paraId="1CAB1588" w14:textId="77777777" w:rsidR="00C60979" w:rsidRPr="00C60979" w:rsidRDefault="00C60979" w:rsidP="00C60979">
            <w:pPr>
              <w:adjustRightInd w:val="0"/>
              <w:snapToGrid w:val="0"/>
              <w:spacing w:line="360" w:lineRule="auto"/>
              <w:rPr>
                <w:rStyle w:val="highlight"/>
                <w:rFonts w:cs="Arial"/>
                <w:sz w:val="21"/>
                <w:szCs w:val="21"/>
              </w:rPr>
            </w:pPr>
            <w:r w:rsidRPr="00C60979">
              <w:rPr>
                <w:rFonts w:cs="Arial"/>
                <w:sz w:val="21"/>
                <w:szCs w:val="21"/>
              </w:rPr>
              <w:t xml:space="preserve">A semi-structured interview question guide has been developed to guide the interviews and encourage respondents to focus on describing the factors influencing digital transformation. </w:t>
            </w:r>
          </w:p>
          <w:p w14:paraId="6A65D5B9" w14:textId="77777777" w:rsidR="00C60979" w:rsidRPr="00C60979" w:rsidRDefault="00C60979" w:rsidP="00C60979">
            <w:pPr>
              <w:adjustRightInd w:val="0"/>
              <w:snapToGrid w:val="0"/>
              <w:spacing w:line="360" w:lineRule="auto"/>
              <w:rPr>
                <w:rFonts w:cs="Arial"/>
                <w:sz w:val="21"/>
                <w:szCs w:val="21"/>
              </w:rPr>
            </w:pPr>
            <w:r w:rsidRPr="00C60979">
              <w:rPr>
                <w:rFonts w:cs="Arial"/>
                <w:sz w:val="21"/>
                <w:szCs w:val="21"/>
              </w:rPr>
              <w:t>Additional supplementary materials such as company websites, news articles, and videos are utilized to complement the interviews. These data sources provide further detailed information, thereby expanding the scope and depth of the data available for analysis.</w:t>
            </w:r>
          </w:p>
          <w:p w14:paraId="5FC519CF" w14:textId="77777777" w:rsidR="00C60979" w:rsidRPr="00C60979" w:rsidRDefault="00C60979" w:rsidP="00C60979">
            <w:pPr>
              <w:adjustRightInd w:val="0"/>
              <w:snapToGrid w:val="0"/>
              <w:spacing w:line="360" w:lineRule="auto"/>
              <w:rPr>
                <w:rFonts w:cs="Arial"/>
                <w:sz w:val="21"/>
                <w:szCs w:val="21"/>
              </w:rPr>
            </w:pPr>
            <w:r w:rsidRPr="00C60979">
              <w:rPr>
                <w:rFonts w:cs="Arial"/>
                <w:sz w:val="21"/>
                <w:szCs w:val="21"/>
              </w:rPr>
              <w:t xml:space="preserve">The data analysis method for this study involves conducting thematic analysis using </w:t>
            </w:r>
            <w:proofErr w:type="spellStart"/>
            <w:r w:rsidRPr="00C60979">
              <w:rPr>
                <w:rFonts w:cs="Arial"/>
                <w:sz w:val="21"/>
                <w:szCs w:val="21"/>
              </w:rPr>
              <w:t>Nvivo</w:t>
            </w:r>
            <w:proofErr w:type="spellEnd"/>
            <w:r w:rsidRPr="00C60979">
              <w:rPr>
                <w:rFonts w:cs="Arial"/>
                <w:sz w:val="21"/>
                <w:szCs w:val="21"/>
              </w:rPr>
              <w:t>© 12 software. The main content is identified using software, followed by open coding analysis of content segments. Subsequently, data reduction is employed to aggregate similarities and differences within the cases, forming relevant themes</w:t>
            </w:r>
            <w:r w:rsidRPr="00C60979">
              <w:rPr>
                <w:rFonts w:cs="Arial"/>
                <w:sz w:val="21"/>
                <w:szCs w:val="21"/>
              </w:rPr>
              <w:fldChar w:fldCharType="begin"/>
            </w:r>
            <w:r w:rsidRPr="00C60979">
              <w:rPr>
                <w:rFonts w:cs="Arial"/>
                <w:sz w:val="21"/>
                <w:szCs w:val="21"/>
              </w:rPr>
              <w:instrText xml:space="preserve"> ADDIN ZOTERO_ITEM CSL_CITATION {"citationID":"85Q2zzmj","properties":{"formattedCitation":"(Maguire &amp; Delahunt, 2017)","plainCitation":"(Maguire &amp; Delahunt, 2017)","noteIndex":0},"citationItems":[{"id":"qGfrLQaQ/MNd7Av1A","uris":["http://zotero.org/users/4106135/items/YDKDVUV6"],"itemData":{"id":28753,"type":"article-journal","abstract":"Data analysis is central to credible qualitative research. Indeed the qualitative researcher is often described as the research instrument insofar as his or her ability to understand, describe and interpret experiences and perceptions is key to uncovering meaning in particular circumstances and contexts. While much has been written about qualitative analysis from a theoretical perspective we noticed that often novice, and even more experienced researchers, grapple with the ‘how’ of qualitative analysis. Here we draw on Braun and Clarke’s (2006) framework and apply it in a systematic manner to describe and explain the process of analysis within the context of learning and teaching research. We illustrate the process using a worked example based on (with permission) a short extract from a focus group interview, conducted with undergraduate students.","issue":"3","language":"en","note":"abstractTranslation:  </w:instrText>
            </w:r>
            <w:r w:rsidRPr="00C60979">
              <w:rPr>
                <w:rFonts w:cs="Arial"/>
                <w:sz w:val="21"/>
                <w:szCs w:val="21"/>
              </w:rPr>
              <w:instrText>数据分析是可靠的定性研究的核心。事实上，定性研究人员通常被描述为研究工具，因为他或她理解、描述和解释经验和看法的能力是揭示特定情况和背景下意义的关键。虽然已经有很多关于从理论角度进行定性分析的文章，但我们注意到，新手，甚至更有经验的研究人员，往往都在努力解决定性分析的</w:instrText>
            </w:r>
            <w:r w:rsidRPr="00C60979">
              <w:rPr>
                <w:rFonts w:cs="Arial"/>
                <w:sz w:val="21"/>
                <w:szCs w:val="21"/>
              </w:rPr>
              <w:instrText>“</w:instrText>
            </w:r>
            <w:r w:rsidRPr="00C60979">
              <w:rPr>
                <w:rFonts w:cs="Arial"/>
                <w:sz w:val="21"/>
                <w:szCs w:val="21"/>
              </w:rPr>
              <w:instrText>方式</w:instrText>
            </w:r>
            <w:r w:rsidRPr="00C60979">
              <w:rPr>
                <w:rFonts w:cs="Arial"/>
                <w:sz w:val="21"/>
                <w:szCs w:val="21"/>
              </w:rPr>
              <w:instrText>”</w:instrText>
            </w:r>
            <w:r w:rsidRPr="00C60979">
              <w:rPr>
                <w:rFonts w:cs="Arial"/>
                <w:sz w:val="21"/>
                <w:szCs w:val="21"/>
              </w:rPr>
              <w:instrText>。在这里，我们借鉴布劳恩和克拉克（</w:instrText>
            </w:r>
            <w:r w:rsidRPr="00C60979">
              <w:rPr>
                <w:rFonts w:cs="Arial"/>
                <w:sz w:val="21"/>
                <w:szCs w:val="21"/>
              </w:rPr>
              <w:instrText>Braun and Clarke</w:instrText>
            </w:r>
            <w:r w:rsidRPr="00C60979">
              <w:rPr>
                <w:rFonts w:cs="Arial"/>
                <w:sz w:val="21"/>
                <w:szCs w:val="21"/>
              </w:rPr>
              <w:instrText>，</w:instrText>
            </w:r>
            <w:r w:rsidRPr="00C60979">
              <w:rPr>
                <w:rFonts w:cs="Arial"/>
                <w:sz w:val="21"/>
                <w:szCs w:val="21"/>
              </w:rPr>
              <w:instrText>2006</w:instrText>
            </w:r>
            <w:r w:rsidRPr="00C60979">
              <w:rPr>
                <w:rFonts w:cs="Arial"/>
                <w:sz w:val="21"/>
                <w:szCs w:val="21"/>
              </w:rPr>
              <w:instrText>）的框架，并系统地应用它来描述和解释学习和教学研究背景下的分析过程。我们使用一个基于（经许可）对本科生进行的焦点小组访谈的简短摘录的示例来说明该过程。</w:instrText>
            </w:r>
            <w:r w:rsidRPr="00C60979">
              <w:rPr>
                <w:rFonts w:cs="Arial"/>
                <w:sz w:val="21"/>
                <w:szCs w:val="21"/>
              </w:rPr>
              <w:instrText xml:space="preserve">\ntitleTranslation: </w:instrText>
            </w:r>
            <w:r w:rsidRPr="00C60979">
              <w:rPr>
                <w:rFonts w:cs="Arial"/>
                <w:sz w:val="21"/>
                <w:szCs w:val="21"/>
              </w:rPr>
              <w:instrText>进行主题分析：为学习和教学学者提供实用的分步指南。</w:instrText>
            </w:r>
            <w:r w:rsidRPr="00C60979">
              <w:rPr>
                <w:rFonts w:cs="Arial"/>
                <w:sz w:val="21"/>
                <w:szCs w:val="21"/>
              </w:rPr>
              <w:instrText xml:space="preserve">","source":"Zotero","title":"Doing a Thematic Analysis: A Practical, Step-by-Step Guide for Learning and Teaching Scholars.","volume":"8","author":[{"family":"Maguire","given":"Moira"},{"family":"Delahunt","given":"Brid"}],"issued":{"date-parts":[["2017"]]},"citation-key":"maguireDoingThematicAnalysis2017"}}],"schema":"https://github.com/citation-style-language/schema/raw/master/csl-citation.json"} </w:instrText>
            </w:r>
            <w:r w:rsidRPr="00C60979">
              <w:rPr>
                <w:rFonts w:cs="Arial"/>
                <w:sz w:val="21"/>
                <w:szCs w:val="21"/>
              </w:rPr>
              <w:fldChar w:fldCharType="separate"/>
            </w:r>
            <w:r w:rsidRPr="00C60979">
              <w:rPr>
                <w:rFonts w:cs="Arial"/>
                <w:noProof/>
                <w:sz w:val="21"/>
                <w:szCs w:val="21"/>
              </w:rPr>
              <w:t>(Maguire &amp; Delahunt, 2017)</w:t>
            </w:r>
            <w:r w:rsidRPr="00C60979">
              <w:rPr>
                <w:rFonts w:cs="Arial"/>
                <w:sz w:val="21"/>
                <w:szCs w:val="21"/>
              </w:rPr>
              <w:fldChar w:fldCharType="end"/>
            </w:r>
            <w:r w:rsidRPr="00C60979">
              <w:rPr>
                <w:rFonts w:cs="Arial"/>
                <w:sz w:val="21"/>
                <w:szCs w:val="21"/>
              </w:rPr>
              <w:t xml:space="preserve">. </w:t>
            </w:r>
          </w:p>
          <w:p w14:paraId="277C00DA" w14:textId="66313ACF" w:rsidR="00C60979" w:rsidRPr="00C60979" w:rsidRDefault="00C60979" w:rsidP="00C60979">
            <w:pPr>
              <w:adjustRightInd w:val="0"/>
              <w:snapToGrid w:val="0"/>
              <w:spacing w:line="360" w:lineRule="auto"/>
              <w:rPr>
                <w:rFonts w:cs="Arial"/>
                <w:sz w:val="21"/>
                <w:szCs w:val="21"/>
              </w:rPr>
            </w:pPr>
            <w:r w:rsidRPr="00C60979">
              <w:rPr>
                <w:rFonts w:cs="Arial"/>
                <w:sz w:val="21"/>
                <w:szCs w:val="21"/>
              </w:rPr>
              <w:t>For the quantitative method,</w:t>
            </w:r>
            <w:r w:rsidRPr="00C60979">
              <w:rPr>
                <w:rFonts w:cs="Arial"/>
                <w:color w:val="000000"/>
                <w:sz w:val="21"/>
                <w:szCs w:val="21"/>
              </w:rPr>
              <w:t xml:space="preserve"> </w:t>
            </w:r>
            <w:r w:rsidR="00ED6488" w:rsidRPr="00C60979">
              <w:rPr>
                <w:rFonts w:cs="Arial"/>
                <w:sz w:val="21"/>
                <w:szCs w:val="21"/>
              </w:rPr>
              <w:t>based</w:t>
            </w:r>
            <w:r w:rsidRPr="00C60979">
              <w:rPr>
                <w:rFonts w:cs="Arial"/>
                <w:sz w:val="21"/>
                <w:szCs w:val="21"/>
              </w:rPr>
              <w:t xml:space="preserve"> on the literature review and conceptual framework, a questionnaire was developed to explore the impact of digital transformation on the organization and the factors influencing its implementation. Constructing a digital transformation model based on research variables</w:t>
            </w:r>
            <w:r w:rsidRPr="00C60979">
              <w:rPr>
                <w:rFonts w:cs="Arial"/>
                <w:sz w:val="21"/>
                <w:szCs w:val="21"/>
              </w:rPr>
              <w:fldChar w:fldCharType="begin"/>
            </w:r>
            <w:r w:rsidRPr="00C60979">
              <w:rPr>
                <w:rFonts w:cs="Arial"/>
                <w:sz w:val="21"/>
                <w:szCs w:val="21"/>
              </w:rPr>
              <w:instrText xml:space="preserve"> ADDIN ZOTERO_ITEM CSL_CITATION {"citationID":"9b5TqncO","properties":{"formattedCitation":"(Ahmed et al., 2022)","plainCitation":"(Ahmed et al., 2022)","noteIndex":0},"citationItems":[{"id":32232,"uris":["http://zotero.org/users/4106135/items/NP67DTNT"],"itemData":{"id":32232,"type":"article-journal","abstract":"In this study, we untangle the relationship between digital platform capability and organizational agility in the manufacturing sector small and medium-sized enterprises (SMEs) by investigating the mediating role of intel­ lectual capital and the moderating role of environmental dynamism. Using a time-lagged two-wave survey of 227 manufacturing SMEs, we tested our proposed hypotheses using structural equational modeling (SEM). Our results reveal that digital platform capability is positively associated with the agility of SMEs and that all three intel­ lectual capital dimensions (i.e., human, organizational, and relational capital) mediate this relationship. We also found that environmental dynamism has a negative moderating role on digital platform capability and intel­ lectual capital. Environmental dynamism curbs SMEs’ abilities to turn their digital platform capabilities into increased intellectual capital. Our results shed light on the importance of intellectual capital in creating improved organizational agility for manufacturing SMEs through digital platform capability within the boundary conditions of environmental dynamism.","container-title":"Technological Forecasting and Social Change","DOI":"10.1016/j.techfore.2022.121513","ISSN":"00401625","journalAbbreviation":"Technological Forecasting and Social Change","language":"en","note":"titleTranslation: </w:instrText>
            </w:r>
            <w:r w:rsidRPr="00C60979">
              <w:rPr>
                <w:rFonts w:cs="Arial"/>
                <w:sz w:val="21"/>
                <w:szCs w:val="21"/>
              </w:rPr>
              <w:instrText>新兴市场制造业中小企业的数字化平台能力与组织敏捷性：智力资本的中介作用与环境活力的调节作用</w:instrText>
            </w:r>
            <w:r w:rsidRPr="00C60979">
              <w:rPr>
                <w:rFonts w:cs="Arial"/>
                <w:sz w:val="21"/>
                <w:szCs w:val="21"/>
              </w:rPr>
              <w:instrText xml:space="preserve">\nabstractTranslation:  </w:instrText>
            </w:r>
            <w:r w:rsidRPr="00C60979">
              <w:rPr>
                <w:rFonts w:cs="Arial"/>
                <w:sz w:val="21"/>
                <w:szCs w:val="21"/>
              </w:rPr>
              <w:instrText>在本研究中，我们通过研究智力资本的中介作用和环境活力的调节作用，理清了制造业中小型企业（</w:instrText>
            </w:r>
            <w:r w:rsidRPr="00C60979">
              <w:rPr>
                <w:rFonts w:cs="Arial"/>
                <w:sz w:val="21"/>
                <w:szCs w:val="21"/>
              </w:rPr>
              <w:instrText>SME</w:instrText>
            </w:r>
            <w:r w:rsidRPr="00C60979">
              <w:rPr>
                <w:rFonts w:cs="Arial"/>
                <w:sz w:val="21"/>
                <w:szCs w:val="21"/>
              </w:rPr>
              <w:instrText>）中数字平台能力与组织敏捷性之间的关系。通过对</w:instrText>
            </w:r>
            <w:r w:rsidRPr="00C60979">
              <w:rPr>
                <w:rFonts w:cs="Arial"/>
                <w:sz w:val="21"/>
                <w:szCs w:val="21"/>
              </w:rPr>
              <w:instrText xml:space="preserve"> 227 </w:instrText>
            </w:r>
            <w:r w:rsidRPr="00C60979">
              <w:rPr>
                <w:rFonts w:cs="Arial"/>
                <w:sz w:val="21"/>
                <w:szCs w:val="21"/>
              </w:rPr>
              <w:instrText>家制造业中小企业进行时滞两波调查，我们使用结构方程模型</w:instrText>
            </w:r>
            <w:r w:rsidRPr="00C60979">
              <w:rPr>
                <w:rFonts w:cs="Arial"/>
                <w:sz w:val="21"/>
                <w:szCs w:val="21"/>
              </w:rPr>
              <w:instrText xml:space="preserve"> (SEM) </w:instrText>
            </w:r>
            <w:r w:rsidRPr="00C60979">
              <w:rPr>
                <w:rFonts w:cs="Arial"/>
                <w:sz w:val="21"/>
                <w:szCs w:val="21"/>
              </w:rPr>
              <w:instrText>测试了我们提出的假设。我们的结果表明，数字平台能力与中小企业的敏捷性呈正相关，并且所有三个智力资本维度（即人力资本、组织资本和关系资本）都在调节这种关系。我们还发现，环境活力对数字平台能力和智力资本具有负调节作用。环境活力限制了中小企业将数字平台能力转化为智力资本的能力。我们的研究结果揭示了智力资本在环境动态边界条件下通过数字平台功能提高制造业中小企业组织敏捷性的重要性。</w:instrText>
            </w:r>
            <w:r w:rsidRPr="00C60979">
              <w:rPr>
                <w:rFonts w:cs="Arial"/>
                <w:sz w:val="21"/>
                <w:szCs w:val="21"/>
              </w:rPr>
              <w:instrText xml:space="preserve">\nTLDR: The results reveal that digital platform capability is positively associated with the agility of SMEs and that all three intellectual capital dimensions mediate this relationship and that environmental dynamism has a negative moderating role on digital platform capability and intellectual capital.","page":"121513","source":"12","title":"Digital platform capability and organizational agility of emerging market manufacturing SMEs: The mediating role of intellectual capital and the moderating role of environmental dynamism","title-short":"Digital platform capability and organizational agility of emerging market manufacturing SMEs","volume":"177","author":[{"family":"Ahmed","given":"Adeel"},{"family":"Bhatti","given":"Sabeen Hussain"},{"family":"Gölgeci","given":"Ismail"},{"family":"Arslan","given":"Ahmad"}],"issued":{"date-parts":[["2022",4]]},"citation-key":"ahmedDigitalPlatformCapability2022"}}],"schema":"https://github.com/citation-style-language/schema/raw/master/csl-citation.json"} </w:instrText>
            </w:r>
            <w:r w:rsidRPr="00C60979">
              <w:rPr>
                <w:rFonts w:cs="Arial"/>
                <w:sz w:val="21"/>
                <w:szCs w:val="21"/>
              </w:rPr>
              <w:fldChar w:fldCharType="separate"/>
            </w:r>
            <w:r w:rsidRPr="00C60979">
              <w:rPr>
                <w:rFonts w:cs="Arial"/>
                <w:noProof/>
                <w:sz w:val="21"/>
                <w:szCs w:val="21"/>
              </w:rPr>
              <w:t>(Ahmed et al., 2022)</w:t>
            </w:r>
            <w:r w:rsidRPr="00C60979">
              <w:rPr>
                <w:rFonts w:cs="Arial"/>
                <w:sz w:val="21"/>
                <w:szCs w:val="21"/>
              </w:rPr>
              <w:fldChar w:fldCharType="end"/>
            </w:r>
            <w:r w:rsidRPr="00C60979">
              <w:rPr>
                <w:rFonts w:cs="Arial"/>
                <w:sz w:val="21"/>
                <w:szCs w:val="21"/>
              </w:rPr>
              <w:t>.</w:t>
            </w:r>
            <w:r w:rsidRPr="00C60979">
              <w:rPr>
                <w:rFonts w:cs="Arial"/>
                <w:color w:val="000000"/>
                <w:sz w:val="21"/>
                <w:szCs w:val="21"/>
              </w:rPr>
              <w:t xml:space="preserve"> </w:t>
            </w:r>
            <w:r w:rsidRPr="00C60979">
              <w:rPr>
                <w:rFonts w:cs="Arial"/>
                <w:sz w:val="21"/>
                <w:szCs w:val="21"/>
              </w:rPr>
              <w:t>This study used an online questionnaire to explore the factors affecting digital transformation and its impact on businesses</w:t>
            </w:r>
            <w:r w:rsidRPr="00C60979">
              <w:rPr>
                <w:rFonts w:cs="Arial"/>
                <w:sz w:val="21"/>
                <w:szCs w:val="21"/>
              </w:rPr>
              <w:t>（</w:t>
            </w:r>
            <w:r w:rsidR="005172D3">
              <w:rPr>
                <w:rFonts w:cs="Arial"/>
                <w:sz w:val="21"/>
                <w:szCs w:val="21"/>
              </w:rPr>
              <w:t>F</w:t>
            </w:r>
            <w:r w:rsidRPr="00C60979">
              <w:rPr>
                <w:rFonts w:cs="Arial"/>
                <w:sz w:val="21"/>
                <w:szCs w:val="21"/>
              </w:rPr>
              <w:t>ig3</w:t>
            </w:r>
            <w:r w:rsidRPr="00C60979">
              <w:rPr>
                <w:rFonts w:cs="Arial"/>
                <w:sz w:val="21"/>
                <w:szCs w:val="21"/>
              </w:rPr>
              <w:t>）</w:t>
            </w:r>
            <w:r w:rsidRPr="00C60979">
              <w:rPr>
                <w:rFonts w:cs="Arial"/>
                <w:sz w:val="21"/>
                <w:szCs w:val="21"/>
              </w:rPr>
              <w:t>. To ensure the data was accurate and reliable, the questionnaire was improved through a small pilot test. The main study included 100 participants, with 20 participants in the pilot test. Detailed information about the respondent should be taken into account during data collection, including age, educational background, etc</w:t>
            </w:r>
            <w:r w:rsidRPr="00C60979">
              <w:rPr>
                <w:rFonts w:cs="Arial"/>
                <w:sz w:val="21"/>
                <w:szCs w:val="21"/>
              </w:rPr>
              <w:fldChar w:fldCharType="begin"/>
            </w:r>
            <w:r w:rsidRPr="00C60979">
              <w:rPr>
                <w:rFonts w:cs="Arial"/>
                <w:sz w:val="21"/>
                <w:szCs w:val="21"/>
              </w:rPr>
              <w:instrText xml:space="preserve"> ADDIN ZOTERO_ITEM CSL_CITATION {"citationID":"me0IQC8K","properties":{"formattedCitation":"(Gupta et al., 2020)","plainCitation":"(Gupta et al., 2020)","noteIndex":0},"citationItems":[{"id":2824,"uris":["http://zotero.org/users/4106135/items/32SC7ZZJ"],"itemData":{"id":2824,"type":"article-journal","abstract":"The art of unwinding voluminous data requires expertise to extract meaningful decisions from the acquired information. To face today’s challenges, users are going to great lengths to free themselves from constraints and work edge-to-edge to achieve higher market, financial and operational performance. It is clear that organizations seek to exploit the resource that they have invested into the greatest possible extent, but often fail to reap their true potential. The development of resource-based capabilities stands out as the aspect most affected by this for firms in recent times, though it has also been studied by previous scholars. It is challenging to find evidence that highlights the effect of strategic resources in the development of dynamic organizational capability in the wealth of available literature.","archive":"Perfromance","container-title":"Industrial Marketing Management","DOI":"10.1016/j.indmarman.2019.11.009","ISSN":"00198501","journalAbbreviation":"Industrial Marketing Management","language":"en","note":"titleTranslation: </w:instrText>
            </w:r>
            <w:r w:rsidRPr="00C60979">
              <w:rPr>
                <w:rFonts w:cs="Arial"/>
                <w:sz w:val="21"/>
                <w:szCs w:val="21"/>
              </w:rPr>
              <w:instrText>通过大数据预测分析实现卓越的组织绩效：动态能力视图</w:instrText>
            </w:r>
            <w:r w:rsidRPr="00C60979">
              <w:rPr>
                <w:rFonts w:cs="Arial"/>
                <w:sz w:val="21"/>
                <w:szCs w:val="21"/>
              </w:rPr>
              <w:instrText xml:space="preserve">\nabstractTranslation:  </w:instrText>
            </w:r>
            <w:r w:rsidRPr="00C60979">
              <w:rPr>
                <w:rFonts w:cs="Arial"/>
                <w:sz w:val="21"/>
                <w:szCs w:val="21"/>
              </w:rPr>
              <w:instrText>展开大量数据的艺术需要专业知识来从获取的信息中提取有意义的决策。面对当今的挑战，用户将竭尽全力摆脱束缚，全力以赴实现更高的市场、财务和运营绩效。很明显，组织试图最大限度地利用他们投资的资源，但往往无法获得真正的潜力。资源基础能力的发展是近年来受此影响最大的方面，尽管以前的学者也对此进行了研究。在现有的大量文献中很难找到突出战略资源对发展动态组织能力的影响的证据。</w:instrText>
            </w:r>
            <w:r w:rsidRPr="00C60979">
              <w:rPr>
                <w:rFonts w:cs="Arial"/>
                <w:sz w:val="21"/>
                <w:szCs w:val="21"/>
              </w:rPr>
              <w:instrText>\nTLDR: A two-fold attempt to examine the relationship between organizational capabilities, i.e. big data predictive analytics while achieving superior organizational performance; also, examining the effect of control variables on superior organizational of performance.","page":"581-592","source":"10.3","title":"Achieving superior organizational performance via big data predictive analytics: A dynamic capability view","title-short":"</w:instrText>
            </w:r>
            <w:r w:rsidRPr="00C60979">
              <w:rPr>
                <w:rFonts w:ascii="Apple Color Emoji" w:hAnsi="Apple Color Emoji" w:cs="Apple Color Emoji"/>
                <w:sz w:val="21"/>
                <w:szCs w:val="21"/>
              </w:rPr>
              <w:instrText>🔤</w:instrText>
            </w:r>
            <w:r w:rsidRPr="00C60979">
              <w:rPr>
                <w:rFonts w:cs="Arial"/>
                <w:sz w:val="21"/>
                <w:szCs w:val="21"/>
              </w:rPr>
              <w:instrText>通过大数据预测分析实现卓越的组织绩效：动态能力视图</w:instrText>
            </w:r>
            <w:r w:rsidRPr="00C60979">
              <w:rPr>
                <w:rFonts w:cs="Arial"/>
                <w:sz w:val="21"/>
                <w:szCs w:val="21"/>
              </w:rPr>
              <w:instrText xml:space="preserve">","volume":"90","author":[{"family":"Gupta","given":"Shivam"},{"family":"Drave","given":"Vinayak A."},{"family":"Dwivedi","given":"Yogesh K."},{"family":"Baabdullah","given":"Abdullah M."},{"family":"Ismagilova","given":"Elvira"}],"issued":{"date-parts":[["2020",10]]},"citation-key":"guptaAchievingSuperiorOrganizational2020"}}],"schema":"https://github.com/citation-style-language/schema/raw/master/csl-citation.json"} </w:instrText>
            </w:r>
            <w:r w:rsidRPr="00C60979">
              <w:rPr>
                <w:rFonts w:cs="Arial"/>
                <w:sz w:val="21"/>
                <w:szCs w:val="21"/>
              </w:rPr>
              <w:fldChar w:fldCharType="separate"/>
            </w:r>
            <w:r w:rsidRPr="00C60979">
              <w:rPr>
                <w:rFonts w:cs="Arial"/>
                <w:noProof/>
                <w:sz w:val="21"/>
                <w:szCs w:val="21"/>
              </w:rPr>
              <w:t>(Gupta et al., 2020)</w:t>
            </w:r>
            <w:r w:rsidRPr="00C60979">
              <w:rPr>
                <w:rFonts w:cs="Arial"/>
                <w:sz w:val="21"/>
                <w:szCs w:val="21"/>
              </w:rPr>
              <w:fldChar w:fldCharType="end"/>
            </w:r>
            <w:r w:rsidRPr="00C60979">
              <w:rPr>
                <w:rFonts w:cs="Arial"/>
                <w:sz w:val="21"/>
                <w:szCs w:val="21"/>
              </w:rPr>
              <w:t xml:space="preserve">. SPSS software is used for quantitative data analysis. It allows for descriptive statistics, graphing and correlation testing of </w:t>
            </w:r>
            <w:proofErr w:type="spellStart"/>
            <w:r w:rsidRPr="00C60979">
              <w:rPr>
                <w:rFonts w:cs="Arial"/>
                <w:sz w:val="21"/>
                <w:szCs w:val="21"/>
              </w:rPr>
              <w:t>data.Modelling</w:t>
            </w:r>
            <w:proofErr w:type="spellEnd"/>
            <w:r w:rsidRPr="00C60979">
              <w:rPr>
                <w:rFonts w:cs="Arial"/>
                <w:sz w:val="21"/>
                <w:szCs w:val="21"/>
              </w:rPr>
              <w:t xml:space="preserve"> and statistical analyses allow for a better understanding of the relationships between variables</w:t>
            </w:r>
            <w:r w:rsidRPr="00C60979">
              <w:rPr>
                <w:rFonts w:cs="Arial"/>
                <w:sz w:val="21"/>
                <w:szCs w:val="21"/>
              </w:rPr>
              <w:fldChar w:fldCharType="begin"/>
            </w:r>
            <w:r w:rsidRPr="00C60979">
              <w:rPr>
                <w:rFonts w:cs="Arial"/>
                <w:sz w:val="21"/>
                <w:szCs w:val="21"/>
              </w:rPr>
              <w:instrText xml:space="preserve"> ADDIN ZOTERO_ITEM CSL_CITATION {"citationID":"mdXHlKg6","properties":{"formattedCitation":"(Cronk, 2023; Field, 2024; Stockemer, 2019)","plainCitation":"(Cronk, 2023; Field, 2024; Stockemer, 2019)","noteIndex":0},"citationItems":[{"id":40741,"uris":["http://zotero.org/users/4106135/items/7VBZK7QJ"],"itemData":{"id":40741,"type":"book","edition":"12","event-place":"New York","ISBN":"978-1-00-345046-7","language":"en","note":"DOI: 10.4324/9781003450467","publisher":"Routledge","publisher-place":"New York","source":"DOI.org (Crossref)","title":"How to Use SPSS®: A Step-By-Step Guide to Analysis and Interpretation","title-short":"How to Use SPSS®","URL":"https://www.taylorfrancis.com/books/9781003450467","author":[{"family":"Cronk","given":"Brian C."}],"accessed":{"date-parts":[["2024",6,19]]},"issued":{"date-parts":[["2023",12,5]]},"citation-key":"cronkHowUseSPSS2023"}},{"id":41071,"uris":["http://zotero.org/users/4106135/items/T6NB3NV7"],"itemData":{"id":41071,"type":"book","abstract":"\"With its unique combination of humour and step-by-step instruction, this award-winning book is the statistics lifesaver for everyone. From initial theory through to regression, factor analysis and multilevel modelling, Andy Field animates statistics and SPSS software with his famously bizarre examples and activities. Features: Flexible coverage to support students across disciplines and degree programmes Can support classroom or lab learning and assessment Analysis of real data with opportunities to practice statistical skills Highlights common misconceptions and errors A revamped online resource that uses video, case studies, datasets, testbanks and more to help students negotiate project work, master data management techniques, and apply key writing and employability skills Now fully up to date with latest versions of IBM SPSS Statistics©. All the online resources above (video, case studies, datasets, testbanks) can be easily integrated into your institution's virtual learning environment or learning management system. This allows you to customize and curate content for use in module preparation, delivery and assessment\"--","edition":"Sixth","event-place":"Thousand Oaks","ISBN":"978-1-5296-3000-8","language":"en","publisher":"Sage Publishing","publisher-place":"Thousand Oaks","source":"Library of Congress ISBN","title":"Discovering statistics using IBM SPSS statistics","author":[{"family":"Field","given":"Andy"}],"issued":{"date-parts":[["2024"]]},"citation-key":"fieldDiscoveringStatisticsUsing2024"}},{"id":42896,"uris":["http://zotero.org/users/4106135/items/EEFSFFR3"],"itemData":{"id":42896,"type":"book","event-place":"Cham","ISBN":"978-3-319-99117-7","language":"en","license":"https://www.springernature.com/gp/researchers/text-and-data-mining","note":"DOI: 10.1007/978-3-319-99118-4","publisher":"Springer International Publishing","publisher-place":"Cham","source":"DOI.org (Crossref)","title":"Quantitative Methods for the Social Sciences: A Practical Introduction with Examples in SPSS and Stata","title-short":"Quantitative Methods for the Social Sciences","URL":"https://link.springer.com/10.1007/978-3-319-99118-4","author":[{"family":"Stockemer","given":"Daniel"}],"accessed":{"date-parts":[["2024",8,20]]},"issued":{"date-parts":[["2019"]]},"citation-key":"stockemerQuantitativeMethodsSocial2019"}}],"schema":"https://github.com/citation-style-language/schema/raw/master/csl-citation.json"} </w:instrText>
            </w:r>
            <w:r w:rsidRPr="00C60979">
              <w:rPr>
                <w:rFonts w:cs="Arial"/>
                <w:sz w:val="21"/>
                <w:szCs w:val="21"/>
              </w:rPr>
              <w:fldChar w:fldCharType="separate"/>
            </w:r>
            <w:r w:rsidRPr="00C60979">
              <w:rPr>
                <w:rFonts w:cs="Arial"/>
                <w:noProof/>
                <w:sz w:val="21"/>
                <w:szCs w:val="21"/>
              </w:rPr>
              <w:t>(Cronk, 2023; Field, 2024; Stockemer, 2019)</w:t>
            </w:r>
            <w:r w:rsidRPr="00C60979">
              <w:rPr>
                <w:rFonts w:cs="Arial"/>
                <w:sz w:val="21"/>
                <w:szCs w:val="21"/>
              </w:rPr>
              <w:fldChar w:fldCharType="end"/>
            </w:r>
            <w:r w:rsidRPr="00C60979">
              <w:rPr>
                <w:rFonts w:cs="Arial"/>
                <w:sz w:val="21"/>
                <w:szCs w:val="21"/>
              </w:rPr>
              <w:t>.</w:t>
            </w:r>
          </w:p>
          <w:p w14:paraId="5B397F30" w14:textId="77777777" w:rsidR="00C60979" w:rsidRPr="00C60979" w:rsidRDefault="00C60979" w:rsidP="00ED6488">
            <w:pPr>
              <w:adjustRightInd w:val="0"/>
              <w:snapToGrid w:val="0"/>
              <w:spacing w:line="360" w:lineRule="auto"/>
              <w:jc w:val="center"/>
              <w:rPr>
                <w:rFonts w:cs="Arial"/>
                <w:b/>
                <w:bCs/>
                <w:sz w:val="21"/>
                <w:szCs w:val="21"/>
              </w:rPr>
            </w:pPr>
            <w:r w:rsidRPr="00C60979">
              <w:rPr>
                <w:rFonts w:cs="Arial"/>
                <w:b/>
                <w:bCs/>
                <w:noProof/>
                <w:sz w:val="21"/>
                <w:szCs w:val="21"/>
              </w:rPr>
              <w:lastRenderedPageBreak/>
              <w:drawing>
                <wp:inline distT="0" distB="0" distL="0" distR="0" wp14:anchorId="42786278" wp14:editId="1F666CF6">
                  <wp:extent cx="3251200" cy="3136900"/>
                  <wp:effectExtent l="0" t="0" r="0" b="0"/>
                  <wp:docPr id="236778724" name="图片 1"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778724" name="图片 1" descr="图示&#10;&#10;描述已自动生成"/>
                          <pic:cNvPicPr/>
                        </pic:nvPicPr>
                        <pic:blipFill>
                          <a:blip r:embed="rId14">
                            <a:extLst>
                              <a:ext uri="{28A0092B-C50C-407E-A947-70E740481C1C}">
                                <a14:useLocalDpi xmlns:a14="http://schemas.microsoft.com/office/drawing/2010/main" val="0"/>
                              </a:ext>
                            </a:extLst>
                          </a:blip>
                          <a:stretch>
                            <a:fillRect/>
                          </a:stretch>
                        </pic:blipFill>
                        <pic:spPr>
                          <a:xfrm>
                            <a:off x="0" y="0"/>
                            <a:ext cx="3251200" cy="3136900"/>
                          </a:xfrm>
                          <a:prstGeom prst="rect">
                            <a:avLst/>
                          </a:prstGeom>
                        </pic:spPr>
                      </pic:pic>
                    </a:graphicData>
                  </a:graphic>
                </wp:inline>
              </w:drawing>
            </w:r>
          </w:p>
          <w:p w14:paraId="0DE8A0E5" w14:textId="2455997A" w:rsidR="00C74109" w:rsidRPr="0078686D" w:rsidRDefault="00C60979" w:rsidP="0078686D">
            <w:pPr>
              <w:adjustRightInd w:val="0"/>
              <w:snapToGrid w:val="0"/>
              <w:spacing w:line="360" w:lineRule="auto"/>
              <w:jc w:val="center"/>
              <w:rPr>
                <w:rFonts w:cs="Arial"/>
                <w:sz w:val="18"/>
                <w:szCs w:val="18"/>
              </w:rPr>
            </w:pPr>
            <w:r w:rsidRPr="00ED6488">
              <w:rPr>
                <w:rFonts w:cs="Arial"/>
                <w:sz w:val="18"/>
                <w:szCs w:val="18"/>
              </w:rPr>
              <w:t>Fig3 steps in survey research</w:t>
            </w:r>
            <w:r w:rsidRPr="00ED6488">
              <w:rPr>
                <w:rFonts w:cs="Arial"/>
                <w:sz w:val="18"/>
                <w:szCs w:val="18"/>
              </w:rPr>
              <w:fldChar w:fldCharType="begin"/>
            </w:r>
            <w:r w:rsidRPr="00ED6488">
              <w:rPr>
                <w:rFonts w:cs="Arial"/>
                <w:sz w:val="18"/>
                <w:szCs w:val="18"/>
              </w:rPr>
              <w:instrText xml:space="preserve"> ADDIN ZOTERO_ITEM CSL_CITATION {"citationID":"19jKlVRK","properties":{"formattedCitation":"(Stockemer, 2019)","plainCitation":"(Stockemer, 2019)","noteIndex":0},"citationItems":[{"id":42896,"uris":["http://zotero.org/users/4106135/items/EEFSFFR3"],"itemData":{"id":42896,"type":"book","event-place":"Cham","ISBN":"978-3-319-99117-7","language":"en","license":"https://www.springernature.com/gp/researchers/text-and-data-mining","note":"DOI: 10.1007/978-3-319-99118-4","publisher":"Springer International Publishing","publisher-place":"Cham","source":"DOI.org (Crossref)","title":"Quantitative Methods for the Social Sciences: A Practical Introduction with Examples in SPSS and Stata","title-short":"Quantitative Methods for the Social Sciences","URL":"https://link.springer.com/10.1007/978-3-319-99118-4","author":[{"family":"Stockemer","given":"Daniel"}],"accessed":{"date-parts":[["2024",8,20]]},"issued":{"date-parts":[["2019"]]},"citation-key":"stockemerQuantitativeMethodsSocial2019"}}],"schema":"https://github.com/citation-style-language/schema/raw/master/csl-citation.json"} </w:instrText>
            </w:r>
            <w:r w:rsidRPr="00ED6488">
              <w:rPr>
                <w:rFonts w:cs="Arial"/>
                <w:sz w:val="18"/>
                <w:szCs w:val="18"/>
              </w:rPr>
              <w:fldChar w:fldCharType="separate"/>
            </w:r>
            <w:r w:rsidRPr="00ED6488">
              <w:rPr>
                <w:rFonts w:cs="Arial"/>
                <w:noProof/>
                <w:sz w:val="18"/>
                <w:szCs w:val="18"/>
              </w:rPr>
              <w:t>(Stockemer, 2019)</w:t>
            </w:r>
            <w:r w:rsidRPr="00ED6488">
              <w:rPr>
                <w:rFonts w:cs="Arial"/>
                <w:sz w:val="18"/>
                <w:szCs w:val="18"/>
              </w:rPr>
              <w:fldChar w:fldCharType="end"/>
            </w:r>
          </w:p>
        </w:tc>
      </w:tr>
      <w:tr w:rsidR="00C74109" w:rsidRPr="00A830D5" w14:paraId="13BC070E" w14:textId="77777777" w:rsidTr="00AC4DCF">
        <w:trPr>
          <w:trHeight w:val="397"/>
        </w:trPr>
        <w:tc>
          <w:tcPr>
            <w:tcW w:w="9781" w:type="dxa"/>
            <w:shd w:val="clear" w:color="auto" w:fill="F2F2F2" w:themeFill="background1" w:themeFillShade="F2"/>
            <w:vAlign w:val="center"/>
          </w:tcPr>
          <w:p w14:paraId="7DA73C2A" w14:textId="77777777" w:rsidR="00C74109" w:rsidRPr="00AC4DCF" w:rsidRDefault="00C74109" w:rsidP="00C74109">
            <w:pPr>
              <w:rPr>
                <w:rFonts w:cs="Arial"/>
                <w:sz w:val="22"/>
                <w:szCs w:val="22"/>
              </w:rPr>
            </w:pPr>
            <w:r w:rsidRPr="00AC4DCF">
              <w:rPr>
                <w:rFonts w:cs="Arial"/>
                <w:sz w:val="22"/>
                <w:szCs w:val="22"/>
              </w:rPr>
              <w:lastRenderedPageBreak/>
              <w:t>Introductory bibliography:</w:t>
            </w:r>
          </w:p>
        </w:tc>
      </w:tr>
      <w:tr w:rsidR="00C74109" w:rsidRPr="00A830D5" w14:paraId="2AA28078" w14:textId="77777777" w:rsidTr="00AC4DCF">
        <w:trPr>
          <w:trHeight w:val="397"/>
        </w:trPr>
        <w:tc>
          <w:tcPr>
            <w:tcW w:w="9781" w:type="dxa"/>
            <w:vAlign w:val="center"/>
          </w:tcPr>
          <w:p w14:paraId="4E70BAA1" w14:textId="77777777" w:rsidR="00E01BFD" w:rsidRPr="00E01BFD" w:rsidRDefault="00E01BFD" w:rsidP="00E01BFD">
            <w:pPr>
              <w:pStyle w:val="af9"/>
              <w:adjustRightInd w:val="0"/>
              <w:snapToGrid w:val="0"/>
              <w:spacing w:line="276" w:lineRule="auto"/>
              <w:rPr>
                <w:rFonts w:cs="Arial"/>
                <w:sz w:val="18"/>
                <w:szCs w:val="18"/>
              </w:rPr>
            </w:pPr>
            <w:r w:rsidRPr="00E01BFD">
              <w:rPr>
                <w:rFonts w:cs="Arial"/>
                <w:sz w:val="18"/>
                <w:szCs w:val="18"/>
              </w:rPr>
              <w:fldChar w:fldCharType="begin"/>
            </w:r>
            <w:r w:rsidRPr="00E01BFD">
              <w:rPr>
                <w:rFonts w:cs="Arial"/>
                <w:sz w:val="18"/>
                <w:szCs w:val="18"/>
              </w:rPr>
              <w:instrText xml:space="preserve"> ADDIN ZOTERO_BIBL {"uncited":[],"omitted":[],"custom":[]} CSL_BIBLIOGRAPHY </w:instrText>
            </w:r>
            <w:r w:rsidRPr="00E01BFD">
              <w:rPr>
                <w:rFonts w:cs="Arial"/>
                <w:sz w:val="18"/>
                <w:szCs w:val="18"/>
              </w:rPr>
              <w:fldChar w:fldCharType="separate"/>
            </w:r>
            <w:r w:rsidRPr="00E01BFD">
              <w:rPr>
                <w:rFonts w:cs="Arial"/>
                <w:sz w:val="18"/>
                <w:szCs w:val="18"/>
              </w:rPr>
              <w:t xml:space="preserve">Agrawal, P., Narain, R., &amp; Ullah, I. (2019). Analysis of barriers in implementation of digital transformation of supply chain using interpretive structural modelling approach. </w:t>
            </w:r>
            <w:r w:rsidRPr="00E01BFD">
              <w:rPr>
                <w:rFonts w:cs="Arial"/>
                <w:i/>
                <w:iCs/>
                <w:sz w:val="18"/>
                <w:szCs w:val="18"/>
              </w:rPr>
              <w:t>Journal of Modelling in Management</w:t>
            </w:r>
            <w:r w:rsidRPr="00E01BFD">
              <w:rPr>
                <w:rFonts w:cs="Arial"/>
                <w:sz w:val="18"/>
                <w:szCs w:val="18"/>
              </w:rPr>
              <w:t xml:space="preserve">, </w:t>
            </w:r>
            <w:r w:rsidRPr="00E01BFD">
              <w:rPr>
                <w:rFonts w:cs="Arial"/>
                <w:i/>
                <w:iCs/>
                <w:sz w:val="18"/>
                <w:szCs w:val="18"/>
              </w:rPr>
              <w:t>15</w:t>
            </w:r>
            <w:r w:rsidRPr="00E01BFD">
              <w:rPr>
                <w:rFonts w:cs="Arial"/>
                <w:sz w:val="18"/>
                <w:szCs w:val="18"/>
              </w:rPr>
              <w:t>(1), 297–317. DT. https://doi.org/10.1108/JM2-03-2019-0066</w:t>
            </w:r>
          </w:p>
          <w:p w14:paraId="55B4953E" w14:textId="77777777" w:rsidR="00E01BFD" w:rsidRPr="00E01BFD" w:rsidRDefault="00E01BFD" w:rsidP="00E01BFD">
            <w:pPr>
              <w:pStyle w:val="af9"/>
              <w:adjustRightInd w:val="0"/>
              <w:snapToGrid w:val="0"/>
              <w:spacing w:line="276" w:lineRule="auto"/>
              <w:rPr>
                <w:rFonts w:cs="Arial"/>
                <w:sz w:val="18"/>
                <w:szCs w:val="18"/>
              </w:rPr>
            </w:pPr>
            <w:r w:rsidRPr="00E01BFD">
              <w:rPr>
                <w:rFonts w:cs="Arial"/>
                <w:sz w:val="18"/>
                <w:szCs w:val="18"/>
              </w:rPr>
              <w:t xml:space="preserve">Al-Sai, Z. A., Abdullah, R., &amp; Husin, M. H. (2020). Critical Success Factors for Big Data: A Systematic Literature Review. </w:t>
            </w:r>
            <w:r w:rsidRPr="00E01BFD">
              <w:rPr>
                <w:rFonts w:cs="Arial"/>
                <w:i/>
                <w:iCs/>
                <w:sz w:val="18"/>
                <w:szCs w:val="18"/>
              </w:rPr>
              <w:t>IEEE Access</w:t>
            </w:r>
            <w:r w:rsidRPr="00E01BFD">
              <w:rPr>
                <w:rFonts w:cs="Arial"/>
                <w:sz w:val="18"/>
                <w:szCs w:val="18"/>
              </w:rPr>
              <w:t xml:space="preserve">, </w:t>
            </w:r>
            <w:r w:rsidRPr="00E01BFD">
              <w:rPr>
                <w:rFonts w:cs="Arial"/>
                <w:i/>
                <w:iCs/>
                <w:sz w:val="18"/>
                <w:szCs w:val="18"/>
              </w:rPr>
              <w:t>8</w:t>
            </w:r>
            <w:r w:rsidRPr="00E01BFD">
              <w:rPr>
                <w:rFonts w:cs="Arial"/>
                <w:sz w:val="18"/>
                <w:szCs w:val="18"/>
              </w:rPr>
              <w:t>, 118940–118956. https://doi.org/10.1109/ACCESS.2020.3005461</w:t>
            </w:r>
          </w:p>
          <w:p w14:paraId="0BCE54CD" w14:textId="77777777" w:rsidR="00E01BFD" w:rsidRPr="00E01BFD" w:rsidRDefault="00E01BFD" w:rsidP="00E01BFD">
            <w:pPr>
              <w:pStyle w:val="af9"/>
              <w:adjustRightInd w:val="0"/>
              <w:snapToGrid w:val="0"/>
              <w:spacing w:line="276" w:lineRule="auto"/>
              <w:rPr>
                <w:rFonts w:cs="Arial"/>
                <w:sz w:val="18"/>
                <w:szCs w:val="18"/>
              </w:rPr>
            </w:pPr>
            <w:r w:rsidRPr="00E01BFD">
              <w:rPr>
                <w:rFonts w:cs="Arial"/>
                <w:sz w:val="18"/>
                <w:szCs w:val="18"/>
              </w:rPr>
              <w:t xml:space="preserve">Baabdullah, A. M., Alalwan, A. A., Slade, E. L., Raman, R., &amp; Khatatneh, K. F. (2021). SMEs and artificial intelligence (AI): Antecedents and consequences of AI-based B2B practices. </w:t>
            </w:r>
            <w:r w:rsidRPr="00E01BFD">
              <w:rPr>
                <w:rFonts w:cs="Arial"/>
                <w:i/>
                <w:iCs/>
                <w:sz w:val="18"/>
                <w:szCs w:val="18"/>
              </w:rPr>
              <w:t>Industrial Marketing Management</w:t>
            </w:r>
            <w:r w:rsidRPr="00E01BFD">
              <w:rPr>
                <w:rFonts w:cs="Arial"/>
                <w:sz w:val="18"/>
                <w:szCs w:val="18"/>
              </w:rPr>
              <w:t xml:space="preserve">, </w:t>
            </w:r>
            <w:r w:rsidRPr="00E01BFD">
              <w:rPr>
                <w:rFonts w:cs="Arial"/>
                <w:i/>
                <w:iCs/>
                <w:sz w:val="18"/>
                <w:szCs w:val="18"/>
              </w:rPr>
              <w:t>98</w:t>
            </w:r>
            <w:r w:rsidRPr="00E01BFD">
              <w:rPr>
                <w:rFonts w:cs="Arial"/>
                <w:sz w:val="18"/>
                <w:szCs w:val="18"/>
              </w:rPr>
              <w:t>, 255–270. AI. https://doi.org/10.1016/j.indmarman.2021.09.003</w:t>
            </w:r>
          </w:p>
          <w:p w14:paraId="0597F7D2" w14:textId="77777777" w:rsidR="00E01BFD" w:rsidRPr="00E01BFD" w:rsidRDefault="00E01BFD" w:rsidP="00E01BFD">
            <w:pPr>
              <w:pStyle w:val="af9"/>
              <w:adjustRightInd w:val="0"/>
              <w:snapToGrid w:val="0"/>
              <w:spacing w:line="276" w:lineRule="auto"/>
              <w:rPr>
                <w:rFonts w:cs="Arial"/>
                <w:sz w:val="18"/>
                <w:szCs w:val="18"/>
              </w:rPr>
            </w:pPr>
            <w:r w:rsidRPr="00E01BFD">
              <w:rPr>
                <w:rFonts w:cs="Arial"/>
                <w:sz w:val="18"/>
                <w:szCs w:val="18"/>
              </w:rPr>
              <w:t xml:space="preserve">Babina, T., Fedyk, A., He, A., &amp; Hodson, J. (2024). Artificial intelligence, firm growth, and product innovation. </w:t>
            </w:r>
            <w:r w:rsidRPr="00E01BFD">
              <w:rPr>
                <w:rFonts w:cs="Arial"/>
                <w:i/>
                <w:iCs/>
                <w:sz w:val="18"/>
                <w:szCs w:val="18"/>
              </w:rPr>
              <w:t>Journal of Financial Economics</w:t>
            </w:r>
            <w:r w:rsidRPr="00E01BFD">
              <w:rPr>
                <w:rFonts w:cs="Arial"/>
                <w:sz w:val="18"/>
                <w:szCs w:val="18"/>
              </w:rPr>
              <w:t xml:space="preserve">, </w:t>
            </w:r>
            <w:r w:rsidRPr="00E01BFD">
              <w:rPr>
                <w:rFonts w:cs="Arial"/>
                <w:i/>
                <w:iCs/>
                <w:sz w:val="18"/>
                <w:szCs w:val="18"/>
              </w:rPr>
              <w:t>151</w:t>
            </w:r>
            <w:r w:rsidRPr="00E01BFD">
              <w:rPr>
                <w:rFonts w:cs="Arial"/>
                <w:sz w:val="18"/>
                <w:szCs w:val="18"/>
              </w:rPr>
              <w:t>, 103745. https://doi.org/10.1016/j.jfineco.2023.103745</w:t>
            </w:r>
          </w:p>
          <w:p w14:paraId="320AE15F" w14:textId="77777777" w:rsidR="00E01BFD" w:rsidRPr="00E01BFD" w:rsidRDefault="00E01BFD" w:rsidP="00E01BFD">
            <w:pPr>
              <w:pStyle w:val="af9"/>
              <w:adjustRightInd w:val="0"/>
              <w:snapToGrid w:val="0"/>
              <w:spacing w:line="276" w:lineRule="auto"/>
              <w:rPr>
                <w:rFonts w:cs="Arial"/>
                <w:sz w:val="18"/>
                <w:szCs w:val="18"/>
              </w:rPr>
            </w:pPr>
            <w:r w:rsidRPr="00E01BFD">
              <w:rPr>
                <w:rFonts w:cs="Arial"/>
                <w:sz w:val="18"/>
                <w:szCs w:val="18"/>
              </w:rPr>
              <w:t xml:space="preserve">Bagherian, A., Gershon, M., Kumar, S., &amp; Kumar Mishra, M. (2024). Analyzing the relationship between digitalization and energy sustainability: A comprehensive ISM-MICMAC and DEMATEL approach. </w:t>
            </w:r>
            <w:r w:rsidRPr="00E01BFD">
              <w:rPr>
                <w:rFonts w:cs="Arial"/>
                <w:i/>
                <w:iCs/>
                <w:sz w:val="18"/>
                <w:szCs w:val="18"/>
              </w:rPr>
              <w:t>Expert Systems with Applications</w:t>
            </w:r>
            <w:r w:rsidRPr="00E01BFD">
              <w:rPr>
                <w:rFonts w:cs="Arial"/>
                <w:sz w:val="18"/>
                <w:szCs w:val="18"/>
              </w:rPr>
              <w:t xml:space="preserve">, </w:t>
            </w:r>
            <w:r w:rsidRPr="00E01BFD">
              <w:rPr>
                <w:rFonts w:cs="Arial"/>
                <w:i/>
                <w:iCs/>
                <w:sz w:val="18"/>
                <w:szCs w:val="18"/>
              </w:rPr>
              <w:t>236</w:t>
            </w:r>
            <w:r w:rsidRPr="00E01BFD">
              <w:rPr>
                <w:rFonts w:cs="Arial"/>
                <w:sz w:val="18"/>
                <w:szCs w:val="18"/>
              </w:rPr>
              <w:t>, 121193. https://doi.org/10.1016/j.eswa.2023.121193</w:t>
            </w:r>
          </w:p>
          <w:p w14:paraId="6674C82F" w14:textId="77777777" w:rsidR="00E01BFD" w:rsidRPr="00E01BFD" w:rsidRDefault="00E01BFD" w:rsidP="00E01BFD">
            <w:pPr>
              <w:pStyle w:val="af9"/>
              <w:adjustRightInd w:val="0"/>
              <w:snapToGrid w:val="0"/>
              <w:spacing w:line="276" w:lineRule="auto"/>
              <w:rPr>
                <w:rFonts w:cs="Arial"/>
                <w:sz w:val="18"/>
                <w:szCs w:val="18"/>
              </w:rPr>
            </w:pPr>
            <w:r w:rsidRPr="00E01BFD">
              <w:rPr>
                <w:rFonts w:cs="Arial"/>
                <w:sz w:val="18"/>
                <w:szCs w:val="18"/>
              </w:rPr>
              <w:t xml:space="preserve">Baiyere, A., Salmela, H., &amp; Tapanainen, T. (2020). Digital transformation and the new logics of business process management. </w:t>
            </w:r>
            <w:r w:rsidRPr="00E01BFD">
              <w:rPr>
                <w:rFonts w:cs="Arial"/>
                <w:i/>
                <w:iCs/>
                <w:sz w:val="18"/>
                <w:szCs w:val="18"/>
              </w:rPr>
              <w:t>European Journal of Information Systems</w:t>
            </w:r>
            <w:r w:rsidRPr="00E01BFD">
              <w:rPr>
                <w:rFonts w:cs="Arial"/>
                <w:sz w:val="18"/>
                <w:szCs w:val="18"/>
              </w:rPr>
              <w:t xml:space="preserve">, </w:t>
            </w:r>
            <w:r w:rsidRPr="00E01BFD">
              <w:rPr>
                <w:rFonts w:cs="Arial"/>
                <w:i/>
                <w:iCs/>
                <w:sz w:val="18"/>
                <w:szCs w:val="18"/>
              </w:rPr>
              <w:t>29</w:t>
            </w:r>
            <w:r w:rsidRPr="00E01BFD">
              <w:rPr>
                <w:rFonts w:cs="Arial"/>
                <w:sz w:val="18"/>
                <w:szCs w:val="18"/>
              </w:rPr>
              <w:t>(3), 238–259. DT. https://doi.org/10.1080/0960085X.2020.1718007</w:t>
            </w:r>
          </w:p>
          <w:p w14:paraId="2930A8A3" w14:textId="77777777" w:rsidR="00E01BFD" w:rsidRPr="00E01BFD" w:rsidRDefault="00E01BFD" w:rsidP="00E01BFD">
            <w:pPr>
              <w:pStyle w:val="af9"/>
              <w:adjustRightInd w:val="0"/>
              <w:snapToGrid w:val="0"/>
              <w:spacing w:line="276" w:lineRule="auto"/>
              <w:rPr>
                <w:rFonts w:cs="Arial"/>
                <w:sz w:val="18"/>
                <w:szCs w:val="18"/>
              </w:rPr>
            </w:pPr>
            <w:r w:rsidRPr="00E01BFD">
              <w:rPr>
                <w:rFonts w:cs="Arial"/>
                <w:sz w:val="18"/>
                <w:szCs w:val="18"/>
              </w:rPr>
              <w:t xml:space="preserve">Barnewold, L. (2019). Digital technology trends and their implementation in the mining industry. In C. Mueller, W. Assibey-Bonsu, E. Baafi, C. Dauber, C. Doran, M. Jerzy Jaszczuk, &amp; O. Nagovitsyn, </w:t>
            </w:r>
            <w:r w:rsidRPr="00E01BFD">
              <w:rPr>
                <w:rFonts w:cs="Arial"/>
                <w:i/>
                <w:iCs/>
                <w:sz w:val="18"/>
                <w:szCs w:val="18"/>
              </w:rPr>
              <w:t>Mining Goes Digital</w:t>
            </w:r>
            <w:r w:rsidRPr="00E01BFD">
              <w:rPr>
                <w:rFonts w:cs="Arial"/>
                <w:sz w:val="18"/>
                <w:szCs w:val="18"/>
              </w:rPr>
              <w:t xml:space="preserve"> (1st ed., pp. 9–16). CRC Press. https://doi.org/10.1201/9780429320774-2</w:t>
            </w:r>
          </w:p>
          <w:p w14:paraId="4AC24ED4" w14:textId="77777777" w:rsidR="00E01BFD" w:rsidRPr="00E01BFD" w:rsidRDefault="00E01BFD" w:rsidP="00E01BFD">
            <w:pPr>
              <w:pStyle w:val="af9"/>
              <w:adjustRightInd w:val="0"/>
              <w:snapToGrid w:val="0"/>
              <w:spacing w:line="276" w:lineRule="auto"/>
              <w:rPr>
                <w:rFonts w:cs="Arial"/>
                <w:sz w:val="18"/>
                <w:szCs w:val="18"/>
              </w:rPr>
            </w:pPr>
            <w:r w:rsidRPr="00E01BFD">
              <w:rPr>
                <w:rFonts w:cs="Arial"/>
                <w:sz w:val="18"/>
                <w:szCs w:val="18"/>
              </w:rPr>
              <w:t xml:space="preserve">Barnewold, L., &amp; Lottermoser, B. G. (2020). Identification of digital technologies and digitalisation trends in the mining industry. </w:t>
            </w:r>
            <w:r w:rsidRPr="00E01BFD">
              <w:rPr>
                <w:rFonts w:cs="Arial"/>
                <w:i/>
                <w:iCs/>
                <w:sz w:val="18"/>
                <w:szCs w:val="18"/>
              </w:rPr>
              <w:t>International Journal of Mining Science and Technology</w:t>
            </w:r>
            <w:r w:rsidRPr="00E01BFD">
              <w:rPr>
                <w:rFonts w:cs="Arial"/>
                <w:sz w:val="18"/>
                <w:szCs w:val="18"/>
              </w:rPr>
              <w:t xml:space="preserve">, </w:t>
            </w:r>
            <w:r w:rsidRPr="00E01BFD">
              <w:rPr>
                <w:rFonts w:cs="Arial"/>
                <w:i/>
                <w:iCs/>
                <w:sz w:val="18"/>
                <w:szCs w:val="18"/>
              </w:rPr>
              <w:t>30</w:t>
            </w:r>
            <w:r w:rsidRPr="00E01BFD">
              <w:rPr>
                <w:rFonts w:cs="Arial"/>
                <w:sz w:val="18"/>
                <w:szCs w:val="18"/>
              </w:rPr>
              <w:t>(6), 747–757. https://doi.org/10.1016/j.ijmst.2020.07.003</w:t>
            </w:r>
          </w:p>
          <w:p w14:paraId="1B56FE26" w14:textId="77777777" w:rsidR="00E01BFD" w:rsidRPr="00E01BFD" w:rsidRDefault="00E01BFD" w:rsidP="00E01BFD">
            <w:pPr>
              <w:pStyle w:val="af9"/>
              <w:adjustRightInd w:val="0"/>
              <w:snapToGrid w:val="0"/>
              <w:spacing w:line="276" w:lineRule="auto"/>
              <w:rPr>
                <w:rFonts w:cs="Arial"/>
                <w:sz w:val="18"/>
                <w:szCs w:val="18"/>
              </w:rPr>
            </w:pPr>
            <w:r w:rsidRPr="00E01BFD">
              <w:rPr>
                <w:rFonts w:cs="Arial"/>
                <w:sz w:val="18"/>
                <w:szCs w:val="18"/>
              </w:rPr>
              <w:t xml:space="preserve">Behl, A., Gaur, J., Pereira, V., Yadav, R., &amp; Laker, B. (2022). Role of big data analytics capabilities to improve sustainable competitive advantage of MSME service firms during COVID-19 – A multi-theoretical approach. </w:t>
            </w:r>
            <w:r w:rsidRPr="00E01BFD">
              <w:rPr>
                <w:rFonts w:cs="Arial"/>
                <w:i/>
                <w:iCs/>
                <w:sz w:val="18"/>
                <w:szCs w:val="18"/>
              </w:rPr>
              <w:t>Journal of Business Research</w:t>
            </w:r>
            <w:r w:rsidRPr="00E01BFD">
              <w:rPr>
                <w:rFonts w:cs="Arial"/>
                <w:sz w:val="18"/>
                <w:szCs w:val="18"/>
              </w:rPr>
              <w:t xml:space="preserve">, </w:t>
            </w:r>
            <w:r w:rsidRPr="00E01BFD">
              <w:rPr>
                <w:rFonts w:cs="Arial"/>
                <w:i/>
                <w:iCs/>
                <w:sz w:val="18"/>
                <w:szCs w:val="18"/>
              </w:rPr>
              <w:t>148</w:t>
            </w:r>
            <w:r w:rsidRPr="00E01BFD">
              <w:rPr>
                <w:rFonts w:cs="Arial"/>
                <w:sz w:val="18"/>
                <w:szCs w:val="18"/>
              </w:rPr>
              <w:t>, 378–389. BDA. https://doi.org/10.1016/j.jbusres.2022.05.009</w:t>
            </w:r>
          </w:p>
          <w:p w14:paraId="7360B731" w14:textId="77777777" w:rsidR="00E01BFD" w:rsidRPr="00E01BFD" w:rsidRDefault="00E01BFD" w:rsidP="00E01BFD">
            <w:pPr>
              <w:pStyle w:val="af9"/>
              <w:adjustRightInd w:val="0"/>
              <w:snapToGrid w:val="0"/>
              <w:spacing w:line="276" w:lineRule="auto"/>
              <w:rPr>
                <w:rFonts w:cs="Arial"/>
                <w:sz w:val="18"/>
                <w:szCs w:val="18"/>
              </w:rPr>
            </w:pPr>
            <w:r w:rsidRPr="00E01BFD">
              <w:rPr>
                <w:rFonts w:cs="Arial"/>
                <w:sz w:val="18"/>
                <w:szCs w:val="18"/>
              </w:rPr>
              <w:t xml:space="preserve">Behl, A., Singh, R., Pereira, V., &amp; Laker, B. (2023). Analysis of Industry 4.0 and circular economy enablers: A step towards resilient sustainable operations management. </w:t>
            </w:r>
            <w:r w:rsidRPr="00E01BFD">
              <w:rPr>
                <w:rFonts w:cs="Arial"/>
                <w:i/>
                <w:iCs/>
                <w:sz w:val="18"/>
                <w:szCs w:val="18"/>
              </w:rPr>
              <w:t>Technological Forecasting and Social Change</w:t>
            </w:r>
            <w:r w:rsidRPr="00E01BFD">
              <w:rPr>
                <w:rFonts w:cs="Arial"/>
                <w:sz w:val="18"/>
                <w:szCs w:val="18"/>
              </w:rPr>
              <w:t xml:space="preserve">, </w:t>
            </w:r>
            <w:r w:rsidRPr="00E01BFD">
              <w:rPr>
                <w:rFonts w:cs="Arial"/>
                <w:i/>
                <w:iCs/>
                <w:sz w:val="18"/>
                <w:szCs w:val="18"/>
              </w:rPr>
              <w:t>189</w:t>
            </w:r>
            <w:r w:rsidRPr="00E01BFD">
              <w:rPr>
                <w:rFonts w:cs="Arial"/>
                <w:sz w:val="18"/>
                <w:szCs w:val="18"/>
              </w:rPr>
              <w:t>, 122363. https://doi.org/10.1016/j.techfore.2023.122363</w:t>
            </w:r>
          </w:p>
          <w:p w14:paraId="6060C643" w14:textId="77777777" w:rsidR="00E01BFD" w:rsidRPr="00E01BFD" w:rsidRDefault="00E01BFD" w:rsidP="00E01BFD">
            <w:pPr>
              <w:pStyle w:val="af9"/>
              <w:adjustRightInd w:val="0"/>
              <w:snapToGrid w:val="0"/>
              <w:spacing w:line="276" w:lineRule="auto"/>
              <w:rPr>
                <w:rFonts w:cs="Arial"/>
                <w:sz w:val="18"/>
                <w:szCs w:val="18"/>
              </w:rPr>
            </w:pPr>
            <w:r w:rsidRPr="00E01BFD">
              <w:rPr>
                <w:rFonts w:cs="Arial"/>
                <w:sz w:val="18"/>
                <w:szCs w:val="18"/>
              </w:rPr>
              <w:t xml:space="preserve">Blasco-Arcas, L., Lee, H.-H. M., Kastanakis, M. N., Alcañiz, M., &amp; Reyes-Menendez, A. (2022). The role of consumer data in marketing: A research agenda. </w:t>
            </w:r>
            <w:r w:rsidRPr="00E01BFD">
              <w:rPr>
                <w:rFonts w:cs="Arial"/>
                <w:i/>
                <w:iCs/>
                <w:sz w:val="18"/>
                <w:szCs w:val="18"/>
              </w:rPr>
              <w:t>Journal of Business Research</w:t>
            </w:r>
            <w:r w:rsidRPr="00E01BFD">
              <w:rPr>
                <w:rFonts w:cs="Arial"/>
                <w:sz w:val="18"/>
                <w:szCs w:val="18"/>
              </w:rPr>
              <w:t xml:space="preserve">, </w:t>
            </w:r>
            <w:r w:rsidRPr="00E01BFD">
              <w:rPr>
                <w:rFonts w:cs="Arial"/>
                <w:i/>
                <w:iCs/>
                <w:sz w:val="18"/>
                <w:szCs w:val="18"/>
              </w:rPr>
              <w:t>146</w:t>
            </w:r>
            <w:r w:rsidRPr="00E01BFD">
              <w:rPr>
                <w:rFonts w:cs="Arial"/>
                <w:sz w:val="18"/>
                <w:szCs w:val="18"/>
              </w:rPr>
              <w:t>, 436–452. BDA. https://doi.org/10.1016/j.jbusres.2022.03.054</w:t>
            </w:r>
          </w:p>
          <w:p w14:paraId="7BA2F518" w14:textId="77777777" w:rsidR="00E01BFD" w:rsidRPr="00E01BFD" w:rsidRDefault="00E01BFD" w:rsidP="00E01BFD">
            <w:pPr>
              <w:pStyle w:val="af9"/>
              <w:adjustRightInd w:val="0"/>
              <w:snapToGrid w:val="0"/>
              <w:spacing w:line="276" w:lineRule="auto"/>
              <w:rPr>
                <w:rFonts w:cs="Arial"/>
                <w:sz w:val="18"/>
                <w:szCs w:val="18"/>
              </w:rPr>
            </w:pPr>
            <w:r w:rsidRPr="00E01BFD">
              <w:rPr>
                <w:rFonts w:cs="Arial"/>
                <w:sz w:val="18"/>
                <w:szCs w:val="18"/>
              </w:rPr>
              <w:lastRenderedPageBreak/>
              <w:t xml:space="preserve">Bordeleau, F.-E., Mosconi, E., &amp; De Santa-Eulalia, L. A. (2020). Business intelligence and analytics value creation in Industry 4.0: A multiple case study in manufacturing medium enterprises. </w:t>
            </w:r>
            <w:r w:rsidRPr="00E01BFD">
              <w:rPr>
                <w:rFonts w:cs="Arial"/>
                <w:i/>
                <w:iCs/>
                <w:sz w:val="18"/>
                <w:szCs w:val="18"/>
              </w:rPr>
              <w:t>Production Planning &amp; Control</w:t>
            </w:r>
            <w:r w:rsidRPr="00E01BFD">
              <w:rPr>
                <w:rFonts w:cs="Arial"/>
                <w:sz w:val="18"/>
                <w:szCs w:val="18"/>
              </w:rPr>
              <w:t xml:space="preserve">, </w:t>
            </w:r>
            <w:r w:rsidRPr="00E01BFD">
              <w:rPr>
                <w:rFonts w:cs="Arial"/>
                <w:i/>
                <w:iCs/>
                <w:sz w:val="18"/>
                <w:szCs w:val="18"/>
              </w:rPr>
              <w:t>31</w:t>
            </w:r>
            <w:r w:rsidRPr="00E01BFD">
              <w:rPr>
                <w:rFonts w:cs="Arial"/>
                <w:sz w:val="18"/>
                <w:szCs w:val="18"/>
              </w:rPr>
              <w:t>(2–3), 173–185. https://doi.org/10.1080/09537287.2019.1631458</w:t>
            </w:r>
          </w:p>
          <w:p w14:paraId="35A1841E" w14:textId="77777777" w:rsidR="00E01BFD" w:rsidRPr="00E01BFD" w:rsidRDefault="00E01BFD" w:rsidP="00E01BFD">
            <w:pPr>
              <w:pStyle w:val="af9"/>
              <w:adjustRightInd w:val="0"/>
              <w:snapToGrid w:val="0"/>
              <w:spacing w:line="276" w:lineRule="auto"/>
              <w:rPr>
                <w:rFonts w:cs="Arial"/>
                <w:sz w:val="18"/>
                <w:szCs w:val="18"/>
              </w:rPr>
            </w:pPr>
            <w:r w:rsidRPr="00E01BFD">
              <w:rPr>
                <w:rFonts w:cs="Arial"/>
                <w:sz w:val="18"/>
                <w:szCs w:val="18"/>
              </w:rPr>
              <w:t xml:space="preserve">Buck, C., Clarke, J., Torres De Oliveira, R., Desouza, K. C., &amp; Maroufkhani, P. (2023). Digital transformation in asset-intensive organisations: The light and the dark side. </w:t>
            </w:r>
            <w:r w:rsidRPr="00E01BFD">
              <w:rPr>
                <w:rFonts w:cs="Arial"/>
                <w:i/>
                <w:iCs/>
                <w:sz w:val="18"/>
                <w:szCs w:val="18"/>
              </w:rPr>
              <w:t>Journal of Innovation &amp; Knowledge</w:t>
            </w:r>
            <w:r w:rsidRPr="00E01BFD">
              <w:rPr>
                <w:rFonts w:cs="Arial"/>
                <w:sz w:val="18"/>
                <w:szCs w:val="18"/>
              </w:rPr>
              <w:t xml:space="preserve">, </w:t>
            </w:r>
            <w:r w:rsidRPr="00E01BFD">
              <w:rPr>
                <w:rFonts w:cs="Arial"/>
                <w:i/>
                <w:iCs/>
                <w:sz w:val="18"/>
                <w:szCs w:val="18"/>
              </w:rPr>
              <w:t>8</w:t>
            </w:r>
            <w:r w:rsidRPr="00E01BFD">
              <w:rPr>
                <w:rFonts w:cs="Arial"/>
                <w:sz w:val="18"/>
                <w:szCs w:val="18"/>
              </w:rPr>
              <w:t>(2), 100335. DT. https://doi.org/10.1016/j.jik.2023.100335</w:t>
            </w:r>
          </w:p>
          <w:p w14:paraId="10564A0B" w14:textId="77777777" w:rsidR="00E01BFD" w:rsidRPr="00E01BFD" w:rsidRDefault="00E01BFD" w:rsidP="00E01BFD">
            <w:pPr>
              <w:pStyle w:val="af9"/>
              <w:adjustRightInd w:val="0"/>
              <w:snapToGrid w:val="0"/>
              <w:spacing w:line="276" w:lineRule="auto"/>
              <w:rPr>
                <w:rFonts w:cs="Arial"/>
                <w:sz w:val="18"/>
                <w:szCs w:val="18"/>
              </w:rPr>
            </w:pPr>
            <w:r w:rsidRPr="00E01BFD">
              <w:rPr>
                <w:rFonts w:cs="Arial"/>
                <w:sz w:val="18"/>
                <w:szCs w:val="18"/>
              </w:rPr>
              <w:t xml:space="preserve">Bzhalava, L., Hassan, S. S., Kaivo-oja, J., Köping Olsson, B., &amp; Imran, J. (2022). Mapping the Wave of Industry Digitalization by Co-Word Analysis: An Exploration of Four Disruptive Industries. </w:t>
            </w:r>
            <w:r w:rsidRPr="00E01BFD">
              <w:rPr>
                <w:rFonts w:cs="Arial"/>
                <w:i/>
                <w:iCs/>
                <w:sz w:val="18"/>
                <w:szCs w:val="18"/>
              </w:rPr>
              <w:t>International Journal of Innovation and Technology Management</w:t>
            </w:r>
            <w:r w:rsidRPr="00E01BFD">
              <w:rPr>
                <w:rFonts w:cs="Arial"/>
                <w:sz w:val="18"/>
                <w:szCs w:val="18"/>
              </w:rPr>
              <w:t xml:space="preserve">, </w:t>
            </w:r>
            <w:r w:rsidRPr="00E01BFD">
              <w:rPr>
                <w:rFonts w:cs="Arial"/>
                <w:i/>
                <w:iCs/>
                <w:sz w:val="18"/>
                <w:szCs w:val="18"/>
              </w:rPr>
              <w:t>19</w:t>
            </w:r>
            <w:r w:rsidRPr="00E01BFD">
              <w:rPr>
                <w:rFonts w:cs="Arial"/>
                <w:sz w:val="18"/>
                <w:szCs w:val="18"/>
              </w:rPr>
              <w:t>(02), 2250001. https://doi.org/10.1142/S0219877022500018</w:t>
            </w:r>
          </w:p>
          <w:p w14:paraId="596344FD" w14:textId="77777777" w:rsidR="00E01BFD" w:rsidRPr="00E01BFD" w:rsidRDefault="00E01BFD" w:rsidP="00E01BFD">
            <w:pPr>
              <w:pStyle w:val="af9"/>
              <w:adjustRightInd w:val="0"/>
              <w:snapToGrid w:val="0"/>
              <w:spacing w:line="276" w:lineRule="auto"/>
              <w:rPr>
                <w:rFonts w:cs="Arial"/>
                <w:sz w:val="18"/>
                <w:szCs w:val="18"/>
              </w:rPr>
            </w:pPr>
            <w:r w:rsidRPr="00E01BFD">
              <w:rPr>
                <w:rFonts w:cs="Arial"/>
                <w:sz w:val="18"/>
                <w:szCs w:val="18"/>
              </w:rPr>
              <w:t xml:space="preserve">Cadden, T., Weerawardena, J., Cao, G., Duan, Y., &amp; McIvor, R. (2023). Examining the role of big data and marketing analytics in SMEs innovation and competitive advantage: A knowledge integration perspective. </w:t>
            </w:r>
            <w:r w:rsidRPr="00E01BFD">
              <w:rPr>
                <w:rFonts w:cs="Arial"/>
                <w:i/>
                <w:iCs/>
                <w:sz w:val="18"/>
                <w:szCs w:val="18"/>
              </w:rPr>
              <w:t>Journal of Business Research</w:t>
            </w:r>
            <w:r w:rsidRPr="00E01BFD">
              <w:rPr>
                <w:rFonts w:cs="Arial"/>
                <w:sz w:val="18"/>
                <w:szCs w:val="18"/>
              </w:rPr>
              <w:t xml:space="preserve">, </w:t>
            </w:r>
            <w:r w:rsidRPr="00E01BFD">
              <w:rPr>
                <w:rFonts w:cs="Arial"/>
                <w:i/>
                <w:iCs/>
                <w:sz w:val="18"/>
                <w:szCs w:val="18"/>
              </w:rPr>
              <w:t>168</w:t>
            </w:r>
            <w:r w:rsidRPr="00E01BFD">
              <w:rPr>
                <w:rFonts w:cs="Arial"/>
                <w:sz w:val="18"/>
                <w:szCs w:val="18"/>
              </w:rPr>
              <w:t>, 114225. DT. https://doi.org/10.1016/j.jbusres.2023.114225</w:t>
            </w:r>
          </w:p>
          <w:p w14:paraId="505A7234" w14:textId="77777777" w:rsidR="00E01BFD" w:rsidRPr="00E01BFD" w:rsidRDefault="00E01BFD" w:rsidP="00E01BFD">
            <w:pPr>
              <w:pStyle w:val="af9"/>
              <w:adjustRightInd w:val="0"/>
              <w:snapToGrid w:val="0"/>
              <w:spacing w:line="276" w:lineRule="auto"/>
              <w:rPr>
                <w:rFonts w:cs="Arial"/>
                <w:sz w:val="18"/>
                <w:szCs w:val="18"/>
              </w:rPr>
            </w:pPr>
            <w:r w:rsidRPr="00E01BFD">
              <w:rPr>
                <w:rFonts w:cs="Arial"/>
                <w:sz w:val="18"/>
                <w:szCs w:val="18"/>
              </w:rPr>
              <w:t xml:space="preserve">Caputo, A., Pizzi, S., Pellegrini, M. M., &amp; Dabić, M. (2021). Digitalization and business models: Where are we going? A science map of the field. </w:t>
            </w:r>
            <w:r w:rsidRPr="00E01BFD">
              <w:rPr>
                <w:rFonts w:cs="Arial"/>
                <w:i/>
                <w:iCs/>
                <w:sz w:val="18"/>
                <w:szCs w:val="18"/>
              </w:rPr>
              <w:t>Journal of Business Research</w:t>
            </w:r>
            <w:r w:rsidRPr="00E01BFD">
              <w:rPr>
                <w:rFonts w:cs="Arial"/>
                <w:sz w:val="18"/>
                <w:szCs w:val="18"/>
              </w:rPr>
              <w:t xml:space="preserve">, </w:t>
            </w:r>
            <w:r w:rsidRPr="00E01BFD">
              <w:rPr>
                <w:rFonts w:cs="Arial"/>
                <w:i/>
                <w:iCs/>
                <w:sz w:val="18"/>
                <w:szCs w:val="18"/>
              </w:rPr>
              <w:t>123</w:t>
            </w:r>
            <w:r w:rsidRPr="00E01BFD">
              <w:rPr>
                <w:rFonts w:cs="Arial"/>
                <w:sz w:val="18"/>
                <w:szCs w:val="18"/>
              </w:rPr>
              <w:t>, 489–501. DT. https://doi.org/10.1016/j.jbusres.2020.09.053</w:t>
            </w:r>
          </w:p>
          <w:p w14:paraId="38DC1BFE" w14:textId="77777777" w:rsidR="00E01BFD" w:rsidRPr="00E01BFD" w:rsidRDefault="00E01BFD" w:rsidP="00E01BFD">
            <w:pPr>
              <w:pStyle w:val="af9"/>
              <w:adjustRightInd w:val="0"/>
              <w:snapToGrid w:val="0"/>
              <w:spacing w:line="276" w:lineRule="auto"/>
              <w:rPr>
                <w:rFonts w:cs="Arial"/>
                <w:sz w:val="18"/>
                <w:szCs w:val="18"/>
              </w:rPr>
            </w:pPr>
            <w:r w:rsidRPr="00E01BFD">
              <w:rPr>
                <w:rFonts w:cs="Arial"/>
                <w:sz w:val="18"/>
                <w:szCs w:val="18"/>
              </w:rPr>
              <w:t xml:space="preserve">Chang, S.-I., Chang, L.-M., &amp; Liao, J.-C. (2020). Risk factors of enterprise internal control under the internet of things governance: A qualitative research approach. </w:t>
            </w:r>
            <w:r w:rsidRPr="00E01BFD">
              <w:rPr>
                <w:rFonts w:cs="Arial"/>
                <w:i/>
                <w:iCs/>
                <w:sz w:val="18"/>
                <w:szCs w:val="18"/>
              </w:rPr>
              <w:t>Information &amp; Management</w:t>
            </w:r>
            <w:r w:rsidRPr="00E01BFD">
              <w:rPr>
                <w:rFonts w:cs="Arial"/>
                <w:sz w:val="18"/>
                <w:szCs w:val="18"/>
              </w:rPr>
              <w:t xml:space="preserve">, </w:t>
            </w:r>
            <w:r w:rsidRPr="00E01BFD">
              <w:rPr>
                <w:rFonts w:cs="Arial"/>
                <w:i/>
                <w:iCs/>
                <w:sz w:val="18"/>
                <w:szCs w:val="18"/>
              </w:rPr>
              <w:t>57</w:t>
            </w:r>
            <w:r w:rsidRPr="00E01BFD">
              <w:rPr>
                <w:rFonts w:cs="Arial"/>
                <w:sz w:val="18"/>
                <w:szCs w:val="18"/>
              </w:rPr>
              <w:t>(6), 103335. AI. https://doi.org/10.1016/j.im.2020.103335</w:t>
            </w:r>
          </w:p>
          <w:p w14:paraId="6F2AB6B6" w14:textId="77777777" w:rsidR="00E01BFD" w:rsidRPr="00E01BFD" w:rsidRDefault="00E01BFD" w:rsidP="00E01BFD">
            <w:pPr>
              <w:pStyle w:val="af9"/>
              <w:adjustRightInd w:val="0"/>
              <w:snapToGrid w:val="0"/>
              <w:spacing w:line="276" w:lineRule="auto"/>
              <w:rPr>
                <w:rFonts w:cs="Arial"/>
                <w:sz w:val="18"/>
                <w:szCs w:val="18"/>
              </w:rPr>
            </w:pPr>
            <w:r w:rsidRPr="00E01BFD">
              <w:rPr>
                <w:rFonts w:cs="Arial"/>
                <w:sz w:val="18"/>
                <w:szCs w:val="18"/>
              </w:rPr>
              <w:t xml:space="preserve">Chatterjee, S., Rana, N. P., Dwivedi, Y. K., &amp; Baabdullah, A. M. (2021). Understanding AI adoption in manufacturing and production firms using an integrated TAM-TOE model. </w:t>
            </w:r>
            <w:r w:rsidRPr="00E01BFD">
              <w:rPr>
                <w:rFonts w:cs="Arial"/>
                <w:i/>
                <w:iCs/>
                <w:sz w:val="18"/>
                <w:szCs w:val="18"/>
              </w:rPr>
              <w:t>Technological Forecasting and Social Change</w:t>
            </w:r>
            <w:r w:rsidRPr="00E01BFD">
              <w:rPr>
                <w:rFonts w:cs="Arial"/>
                <w:sz w:val="18"/>
                <w:szCs w:val="18"/>
              </w:rPr>
              <w:t xml:space="preserve">, </w:t>
            </w:r>
            <w:r w:rsidRPr="00E01BFD">
              <w:rPr>
                <w:rFonts w:cs="Arial"/>
                <w:i/>
                <w:iCs/>
                <w:sz w:val="18"/>
                <w:szCs w:val="18"/>
              </w:rPr>
              <w:t>170</w:t>
            </w:r>
            <w:r w:rsidRPr="00E01BFD">
              <w:rPr>
                <w:rFonts w:cs="Arial"/>
                <w:sz w:val="18"/>
                <w:szCs w:val="18"/>
              </w:rPr>
              <w:t>, 120880. AI. https://doi.org/10.1016/j.techfore.2021.120880</w:t>
            </w:r>
          </w:p>
          <w:p w14:paraId="54B06358" w14:textId="77777777" w:rsidR="00E01BFD" w:rsidRPr="00E01BFD" w:rsidRDefault="00E01BFD" w:rsidP="00E01BFD">
            <w:pPr>
              <w:pStyle w:val="af9"/>
              <w:adjustRightInd w:val="0"/>
              <w:snapToGrid w:val="0"/>
              <w:spacing w:line="276" w:lineRule="auto"/>
              <w:rPr>
                <w:rFonts w:cs="Arial"/>
                <w:sz w:val="18"/>
                <w:szCs w:val="18"/>
              </w:rPr>
            </w:pPr>
            <w:r w:rsidRPr="00E01BFD">
              <w:rPr>
                <w:rFonts w:cs="Arial"/>
                <w:sz w:val="18"/>
                <w:szCs w:val="18"/>
              </w:rPr>
              <w:t xml:space="preserve">Chen, L., Xie, J., Zhang, X., Deng, J., Ge, S., &amp; Wang, F.-Y. (2023). Mining 5.0: Concept and Framework for Intelligent Mining Systems in CPSS. </w:t>
            </w:r>
            <w:r w:rsidRPr="00E01BFD">
              <w:rPr>
                <w:rFonts w:cs="Arial"/>
                <w:i/>
                <w:iCs/>
                <w:sz w:val="18"/>
                <w:szCs w:val="18"/>
              </w:rPr>
              <w:t>IEEE Transactions on Intelligent Vehicles</w:t>
            </w:r>
            <w:r w:rsidRPr="00E01BFD">
              <w:rPr>
                <w:rFonts w:cs="Arial"/>
                <w:sz w:val="18"/>
                <w:szCs w:val="18"/>
              </w:rPr>
              <w:t xml:space="preserve">, </w:t>
            </w:r>
            <w:r w:rsidRPr="00E01BFD">
              <w:rPr>
                <w:rFonts w:cs="Arial"/>
                <w:i/>
                <w:iCs/>
                <w:sz w:val="18"/>
                <w:szCs w:val="18"/>
              </w:rPr>
              <w:t>8</w:t>
            </w:r>
            <w:r w:rsidRPr="00E01BFD">
              <w:rPr>
                <w:rFonts w:cs="Arial"/>
                <w:sz w:val="18"/>
                <w:szCs w:val="18"/>
              </w:rPr>
              <w:t>(6), 3533–3536. https://doi.org/10.1109/TIV.2023.3285417</w:t>
            </w:r>
          </w:p>
          <w:p w14:paraId="0DE0114C" w14:textId="77777777" w:rsidR="00E01BFD" w:rsidRPr="00E01BFD" w:rsidRDefault="00E01BFD" w:rsidP="00E01BFD">
            <w:pPr>
              <w:pStyle w:val="af9"/>
              <w:adjustRightInd w:val="0"/>
              <w:snapToGrid w:val="0"/>
              <w:spacing w:line="276" w:lineRule="auto"/>
              <w:rPr>
                <w:rFonts w:cs="Arial"/>
                <w:sz w:val="18"/>
                <w:szCs w:val="18"/>
              </w:rPr>
            </w:pPr>
            <w:r w:rsidRPr="00E01BFD">
              <w:rPr>
                <w:rFonts w:cs="Arial"/>
                <w:sz w:val="18"/>
                <w:szCs w:val="18"/>
              </w:rPr>
              <w:t xml:space="preserve">Chowdhury, S., Budhwar, P., Dey, P. K., Joel-Edgar, S., &amp; Abadie, A. (2022). AI-employee collaboration and business performance: Integrating knowledge-based view, socio-technical systems and organisational socialisation framework. </w:t>
            </w:r>
            <w:r w:rsidRPr="00E01BFD">
              <w:rPr>
                <w:rFonts w:cs="Arial"/>
                <w:i/>
                <w:iCs/>
                <w:sz w:val="18"/>
                <w:szCs w:val="18"/>
              </w:rPr>
              <w:t>Journal of Business Research</w:t>
            </w:r>
            <w:r w:rsidRPr="00E01BFD">
              <w:rPr>
                <w:rFonts w:cs="Arial"/>
                <w:sz w:val="18"/>
                <w:szCs w:val="18"/>
              </w:rPr>
              <w:t xml:space="preserve">, </w:t>
            </w:r>
            <w:r w:rsidRPr="00E01BFD">
              <w:rPr>
                <w:rFonts w:cs="Arial"/>
                <w:i/>
                <w:iCs/>
                <w:sz w:val="18"/>
                <w:szCs w:val="18"/>
              </w:rPr>
              <w:t>144</w:t>
            </w:r>
            <w:r w:rsidRPr="00E01BFD">
              <w:rPr>
                <w:rFonts w:cs="Arial"/>
                <w:sz w:val="18"/>
                <w:szCs w:val="18"/>
              </w:rPr>
              <w:t>, 31–49. AI. https://doi.org/10.1016/j.jbusres.2022.01.069</w:t>
            </w:r>
          </w:p>
          <w:p w14:paraId="68043A6B" w14:textId="77777777" w:rsidR="00E01BFD" w:rsidRPr="00E01BFD" w:rsidRDefault="00E01BFD" w:rsidP="00E01BFD">
            <w:pPr>
              <w:pStyle w:val="af9"/>
              <w:adjustRightInd w:val="0"/>
              <w:snapToGrid w:val="0"/>
              <w:spacing w:line="276" w:lineRule="auto"/>
              <w:rPr>
                <w:rFonts w:cs="Arial"/>
                <w:sz w:val="18"/>
                <w:szCs w:val="18"/>
              </w:rPr>
            </w:pPr>
            <w:r w:rsidRPr="00E01BFD">
              <w:rPr>
                <w:rFonts w:cs="Arial"/>
                <w:sz w:val="18"/>
                <w:szCs w:val="18"/>
              </w:rPr>
              <w:t xml:space="preserve">Chwiłkowska-Kubala, A., Cyfert, S., Malewska, K., Mierzejewska, K., &amp; Szumowski, W. (2023). The impact of resources on digital transformation in energy sector companies. The role of readiness for digital transformation. </w:t>
            </w:r>
            <w:r w:rsidRPr="00E01BFD">
              <w:rPr>
                <w:rFonts w:cs="Arial"/>
                <w:i/>
                <w:iCs/>
                <w:sz w:val="18"/>
                <w:szCs w:val="18"/>
              </w:rPr>
              <w:t>Technology in Society</w:t>
            </w:r>
            <w:r w:rsidRPr="00E01BFD">
              <w:rPr>
                <w:rFonts w:cs="Arial"/>
                <w:sz w:val="18"/>
                <w:szCs w:val="18"/>
              </w:rPr>
              <w:t xml:space="preserve">, </w:t>
            </w:r>
            <w:r w:rsidRPr="00E01BFD">
              <w:rPr>
                <w:rFonts w:cs="Arial"/>
                <w:i/>
                <w:iCs/>
                <w:sz w:val="18"/>
                <w:szCs w:val="18"/>
              </w:rPr>
              <w:t>74</w:t>
            </w:r>
            <w:r w:rsidRPr="00E01BFD">
              <w:rPr>
                <w:rFonts w:cs="Arial"/>
                <w:sz w:val="18"/>
                <w:szCs w:val="18"/>
              </w:rPr>
              <w:t>, 102315. https://doi.org/10.1016/j.techsoc.2023.102315</w:t>
            </w:r>
          </w:p>
          <w:p w14:paraId="0542025A" w14:textId="77777777" w:rsidR="00E01BFD" w:rsidRPr="00E01BFD" w:rsidRDefault="00E01BFD" w:rsidP="00E01BFD">
            <w:pPr>
              <w:pStyle w:val="af9"/>
              <w:adjustRightInd w:val="0"/>
              <w:snapToGrid w:val="0"/>
              <w:spacing w:line="276" w:lineRule="auto"/>
              <w:rPr>
                <w:rFonts w:cs="Arial"/>
                <w:sz w:val="18"/>
                <w:szCs w:val="18"/>
              </w:rPr>
            </w:pPr>
            <w:r w:rsidRPr="00E01BFD">
              <w:rPr>
                <w:rFonts w:cs="Arial"/>
                <w:sz w:val="18"/>
                <w:szCs w:val="18"/>
              </w:rPr>
              <w:t xml:space="preserve">Cichosz, M., Wallenburg, C. M., &amp; Knemeyer, A. M. (2020). Digital transformation at logistics service providers: Barriers, success factors and leading practices. </w:t>
            </w:r>
            <w:r w:rsidRPr="00E01BFD">
              <w:rPr>
                <w:rFonts w:cs="Arial"/>
                <w:i/>
                <w:iCs/>
                <w:sz w:val="18"/>
                <w:szCs w:val="18"/>
              </w:rPr>
              <w:t>The International Journal of Logistics Management</w:t>
            </w:r>
            <w:r w:rsidRPr="00E01BFD">
              <w:rPr>
                <w:rFonts w:cs="Arial"/>
                <w:sz w:val="18"/>
                <w:szCs w:val="18"/>
              </w:rPr>
              <w:t xml:space="preserve">, </w:t>
            </w:r>
            <w:r w:rsidRPr="00E01BFD">
              <w:rPr>
                <w:rFonts w:cs="Arial"/>
                <w:i/>
                <w:iCs/>
                <w:sz w:val="18"/>
                <w:szCs w:val="18"/>
              </w:rPr>
              <w:t>31</w:t>
            </w:r>
            <w:r w:rsidRPr="00E01BFD">
              <w:rPr>
                <w:rFonts w:cs="Arial"/>
                <w:sz w:val="18"/>
                <w:szCs w:val="18"/>
              </w:rPr>
              <w:t>(2), 209–238. DT. https://doi.org/10.1108/IJLM-08-2019-0229</w:t>
            </w:r>
          </w:p>
          <w:p w14:paraId="5060E440" w14:textId="77777777" w:rsidR="00E01BFD" w:rsidRPr="00E01BFD" w:rsidRDefault="00E01BFD" w:rsidP="00E01BFD">
            <w:pPr>
              <w:pStyle w:val="af9"/>
              <w:adjustRightInd w:val="0"/>
              <w:snapToGrid w:val="0"/>
              <w:spacing w:line="276" w:lineRule="auto"/>
              <w:rPr>
                <w:rFonts w:cs="Arial"/>
                <w:sz w:val="18"/>
                <w:szCs w:val="18"/>
              </w:rPr>
            </w:pPr>
            <w:r w:rsidRPr="00E01BFD">
              <w:rPr>
                <w:rFonts w:cs="Arial"/>
                <w:sz w:val="18"/>
                <w:szCs w:val="18"/>
              </w:rPr>
              <w:t xml:space="preserve">Correani, A., De Massis, A., Frattini, F., Petruzzelli, A. M., &amp; Natalicchio, A. (2020). Implementing a Digital Strategy: Learning from the Experience of Three Digital Transformation Projects. </w:t>
            </w:r>
            <w:r w:rsidRPr="00E01BFD">
              <w:rPr>
                <w:rFonts w:cs="Arial"/>
                <w:i/>
                <w:iCs/>
                <w:sz w:val="18"/>
                <w:szCs w:val="18"/>
              </w:rPr>
              <w:t>California Management Review</w:t>
            </w:r>
            <w:r w:rsidRPr="00E01BFD">
              <w:rPr>
                <w:rFonts w:cs="Arial"/>
                <w:sz w:val="18"/>
                <w:szCs w:val="18"/>
              </w:rPr>
              <w:t xml:space="preserve">, </w:t>
            </w:r>
            <w:r w:rsidRPr="00E01BFD">
              <w:rPr>
                <w:rFonts w:cs="Arial"/>
                <w:i/>
                <w:iCs/>
                <w:sz w:val="18"/>
                <w:szCs w:val="18"/>
              </w:rPr>
              <w:t>62</w:t>
            </w:r>
            <w:r w:rsidRPr="00E01BFD">
              <w:rPr>
                <w:rFonts w:cs="Arial"/>
                <w:sz w:val="18"/>
                <w:szCs w:val="18"/>
              </w:rPr>
              <w:t>(4), 37–56. https://doi.org/10.1177/0008125620934864</w:t>
            </w:r>
          </w:p>
          <w:p w14:paraId="302155E0" w14:textId="77777777" w:rsidR="00E01BFD" w:rsidRPr="00E01BFD" w:rsidRDefault="00E01BFD" w:rsidP="00E01BFD">
            <w:pPr>
              <w:pStyle w:val="af9"/>
              <w:adjustRightInd w:val="0"/>
              <w:snapToGrid w:val="0"/>
              <w:spacing w:line="276" w:lineRule="auto"/>
              <w:rPr>
                <w:rFonts w:cs="Arial"/>
                <w:sz w:val="18"/>
                <w:szCs w:val="18"/>
              </w:rPr>
            </w:pPr>
            <w:r w:rsidRPr="00E01BFD">
              <w:rPr>
                <w:rFonts w:cs="Arial"/>
                <w:sz w:val="18"/>
                <w:szCs w:val="18"/>
              </w:rPr>
              <w:t xml:space="preserve">Costa, A., Presenza, A., &amp; Abbate, T. (2023). Digital transformation in family-owned winery SMEs: An exploratory analysis in the South-Italian context. </w:t>
            </w:r>
            <w:r w:rsidRPr="00E01BFD">
              <w:rPr>
                <w:rFonts w:cs="Arial"/>
                <w:i/>
                <w:iCs/>
                <w:sz w:val="18"/>
                <w:szCs w:val="18"/>
              </w:rPr>
              <w:t>European Journal of Innovation Management</w:t>
            </w:r>
            <w:r w:rsidRPr="00E01BFD">
              <w:rPr>
                <w:rFonts w:cs="Arial"/>
                <w:sz w:val="18"/>
                <w:szCs w:val="18"/>
              </w:rPr>
              <w:t xml:space="preserve">, </w:t>
            </w:r>
            <w:r w:rsidRPr="00E01BFD">
              <w:rPr>
                <w:rFonts w:cs="Arial"/>
                <w:i/>
                <w:iCs/>
                <w:sz w:val="18"/>
                <w:szCs w:val="18"/>
              </w:rPr>
              <w:t>26</w:t>
            </w:r>
            <w:r w:rsidRPr="00E01BFD">
              <w:rPr>
                <w:rFonts w:cs="Arial"/>
                <w:sz w:val="18"/>
                <w:szCs w:val="18"/>
              </w:rPr>
              <w:t>(7), 527–551. https://doi.org/10.1108/EJIM-02-2023-0108</w:t>
            </w:r>
          </w:p>
          <w:p w14:paraId="09E83810" w14:textId="77777777" w:rsidR="00E01BFD" w:rsidRPr="00E01BFD" w:rsidRDefault="00E01BFD" w:rsidP="00E01BFD">
            <w:pPr>
              <w:pStyle w:val="af9"/>
              <w:adjustRightInd w:val="0"/>
              <w:snapToGrid w:val="0"/>
              <w:spacing w:line="276" w:lineRule="auto"/>
              <w:rPr>
                <w:rFonts w:cs="Arial"/>
                <w:sz w:val="18"/>
                <w:szCs w:val="18"/>
              </w:rPr>
            </w:pPr>
            <w:r w:rsidRPr="00E01BFD">
              <w:rPr>
                <w:rFonts w:cs="Arial"/>
                <w:sz w:val="18"/>
                <w:szCs w:val="18"/>
              </w:rPr>
              <w:t xml:space="preserve">Di Vaio, A., Palladino, R., Hassan, R., &amp; Escobar, O. (2020). Artificial intelligence and business models in the sustainable development goals perspective: A systematic literature review. </w:t>
            </w:r>
            <w:r w:rsidRPr="00E01BFD">
              <w:rPr>
                <w:rFonts w:cs="Arial"/>
                <w:i/>
                <w:iCs/>
                <w:sz w:val="18"/>
                <w:szCs w:val="18"/>
              </w:rPr>
              <w:t>Journal of Business Research</w:t>
            </w:r>
            <w:r w:rsidRPr="00E01BFD">
              <w:rPr>
                <w:rFonts w:cs="Arial"/>
                <w:sz w:val="18"/>
                <w:szCs w:val="18"/>
              </w:rPr>
              <w:t xml:space="preserve">, </w:t>
            </w:r>
            <w:r w:rsidRPr="00E01BFD">
              <w:rPr>
                <w:rFonts w:cs="Arial"/>
                <w:i/>
                <w:iCs/>
                <w:sz w:val="18"/>
                <w:szCs w:val="18"/>
              </w:rPr>
              <w:t>121</w:t>
            </w:r>
            <w:r w:rsidRPr="00E01BFD">
              <w:rPr>
                <w:rFonts w:cs="Arial"/>
                <w:sz w:val="18"/>
                <w:szCs w:val="18"/>
              </w:rPr>
              <w:t>, 283–314. AI. https://doi.org/10.1016/j.jbusres.2020.08.019</w:t>
            </w:r>
          </w:p>
          <w:p w14:paraId="2CBB6E71" w14:textId="77777777" w:rsidR="00E01BFD" w:rsidRPr="00E01BFD" w:rsidRDefault="00E01BFD" w:rsidP="00E01BFD">
            <w:pPr>
              <w:pStyle w:val="af9"/>
              <w:adjustRightInd w:val="0"/>
              <w:snapToGrid w:val="0"/>
              <w:spacing w:line="276" w:lineRule="auto"/>
              <w:rPr>
                <w:rFonts w:cs="Arial"/>
                <w:sz w:val="18"/>
                <w:szCs w:val="18"/>
              </w:rPr>
            </w:pPr>
            <w:r w:rsidRPr="00E01BFD">
              <w:rPr>
                <w:rFonts w:cs="Arial"/>
                <w:sz w:val="18"/>
                <w:szCs w:val="18"/>
              </w:rPr>
              <w:t xml:space="preserve">Ediriweera, A., &amp; Wiewiora, A. (2021). Barriers and enablers of technology adoption in the mining industry. </w:t>
            </w:r>
            <w:r w:rsidRPr="00E01BFD">
              <w:rPr>
                <w:rFonts w:cs="Arial"/>
                <w:i/>
                <w:iCs/>
                <w:sz w:val="18"/>
                <w:szCs w:val="18"/>
              </w:rPr>
              <w:t>Resources Policy</w:t>
            </w:r>
            <w:r w:rsidRPr="00E01BFD">
              <w:rPr>
                <w:rFonts w:cs="Arial"/>
                <w:sz w:val="18"/>
                <w:szCs w:val="18"/>
              </w:rPr>
              <w:t xml:space="preserve">, </w:t>
            </w:r>
            <w:r w:rsidRPr="00E01BFD">
              <w:rPr>
                <w:rFonts w:cs="Arial"/>
                <w:i/>
                <w:iCs/>
                <w:sz w:val="18"/>
                <w:szCs w:val="18"/>
              </w:rPr>
              <w:t>73</w:t>
            </w:r>
            <w:r w:rsidRPr="00E01BFD">
              <w:rPr>
                <w:rFonts w:cs="Arial"/>
                <w:sz w:val="18"/>
                <w:szCs w:val="18"/>
              </w:rPr>
              <w:t>, 102188. https://doi.org/10.1016/j.resourpol.2021.102188</w:t>
            </w:r>
          </w:p>
          <w:p w14:paraId="2D88BA78" w14:textId="77777777" w:rsidR="00E01BFD" w:rsidRPr="00E01BFD" w:rsidRDefault="00E01BFD" w:rsidP="00E01BFD">
            <w:pPr>
              <w:pStyle w:val="af9"/>
              <w:adjustRightInd w:val="0"/>
              <w:snapToGrid w:val="0"/>
              <w:spacing w:line="276" w:lineRule="auto"/>
              <w:rPr>
                <w:rFonts w:cs="Arial"/>
                <w:sz w:val="18"/>
                <w:szCs w:val="18"/>
              </w:rPr>
            </w:pPr>
            <w:r w:rsidRPr="00E01BFD">
              <w:rPr>
                <w:rFonts w:cs="Arial"/>
                <w:sz w:val="18"/>
                <w:szCs w:val="18"/>
              </w:rPr>
              <w:t xml:space="preserve">Fatorachian, H., &amp; Kazemi, H. (2018). A critical investigation of Industry 4.0 in manufacturing: Theoretical operationalisation framework. </w:t>
            </w:r>
            <w:r w:rsidRPr="00E01BFD">
              <w:rPr>
                <w:rFonts w:cs="Arial"/>
                <w:i/>
                <w:iCs/>
                <w:sz w:val="18"/>
                <w:szCs w:val="18"/>
              </w:rPr>
              <w:t>Production Planning &amp; Control</w:t>
            </w:r>
            <w:r w:rsidRPr="00E01BFD">
              <w:rPr>
                <w:rFonts w:cs="Arial"/>
                <w:sz w:val="18"/>
                <w:szCs w:val="18"/>
              </w:rPr>
              <w:t xml:space="preserve">, </w:t>
            </w:r>
            <w:r w:rsidRPr="00E01BFD">
              <w:rPr>
                <w:rFonts w:cs="Arial"/>
                <w:i/>
                <w:iCs/>
                <w:sz w:val="18"/>
                <w:szCs w:val="18"/>
              </w:rPr>
              <w:t>29</w:t>
            </w:r>
            <w:r w:rsidRPr="00E01BFD">
              <w:rPr>
                <w:rFonts w:cs="Arial"/>
                <w:sz w:val="18"/>
                <w:szCs w:val="18"/>
              </w:rPr>
              <w:t>(8), 633–644. DT. https://doi.org/10.1080/09537287.2018.1424960</w:t>
            </w:r>
          </w:p>
          <w:p w14:paraId="71666A21" w14:textId="77777777" w:rsidR="00E01BFD" w:rsidRPr="00E01BFD" w:rsidRDefault="00E01BFD" w:rsidP="00E01BFD">
            <w:pPr>
              <w:pStyle w:val="af9"/>
              <w:adjustRightInd w:val="0"/>
              <w:snapToGrid w:val="0"/>
              <w:spacing w:line="276" w:lineRule="auto"/>
              <w:rPr>
                <w:rFonts w:cs="Arial"/>
                <w:sz w:val="18"/>
                <w:szCs w:val="18"/>
              </w:rPr>
            </w:pPr>
            <w:r w:rsidRPr="00E01BFD">
              <w:rPr>
                <w:rFonts w:cs="Arial"/>
                <w:sz w:val="18"/>
                <w:szCs w:val="18"/>
              </w:rPr>
              <w:t xml:space="preserve">Favoretto, C., Mendes, G. H. S., Oliveira, M. G., Cauchick-Miguel, P. A., &amp; Coreynen, W. (2022). From servitization to digital servitization: How digitalization transforms companies’ transition towards services. </w:t>
            </w:r>
            <w:r w:rsidRPr="00E01BFD">
              <w:rPr>
                <w:rFonts w:cs="Arial"/>
                <w:i/>
                <w:iCs/>
                <w:sz w:val="18"/>
                <w:szCs w:val="18"/>
              </w:rPr>
              <w:t>Industrial Marketing Management</w:t>
            </w:r>
            <w:r w:rsidRPr="00E01BFD">
              <w:rPr>
                <w:rFonts w:cs="Arial"/>
                <w:sz w:val="18"/>
                <w:szCs w:val="18"/>
              </w:rPr>
              <w:t xml:space="preserve">, </w:t>
            </w:r>
            <w:r w:rsidRPr="00E01BFD">
              <w:rPr>
                <w:rFonts w:cs="Arial"/>
                <w:i/>
                <w:iCs/>
                <w:sz w:val="18"/>
                <w:szCs w:val="18"/>
              </w:rPr>
              <w:t>102</w:t>
            </w:r>
            <w:r w:rsidRPr="00E01BFD">
              <w:rPr>
                <w:rFonts w:cs="Arial"/>
                <w:sz w:val="18"/>
                <w:szCs w:val="18"/>
              </w:rPr>
              <w:t>, 104–121. DT. https://doi.org/10.1016/j.indmarman.2022.01.003</w:t>
            </w:r>
          </w:p>
          <w:p w14:paraId="01025A58" w14:textId="77777777" w:rsidR="00E01BFD" w:rsidRPr="00E01BFD" w:rsidRDefault="00E01BFD" w:rsidP="00E01BFD">
            <w:pPr>
              <w:pStyle w:val="af9"/>
              <w:adjustRightInd w:val="0"/>
              <w:snapToGrid w:val="0"/>
              <w:spacing w:line="276" w:lineRule="auto"/>
              <w:rPr>
                <w:rFonts w:cs="Arial"/>
                <w:sz w:val="18"/>
                <w:szCs w:val="18"/>
              </w:rPr>
            </w:pPr>
            <w:r w:rsidRPr="00E01BFD">
              <w:rPr>
                <w:rFonts w:cs="Arial"/>
                <w:sz w:val="18"/>
                <w:szCs w:val="18"/>
              </w:rPr>
              <w:t xml:space="preserve">Fernández-Rovira, C., Álvarez Valdés, J., Molleví, G., &amp; Nicolas-Sans, R. (2021). The digital transformation of business. Towards the datafication of the relationship with customers. </w:t>
            </w:r>
            <w:r w:rsidRPr="00E01BFD">
              <w:rPr>
                <w:rFonts w:cs="Arial"/>
                <w:i/>
                <w:iCs/>
                <w:sz w:val="18"/>
                <w:szCs w:val="18"/>
              </w:rPr>
              <w:t>Technological Forecasting and Social Change</w:t>
            </w:r>
            <w:r w:rsidRPr="00E01BFD">
              <w:rPr>
                <w:rFonts w:cs="Arial"/>
                <w:sz w:val="18"/>
                <w:szCs w:val="18"/>
              </w:rPr>
              <w:t xml:space="preserve">, </w:t>
            </w:r>
            <w:r w:rsidRPr="00E01BFD">
              <w:rPr>
                <w:rFonts w:cs="Arial"/>
                <w:i/>
                <w:iCs/>
                <w:sz w:val="18"/>
                <w:szCs w:val="18"/>
              </w:rPr>
              <w:t>162</w:t>
            </w:r>
            <w:r w:rsidRPr="00E01BFD">
              <w:rPr>
                <w:rFonts w:cs="Arial"/>
                <w:sz w:val="18"/>
                <w:szCs w:val="18"/>
              </w:rPr>
              <w:t>, 120339. Digital Transformation. https://doi.org/10.1016/j.techfore.2020.120339</w:t>
            </w:r>
          </w:p>
          <w:p w14:paraId="52509A3D" w14:textId="77777777" w:rsidR="00E01BFD" w:rsidRPr="00E01BFD" w:rsidRDefault="00E01BFD" w:rsidP="00E01BFD">
            <w:pPr>
              <w:pStyle w:val="af9"/>
              <w:adjustRightInd w:val="0"/>
              <w:snapToGrid w:val="0"/>
              <w:spacing w:line="276" w:lineRule="auto"/>
              <w:rPr>
                <w:rFonts w:cs="Arial"/>
                <w:sz w:val="18"/>
                <w:szCs w:val="18"/>
              </w:rPr>
            </w:pPr>
            <w:r w:rsidRPr="00E01BFD">
              <w:rPr>
                <w:rFonts w:cs="Arial"/>
                <w:sz w:val="18"/>
                <w:szCs w:val="18"/>
              </w:rPr>
              <w:t xml:space="preserve">Fosso Wamba, S. (2022). Impact of artificial intelligence assimilation on firm performance: The mediating effects of organizational agility and customer agility. </w:t>
            </w:r>
            <w:r w:rsidRPr="00E01BFD">
              <w:rPr>
                <w:rFonts w:cs="Arial"/>
                <w:i/>
                <w:iCs/>
                <w:sz w:val="18"/>
                <w:szCs w:val="18"/>
              </w:rPr>
              <w:t>International Journal of Information Management</w:t>
            </w:r>
            <w:r w:rsidRPr="00E01BFD">
              <w:rPr>
                <w:rFonts w:cs="Arial"/>
                <w:sz w:val="18"/>
                <w:szCs w:val="18"/>
              </w:rPr>
              <w:t xml:space="preserve">, </w:t>
            </w:r>
            <w:r w:rsidRPr="00E01BFD">
              <w:rPr>
                <w:rFonts w:cs="Arial"/>
                <w:i/>
                <w:iCs/>
                <w:sz w:val="18"/>
                <w:szCs w:val="18"/>
              </w:rPr>
              <w:t>67</w:t>
            </w:r>
            <w:r w:rsidRPr="00E01BFD">
              <w:rPr>
                <w:rFonts w:cs="Arial"/>
                <w:sz w:val="18"/>
                <w:szCs w:val="18"/>
              </w:rPr>
              <w:t>, 102544. AI. https://doi.org/10.1016/j.ijinfomgt.2022.102544</w:t>
            </w:r>
          </w:p>
          <w:p w14:paraId="7939FFCF" w14:textId="77777777" w:rsidR="00E01BFD" w:rsidRPr="00E01BFD" w:rsidRDefault="00E01BFD" w:rsidP="00E01BFD">
            <w:pPr>
              <w:pStyle w:val="af9"/>
              <w:adjustRightInd w:val="0"/>
              <w:snapToGrid w:val="0"/>
              <w:spacing w:line="276" w:lineRule="auto"/>
              <w:rPr>
                <w:rFonts w:cs="Arial"/>
                <w:sz w:val="18"/>
                <w:szCs w:val="18"/>
              </w:rPr>
            </w:pPr>
            <w:r w:rsidRPr="00E01BFD">
              <w:rPr>
                <w:rFonts w:cs="Arial"/>
                <w:sz w:val="18"/>
                <w:szCs w:val="18"/>
              </w:rPr>
              <w:lastRenderedPageBreak/>
              <w:t xml:space="preserve">Frankiewicz, B., &amp; Chamorro-Premuzic, T. (2020). Digital Transformation Is About Talent, Not Technology. </w:t>
            </w:r>
            <w:r w:rsidRPr="00E01BFD">
              <w:rPr>
                <w:rFonts w:cs="Arial"/>
                <w:i/>
                <w:iCs/>
                <w:sz w:val="18"/>
                <w:szCs w:val="18"/>
              </w:rPr>
              <w:t>Harvard Business Review</w:t>
            </w:r>
            <w:r w:rsidRPr="00E01BFD">
              <w:rPr>
                <w:rFonts w:cs="Arial"/>
                <w:sz w:val="18"/>
                <w:szCs w:val="18"/>
              </w:rPr>
              <w:t xml:space="preserve">, </w:t>
            </w:r>
            <w:r w:rsidRPr="00E01BFD">
              <w:rPr>
                <w:rFonts w:cs="Arial"/>
                <w:i/>
                <w:iCs/>
                <w:sz w:val="18"/>
                <w:szCs w:val="18"/>
              </w:rPr>
              <w:t>6</w:t>
            </w:r>
            <w:r w:rsidRPr="00E01BFD">
              <w:rPr>
                <w:rFonts w:cs="Arial"/>
                <w:sz w:val="18"/>
                <w:szCs w:val="18"/>
              </w:rPr>
              <w:t>(3), 1–6.</w:t>
            </w:r>
          </w:p>
          <w:p w14:paraId="411791D9" w14:textId="77777777" w:rsidR="00E01BFD" w:rsidRPr="00E01BFD" w:rsidRDefault="00E01BFD" w:rsidP="00E01BFD">
            <w:pPr>
              <w:pStyle w:val="af9"/>
              <w:adjustRightInd w:val="0"/>
              <w:snapToGrid w:val="0"/>
              <w:spacing w:line="276" w:lineRule="auto"/>
              <w:rPr>
                <w:rFonts w:cs="Arial"/>
                <w:sz w:val="18"/>
                <w:szCs w:val="18"/>
              </w:rPr>
            </w:pPr>
            <w:r w:rsidRPr="00E01BFD">
              <w:rPr>
                <w:rFonts w:cs="Arial"/>
                <w:sz w:val="18"/>
                <w:szCs w:val="18"/>
              </w:rPr>
              <w:t xml:space="preserve">Gong, C., &amp; Ribiere, V. (2021). Developing a unified definition of digital transformation. </w:t>
            </w:r>
            <w:r w:rsidRPr="00E01BFD">
              <w:rPr>
                <w:rFonts w:cs="Arial"/>
                <w:i/>
                <w:iCs/>
                <w:sz w:val="18"/>
                <w:szCs w:val="18"/>
              </w:rPr>
              <w:t>Technovation</w:t>
            </w:r>
            <w:r w:rsidRPr="00E01BFD">
              <w:rPr>
                <w:rFonts w:cs="Arial"/>
                <w:sz w:val="18"/>
                <w:szCs w:val="18"/>
              </w:rPr>
              <w:t xml:space="preserve">, </w:t>
            </w:r>
            <w:r w:rsidRPr="00E01BFD">
              <w:rPr>
                <w:rFonts w:cs="Arial"/>
                <w:i/>
                <w:iCs/>
                <w:sz w:val="18"/>
                <w:szCs w:val="18"/>
              </w:rPr>
              <w:t>102</w:t>
            </w:r>
            <w:r w:rsidRPr="00E01BFD">
              <w:rPr>
                <w:rFonts w:cs="Arial"/>
                <w:sz w:val="18"/>
                <w:szCs w:val="18"/>
              </w:rPr>
              <w:t>, 102217. DT. https://doi.org/10.1016/j.technovation.2020.102217</w:t>
            </w:r>
          </w:p>
          <w:p w14:paraId="4043102B" w14:textId="77777777" w:rsidR="00E01BFD" w:rsidRPr="00E01BFD" w:rsidRDefault="00E01BFD" w:rsidP="00E01BFD">
            <w:pPr>
              <w:pStyle w:val="af9"/>
              <w:adjustRightInd w:val="0"/>
              <w:snapToGrid w:val="0"/>
              <w:spacing w:line="276" w:lineRule="auto"/>
              <w:rPr>
                <w:rFonts w:cs="Arial"/>
                <w:sz w:val="18"/>
                <w:szCs w:val="18"/>
              </w:rPr>
            </w:pPr>
            <w:r w:rsidRPr="00E01BFD">
              <w:rPr>
                <w:rFonts w:cs="Arial"/>
                <w:sz w:val="18"/>
                <w:szCs w:val="18"/>
              </w:rPr>
              <w:t xml:space="preserve">Gruenhagen, J. H., Cox, S., &amp; Parker, R. (2022). An actor-oriented perspective on innovation systems: Functional analysis of drivers and barriers to innovation and technology adoption in the mining sector. </w:t>
            </w:r>
            <w:r w:rsidRPr="00E01BFD">
              <w:rPr>
                <w:rFonts w:cs="Arial"/>
                <w:i/>
                <w:iCs/>
                <w:sz w:val="18"/>
                <w:szCs w:val="18"/>
              </w:rPr>
              <w:t>Technology in Society</w:t>
            </w:r>
            <w:r w:rsidRPr="00E01BFD">
              <w:rPr>
                <w:rFonts w:cs="Arial"/>
                <w:sz w:val="18"/>
                <w:szCs w:val="18"/>
              </w:rPr>
              <w:t xml:space="preserve">, </w:t>
            </w:r>
            <w:r w:rsidRPr="00E01BFD">
              <w:rPr>
                <w:rFonts w:cs="Arial"/>
                <w:i/>
                <w:iCs/>
                <w:sz w:val="18"/>
                <w:szCs w:val="18"/>
              </w:rPr>
              <w:t>68</w:t>
            </w:r>
            <w:r w:rsidRPr="00E01BFD">
              <w:rPr>
                <w:rFonts w:cs="Arial"/>
                <w:sz w:val="18"/>
                <w:szCs w:val="18"/>
              </w:rPr>
              <w:t>, 101920. https://doi.org/10.1016/j.techsoc.2022.101920</w:t>
            </w:r>
          </w:p>
          <w:p w14:paraId="67D00F65" w14:textId="77777777" w:rsidR="00E01BFD" w:rsidRPr="00E01BFD" w:rsidRDefault="00E01BFD" w:rsidP="00E01BFD">
            <w:pPr>
              <w:pStyle w:val="af9"/>
              <w:adjustRightInd w:val="0"/>
              <w:snapToGrid w:val="0"/>
              <w:spacing w:line="276" w:lineRule="auto"/>
              <w:rPr>
                <w:rFonts w:cs="Arial"/>
                <w:sz w:val="18"/>
                <w:szCs w:val="18"/>
              </w:rPr>
            </w:pPr>
            <w:r w:rsidRPr="00E01BFD">
              <w:rPr>
                <w:rFonts w:cs="Arial"/>
                <w:sz w:val="18"/>
                <w:szCs w:val="18"/>
              </w:rPr>
              <w:t xml:space="preserve">Hanelt, A., Bohnsack, R., Marz, D., &amp; Antunes Marante, C. (2021). A Systematic Review of the Literature on Digital Transformation: Insights and Implications for Strategy and Organizational Change. </w:t>
            </w:r>
            <w:r w:rsidRPr="00E01BFD">
              <w:rPr>
                <w:rFonts w:cs="Arial"/>
                <w:i/>
                <w:iCs/>
                <w:sz w:val="18"/>
                <w:szCs w:val="18"/>
              </w:rPr>
              <w:t>Journal of Management Studies</w:t>
            </w:r>
            <w:r w:rsidRPr="00E01BFD">
              <w:rPr>
                <w:rFonts w:cs="Arial"/>
                <w:sz w:val="18"/>
                <w:szCs w:val="18"/>
              </w:rPr>
              <w:t xml:space="preserve">, </w:t>
            </w:r>
            <w:r w:rsidRPr="00E01BFD">
              <w:rPr>
                <w:rFonts w:cs="Arial"/>
                <w:i/>
                <w:iCs/>
                <w:sz w:val="18"/>
                <w:szCs w:val="18"/>
              </w:rPr>
              <w:t>58</w:t>
            </w:r>
            <w:r w:rsidRPr="00E01BFD">
              <w:rPr>
                <w:rFonts w:cs="Arial"/>
                <w:sz w:val="18"/>
                <w:szCs w:val="18"/>
              </w:rPr>
              <w:t>(5), 1159–1197. Digital Transformation. https://doi.org/10.1111/joms.12639</w:t>
            </w:r>
          </w:p>
          <w:p w14:paraId="33EB845D" w14:textId="77777777" w:rsidR="00E01BFD" w:rsidRPr="00E01BFD" w:rsidRDefault="00E01BFD" w:rsidP="00E01BFD">
            <w:pPr>
              <w:pStyle w:val="af9"/>
              <w:adjustRightInd w:val="0"/>
              <w:snapToGrid w:val="0"/>
              <w:spacing w:line="276" w:lineRule="auto"/>
              <w:rPr>
                <w:rFonts w:cs="Arial"/>
                <w:sz w:val="18"/>
                <w:szCs w:val="18"/>
              </w:rPr>
            </w:pPr>
            <w:r w:rsidRPr="00E01BFD">
              <w:rPr>
                <w:rFonts w:cs="Arial"/>
                <w:sz w:val="18"/>
                <w:szCs w:val="18"/>
              </w:rPr>
              <w:t xml:space="preserve">Hao, X., Wen, S., Li, K., Wu, J., Wu, H., &amp; Hao, Y. (2023). Environmental governance, executive incentive, and enterprise performance: Evidence from Chinese mineral enterprises. </w:t>
            </w:r>
            <w:r w:rsidRPr="00E01BFD">
              <w:rPr>
                <w:rFonts w:cs="Arial"/>
                <w:i/>
                <w:iCs/>
                <w:sz w:val="18"/>
                <w:szCs w:val="18"/>
              </w:rPr>
              <w:t>Resources Policy</w:t>
            </w:r>
            <w:r w:rsidRPr="00E01BFD">
              <w:rPr>
                <w:rFonts w:cs="Arial"/>
                <w:sz w:val="18"/>
                <w:szCs w:val="18"/>
              </w:rPr>
              <w:t xml:space="preserve">, </w:t>
            </w:r>
            <w:r w:rsidRPr="00E01BFD">
              <w:rPr>
                <w:rFonts w:cs="Arial"/>
                <w:i/>
                <w:iCs/>
                <w:sz w:val="18"/>
                <w:szCs w:val="18"/>
              </w:rPr>
              <w:t>85</w:t>
            </w:r>
            <w:r w:rsidRPr="00E01BFD">
              <w:rPr>
                <w:rFonts w:cs="Arial"/>
                <w:sz w:val="18"/>
                <w:szCs w:val="18"/>
              </w:rPr>
              <w:t>, 103858. https://doi.org/10.1016/j.resourpol.2023.103858</w:t>
            </w:r>
          </w:p>
          <w:p w14:paraId="6D41A220" w14:textId="77777777" w:rsidR="00E01BFD" w:rsidRPr="00E01BFD" w:rsidRDefault="00E01BFD" w:rsidP="00E01BFD">
            <w:pPr>
              <w:pStyle w:val="af9"/>
              <w:adjustRightInd w:val="0"/>
              <w:snapToGrid w:val="0"/>
              <w:spacing w:line="276" w:lineRule="auto"/>
              <w:rPr>
                <w:rFonts w:cs="Arial"/>
                <w:sz w:val="18"/>
                <w:szCs w:val="18"/>
              </w:rPr>
            </w:pPr>
            <w:r w:rsidRPr="00E01BFD">
              <w:rPr>
                <w:rFonts w:cs="Arial"/>
                <w:sz w:val="18"/>
                <w:szCs w:val="18"/>
              </w:rPr>
              <w:t xml:space="preserve">He, L., Yuan, D., Ren, L., Huang, M., Zhang, W., &amp; Tan, J. (2023). Evaluation Model Research of Coal Mine Intelligent Construction Based on FDEMATEL-ANP. </w:t>
            </w:r>
            <w:r w:rsidRPr="00E01BFD">
              <w:rPr>
                <w:rFonts w:cs="Arial"/>
                <w:i/>
                <w:iCs/>
                <w:sz w:val="18"/>
                <w:szCs w:val="18"/>
              </w:rPr>
              <w:t>Sustainability</w:t>
            </w:r>
            <w:r w:rsidRPr="00E01BFD">
              <w:rPr>
                <w:rFonts w:cs="Arial"/>
                <w:sz w:val="18"/>
                <w:szCs w:val="18"/>
              </w:rPr>
              <w:t xml:space="preserve">, </w:t>
            </w:r>
            <w:r w:rsidRPr="00E01BFD">
              <w:rPr>
                <w:rFonts w:cs="Arial"/>
                <w:i/>
                <w:iCs/>
                <w:sz w:val="18"/>
                <w:szCs w:val="18"/>
              </w:rPr>
              <w:t>15</w:t>
            </w:r>
            <w:r w:rsidRPr="00E01BFD">
              <w:rPr>
                <w:rFonts w:cs="Arial"/>
                <w:sz w:val="18"/>
                <w:szCs w:val="18"/>
              </w:rPr>
              <w:t>(3), 2238. https://doi.org/10.3390/su15032238</w:t>
            </w:r>
          </w:p>
          <w:p w14:paraId="09F58443" w14:textId="77777777" w:rsidR="00E01BFD" w:rsidRPr="00E01BFD" w:rsidRDefault="00E01BFD" w:rsidP="00E01BFD">
            <w:pPr>
              <w:pStyle w:val="af9"/>
              <w:adjustRightInd w:val="0"/>
              <w:snapToGrid w:val="0"/>
              <w:spacing w:line="276" w:lineRule="auto"/>
              <w:rPr>
                <w:rFonts w:cs="Arial"/>
                <w:sz w:val="18"/>
                <w:szCs w:val="18"/>
              </w:rPr>
            </w:pPr>
            <w:r w:rsidRPr="00E01BFD">
              <w:rPr>
                <w:rFonts w:cs="Arial"/>
                <w:sz w:val="18"/>
                <w:szCs w:val="18"/>
              </w:rPr>
              <w:t xml:space="preserve">Hermann, A., Gollhardt, T., Cordes, A.-K., Von Lojewski, L., Hartmann, M. P., &amp; Becker, J. (2023). Digital transformation in SMEs: A taxonomy of externally supported digital innovation projects. </w:t>
            </w:r>
            <w:r w:rsidRPr="00E01BFD">
              <w:rPr>
                <w:rFonts w:cs="Arial"/>
                <w:i/>
                <w:iCs/>
                <w:sz w:val="18"/>
                <w:szCs w:val="18"/>
              </w:rPr>
              <w:t>International Journal of Information Management</w:t>
            </w:r>
            <w:r w:rsidRPr="00E01BFD">
              <w:rPr>
                <w:rFonts w:cs="Arial"/>
                <w:sz w:val="18"/>
                <w:szCs w:val="18"/>
              </w:rPr>
              <w:t>, 102713. https://doi.org/10.1016/j.ijinfomgt.2023.102713</w:t>
            </w:r>
          </w:p>
          <w:p w14:paraId="2ADFC1B4" w14:textId="77777777" w:rsidR="00E01BFD" w:rsidRPr="00E01BFD" w:rsidRDefault="00E01BFD" w:rsidP="00E01BFD">
            <w:pPr>
              <w:pStyle w:val="af9"/>
              <w:adjustRightInd w:val="0"/>
              <w:snapToGrid w:val="0"/>
              <w:spacing w:line="276" w:lineRule="auto"/>
              <w:rPr>
                <w:rFonts w:cs="Arial"/>
                <w:sz w:val="18"/>
                <w:szCs w:val="18"/>
              </w:rPr>
            </w:pPr>
            <w:r w:rsidRPr="00E01BFD">
              <w:rPr>
                <w:rFonts w:cs="Arial"/>
                <w:sz w:val="18"/>
                <w:szCs w:val="18"/>
              </w:rPr>
              <w:t xml:space="preserve">Horváth, D., &amp; Szabó, R. Zs. (2019). Driving forces and barriers of Industry 4.0: Do multinational and small and medium-sized companies have equal opportunities? </w:t>
            </w:r>
            <w:r w:rsidRPr="00E01BFD">
              <w:rPr>
                <w:rFonts w:cs="Arial"/>
                <w:i/>
                <w:iCs/>
                <w:sz w:val="18"/>
                <w:szCs w:val="18"/>
              </w:rPr>
              <w:t>Technological Forecasting and Social Change</w:t>
            </w:r>
            <w:r w:rsidRPr="00E01BFD">
              <w:rPr>
                <w:rFonts w:cs="Arial"/>
                <w:sz w:val="18"/>
                <w:szCs w:val="18"/>
              </w:rPr>
              <w:t xml:space="preserve">, </w:t>
            </w:r>
            <w:r w:rsidRPr="00E01BFD">
              <w:rPr>
                <w:rFonts w:cs="Arial"/>
                <w:i/>
                <w:iCs/>
                <w:sz w:val="18"/>
                <w:szCs w:val="18"/>
              </w:rPr>
              <w:t>146</w:t>
            </w:r>
            <w:r w:rsidRPr="00E01BFD">
              <w:rPr>
                <w:rFonts w:cs="Arial"/>
                <w:sz w:val="18"/>
                <w:szCs w:val="18"/>
              </w:rPr>
              <w:t>, 119–132. https://doi.org/10.1016/j.techfore.2019.05.021</w:t>
            </w:r>
          </w:p>
          <w:p w14:paraId="6516D52E" w14:textId="77777777" w:rsidR="00E01BFD" w:rsidRPr="00E01BFD" w:rsidRDefault="00E01BFD" w:rsidP="00E01BFD">
            <w:pPr>
              <w:pStyle w:val="af9"/>
              <w:adjustRightInd w:val="0"/>
              <w:snapToGrid w:val="0"/>
              <w:spacing w:line="276" w:lineRule="auto"/>
              <w:rPr>
                <w:rFonts w:cs="Arial"/>
                <w:sz w:val="18"/>
                <w:szCs w:val="18"/>
              </w:rPr>
            </w:pPr>
            <w:r w:rsidRPr="00E01BFD">
              <w:rPr>
                <w:rFonts w:cs="Arial"/>
                <w:sz w:val="18"/>
                <w:szCs w:val="18"/>
              </w:rPr>
              <w:t xml:space="preserve">Jia, J., Xu, Y., &amp; Li, W. (2024). A study on the strategic momentum of SMEs’ digital transformation: Evidence from China. </w:t>
            </w:r>
            <w:r w:rsidRPr="00E01BFD">
              <w:rPr>
                <w:rFonts w:cs="Arial"/>
                <w:i/>
                <w:iCs/>
                <w:sz w:val="18"/>
                <w:szCs w:val="18"/>
              </w:rPr>
              <w:t>Technological Forecasting and Social Change</w:t>
            </w:r>
            <w:r w:rsidRPr="00E01BFD">
              <w:rPr>
                <w:rFonts w:cs="Arial"/>
                <w:sz w:val="18"/>
                <w:szCs w:val="18"/>
              </w:rPr>
              <w:t xml:space="preserve">, </w:t>
            </w:r>
            <w:r w:rsidRPr="00E01BFD">
              <w:rPr>
                <w:rFonts w:cs="Arial"/>
                <w:i/>
                <w:iCs/>
                <w:sz w:val="18"/>
                <w:szCs w:val="18"/>
              </w:rPr>
              <w:t>200</w:t>
            </w:r>
            <w:r w:rsidRPr="00E01BFD">
              <w:rPr>
                <w:rFonts w:cs="Arial"/>
                <w:sz w:val="18"/>
                <w:szCs w:val="18"/>
              </w:rPr>
              <w:t>, 123038. https://doi.org/10.1016/j.techfore.2023.123038</w:t>
            </w:r>
          </w:p>
          <w:p w14:paraId="37FD27CB" w14:textId="77777777" w:rsidR="00E01BFD" w:rsidRPr="00E01BFD" w:rsidRDefault="00E01BFD" w:rsidP="00E01BFD">
            <w:pPr>
              <w:pStyle w:val="af9"/>
              <w:adjustRightInd w:val="0"/>
              <w:snapToGrid w:val="0"/>
              <w:spacing w:line="276" w:lineRule="auto"/>
              <w:rPr>
                <w:rFonts w:cs="Arial"/>
                <w:sz w:val="18"/>
                <w:szCs w:val="18"/>
              </w:rPr>
            </w:pPr>
            <w:r w:rsidRPr="00E01BFD">
              <w:rPr>
                <w:rFonts w:cs="Arial"/>
                <w:sz w:val="18"/>
                <w:szCs w:val="18"/>
              </w:rPr>
              <w:t xml:space="preserve">Kagermann, H., Lukas, W.D., &amp; Wahlster, W. (2011). Industrie 4.0: Mit dem Internet der Dinge auf dem Weg zur 4. </w:t>
            </w:r>
            <w:r w:rsidRPr="00E01BFD">
              <w:rPr>
                <w:rFonts w:cs="Arial"/>
                <w:i/>
                <w:iCs/>
                <w:sz w:val="18"/>
                <w:szCs w:val="18"/>
              </w:rPr>
              <w:t>Industriellen Revolution. VDI Nachrichten,</w:t>
            </w:r>
            <w:r w:rsidRPr="00E01BFD">
              <w:rPr>
                <w:rFonts w:cs="Arial"/>
                <w:sz w:val="18"/>
                <w:szCs w:val="18"/>
              </w:rPr>
              <w:t xml:space="preserve"> </w:t>
            </w:r>
            <w:r w:rsidRPr="00E01BFD">
              <w:rPr>
                <w:rFonts w:cs="Arial"/>
                <w:i/>
                <w:iCs/>
                <w:sz w:val="18"/>
                <w:szCs w:val="18"/>
              </w:rPr>
              <w:t>13</w:t>
            </w:r>
            <w:r w:rsidRPr="00E01BFD">
              <w:rPr>
                <w:rFonts w:cs="Arial"/>
                <w:sz w:val="18"/>
                <w:szCs w:val="18"/>
              </w:rPr>
              <w:t>(1), 2–3.</w:t>
            </w:r>
          </w:p>
          <w:p w14:paraId="05EC67AC" w14:textId="77777777" w:rsidR="00E01BFD" w:rsidRPr="00E01BFD" w:rsidRDefault="00E01BFD" w:rsidP="00E01BFD">
            <w:pPr>
              <w:pStyle w:val="af9"/>
              <w:adjustRightInd w:val="0"/>
              <w:snapToGrid w:val="0"/>
              <w:spacing w:line="276" w:lineRule="auto"/>
              <w:rPr>
                <w:rFonts w:cs="Arial"/>
                <w:sz w:val="18"/>
                <w:szCs w:val="18"/>
              </w:rPr>
            </w:pPr>
            <w:r w:rsidRPr="00E01BFD">
              <w:rPr>
                <w:rFonts w:cs="Arial"/>
                <w:sz w:val="18"/>
                <w:szCs w:val="18"/>
              </w:rPr>
              <w:t xml:space="preserve">Koliousis, I., Al-Surmi, A., &amp; Bashiri, M. (2024). Artificial intelligence and policy making; can small municipalities enable digital transformation? </w:t>
            </w:r>
            <w:r w:rsidRPr="00E01BFD">
              <w:rPr>
                <w:rFonts w:cs="Arial"/>
                <w:i/>
                <w:iCs/>
                <w:sz w:val="18"/>
                <w:szCs w:val="18"/>
              </w:rPr>
              <w:t>International Journal of Production Economics</w:t>
            </w:r>
            <w:r w:rsidRPr="00E01BFD">
              <w:rPr>
                <w:rFonts w:cs="Arial"/>
                <w:sz w:val="18"/>
                <w:szCs w:val="18"/>
              </w:rPr>
              <w:t xml:space="preserve">, </w:t>
            </w:r>
            <w:r w:rsidRPr="00E01BFD">
              <w:rPr>
                <w:rFonts w:cs="Arial"/>
                <w:i/>
                <w:iCs/>
                <w:sz w:val="18"/>
                <w:szCs w:val="18"/>
              </w:rPr>
              <w:t>274</w:t>
            </w:r>
            <w:r w:rsidRPr="00E01BFD">
              <w:rPr>
                <w:rFonts w:cs="Arial"/>
                <w:sz w:val="18"/>
                <w:szCs w:val="18"/>
              </w:rPr>
              <w:t>, 109324. https://doi.org/10.1016/j.ijpe.2024.109324</w:t>
            </w:r>
          </w:p>
          <w:p w14:paraId="5951EB8D" w14:textId="77777777" w:rsidR="00E01BFD" w:rsidRPr="00E01BFD" w:rsidRDefault="00E01BFD" w:rsidP="00E01BFD">
            <w:pPr>
              <w:pStyle w:val="af9"/>
              <w:adjustRightInd w:val="0"/>
              <w:snapToGrid w:val="0"/>
              <w:spacing w:line="276" w:lineRule="auto"/>
              <w:rPr>
                <w:rFonts w:cs="Arial"/>
                <w:sz w:val="18"/>
                <w:szCs w:val="18"/>
              </w:rPr>
            </w:pPr>
            <w:r w:rsidRPr="00E01BFD">
              <w:rPr>
                <w:rFonts w:cs="Arial"/>
                <w:sz w:val="18"/>
                <w:szCs w:val="18"/>
              </w:rPr>
              <w:t xml:space="preserve">Kraus, S., Durst, S., Ferreira, J. J., Veiga, P., Kailer, N., &amp; Weinmann, A. (2022). Digital transformation in business and management research: An overview of the current status quo. </w:t>
            </w:r>
            <w:r w:rsidRPr="00E01BFD">
              <w:rPr>
                <w:rFonts w:cs="Arial"/>
                <w:i/>
                <w:iCs/>
                <w:sz w:val="18"/>
                <w:szCs w:val="18"/>
              </w:rPr>
              <w:t>International Journal of Information Management</w:t>
            </w:r>
            <w:r w:rsidRPr="00E01BFD">
              <w:rPr>
                <w:rFonts w:cs="Arial"/>
                <w:sz w:val="18"/>
                <w:szCs w:val="18"/>
              </w:rPr>
              <w:t xml:space="preserve">, </w:t>
            </w:r>
            <w:r w:rsidRPr="00E01BFD">
              <w:rPr>
                <w:rFonts w:cs="Arial"/>
                <w:i/>
                <w:iCs/>
                <w:sz w:val="18"/>
                <w:szCs w:val="18"/>
              </w:rPr>
              <w:t>63</w:t>
            </w:r>
            <w:r w:rsidRPr="00E01BFD">
              <w:rPr>
                <w:rFonts w:cs="Arial"/>
                <w:sz w:val="18"/>
                <w:szCs w:val="18"/>
              </w:rPr>
              <w:t>, 102466. https://doi.org/10.1016/j.ijinfomgt.2021.102466</w:t>
            </w:r>
          </w:p>
          <w:p w14:paraId="36C677A9" w14:textId="77777777" w:rsidR="00E01BFD" w:rsidRPr="00E01BFD" w:rsidRDefault="00E01BFD" w:rsidP="00E01BFD">
            <w:pPr>
              <w:pStyle w:val="af9"/>
              <w:adjustRightInd w:val="0"/>
              <w:snapToGrid w:val="0"/>
              <w:spacing w:line="276" w:lineRule="auto"/>
              <w:rPr>
                <w:rFonts w:cs="Arial"/>
                <w:sz w:val="18"/>
                <w:szCs w:val="18"/>
              </w:rPr>
            </w:pPr>
            <w:r w:rsidRPr="00E01BFD">
              <w:rPr>
                <w:rFonts w:cs="Arial"/>
                <w:sz w:val="18"/>
                <w:szCs w:val="18"/>
              </w:rPr>
              <w:t xml:space="preserve">Lazarenko, Y., Garafonova, O., Marhasova, V., &amp; Tkalenko, N. (2021). Digital Transformation in the Mining Sector: Exploring Global Technology Trends and Managerial Issues. </w:t>
            </w:r>
            <w:r w:rsidRPr="00E01BFD">
              <w:rPr>
                <w:rFonts w:cs="Arial"/>
                <w:i/>
                <w:iCs/>
                <w:sz w:val="18"/>
                <w:szCs w:val="18"/>
              </w:rPr>
              <w:t>E3S Web of Conferences</w:t>
            </w:r>
            <w:r w:rsidRPr="00E01BFD">
              <w:rPr>
                <w:rFonts w:cs="Arial"/>
                <w:sz w:val="18"/>
                <w:szCs w:val="18"/>
              </w:rPr>
              <w:t xml:space="preserve">, </w:t>
            </w:r>
            <w:r w:rsidRPr="00E01BFD">
              <w:rPr>
                <w:rFonts w:cs="Arial"/>
                <w:i/>
                <w:iCs/>
                <w:sz w:val="18"/>
                <w:szCs w:val="18"/>
              </w:rPr>
              <w:t>315</w:t>
            </w:r>
            <w:r w:rsidRPr="00E01BFD">
              <w:rPr>
                <w:rFonts w:cs="Arial"/>
                <w:sz w:val="18"/>
                <w:szCs w:val="18"/>
              </w:rPr>
              <w:t>, 04006. https://doi.org/10.1051/e3sconf/202131504006</w:t>
            </w:r>
          </w:p>
          <w:p w14:paraId="76E95666" w14:textId="77777777" w:rsidR="00E01BFD" w:rsidRPr="00E01BFD" w:rsidRDefault="00E01BFD" w:rsidP="00E01BFD">
            <w:pPr>
              <w:pStyle w:val="af9"/>
              <w:adjustRightInd w:val="0"/>
              <w:snapToGrid w:val="0"/>
              <w:spacing w:line="276" w:lineRule="auto"/>
              <w:rPr>
                <w:rFonts w:cs="Arial"/>
                <w:sz w:val="18"/>
                <w:szCs w:val="18"/>
              </w:rPr>
            </w:pPr>
            <w:r w:rsidRPr="00E01BFD">
              <w:rPr>
                <w:rFonts w:cs="Arial"/>
                <w:sz w:val="18"/>
                <w:szCs w:val="18"/>
              </w:rPr>
              <w:t xml:space="preserve">Lee, C.-H., Liu, C.-L., Trappey, A. J. C., Mo, J. P. T., &amp; Desouza, K. C. (2021). Understanding digital transformation in advanced manufacturing and engineering: A bibliometric analysis, topic modeling and research trend discovery. </w:t>
            </w:r>
            <w:r w:rsidRPr="00E01BFD">
              <w:rPr>
                <w:rFonts w:cs="Arial"/>
                <w:i/>
                <w:iCs/>
                <w:sz w:val="18"/>
                <w:szCs w:val="18"/>
              </w:rPr>
              <w:t>Advanced Engineering Informatics</w:t>
            </w:r>
            <w:r w:rsidRPr="00E01BFD">
              <w:rPr>
                <w:rFonts w:cs="Arial"/>
                <w:sz w:val="18"/>
                <w:szCs w:val="18"/>
              </w:rPr>
              <w:t xml:space="preserve">, </w:t>
            </w:r>
            <w:r w:rsidRPr="00E01BFD">
              <w:rPr>
                <w:rFonts w:cs="Arial"/>
                <w:i/>
                <w:iCs/>
                <w:sz w:val="18"/>
                <w:szCs w:val="18"/>
              </w:rPr>
              <w:t>50</w:t>
            </w:r>
            <w:r w:rsidRPr="00E01BFD">
              <w:rPr>
                <w:rFonts w:cs="Arial"/>
                <w:sz w:val="18"/>
                <w:szCs w:val="18"/>
              </w:rPr>
              <w:t>, 101428. Digital Transformation. https://doi.org/10.1016/j.aei.2021.101428</w:t>
            </w:r>
          </w:p>
          <w:p w14:paraId="70A4763F" w14:textId="77777777" w:rsidR="00E01BFD" w:rsidRPr="00E01BFD" w:rsidRDefault="00E01BFD" w:rsidP="00E01BFD">
            <w:pPr>
              <w:pStyle w:val="af9"/>
              <w:adjustRightInd w:val="0"/>
              <w:snapToGrid w:val="0"/>
              <w:spacing w:line="276" w:lineRule="auto"/>
              <w:rPr>
                <w:rFonts w:cs="Arial"/>
                <w:sz w:val="18"/>
                <w:szCs w:val="18"/>
              </w:rPr>
            </w:pPr>
            <w:r w:rsidRPr="00E01BFD">
              <w:rPr>
                <w:rFonts w:cs="Arial"/>
                <w:sz w:val="18"/>
                <w:szCs w:val="18"/>
              </w:rPr>
              <w:t xml:space="preserve">Li, F. (2020). The digital transformation of business models in the creative industries: A holistic framework and emerging trends. </w:t>
            </w:r>
            <w:r w:rsidRPr="00E01BFD">
              <w:rPr>
                <w:rFonts w:cs="Arial"/>
                <w:i/>
                <w:iCs/>
                <w:sz w:val="18"/>
                <w:szCs w:val="18"/>
              </w:rPr>
              <w:t>Technovation</w:t>
            </w:r>
            <w:r w:rsidRPr="00E01BFD">
              <w:rPr>
                <w:rFonts w:cs="Arial"/>
                <w:sz w:val="18"/>
                <w:szCs w:val="18"/>
              </w:rPr>
              <w:t xml:space="preserve">, </w:t>
            </w:r>
            <w:r w:rsidRPr="00E01BFD">
              <w:rPr>
                <w:rFonts w:cs="Arial"/>
                <w:i/>
                <w:iCs/>
                <w:sz w:val="18"/>
                <w:szCs w:val="18"/>
              </w:rPr>
              <w:t>92–93</w:t>
            </w:r>
            <w:r w:rsidRPr="00E01BFD">
              <w:rPr>
                <w:rFonts w:cs="Arial"/>
                <w:sz w:val="18"/>
                <w:szCs w:val="18"/>
              </w:rPr>
              <w:t>, 102012. https://doi.org/10.1016/j.technovation.2017.12.004</w:t>
            </w:r>
          </w:p>
          <w:p w14:paraId="70593E01" w14:textId="77777777" w:rsidR="00E01BFD" w:rsidRPr="00E01BFD" w:rsidRDefault="00E01BFD" w:rsidP="00E01BFD">
            <w:pPr>
              <w:pStyle w:val="af9"/>
              <w:adjustRightInd w:val="0"/>
              <w:snapToGrid w:val="0"/>
              <w:spacing w:line="276" w:lineRule="auto"/>
              <w:rPr>
                <w:rFonts w:cs="Arial"/>
                <w:sz w:val="18"/>
                <w:szCs w:val="18"/>
              </w:rPr>
            </w:pPr>
            <w:r w:rsidRPr="00E01BFD">
              <w:rPr>
                <w:rFonts w:cs="Arial"/>
                <w:sz w:val="18"/>
                <w:szCs w:val="18"/>
              </w:rPr>
              <w:t xml:space="preserve">Li, L., Lin, J., Ouyang, Y., &amp; Luo, X. (Robert). (2022). Evaluating the impact of big data analytics usage on the decision-making quality of organizations. </w:t>
            </w:r>
            <w:r w:rsidRPr="00E01BFD">
              <w:rPr>
                <w:rFonts w:cs="Arial"/>
                <w:i/>
                <w:iCs/>
                <w:sz w:val="18"/>
                <w:szCs w:val="18"/>
              </w:rPr>
              <w:t>Technological Forecasting and Social Change</w:t>
            </w:r>
            <w:r w:rsidRPr="00E01BFD">
              <w:rPr>
                <w:rFonts w:cs="Arial"/>
                <w:sz w:val="18"/>
                <w:szCs w:val="18"/>
              </w:rPr>
              <w:t xml:space="preserve">, </w:t>
            </w:r>
            <w:r w:rsidRPr="00E01BFD">
              <w:rPr>
                <w:rFonts w:cs="Arial"/>
                <w:i/>
                <w:iCs/>
                <w:sz w:val="18"/>
                <w:szCs w:val="18"/>
              </w:rPr>
              <w:t>175</w:t>
            </w:r>
            <w:r w:rsidRPr="00E01BFD">
              <w:rPr>
                <w:rFonts w:cs="Arial"/>
                <w:sz w:val="18"/>
                <w:szCs w:val="18"/>
              </w:rPr>
              <w:t>, 121355. Perfromance. https://doi.org/10.1016/j.techfore.2021.121355</w:t>
            </w:r>
          </w:p>
          <w:p w14:paraId="2AAC9497" w14:textId="77777777" w:rsidR="00E01BFD" w:rsidRPr="00E01BFD" w:rsidRDefault="00E01BFD" w:rsidP="00E01BFD">
            <w:pPr>
              <w:pStyle w:val="af9"/>
              <w:adjustRightInd w:val="0"/>
              <w:snapToGrid w:val="0"/>
              <w:spacing w:line="276" w:lineRule="auto"/>
              <w:rPr>
                <w:rFonts w:cs="Arial"/>
                <w:sz w:val="18"/>
                <w:szCs w:val="18"/>
              </w:rPr>
            </w:pPr>
            <w:r w:rsidRPr="00E01BFD">
              <w:rPr>
                <w:rFonts w:cs="Arial"/>
                <w:sz w:val="18"/>
                <w:szCs w:val="18"/>
              </w:rPr>
              <w:t xml:space="preserve">Li, Y., Liu, H., Kim, Y., &amp; Lee, H. Y. (2024). Focus on the impact and predictive analysis of digitalization and green finance on the transformation of mineral and energy companies. </w:t>
            </w:r>
            <w:r w:rsidRPr="00E01BFD">
              <w:rPr>
                <w:rFonts w:cs="Arial"/>
                <w:i/>
                <w:iCs/>
                <w:sz w:val="18"/>
                <w:szCs w:val="18"/>
              </w:rPr>
              <w:t>Finance Research Letters</w:t>
            </w:r>
            <w:r w:rsidRPr="00E01BFD">
              <w:rPr>
                <w:rFonts w:cs="Arial"/>
                <w:sz w:val="18"/>
                <w:szCs w:val="18"/>
              </w:rPr>
              <w:t xml:space="preserve">, </w:t>
            </w:r>
            <w:r w:rsidRPr="00E01BFD">
              <w:rPr>
                <w:rFonts w:cs="Arial"/>
                <w:i/>
                <w:iCs/>
                <w:sz w:val="18"/>
                <w:szCs w:val="18"/>
              </w:rPr>
              <w:t>59</w:t>
            </w:r>
            <w:r w:rsidRPr="00E01BFD">
              <w:rPr>
                <w:rFonts w:cs="Arial"/>
                <w:sz w:val="18"/>
                <w:szCs w:val="18"/>
              </w:rPr>
              <w:t>, 104777. https://doi.org/10.1016/j.frl.2023.104777</w:t>
            </w:r>
          </w:p>
          <w:p w14:paraId="39CD31CF" w14:textId="77777777" w:rsidR="00E01BFD" w:rsidRPr="00E01BFD" w:rsidRDefault="00E01BFD" w:rsidP="00E01BFD">
            <w:pPr>
              <w:pStyle w:val="af9"/>
              <w:adjustRightInd w:val="0"/>
              <w:snapToGrid w:val="0"/>
              <w:spacing w:line="276" w:lineRule="auto"/>
              <w:rPr>
                <w:rFonts w:cs="Arial"/>
                <w:sz w:val="18"/>
                <w:szCs w:val="18"/>
              </w:rPr>
            </w:pPr>
            <w:r w:rsidRPr="00E01BFD">
              <w:rPr>
                <w:rFonts w:cs="Arial"/>
                <w:sz w:val="18"/>
                <w:szCs w:val="18"/>
              </w:rPr>
              <w:t xml:space="preserve">Liu, C., Li, H., Tang, Y., Lin, D., &amp; Liu, J. (2019). Next generation integrated smart manufacturing based on big data analytics, reinforced learning, and optimal routes planning methods. </w:t>
            </w:r>
            <w:r w:rsidRPr="00E01BFD">
              <w:rPr>
                <w:rFonts w:cs="Arial"/>
                <w:i/>
                <w:iCs/>
                <w:sz w:val="18"/>
                <w:szCs w:val="18"/>
              </w:rPr>
              <w:t>International Journal of Computer Integrated Manufacturing</w:t>
            </w:r>
            <w:r w:rsidRPr="00E01BFD">
              <w:rPr>
                <w:rFonts w:cs="Arial"/>
                <w:sz w:val="18"/>
                <w:szCs w:val="18"/>
              </w:rPr>
              <w:t xml:space="preserve">, </w:t>
            </w:r>
            <w:r w:rsidRPr="00E01BFD">
              <w:rPr>
                <w:rFonts w:cs="Arial"/>
                <w:i/>
                <w:iCs/>
                <w:sz w:val="18"/>
                <w:szCs w:val="18"/>
              </w:rPr>
              <w:t>32</w:t>
            </w:r>
            <w:r w:rsidRPr="00E01BFD">
              <w:rPr>
                <w:rFonts w:cs="Arial"/>
                <w:sz w:val="18"/>
                <w:szCs w:val="18"/>
              </w:rPr>
              <w:t>(9), Article 9. BDA. https://doi.org/10.1080/0951192X.2019.1636412</w:t>
            </w:r>
          </w:p>
          <w:p w14:paraId="0FFC9A95" w14:textId="77777777" w:rsidR="00E01BFD" w:rsidRPr="00E01BFD" w:rsidRDefault="00E01BFD" w:rsidP="00E01BFD">
            <w:pPr>
              <w:pStyle w:val="af9"/>
              <w:adjustRightInd w:val="0"/>
              <w:snapToGrid w:val="0"/>
              <w:spacing w:line="276" w:lineRule="auto"/>
              <w:rPr>
                <w:rFonts w:cs="Arial"/>
                <w:sz w:val="18"/>
                <w:szCs w:val="18"/>
              </w:rPr>
            </w:pPr>
            <w:r w:rsidRPr="00E01BFD">
              <w:rPr>
                <w:rFonts w:cs="Arial"/>
                <w:sz w:val="18"/>
                <w:szCs w:val="18"/>
              </w:rPr>
              <w:t xml:space="preserve">Lööw, J. (2022). Understanding technology in mining and its effect on the work environment. </w:t>
            </w:r>
            <w:r w:rsidRPr="00E01BFD">
              <w:rPr>
                <w:rFonts w:cs="Arial"/>
                <w:i/>
                <w:iCs/>
                <w:sz w:val="18"/>
                <w:szCs w:val="18"/>
              </w:rPr>
              <w:t>Mineral Economics</w:t>
            </w:r>
            <w:r w:rsidRPr="00E01BFD">
              <w:rPr>
                <w:rFonts w:cs="Arial"/>
                <w:sz w:val="18"/>
                <w:szCs w:val="18"/>
              </w:rPr>
              <w:t xml:space="preserve">, </w:t>
            </w:r>
            <w:r w:rsidRPr="00E01BFD">
              <w:rPr>
                <w:rFonts w:cs="Arial"/>
                <w:i/>
                <w:iCs/>
                <w:sz w:val="18"/>
                <w:szCs w:val="18"/>
              </w:rPr>
              <w:t>35</w:t>
            </w:r>
            <w:r w:rsidRPr="00E01BFD">
              <w:rPr>
                <w:rFonts w:cs="Arial"/>
                <w:sz w:val="18"/>
                <w:szCs w:val="18"/>
              </w:rPr>
              <w:t>(1), 143–154. https://doi.org/10.1007/s13563-021-00279-y</w:t>
            </w:r>
          </w:p>
          <w:p w14:paraId="68C30B6F" w14:textId="77777777" w:rsidR="00E01BFD" w:rsidRPr="00E01BFD" w:rsidRDefault="00E01BFD" w:rsidP="00E01BFD">
            <w:pPr>
              <w:pStyle w:val="af9"/>
              <w:adjustRightInd w:val="0"/>
              <w:snapToGrid w:val="0"/>
              <w:spacing w:line="276" w:lineRule="auto"/>
              <w:rPr>
                <w:rFonts w:cs="Arial"/>
                <w:sz w:val="18"/>
                <w:szCs w:val="18"/>
              </w:rPr>
            </w:pPr>
            <w:r w:rsidRPr="00E01BFD">
              <w:rPr>
                <w:rFonts w:cs="Arial"/>
                <w:sz w:val="18"/>
                <w:szCs w:val="18"/>
              </w:rPr>
              <w:t xml:space="preserve">Lööw, J., Abrahamsson, L., &amp; Johansson, J. (2019). Mining 4.0—The Impact of New Technology from a Work Place Perspective. </w:t>
            </w:r>
            <w:r w:rsidRPr="00E01BFD">
              <w:rPr>
                <w:rFonts w:cs="Arial"/>
                <w:i/>
                <w:iCs/>
                <w:sz w:val="18"/>
                <w:szCs w:val="18"/>
              </w:rPr>
              <w:t>Mining, Metallurgy &amp; Exploration</w:t>
            </w:r>
            <w:r w:rsidRPr="00E01BFD">
              <w:rPr>
                <w:rFonts w:cs="Arial"/>
                <w:sz w:val="18"/>
                <w:szCs w:val="18"/>
              </w:rPr>
              <w:t xml:space="preserve">, </w:t>
            </w:r>
            <w:r w:rsidRPr="00E01BFD">
              <w:rPr>
                <w:rFonts w:cs="Arial"/>
                <w:i/>
                <w:iCs/>
                <w:sz w:val="18"/>
                <w:szCs w:val="18"/>
              </w:rPr>
              <w:t>36</w:t>
            </w:r>
            <w:r w:rsidRPr="00E01BFD">
              <w:rPr>
                <w:rFonts w:cs="Arial"/>
                <w:sz w:val="18"/>
                <w:szCs w:val="18"/>
              </w:rPr>
              <w:t>(4), 701–707. https://doi.org/10.1007/s42461-019-00104-9</w:t>
            </w:r>
          </w:p>
          <w:p w14:paraId="1D9AA234" w14:textId="77777777" w:rsidR="00E01BFD" w:rsidRPr="00E01BFD" w:rsidRDefault="00E01BFD" w:rsidP="00E01BFD">
            <w:pPr>
              <w:pStyle w:val="af9"/>
              <w:adjustRightInd w:val="0"/>
              <w:snapToGrid w:val="0"/>
              <w:spacing w:line="276" w:lineRule="auto"/>
              <w:rPr>
                <w:rFonts w:cs="Arial"/>
                <w:sz w:val="18"/>
                <w:szCs w:val="18"/>
              </w:rPr>
            </w:pPr>
            <w:r w:rsidRPr="00E01BFD">
              <w:rPr>
                <w:rFonts w:cs="Arial"/>
                <w:sz w:val="18"/>
                <w:szCs w:val="18"/>
              </w:rPr>
              <w:t xml:space="preserve">Malik, H., Chaudhary, G., &amp; Srivastava, S. (2022). Digital transformation through advances in artificial intelligence and machine learning. </w:t>
            </w:r>
            <w:r w:rsidRPr="00E01BFD">
              <w:rPr>
                <w:rFonts w:cs="Arial"/>
                <w:i/>
                <w:iCs/>
                <w:sz w:val="18"/>
                <w:szCs w:val="18"/>
              </w:rPr>
              <w:t>Journal of Intelligent &amp; Fuzzy Systems</w:t>
            </w:r>
            <w:r w:rsidRPr="00E01BFD">
              <w:rPr>
                <w:rFonts w:cs="Arial"/>
                <w:sz w:val="18"/>
                <w:szCs w:val="18"/>
              </w:rPr>
              <w:t xml:space="preserve">, </w:t>
            </w:r>
            <w:r w:rsidRPr="00E01BFD">
              <w:rPr>
                <w:rFonts w:cs="Arial"/>
                <w:i/>
                <w:iCs/>
                <w:sz w:val="18"/>
                <w:szCs w:val="18"/>
              </w:rPr>
              <w:t>42</w:t>
            </w:r>
            <w:r w:rsidRPr="00E01BFD">
              <w:rPr>
                <w:rFonts w:cs="Arial"/>
                <w:sz w:val="18"/>
                <w:szCs w:val="18"/>
              </w:rPr>
              <w:t>(2), 615–622. ML. https://doi.org/10.3233/JIFS-189787</w:t>
            </w:r>
          </w:p>
          <w:p w14:paraId="504D688D" w14:textId="77777777" w:rsidR="00E01BFD" w:rsidRPr="00E01BFD" w:rsidRDefault="00E01BFD" w:rsidP="00E01BFD">
            <w:pPr>
              <w:pStyle w:val="af9"/>
              <w:adjustRightInd w:val="0"/>
              <w:snapToGrid w:val="0"/>
              <w:spacing w:line="276" w:lineRule="auto"/>
              <w:rPr>
                <w:rFonts w:cs="Arial"/>
                <w:sz w:val="18"/>
                <w:szCs w:val="18"/>
              </w:rPr>
            </w:pPr>
            <w:r w:rsidRPr="00E01BFD">
              <w:rPr>
                <w:rFonts w:cs="Arial"/>
                <w:sz w:val="18"/>
                <w:szCs w:val="18"/>
              </w:rPr>
              <w:t xml:space="preserve">Maroufkhani, P., Desouza, K. C., Perrons, R. K., &amp; Iranmanesh, M. (2022). Digital transformation in the resource and energy sectors: A systematic review. </w:t>
            </w:r>
            <w:r w:rsidRPr="00E01BFD">
              <w:rPr>
                <w:rFonts w:cs="Arial"/>
                <w:i/>
                <w:iCs/>
                <w:sz w:val="18"/>
                <w:szCs w:val="18"/>
              </w:rPr>
              <w:t>Resources Policy</w:t>
            </w:r>
            <w:r w:rsidRPr="00E01BFD">
              <w:rPr>
                <w:rFonts w:cs="Arial"/>
                <w:sz w:val="18"/>
                <w:szCs w:val="18"/>
              </w:rPr>
              <w:t xml:space="preserve">, </w:t>
            </w:r>
            <w:r w:rsidRPr="00E01BFD">
              <w:rPr>
                <w:rFonts w:cs="Arial"/>
                <w:i/>
                <w:iCs/>
                <w:sz w:val="18"/>
                <w:szCs w:val="18"/>
              </w:rPr>
              <w:t>76</w:t>
            </w:r>
            <w:r w:rsidRPr="00E01BFD">
              <w:rPr>
                <w:rFonts w:cs="Arial"/>
                <w:sz w:val="18"/>
                <w:szCs w:val="18"/>
              </w:rPr>
              <w:t>, 102622. https://doi.org/10.1016/j.resourpol.2022.102622</w:t>
            </w:r>
          </w:p>
          <w:p w14:paraId="44B0C3E3" w14:textId="77777777" w:rsidR="00E01BFD" w:rsidRPr="00E01BFD" w:rsidRDefault="00E01BFD" w:rsidP="00E01BFD">
            <w:pPr>
              <w:pStyle w:val="af9"/>
              <w:adjustRightInd w:val="0"/>
              <w:snapToGrid w:val="0"/>
              <w:spacing w:line="276" w:lineRule="auto"/>
              <w:rPr>
                <w:rFonts w:cs="Arial"/>
                <w:sz w:val="18"/>
                <w:szCs w:val="18"/>
              </w:rPr>
            </w:pPr>
            <w:r w:rsidRPr="00E01BFD">
              <w:rPr>
                <w:rFonts w:cs="Arial"/>
                <w:sz w:val="18"/>
                <w:szCs w:val="18"/>
              </w:rPr>
              <w:lastRenderedPageBreak/>
              <w:t xml:space="preserve">Matsunaga, M. (2024). </w:t>
            </w:r>
            <w:r w:rsidRPr="00E01BFD">
              <w:rPr>
                <w:rFonts w:cs="Arial"/>
                <w:i/>
                <w:iCs/>
                <w:sz w:val="18"/>
                <w:szCs w:val="18"/>
              </w:rPr>
              <w:t>Employee Uncertainty Over Digital Transformation: Mechanisms and Solutions</w:t>
            </w:r>
            <w:r w:rsidRPr="00E01BFD">
              <w:rPr>
                <w:rFonts w:cs="Arial"/>
                <w:sz w:val="18"/>
                <w:szCs w:val="18"/>
              </w:rPr>
              <w:t>. Springer Nature Singapore. https://doi.org/10.1007/978-981-99-8409-1</w:t>
            </w:r>
          </w:p>
          <w:p w14:paraId="4C57AD10" w14:textId="77777777" w:rsidR="00E01BFD" w:rsidRPr="00E01BFD" w:rsidRDefault="00E01BFD" w:rsidP="00E01BFD">
            <w:pPr>
              <w:pStyle w:val="af9"/>
              <w:adjustRightInd w:val="0"/>
              <w:snapToGrid w:val="0"/>
              <w:spacing w:line="276" w:lineRule="auto"/>
              <w:rPr>
                <w:rFonts w:cs="Arial"/>
                <w:sz w:val="18"/>
                <w:szCs w:val="18"/>
              </w:rPr>
            </w:pPr>
            <w:r w:rsidRPr="00E01BFD">
              <w:rPr>
                <w:rFonts w:cs="Arial"/>
                <w:sz w:val="18"/>
                <w:szCs w:val="18"/>
              </w:rPr>
              <w:t xml:space="preserve">Mergel, I., Edelmann, N., &amp; Haug, N. (2019). Defining digital transformation: Results from expert interviews. </w:t>
            </w:r>
            <w:r w:rsidRPr="00E01BFD">
              <w:rPr>
                <w:rFonts w:cs="Arial"/>
                <w:i/>
                <w:iCs/>
                <w:sz w:val="18"/>
                <w:szCs w:val="18"/>
              </w:rPr>
              <w:t>Government Information Quarterly</w:t>
            </w:r>
            <w:r w:rsidRPr="00E01BFD">
              <w:rPr>
                <w:rFonts w:cs="Arial"/>
                <w:sz w:val="18"/>
                <w:szCs w:val="18"/>
              </w:rPr>
              <w:t xml:space="preserve">, </w:t>
            </w:r>
            <w:r w:rsidRPr="00E01BFD">
              <w:rPr>
                <w:rFonts w:cs="Arial"/>
                <w:i/>
                <w:iCs/>
                <w:sz w:val="18"/>
                <w:szCs w:val="18"/>
              </w:rPr>
              <w:t>36</w:t>
            </w:r>
            <w:r w:rsidRPr="00E01BFD">
              <w:rPr>
                <w:rFonts w:cs="Arial"/>
                <w:sz w:val="18"/>
                <w:szCs w:val="18"/>
              </w:rPr>
              <w:t>(4), 101385. DT. https://doi.org/10.1016/j.giq.2019.06.002</w:t>
            </w:r>
          </w:p>
          <w:p w14:paraId="5A97113B" w14:textId="77777777" w:rsidR="00E01BFD" w:rsidRPr="00E01BFD" w:rsidRDefault="00E01BFD" w:rsidP="00E01BFD">
            <w:pPr>
              <w:pStyle w:val="af9"/>
              <w:adjustRightInd w:val="0"/>
              <w:snapToGrid w:val="0"/>
              <w:spacing w:line="276" w:lineRule="auto"/>
              <w:rPr>
                <w:rFonts w:cs="Arial"/>
                <w:sz w:val="18"/>
                <w:szCs w:val="18"/>
              </w:rPr>
            </w:pPr>
            <w:r w:rsidRPr="00E01BFD">
              <w:rPr>
                <w:rFonts w:cs="Arial"/>
                <w:sz w:val="18"/>
                <w:szCs w:val="18"/>
              </w:rPr>
              <w:t xml:space="preserve">Michieka, N. M., Graziano, M., Musso, M., &amp; Fouquet, R. (2022). Energy transitions and labor market patterns in the U.S. coal industry. </w:t>
            </w:r>
            <w:r w:rsidRPr="00E01BFD">
              <w:rPr>
                <w:rFonts w:cs="Arial"/>
                <w:i/>
                <w:iCs/>
                <w:sz w:val="18"/>
                <w:szCs w:val="18"/>
              </w:rPr>
              <w:t>Structural Change and Economic Dynamics</w:t>
            </w:r>
            <w:r w:rsidRPr="00E01BFD">
              <w:rPr>
                <w:rFonts w:cs="Arial"/>
                <w:sz w:val="18"/>
                <w:szCs w:val="18"/>
              </w:rPr>
              <w:t xml:space="preserve">, </w:t>
            </w:r>
            <w:r w:rsidRPr="00E01BFD">
              <w:rPr>
                <w:rFonts w:cs="Arial"/>
                <w:i/>
                <w:iCs/>
                <w:sz w:val="18"/>
                <w:szCs w:val="18"/>
              </w:rPr>
              <w:t>63</w:t>
            </w:r>
            <w:r w:rsidRPr="00E01BFD">
              <w:rPr>
                <w:rFonts w:cs="Arial"/>
                <w:sz w:val="18"/>
                <w:szCs w:val="18"/>
              </w:rPr>
              <w:t>, 501–514. https://doi.org/10.1016/j.strueco.2022.07.005</w:t>
            </w:r>
          </w:p>
          <w:p w14:paraId="707CFD24" w14:textId="77777777" w:rsidR="00E01BFD" w:rsidRPr="00E01BFD" w:rsidRDefault="00E01BFD" w:rsidP="00E01BFD">
            <w:pPr>
              <w:pStyle w:val="af9"/>
              <w:adjustRightInd w:val="0"/>
              <w:snapToGrid w:val="0"/>
              <w:spacing w:line="276" w:lineRule="auto"/>
              <w:rPr>
                <w:rFonts w:cs="Arial"/>
                <w:sz w:val="18"/>
                <w:szCs w:val="18"/>
              </w:rPr>
            </w:pPr>
            <w:r w:rsidRPr="00E01BFD">
              <w:rPr>
                <w:rFonts w:cs="Arial"/>
                <w:sz w:val="18"/>
                <w:szCs w:val="18"/>
              </w:rPr>
              <w:t xml:space="preserve">Miklosik, A., &amp; Evans, N. (2020). Impact of Big Data and Machine Learning on Digital Transformation in Marketing: A Literature Review. </w:t>
            </w:r>
            <w:r w:rsidRPr="00E01BFD">
              <w:rPr>
                <w:rFonts w:cs="Arial"/>
                <w:i/>
                <w:iCs/>
                <w:sz w:val="18"/>
                <w:szCs w:val="18"/>
              </w:rPr>
              <w:t>IEEE Access</w:t>
            </w:r>
            <w:r w:rsidRPr="00E01BFD">
              <w:rPr>
                <w:rFonts w:cs="Arial"/>
                <w:sz w:val="18"/>
                <w:szCs w:val="18"/>
              </w:rPr>
              <w:t xml:space="preserve">, </w:t>
            </w:r>
            <w:r w:rsidRPr="00E01BFD">
              <w:rPr>
                <w:rFonts w:cs="Arial"/>
                <w:i/>
                <w:iCs/>
                <w:sz w:val="18"/>
                <w:szCs w:val="18"/>
              </w:rPr>
              <w:t>8</w:t>
            </w:r>
            <w:r w:rsidRPr="00E01BFD">
              <w:rPr>
                <w:rFonts w:cs="Arial"/>
                <w:sz w:val="18"/>
                <w:szCs w:val="18"/>
              </w:rPr>
              <w:t>, 101284–101292. Digital Transformation. https://doi.org/10.1109/ACCESS.2020.2998754</w:t>
            </w:r>
          </w:p>
          <w:p w14:paraId="06083FD3" w14:textId="77777777" w:rsidR="00E01BFD" w:rsidRPr="00E01BFD" w:rsidRDefault="00E01BFD" w:rsidP="00E01BFD">
            <w:pPr>
              <w:pStyle w:val="af9"/>
              <w:adjustRightInd w:val="0"/>
              <w:snapToGrid w:val="0"/>
              <w:spacing w:line="276" w:lineRule="auto"/>
              <w:rPr>
                <w:rFonts w:cs="Arial"/>
                <w:sz w:val="18"/>
                <w:szCs w:val="18"/>
              </w:rPr>
            </w:pPr>
            <w:r w:rsidRPr="00E01BFD">
              <w:rPr>
                <w:rFonts w:cs="Arial"/>
                <w:sz w:val="18"/>
                <w:szCs w:val="18"/>
              </w:rPr>
              <w:t xml:space="preserve">Moghaddam, M., &amp; Nof, S. Y. (2018). Collaborative service-component integration in cloud manufacturing. </w:t>
            </w:r>
            <w:r w:rsidRPr="00E01BFD">
              <w:rPr>
                <w:rFonts w:cs="Arial"/>
                <w:i/>
                <w:iCs/>
                <w:sz w:val="18"/>
                <w:szCs w:val="18"/>
              </w:rPr>
              <w:t>International Journal of Production Research</w:t>
            </w:r>
            <w:r w:rsidRPr="00E01BFD">
              <w:rPr>
                <w:rFonts w:cs="Arial"/>
                <w:sz w:val="18"/>
                <w:szCs w:val="18"/>
              </w:rPr>
              <w:t xml:space="preserve">, </w:t>
            </w:r>
            <w:r w:rsidRPr="00E01BFD">
              <w:rPr>
                <w:rFonts w:cs="Arial"/>
                <w:i/>
                <w:iCs/>
                <w:sz w:val="18"/>
                <w:szCs w:val="18"/>
              </w:rPr>
              <w:t>56</w:t>
            </w:r>
            <w:r w:rsidRPr="00E01BFD">
              <w:rPr>
                <w:rFonts w:cs="Arial"/>
                <w:sz w:val="18"/>
                <w:szCs w:val="18"/>
              </w:rPr>
              <w:t>(1–2), 677–691. Cloud. https://doi.org/10.1080/00207543.2017.1374574</w:t>
            </w:r>
          </w:p>
          <w:p w14:paraId="05852AF1" w14:textId="77777777" w:rsidR="00E01BFD" w:rsidRPr="00E01BFD" w:rsidRDefault="00E01BFD" w:rsidP="00E01BFD">
            <w:pPr>
              <w:pStyle w:val="af9"/>
              <w:adjustRightInd w:val="0"/>
              <w:snapToGrid w:val="0"/>
              <w:spacing w:line="276" w:lineRule="auto"/>
              <w:rPr>
                <w:rFonts w:cs="Arial"/>
                <w:sz w:val="18"/>
                <w:szCs w:val="18"/>
              </w:rPr>
            </w:pPr>
            <w:r w:rsidRPr="00E01BFD">
              <w:rPr>
                <w:rFonts w:cs="Arial"/>
                <w:sz w:val="18"/>
                <w:szCs w:val="18"/>
              </w:rPr>
              <w:t xml:space="preserve">Morakanyane, R., Grace, A., &amp; O’Reilly, P. (2017). Conceptualizing Digital Transformation in Business Organizations: A Systematic Review of Literature. </w:t>
            </w:r>
            <w:r w:rsidRPr="00E01BFD">
              <w:rPr>
                <w:rFonts w:cs="Arial"/>
                <w:i/>
                <w:iCs/>
                <w:sz w:val="18"/>
                <w:szCs w:val="18"/>
              </w:rPr>
              <w:t>Digital Transformation – From Connecting Things to Transforming Our Lives</w:t>
            </w:r>
            <w:r w:rsidRPr="00E01BFD">
              <w:rPr>
                <w:rFonts w:cs="Arial"/>
                <w:sz w:val="18"/>
                <w:szCs w:val="18"/>
              </w:rPr>
              <w:t>, 427–443. https://doi.org/10.18690/978-961-286-043-1.30</w:t>
            </w:r>
          </w:p>
          <w:p w14:paraId="60CD163F" w14:textId="77777777" w:rsidR="00E01BFD" w:rsidRPr="00E01BFD" w:rsidRDefault="00E01BFD" w:rsidP="00E01BFD">
            <w:pPr>
              <w:pStyle w:val="af9"/>
              <w:adjustRightInd w:val="0"/>
              <w:snapToGrid w:val="0"/>
              <w:spacing w:line="276" w:lineRule="auto"/>
              <w:rPr>
                <w:rFonts w:cs="Arial"/>
                <w:sz w:val="18"/>
                <w:szCs w:val="18"/>
              </w:rPr>
            </w:pPr>
            <w:r w:rsidRPr="00E01BFD">
              <w:rPr>
                <w:rFonts w:cs="Arial"/>
                <w:sz w:val="18"/>
                <w:szCs w:val="18"/>
              </w:rPr>
              <w:t xml:space="preserve">Muhic, M., Bengtsson, L., &amp; Holmström, J. (2023). Barriers to continuance use of cloud computing: Evidence from two case studies. </w:t>
            </w:r>
            <w:r w:rsidRPr="00E01BFD">
              <w:rPr>
                <w:rFonts w:cs="Arial"/>
                <w:i/>
                <w:iCs/>
                <w:sz w:val="18"/>
                <w:szCs w:val="18"/>
              </w:rPr>
              <w:t>Information &amp; Management</w:t>
            </w:r>
            <w:r w:rsidRPr="00E01BFD">
              <w:rPr>
                <w:rFonts w:cs="Arial"/>
                <w:sz w:val="18"/>
                <w:szCs w:val="18"/>
              </w:rPr>
              <w:t xml:space="preserve">, </w:t>
            </w:r>
            <w:r w:rsidRPr="00E01BFD">
              <w:rPr>
                <w:rFonts w:cs="Arial"/>
                <w:i/>
                <w:iCs/>
                <w:sz w:val="18"/>
                <w:szCs w:val="18"/>
              </w:rPr>
              <w:t>60</w:t>
            </w:r>
            <w:r w:rsidRPr="00E01BFD">
              <w:rPr>
                <w:rFonts w:cs="Arial"/>
                <w:sz w:val="18"/>
                <w:szCs w:val="18"/>
              </w:rPr>
              <w:t>(5), 103792. Cloud. https://doi.org/10.1016/j.im.2023.103792</w:t>
            </w:r>
          </w:p>
          <w:p w14:paraId="36DB5FA8" w14:textId="77777777" w:rsidR="00E01BFD" w:rsidRPr="00E01BFD" w:rsidRDefault="00E01BFD" w:rsidP="00E01BFD">
            <w:pPr>
              <w:pStyle w:val="af9"/>
              <w:adjustRightInd w:val="0"/>
              <w:snapToGrid w:val="0"/>
              <w:spacing w:line="276" w:lineRule="auto"/>
              <w:rPr>
                <w:rFonts w:cs="Arial"/>
                <w:sz w:val="18"/>
                <w:szCs w:val="18"/>
              </w:rPr>
            </w:pPr>
            <w:r w:rsidRPr="00E01BFD">
              <w:rPr>
                <w:rFonts w:cs="Arial"/>
                <w:sz w:val="18"/>
                <w:szCs w:val="18"/>
              </w:rPr>
              <w:t xml:space="preserve">Oesterreich, T. D., Anton, E., Teuteberg, F., &amp; Dwivedi, Y. K. (2022). The role of the social and technical factors in creating business value from big data analytics: A meta-analysis. </w:t>
            </w:r>
            <w:r w:rsidRPr="00E01BFD">
              <w:rPr>
                <w:rFonts w:cs="Arial"/>
                <w:i/>
                <w:iCs/>
                <w:sz w:val="18"/>
                <w:szCs w:val="18"/>
              </w:rPr>
              <w:t>Journal of Business Research</w:t>
            </w:r>
            <w:r w:rsidRPr="00E01BFD">
              <w:rPr>
                <w:rFonts w:cs="Arial"/>
                <w:sz w:val="18"/>
                <w:szCs w:val="18"/>
              </w:rPr>
              <w:t xml:space="preserve">, </w:t>
            </w:r>
            <w:r w:rsidRPr="00E01BFD">
              <w:rPr>
                <w:rFonts w:cs="Arial"/>
                <w:i/>
                <w:iCs/>
                <w:sz w:val="18"/>
                <w:szCs w:val="18"/>
              </w:rPr>
              <w:t>153</w:t>
            </w:r>
            <w:r w:rsidRPr="00E01BFD">
              <w:rPr>
                <w:rFonts w:cs="Arial"/>
                <w:sz w:val="18"/>
                <w:szCs w:val="18"/>
              </w:rPr>
              <w:t>, 128–149. BDA. https://doi.org/10.1016/j.jbusres.2022.08.028</w:t>
            </w:r>
          </w:p>
          <w:p w14:paraId="18F171AC" w14:textId="77777777" w:rsidR="00E01BFD" w:rsidRPr="00E01BFD" w:rsidRDefault="00E01BFD" w:rsidP="00E01BFD">
            <w:pPr>
              <w:pStyle w:val="af9"/>
              <w:adjustRightInd w:val="0"/>
              <w:snapToGrid w:val="0"/>
              <w:spacing w:line="276" w:lineRule="auto"/>
              <w:rPr>
                <w:rFonts w:cs="Arial"/>
                <w:sz w:val="18"/>
                <w:szCs w:val="18"/>
              </w:rPr>
            </w:pPr>
            <w:r w:rsidRPr="00E01BFD">
              <w:rPr>
                <w:rFonts w:cs="Arial"/>
                <w:sz w:val="18"/>
                <w:szCs w:val="18"/>
              </w:rPr>
              <w:t xml:space="preserve">Paiola, M., Agostini, L., Grandinetti, R., &amp; Nosella, A. (2022). The process of business model innovation driven by IoT: Exploring the case of incumbent SMEs. </w:t>
            </w:r>
            <w:r w:rsidRPr="00E01BFD">
              <w:rPr>
                <w:rFonts w:cs="Arial"/>
                <w:i/>
                <w:iCs/>
                <w:sz w:val="18"/>
                <w:szCs w:val="18"/>
              </w:rPr>
              <w:t>Industrial Marketing Management</w:t>
            </w:r>
            <w:r w:rsidRPr="00E01BFD">
              <w:rPr>
                <w:rFonts w:cs="Arial"/>
                <w:sz w:val="18"/>
                <w:szCs w:val="18"/>
              </w:rPr>
              <w:t xml:space="preserve">, </w:t>
            </w:r>
            <w:r w:rsidRPr="00E01BFD">
              <w:rPr>
                <w:rFonts w:cs="Arial"/>
                <w:i/>
                <w:iCs/>
                <w:sz w:val="18"/>
                <w:szCs w:val="18"/>
              </w:rPr>
              <w:t>103</w:t>
            </w:r>
            <w:r w:rsidRPr="00E01BFD">
              <w:rPr>
                <w:rFonts w:cs="Arial"/>
                <w:sz w:val="18"/>
                <w:szCs w:val="18"/>
              </w:rPr>
              <w:t>, 30–46. Iot. https://doi.org/10.1016/j.indmarman.2022.03.006</w:t>
            </w:r>
          </w:p>
          <w:p w14:paraId="01A28B76" w14:textId="77777777" w:rsidR="00E01BFD" w:rsidRPr="00E01BFD" w:rsidRDefault="00E01BFD" w:rsidP="00E01BFD">
            <w:pPr>
              <w:pStyle w:val="af9"/>
              <w:adjustRightInd w:val="0"/>
              <w:snapToGrid w:val="0"/>
              <w:spacing w:line="276" w:lineRule="auto"/>
              <w:rPr>
                <w:rFonts w:cs="Arial"/>
                <w:sz w:val="18"/>
                <w:szCs w:val="18"/>
              </w:rPr>
            </w:pPr>
            <w:r w:rsidRPr="00E01BFD">
              <w:rPr>
                <w:rFonts w:cs="Arial"/>
                <w:sz w:val="18"/>
                <w:szCs w:val="18"/>
              </w:rPr>
              <w:t xml:space="preserve">Peillon, S., &amp; Dubruc, N. (2019). Barriers to digital servitization in French manufacturing SMEs. </w:t>
            </w:r>
            <w:r w:rsidRPr="00E01BFD">
              <w:rPr>
                <w:rFonts w:cs="Arial"/>
                <w:i/>
                <w:iCs/>
                <w:sz w:val="18"/>
                <w:szCs w:val="18"/>
              </w:rPr>
              <w:t>Procedia CIRP</w:t>
            </w:r>
            <w:r w:rsidRPr="00E01BFD">
              <w:rPr>
                <w:rFonts w:cs="Arial"/>
                <w:sz w:val="18"/>
                <w:szCs w:val="18"/>
              </w:rPr>
              <w:t xml:space="preserve">, </w:t>
            </w:r>
            <w:r w:rsidRPr="00E01BFD">
              <w:rPr>
                <w:rFonts w:cs="Arial"/>
                <w:i/>
                <w:iCs/>
                <w:sz w:val="18"/>
                <w:szCs w:val="18"/>
              </w:rPr>
              <w:t>83</w:t>
            </w:r>
            <w:r w:rsidRPr="00E01BFD">
              <w:rPr>
                <w:rFonts w:cs="Arial"/>
                <w:sz w:val="18"/>
                <w:szCs w:val="18"/>
              </w:rPr>
              <w:t>, 146–150. https://doi.org/10.1016/j.procir.2019.04.008</w:t>
            </w:r>
          </w:p>
          <w:p w14:paraId="53CCD547" w14:textId="77777777" w:rsidR="00E01BFD" w:rsidRPr="00E01BFD" w:rsidRDefault="00E01BFD" w:rsidP="00E01BFD">
            <w:pPr>
              <w:pStyle w:val="af9"/>
              <w:adjustRightInd w:val="0"/>
              <w:snapToGrid w:val="0"/>
              <w:spacing w:line="276" w:lineRule="auto"/>
              <w:rPr>
                <w:rFonts w:cs="Arial"/>
                <w:sz w:val="18"/>
                <w:szCs w:val="18"/>
              </w:rPr>
            </w:pPr>
            <w:r w:rsidRPr="00E01BFD">
              <w:rPr>
                <w:rFonts w:cs="Arial"/>
                <w:sz w:val="18"/>
                <w:szCs w:val="18"/>
              </w:rPr>
              <w:t xml:space="preserve">Pereira, J. L., Belo, O., &amp; Ravesteijn, P. (2018). Special Issue on Big Data and Digital Transformation. </w:t>
            </w:r>
            <w:r w:rsidRPr="00E01BFD">
              <w:rPr>
                <w:rFonts w:cs="Arial"/>
                <w:i/>
                <w:iCs/>
                <w:sz w:val="18"/>
                <w:szCs w:val="18"/>
              </w:rPr>
              <w:t>Journal of Grid Computing</w:t>
            </w:r>
            <w:r w:rsidRPr="00E01BFD">
              <w:rPr>
                <w:rFonts w:cs="Arial"/>
                <w:sz w:val="18"/>
                <w:szCs w:val="18"/>
              </w:rPr>
              <w:t xml:space="preserve">, </w:t>
            </w:r>
            <w:r w:rsidRPr="00E01BFD">
              <w:rPr>
                <w:rFonts w:cs="Arial"/>
                <w:i/>
                <w:iCs/>
                <w:sz w:val="18"/>
                <w:szCs w:val="18"/>
              </w:rPr>
              <w:t>16</w:t>
            </w:r>
            <w:r w:rsidRPr="00E01BFD">
              <w:rPr>
                <w:rFonts w:cs="Arial"/>
                <w:sz w:val="18"/>
                <w:szCs w:val="18"/>
              </w:rPr>
              <w:t>(4), Article 4. DT. https://doi.org/10.1007/s10723-018-9469-8</w:t>
            </w:r>
          </w:p>
          <w:p w14:paraId="741EF376" w14:textId="77777777" w:rsidR="00E01BFD" w:rsidRPr="00E01BFD" w:rsidRDefault="00E01BFD" w:rsidP="00E01BFD">
            <w:pPr>
              <w:pStyle w:val="af9"/>
              <w:adjustRightInd w:val="0"/>
              <w:snapToGrid w:val="0"/>
              <w:spacing w:line="276" w:lineRule="auto"/>
              <w:rPr>
                <w:rFonts w:cs="Arial"/>
                <w:sz w:val="18"/>
                <w:szCs w:val="18"/>
              </w:rPr>
            </w:pPr>
            <w:r w:rsidRPr="00E01BFD">
              <w:rPr>
                <w:rFonts w:cs="Arial"/>
                <w:sz w:val="18"/>
                <w:szCs w:val="18"/>
              </w:rPr>
              <w:t xml:space="preserve">Perez, C. (2010). Technological revolutions and techno-economic paradigms. </w:t>
            </w:r>
            <w:r w:rsidRPr="00E01BFD">
              <w:rPr>
                <w:rFonts w:cs="Arial"/>
                <w:i/>
                <w:iCs/>
                <w:sz w:val="18"/>
                <w:szCs w:val="18"/>
              </w:rPr>
              <w:t>Cambridge Journal of Economics</w:t>
            </w:r>
            <w:r w:rsidRPr="00E01BFD">
              <w:rPr>
                <w:rFonts w:cs="Arial"/>
                <w:sz w:val="18"/>
                <w:szCs w:val="18"/>
              </w:rPr>
              <w:t xml:space="preserve">, </w:t>
            </w:r>
            <w:r w:rsidRPr="00E01BFD">
              <w:rPr>
                <w:rFonts w:cs="Arial"/>
                <w:i/>
                <w:iCs/>
                <w:sz w:val="18"/>
                <w:szCs w:val="18"/>
              </w:rPr>
              <w:t>34</w:t>
            </w:r>
            <w:r w:rsidRPr="00E01BFD">
              <w:rPr>
                <w:rFonts w:cs="Arial"/>
                <w:sz w:val="18"/>
                <w:szCs w:val="18"/>
              </w:rPr>
              <w:t>(1), 185–202. https://doi.org/10.1093/cje/bep051</w:t>
            </w:r>
          </w:p>
          <w:p w14:paraId="626EE608" w14:textId="77777777" w:rsidR="00E01BFD" w:rsidRPr="00E01BFD" w:rsidRDefault="00E01BFD" w:rsidP="00E01BFD">
            <w:pPr>
              <w:pStyle w:val="af9"/>
              <w:adjustRightInd w:val="0"/>
              <w:snapToGrid w:val="0"/>
              <w:spacing w:line="276" w:lineRule="auto"/>
              <w:rPr>
                <w:rFonts w:cs="Arial"/>
                <w:sz w:val="18"/>
                <w:szCs w:val="18"/>
              </w:rPr>
            </w:pPr>
            <w:r w:rsidRPr="00E01BFD">
              <w:rPr>
                <w:rFonts w:cs="Arial"/>
                <w:sz w:val="18"/>
                <w:szCs w:val="18"/>
              </w:rPr>
              <w:t xml:space="preserve">Perno, M., Hvam, L., &amp; Haug, A. (2022). Implementation of digital twins in the process industry: A systematic literature review of enablers and barriers. </w:t>
            </w:r>
            <w:r w:rsidRPr="00E01BFD">
              <w:rPr>
                <w:rFonts w:cs="Arial"/>
                <w:i/>
                <w:iCs/>
                <w:sz w:val="18"/>
                <w:szCs w:val="18"/>
              </w:rPr>
              <w:t>Computers in Industry</w:t>
            </w:r>
            <w:r w:rsidRPr="00E01BFD">
              <w:rPr>
                <w:rFonts w:cs="Arial"/>
                <w:sz w:val="18"/>
                <w:szCs w:val="18"/>
              </w:rPr>
              <w:t xml:space="preserve">, </w:t>
            </w:r>
            <w:r w:rsidRPr="00E01BFD">
              <w:rPr>
                <w:rFonts w:cs="Arial"/>
                <w:i/>
                <w:iCs/>
                <w:sz w:val="18"/>
                <w:szCs w:val="18"/>
              </w:rPr>
              <w:t>134</w:t>
            </w:r>
            <w:r w:rsidRPr="00E01BFD">
              <w:rPr>
                <w:rFonts w:cs="Arial"/>
                <w:sz w:val="18"/>
                <w:szCs w:val="18"/>
              </w:rPr>
              <w:t>, 103558. https://doi.org/10.1016/j.compind.2021.103558</w:t>
            </w:r>
          </w:p>
          <w:p w14:paraId="537BBDF6" w14:textId="77777777" w:rsidR="00E01BFD" w:rsidRPr="00E01BFD" w:rsidRDefault="00E01BFD" w:rsidP="00E01BFD">
            <w:pPr>
              <w:pStyle w:val="af9"/>
              <w:adjustRightInd w:val="0"/>
              <w:snapToGrid w:val="0"/>
              <w:spacing w:line="276" w:lineRule="auto"/>
              <w:rPr>
                <w:rFonts w:cs="Arial"/>
                <w:sz w:val="18"/>
                <w:szCs w:val="18"/>
              </w:rPr>
            </w:pPr>
            <w:r w:rsidRPr="00E01BFD">
              <w:rPr>
                <w:rFonts w:cs="Arial"/>
                <w:sz w:val="18"/>
                <w:szCs w:val="18"/>
              </w:rPr>
              <w:t xml:space="preserve">Presciuttini, A., &amp; Portioli-Staudacher, A. (2024). Applications of IoT and Advanced Analytics for manufacturing operations: A systematic literature review. </w:t>
            </w:r>
            <w:r w:rsidRPr="00E01BFD">
              <w:rPr>
                <w:rFonts w:cs="Arial"/>
                <w:i/>
                <w:iCs/>
                <w:sz w:val="18"/>
                <w:szCs w:val="18"/>
              </w:rPr>
              <w:t>Procedia Computer Science</w:t>
            </w:r>
            <w:r w:rsidRPr="00E01BFD">
              <w:rPr>
                <w:rFonts w:cs="Arial"/>
                <w:sz w:val="18"/>
                <w:szCs w:val="18"/>
              </w:rPr>
              <w:t xml:space="preserve">, </w:t>
            </w:r>
            <w:r w:rsidRPr="00E01BFD">
              <w:rPr>
                <w:rFonts w:cs="Arial"/>
                <w:i/>
                <w:iCs/>
                <w:sz w:val="18"/>
                <w:szCs w:val="18"/>
              </w:rPr>
              <w:t>232</w:t>
            </w:r>
            <w:r w:rsidRPr="00E01BFD">
              <w:rPr>
                <w:rFonts w:cs="Arial"/>
                <w:sz w:val="18"/>
                <w:szCs w:val="18"/>
              </w:rPr>
              <w:t>, 327–336. https://doi.org/10.1016/j.procs.2024.01.032</w:t>
            </w:r>
          </w:p>
          <w:p w14:paraId="4D336646" w14:textId="77777777" w:rsidR="00E01BFD" w:rsidRPr="00E01BFD" w:rsidRDefault="00E01BFD" w:rsidP="00E01BFD">
            <w:pPr>
              <w:pStyle w:val="af9"/>
              <w:adjustRightInd w:val="0"/>
              <w:snapToGrid w:val="0"/>
              <w:spacing w:line="276" w:lineRule="auto"/>
              <w:rPr>
                <w:rFonts w:cs="Arial"/>
                <w:sz w:val="18"/>
                <w:szCs w:val="18"/>
              </w:rPr>
            </w:pPr>
            <w:r w:rsidRPr="00E01BFD">
              <w:rPr>
                <w:rFonts w:cs="Arial"/>
                <w:sz w:val="18"/>
                <w:szCs w:val="18"/>
              </w:rPr>
              <w:t xml:space="preserve">Raj, A., Dwivedi, G., Sharma, A., Lopes De Sousa Jabbour, A. B., &amp; Rajak, S. (2020). Barriers to the adoption of industry 4.0 technologies in the manufacturing sector: An inter-country comparative perspective. </w:t>
            </w:r>
            <w:r w:rsidRPr="00E01BFD">
              <w:rPr>
                <w:rFonts w:cs="Arial"/>
                <w:i/>
                <w:iCs/>
                <w:sz w:val="18"/>
                <w:szCs w:val="18"/>
              </w:rPr>
              <w:t>International Journal of Production Economics</w:t>
            </w:r>
            <w:r w:rsidRPr="00E01BFD">
              <w:rPr>
                <w:rFonts w:cs="Arial"/>
                <w:sz w:val="18"/>
                <w:szCs w:val="18"/>
              </w:rPr>
              <w:t xml:space="preserve">, </w:t>
            </w:r>
            <w:r w:rsidRPr="00E01BFD">
              <w:rPr>
                <w:rFonts w:cs="Arial"/>
                <w:i/>
                <w:iCs/>
                <w:sz w:val="18"/>
                <w:szCs w:val="18"/>
              </w:rPr>
              <w:t>224</w:t>
            </w:r>
            <w:r w:rsidRPr="00E01BFD">
              <w:rPr>
                <w:rFonts w:cs="Arial"/>
                <w:sz w:val="18"/>
                <w:szCs w:val="18"/>
              </w:rPr>
              <w:t>, 107546. https://doi.org/10.1016/j.ijpe.2019.107546</w:t>
            </w:r>
          </w:p>
          <w:p w14:paraId="47E77873" w14:textId="77777777" w:rsidR="00E01BFD" w:rsidRPr="00E01BFD" w:rsidRDefault="00E01BFD" w:rsidP="00E01BFD">
            <w:pPr>
              <w:pStyle w:val="af9"/>
              <w:adjustRightInd w:val="0"/>
              <w:snapToGrid w:val="0"/>
              <w:spacing w:line="276" w:lineRule="auto"/>
              <w:rPr>
                <w:rFonts w:cs="Arial"/>
                <w:sz w:val="18"/>
                <w:szCs w:val="18"/>
              </w:rPr>
            </w:pPr>
            <w:r w:rsidRPr="00E01BFD">
              <w:rPr>
                <w:rFonts w:cs="Arial"/>
                <w:sz w:val="18"/>
                <w:szCs w:val="18"/>
              </w:rPr>
              <w:t xml:space="preserve">Ralston, P., &amp; Blackhurst, J. (2020). Industry 4.0 and resilience in the supply chain: A driver of capability enhancement or capability loss? </w:t>
            </w:r>
            <w:r w:rsidRPr="00E01BFD">
              <w:rPr>
                <w:rFonts w:cs="Arial"/>
                <w:i/>
                <w:iCs/>
                <w:sz w:val="18"/>
                <w:szCs w:val="18"/>
              </w:rPr>
              <w:t>International Journal of Production Research</w:t>
            </w:r>
            <w:r w:rsidRPr="00E01BFD">
              <w:rPr>
                <w:rFonts w:cs="Arial"/>
                <w:sz w:val="18"/>
                <w:szCs w:val="18"/>
              </w:rPr>
              <w:t xml:space="preserve">, </w:t>
            </w:r>
            <w:r w:rsidRPr="00E01BFD">
              <w:rPr>
                <w:rFonts w:cs="Arial"/>
                <w:i/>
                <w:iCs/>
                <w:sz w:val="18"/>
                <w:szCs w:val="18"/>
              </w:rPr>
              <w:t>58</w:t>
            </w:r>
            <w:r w:rsidRPr="00E01BFD">
              <w:rPr>
                <w:rFonts w:cs="Arial"/>
                <w:sz w:val="18"/>
                <w:szCs w:val="18"/>
              </w:rPr>
              <w:t>(16), 5006–5019. Resilience. https://doi.org/10.1080/00207543.2020.1736724</w:t>
            </w:r>
          </w:p>
          <w:p w14:paraId="1604B8A2" w14:textId="77777777" w:rsidR="00E01BFD" w:rsidRPr="00E01BFD" w:rsidRDefault="00E01BFD" w:rsidP="00E01BFD">
            <w:pPr>
              <w:pStyle w:val="af9"/>
              <w:adjustRightInd w:val="0"/>
              <w:snapToGrid w:val="0"/>
              <w:spacing w:line="276" w:lineRule="auto"/>
              <w:rPr>
                <w:rFonts w:cs="Arial"/>
                <w:sz w:val="18"/>
                <w:szCs w:val="18"/>
              </w:rPr>
            </w:pPr>
            <w:r w:rsidRPr="00E01BFD">
              <w:rPr>
                <w:rFonts w:cs="Arial"/>
                <w:sz w:val="18"/>
                <w:szCs w:val="18"/>
              </w:rPr>
              <w:t xml:space="preserve">Scuotto, V., Nicotra, M., Del Giudice, M., Krueger, N., &amp; Gregori, G. L. (2021). A microfoundational perspective on SMEs’ growth in the digital transformation era. </w:t>
            </w:r>
            <w:r w:rsidRPr="00E01BFD">
              <w:rPr>
                <w:rFonts w:cs="Arial"/>
                <w:i/>
                <w:iCs/>
                <w:sz w:val="18"/>
                <w:szCs w:val="18"/>
              </w:rPr>
              <w:t>Journal of Business Research</w:t>
            </w:r>
            <w:r w:rsidRPr="00E01BFD">
              <w:rPr>
                <w:rFonts w:cs="Arial"/>
                <w:sz w:val="18"/>
                <w:szCs w:val="18"/>
              </w:rPr>
              <w:t xml:space="preserve">, </w:t>
            </w:r>
            <w:r w:rsidRPr="00E01BFD">
              <w:rPr>
                <w:rFonts w:cs="Arial"/>
                <w:i/>
                <w:iCs/>
                <w:sz w:val="18"/>
                <w:szCs w:val="18"/>
              </w:rPr>
              <w:t>129</w:t>
            </w:r>
            <w:r w:rsidRPr="00E01BFD">
              <w:rPr>
                <w:rFonts w:cs="Arial"/>
                <w:sz w:val="18"/>
                <w:szCs w:val="18"/>
              </w:rPr>
              <w:t>, 382–392. DT. https://doi.org/10.1016/j.jbusres.2021.01.045</w:t>
            </w:r>
          </w:p>
          <w:p w14:paraId="4E2BE50F" w14:textId="77777777" w:rsidR="00E01BFD" w:rsidRPr="00E01BFD" w:rsidRDefault="00E01BFD" w:rsidP="00E01BFD">
            <w:pPr>
              <w:pStyle w:val="af9"/>
              <w:adjustRightInd w:val="0"/>
              <w:snapToGrid w:val="0"/>
              <w:spacing w:line="276" w:lineRule="auto"/>
              <w:rPr>
                <w:rFonts w:cs="Arial"/>
                <w:sz w:val="18"/>
                <w:szCs w:val="18"/>
              </w:rPr>
            </w:pPr>
            <w:r w:rsidRPr="00E01BFD">
              <w:rPr>
                <w:rFonts w:cs="Arial"/>
                <w:sz w:val="18"/>
                <w:szCs w:val="18"/>
              </w:rPr>
              <w:t xml:space="preserve">Sivarajah, U., Irani, Z., Gupta, S., &amp; Mahroof, K. (2020). Role of big data and social media analytics for business to business sustainability: A participatory web context. </w:t>
            </w:r>
            <w:r w:rsidRPr="00E01BFD">
              <w:rPr>
                <w:rFonts w:cs="Arial"/>
                <w:i/>
                <w:iCs/>
                <w:sz w:val="18"/>
                <w:szCs w:val="18"/>
              </w:rPr>
              <w:t>Industrial Marketing Management</w:t>
            </w:r>
            <w:r w:rsidRPr="00E01BFD">
              <w:rPr>
                <w:rFonts w:cs="Arial"/>
                <w:sz w:val="18"/>
                <w:szCs w:val="18"/>
              </w:rPr>
              <w:t xml:space="preserve">, </w:t>
            </w:r>
            <w:r w:rsidRPr="00E01BFD">
              <w:rPr>
                <w:rFonts w:cs="Arial"/>
                <w:i/>
                <w:iCs/>
                <w:sz w:val="18"/>
                <w:szCs w:val="18"/>
              </w:rPr>
              <w:t>86</w:t>
            </w:r>
            <w:r w:rsidRPr="00E01BFD">
              <w:rPr>
                <w:rFonts w:cs="Arial"/>
                <w:sz w:val="18"/>
                <w:szCs w:val="18"/>
              </w:rPr>
              <w:t>, 163–179. BDA. https://doi.org/10.1016/j.indmarman.2019.04.005</w:t>
            </w:r>
          </w:p>
          <w:p w14:paraId="04FF51DC" w14:textId="77777777" w:rsidR="00E01BFD" w:rsidRPr="00E01BFD" w:rsidRDefault="00E01BFD" w:rsidP="00E01BFD">
            <w:pPr>
              <w:pStyle w:val="af9"/>
              <w:adjustRightInd w:val="0"/>
              <w:snapToGrid w:val="0"/>
              <w:spacing w:line="276" w:lineRule="auto"/>
              <w:rPr>
                <w:rFonts w:cs="Arial"/>
                <w:sz w:val="18"/>
                <w:szCs w:val="18"/>
              </w:rPr>
            </w:pPr>
            <w:r w:rsidRPr="00E01BFD">
              <w:rPr>
                <w:rFonts w:cs="Arial"/>
                <w:sz w:val="18"/>
                <w:szCs w:val="18"/>
              </w:rPr>
              <w:t xml:space="preserve">Stentoft, J., Adsbøll Wickstrøm, K., Philipsen, K., &amp; Haug, A. (2021). Drivers and barriers for Industry 4.0 readiness and practice: Empirical evidence from small and medium-sized manufacturers. </w:t>
            </w:r>
            <w:r w:rsidRPr="00E01BFD">
              <w:rPr>
                <w:rFonts w:cs="Arial"/>
                <w:i/>
                <w:iCs/>
                <w:sz w:val="18"/>
                <w:szCs w:val="18"/>
              </w:rPr>
              <w:t>Production Planning &amp; Control</w:t>
            </w:r>
            <w:r w:rsidRPr="00E01BFD">
              <w:rPr>
                <w:rFonts w:cs="Arial"/>
                <w:sz w:val="18"/>
                <w:szCs w:val="18"/>
              </w:rPr>
              <w:t xml:space="preserve">, </w:t>
            </w:r>
            <w:r w:rsidRPr="00E01BFD">
              <w:rPr>
                <w:rFonts w:cs="Arial"/>
                <w:i/>
                <w:iCs/>
                <w:sz w:val="18"/>
                <w:szCs w:val="18"/>
              </w:rPr>
              <w:t>32</w:t>
            </w:r>
            <w:r w:rsidRPr="00E01BFD">
              <w:rPr>
                <w:rFonts w:cs="Arial"/>
                <w:sz w:val="18"/>
                <w:szCs w:val="18"/>
              </w:rPr>
              <w:t>(10), 811–828. https://doi.org/10.1080/09537287.2020.1768318</w:t>
            </w:r>
          </w:p>
          <w:p w14:paraId="51F41D7E" w14:textId="77777777" w:rsidR="00E01BFD" w:rsidRPr="00E01BFD" w:rsidRDefault="00E01BFD" w:rsidP="00E01BFD">
            <w:pPr>
              <w:pStyle w:val="af9"/>
              <w:adjustRightInd w:val="0"/>
              <w:snapToGrid w:val="0"/>
              <w:spacing w:line="276" w:lineRule="auto"/>
              <w:rPr>
                <w:rFonts w:cs="Arial"/>
                <w:sz w:val="18"/>
                <w:szCs w:val="18"/>
              </w:rPr>
            </w:pPr>
            <w:r w:rsidRPr="00E01BFD">
              <w:rPr>
                <w:rFonts w:cs="Arial"/>
                <w:sz w:val="18"/>
                <w:szCs w:val="18"/>
              </w:rPr>
              <w:t xml:space="preserve">Tavana, M., Shaabani, A., Raeesi Vanani, I., &amp; Kumar Gangadhari, R. (2022). A Review of Digital Transformation on Supply Chain Process Management Using Text Mining. </w:t>
            </w:r>
            <w:r w:rsidRPr="00E01BFD">
              <w:rPr>
                <w:rFonts w:cs="Arial"/>
                <w:i/>
                <w:iCs/>
                <w:sz w:val="18"/>
                <w:szCs w:val="18"/>
              </w:rPr>
              <w:t>Processes</w:t>
            </w:r>
            <w:r w:rsidRPr="00E01BFD">
              <w:rPr>
                <w:rFonts w:cs="Arial"/>
                <w:sz w:val="18"/>
                <w:szCs w:val="18"/>
              </w:rPr>
              <w:t xml:space="preserve">, </w:t>
            </w:r>
            <w:r w:rsidRPr="00E01BFD">
              <w:rPr>
                <w:rFonts w:cs="Arial"/>
                <w:i/>
                <w:iCs/>
                <w:sz w:val="18"/>
                <w:szCs w:val="18"/>
              </w:rPr>
              <w:t>10</w:t>
            </w:r>
            <w:r w:rsidRPr="00E01BFD">
              <w:rPr>
                <w:rFonts w:cs="Arial"/>
                <w:sz w:val="18"/>
                <w:szCs w:val="18"/>
              </w:rPr>
              <w:t>(5), 842. Digital Transformation. https://doi.org/10.3390/pr10050842</w:t>
            </w:r>
          </w:p>
          <w:p w14:paraId="1D1C49EF" w14:textId="77777777" w:rsidR="00E01BFD" w:rsidRPr="00E01BFD" w:rsidRDefault="00E01BFD" w:rsidP="00E01BFD">
            <w:pPr>
              <w:pStyle w:val="af9"/>
              <w:adjustRightInd w:val="0"/>
              <w:snapToGrid w:val="0"/>
              <w:spacing w:line="276" w:lineRule="auto"/>
              <w:rPr>
                <w:rFonts w:cs="Arial"/>
                <w:sz w:val="18"/>
                <w:szCs w:val="18"/>
              </w:rPr>
            </w:pPr>
            <w:r w:rsidRPr="00E01BFD">
              <w:rPr>
                <w:rFonts w:cs="Arial"/>
                <w:sz w:val="18"/>
                <w:szCs w:val="18"/>
              </w:rPr>
              <w:t xml:space="preserve">Verhoef, P. C., Broekhuizen, T., Bart, Y., Bhattacharya, A., Qi Dong, J., Fabian, N., &amp; Haenlein, M. (2021). Digital transformation: A multidisciplinary reflection and research agenda. </w:t>
            </w:r>
            <w:r w:rsidRPr="00E01BFD">
              <w:rPr>
                <w:rFonts w:cs="Arial"/>
                <w:i/>
                <w:iCs/>
                <w:sz w:val="18"/>
                <w:szCs w:val="18"/>
              </w:rPr>
              <w:t>Journal of Business Research</w:t>
            </w:r>
            <w:r w:rsidRPr="00E01BFD">
              <w:rPr>
                <w:rFonts w:cs="Arial"/>
                <w:sz w:val="18"/>
                <w:szCs w:val="18"/>
              </w:rPr>
              <w:t xml:space="preserve">, </w:t>
            </w:r>
            <w:r w:rsidRPr="00E01BFD">
              <w:rPr>
                <w:rFonts w:cs="Arial"/>
                <w:i/>
                <w:iCs/>
                <w:sz w:val="18"/>
                <w:szCs w:val="18"/>
              </w:rPr>
              <w:t>122</w:t>
            </w:r>
            <w:r w:rsidRPr="00E01BFD">
              <w:rPr>
                <w:rFonts w:cs="Arial"/>
                <w:sz w:val="18"/>
                <w:szCs w:val="18"/>
              </w:rPr>
              <w:t>, 889–901. Perfromance. https://doi.org/10.1016/j.jbusres.2019.09.022</w:t>
            </w:r>
          </w:p>
          <w:p w14:paraId="614D2386" w14:textId="77777777" w:rsidR="00E01BFD" w:rsidRPr="00E01BFD" w:rsidRDefault="00E01BFD" w:rsidP="00E01BFD">
            <w:pPr>
              <w:pStyle w:val="af9"/>
              <w:adjustRightInd w:val="0"/>
              <w:snapToGrid w:val="0"/>
              <w:spacing w:line="276" w:lineRule="auto"/>
              <w:rPr>
                <w:rFonts w:cs="Arial"/>
                <w:sz w:val="18"/>
                <w:szCs w:val="18"/>
              </w:rPr>
            </w:pPr>
            <w:r w:rsidRPr="00E01BFD">
              <w:rPr>
                <w:rFonts w:cs="Arial"/>
                <w:sz w:val="18"/>
                <w:szCs w:val="18"/>
              </w:rPr>
              <w:t xml:space="preserve">Vial, G. (2019). Understanding digital transformation: A review and a research agenda. </w:t>
            </w:r>
            <w:r w:rsidRPr="00E01BFD">
              <w:rPr>
                <w:rFonts w:cs="Arial"/>
                <w:i/>
                <w:iCs/>
                <w:sz w:val="18"/>
                <w:szCs w:val="18"/>
              </w:rPr>
              <w:t>The Journal of Strategic Information Systems</w:t>
            </w:r>
            <w:r w:rsidRPr="00E01BFD">
              <w:rPr>
                <w:rFonts w:cs="Arial"/>
                <w:sz w:val="18"/>
                <w:szCs w:val="18"/>
              </w:rPr>
              <w:t xml:space="preserve">, </w:t>
            </w:r>
            <w:r w:rsidRPr="00E01BFD">
              <w:rPr>
                <w:rFonts w:cs="Arial"/>
                <w:i/>
                <w:iCs/>
                <w:sz w:val="18"/>
                <w:szCs w:val="18"/>
              </w:rPr>
              <w:t>28</w:t>
            </w:r>
            <w:r w:rsidRPr="00E01BFD">
              <w:rPr>
                <w:rFonts w:cs="Arial"/>
                <w:sz w:val="18"/>
                <w:szCs w:val="18"/>
              </w:rPr>
              <w:t>(2), 118–144. DT. https://doi.org/10.1016/j.jsis.2019.01.003</w:t>
            </w:r>
          </w:p>
          <w:p w14:paraId="6758B361" w14:textId="77777777" w:rsidR="00E01BFD" w:rsidRPr="00E01BFD" w:rsidRDefault="00E01BFD" w:rsidP="00E01BFD">
            <w:pPr>
              <w:pStyle w:val="af9"/>
              <w:adjustRightInd w:val="0"/>
              <w:snapToGrid w:val="0"/>
              <w:spacing w:line="276" w:lineRule="auto"/>
              <w:rPr>
                <w:rFonts w:cs="Arial"/>
                <w:sz w:val="18"/>
                <w:szCs w:val="18"/>
              </w:rPr>
            </w:pPr>
            <w:r w:rsidRPr="00E01BFD">
              <w:rPr>
                <w:rFonts w:cs="Arial"/>
                <w:sz w:val="18"/>
                <w:szCs w:val="18"/>
              </w:rPr>
              <w:lastRenderedPageBreak/>
              <w:t xml:space="preserve">Wang, G., Xu, Y., &amp; Ren, H. (2019). Intelligent and ecological coal mining as well as clean utilization technology in China: Review and prospects. </w:t>
            </w:r>
            <w:r w:rsidRPr="00E01BFD">
              <w:rPr>
                <w:rFonts w:cs="Arial"/>
                <w:i/>
                <w:iCs/>
                <w:sz w:val="18"/>
                <w:szCs w:val="18"/>
              </w:rPr>
              <w:t>International Journal of Mining Science and Technology</w:t>
            </w:r>
            <w:r w:rsidRPr="00E01BFD">
              <w:rPr>
                <w:rFonts w:cs="Arial"/>
                <w:sz w:val="18"/>
                <w:szCs w:val="18"/>
              </w:rPr>
              <w:t xml:space="preserve">, </w:t>
            </w:r>
            <w:r w:rsidRPr="00E01BFD">
              <w:rPr>
                <w:rFonts w:cs="Arial"/>
                <w:i/>
                <w:iCs/>
                <w:sz w:val="18"/>
                <w:szCs w:val="18"/>
              </w:rPr>
              <w:t>29</w:t>
            </w:r>
            <w:r w:rsidRPr="00E01BFD">
              <w:rPr>
                <w:rFonts w:cs="Arial"/>
                <w:sz w:val="18"/>
                <w:szCs w:val="18"/>
              </w:rPr>
              <w:t>(2), 161–169. https://doi.org/10.1016/j.ijmst.2018.06.005</w:t>
            </w:r>
          </w:p>
          <w:p w14:paraId="50E67910" w14:textId="77777777" w:rsidR="00E01BFD" w:rsidRPr="00E01BFD" w:rsidRDefault="00E01BFD" w:rsidP="00E01BFD">
            <w:pPr>
              <w:pStyle w:val="af9"/>
              <w:adjustRightInd w:val="0"/>
              <w:snapToGrid w:val="0"/>
              <w:spacing w:line="276" w:lineRule="auto"/>
              <w:rPr>
                <w:rFonts w:cs="Arial"/>
                <w:sz w:val="18"/>
                <w:szCs w:val="18"/>
              </w:rPr>
            </w:pPr>
            <w:r w:rsidRPr="00E01BFD">
              <w:rPr>
                <w:rFonts w:cs="Arial"/>
                <w:sz w:val="18"/>
                <w:szCs w:val="18"/>
              </w:rPr>
              <w:t xml:space="preserve">Wei, R., &amp; Pardo, C. (2022). Artificial intelligence and SMEs: How can B2B SMEs leverage AI platforms to integrate AI technologies? </w:t>
            </w:r>
            <w:r w:rsidRPr="00E01BFD">
              <w:rPr>
                <w:rFonts w:cs="Arial"/>
                <w:i/>
                <w:iCs/>
                <w:sz w:val="18"/>
                <w:szCs w:val="18"/>
              </w:rPr>
              <w:t>Industrial Marketing Management</w:t>
            </w:r>
            <w:r w:rsidRPr="00E01BFD">
              <w:rPr>
                <w:rFonts w:cs="Arial"/>
                <w:sz w:val="18"/>
                <w:szCs w:val="18"/>
              </w:rPr>
              <w:t xml:space="preserve">, </w:t>
            </w:r>
            <w:r w:rsidRPr="00E01BFD">
              <w:rPr>
                <w:rFonts w:cs="Arial"/>
                <w:i/>
                <w:iCs/>
                <w:sz w:val="18"/>
                <w:szCs w:val="18"/>
              </w:rPr>
              <w:t>107</w:t>
            </w:r>
            <w:r w:rsidRPr="00E01BFD">
              <w:rPr>
                <w:rFonts w:cs="Arial"/>
                <w:sz w:val="18"/>
                <w:szCs w:val="18"/>
              </w:rPr>
              <w:t>, 466–483. Platform. https://doi.org/10.1016/j.indmarman.2022.10.008</w:t>
            </w:r>
          </w:p>
          <w:p w14:paraId="34BF3913" w14:textId="77777777" w:rsidR="00E01BFD" w:rsidRPr="00E01BFD" w:rsidRDefault="00E01BFD" w:rsidP="00E01BFD">
            <w:pPr>
              <w:pStyle w:val="af9"/>
              <w:adjustRightInd w:val="0"/>
              <w:snapToGrid w:val="0"/>
              <w:spacing w:line="276" w:lineRule="auto"/>
              <w:rPr>
                <w:rFonts w:cs="Arial"/>
                <w:sz w:val="18"/>
                <w:szCs w:val="18"/>
              </w:rPr>
            </w:pPr>
            <w:r w:rsidRPr="00E01BFD">
              <w:rPr>
                <w:rFonts w:cs="Arial"/>
                <w:sz w:val="18"/>
                <w:szCs w:val="18"/>
              </w:rPr>
              <w:t xml:space="preserve">Xie, J., Li, S., &amp; Wang, X. (2022). A digital smart product service system and a case study of the mining industry: MSPSS. </w:t>
            </w:r>
            <w:r w:rsidRPr="00E01BFD">
              <w:rPr>
                <w:rFonts w:cs="Arial"/>
                <w:i/>
                <w:iCs/>
                <w:sz w:val="18"/>
                <w:szCs w:val="18"/>
              </w:rPr>
              <w:t>Advanced Engineering Informatics</w:t>
            </w:r>
            <w:r w:rsidRPr="00E01BFD">
              <w:rPr>
                <w:rFonts w:cs="Arial"/>
                <w:sz w:val="18"/>
                <w:szCs w:val="18"/>
              </w:rPr>
              <w:t xml:space="preserve">, </w:t>
            </w:r>
            <w:r w:rsidRPr="00E01BFD">
              <w:rPr>
                <w:rFonts w:cs="Arial"/>
                <w:i/>
                <w:iCs/>
                <w:sz w:val="18"/>
                <w:szCs w:val="18"/>
              </w:rPr>
              <w:t>53</w:t>
            </w:r>
            <w:r w:rsidRPr="00E01BFD">
              <w:rPr>
                <w:rFonts w:cs="Arial"/>
                <w:sz w:val="18"/>
                <w:szCs w:val="18"/>
              </w:rPr>
              <w:t>, 101694. https://doi.org/10.1016/j.aei.2022.101694</w:t>
            </w:r>
          </w:p>
          <w:p w14:paraId="26FD54B6" w14:textId="77777777" w:rsidR="00E01BFD" w:rsidRPr="00E01BFD" w:rsidRDefault="00E01BFD" w:rsidP="00E01BFD">
            <w:pPr>
              <w:pStyle w:val="af9"/>
              <w:adjustRightInd w:val="0"/>
              <w:snapToGrid w:val="0"/>
              <w:spacing w:line="276" w:lineRule="auto"/>
              <w:rPr>
                <w:rFonts w:cs="Arial"/>
                <w:sz w:val="18"/>
                <w:szCs w:val="18"/>
              </w:rPr>
            </w:pPr>
            <w:r w:rsidRPr="00E01BFD">
              <w:rPr>
                <w:rFonts w:cs="Arial"/>
                <w:sz w:val="18"/>
                <w:szCs w:val="18"/>
              </w:rPr>
              <w:t xml:space="preserve">Xie, X., Han, Y., Anderson, A., &amp; Ribeiro-Navarrete, S. (2022). Digital platforms and SMEs’ business model innovation: Exploring the mediating mechanisms of capability reconfiguration. </w:t>
            </w:r>
            <w:r w:rsidRPr="00E01BFD">
              <w:rPr>
                <w:rFonts w:cs="Arial"/>
                <w:i/>
                <w:iCs/>
                <w:sz w:val="18"/>
                <w:szCs w:val="18"/>
              </w:rPr>
              <w:t>International Journal of Information Management</w:t>
            </w:r>
            <w:r w:rsidRPr="00E01BFD">
              <w:rPr>
                <w:rFonts w:cs="Arial"/>
                <w:sz w:val="18"/>
                <w:szCs w:val="18"/>
              </w:rPr>
              <w:t xml:space="preserve">, </w:t>
            </w:r>
            <w:r w:rsidRPr="00E01BFD">
              <w:rPr>
                <w:rFonts w:cs="Arial"/>
                <w:i/>
                <w:iCs/>
                <w:sz w:val="18"/>
                <w:szCs w:val="18"/>
              </w:rPr>
              <w:t>65</w:t>
            </w:r>
            <w:r w:rsidRPr="00E01BFD">
              <w:rPr>
                <w:rFonts w:cs="Arial"/>
                <w:sz w:val="18"/>
                <w:szCs w:val="18"/>
              </w:rPr>
              <w:t>, 102513. Platform. https://doi.org/10.1016/j.ijinfomgt.2022.102513</w:t>
            </w:r>
          </w:p>
          <w:p w14:paraId="5FA7968B" w14:textId="77777777" w:rsidR="00E01BFD" w:rsidRPr="00E01BFD" w:rsidRDefault="00E01BFD" w:rsidP="00E01BFD">
            <w:pPr>
              <w:pStyle w:val="af9"/>
              <w:adjustRightInd w:val="0"/>
              <w:snapToGrid w:val="0"/>
              <w:spacing w:line="276" w:lineRule="auto"/>
              <w:rPr>
                <w:rFonts w:cs="Arial"/>
                <w:sz w:val="18"/>
                <w:szCs w:val="18"/>
              </w:rPr>
            </w:pPr>
            <w:r w:rsidRPr="00E01BFD">
              <w:rPr>
                <w:rFonts w:cs="Arial"/>
                <w:sz w:val="18"/>
                <w:szCs w:val="18"/>
              </w:rPr>
              <w:t xml:space="preserve">Xu, C., Zhu, S., Yang, B., Miao, B., &amp; Duan, Y. (2023). A Review of Policy Framework Research on Promoting Sustainable Transformation of Digital Innovation. </w:t>
            </w:r>
            <w:r w:rsidRPr="00E01BFD">
              <w:rPr>
                <w:rFonts w:cs="Arial"/>
                <w:i/>
                <w:iCs/>
                <w:sz w:val="18"/>
                <w:szCs w:val="18"/>
              </w:rPr>
              <w:t>Sustainability</w:t>
            </w:r>
            <w:r w:rsidRPr="00E01BFD">
              <w:rPr>
                <w:rFonts w:cs="Arial"/>
                <w:sz w:val="18"/>
                <w:szCs w:val="18"/>
              </w:rPr>
              <w:t xml:space="preserve">, </w:t>
            </w:r>
            <w:r w:rsidRPr="00E01BFD">
              <w:rPr>
                <w:rFonts w:cs="Arial"/>
                <w:i/>
                <w:iCs/>
                <w:sz w:val="18"/>
                <w:szCs w:val="18"/>
              </w:rPr>
              <w:t>15</w:t>
            </w:r>
            <w:r w:rsidRPr="00E01BFD">
              <w:rPr>
                <w:rFonts w:cs="Arial"/>
                <w:sz w:val="18"/>
                <w:szCs w:val="18"/>
              </w:rPr>
              <w:t>(9), 7169. https://doi.org/10.3390/su15097169</w:t>
            </w:r>
          </w:p>
          <w:p w14:paraId="3B4736D3" w14:textId="77777777" w:rsidR="00E01BFD" w:rsidRPr="00E01BFD" w:rsidRDefault="00E01BFD" w:rsidP="00E01BFD">
            <w:pPr>
              <w:pStyle w:val="af9"/>
              <w:adjustRightInd w:val="0"/>
              <w:snapToGrid w:val="0"/>
              <w:spacing w:line="276" w:lineRule="auto"/>
              <w:rPr>
                <w:rFonts w:cs="Arial"/>
                <w:sz w:val="18"/>
                <w:szCs w:val="18"/>
              </w:rPr>
            </w:pPr>
            <w:r w:rsidRPr="00E01BFD">
              <w:rPr>
                <w:rFonts w:cs="Arial"/>
                <w:sz w:val="18"/>
                <w:szCs w:val="18"/>
              </w:rPr>
              <w:t xml:space="preserve">Xu, X., Hou, G., &amp; Wang, J. (2022). Research on Digital Transformation Based on Complex Systems: Visualization of Knowledge Maps and Construction of a Theoretical Framework. </w:t>
            </w:r>
            <w:r w:rsidRPr="00E01BFD">
              <w:rPr>
                <w:rFonts w:cs="Arial"/>
                <w:i/>
                <w:iCs/>
                <w:sz w:val="18"/>
                <w:szCs w:val="18"/>
              </w:rPr>
              <w:t>Sustainability</w:t>
            </w:r>
            <w:r w:rsidRPr="00E01BFD">
              <w:rPr>
                <w:rFonts w:cs="Arial"/>
                <w:sz w:val="18"/>
                <w:szCs w:val="18"/>
              </w:rPr>
              <w:t xml:space="preserve">, </w:t>
            </w:r>
            <w:r w:rsidRPr="00E01BFD">
              <w:rPr>
                <w:rFonts w:cs="Arial"/>
                <w:i/>
                <w:iCs/>
                <w:sz w:val="18"/>
                <w:szCs w:val="18"/>
              </w:rPr>
              <w:t>14</w:t>
            </w:r>
            <w:r w:rsidRPr="00E01BFD">
              <w:rPr>
                <w:rFonts w:cs="Arial"/>
                <w:sz w:val="18"/>
                <w:szCs w:val="18"/>
              </w:rPr>
              <w:t>(5), 2683. https://doi.org/10.3390/su14052683</w:t>
            </w:r>
          </w:p>
          <w:p w14:paraId="360F1ECF" w14:textId="77777777" w:rsidR="00E01BFD" w:rsidRPr="00E01BFD" w:rsidRDefault="00E01BFD" w:rsidP="00E01BFD">
            <w:pPr>
              <w:pStyle w:val="af9"/>
              <w:adjustRightInd w:val="0"/>
              <w:snapToGrid w:val="0"/>
              <w:spacing w:line="276" w:lineRule="auto"/>
              <w:rPr>
                <w:rFonts w:cs="Arial"/>
                <w:sz w:val="18"/>
                <w:szCs w:val="18"/>
              </w:rPr>
            </w:pPr>
            <w:r w:rsidRPr="00E01BFD">
              <w:rPr>
                <w:rFonts w:cs="Arial"/>
                <w:sz w:val="18"/>
                <w:szCs w:val="18"/>
              </w:rPr>
              <w:t xml:space="preserve">Xu, Y., Wang, L., Xiong, Y., Wang, M., &amp; Xie, X. (2023). Does digital transformation foster corporate social responsibility? Evidence from Chinese mining industry. </w:t>
            </w:r>
            <w:r w:rsidRPr="00E01BFD">
              <w:rPr>
                <w:rFonts w:cs="Arial"/>
                <w:i/>
                <w:iCs/>
                <w:sz w:val="18"/>
                <w:szCs w:val="18"/>
              </w:rPr>
              <w:t>Journal of Environmental Management</w:t>
            </w:r>
            <w:r w:rsidRPr="00E01BFD">
              <w:rPr>
                <w:rFonts w:cs="Arial"/>
                <w:sz w:val="18"/>
                <w:szCs w:val="18"/>
              </w:rPr>
              <w:t xml:space="preserve">, </w:t>
            </w:r>
            <w:r w:rsidRPr="00E01BFD">
              <w:rPr>
                <w:rFonts w:cs="Arial"/>
                <w:i/>
                <w:iCs/>
                <w:sz w:val="18"/>
                <w:szCs w:val="18"/>
              </w:rPr>
              <w:t>344</w:t>
            </w:r>
            <w:r w:rsidRPr="00E01BFD">
              <w:rPr>
                <w:rFonts w:cs="Arial"/>
                <w:sz w:val="18"/>
                <w:szCs w:val="18"/>
              </w:rPr>
              <w:t>, 118646. https://doi.org/10.1016/j.jenvman.2023.118646</w:t>
            </w:r>
          </w:p>
          <w:p w14:paraId="7D1DC316" w14:textId="77777777" w:rsidR="00E01BFD" w:rsidRPr="00E01BFD" w:rsidRDefault="00E01BFD" w:rsidP="00E01BFD">
            <w:pPr>
              <w:pStyle w:val="af9"/>
              <w:adjustRightInd w:val="0"/>
              <w:snapToGrid w:val="0"/>
              <w:spacing w:line="276" w:lineRule="auto"/>
              <w:rPr>
                <w:rFonts w:cs="Arial"/>
                <w:sz w:val="18"/>
                <w:szCs w:val="18"/>
              </w:rPr>
            </w:pPr>
            <w:r w:rsidRPr="00E01BFD">
              <w:rPr>
                <w:rFonts w:cs="Arial"/>
                <w:sz w:val="18"/>
                <w:szCs w:val="18"/>
              </w:rPr>
              <w:t xml:space="preserve">Yang, J., Huang, Q., Ge, S., Wang, X., Chen, L., Guo, Y., &amp; Gui, T. (2023). On Intelligent Mining With Parallel Intelligence. </w:t>
            </w:r>
            <w:r w:rsidRPr="00E01BFD">
              <w:rPr>
                <w:rFonts w:cs="Arial"/>
                <w:i/>
                <w:iCs/>
                <w:sz w:val="18"/>
                <w:szCs w:val="18"/>
              </w:rPr>
              <w:t>IEEE Transactions on Intelligent Vehicles</w:t>
            </w:r>
            <w:r w:rsidRPr="00E01BFD">
              <w:rPr>
                <w:rFonts w:cs="Arial"/>
                <w:sz w:val="18"/>
                <w:szCs w:val="18"/>
              </w:rPr>
              <w:t xml:space="preserve">, </w:t>
            </w:r>
            <w:r w:rsidRPr="00E01BFD">
              <w:rPr>
                <w:rFonts w:cs="Arial"/>
                <w:i/>
                <w:iCs/>
                <w:sz w:val="18"/>
                <w:szCs w:val="18"/>
              </w:rPr>
              <w:t>8</w:t>
            </w:r>
            <w:r w:rsidRPr="00E01BFD">
              <w:rPr>
                <w:rFonts w:cs="Arial"/>
                <w:sz w:val="18"/>
                <w:szCs w:val="18"/>
              </w:rPr>
              <w:t>(10), 4296–4300. https://doi.org/10.1109/TIV.2023.3316132</w:t>
            </w:r>
          </w:p>
          <w:p w14:paraId="79D225AA" w14:textId="77777777" w:rsidR="00E01BFD" w:rsidRPr="00E01BFD" w:rsidRDefault="00E01BFD" w:rsidP="00E01BFD">
            <w:pPr>
              <w:pStyle w:val="af9"/>
              <w:adjustRightInd w:val="0"/>
              <w:snapToGrid w:val="0"/>
              <w:spacing w:line="276" w:lineRule="auto"/>
              <w:rPr>
                <w:rFonts w:cs="Arial"/>
                <w:sz w:val="18"/>
                <w:szCs w:val="18"/>
              </w:rPr>
            </w:pPr>
            <w:r w:rsidRPr="00E01BFD">
              <w:rPr>
                <w:rFonts w:cs="Arial"/>
                <w:sz w:val="18"/>
                <w:szCs w:val="18"/>
              </w:rPr>
              <w:t xml:space="preserve">Young, A., &amp; Rogers, P. (2019). A Review of Digital Transformation in Mining. </w:t>
            </w:r>
            <w:r w:rsidRPr="00E01BFD">
              <w:rPr>
                <w:rFonts w:cs="Arial"/>
                <w:i/>
                <w:iCs/>
                <w:sz w:val="18"/>
                <w:szCs w:val="18"/>
              </w:rPr>
              <w:t>Mining, Metallurgy &amp; Exploration</w:t>
            </w:r>
            <w:r w:rsidRPr="00E01BFD">
              <w:rPr>
                <w:rFonts w:cs="Arial"/>
                <w:sz w:val="18"/>
                <w:szCs w:val="18"/>
              </w:rPr>
              <w:t xml:space="preserve">, </w:t>
            </w:r>
            <w:r w:rsidRPr="00E01BFD">
              <w:rPr>
                <w:rFonts w:cs="Arial"/>
                <w:i/>
                <w:iCs/>
                <w:sz w:val="18"/>
                <w:szCs w:val="18"/>
              </w:rPr>
              <w:t>36</w:t>
            </w:r>
            <w:r w:rsidRPr="00E01BFD">
              <w:rPr>
                <w:rFonts w:cs="Arial"/>
                <w:sz w:val="18"/>
                <w:szCs w:val="18"/>
              </w:rPr>
              <w:t>(4), 683–699. https://doi.org/10.1007/s42461-019-00103-w</w:t>
            </w:r>
          </w:p>
          <w:p w14:paraId="0DFBE292" w14:textId="77777777" w:rsidR="00E01BFD" w:rsidRPr="00E01BFD" w:rsidRDefault="00E01BFD" w:rsidP="00E01BFD">
            <w:pPr>
              <w:pStyle w:val="af9"/>
              <w:adjustRightInd w:val="0"/>
              <w:snapToGrid w:val="0"/>
              <w:spacing w:line="276" w:lineRule="auto"/>
              <w:rPr>
                <w:rFonts w:cs="Arial"/>
                <w:sz w:val="18"/>
                <w:szCs w:val="18"/>
              </w:rPr>
            </w:pPr>
            <w:r w:rsidRPr="00E01BFD">
              <w:rPr>
                <w:rFonts w:cs="Arial"/>
                <w:sz w:val="18"/>
                <w:szCs w:val="18"/>
              </w:rPr>
              <w:t xml:space="preserve">Yu, W., Zhang, L., &amp; Yang, C. (2023). The impact of the digital economy on enterprise innovation behavior: Based on CiteSpace knowledge graph analysis. </w:t>
            </w:r>
            <w:r w:rsidRPr="00E01BFD">
              <w:rPr>
                <w:rFonts w:cs="Arial"/>
                <w:i/>
                <w:iCs/>
                <w:sz w:val="18"/>
                <w:szCs w:val="18"/>
              </w:rPr>
              <w:t>Frontiers in Psychology</w:t>
            </w:r>
            <w:r w:rsidRPr="00E01BFD">
              <w:rPr>
                <w:rFonts w:cs="Arial"/>
                <w:sz w:val="18"/>
                <w:szCs w:val="18"/>
              </w:rPr>
              <w:t xml:space="preserve">, </w:t>
            </w:r>
            <w:r w:rsidRPr="00E01BFD">
              <w:rPr>
                <w:rFonts w:cs="Arial"/>
                <w:i/>
                <w:iCs/>
                <w:sz w:val="18"/>
                <w:szCs w:val="18"/>
              </w:rPr>
              <w:t>14</w:t>
            </w:r>
            <w:r w:rsidRPr="00E01BFD">
              <w:rPr>
                <w:rFonts w:cs="Arial"/>
                <w:sz w:val="18"/>
                <w:szCs w:val="18"/>
              </w:rPr>
              <w:t>, 1031294. Perfromance. https://doi.org/10.3389/fpsyg.2023.1031294</w:t>
            </w:r>
          </w:p>
          <w:p w14:paraId="132FBF9A" w14:textId="77777777" w:rsidR="00E01BFD" w:rsidRPr="00E01BFD" w:rsidRDefault="00E01BFD" w:rsidP="00E01BFD">
            <w:pPr>
              <w:pStyle w:val="af9"/>
              <w:adjustRightInd w:val="0"/>
              <w:snapToGrid w:val="0"/>
              <w:spacing w:line="276" w:lineRule="auto"/>
              <w:rPr>
                <w:rFonts w:cs="Arial"/>
                <w:sz w:val="18"/>
                <w:szCs w:val="18"/>
              </w:rPr>
            </w:pPr>
            <w:r w:rsidRPr="00E01BFD">
              <w:rPr>
                <w:rFonts w:cs="Arial"/>
                <w:sz w:val="18"/>
                <w:szCs w:val="18"/>
              </w:rPr>
              <w:t xml:space="preserve">Zhironkin, S., &amp; Taran, E. (2023). Development of Surface Mining 4.0 in Terms of Technological Shock in Energy Transition: A Review. </w:t>
            </w:r>
            <w:r w:rsidRPr="00E01BFD">
              <w:rPr>
                <w:rFonts w:cs="Arial"/>
                <w:i/>
                <w:iCs/>
                <w:sz w:val="18"/>
                <w:szCs w:val="18"/>
              </w:rPr>
              <w:t>Energies</w:t>
            </w:r>
            <w:r w:rsidRPr="00E01BFD">
              <w:rPr>
                <w:rFonts w:cs="Arial"/>
                <w:sz w:val="18"/>
                <w:szCs w:val="18"/>
              </w:rPr>
              <w:t xml:space="preserve">, </w:t>
            </w:r>
            <w:r w:rsidRPr="00E01BFD">
              <w:rPr>
                <w:rFonts w:cs="Arial"/>
                <w:i/>
                <w:iCs/>
                <w:sz w:val="18"/>
                <w:szCs w:val="18"/>
              </w:rPr>
              <w:t>16</w:t>
            </w:r>
            <w:r w:rsidRPr="00E01BFD">
              <w:rPr>
                <w:rFonts w:cs="Arial"/>
                <w:sz w:val="18"/>
                <w:szCs w:val="18"/>
              </w:rPr>
              <w:t>(9), 3639. https://doi.org/10.3390/en16093639</w:t>
            </w:r>
          </w:p>
          <w:p w14:paraId="29D63224" w14:textId="77777777" w:rsidR="00E01BFD" w:rsidRPr="00E01BFD" w:rsidRDefault="00E01BFD" w:rsidP="00E01BFD">
            <w:pPr>
              <w:pStyle w:val="af9"/>
              <w:adjustRightInd w:val="0"/>
              <w:snapToGrid w:val="0"/>
              <w:spacing w:line="276" w:lineRule="auto"/>
              <w:rPr>
                <w:rFonts w:cs="Arial"/>
                <w:sz w:val="18"/>
                <w:szCs w:val="18"/>
              </w:rPr>
            </w:pPr>
            <w:r w:rsidRPr="00E01BFD">
              <w:rPr>
                <w:rFonts w:cs="Arial"/>
                <w:sz w:val="18"/>
                <w:szCs w:val="18"/>
              </w:rPr>
              <w:t xml:space="preserve">Zhong, R. Y., Huang, G. Q., Lan, S., Dai, Q. Y., Chen, X., &amp; Zhang, T. (2015). A big data approach for logistics trajectory discovery from RFID-enabled production data. </w:t>
            </w:r>
            <w:r w:rsidRPr="00E01BFD">
              <w:rPr>
                <w:rFonts w:cs="Arial"/>
                <w:i/>
                <w:iCs/>
                <w:sz w:val="18"/>
                <w:szCs w:val="18"/>
              </w:rPr>
              <w:t>International Journal of Production Economics</w:t>
            </w:r>
            <w:r w:rsidRPr="00E01BFD">
              <w:rPr>
                <w:rFonts w:cs="Arial"/>
                <w:sz w:val="18"/>
                <w:szCs w:val="18"/>
              </w:rPr>
              <w:t xml:space="preserve">, </w:t>
            </w:r>
            <w:r w:rsidRPr="00E01BFD">
              <w:rPr>
                <w:rFonts w:cs="Arial"/>
                <w:i/>
                <w:iCs/>
                <w:sz w:val="18"/>
                <w:szCs w:val="18"/>
              </w:rPr>
              <w:t>165</w:t>
            </w:r>
            <w:r w:rsidRPr="00E01BFD">
              <w:rPr>
                <w:rFonts w:cs="Arial"/>
                <w:sz w:val="18"/>
                <w:szCs w:val="18"/>
              </w:rPr>
              <w:t>, 260–272. Iot. https://doi.org/10.1016/j.ijpe.2015.02.014</w:t>
            </w:r>
          </w:p>
          <w:p w14:paraId="194E5597" w14:textId="77777777" w:rsidR="00E01BFD" w:rsidRPr="00E01BFD" w:rsidRDefault="00E01BFD" w:rsidP="00E01BFD">
            <w:pPr>
              <w:pStyle w:val="af9"/>
              <w:adjustRightInd w:val="0"/>
              <w:snapToGrid w:val="0"/>
              <w:spacing w:line="276" w:lineRule="auto"/>
              <w:rPr>
                <w:rFonts w:cs="Arial"/>
                <w:sz w:val="18"/>
                <w:szCs w:val="18"/>
              </w:rPr>
            </w:pPr>
            <w:r w:rsidRPr="00E01BFD">
              <w:rPr>
                <w:rFonts w:cs="Arial"/>
                <w:sz w:val="18"/>
                <w:szCs w:val="18"/>
              </w:rPr>
              <w:t xml:space="preserve">Zhu, X., Ge, S., &amp; Wang, N. (2021). Digital transformation: A systematic literature review. </w:t>
            </w:r>
            <w:r w:rsidRPr="00E01BFD">
              <w:rPr>
                <w:rFonts w:cs="Arial"/>
                <w:i/>
                <w:iCs/>
                <w:sz w:val="18"/>
                <w:szCs w:val="18"/>
              </w:rPr>
              <w:t>Computers &amp; Industrial Engineering</w:t>
            </w:r>
            <w:r w:rsidRPr="00E01BFD">
              <w:rPr>
                <w:rFonts w:cs="Arial"/>
                <w:sz w:val="18"/>
                <w:szCs w:val="18"/>
              </w:rPr>
              <w:t xml:space="preserve">, </w:t>
            </w:r>
            <w:r w:rsidRPr="00E01BFD">
              <w:rPr>
                <w:rFonts w:cs="Arial"/>
                <w:i/>
                <w:iCs/>
                <w:sz w:val="18"/>
                <w:szCs w:val="18"/>
              </w:rPr>
              <w:t>162</w:t>
            </w:r>
            <w:r w:rsidRPr="00E01BFD">
              <w:rPr>
                <w:rFonts w:cs="Arial"/>
                <w:sz w:val="18"/>
                <w:szCs w:val="18"/>
              </w:rPr>
              <w:t>, 107774. Digital Transformation. https://doi.org/10.1016/j.cie.2021.107774</w:t>
            </w:r>
          </w:p>
          <w:p w14:paraId="1A6DE6F6" w14:textId="6D363268" w:rsidR="00D03BB7" w:rsidRPr="00AC4DCF" w:rsidRDefault="00E01BFD" w:rsidP="00E01BFD">
            <w:pPr>
              <w:spacing w:line="276" w:lineRule="auto"/>
              <w:rPr>
                <w:rFonts w:cs="Arial"/>
                <w:sz w:val="22"/>
                <w:szCs w:val="22"/>
              </w:rPr>
            </w:pPr>
            <w:r w:rsidRPr="00E01BFD">
              <w:rPr>
                <w:rFonts w:cs="Arial"/>
                <w:sz w:val="18"/>
                <w:szCs w:val="18"/>
              </w:rPr>
              <w:fldChar w:fldCharType="end"/>
            </w:r>
          </w:p>
          <w:p w14:paraId="2F6757DD" w14:textId="6064E9E5" w:rsidR="00D03BB7" w:rsidRPr="00AC4DCF" w:rsidRDefault="00D03BB7" w:rsidP="00C74109">
            <w:pPr>
              <w:rPr>
                <w:rFonts w:cs="Arial"/>
                <w:sz w:val="22"/>
                <w:szCs w:val="22"/>
              </w:rPr>
            </w:pPr>
          </w:p>
        </w:tc>
      </w:tr>
      <w:tr w:rsidR="00C74109" w:rsidRPr="00A830D5" w14:paraId="787BB238" w14:textId="77777777" w:rsidTr="00AC4DCF">
        <w:trPr>
          <w:trHeight w:val="397"/>
        </w:trPr>
        <w:tc>
          <w:tcPr>
            <w:tcW w:w="9781" w:type="dxa"/>
            <w:shd w:val="clear" w:color="auto" w:fill="F2F2F2" w:themeFill="background1" w:themeFillShade="F2"/>
            <w:vAlign w:val="center"/>
          </w:tcPr>
          <w:p w14:paraId="37274480" w14:textId="77777777" w:rsidR="00C74109" w:rsidRPr="00AC4DCF" w:rsidRDefault="00C74109" w:rsidP="00C74109">
            <w:pPr>
              <w:rPr>
                <w:rFonts w:cs="Arial"/>
                <w:sz w:val="22"/>
                <w:szCs w:val="22"/>
              </w:rPr>
            </w:pPr>
            <w:r w:rsidRPr="00AC4DCF">
              <w:rPr>
                <w:rFonts w:cs="Arial"/>
                <w:sz w:val="22"/>
                <w:szCs w:val="22"/>
              </w:rPr>
              <w:lastRenderedPageBreak/>
              <w:t>Facilities and resources available for the investigation: please indicate if you expect to need any special resources</w:t>
            </w:r>
          </w:p>
        </w:tc>
      </w:tr>
      <w:tr w:rsidR="00C74109" w:rsidRPr="00A830D5" w14:paraId="6E3575CB" w14:textId="77777777" w:rsidTr="00AC4DCF">
        <w:trPr>
          <w:trHeight w:val="397"/>
        </w:trPr>
        <w:tc>
          <w:tcPr>
            <w:tcW w:w="9781" w:type="dxa"/>
            <w:vAlign w:val="center"/>
          </w:tcPr>
          <w:p w14:paraId="01152B2A" w14:textId="77777777" w:rsidR="00D03BB7" w:rsidRPr="00AC4DCF" w:rsidRDefault="00D03BB7" w:rsidP="00D03BB7">
            <w:pPr>
              <w:rPr>
                <w:rFonts w:cs="Arial"/>
                <w:sz w:val="22"/>
                <w:szCs w:val="22"/>
              </w:rPr>
            </w:pPr>
            <w:r w:rsidRPr="00AC4DCF">
              <w:rPr>
                <w:rFonts w:cs="Arial"/>
                <w:sz w:val="22"/>
                <w:szCs w:val="22"/>
              </w:rPr>
              <w:t>In this section you should indicate:</w:t>
            </w:r>
          </w:p>
          <w:p w14:paraId="2425A7B3" w14:textId="77777777" w:rsidR="00D03BB7" w:rsidRPr="00AC4DCF" w:rsidRDefault="00D03BB7" w:rsidP="00D03BB7">
            <w:pPr>
              <w:rPr>
                <w:rFonts w:cs="Arial"/>
                <w:sz w:val="22"/>
                <w:szCs w:val="22"/>
              </w:rPr>
            </w:pPr>
          </w:p>
          <w:p w14:paraId="539F55C5" w14:textId="70667BFF" w:rsidR="00D03BB7" w:rsidRPr="00AC4DCF" w:rsidRDefault="00D03BB7" w:rsidP="00D03BB7">
            <w:pPr>
              <w:pStyle w:val="af4"/>
              <w:numPr>
                <w:ilvl w:val="0"/>
                <w:numId w:val="23"/>
              </w:numPr>
              <w:autoSpaceDE w:val="0"/>
              <w:autoSpaceDN w:val="0"/>
              <w:adjustRightInd w:val="0"/>
              <w:contextualSpacing/>
              <w:rPr>
                <w:rFonts w:cs="Arial"/>
                <w:sz w:val="22"/>
                <w:szCs w:val="22"/>
              </w:rPr>
            </w:pPr>
            <w:r w:rsidRPr="00AC4DCF">
              <w:rPr>
                <w:rFonts w:cs="Arial"/>
                <w:sz w:val="22"/>
                <w:szCs w:val="22"/>
              </w:rPr>
              <w:t>What facilities you will need access to including libraries, archives, institutions, specialist IT facilities</w:t>
            </w:r>
          </w:p>
          <w:p w14:paraId="22AA4072" w14:textId="4F6B5AD2" w:rsidR="00D03BB7" w:rsidRPr="00AC4DCF" w:rsidRDefault="00AC4DCF" w:rsidP="00D03BB7">
            <w:pPr>
              <w:pStyle w:val="af4"/>
              <w:numPr>
                <w:ilvl w:val="0"/>
                <w:numId w:val="23"/>
              </w:numPr>
              <w:autoSpaceDE w:val="0"/>
              <w:autoSpaceDN w:val="0"/>
              <w:adjustRightInd w:val="0"/>
              <w:contextualSpacing/>
              <w:rPr>
                <w:rFonts w:cs="Arial"/>
                <w:sz w:val="22"/>
                <w:szCs w:val="22"/>
              </w:rPr>
            </w:pPr>
            <w:r>
              <w:rPr>
                <w:rFonts w:cs="Arial"/>
                <w:sz w:val="22"/>
                <w:szCs w:val="22"/>
              </w:rPr>
              <w:t xml:space="preserve">Whether </w:t>
            </w:r>
            <w:r w:rsidR="00D03BB7" w:rsidRPr="00AC4DCF">
              <w:rPr>
                <w:rFonts w:cs="Arial"/>
                <w:sz w:val="22"/>
                <w:szCs w:val="22"/>
              </w:rPr>
              <w:t>you have permission to access the facilities and resources</w:t>
            </w:r>
          </w:p>
          <w:p w14:paraId="78771759" w14:textId="35E9F46B" w:rsidR="00D03BB7" w:rsidRPr="00AC4DCF" w:rsidRDefault="00D03BB7" w:rsidP="00D03BB7">
            <w:pPr>
              <w:pStyle w:val="af4"/>
              <w:numPr>
                <w:ilvl w:val="0"/>
                <w:numId w:val="23"/>
              </w:numPr>
              <w:autoSpaceDE w:val="0"/>
              <w:autoSpaceDN w:val="0"/>
              <w:adjustRightInd w:val="0"/>
              <w:contextualSpacing/>
              <w:rPr>
                <w:rFonts w:cs="Arial"/>
                <w:sz w:val="22"/>
                <w:szCs w:val="22"/>
              </w:rPr>
            </w:pPr>
            <w:r w:rsidRPr="00AC4DCF">
              <w:rPr>
                <w:rFonts w:cs="Arial"/>
                <w:sz w:val="22"/>
                <w:szCs w:val="22"/>
              </w:rPr>
              <w:t>Whether you need to travel to access the facilities and resources – where do you need to go, for how long, and how will this be financed</w:t>
            </w:r>
          </w:p>
          <w:p w14:paraId="0BC7AB8B" w14:textId="77777777" w:rsidR="00D03BB7" w:rsidRPr="00AC4DCF" w:rsidRDefault="00D03BB7" w:rsidP="00D03BB7">
            <w:pPr>
              <w:pStyle w:val="af4"/>
              <w:numPr>
                <w:ilvl w:val="0"/>
                <w:numId w:val="23"/>
              </w:numPr>
              <w:autoSpaceDE w:val="0"/>
              <w:autoSpaceDN w:val="0"/>
              <w:adjustRightInd w:val="0"/>
              <w:contextualSpacing/>
              <w:rPr>
                <w:rFonts w:cs="Arial"/>
                <w:sz w:val="22"/>
                <w:szCs w:val="22"/>
              </w:rPr>
            </w:pPr>
            <w:r w:rsidRPr="00AC4DCF">
              <w:rPr>
                <w:rFonts w:cs="Arial"/>
                <w:sz w:val="22"/>
                <w:szCs w:val="22"/>
              </w:rPr>
              <w:t>Whether you will be carrying out fieldwork or interviews and whether you have followed the correct protocols, secured permission and ethical clearance.</w:t>
            </w:r>
          </w:p>
          <w:p w14:paraId="3C7118BD" w14:textId="77777777" w:rsidR="00C74109" w:rsidRPr="00AC4DCF" w:rsidRDefault="00C74109" w:rsidP="00C74109">
            <w:pPr>
              <w:rPr>
                <w:rFonts w:cs="Arial"/>
                <w:sz w:val="22"/>
                <w:szCs w:val="22"/>
              </w:rPr>
            </w:pPr>
          </w:p>
          <w:p w14:paraId="59CED104" w14:textId="77777777" w:rsidR="00C74109" w:rsidRPr="00AC4DCF" w:rsidRDefault="00C74109" w:rsidP="00C74109">
            <w:pPr>
              <w:rPr>
                <w:rFonts w:cs="Arial"/>
                <w:sz w:val="22"/>
                <w:szCs w:val="22"/>
              </w:rPr>
            </w:pPr>
          </w:p>
        </w:tc>
      </w:tr>
    </w:tbl>
    <w:p w14:paraId="13F4E9CE" w14:textId="77777777" w:rsidR="009368DD" w:rsidRPr="00A830D5" w:rsidRDefault="009368DD" w:rsidP="00643766">
      <w:pPr>
        <w:rPr>
          <w:rFonts w:cs="Arial"/>
          <w:sz w:val="22"/>
          <w:szCs w:val="22"/>
        </w:rPr>
      </w:pPr>
    </w:p>
    <w:p w14:paraId="4EB76D8A" w14:textId="77777777" w:rsidR="00E8752A" w:rsidRDefault="00E8752A" w:rsidP="000D166A">
      <w:pPr>
        <w:rPr>
          <w:rFonts w:cs="Arial"/>
          <w:b/>
          <w:sz w:val="22"/>
          <w:szCs w:val="22"/>
        </w:rPr>
      </w:pPr>
    </w:p>
    <w:p w14:paraId="7E43927A" w14:textId="77777777" w:rsidR="00E8752A" w:rsidRDefault="00E8752A" w:rsidP="000D166A">
      <w:pPr>
        <w:rPr>
          <w:rFonts w:cs="Arial"/>
          <w:b/>
          <w:sz w:val="22"/>
          <w:szCs w:val="22"/>
        </w:rPr>
      </w:pPr>
    </w:p>
    <w:p w14:paraId="767D7BC1" w14:textId="6DF22A09" w:rsidR="000D166A" w:rsidRPr="00A830D5" w:rsidRDefault="000D166A" w:rsidP="000D166A">
      <w:pPr>
        <w:rPr>
          <w:rFonts w:cs="Arial"/>
          <w:b/>
          <w:sz w:val="22"/>
          <w:szCs w:val="22"/>
        </w:rPr>
      </w:pPr>
      <w:r w:rsidRPr="00A830D5">
        <w:rPr>
          <w:rFonts w:cs="Arial"/>
          <w:b/>
          <w:sz w:val="22"/>
          <w:szCs w:val="22"/>
        </w:rPr>
        <w:t>Intellectual Property IP</w:t>
      </w:r>
    </w:p>
    <w:p w14:paraId="47018F67" w14:textId="77777777" w:rsidR="000D166A" w:rsidRPr="00A830D5" w:rsidRDefault="000D166A" w:rsidP="000D166A">
      <w:pPr>
        <w:rPr>
          <w:rFonts w:cs="Arial"/>
          <w:b/>
          <w:sz w:val="22"/>
          <w:szCs w:val="22"/>
        </w:rPr>
      </w:pPr>
      <w:r w:rsidRPr="00A830D5">
        <w:rPr>
          <w:sz w:val="22"/>
        </w:rPr>
        <w:t xml:space="preserve">It is anticipated that Intellectual Property (IP) will be produced </w:t>
      </w:r>
      <w:proofErr w:type="gramStart"/>
      <w:r w:rsidRPr="00A830D5">
        <w:rPr>
          <w:sz w:val="22"/>
        </w:rPr>
        <w:t>as a result of</w:t>
      </w:r>
      <w:proofErr w:type="gramEnd"/>
      <w:r w:rsidRPr="00A830D5">
        <w:rPr>
          <w:sz w:val="22"/>
        </w:rPr>
        <w:t xml:space="preserve"> this research.</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946"/>
        <w:gridCol w:w="1418"/>
        <w:gridCol w:w="1417"/>
      </w:tblGrid>
      <w:tr w:rsidR="000D166A" w:rsidRPr="00A830D5" w14:paraId="3E7587DB" w14:textId="77777777" w:rsidTr="00F9606E">
        <w:trPr>
          <w:trHeight w:val="427"/>
        </w:trPr>
        <w:tc>
          <w:tcPr>
            <w:tcW w:w="9781" w:type="dxa"/>
            <w:gridSpan w:val="3"/>
            <w:tcBorders>
              <w:top w:val="nil"/>
              <w:left w:val="nil"/>
              <w:bottom w:val="nil"/>
              <w:right w:val="nil"/>
            </w:tcBorders>
            <w:shd w:val="clear" w:color="auto" w:fill="auto"/>
          </w:tcPr>
          <w:p w14:paraId="21E738AA" w14:textId="77777777" w:rsidR="000D166A" w:rsidRPr="00A830D5" w:rsidRDefault="000D166A" w:rsidP="003D2502">
            <w:pPr>
              <w:jc w:val="right"/>
              <w:rPr>
                <w:rFonts w:cs="Arial"/>
                <w:b/>
              </w:rPr>
            </w:pPr>
            <w:r w:rsidRPr="00A830D5">
              <w:rPr>
                <w:rFonts w:cs="Arial"/>
                <w:b/>
              </w:rPr>
              <w:t xml:space="preserve">Tick </w:t>
            </w:r>
            <w:r w:rsidRPr="00A830D5">
              <w:rPr>
                <w:rFonts w:ascii="Agency FB" w:hAnsi="Agency FB" w:cs="Arial"/>
                <w:b/>
              </w:rPr>
              <w:t>√</w:t>
            </w:r>
          </w:p>
        </w:tc>
      </w:tr>
      <w:tr w:rsidR="00154D0F" w:rsidRPr="00A830D5" w14:paraId="345EAA99" w14:textId="77777777" w:rsidTr="00F9606E">
        <w:trPr>
          <w:trHeight w:val="427"/>
        </w:trPr>
        <w:tc>
          <w:tcPr>
            <w:tcW w:w="6946" w:type="dxa"/>
            <w:tcBorders>
              <w:top w:val="nil"/>
              <w:left w:val="nil"/>
              <w:bottom w:val="single" w:sz="4" w:space="0" w:color="auto"/>
              <w:right w:val="single" w:sz="4" w:space="0" w:color="auto"/>
            </w:tcBorders>
            <w:shd w:val="clear" w:color="auto" w:fill="FFFFFF" w:themeFill="background1"/>
          </w:tcPr>
          <w:p w14:paraId="3DE9BBF1" w14:textId="77777777" w:rsidR="000D166A" w:rsidRPr="00A830D5" w:rsidRDefault="000D166A" w:rsidP="003D2502">
            <w:pPr>
              <w:rPr>
                <w:rFonts w:cs="Arial"/>
                <w:sz w:val="22"/>
                <w:szCs w:val="22"/>
              </w:rPr>
            </w:pPr>
          </w:p>
        </w:tc>
        <w:tc>
          <w:tcPr>
            <w:tcW w:w="1418" w:type="dxa"/>
            <w:tcBorders>
              <w:top w:val="single" w:sz="4" w:space="0" w:color="auto"/>
              <w:left w:val="single" w:sz="4" w:space="0" w:color="auto"/>
            </w:tcBorders>
            <w:shd w:val="clear" w:color="auto" w:fill="F2F2F2" w:themeFill="background1" w:themeFillShade="F2"/>
          </w:tcPr>
          <w:p w14:paraId="4ADBEF28" w14:textId="77777777" w:rsidR="000D166A" w:rsidRPr="00A830D5" w:rsidRDefault="000D166A" w:rsidP="003D2502">
            <w:pPr>
              <w:rPr>
                <w:rFonts w:cs="Arial"/>
                <w:sz w:val="22"/>
                <w:szCs w:val="22"/>
              </w:rPr>
            </w:pPr>
            <w:r w:rsidRPr="00A830D5">
              <w:rPr>
                <w:rFonts w:cs="Arial"/>
                <w:sz w:val="22"/>
                <w:szCs w:val="22"/>
              </w:rPr>
              <w:t>YES</w:t>
            </w:r>
          </w:p>
        </w:tc>
        <w:tc>
          <w:tcPr>
            <w:tcW w:w="1417" w:type="dxa"/>
            <w:tcBorders>
              <w:top w:val="single" w:sz="4" w:space="0" w:color="auto"/>
            </w:tcBorders>
            <w:shd w:val="clear" w:color="auto" w:fill="F2F2F2" w:themeFill="background1" w:themeFillShade="F2"/>
          </w:tcPr>
          <w:p w14:paraId="7272ACDE" w14:textId="77777777" w:rsidR="000D166A" w:rsidRPr="00A830D5" w:rsidRDefault="000D166A" w:rsidP="003D2502">
            <w:pPr>
              <w:rPr>
                <w:rFonts w:cs="Arial"/>
                <w:sz w:val="22"/>
                <w:szCs w:val="22"/>
              </w:rPr>
            </w:pPr>
            <w:r w:rsidRPr="00A830D5">
              <w:rPr>
                <w:rFonts w:cs="Arial"/>
                <w:sz w:val="22"/>
                <w:szCs w:val="22"/>
              </w:rPr>
              <w:t>NO</w:t>
            </w:r>
          </w:p>
        </w:tc>
      </w:tr>
      <w:tr w:rsidR="000D166A" w:rsidRPr="00A830D5" w14:paraId="4F863A7D" w14:textId="77777777" w:rsidTr="00F9606E">
        <w:trPr>
          <w:trHeight w:val="427"/>
        </w:trPr>
        <w:tc>
          <w:tcPr>
            <w:tcW w:w="6946" w:type="dxa"/>
            <w:tcBorders>
              <w:top w:val="single" w:sz="4" w:space="0" w:color="auto"/>
            </w:tcBorders>
            <w:shd w:val="clear" w:color="auto" w:fill="F2F2F2" w:themeFill="background1" w:themeFillShade="F2"/>
          </w:tcPr>
          <w:p w14:paraId="2EC3836E" w14:textId="77777777" w:rsidR="000D166A" w:rsidRPr="00A830D5" w:rsidRDefault="000D166A" w:rsidP="000D166A">
            <w:pPr>
              <w:rPr>
                <w:rFonts w:cs="Arial"/>
                <w:sz w:val="22"/>
                <w:szCs w:val="22"/>
              </w:rPr>
            </w:pPr>
            <w:r w:rsidRPr="00A830D5">
              <w:rPr>
                <w:sz w:val="22"/>
              </w:rPr>
              <w:t xml:space="preserve">Is the IP already subject to a separate agreement with a third party (e.g. employer, sponsor or external funder)? If </w:t>
            </w:r>
            <w:proofErr w:type="gramStart"/>
            <w:r w:rsidRPr="00A830D5">
              <w:rPr>
                <w:sz w:val="22"/>
              </w:rPr>
              <w:t>so</w:t>
            </w:r>
            <w:proofErr w:type="gramEnd"/>
            <w:r w:rsidRPr="00A830D5">
              <w:rPr>
                <w:sz w:val="22"/>
              </w:rPr>
              <w:t xml:space="preserve"> please provide details</w:t>
            </w:r>
            <w:r w:rsidR="00154D0F" w:rsidRPr="00A830D5">
              <w:rPr>
                <w:sz w:val="22"/>
              </w:rPr>
              <w:t xml:space="preserve"> below</w:t>
            </w:r>
          </w:p>
        </w:tc>
        <w:sdt>
          <w:sdtPr>
            <w:rPr>
              <w:rFonts w:cs="Arial"/>
              <w:sz w:val="22"/>
              <w:szCs w:val="22"/>
            </w:rPr>
            <w:id w:val="1557745169"/>
            <w14:checkbox>
              <w14:checked w14:val="0"/>
              <w14:checkedState w14:val="2612" w14:font="MS Gothic"/>
              <w14:uncheckedState w14:val="2610" w14:font="MS Gothic"/>
            </w14:checkbox>
          </w:sdtPr>
          <w:sdtContent>
            <w:tc>
              <w:tcPr>
                <w:tcW w:w="1418" w:type="dxa"/>
                <w:tcBorders>
                  <w:top w:val="single" w:sz="4" w:space="0" w:color="auto"/>
                </w:tcBorders>
                <w:shd w:val="clear" w:color="auto" w:fill="auto"/>
              </w:tcPr>
              <w:p w14:paraId="1D95D041" w14:textId="77777777" w:rsidR="000D166A" w:rsidRPr="00A830D5" w:rsidRDefault="000D166A" w:rsidP="003D2502">
                <w:pPr>
                  <w:jc w:val="center"/>
                  <w:rPr>
                    <w:rFonts w:cs="Arial"/>
                    <w:sz w:val="22"/>
                    <w:szCs w:val="22"/>
                  </w:rPr>
                </w:pPr>
                <w:r w:rsidRPr="00A830D5">
                  <w:rPr>
                    <w:rFonts w:ascii="MS Gothic" w:eastAsia="MS Gothic" w:hAnsi="MS Gothic" w:cs="Arial"/>
                    <w:sz w:val="22"/>
                    <w:szCs w:val="22"/>
                  </w:rPr>
                  <w:t>☐</w:t>
                </w:r>
              </w:p>
            </w:tc>
          </w:sdtContent>
        </w:sdt>
        <w:sdt>
          <w:sdtPr>
            <w:rPr>
              <w:rFonts w:cs="Arial"/>
              <w:sz w:val="22"/>
              <w:szCs w:val="22"/>
            </w:rPr>
            <w:id w:val="678392512"/>
            <w14:checkbox>
              <w14:checked w14:val="1"/>
              <w14:checkedState w14:val="2612" w14:font="MS Gothic"/>
              <w14:uncheckedState w14:val="2610" w14:font="MS Gothic"/>
            </w14:checkbox>
          </w:sdtPr>
          <w:sdtContent>
            <w:tc>
              <w:tcPr>
                <w:tcW w:w="1417" w:type="dxa"/>
                <w:tcBorders>
                  <w:top w:val="single" w:sz="4" w:space="0" w:color="auto"/>
                </w:tcBorders>
                <w:shd w:val="clear" w:color="auto" w:fill="auto"/>
              </w:tcPr>
              <w:p w14:paraId="1763176C" w14:textId="5A0BA8D5" w:rsidR="000D166A" w:rsidRPr="00A830D5" w:rsidRDefault="00142ADD" w:rsidP="003D2502">
                <w:pPr>
                  <w:jc w:val="center"/>
                  <w:rPr>
                    <w:rFonts w:cs="Arial"/>
                    <w:sz w:val="22"/>
                    <w:szCs w:val="22"/>
                  </w:rPr>
                </w:pPr>
                <w:r>
                  <w:rPr>
                    <w:rFonts w:ascii="MS Gothic" w:eastAsia="MS Gothic" w:hAnsi="MS Gothic" w:cs="Arial" w:hint="eastAsia"/>
                    <w:sz w:val="22"/>
                    <w:szCs w:val="22"/>
                  </w:rPr>
                  <w:t>☒</w:t>
                </w:r>
              </w:p>
            </w:tc>
          </w:sdtContent>
        </w:sdt>
      </w:tr>
      <w:tr w:rsidR="000D166A" w:rsidRPr="00A830D5" w14:paraId="42EA5AA8" w14:textId="77777777" w:rsidTr="00F9606E">
        <w:trPr>
          <w:trHeight w:val="572"/>
        </w:trPr>
        <w:tc>
          <w:tcPr>
            <w:tcW w:w="6946" w:type="dxa"/>
            <w:shd w:val="clear" w:color="auto" w:fill="F2F2F2" w:themeFill="background1" w:themeFillShade="F2"/>
          </w:tcPr>
          <w:p w14:paraId="6B7EA659" w14:textId="77777777" w:rsidR="00154D0F" w:rsidRPr="00A830D5" w:rsidRDefault="00154D0F" w:rsidP="00154D0F">
            <w:pPr>
              <w:rPr>
                <w:sz w:val="22"/>
              </w:rPr>
            </w:pPr>
            <w:r w:rsidRPr="00A830D5">
              <w:rPr>
                <w:sz w:val="22"/>
              </w:rPr>
              <w:t xml:space="preserve">Is the research dependent upon background IP owned by: </w:t>
            </w:r>
          </w:p>
          <w:p w14:paraId="74C09579" w14:textId="77777777" w:rsidR="000D166A" w:rsidRPr="00A830D5" w:rsidRDefault="00154D0F" w:rsidP="00154D0F">
            <w:pPr>
              <w:rPr>
                <w:rFonts w:cs="Arial"/>
                <w:sz w:val="22"/>
                <w:szCs w:val="22"/>
              </w:rPr>
            </w:pPr>
            <w:r w:rsidRPr="00A830D5">
              <w:rPr>
                <w:sz w:val="22"/>
              </w:rPr>
              <w:t>If so, please provide details below</w:t>
            </w:r>
          </w:p>
        </w:tc>
        <w:tc>
          <w:tcPr>
            <w:tcW w:w="1418" w:type="dxa"/>
            <w:shd w:val="clear" w:color="auto" w:fill="auto"/>
          </w:tcPr>
          <w:p w14:paraId="1B332797" w14:textId="77777777" w:rsidR="000D166A" w:rsidRPr="00A830D5" w:rsidRDefault="00154D0F" w:rsidP="00154D0F">
            <w:pPr>
              <w:jc w:val="center"/>
              <w:rPr>
                <w:sz w:val="22"/>
              </w:rPr>
            </w:pPr>
            <w:r w:rsidRPr="00A830D5">
              <w:rPr>
                <w:sz w:val="22"/>
              </w:rPr>
              <w:t>UWTSD</w:t>
            </w:r>
          </w:p>
          <w:sdt>
            <w:sdtPr>
              <w:rPr>
                <w:rFonts w:cs="Arial"/>
                <w:sz w:val="22"/>
                <w:szCs w:val="22"/>
              </w:rPr>
              <w:id w:val="123590131"/>
              <w14:checkbox>
                <w14:checked w14:val="0"/>
                <w14:checkedState w14:val="2612" w14:font="MS Gothic"/>
                <w14:uncheckedState w14:val="2610" w14:font="MS Gothic"/>
              </w14:checkbox>
            </w:sdtPr>
            <w:sdtContent>
              <w:p w14:paraId="14827D3C" w14:textId="77777777" w:rsidR="00154D0F" w:rsidRPr="00A830D5" w:rsidRDefault="00154D0F" w:rsidP="00154D0F">
                <w:pPr>
                  <w:jc w:val="center"/>
                  <w:rPr>
                    <w:rFonts w:cs="Arial"/>
                    <w:sz w:val="22"/>
                    <w:szCs w:val="22"/>
                  </w:rPr>
                </w:pPr>
                <w:r w:rsidRPr="00A830D5">
                  <w:rPr>
                    <w:rFonts w:ascii="MS Gothic" w:eastAsia="MS Gothic" w:hAnsi="MS Gothic" w:cs="Arial"/>
                    <w:sz w:val="22"/>
                    <w:szCs w:val="22"/>
                  </w:rPr>
                  <w:t>☐</w:t>
                </w:r>
              </w:p>
            </w:sdtContent>
          </w:sdt>
        </w:tc>
        <w:tc>
          <w:tcPr>
            <w:tcW w:w="1417" w:type="dxa"/>
            <w:shd w:val="clear" w:color="auto" w:fill="auto"/>
          </w:tcPr>
          <w:p w14:paraId="6D0B352B" w14:textId="77777777" w:rsidR="00154D0F" w:rsidRPr="00A830D5" w:rsidRDefault="00154D0F" w:rsidP="00154D0F">
            <w:pPr>
              <w:rPr>
                <w:sz w:val="22"/>
              </w:rPr>
            </w:pPr>
            <w:r w:rsidRPr="00A830D5">
              <w:rPr>
                <w:sz w:val="22"/>
              </w:rPr>
              <w:t>A third party</w:t>
            </w:r>
          </w:p>
          <w:sdt>
            <w:sdtPr>
              <w:rPr>
                <w:rFonts w:cs="Arial"/>
                <w:sz w:val="22"/>
                <w:szCs w:val="22"/>
              </w:rPr>
              <w:id w:val="1919519062"/>
              <w14:checkbox>
                <w14:checked w14:val="0"/>
                <w14:checkedState w14:val="2612" w14:font="MS Gothic"/>
                <w14:uncheckedState w14:val="2610" w14:font="MS Gothic"/>
              </w14:checkbox>
            </w:sdtPr>
            <w:sdtContent>
              <w:p w14:paraId="6203B2AC" w14:textId="7AD8D178" w:rsidR="000D166A" w:rsidRPr="00A830D5" w:rsidRDefault="008D2941" w:rsidP="00154D0F">
                <w:pPr>
                  <w:jc w:val="center"/>
                  <w:rPr>
                    <w:rFonts w:cs="Arial"/>
                    <w:sz w:val="22"/>
                    <w:szCs w:val="22"/>
                  </w:rPr>
                </w:pPr>
                <w:r>
                  <w:rPr>
                    <w:rFonts w:ascii="MS Gothic" w:eastAsia="MS Gothic" w:hAnsi="MS Gothic" w:cs="Arial" w:hint="eastAsia"/>
                    <w:sz w:val="22"/>
                    <w:szCs w:val="22"/>
                  </w:rPr>
                  <w:t>☐</w:t>
                </w:r>
              </w:p>
            </w:sdtContent>
          </w:sdt>
        </w:tc>
      </w:tr>
      <w:tr w:rsidR="00154D0F" w:rsidRPr="00A830D5" w14:paraId="1D56B173" w14:textId="77777777" w:rsidTr="00F9606E">
        <w:trPr>
          <w:trHeight w:val="572"/>
        </w:trPr>
        <w:tc>
          <w:tcPr>
            <w:tcW w:w="9781" w:type="dxa"/>
            <w:gridSpan w:val="3"/>
            <w:shd w:val="clear" w:color="auto" w:fill="auto"/>
          </w:tcPr>
          <w:p w14:paraId="33A4C7A2" w14:textId="77777777" w:rsidR="00154D0F" w:rsidRPr="00A830D5" w:rsidRDefault="00154D0F" w:rsidP="00154D0F">
            <w:pPr>
              <w:rPr>
                <w:i/>
                <w:sz w:val="18"/>
                <w:szCs w:val="18"/>
              </w:rPr>
            </w:pPr>
            <w:r w:rsidRPr="00A830D5">
              <w:rPr>
                <w:i/>
                <w:sz w:val="18"/>
                <w:szCs w:val="18"/>
              </w:rPr>
              <w:t>Text box will expand</w:t>
            </w:r>
          </w:p>
          <w:p w14:paraId="538B5B35" w14:textId="77777777" w:rsidR="00154D0F" w:rsidRPr="00A830D5" w:rsidRDefault="00154D0F" w:rsidP="00154D0F">
            <w:pPr>
              <w:rPr>
                <w:sz w:val="18"/>
                <w:szCs w:val="18"/>
              </w:rPr>
            </w:pPr>
          </w:p>
          <w:p w14:paraId="2436D36D" w14:textId="77777777" w:rsidR="00154D0F" w:rsidRPr="00A830D5" w:rsidRDefault="00154D0F" w:rsidP="00154D0F">
            <w:pPr>
              <w:rPr>
                <w:sz w:val="18"/>
                <w:szCs w:val="18"/>
              </w:rPr>
            </w:pPr>
          </w:p>
          <w:p w14:paraId="6659C7E6" w14:textId="77777777" w:rsidR="00154D0F" w:rsidRPr="00A830D5" w:rsidRDefault="00154D0F" w:rsidP="00154D0F">
            <w:pPr>
              <w:rPr>
                <w:sz w:val="18"/>
                <w:szCs w:val="18"/>
              </w:rPr>
            </w:pPr>
          </w:p>
        </w:tc>
      </w:tr>
      <w:tr w:rsidR="00154D0F" w:rsidRPr="00A830D5" w14:paraId="55103A8D" w14:textId="77777777" w:rsidTr="00F9606E">
        <w:trPr>
          <w:trHeight w:val="427"/>
        </w:trPr>
        <w:tc>
          <w:tcPr>
            <w:tcW w:w="9781" w:type="dxa"/>
            <w:gridSpan w:val="3"/>
            <w:tcBorders>
              <w:top w:val="nil"/>
              <w:left w:val="nil"/>
              <w:bottom w:val="nil"/>
              <w:right w:val="nil"/>
            </w:tcBorders>
            <w:shd w:val="clear" w:color="auto" w:fill="auto"/>
          </w:tcPr>
          <w:p w14:paraId="03F12474" w14:textId="77777777" w:rsidR="00154D0F" w:rsidRPr="00A830D5" w:rsidRDefault="00154D0F" w:rsidP="003D2502">
            <w:pPr>
              <w:jc w:val="right"/>
              <w:rPr>
                <w:rFonts w:cs="Arial"/>
                <w:b/>
              </w:rPr>
            </w:pPr>
            <w:r w:rsidRPr="00A830D5">
              <w:rPr>
                <w:rFonts w:cs="Arial"/>
                <w:b/>
              </w:rPr>
              <w:t xml:space="preserve">Tick </w:t>
            </w:r>
            <w:r w:rsidRPr="00A830D5">
              <w:rPr>
                <w:rFonts w:ascii="Agency FB" w:hAnsi="Agency FB" w:cs="Arial"/>
                <w:b/>
              </w:rPr>
              <w:t>√</w:t>
            </w:r>
          </w:p>
        </w:tc>
      </w:tr>
      <w:tr w:rsidR="00154D0F" w:rsidRPr="00A830D5" w14:paraId="4002FC15" w14:textId="77777777" w:rsidTr="00F9606E">
        <w:trPr>
          <w:trHeight w:val="427"/>
        </w:trPr>
        <w:tc>
          <w:tcPr>
            <w:tcW w:w="6946" w:type="dxa"/>
            <w:tcBorders>
              <w:top w:val="nil"/>
              <w:left w:val="nil"/>
              <w:bottom w:val="single" w:sz="4" w:space="0" w:color="auto"/>
              <w:right w:val="single" w:sz="4" w:space="0" w:color="auto"/>
            </w:tcBorders>
            <w:shd w:val="clear" w:color="auto" w:fill="FFFFFF" w:themeFill="background1"/>
          </w:tcPr>
          <w:p w14:paraId="6AA306D7" w14:textId="77777777" w:rsidR="00154D0F" w:rsidRPr="00A830D5" w:rsidRDefault="00154D0F" w:rsidP="003D2502">
            <w:pPr>
              <w:rPr>
                <w:rFonts w:cs="Arial"/>
                <w:sz w:val="22"/>
                <w:szCs w:val="22"/>
              </w:rPr>
            </w:pPr>
            <w:r w:rsidRPr="00A830D5">
              <w:rPr>
                <w:rFonts w:cs="Arial"/>
                <w:sz w:val="22"/>
                <w:szCs w:val="22"/>
              </w:rPr>
              <w:t>I understand that:</w:t>
            </w:r>
          </w:p>
        </w:tc>
        <w:tc>
          <w:tcPr>
            <w:tcW w:w="1418" w:type="dxa"/>
            <w:tcBorders>
              <w:top w:val="single" w:sz="4" w:space="0" w:color="auto"/>
              <w:left w:val="single" w:sz="4" w:space="0" w:color="auto"/>
            </w:tcBorders>
            <w:shd w:val="clear" w:color="auto" w:fill="F2F2F2" w:themeFill="background1" w:themeFillShade="F2"/>
          </w:tcPr>
          <w:p w14:paraId="0B4A5B39" w14:textId="77777777" w:rsidR="00154D0F" w:rsidRPr="00A830D5" w:rsidRDefault="00154D0F" w:rsidP="003D2502">
            <w:pPr>
              <w:rPr>
                <w:rFonts w:cs="Arial"/>
                <w:sz w:val="22"/>
                <w:szCs w:val="22"/>
              </w:rPr>
            </w:pPr>
            <w:r w:rsidRPr="00A830D5">
              <w:rPr>
                <w:rFonts w:cs="Arial"/>
                <w:sz w:val="22"/>
                <w:szCs w:val="22"/>
              </w:rPr>
              <w:t>YES</w:t>
            </w:r>
          </w:p>
        </w:tc>
        <w:tc>
          <w:tcPr>
            <w:tcW w:w="1417" w:type="dxa"/>
            <w:tcBorders>
              <w:top w:val="single" w:sz="4" w:space="0" w:color="auto"/>
            </w:tcBorders>
            <w:shd w:val="clear" w:color="auto" w:fill="F2F2F2" w:themeFill="background1" w:themeFillShade="F2"/>
          </w:tcPr>
          <w:p w14:paraId="3E9A4983" w14:textId="77777777" w:rsidR="00154D0F" w:rsidRPr="00A830D5" w:rsidRDefault="00154D0F" w:rsidP="003D2502">
            <w:pPr>
              <w:rPr>
                <w:rFonts w:cs="Arial"/>
                <w:sz w:val="22"/>
                <w:szCs w:val="22"/>
              </w:rPr>
            </w:pPr>
            <w:r w:rsidRPr="00A830D5">
              <w:rPr>
                <w:rFonts w:cs="Arial"/>
                <w:sz w:val="22"/>
                <w:szCs w:val="22"/>
              </w:rPr>
              <w:t>NO</w:t>
            </w:r>
          </w:p>
        </w:tc>
      </w:tr>
      <w:tr w:rsidR="00154D0F" w:rsidRPr="00A830D5" w14:paraId="260CFA45" w14:textId="77777777" w:rsidTr="00F9606E">
        <w:trPr>
          <w:trHeight w:val="399"/>
        </w:trPr>
        <w:tc>
          <w:tcPr>
            <w:tcW w:w="6946" w:type="dxa"/>
            <w:shd w:val="clear" w:color="auto" w:fill="F2F2F2" w:themeFill="background1" w:themeFillShade="F2"/>
          </w:tcPr>
          <w:p w14:paraId="4D8D9522" w14:textId="77777777" w:rsidR="00154D0F" w:rsidRPr="00A830D5" w:rsidRDefault="00154D0F" w:rsidP="003D2502">
            <w:pPr>
              <w:rPr>
                <w:sz w:val="22"/>
              </w:rPr>
            </w:pPr>
            <w:r w:rsidRPr="00A830D5">
              <w:rPr>
                <w:sz w:val="22"/>
              </w:rPr>
              <w:t xml:space="preserve">If any party other than the student is likely to be involved in the development of IP a separate IP agreement will be </w:t>
            </w:r>
            <w:proofErr w:type="gramStart"/>
            <w:r w:rsidRPr="00A830D5">
              <w:rPr>
                <w:sz w:val="22"/>
              </w:rPr>
              <w:t>needed</w:t>
            </w:r>
            <w:proofErr w:type="gramEnd"/>
            <w:r w:rsidRPr="00A830D5">
              <w:rPr>
                <w:sz w:val="22"/>
              </w:rPr>
              <w:t xml:space="preserve"> and it may be necessary for the student to assign the IP rights to the University.</w:t>
            </w:r>
          </w:p>
          <w:p w14:paraId="4B9F1B95" w14:textId="77777777" w:rsidR="00154D0F" w:rsidRPr="00A830D5" w:rsidRDefault="00154D0F" w:rsidP="003D2502">
            <w:pPr>
              <w:rPr>
                <w:rFonts w:cs="Arial"/>
                <w:sz w:val="22"/>
                <w:szCs w:val="22"/>
              </w:rPr>
            </w:pPr>
          </w:p>
        </w:tc>
        <w:sdt>
          <w:sdtPr>
            <w:rPr>
              <w:rFonts w:cs="Arial"/>
              <w:sz w:val="22"/>
              <w:szCs w:val="22"/>
            </w:rPr>
            <w:id w:val="1219639617"/>
            <w14:checkbox>
              <w14:checked w14:val="0"/>
              <w14:checkedState w14:val="2612" w14:font="MS Gothic"/>
              <w14:uncheckedState w14:val="2610" w14:font="MS Gothic"/>
            </w14:checkbox>
          </w:sdtPr>
          <w:sdtContent>
            <w:tc>
              <w:tcPr>
                <w:tcW w:w="1418" w:type="dxa"/>
                <w:shd w:val="clear" w:color="auto" w:fill="auto"/>
              </w:tcPr>
              <w:p w14:paraId="31F201FD" w14:textId="78764DBA" w:rsidR="00154D0F" w:rsidRPr="00A830D5" w:rsidRDefault="008D2941" w:rsidP="003D2502">
                <w:pPr>
                  <w:jc w:val="center"/>
                  <w:rPr>
                    <w:rFonts w:cs="Arial"/>
                    <w:sz w:val="22"/>
                    <w:szCs w:val="22"/>
                  </w:rPr>
                </w:pPr>
                <w:r>
                  <w:rPr>
                    <w:rFonts w:ascii="MS Gothic" w:eastAsia="MS Gothic" w:hAnsi="MS Gothic" w:cs="Arial" w:hint="eastAsia"/>
                    <w:sz w:val="22"/>
                    <w:szCs w:val="22"/>
                  </w:rPr>
                  <w:t>☐</w:t>
                </w:r>
              </w:p>
            </w:tc>
          </w:sdtContent>
        </w:sdt>
        <w:sdt>
          <w:sdtPr>
            <w:rPr>
              <w:rFonts w:cs="Arial"/>
              <w:sz w:val="22"/>
              <w:szCs w:val="22"/>
            </w:rPr>
            <w:id w:val="-1149042043"/>
            <w14:checkbox>
              <w14:checked w14:val="1"/>
              <w14:checkedState w14:val="2612" w14:font="MS Gothic"/>
              <w14:uncheckedState w14:val="2610" w14:font="MS Gothic"/>
            </w14:checkbox>
          </w:sdtPr>
          <w:sdtContent>
            <w:tc>
              <w:tcPr>
                <w:tcW w:w="1417" w:type="dxa"/>
                <w:shd w:val="clear" w:color="auto" w:fill="auto"/>
              </w:tcPr>
              <w:p w14:paraId="2C431F1A" w14:textId="481B941E" w:rsidR="00154D0F" w:rsidRPr="00A830D5" w:rsidRDefault="00142ADD" w:rsidP="003D2502">
                <w:pPr>
                  <w:jc w:val="center"/>
                  <w:rPr>
                    <w:rFonts w:cs="Arial"/>
                    <w:sz w:val="22"/>
                    <w:szCs w:val="22"/>
                  </w:rPr>
                </w:pPr>
                <w:r>
                  <w:rPr>
                    <w:rFonts w:ascii="MS Gothic" w:eastAsia="MS Gothic" w:hAnsi="MS Gothic" w:cs="Arial" w:hint="eastAsia"/>
                    <w:sz w:val="22"/>
                    <w:szCs w:val="22"/>
                  </w:rPr>
                  <w:t>☒</w:t>
                </w:r>
              </w:p>
            </w:tc>
          </w:sdtContent>
        </w:sdt>
      </w:tr>
      <w:tr w:rsidR="00154D0F" w:rsidRPr="00A830D5" w14:paraId="78F4B798" w14:textId="77777777" w:rsidTr="00F9606E">
        <w:trPr>
          <w:trHeight w:val="536"/>
        </w:trPr>
        <w:tc>
          <w:tcPr>
            <w:tcW w:w="6946" w:type="dxa"/>
            <w:shd w:val="clear" w:color="auto" w:fill="F2F2F2" w:themeFill="background1" w:themeFillShade="F2"/>
          </w:tcPr>
          <w:p w14:paraId="616D97AB" w14:textId="02BD5F99" w:rsidR="00154D0F" w:rsidRPr="008422EE" w:rsidRDefault="00154D0F" w:rsidP="003D2502">
            <w:pPr>
              <w:rPr>
                <w:sz w:val="22"/>
              </w:rPr>
            </w:pPr>
            <w:r w:rsidRPr="00A830D5">
              <w:rPr>
                <w:sz w:val="22"/>
              </w:rPr>
              <w:t xml:space="preserve">If there are no third parties involved in the creation of the IP the student is deemed to own the IP, </w:t>
            </w:r>
            <w:proofErr w:type="gramStart"/>
            <w:r w:rsidRPr="00A830D5">
              <w:rPr>
                <w:sz w:val="22"/>
              </w:rPr>
              <w:t>however</w:t>
            </w:r>
            <w:proofErr w:type="gramEnd"/>
            <w:r w:rsidRPr="00A830D5">
              <w:rPr>
                <w:sz w:val="22"/>
              </w:rPr>
              <w:t xml:space="preserve"> should the student wish to commercially exploit their IP and require the assistance of the University to do so, they will be required to assign their IP to the University. </w:t>
            </w:r>
            <w:hyperlink r:id="rId15" w:history="1">
              <w:r w:rsidR="00AD4651" w:rsidRPr="00EA5A7B">
                <w:rPr>
                  <w:rStyle w:val="a9"/>
                </w:rPr>
                <w:t>https://www.uwtsd.ac.uk/iiced/protecting-innovation-and-creativity---intellectual-property/</w:t>
              </w:r>
            </w:hyperlink>
          </w:p>
          <w:p w14:paraId="5AC3FAE3" w14:textId="5F588184" w:rsidR="00F8710D" w:rsidRPr="00F8710D" w:rsidRDefault="00F8710D" w:rsidP="003D2502">
            <w:pPr>
              <w:rPr>
                <w:rFonts w:ascii="Calibri" w:hAnsi="Calibri"/>
              </w:rPr>
            </w:pPr>
          </w:p>
        </w:tc>
        <w:tc>
          <w:tcPr>
            <w:tcW w:w="1418" w:type="dxa"/>
            <w:shd w:val="clear" w:color="auto" w:fill="auto"/>
          </w:tcPr>
          <w:p w14:paraId="2B7CC955" w14:textId="35DB2507" w:rsidR="00154D0F" w:rsidRPr="00A830D5" w:rsidRDefault="00000000" w:rsidP="003D2502">
            <w:pPr>
              <w:jc w:val="center"/>
              <w:rPr>
                <w:rFonts w:cs="Arial"/>
                <w:sz w:val="22"/>
                <w:szCs w:val="22"/>
              </w:rPr>
            </w:pPr>
            <w:sdt>
              <w:sdtPr>
                <w:rPr>
                  <w:rFonts w:cs="Arial"/>
                  <w:sz w:val="22"/>
                  <w:szCs w:val="22"/>
                </w:rPr>
                <w:id w:val="-213039112"/>
                <w14:checkbox>
                  <w14:checked w14:val="0"/>
                  <w14:checkedState w14:val="2612" w14:font="MS Gothic"/>
                  <w14:uncheckedState w14:val="2610" w14:font="MS Gothic"/>
                </w14:checkbox>
              </w:sdtPr>
              <w:sdtContent>
                <w:r w:rsidR="008D2941">
                  <w:rPr>
                    <w:rFonts w:ascii="MS Gothic" w:eastAsia="MS Gothic" w:hAnsi="MS Gothic" w:cs="Arial" w:hint="eastAsia"/>
                    <w:sz w:val="22"/>
                    <w:szCs w:val="22"/>
                  </w:rPr>
                  <w:t>☐</w:t>
                </w:r>
              </w:sdtContent>
            </w:sdt>
          </w:p>
        </w:tc>
        <w:tc>
          <w:tcPr>
            <w:tcW w:w="1417" w:type="dxa"/>
            <w:shd w:val="clear" w:color="auto" w:fill="auto"/>
          </w:tcPr>
          <w:p w14:paraId="6D4486CF" w14:textId="676627DE" w:rsidR="00154D0F" w:rsidRPr="00A830D5" w:rsidRDefault="00000000" w:rsidP="003D2502">
            <w:pPr>
              <w:jc w:val="center"/>
              <w:rPr>
                <w:rFonts w:cs="Arial"/>
                <w:sz w:val="22"/>
                <w:szCs w:val="22"/>
              </w:rPr>
            </w:pPr>
            <w:sdt>
              <w:sdtPr>
                <w:rPr>
                  <w:rFonts w:cs="Arial"/>
                  <w:sz w:val="22"/>
                  <w:szCs w:val="22"/>
                </w:rPr>
                <w:id w:val="1455208757"/>
                <w14:checkbox>
                  <w14:checked w14:val="1"/>
                  <w14:checkedState w14:val="2612" w14:font="MS Gothic"/>
                  <w14:uncheckedState w14:val="2610" w14:font="MS Gothic"/>
                </w14:checkbox>
              </w:sdtPr>
              <w:sdtContent>
                <w:r w:rsidR="00142ADD">
                  <w:rPr>
                    <w:rFonts w:ascii="MS Gothic" w:eastAsia="MS Gothic" w:hAnsi="MS Gothic" w:cs="Arial" w:hint="eastAsia"/>
                    <w:sz w:val="22"/>
                    <w:szCs w:val="22"/>
                  </w:rPr>
                  <w:t>☒</w:t>
                </w:r>
              </w:sdtContent>
            </w:sdt>
          </w:p>
        </w:tc>
      </w:tr>
    </w:tbl>
    <w:p w14:paraId="5F3440EC" w14:textId="77777777" w:rsidR="002F3407" w:rsidRPr="00A830D5" w:rsidRDefault="002F3407" w:rsidP="00643766">
      <w:pPr>
        <w:rPr>
          <w:rFonts w:cs="Arial"/>
          <w:sz w:val="22"/>
          <w:szCs w:val="22"/>
        </w:rPr>
      </w:pPr>
    </w:p>
    <w:tbl>
      <w:tblPr>
        <w:tblStyle w:val="ac"/>
        <w:tblW w:w="974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747"/>
      </w:tblGrid>
      <w:tr w:rsidR="00154D0F" w:rsidRPr="00A830D5" w14:paraId="720A8741" w14:textId="77777777" w:rsidTr="003D2502">
        <w:tc>
          <w:tcPr>
            <w:tcW w:w="9747" w:type="dxa"/>
          </w:tcPr>
          <w:p w14:paraId="57288407" w14:textId="77777777" w:rsidR="00154D0F" w:rsidRPr="00A830D5" w:rsidRDefault="00154D0F" w:rsidP="003D2502">
            <w:pPr>
              <w:rPr>
                <w:rFonts w:cs="Arial"/>
                <w:sz w:val="22"/>
                <w:szCs w:val="22"/>
              </w:rPr>
            </w:pPr>
          </w:p>
          <w:p w14:paraId="485DF1E9" w14:textId="77777777" w:rsidR="00154D0F" w:rsidRPr="00A830D5" w:rsidRDefault="00154D0F" w:rsidP="003D2502">
            <w:pPr>
              <w:rPr>
                <w:rFonts w:cs="Arial"/>
                <w:b/>
                <w:sz w:val="22"/>
                <w:szCs w:val="22"/>
              </w:rPr>
            </w:pPr>
            <w:r w:rsidRPr="00A830D5">
              <w:rPr>
                <w:rFonts w:cs="Arial"/>
                <w:b/>
                <w:sz w:val="22"/>
                <w:szCs w:val="22"/>
              </w:rPr>
              <w:t>Student Signature</w:t>
            </w:r>
          </w:p>
          <w:p w14:paraId="57164AAA" w14:textId="77777777" w:rsidR="00154D0F" w:rsidRPr="00A830D5" w:rsidRDefault="00154D0F" w:rsidP="003D2502">
            <w:pPr>
              <w:rPr>
                <w:rFonts w:cs="Arial"/>
                <w:sz w:val="22"/>
                <w:szCs w:val="22"/>
              </w:rPr>
            </w:pPr>
          </w:p>
          <w:tbl>
            <w:tblPr>
              <w:tblStyle w:val="ac"/>
              <w:tblW w:w="0" w:type="auto"/>
              <w:tblLook w:val="04A0" w:firstRow="1" w:lastRow="0" w:firstColumn="1" w:lastColumn="0" w:noHBand="0" w:noVBand="1"/>
            </w:tblPr>
            <w:tblGrid>
              <w:gridCol w:w="2060"/>
              <w:gridCol w:w="6069"/>
              <w:gridCol w:w="1392"/>
            </w:tblGrid>
            <w:tr w:rsidR="00154D0F" w:rsidRPr="00A830D5" w14:paraId="34416F4D" w14:textId="77777777" w:rsidTr="002F3407">
              <w:tc>
                <w:tcPr>
                  <w:tcW w:w="2094" w:type="dxa"/>
                  <w:shd w:val="clear" w:color="auto" w:fill="F2F2F2" w:themeFill="background1" w:themeFillShade="F2"/>
                </w:tcPr>
                <w:p w14:paraId="0D3B3F7E" w14:textId="77777777" w:rsidR="00154D0F" w:rsidRPr="00A830D5" w:rsidRDefault="00154D0F" w:rsidP="003D2502">
                  <w:pPr>
                    <w:rPr>
                      <w:rFonts w:cs="Arial"/>
                      <w:sz w:val="22"/>
                      <w:szCs w:val="22"/>
                    </w:rPr>
                  </w:pPr>
                </w:p>
                <w:p w14:paraId="46358A62" w14:textId="77777777" w:rsidR="001C367F" w:rsidRPr="00A830D5" w:rsidRDefault="001C367F" w:rsidP="001C367F">
                  <w:pPr>
                    <w:rPr>
                      <w:rFonts w:cs="Arial"/>
                      <w:sz w:val="22"/>
                      <w:szCs w:val="22"/>
                    </w:rPr>
                  </w:pPr>
                  <w:r w:rsidRPr="00A830D5">
                    <w:rPr>
                      <w:rFonts w:cs="Arial"/>
                      <w:sz w:val="22"/>
                      <w:szCs w:val="22"/>
                    </w:rPr>
                    <w:t>Signature or Print Name:</w:t>
                  </w:r>
                </w:p>
                <w:p w14:paraId="46593092" w14:textId="77777777" w:rsidR="00154D0F" w:rsidRPr="00A830D5" w:rsidRDefault="00154D0F" w:rsidP="003D2502">
                  <w:pPr>
                    <w:rPr>
                      <w:rFonts w:cs="Arial"/>
                      <w:sz w:val="22"/>
                      <w:szCs w:val="22"/>
                    </w:rPr>
                  </w:pPr>
                </w:p>
              </w:tc>
              <w:tc>
                <w:tcPr>
                  <w:tcW w:w="6265" w:type="dxa"/>
                </w:tcPr>
                <w:p w14:paraId="66A92A5A" w14:textId="055C1137" w:rsidR="00154D0F" w:rsidRPr="00A830D5" w:rsidRDefault="005172D3" w:rsidP="003D2502">
                  <w:pPr>
                    <w:rPr>
                      <w:rFonts w:cs="Arial"/>
                      <w:sz w:val="22"/>
                      <w:szCs w:val="22"/>
                    </w:rPr>
                  </w:pPr>
                  <w:proofErr w:type="spellStart"/>
                  <w:r>
                    <w:rPr>
                      <w:rFonts w:cs="Arial"/>
                      <w:sz w:val="22"/>
                      <w:szCs w:val="22"/>
                    </w:rPr>
                    <w:t>YuDing</w:t>
                  </w:r>
                  <w:proofErr w:type="spellEnd"/>
                </w:p>
              </w:tc>
              <w:tc>
                <w:tcPr>
                  <w:tcW w:w="1417" w:type="dxa"/>
                </w:tcPr>
                <w:p w14:paraId="0275CF38" w14:textId="77777777" w:rsidR="00154D0F" w:rsidRDefault="00154D0F" w:rsidP="003D2502">
                  <w:pPr>
                    <w:rPr>
                      <w:rFonts w:cs="Arial"/>
                      <w:sz w:val="22"/>
                      <w:szCs w:val="22"/>
                      <w:lang w:eastAsia="zh-CN"/>
                    </w:rPr>
                  </w:pPr>
                  <w:r w:rsidRPr="00A830D5">
                    <w:rPr>
                      <w:rFonts w:cs="Arial"/>
                      <w:sz w:val="22"/>
                      <w:szCs w:val="22"/>
                    </w:rPr>
                    <w:t>Date:</w:t>
                  </w:r>
                </w:p>
                <w:p w14:paraId="02CAAC52" w14:textId="5108313F" w:rsidR="008D2941" w:rsidRPr="008D2941" w:rsidRDefault="008D2941" w:rsidP="003D2502">
                  <w:pPr>
                    <w:rPr>
                      <w:rFonts w:cs="Arial"/>
                      <w:sz w:val="22"/>
                      <w:szCs w:val="22"/>
                      <w:lang w:val="en-US" w:eastAsia="zh-CN"/>
                    </w:rPr>
                  </w:pPr>
                  <w:r>
                    <w:rPr>
                      <w:rFonts w:cs="Arial" w:hint="eastAsia"/>
                      <w:sz w:val="22"/>
                      <w:szCs w:val="22"/>
                      <w:lang w:eastAsia="zh-CN"/>
                    </w:rPr>
                    <w:t>14</w:t>
                  </w:r>
                  <w:r w:rsidRPr="008D2941">
                    <w:rPr>
                      <w:rFonts w:cs="Arial" w:hint="eastAsia"/>
                      <w:sz w:val="22"/>
                      <w:szCs w:val="22"/>
                      <w:vertAlign w:val="superscript"/>
                      <w:lang w:eastAsia="zh-CN"/>
                    </w:rPr>
                    <w:t>th</w:t>
                  </w:r>
                  <w:r>
                    <w:rPr>
                      <w:rFonts w:cs="Arial" w:hint="eastAsia"/>
                      <w:sz w:val="22"/>
                      <w:szCs w:val="22"/>
                      <w:lang w:eastAsia="zh-CN"/>
                    </w:rPr>
                    <w:t xml:space="preserve"> Oct</w:t>
                  </w:r>
                  <w:r>
                    <w:rPr>
                      <w:rFonts w:cs="Arial"/>
                      <w:sz w:val="22"/>
                      <w:szCs w:val="22"/>
                      <w:lang w:val="en-US" w:eastAsia="zh-CN"/>
                    </w:rPr>
                    <w:t>. 2024</w:t>
                  </w:r>
                </w:p>
              </w:tc>
            </w:tr>
          </w:tbl>
          <w:p w14:paraId="4D57A894" w14:textId="77777777" w:rsidR="00154D0F" w:rsidRPr="00A830D5" w:rsidRDefault="00154D0F" w:rsidP="003D2502">
            <w:pPr>
              <w:rPr>
                <w:rFonts w:cs="Arial"/>
                <w:sz w:val="22"/>
                <w:szCs w:val="22"/>
              </w:rPr>
            </w:pPr>
          </w:p>
          <w:p w14:paraId="36EB0ACF" w14:textId="77777777" w:rsidR="00154D0F" w:rsidRPr="00A830D5" w:rsidRDefault="00154D0F" w:rsidP="003D2502">
            <w:pPr>
              <w:rPr>
                <w:rFonts w:cs="Arial"/>
                <w:sz w:val="22"/>
                <w:szCs w:val="22"/>
              </w:rPr>
            </w:pPr>
          </w:p>
        </w:tc>
      </w:tr>
    </w:tbl>
    <w:p w14:paraId="18F3C393" w14:textId="77777777" w:rsidR="006731F3" w:rsidRPr="00A830D5" w:rsidRDefault="006731F3" w:rsidP="00643766">
      <w:pPr>
        <w:rPr>
          <w:rFonts w:cs="Arial"/>
          <w:sz w:val="22"/>
          <w:szCs w:val="22"/>
        </w:rPr>
      </w:pPr>
    </w:p>
    <w:p w14:paraId="6318C4B3" w14:textId="77777777" w:rsidR="00D83BB1" w:rsidRPr="00A830D5" w:rsidRDefault="00474F13" w:rsidP="00F377CD">
      <w:pPr>
        <w:ind w:left="-142" w:firstLine="142"/>
        <w:rPr>
          <w:rFonts w:cs="Arial"/>
          <w:sz w:val="22"/>
          <w:szCs w:val="22"/>
        </w:rPr>
      </w:pPr>
      <w:r w:rsidRPr="00A830D5">
        <w:rPr>
          <w:rFonts w:cs="Arial"/>
          <w:b/>
          <w:bCs/>
          <w:sz w:val="22"/>
          <w:szCs w:val="22"/>
        </w:rPr>
        <w:t>Supervisory Team</w:t>
      </w:r>
    </w:p>
    <w:p w14:paraId="317533D3" w14:textId="77777777" w:rsidR="005C59F8" w:rsidRPr="00A830D5" w:rsidRDefault="005C59F8" w:rsidP="00643766">
      <w:pPr>
        <w:rPr>
          <w:rFonts w:cs="Arial"/>
          <w:sz w:val="22"/>
          <w:szCs w:val="22"/>
        </w:rPr>
      </w:pPr>
    </w:p>
    <w:p w14:paraId="7D6FCEAF" w14:textId="77777777" w:rsidR="00154D0F" w:rsidRPr="00A830D5" w:rsidRDefault="00154D0F" w:rsidP="00154D0F">
      <w:pPr>
        <w:ind w:left="180"/>
        <w:rPr>
          <w:rFonts w:cs="Arial"/>
          <w:b/>
          <w:sz w:val="22"/>
          <w:szCs w:val="22"/>
        </w:rPr>
      </w:pPr>
    </w:p>
    <w:tbl>
      <w:tblPr>
        <w:tblStyle w:val="ac"/>
        <w:tblW w:w="9747" w:type="dxa"/>
        <w:tblLook w:val="04A0" w:firstRow="1" w:lastRow="0" w:firstColumn="1" w:lastColumn="0" w:noHBand="0" w:noVBand="1"/>
      </w:tblPr>
      <w:tblGrid>
        <w:gridCol w:w="9747"/>
      </w:tblGrid>
      <w:tr w:rsidR="00154D0F" w:rsidRPr="00A830D5" w14:paraId="4213C45B" w14:textId="77777777" w:rsidTr="002F3407">
        <w:tc>
          <w:tcPr>
            <w:tcW w:w="9747" w:type="dxa"/>
            <w:shd w:val="clear" w:color="auto" w:fill="F2F2F2" w:themeFill="background1" w:themeFillShade="F2"/>
          </w:tcPr>
          <w:p w14:paraId="0224350C" w14:textId="6BB67C65" w:rsidR="00154D0F" w:rsidRPr="00A830D5" w:rsidRDefault="009353AC" w:rsidP="003D2502">
            <w:pPr>
              <w:rPr>
                <w:rFonts w:cs="Arial"/>
                <w:b/>
                <w:sz w:val="22"/>
                <w:szCs w:val="22"/>
              </w:rPr>
            </w:pPr>
            <w:r w:rsidRPr="00A830D5">
              <w:rPr>
                <w:rFonts w:cs="Arial"/>
                <w:szCs w:val="22"/>
              </w:rPr>
              <w:t xml:space="preserve">Has the student proposed a viable research project that is appropriate for this programme that should be supported by the Institute? </w:t>
            </w:r>
          </w:p>
        </w:tc>
      </w:tr>
      <w:tr w:rsidR="00154D0F" w:rsidRPr="00A830D5" w14:paraId="320119FA" w14:textId="77777777" w:rsidTr="002F3407">
        <w:tc>
          <w:tcPr>
            <w:tcW w:w="9747" w:type="dxa"/>
          </w:tcPr>
          <w:p w14:paraId="0B60BD57" w14:textId="77777777" w:rsidR="00154D0F" w:rsidRPr="00A830D5" w:rsidRDefault="00154D0F" w:rsidP="003D2502">
            <w:pPr>
              <w:rPr>
                <w:rFonts w:cs="Arial"/>
                <w:b/>
                <w:sz w:val="22"/>
                <w:szCs w:val="22"/>
              </w:rPr>
            </w:pPr>
          </w:p>
          <w:p w14:paraId="194C7AC4" w14:textId="7685FF01" w:rsidR="00154D0F" w:rsidRPr="00A830D5" w:rsidRDefault="00154D0F" w:rsidP="003D2502">
            <w:pPr>
              <w:rPr>
                <w:rFonts w:cs="Arial"/>
                <w:b/>
                <w:sz w:val="22"/>
                <w:szCs w:val="22"/>
              </w:rPr>
            </w:pPr>
            <w:r w:rsidRPr="00A830D5">
              <w:rPr>
                <w:rFonts w:cs="Arial"/>
                <w:b/>
                <w:sz w:val="22"/>
                <w:szCs w:val="22"/>
              </w:rPr>
              <w:t xml:space="preserve">              Supported:  </w:t>
            </w:r>
            <w:sdt>
              <w:sdtPr>
                <w:rPr>
                  <w:rFonts w:cs="Arial"/>
                  <w:b/>
                  <w:sz w:val="22"/>
                  <w:szCs w:val="22"/>
                </w:rPr>
                <w:id w:val="374281938"/>
                <w14:checkbox>
                  <w14:checked w14:val="0"/>
                  <w14:checkedState w14:val="2612" w14:font="MS Gothic"/>
                  <w14:uncheckedState w14:val="2610" w14:font="MS Gothic"/>
                </w14:checkbox>
              </w:sdtPr>
              <w:sdtContent>
                <w:r w:rsidR="00A27F4D" w:rsidRPr="00A830D5">
                  <w:rPr>
                    <w:rFonts w:ascii="MS Gothic" w:eastAsia="MS Gothic" w:hAnsi="MS Gothic" w:cs="Arial"/>
                    <w:b/>
                    <w:sz w:val="22"/>
                    <w:szCs w:val="22"/>
                  </w:rPr>
                  <w:t>☐</w:t>
                </w:r>
              </w:sdtContent>
            </w:sdt>
            <w:r w:rsidRPr="00A830D5">
              <w:rPr>
                <w:rFonts w:cs="Arial"/>
                <w:b/>
                <w:sz w:val="22"/>
                <w:szCs w:val="22"/>
              </w:rPr>
              <w:t xml:space="preserve">                                                     Not Supported:  </w:t>
            </w:r>
            <w:sdt>
              <w:sdtPr>
                <w:rPr>
                  <w:rFonts w:cs="Arial"/>
                  <w:b/>
                  <w:sz w:val="22"/>
                  <w:szCs w:val="22"/>
                </w:rPr>
                <w:id w:val="-1591067938"/>
                <w14:checkbox>
                  <w14:checked w14:val="1"/>
                  <w14:checkedState w14:val="2612" w14:font="MS Gothic"/>
                  <w14:uncheckedState w14:val="2610" w14:font="MS Gothic"/>
                </w14:checkbox>
              </w:sdtPr>
              <w:sdtContent>
                <w:r w:rsidR="000A54CF">
                  <w:rPr>
                    <w:rFonts w:ascii="MS Gothic" w:eastAsia="MS Gothic" w:hAnsi="MS Gothic" w:cs="Arial" w:hint="eastAsia"/>
                    <w:b/>
                    <w:sz w:val="22"/>
                    <w:szCs w:val="22"/>
                  </w:rPr>
                  <w:t>☒</w:t>
                </w:r>
              </w:sdtContent>
            </w:sdt>
          </w:p>
          <w:p w14:paraId="260E619C" w14:textId="77777777" w:rsidR="00154D0F" w:rsidRPr="00A830D5" w:rsidRDefault="00154D0F" w:rsidP="003D2502">
            <w:pPr>
              <w:rPr>
                <w:rFonts w:cs="Arial"/>
                <w:b/>
                <w:sz w:val="22"/>
                <w:szCs w:val="22"/>
              </w:rPr>
            </w:pPr>
          </w:p>
          <w:p w14:paraId="10C35E30" w14:textId="77777777" w:rsidR="00154D0F" w:rsidRPr="00A830D5" w:rsidRDefault="00154D0F" w:rsidP="003D2502">
            <w:pPr>
              <w:rPr>
                <w:rFonts w:cs="Arial"/>
                <w:b/>
                <w:sz w:val="22"/>
                <w:szCs w:val="22"/>
              </w:rPr>
            </w:pPr>
          </w:p>
        </w:tc>
      </w:tr>
    </w:tbl>
    <w:p w14:paraId="6F4E4AAF" w14:textId="77777777" w:rsidR="006731F3" w:rsidRPr="00A830D5" w:rsidRDefault="006731F3" w:rsidP="00643766">
      <w:pPr>
        <w:rPr>
          <w:rFonts w:cs="Arial"/>
          <w:sz w:val="22"/>
          <w:szCs w:val="22"/>
        </w:rPr>
      </w:pPr>
    </w:p>
    <w:p w14:paraId="34ACA08C" w14:textId="77777777" w:rsidR="009353AC" w:rsidRPr="00A830D5" w:rsidRDefault="009353AC" w:rsidP="009353AC">
      <w:pPr>
        <w:rPr>
          <w:rFonts w:cs="Arial"/>
          <w:b/>
          <w:sz w:val="22"/>
          <w:szCs w:val="22"/>
        </w:rPr>
      </w:pPr>
      <w:r w:rsidRPr="00A830D5">
        <w:rPr>
          <w:rFonts w:cs="Arial"/>
          <w:b/>
          <w:sz w:val="22"/>
          <w:szCs w:val="22"/>
        </w:rPr>
        <w:t>Authorisation</w:t>
      </w:r>
    </w:p>
    <w:p w14:paraId="299404A0" w14:textId="77777777" w:rsidR="005C59F8" w:rsidRPr="00A830D5" w:rsidRDefault="005C59F8" w:rsidP="00643766">
      <w:pPr>
        <w:rPr>
          <w:rFonts w:cs="Arial"/>
          <w:sz w:val="22"/>
          <w:szCs w:val="22"/>
        </w:rPr>
      </w:pPr>
    </w:p>
    <w:tbl>
      <w:tblPr>
        <w:tblStyle w:val="ac"/>
        <w:tblW w:w="9781" w:type="dxa"/>
        <w:tblInd w:w="-34" w:type="dxa"/>
        <w:tblLook w:val="04A0" w:firstRow="1" w:lastRow="0" w:firstColumn="1" w:lastColumn="0" w:noHBand="0" w:noVBand="1"/>
      </w:tblPr>
      <w:tblGrid>
        <w:gridCol w:w="2552"/>
        <w:gridCol w:w="5387"/>
        <w:gridCol w:w="1842"/>
      </w:tblGrid>
      <w:tr w:rsidR="00595F5B" w:rsidRPr="00A830D5" w14:paraId="7ACD1EE4" w14:textId="77777777" w:rsidTr="002F3407">
        <w:tc>
          <w:tcPr>
            <w:tcW w:w="2552" w:type="dxa"/>
            <w:shd w:val="clear" w:color="auto" w:fill="F2F2F2" w:themeFill="background1" w:themeFillShade="F2"/>
          </w:tcPr>
          <w:p w14:paraId="552136A5" w14:textId="069DB655" w:rsidR="00595F5B" w:rsidRPr="00A830D5" w:rsidRDefault="009353AC" w:rsidP="00836B2B">
            <w:pPr>
              <w:rPr>
                <w:rFonts w:cs="Arial"/>
                <w:sz w:val="22"/>
                <w:szCs w:val="22"/>
              </w:rPr>
            </w:pPr>
            <w:r w:rsidRPr="00A830D5">
              <w:rPr>
                <w:rFonts w:cs="Arial"/>
                <w:sz w:val="22"/>
                <w:szCs w:val="22"/>
              </w:rPr>
              <w:t>Director of Studies</w:t>
            </w:r>
          </w:p>
        </w:tc>
        <w:tc>
          <w:tcPr>
            <w:tcW w:w="5387" w:type="dxa"/>
          </w:tcPr>
          <w:p w14:paraId="763A439C" w14:textId="77777777" w:rsidR="00595F5B" w:rsidRPr="00A830D5" w:rsidRDefault="00595F5B" w:rsidP="00836B2B">
            <w:pPr>
              <w:rPr>
                <w:rFonts w:cs="Arial"/>
                <w:sz w:val="22"/>
                <w:szCs w:val="22"/>
              </w:rPr>
            </w:pPr>
            <w:r w:rsidRPr="00A830D5">
              <w:rPr>
                <w:rFonts w:cs="Arial"/>
                <w:sz w:val="22"/>
                <w:szCs w:val="22"/>
              </w:rPr>
              <w:t>Signature</w:t>
            </w:r>
            <w:r w:rsidR="00994CF9" w:rsidRPr="00A830D5">
              <w:rPr>
                <w:rFonts w:cs="Arial"/>
                <w:sz w:val="22"/>
                <w:szCs w:val="22"/>
              </w:rPr>
              <w:t xml:space="preserve"> or Print Name:</w:t>
            </w:r>
          </w:p>
          <w:p w14:paraId="3440B88D" w14:textId="77777777" w:rsidR="00595F5B" w:rsidRPr="00A830D5" w:rsidRDefault="00595F5B" w:rsidP="00836B2B">
            <w:pPr>
              <w:rPr>
                <w:rFonts w:cs="Arial"/>
                <w:sz w:val="22"/>
                <w:szCs w:val="22"/>
              </w:rPr>
            </w:pPr>
          </w:p>
          <w:p w14:paraId="31F4BCE2" w14:textId="77777777" w:rsidR="00595F5B" w:rsidRPr="00A830D5" w:rsidRDefault="00595F5B" w:rsidP="00836B2B">
            <w:pPr>
              <w:rPr>
                <w:rFonts w:cs="Arial"/>
                <w:sz w:val="22"/>
                <w:szCs w:val="22"/>
              </w:rPr>
            </w:pPr>
          </w:p>
          <w:p w14:paraId="14FF04C5" w14:textId="77777777" w:rsidR="00595F5B" w:rsidRPr="00A830D5" w:rsidRDefault="00595F5B" w:rsidP="00836B2B">
            <w:pPr>
              <w:rPr>
                <w:rFonts w:cs="Arial"/>
                <w:sz w:val="22"/>
                <w:szCs w:val="22"/>
              </w:rPr>
            </w:pPr>
          </w:p>
        </w:tc>
        <w:tc>
          <w:tcPr>
            <w:tcW w:w="1842" w:type="dxa"/>
          </w:tcPr>
          <w:p w14:paraId="1666A4CE" w14:textId="77777777" w:rsidR="00595F5B" w:rsidRPr="00A830D5" w:rsidRDefault="00595F5B" w:rsidP="00836B2B">
            <w:pPr>
              <w:rPr>
                <w:rFonts w:cs="Arial"/>
                <w:sz w:val="22"/>
                <w:szCs w:val="22"/>
              </w:rPr>
            </w:pPr>
            <w:r w:rsidRPr="00A830D5">
              <w:rPr>
                <w:rFonts w:cs="Arial"/>
                <w:sz w:val="22"/>
                <w:szCs w:val="22"/>
              </w:rPr>
              <w:t>Date:</w:t>
            </w:r>
          </w:p>
        </w:tc>
      </w:tr>
      <w:tr w:rsidR="008944DE" w:rsidRPr="00A830D5" w14:paraId="365BD0A8" w14:textId="77777777" w:rsidTr="002F3407">
        <w:tc>
          <w:tcPr>
            <w:tcW w:w="2552" w:type="dxa"/>
            <w:shd w:val="clear" w:color="auto" w:fill="F2F2F2" w:themeFill="background1" w:themeFillShade="F2"/>
          </w:tcPr>
          <w:p w14:paraId="1523995F" w14:textId="77777777" w:rsidR="00165D23" w:rsidRDefault="00165D23" w:rsidP="00165D23">
            <w:pPr>
              <w:rPr>
                <w:rFonts w:cs="Arial"/>
                <w:sz w:val="22"/>
                <w:szCs w:val="22"/>
              </w:rPr>
            </w:pPr>
            <w:r>
              <w:rPr>
                <w:rFonts w:cs="Arial"/>
                <w:sz w:val="22"/>
                <w:szCs w:val="22"/>
              </w:rPr>
              <w:lastRenderedPageBreak/>
              <w:t>Institute Manager of Research Degrees</w:t>
            </w:r>
          </w:p>
          <w:p w14:paraId="7B4E9831" w14:textId="1B4730B0" w:rsidR="00430E87" w:rsidRPr="00A830D5" w:rsidRDefault="00430E87" w:rsidP="00717DFA">
            <w:pPr>
              <w:rPr>
                <w:rFonts w:cs="Arial"/>
                <w:sz w:val="22"/>
                <w:szCs w:val="22"/>
              </w:rPr>
            </w:pPr>
          </w:p>
        </w:tc>
        <w:tc>
          <w:tcPr>
            <w:tcW w:w="5387" w:type="dxa"/>
          </w:tcPr>
          <w:p w14:paraId="11318A03" w14:textId="77777777" w:rsidR="00994CF9" w:rsidRPr="00A830D5" w:rsidRDefault="00994CF9" w:rsidP="00994CF9">
            <w:pPr>
              <w:rPr>
                <w:rFonts w:cs="Arial"/>
                <w:sz w:val="22"/>
                <w:szCs w:val="22"/>
              </w:rPr>
            </w:pPr>
            <w:r w:rsidRPr="00A830D5">
              <w:rPr>
                <w:rFonts w:cs="Arial"/>
                <w:sz w:val="22"/>
                <w:szCs w:val="22"/>
              </w:rPr>
              <w:t>Signature or Print Name:</w:t>
            </w:r>
          </w:p>
          <w:p w14:paraId="34885275" w14:textId="77777777" w:rsidR="008944DE" w:rsidRPr="00A830D5" w:rsidRDefault="008944DE" w:rsidP="00836B2B">
            <w:pPr>
              <w:rPr>
                <w:rFonts w:cs="Arial"/>
                <w:sz w:val="22"/>
                <w:szCs w:val="22"/>
              </w:rPr>
            </w:pPr>
          </w:p>
          <w:p w14:paraId="6CD02346" w14:textId="77777777" w:rsidR="008944DE" w:rsidRPr="00A830D5" w:rsidRDefault="008944DE" w:rsidP="00836B2B">
            <w:pPr>
              <w:rPr>
                <w:rFonts w:cs="Arial"/>
                <w:sz w:val="22"/>
                <w:szCs w:val="22"/>
              </w:rPr>
            </w:pPr>
          </w:p>
          <w:p w14:paraId="07E62D4B" w14:textId="77777777" w:rsidR="008944DE" w:rsidRPr="00A830D5" w:rsidRDefault="008944DE" w:rsidP="00836B2B">
            <w:pPr>
              <w:rPr>
                <w:rFonts w:cs="Arial"/>
                <w:sz w:val="22"/>
                <w:szCs w:val="22"/>
              </w:rPr>
            </w:pPr>
          </w:p>
        </w:tc>
        <w:tc>
          <w:tcPr>
            <w:tcW w:w="1842" w:type="dxa"/>
          </w:tcPr>
          <w:p w14:paraId="24644946" w14:textId="77777777" w:rsidR="008944DE" w:rsidRPr="00A830D5" w:rsidRDefault="008944DE" w:rsidP="00836B2B">
            <w:pPr>
              <w:rPr>
                <w:rFonts w:cs="Arial"/>
                <w:sz w:val="22"/>
                <w:szCs w:val="22"/>
              </w:rPr>
            </w:pPr>
            <w:r w:rsidRPr="00A830D5">
              <w:rPr>
                <w:rFonts w:cs="Arial"/>
                <w:sz w:val="22"/>
                <w:szCs w:val="22"/>
              </w:rPr>
              <w:t>Date:</w:t>
            </w:r>
          </w:p>
        </w:tc>
      </w:tr>
    </w:tbl>
    <w:p w14:paraId="61331DD8" w14:textId="6FD2FDED" w:rsidR="00595F5B" w:rsidRDefault="00595F5B" w:rsidP="008944DE">
      <w:pPr>
        <w:rPr>
          <w:rFonts w:cs="Arial"/>
          <w:sz w:val="22"/>
          <w:szCs w:val="22"/>
        </w:rPr>
      </w:pPr>
    </w:p>
    <w:p w14:paraId="0C645853" w14:textId="6061A822" w:rsidR="00EE49AE" w:rsidRPr="00A830D5" w:rsidRDefault="00EE49AE" w:rsidP="00EE49AE">
      <w:pPr>
        <w:jc w:val="center"/>
        <w:rPr>
          <w:rFonts w:cs="Arial"/>
          <w:sz w:val="22"/>
          <w:szCs w:val="22"/>
        </w:rPr>
      </w:pPr>
      <w:r w:rsidRPr="00D14D35">
        <w:rPr>
          <w:rFonts w:cs="Arial"/>
          <w:b/>
          <w:sz w:val="22"/>
          <w:szCs w:val="22"/>
        </w:rPr>
        <w:t xml:space="preserve">Once complete, submit this form via the </w:t>
      </w:r>
      <w:proofErr w:type="spellStart"/>
      <w:r w:rsidRPr="00D14D35">
        <w:rPr>
          <w:rFonts w:cs="Arial"/>
          <w:b/>
          <w:sz w:val="22"/>
          <w:szCs w:val="22"/>
          <w:u w:val="single"/>
        </w:rPr>
        <w:t>MyTSD</w:t>
      </w:r>
      <w:proofErr w:type="spellEnd"/>
      <w:r w:rsidRPr="00D14D35">
        <w:rPr>
          <w:rFonts w:cs="Arial"/>
          <w:b/>
          <w:sz w:val="22"/>
          <w:szCs w:val="22"/>
          <w:u w:val="single"/>
        </w:rPr>
        <w:t xml:space="preserve"> </w:t>
      </w:r>
      <w:r w:rsidR="00F340BA" w:rsidRPr="00F340BA">
        <w:rPr>
          <w:rFonts w:cs="Arial"/>
          <w:b/>
          <w:sz w:val="22"/>
          <w:szCs w:val="22"/>
          <w:u w:val="single"/>
        </w:rPr>
        <w:t>Doctoral College</w:t>
      </w:r>
      <w:r w:rsidR="00F340BA">
        <w:rPr>
          <w:rFonts w:cs="Arial"/>
          <w:b/>
          <w:sz w:val="22"/>
          <w:szCs w:val="22"/>
          <w:u w:val="single"/>
        </w:rPr>
        <w:t xml:space="preserve"> </w:t>
      </w:r>
      <w:r w:rsidRPr="00D14D35">
        <w:rPr>
          <w:rFonts w:cs="Arial"/>
          <w:b/>
          <w:sz w:val="22"/>
          <w:szCs w:val="22"/>
          <w:u w:val="single"/>
        </w:rPr>
        <w:t>Portal</w:t>
      </w:r>
      <w:r w:rsidRPr="00D14D35">
        <w:rPr>
          <w:rFonts w:cs="Arial"/>
          <w:b/>
          <w:sz w:val="22"/>
          <w:szCs w:val="22"/>
        </w:rPr>
        <w:t xml:space="preserve"> at (</w:t>
      </w:r>
      <w:hyperlink r:id="rId16" w:history="1">
        <w:r w:rsidRPr="004B21E4">
          <w:rPr>
            <w:rStyle w:val="a9"/>
            <w:rFonts w:cs="Arial"/>
            <w:b/>
            <w:sz w:val="22"/>
            <w:szCs w:val="22"/>
          </w:rPr>
          <w:t>https://mytsd.uwtsd.ac.uk</w:t>
        </w:r>
      </w:hyperlink>
      <w:r w:rsidRPr="00D14D35">
        <w:rPr>
          <w:rFonts w:cs="Arial"/>
          <w:b/>
          <w:sz w:val="22"/>
          <w:szCs w:val="22"/>
        </w:rPr>
        <w:t>).</w:t>
      </w:r>
    </w:p>
    <w:sectPr w:rsidR="00EE49AE" w:rsidRPr="00A830D5" w:rsidSect="00516A38">
      <w:headerReference w:type="even" r:id="rId17"/>
      <w:headerReference w:type="default" r:id="rId18"/>
      <w:footerReference w:type="even" r:id="rId19"/>
      <w:footerReference w:type="default" r:id="rId20"/>
      <w:headerReference w:type="first" r:id="rId21"/>
      <w:footerReference w:type="first" r:id="rId22"/>
      <w:pgSz w:w="11906" w:h="16838" w:code="9"/>
      <w:pgMar w:top="1701" w:right="1440" w:bottom="1440" w:left="1440" w:header="284" w:footer="709"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EA287AA" w14:textId="77777777" w:rsidR="00CA60B7" w:rsidRDefault="00CA60B7">
      <w:r>
        <w:separator/>
      </w:r>
    </w:p>
  </w:endnote>
  <w:endnote w:type="continuationSeparator" w:id="0">
    <w:p w14:paraId="52D2FE41" w14:textId="77777777" w:rsidR="00CA60B7" w:rsidRDefault="00CA60B7">
      <w:r>
        <w:continuationSeparator/>
      </w:r>
    </w:p>
  </w:endnote>
  <w:endnote w:type="continuationNotice" w:id="1">
    <w:p w14:paraId="1C009BE9" w14:textId="77777777" w:rsidR="00CA60B7" w:rsidRDefault="00CA60B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宋体">
    <w:altName w:val="SimSun"/>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仿宋">
    <w:panose1 w:val="02010609060101010101"/>
    <w:charset w:val="86"/>
    <w:family w:val="modern"/>
    <w:pitch w:val="fixed"/>
    <w:sig w:usb0="800002BF" w:usb1="38CF7CFA" w:usb2="00000016" w:usb3="00000000" w:csb0="00040001" w:csb1="00000000"/>
  </w:font>
  <w:font w:name="Apple Color Emoji">
    <w:panose1 w:val="00000000000000000000"/>
    <w:charset w:val="00"/>
    <w:family w:val="auto"/>
    <w:pitch w:val="variable"/>
    <w:sig w:usb0="00000003" w:usb1="18000000" w:usb2="14000000" w:usb3="00000000" w:csb0="00000001" w:csb1="00000000"/>
  </w:font>
  <w:font w:name="Cambria Math">
    <w:panose1 w:val="02040503050406030204"/>
    <w:charset w:val="00"/>
    <w:family w:val="roman"/>
    <w:pitch w:val="variable"/>
    <w:sig w:usb0="E00002FF" w:usb1="420024FF" w:usb2="00000000" w:usb3="00000000" w:csb0="0000019F" w:csb1="00000000"/>
  </w:font>
  <w:font w:name="Agency FB">
    <w:panose1 w:val="020B0503020202020204"/>
    <w:charset w:val="00"/>
    <w:family w:val="swiss"/>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8C0DC27" w14:textId="77777777" w:rsidR="00455BEF" w:rsidRDefault="00455BEF">
    <w:pPr>
      <w:pStyle w:val="a4"/>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EE2A879" w14:textId="7F7D7493" w:rsidR="00930CC7" w:rsidRPr="00370831" w:rsidRDefault="008D129A" w:rsidP="00176160">
    <w:pPr>
      <w:pStyle w:val="a4"/>
    </w:pPr>
    <w:r>
      <w:t>April 2022</w:t>
    </w:r>
    <w:r w:rsidR="00176160">
      <w:ptab w:relativeTo="margin" w:alignment="center" w:leader="none"/>
    </w:r>
    <w:sdt>
      <w:sdtPr>
        <w:id w:val="1691110303"/>
        <w:docPartObj>
          <w:docPartGallery w:val="Page Numbers (Bottom of Page)"/>
          <w:docPartUnique/>
        </w:docPartObj>
      </w:sdtPr>
      <w:sdtEndPr>
        <w:rPr>
          <w:noProof/>
        </w:rPr>
      </w:sdtEndPr>
      <w:sdtContent>
        <w:r w:rsidR="00291900">
          <w:fldChar w:fldCharType="begin"/>
        </w:r>
        <w:r w:rsidR="00291900">
          <w:instrText xml:space="preserve"> PAGE   \* MERGEFORMAT </w:instrText>
        </w:r>
        <w:r w:rsidR="00291900">
          <w:fldChar w:fldCharType="separate"/>
        </w:r>
        <w:r w:rsidR="007E550E">
          <w:rPr>
            <w:noProof/>
          </w:rPr>
          <w:t>1</w:t>
        </w:r>
        <w:r w:rsidR="00291900">
          <w:rPr>
            <w:noProof/>
          </w:rPr>
          <w:fldChar w:fldCharType="end"/>
        </w:r>
      </w:sdtContent>
    </w:sdt>
    <w:r w:rsidR="00176160">
      <w:ptab w:relativeTo="margin" w:alignment="right" w:leader="none"/>
    </w:r>
    <w:r w:rsidR="00291900">
      <w:t>PG</w:t>
    </w:r>
    <w:r w:rsidR="00556BFF">
      <w:t>1 Full Research Proposal</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405A889" w14:textId="77777777" w:rsidR="00455BEF" w:rsidRDefault="00455BEF">
    <w:pPr>
      <w:pStyle w:val="a4"/>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839ADDD" w14:textId="77777777" w:rsidR="00CA60B7" w:rsidRDefault="00CA60B7">
      <w:r>
        <w:separator/>
      </w:r>
    </w:p>
  </w:footnote>
  <w:footnote w:type="continuationSeparator" w:id="0">
    <w:p w14:paraId="0757CFAD" w14:textId="77777777" w:rsidR="00CA60B7" w:rsidRDefault="00CA60B7">
      <w:r>
        <w:continuationSeparator/>
      </w:r>
    </w:p>
  </w:footnote>
  <w:footnote w:type="continuationNotice" w:id="1">
    <w:p w14:paraId="3CD6C6A0" w14:textId="77777777" w:rsidR="00CA60B7" w:rsidRDefault="00CA60B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EA65350" w14:textId="77777777" w:rsidR="00455BEF" w:rsidRDefault="00455BEF">
    <w:pPr>
      <w:pStyle w:val="a3"/>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C00B38C" w14:textId="77777777" w:rsidR="00516A38" w:rsidRDefault="00516A38" w:rsidP="00ED34D1">
    <w:pPr>
      <w:pStyle w:val="a3"/>
    </w:pPr>
  </w:p>
  <w:p w14:paraId="00BD4CFE" w14:textId="4DB2F033" w:rsidR="00370831" w:rsidRDefault="00516A38" w:rsidP="00516A38">
    <w:pPr>
      <w:pStyle w:val="a3"/>
      <w:jc w:val="right"/>
    </w:pPr>
    <w:r>
      <w:rPr>
        <w:noProof/>
      </w:rPr>
      <w:drawing>
        <wp:anchor distT="0" distB="0" distL="114300" distR="114300" simplePos="0" relativeHeight="251658240" behindDoc="0" locked="0" layoutInCell="1" allowOverlap="1" wp14:anchorId="29949417" wp14:editId="4401F5BF">
          <wp:simplePos x="0" y="0"/>
          <wp:positionH relativeFrom="margin">
            <wp:posOffset>0</wp:posOffset>
          </wp:positionH>
          <wp:positionV relativeFrom="topMargin">
            <wp:posOffset>325755</wp:posOffset>
          </wp:positionV>
          <wp:extent cx="1788795" cy="596265"/>
          <wp:effectExtent l="0" t="0" r="1905" b="0"/>
          <wp:wrapNone/>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pic:spPr>
              </pic:pic>
            </a:graphicData>
          </a:graphic>
          <wp14:sizeRelH relativeFrom="page">
            <wp14:pctWidth>0</wp14:pctWidth>
          </wp14:sizeRelH>
          <wp14:sizeRelV relativeFrom="page">
            <wp14:pctHeight>0</wp14:pctHeight>
          </wp14:sizeRelV>
        </wp:anchor>
      </w:drawing>
    </w:r>
    <w:r w:rsidR="00ED34D1">
      <w:tab/>
    </w:r>
    <w:r w:rsidR="00ED34D1">
      <w:tab/>
    </w:r>
    <w:r w:rsidR="00BF0916">
      <w:t>Appendix PG</w:t>
    </w:r>
    <w:r w:rsidR="00702A7E">
      <w:t>1</w:t>
    </w:r>
  </w:p>
  <w:p w14:paraId="793F6F68" w14:textId="77777777" w:rsidR="00370831" w:rsidRDefault="00370831" w:rsidP="00ED34D1">
    <w:pPr>
      <w:pStyle w:val="a3"/>
    </w:pPr>
  </w:p>
  <w:p w14:paraId="11A1DF66" w14:textId="77777777" w:rsidR="00370831" w:rsidRDefault="00370831" w:rsidP="00ED34D1">
    <w:pPr>
      <w:pStyle w:val="a3"/>
    </w:pPr>
  </w:p>
  <w:p w14:paraId="0A03F964" w14:textId="77777777" w:rsidR="00370831" w:rsidRDefault="00370831" w:rsidP="00ED34D1">
    <w:pPr>
      <w:pStyle w:val="a3"/>
    </w:pPr>
  </w:p>
  <w:p w14:paraId="558320AF" w14:textId="77777777" w:rsidR="00ED34D1" w:rsidRDefault="00ED34D1" w:rsidP="00ED34D1">
    <w:pPr>
      <w:pStyle w:val="a3"/>
    </w:pPr>
    <w: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0278159" w14:textId="77777777" w:rsidR="00455BEF" w:rsidRDefault="00455BEF">
    <w:pPr>
      <w:pStyle w:val="a3"/>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4E2659C"/>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8B0ABE"/>
    <w:multiLevelType w:val="hybridMultilevel"/>
    <w:tmpl w:val="76AC21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D2320E"/>
    <w:multiLevelType w:val="hybridMultilevel"/>
    <w:tmpl w:val="C48817C2"/>
    <w:lvl w:ilvl="0" w:tplc="E160C018">
      <w:start w:val="1"/>
      <w:numFmt w:val="lowerLetter"/>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4669BB"/>
    <w:multiLevelType w:val="hybridMultilevel"/>
    <w:tmpl w:val="2EF01150"/>
    <w:lvl w:ilvl="0" w:tplc="3AA888A6">
      <w:start w:val="1"/>
      <w:numFmt w:val="decimal"/>
      <w:lvlText w:val="%1."/>
      <w:lvlJc w:val="left"/>
      <w:pPr>
        <w:tabs>
          <w:tab w:val="num" w:pos="720"/>
        </w:tabs>
        <w:ind w:left="720" w:hanging="360"/>
      </w:pPr>
      <w:rPr>
        <w:rFonts w:hint="default"/>
      </w:rPr>
    </w:lvl>
    <w:lvl w:ilvl="1" w:tplc="A80EAE9C" w:tentative="1">
      <w:start w:val="1"/>
      <w:numFmt w:val="lowerLetter"/>
      <w:lvlText w:val="%2."/>
      <w:lvlJc w:val="left"/>
      <w:pPr>
        <w:tabs>
          <w:tab w:val="num" w:pos="1440"/>
        </w:tabs>
        <w:ind w:left="1440" w:hanging="360"/>
      </w:pPr>
    </w:lvl>
    <w:lvl w:ilvl="2" w:tplc="18BC5532" w:tentative="1">
      <w:start w:val="1"/>
      <w:numFmt w:val="lowerRoman"/>
      <w:lvlText w:val="%3."/>
      <w:lvlJc w:val="right"/>
      <w:pPr>
        <w:tabs>
          <w:tab w:val="num" w:pos="2160"/>
        </w:tabs>
        <w:ind w:left="2160" w:hanging="180"/>
      </w:pPr>
    </w:lvl>
    <w:lvl w:ilvl="3" w:tplc="D39C807C" w:tentative="1">
      <w:start w:val="1"/>
      <w:numFmt w:val="decimal"/>
      <w:lvlText w:val="%4."/>
      <w:lvlJc w:val="left"/>
      <w:pPr>
        <w:tabs>
          <w:tab w:val="num" w:pos="2880"/>
        </w:tabs>
        <w:ind w:left="2880" w:hanging="360"/>
      </w:pPr>
    </w:lvl>
    <w:lvl w:ilvl="4" w:tplc="8818943E" w:tentative="1">
      <w:start w:val="1"/>
      <w:numFmt w:val="lowerLetter"/>
      <w:lvlText w:val="%5."/>
      <w:lvlJc w:val="left"/>
      <w:pPr>
        <w:tabs>
          <w:tab w:val="num" w:pos="3600"/>
        </w:tabs>
        <w:ind w:left="3600" w:hanging="360"/>
      </w:pPr>
    </w:lvl>
    <w:lvl w:ilvl="5" w:tplc="896C5960" w:tentative="1">
      <w:start w:val="1"/>
      <w:numFmt w:val="lowerRoman"/>
      <w:lvlText w:val="%6."/>
      <w:lvlJc w:val="right"/>
      <w:pPr>
        <w:tabs>
          <w:tab w:val="num" w:pos="4320"/>
        </w:tabs>
        <w:ind w:left="4320" w:hanging="180"/>
      </w:pPr>
    </w:lvl>
    <w:lvl w:ilvl="6" w:tplc="3FACF726" w:tentative="1">
      <w:start w:val="1"/>
      <w:numFmt w:val="decimal"/>
      <w:lvlText w:val="%7."/>
      <w:lvlJc w:val="left"/>
      <w:pPr>
        <w:tabs>
          <w:tab w:val="num" w:pos="5040"/>
        </w:tabs>
        <w:ind w:left="5040" w:hanging="360"/>
      </w:pPr>
    </w:lvl>
    <w:lvl w:ilvl="7" w:tplc="2738EE72" w:tentative="1">
      <w:start w:val="1"/>
      <w:numFmt w:val="lowerLetter"/>
      <w:lvlText w:val="%8."/>
      <w:lvlJc w:val="left"/>
      <w:pPr>
        <w:tabs>
          <w:tab w:val="num" w:pos="5760"/>
        </w:tabs>
        <w:ind w:left="5760" w:hanging="360"/>
      </w:pPr>
    </w:lvl>
    <w:lvl w:ilvl="8" w:tplc="29CE0C9C" w:tentative="1">
      <w:start w:val="1"/>
      <w:numFmt w:val="lowerRoman"/>
      <w:lvlText w:val="%9."/>
      <w:lvlJc w:val="right"/>
      <w:pPr>
        <w:tabs>
          <w:tab w:val="num" w:pos="6480"/>
        </w:tabs>
        <w:ind w:left="6480" w:hanging="180"/>
      </w:pPr>
    </w:lvl>
  </w:abstractNum>
  <w:abstractNum w:abstractNumId="4" w15:restartNumberingAfterBreak="0">
    <w:nsid w:val="1454023C"/>
    <w:multiLevelType w:val="hybridMultilevel"/>
    <w:tmpl w:val="5C56D1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8534ECE"/>
    <w:multiLevelType w:val="hybridMultilevel"/>
    <w:tmpl w:val="553C77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D284086"/>
    <w:multiLevelType w:val="multilevel"/>
    <w:tmpl w:val="7178A854"/>
    <w:lvl w:ilvl="0">
      <w:start w:val="2"/>
      <w:numFmt w:val="decimal"/>
      <w:lvlText w:val="%1."/>
      <w:lvlJc w:val="left"/>
      <w:pPr>
        <w:tabs>
          <w:tab w:val="num" w:pos="1080"/>
        </w:tabs>
        <w:ind w:left="1080" w:hanging="720"/>
      </w:pPr>
      <w:rPr>
        <w:rFonts w:hint="default"/>
      </w:rPr>
    </w:lvl>
    <w:lvl w:ilvl="1" w:tentative="1">
      <w:start w:val="1"/>
      <w:numFmt w:val="lowerLetter"/>
      <w:lvlText w:val="%2."/>
      <w:lvlJc w:val="left"/>
      <w:pPr>
        <w:tabs>
          <w:tab w:val="num" w:pos="1440"/>
        </w:tabs>
        <w:ind w:left="1440" w:hanging="360"/>
      </w:pPr>
    </w:lvl>
    <w:lvl w:ilvl="2" w:tentative="1">
      <w:start w:val="1"/>
      <w:numFmt w:val="lowerRoman"/>
      <w:lvlText w:val="%3."/>
      <w:lvlJc w:val="right"/>
      <w:pPr>
        <w:tabs>
          <w:tab w:val="num" w:pos="2160"/>
        </w:tabs>
        <w:ind w:left="2160" w:hanging="180"/>
      </w:pPr>
    </w:lvl>
    <w:lvl w:ilvl="3" w:tentative="1">
      <w:start w:val="1"/>
      <w:numFmt w:val="decimal"/>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Roman"/>
      <w:lvlText w:val="%6."/>
      <w:lvlJc w:val="right"/>
      <w:pPr>
        <w:tabs>
          <w:tab w:val="num" w:pos="4320"/>
        </w:tabs>
        <w:ind w:left="4320" w:hanging="180"/>
      </w:pPr>
    </w:lvl>
    <w:lvl w:ilvl="6" w:tentative="1">
      <w:start w:val="1"/>
      <w:numFmt w:val="decimal"/>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Roman"/>
      <w:lvlText w:val="%9."/>
      <w:lvlJc w:val="right"/>
      <w:pPr>
        <w:tabs>
          <w:tab w:val="num" w:pos="6480"/>
        </w:tabs>
        <w:ind w:left="6480" w:hanging="180"/>
      </w:pPr>
    </w:lvl>
  </w:abstractNum>
  <w:abstractNum w:abstractNumId="7" w15:restartNumberingAfterBreak="0">
    <w:nsid w:val="1E7E04D5"/>
    <w:multiLevelType w:val="multilevel"/>
    <w:tmpl w:val="237482F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24162017"/>
    <w:multiLevelType w:val="singleLevel"/>
    <w:tmpl w:val="78E67D00"/>
    <w:lvl w:ilvl="0">
      <w:start w:val="4"/>
      <w:numFmt w:val="decimal"/>
      <w:lvlText w:val="%1."/>
      <w:lvlJc w:val="left"/>
      <w:pPr>
        <w:tabs>
          <w:tab w:val="num" w:pos="360"/>
        </w:tabs>
        <w:ind w:left="360" w:hanging="360"/>
      </w:pPr>
      <w:rPr>
        <w:rFonts w:hint="default"/>
        <w:sz w:val="24"/>
      </w:rPr>
    </w:lvl>
  </w:abstractNum>
  <w:abstractNum w:abstractNumId="9" w15:restartNumberingAfterBreak="0">
    <w:nsid w:val="245B72F3"/>
    <w:multiLevelType w:val="hybridMultilevel"/>
    <w:tmpl w:val="B45CA5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D4744E1"/>
    <w:multiLevelType w:val="hybridMultilevel"/>
    <w:tmpl w:val="5FBE65AA"/>
    <w:lvl w:ilvl="0" w:tplc="3D762E08">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75F017F"/>
    <w:multiLevelType w:val="hybridMultilevel"/>
    <w:tmpl w:val="24ECB7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FED234C"/>
    <w:multiLevelType w:val="hybridMultilevel"/>
    <w:tmpl w:val="85CEA418"/>
    <w:lvl w:ilvl="0" w:tplc="AEC8BFC6">
      <w:start w:val="1"/>
      <w:numFmt w:val="decimal"/>
      <w:lvlText w:val="%1."/>
      <w:lvlJc w:val="left"/>
      <w:pPr>
        <w:ind w:left="1430" w:hanging="720"/>
      </w:pPr>
      <w:rPr>
        <w:rFonts w:hint="default"/>
      </w:rPr>
    </w:lvl>
    <w:lvl w:ilvl="1" w:tplc="08090019" w:tentative="1">
      <w:start w:val="1"/>
      <w:numFmt w:val="lowerLetter"/>
      <w:lvlText w:val="%2."/>
      <w:lvlJc w:val="left"/>
      <w:pPr>
        <w:ind w:left="1790" w:hanging="360"/>
      </w:pPr>
    </w:lvl>
    <w:lvl w:ilvl="2" w:tplc="0809001B" w:tentative="1">
      <w:start w:val="1"/>
      <w:numFmt w:val="lowerRoman"/>
      <w:lvlText w:val="%3."/>
      <w:lvlJc w:val="right"/>
      <w:pPr>
        <w:ind w:left="2510" w:hanging="180"/>
      </w:pPr>
    </w:lvl>
    <w:lvl w:ilvl="3" w:tplc="0809000F" w:tentative="1">
      <w:start w:val="1"/>
      <w:numFmt w:val="decimal"/>
      <w:lvlText w:val="%4."/>
      <w:lvlJc w:val="left"/>
      <w:pPr>
        <w:ind w:left="3230" w:hanging="360"/>
      </w:pPr>
    </w:lvl>
    <w:lvl w:ilvl="4" w:tplc="08090019" w:tentative="1">
      <w:start w:val="1"/>
      <w:numFmt w:val="lowerLetter"/>
      <w:lvlText w:val="%5."/>
      <w:lvlJc w:val="left"/>
      <w:pPr>
        <w:ind w:left="3950" w:hanging="360"/>
      </w:pPr>
    </w:lvl>
    <w:lvl w:ilvl="5" w:tplc="0809001B" w:tentative="1">
      <w:start w:val="1"/>
      <w:numFmt w:val="lowerRoman"/>
      <w:lvlText w:val="%6."/>
      <w:lvlJc w:val="right"/>
      <w:pPr>
        <w:ind w:left="4670" w:hanging="180"/>
      </w:pPr>
    </w:lvl>
    <w:lvl w:ilvl="6" w:tplc="0809000F" w:tentative="1">
      <w:start w:val="1"/>
      <w:numFmt w:val="decimal"/>
      <w:lvlText w:val="%7."/>
      <w:lvlJc w:val="left"/>
      <w:pPr>
        <w:ind w:left="5390" w:hanging="360"/>
      </w:pPr>
    </w:lvl>
    <w:lvl w:ilvl="7" w:tplc="08090019" w:tentative="1">
      <w:start w:val="1"/>
      <w:numFmt w:val="lowerLetter"/>
      <w:lvlText w:val="%8."/>
      <w:lvlJc w:val="left"/>
      <w:pPr>
        <w:ind w:left="6110" w:hanging="360"/>
      </w:pPr>
    </w:lvl>
    <w:lvl w:ilvl="8" w:tplc="0809001B" w:tentative="1">
      <w:start w:val="1"/>
      <w:numFmt w:val="lowerRoman"/>
      <w:lvlText w:val="%9."/>
      <w:lvlJc w:val="right"/>
      <w:pPr>
        <w:ind w:left="6830" w:hanging="180"/>
      </w:pPr>
    </w:lvl>
  </w:abstractNum>
  <w:abstractNum w:abstractNumId="13" w15:restartNumberingAfterBreak="0">
    <w:nsid w:val="47BC4477"/>
    <w:multiLevelType w:val="singleLevel"/>
    <w:tmpl w:val="8418063C"/>
    <w:lvl w:ilvl="0">
      <w:start w:val="1"/>
      <w:numFmt w:val="lowerRoman"/>
      <w:lvlText w:val="(%1)"/>
      <w:lvlJc w:val="left"/>
      <w:pPr>
        <w:tabs>
          <w:tab w:val="num" w:pos="720"/>
        </w:tabs>
        <w:ind w:left="720" w:hanging="720"/>
      </w:pPr>
      <w:rPr>
        <w:rFonts w:hint="default"/>
      </w:rPr>
    </w:lvl>
  </w:abstractNum>
  <w:abstractNum w:abstractNumId="14" w15:restartNumberingAfterBreak="0">
    <w:nsid w:val="540805D0"/>
    <w:multiLevelType w:val="hybridMultilevel"/>
    <w:tmpl w:val="7F846566"/>
    <w:lvl w:ilvl="0" w:tplc="862CCFAC">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6DB6AF3"/>
    <w:multiLevelType w:val="hybridMultilevel"/>
    <w:tmpl w:val="5B343824"/>
    <w:lvl w:ilvl="0" w:tplc="9F8E8FFC">
      <w:numFmt w:val="bullet"/>
      <w:lvlText w:val=""/>
      <w:lvlJc w:val="left"/>
      <w:pPr>
        <w:ind w:left="1080" w:hanging="360"/>
      </w:pPr>
      <w:rPr>
        <w:rFonts w:ascii="Symbol" w:eastAsia="Times New Roman" w:hAnsi="Symbol"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5C270790"/>
    <w:multiLevelType w:val="singleLevel"/>
    <w:tmpl w:val="17EAB2FE"/>
    <w:lvl w:ilvl="0">
      <w:start w:val="3"/>
      <w:numFmt w:val="decimal"/>
      <w:lvlText w:val="%1."/>
      <w:lvlJc w:val="left"/>
      <w:pPr>
        <w:tabs>
          <w:tab w:val="num" w:pos="720"/>
        </w:tabs>
        <w:ind w:left="720" w:hanging="720"/>
      </w:pPr>
      <w:rPr>
        <w:rFonts w:hint="default"/>
      </w:rPr>
    </w:lvl>
  </w:abstractNum>
  <w:abstractNum w:abstractNumId="17" w15:restartNumberingAfterBreak="0">
    <w:nsid w:val="71731D98"/>
    <w:multiLevelType w:val="hybridMultilevel"/>
    <w:tmpl w:val="FA0C5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2F204D0"/>
    <w:multiLevelType w:val="hybridMultilevel"/>
    <w:tmpl w:val="EF0E8B1A"/>
    <w:lvl w:ilvl="0" w:tplc="EF6A59F0">
      <w:start w:val="1"/>
      <w:numFmt w:val="decimal"/>
      <w:lvlText w:val="%1"/>
      <w:lvlJc w:val="left"/>
      <w:pPr>
        <w:ind w:left="1080" w:hanging="720"/>
      </w:pPr>
      <w:rPr>
        <w:rFonts w:hint="default"/>
        <w:sz w:val="18"/>
        <w:szCs w:val="1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3AC6ED3"/>
    <w:multiLevelType w:val="hybridMultilevel"/>
    <w:tmpl w:val="9F3E7E2A"/>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80352D0"/>
    <w:multiLevelType w:val="hybridMultilevel"/>
    <w:tmpl w:val="A622D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BE96923"/>
    <w:multiLevelType w:val="multilevel"/>
    <w:tmpl w:val="4EC8DDDC"/>
    <w:lvl w:ilvl="0">
      <w:start w:val="5"/>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720" w:hanging="72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080" w:hanging="108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22" w15:restartNumberingAfterBreak="0">
    <w:nsid w:val="7E5D7E13"/>
    <w:multiLevelType w:val="multilevel"/>
    <w:tmpl w:val="98488B2C"/>
    <w:lvl w:ilvl="0">
      <w:start w:val="3"/>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080" w:hanging="72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16cid:durableId="406730580">
    <w:abstractNumId w:val="16"/>
  </w:num>
  <w:num w:numId="2" w16cid:durableId="779187031">
    <w:abstractNumId w:val="13"/>
  </w:num>
  <w:num w:numId="3" w16cid:durableId="186647575">
    <w:abstractNumId w:val="8"/>
  </w:num>
  <w:num w:numId="4" w16cid:durableId="2124301092">
    <w:abstractNumId w:val="6"/>
  </w:num>
  <w:num w:numId="5" w16cid:durableId="1035959097">
    <w:abstractNumId w:val="3"/>
  </w:num>
  <w:num w:numId="6" w16cid:durableId="1844471946">
    <w:abstractNumId w:val="0"/>
  </w:num>
  <w:num w:numId="7" w16cid:durableId="995913396">
    <w:abstractNumId w:val="19"/>
  </w:num>
  <w:num w:numId="8" w16cid:durableId="1473474451">
    <w:abstractNumId w:val="15"/>
  </w:num>
  <w:num w:numId="9" w16cid:durableId="1914269935">
    <w:abstractNumId w:val="2"/>
  </w:num>
  <w:num w:numId="10" w16cid:durableId="860358205">
    <w:abstractNumId w:val="18"/>
  </w:num>
  <w:num w:numId="11" w16cid:durableId="1208489319">
    <w:abstractNumId w:val="22"/>
  </w:num>
  <w:num w:numId="12" w16cid:durableId="1728407041">
    <w:abstractNumId w:val="21"/>
  </w:num>
  <w:num w:numId="13" w16cid:durableId="453719554">
    <w:abstractNumId w:val="12"/>
  </w:num>
  <w:num w:numId="14" w16cid:durableId="96408880">
    <w:abstractNumId w:val="7"/>
  </w:num>
  <w:num w:numId="15" w16cid:durableId="840506874">
    <w:abstractNumId w:val="5"/>
  </w:num>
  <w:num w:numId="16" w16cid:durableId="1646280629">
    <w:abstractNumId w:val="4"/>
  </w:num>
  <w:num w:numId="17" w16cid:durableId="1838569867">
    <w:abstractNumId w:val="9"/>
  </w:num>
  <w:num w:numId="18" w16cid:durableId="1482237559">
    <w:abstractNumId w:val="14"/>
  </w:num>
  <w:num w:numId="19" w16cid:durableId="370496126">
    <w:abstractNumId w:val="10"/>
  </w:num>
  <w:num w:numId="20" w16cid:durableId="380519439">
    <w:abstractNumId w:val="1"/>
  </w:num>
  <w:num w:numId="21" w16cid:durableId="1990743915">
    <w:abstractNumId w:val="11"/>
  </w:num>
  <w:num w:numId="22" w16cid:durableId="1864784437">
    <w:abstractNumId w:val="20"/>
  </w:num>
  <w:num w:numId="23" w16cid:durableId="93717484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98"/>
  <w:doNotDisplayPageBoundaries/>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654D"/>
    <w:rsid w:val="0000503B"/>
    <w:rsid w:val="00005E62"/>
    <w:rsid w:val="00013F62"/>
    <w:rsid w:val="00015367"/>
    <w:rsid w:val="00016D31"/>
    <w:rsid w:val="00023320"/>
    <w:rsid w:val="00027160"/>
    <w:rsid w:val="00030DDF"/>
    <w:rsid w:val="00041A6B"/>
    <w:rsid w:val="00047225"/>
    <w:rsid w:val="00054BFD"/>
    <w:rsid w:val="00055046"/>
    <w:rsid w:val="00056718"/>
    <w:rsid w:val="00095F33"/>
    <w:rsid w:val="000A54CF"/>
    <w:rsid w:val="000B43A7"/>
    <w:rsid w:val="000C1D53"/>
    <w:rsid w:val="000C4198"/>
    <w:rsid w:val="000C6D22"/>
    <w:rsid w:val="000D166A"/>
    <w:rsid w:val="000D3D72"/>
    <w:rsid w:val="000F5B56"/>
    <w:rsid w:val="0010084E"/>
    <w:rsid w:val="001217FD"/>
    <w:rsid w:val="00121AC3"/>
    <w:rsid w:val="001400B5"/>
    <w:rsid w:val="00141DF3"/>
    <w:rsid w:val="00142ADD"/>
    <w:rsid w:val="0015311B"/>
    <w:rsid w:val="00154D0F"/>
    <w:rsid w:val="00157905"/>
    <w:rsid w:val="00165D23"/>
    <w:rsid w:val="00166B83"/>
    <w:rsid w:val="00172F4C"/>
    <w:rsid w:val="00173CC3"/>
    <w:rsid w:val="00176160"/>
    <w:rsid w:val="00185554"/>
    <w:rsid w:val="001B1EEF"/>
    <w:rsid w:val="001C367F"/>
    <w:rsid w:val="001C6B27"/>
    <w:rsid w:val="001D074C"/>
    <w:rsid w:val="001F47B0"/>
    <w:rsid w:val="001F5E3E"/>
    <w:rsid w:val="002114E6"/>
    <w:rsid w:val="0022098F"/>
    <w:rsid w:val="00221A9E"/>
    <w:rsid w:val="00222D05"/>
    <w:rsid w:val="0022643E"/>
    <w:rsid w:val="002370BA"/>
    <w:rsid w:val="002376AB"/>
    <w:rsid w:val="0024548B"/>
    <w:rsid w:val="00246903"/>
    <w:rsid w:val="00261C5C"/>
    <w:rsid w:val="00280DF9"/>
    <w:rsid w:val="00284E60"/>
    <w:rsid w:val="00287BD7"/>
    <w:rsid w:val="00291900"/>
    <w:rsid w:val="00293B33"/>
    <w:rsid w:val="002B16CB"/>
    <w:rsid w:val="002B5804"/>
    <w:rsid w:val="002E0D27"/>
    <w:rsid w:val="002E240C"/>
    <w:rsid w:val="002F3407"/>
    <w:rsid w:val="002F62BD"/>
    <w:rsid w:val="00303F2E"/>
    <w:rsid w:val="003064A7"/>
    <w:rsid w:val="0031458B"/>
    <w:rsid w:val="003155A9"/>
    <w:rsid w:val="00325CBE"/>
    <w:rsid w:val="003275B0"/>
    <w:rsid w:val="003317EE"/>
    <w:rsid w:val="00332B43"/>
    <w:rsid w:val="00335D74"/>
    <w:rsid w:val="0034191A"/>
    <w:rsid w:val="00351737"/>
    <w:rsid w:val="00353C75"/>
    <w:rsid w:val="00363F74"/>
    <w:rsid w:val="00370831"/>
    <w:rsid w:val="00376A02"/>
    <w:rsid w:val="00391D2C"/>
    <w:rsid w:val="003A11E9"/>
    <w:rsid w:val="003A748D"/>
    <w:rsid w:val="003B4AF0"/>
    <w:rsid w:val="003C062E"/>
    <w:rsid w:val="003C5892"/>
    <w:rsid w:val="003C7969"/>
    <w:rsid w:val="003D62AF"/>
    <w:rsid w:val="003D7CD9"/>
    <w:rsid w:val="003E5663"/>
    <w:rsid w:val="003E7D6B"/>
    <w:rsid w:val="003F4C86"/>
    <w:rsid w:val="003F7948"/>
    <w:rsid w:val="003F7D77"/>
    <w:rsid w:val="00404C72"/>
    <w:rsid w:val="004262CD"/>
    <w:rsid w:val="00430E87"/>
    <w:rsid w:val="004310AE"/>
    <w:rsid w:val="004375FD"/>
    <w:rsid w:val="004448A0"/>
    <w:rsid w:val="0045240A"/>
    <w:rsid w:val="00452942"/>
    <w:rsid w:val="00455BEF"/>
    <w:rsid w:val="00474F13"/>
    <w:rsid w:val="00475B50"/>
    <w:rsid w:val="00476944"/>
    <w:rsid w:val="00476E74"/>
    <w:rsid w:val="004971D4"/>
    <w:rsid w:val="004B251B"/>
    <w:rsid w:val="004B2A69"/>
    <w:rsid w:val="004E363A"/>
    <w:rsid w:val="004F01FB"/>
    <w:rsid w:val="004F22A4"/>
    <w:rsid w:val="004F5A06"/>
    <w:rsid w:val="00504557"/>
    <w:rsid w:val="00512288"/>
    <w:rsid w:val="005140FB"/>
    <w:rsid w:val="00516A38"/>
    <w:rsid w:val="005172D3"/>
    <w:rsid w:val="005302A6"/>
    <w:rsid w:val="005363FE"/>
    <w:rsid w:val="005419D3"/>
    <w:rsid w:val="00541CFE"/>
    <w:rsid w:val="005513E3"/>
    <w:rsid w:val="0055230D"/>
    <w:rsid w:val="00556BFF"/>
    <w:rsid w:val="00557BD7"/>
    <w:rsid w:val="005608A4"/>
    <w:rsid w:val="00595CC6"/>
    <w:rsid w:val="00595F5B"/>
    <w:rsid w:val="00595FC4"/>
    <w:rsid w:val="005A6F56"/>
    <w:rsid w:val="005B0886"/>
    <w:rsid w:val="005C0918"/>
    <w:rsid w:val="005C59F8"/>
    <w:rsid w:val="005D3C0C"/>
    <w:rsid w:val="005E0345"/>
    <w:rsid w:val="005E3CF6"/>
    <w:rsid w:val="005E60A7"/>
    <w:rsid w:val="005E73D5"/>
    <w:rsid w:val="006048CF"/>
    <w:rsid w:val="00605A69"/>
    <w:rsid w:val="006151C5"/>
    <w:rsid w:val="00616987"/>
    <w:rsid w:val="00623825"/>
    <w:rsid w:val="0063119B"/>
    <w:rsid w:val="0063456A"/>
    <w:rsid w:val="00635A88"/>
    <w:rsid w:val="00643766"/>
    <w:rsid w:val="0064556F"/>
    <w:rsid w:val="00654638"/>
    <w:rsid w:val="00654D91"/>
    <w:rsid w:val="006551B2"/>
    <w:rsid w:val="00660727"/>
    <w:rsid w:val="006731F3"/>
    <w:rsid w:val="00677F77"/>
    <w:rsid w:val="00682636"/>
    <w:rsid w:val="0069594C"/>
    <w:rsid w:val="006B20A7"/>
    <w:rsid w:val="006B582D"/>
    <w:rsid w:val="006C0F0D"/>
    <w:rsid w:val="006C170C"/>
    <w:rsid w:val="006C45FB"/>
    <w:rsid w:val="006D04D5"/>
    <w:rsid w:val="006D05CF"/>
    <w:rsid w:val="006D4C27"/>
    <w:rsid w:val="006D503F"/>
    <w:rsid w:val="006D7C2A"/>
    <w:rsid w:val="006F1BDC"/>
    <w:rsid w:val="006F4865"/>
    <w:rsid w:val="00702A7E"/>
    <w:rsid w:val="00703A24"/>
    <w:rsid w:val="0071332A"/>
    <w:rsid w:val="00717DFA"/>
    <w:rsid w:val="0074064C"/>
    <w:rsid w:val="00753EDE"/>
    <w:rsid w:val="00763457"/>
    <w:rsid w:val="0078686D"/>
    <w:rsid w:val="00795C79"/>
    <w:rsid w:val="007A0692"/>
    <w:rsid w:val="007A3641"/>
    <w:rsid w:val="007C2A63"/>
    <w:rsid w:val="007C512A"/>
    <w:rsid w:val="007C755A"/>
    <w:rsid w:val="007E44D1"/>
    <w:rsid w:val="007E550E"/>
    <w:rsid w:val="007F5FE4"/>
    <w:rsid w:val="007F6FC1"/>
    <w:rsid w:val="00802E0D"/>
    <w:rsid w:val="00816ED8"/>
    <w:rsid w:val="00820E04"/>
    <w:rsid w:val="00825E70"/>
    <w:rsid w:val="0083144B"/>
    <w:rsid w:val="00831EF8"/>
    <w:rsid w:val="00832FEA"/>
    <w:rsid w:val="00836FA9"/>
    <w:rsid w:val="008422EE"/>
    <w:rsid w:val="00855925"/>
    <w:rsid w:val="00856523"/>
    <w:rsid w:val="008571F8"/>
    <w:rsid w:val="00877A6B"/>
    <w:rsid w:val="008812C3"/>
    <w:rsid w:val="008859B3"/>
    <w:rsid w:val="0088683F"/>
    <w:rsid w:val="008876C0"/>
    <w:rsid w:val="008944DE"/>
    <w:rsid w:val="00896244"/>
    <w:rsid w:val="008A397A"/>
    <w:rsid w:val="008C0ACE"/>
    <w:rsid w:val="008C1EE6"/>
    <w:rsid w:val="008D129A"/>
    <w:rsid w:val="008D2941"/>
    <w:rsid w:val="008D2E5D"/>
    <w:rsid w:val="008D505E"/>
    <w:rsid w:val="008E7086"/>
    <w:rsid w:val="008F0225"/>
    <w:rsid w:val="008F150A"/>
    <w:rsid w:val="008F3C22"/>
    <w:rsid w:val="008F5522"/>
    <w:rsid w:val="008F7314"/>
    <w:rsid w:val="0090452C"/>
    <w:rsid w:val="00910A1E"/>
    <w:rsid w:val="009135BB"/>
    <w:rsid w:val="0091552C"/>
    <w:rsid w:val="00915EFA"/>
    <w:rsid w:val="009178C4"/>
    <w:rsid w:val="00930CC7"/>
    <w:rsid w:val="0093374F"/>
    <w:rsid w:val="009353AC"/>
    <w:rsid w:val="009363F3"/>
    <w:rsid w:val="009368DD"/>
    <w:rsid w:val="009435B2"/>
    <w:rsid w:val="00950A56"/>
    <w:rsid w:val="0096005C"/>
    <w:rsid w:val="00961E02"/>
    <w:rsid w:val="00962D90"/>
    <w:rsid w:val="009803A2"/>
    <w:rsid w:val="009905BC"/>
    <w:rsid w:val="00994CF9"/>
    <w:rsid w:val="009A0D4E"/>
    <w:rsid w:val="009A2302"/>
    <w:rsid w:val="009A5C3E"/>
    <w:rsid w:val="009A654D"/>
    <w:rsid w:val="009A7385"/>
    <w:rsid w:val="009C7898"/>
    <w:rsid w:val="009E1467"/>
    <w:rsid w:val="009F3BE4"/>
    <w:rsid w:val="00A048DE"/>
    <w:rsid w:val="00A13514"/>
    <w:rsid w:val="00A15A7C"/>
    <w:rsid w:val="00A17E0A"/>
    <w:rsid w:val="00A26705"/>
    <w:rsid w:val="00A27F4D"/>
    <w:rsid w:val="00A32289"/>
    <w:rsid w:val="00A4205A"/>
    <w:rsid w:val="00A45333"/>
    <w:rsid w:val="00A47731"/>
    <w:rsid w:val="00A62C1D"/>
    <w:rsid w:val="00A67160"/>
    <w:rsid w:val="00A80816"/>
    <w:rsid w:val="00A830D5"/>
    <w:rsid w:val="00A90A4E"/>
    <w:rsid w:val="00AA47BC"/>
    <w:rsid w:val="00AB0FB7"/>
    <w:rsid w:val="00AC147B"/>
    <w:rsid w:val="00AC4DCF"/>
    <w:rsid w:val="00AC6903"/>
    <w:rsid w:val="00AD4651"/>
    <w:rsid w:val="00AD516F"/>
    <w:rsid w:val="00AD5A94"/>
    <w:rsid w:val="00AE0D60"/>
    <w:rsid w:val="00AF2941"/>
    <w:rsid w:val="00AF2AA3"/>
    <w:rsid w:val="00AF7BA9"/>
    <w:rsid w:val="00B05DDB"/>
    <w:rsid w:val="00B079A2"/>
    <w:rsid w:val="00B12AB0"/>
    <w:rsid w:val="00B273A5"/>
    <w:rsid w:val="00B3408B"/>
    <w:rsid w:val="00B65D5E"/>
    <w:rsid w:val="00B66EDC"/>
    <w:rsid w:val="00B70B7E"/>
    <w:rsid w:val="00B718D3"/>
    <w:rsid w:val="00B84A54"/>
    <w:rsid w:val="00B95514"/>
    <w:rsid w:val="00BA3707"/>
    <w:rsid w:val="00BB2F10"/>
    <w:rsid w:val="00BC017A"/>
    <w:rsid w:val="00BD2727"/>
    <w:rsid w:val="00BD589F"/>
    <w:rsid w:val="00BD7EF3"/>
    <w:rsid w:val="00BE24D4"/>
    <w:rsid w:val="00BF0916"/>
    <w:rsid w:val="00C037ED"/>
    <w:rsid w:val="00C056C2"/>
    <w:rsid w:val="00C14717"/>
    <w:rsid w:val="00C31ED6"/>
    <w:rsid w:val="00C45CE3"/>
    <w:rsid w:val="00C477B6"/>
    <w:rsid w:val="00C525D4"/>
    <w:rsid w:val="00C60979"/>
    <w:rsid w:val="00C66E9A"/>
    <w:rsid w:val="00C74109"/>
    <w:rsid w:val="00C75F44"/>
    <w:rsid w:val="00C75F7C"/>
    <w:rsid w:val="00C856A1"/>
    <w:rsid w:val="00C943DE"/>
    <w:rsid w:val="00C9708D"/>
    <w:rsid w:val="00CA1E71"/>
    <w:rsid w:val="00CA4FBE"/>
    <w:rsid w:val="00CA60B7"/>
    <w:rsid w:val="00CA65FC"/>
    <w:rsid w:val="00CA796D"/>
    <w:rsid w:val="00CB3E7A"/>
    <w:rsid w:val="00CB652D"/>
    <w:rsid w:val="00CC4AC2"/>
    <w:rsid w:val="00CC5FEA"/>
    <w:rsid w:val="00CD0196"/>
    <w:rsid w:val="00CD2785"/>
    <w:rsid w:val="00CD5A0D"/>
    <w:rsid w:val="00CD5B6B"/>
    <w:rsid w:val="00CF2B2A"/>
    <w:rsid w:val="00D01434"/>
    <w:rsid w:val="00D03BB7"/>
    <w:rsid w:val="00D122D0"/>
    <w:rsid w:val="00D215F0"/>
    <w:rsid w:val="00D25A52"/>
    <w:rsid w:val="00D46D22"/>
    <w:rsid w:val="00D56242"/>
    <w:rsid w:val="00D57284"/>
    <w:rsid w:val="00D60565"/>
    <w:rsid w:val="00D63189"/>
    <w:rsid w:val="00D70714"/>
    <w:rsid w:val="00D732FC"/>
    <w:rsid w:val="00D81082"/>
    <w:rsid w:val="00D83BB1"/>
    <w:rsid w:val="00DB03EA"/>
    <w:rsid w:val="00DC2AE7"/>
    <w:rsid w:val="00DD1E66"/>
    <w:rsid w:val="00DE3885"/>
    <w:rsid w:val="00DE54F9"/>
    <w:rsid w:val="00DF2827"/>
    <w:rsid w:val="00DF3FF2"/>
    <w:rsid w:val="00DF7459"/>
    <w:rsid w:val="00E01BFD"/>
    <w:rsid w:val="00E03A7C"/>
    <w:rsid w:val="00E17B09"/>
    <w:rsid w:val="00E26E40"/>
    <w:rsid w:val="00E60894"/>
    <w:rsid w:val="00E800B4"/>
    <w:rsid w:val="00E83344"/>
    <w:rsid w:val="00E8752A"/>
    <w:rsid w:val="00E90E39"/>
    <w:rsid w:val="00E90FFB"/>
    <w:rsid w:val="00EA4DDB"/>
    <w:rsid w:val="00EA6F07"/>
    <w:rsid w:val="00EB29E8"/>
    <w:rsid w:val="00EC2239"/>
    <w:rsid w:val="00ED34D1"/>
    <w:rsid w:val="00ED6488"/>
    <w:rsid w:val="00EE3F65"/>
    <w:rsid w:val="00EE49AE"/>
    <w:rsid w:val="00EE4E91"/>
    <w:rsid w:val="00F02051"/>
    <w:rsid w:val="00F15764"/>
    <w:rsid w:val="00F20553"/>
    <w:rsid w:val="00F26723"/>
    <w:rsid w:val="00F274DA"/>
    <w:rsid w:val="00F340BA"/>
    <w:rsid w:val="00F343C8"/>
    <w:rsid w:val="00F377CD"/>
    <w:rsid w:val="00F41F11"/>
    <w:rsid w:val="00F47B0E"/>
    <w:rsid w:val="00F50670"/>
    <w:rsid w:val="00F6356A"/>
    <w:rsid w:val="00F65BA4"/>
    <w:rsid w:val="00F65ECA"/>
    <w:rsid w:val="00F678E5"/>
    <w:rsid w:val="00F7569E"/>
    <w:rsid w:val="00F77B80"/>
    <w:rsid w:val="00F8710D"/>
    <w:rsid w:val="00F90183"/>
    <w:rsid w:val="00F901BB"/>
    <w:rsid w:val="00F9606E"/>
    <w:rsid w:val="00FD60D8"/>
    <w:rsid w:val="00FD70D5"/>
    <w:rsid w:val="00FE3258"/>
    <w:rsid w:val="00FF5FB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622AF1E"/>
  <w15:docId w15:val="{CF548262-E3DA-4FF7-B078-A46D8A2FAB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0"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8D505E"/>
    <w:rPr>
      <w:rFonts w:ascii="Arial" w:hAnsi="Arial"/>
    </w:rPr>
  </w:style>
  <w:style w:type="paragraph" w:styleId="1">
    <w:name w:val="heading 1"/>
    <w:basedOn w:val="a"/>
    <w:next w:val="a"/>
    <w:qFormat/>
    <w:pPr>
      <w:keepNext/>
      <w:outlineLvl w:val="0"/>
    </w:pPr>
    <w:rPr>
      <w:b/>
    </w:rPr>
  </w:style>
  <w:style w:type="paragraph" w:styleId="2">
    <w:name w:val="heading 2"/>
    <w:basedOn w:val="a"/>
    <w:next w:val="a"/>
    <w:qFormat/>
    <w:pPr>
      <w:keepNext/>
      <w:spacing w:before="240" w:after="60"/>
      <w:outlineLvl w:val="1"/>
    </w:pPr>
    <w:rPr>
      <w:b/>
      <w:i/>
      <w:sz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HeadingErasmod">
    <w:name w:val="Heading Erasmod"/>
    <w:basedOn w:val="2"/>
    <w:pPr>
      <w:pBdr>
        <w:top w:val="single" w:sz="6" w:space="1" w:color="auto"/>
        <w:left w:val="single" w:sz="6" w:space="1" w:color="auto"/>
        <w:bottom w:val="single" w:sz="6" w:space="1" w:color="auto"/>
        <w:right w:val="single" w:sz="6" w:space="1" w:color="auto"/>
      </w:pBdr>
      <w:spacing w:before="0" w:after="120"/>
    </w:pPr>
    <w:rPr>
      <w:i w:val="0"/>
      <w:caps/>
      <w:sz w:val="28"/>
    </w:rPr>
  </w:style>
  <w:style w:type="paragraph" w:styleId="a3">
    <w:name w:val="header"/>
    <w:basedOn w:val="a"/>
    <w:pPr>
      <w:tabs>
        <w:tab w:val="center" w:pos="4320"/>
        <w:tab w:val="right" w:pos="8640"/>
      </w:tabs>
    </w:pPr>
  </w:style>
  <w:style w:type="paragraph" w:styleId="a4">
    <w:name w:val="footer"/>
    <w:basedOn w:val="a"/>
    <w:link w:val="a5"/>
    <w:uiPriority w:val="99"/>
    <w:pPr>
      <w:tabs>
        <w:tab w:val="center" w:pos="4320"/>
        <w:tab w:val="right" w:pos="8640"/>
      </w:tabs>
    </w:pPr>
  </w:style>
  <w:style w:type="paragraph" w:styleId="a6">
    <w:name w:val="footnote text"/>
    <w:basedOn w:val="a"/>
    <w:semiHidden/>
  </w:style>
  <w:style w:type="character" w:styleId="a7">
    <w:name w:val="footnote reference"/>
    <w:semiHidden/>
    <w:rPr>
      <w:vertAlign w:val="superscript"/>
    </w:rPr>
  </w:style>
  <w:style w:type="paragraph" w:styleId="a8">
    <w:name w:val="Body Text"/>
    <w:basedOn w:val="a"/>
    <w:pPr>
      <w:jc w:val="both"/>
    </w:pPr>
    <w:rPr>
      <w:b/>
    </w:rPr>
  </w:style>
  <w:style w:type="character" w:styleId="a9">
    <w:name w:val="Hyperlink"/>
    <w:rsid w:val="00B15CC6"/>
    <w:rPr>
      <w:color w:val="0000FF"/>
      <w:u w:val="single"/>
    </w:rPr>
  </w:style>
  <w:style w:type="character" w:styleId="aa">
    <w:name w:val="FollowedHyperlink"/>
    <w:rsid w:val="006C77FE"/>
    <w:rPr>
      <w:color w:val="800080"/>
      <w:u w:val="single"/>
    </w:rPr>
  </w:style>
  <w:style w:type="paragraph" w:styleId="ab">
    <w:name w:val="Balloon Text"/>
    <w:basedOn w:val="a"/>
    <w:semiHidden/>
    <w:rsid w:val="00F66E12"/>
    <w:rPr>
      <w:rFonts w:ascii="Tahoma" w:hAnsi="Tahoma" w:cs="Tahoma"/>
      <w:sz w:val="16"/>
      <w:szCs w:val="16"/>
    </w:rPr>
  </w:style>
  <w:style w:type="table" w:styleId="ac">
    <w:name w:val="Table Grid"/>
    <w:basedOn w:val="a1"/>
    <w:rsid w:val="005D1B6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ediumList2-Accent21">
    <w:name w:val="Medium List 2 - Accent 21"/>
    <w:hidden/>
    <w:uiPriority w:val="99"/>
    <w:semiHidden/>
    <w:rsid w:val="000F681F"/>
    <w:rPr>
      <w:rFonts w:ascii="Arial" w:hAnsi="Arial"/>
    </w:rPr>
  </w:style>
  <w:style w:type="character" w:styleId="ad">
    <w:name w:val="annotation reference"/>
    <w:uiPriority w:val="99"/>
    <w:semiHidden/>
    <w:unhideWhenUsed/>
    <w:rsid w:val="00C375AD"/>
    <w:rPr>
      <w:sz w:val="16"/>
      <w:szCs w:val="16"/>
    </w:rPr>
  </w:style>
  <w:style w:type="paragraph" w:styleId="ae">
    <w:name w:val="annotation text"/>
    <w:basedOn w:val="a"/>
    <w:link w:val="af"/>
    <w:uiPriority w:val="99"/>
    <w:semiHidden/>
    <w:unhideWhenUsed/>
    <w:rsid w:val="00C375AD"/>
    <w:rPr>
      <w:lang w:val="x-none" w:eastAsia="x-none"/>
    </w:rPr>
  </w:style>
  <w:style w:type="character" w:customStyle="1" w:styleId="af">
    <w:name w:val="批注文字 字符"/>
    <w:link w:val="ae"/>
    <w:uiPriority w:val="99"/>
    <w:semiHidden/>
    <w:rsid w:val="00C375AD"/>
    <w:rPr>
      <w:rFonts w:ascii="Arial" w:hAnsi="Arial"/>
    </w:rPr>
  </w:style>
  <w:style w:type="paragraph" w:styleId="af0">
    <w:name w:val="annotation subject"/>
    <w:basedOn w:val="ae"/>
    <w:next w:val="ae"/>
    <w:link w:val="af1"/>
    <w:uiPriority w:val="99"/>
    <w:semiHidden/>
    <w:unhideWhenUsed/>
    <w:rsid w:val="00C375AD"/>
    <w:rPr>
      <w:b/>
      <w:bCs/>
    </w:rPr>
  </w:style>
  <w:style w:type="character" w:customStyle="1" w:styleId="af1">
    <w:name w:val="批注主题 字符"/>
    <w:link w:val="af0"/>
    <w:uiPriority w:val="99"/>
    <w:semiHidden/>
    <w:rsid w:val="00C375AD"/>
    <w:rPr>
      <w:rFonts w:ascii="Arial" w:hAnsi="Arial"/>
      <w:b/>
      <w:bCs/>
    </w:rPr>
  </w:style>
  <w:style w:type="character" w:styleId="af2">
    <w:name w:val="Strong"/>
    <w:uiPriority w:val="22"/>
    <w:qFormat/>
    <w:rsid w:val="008A397A"/>
    <w:rPr>
      <w:b/>
      <w:bCs/>
    </w:rPr>
  </w:style>
  <w:style w:type="paragraph" w:styleId="af3">
    <w:name w:val="Normal (Web)"/>
    <w:basedOn w:val="a"/>
    <w:uiPriority w:val="99"/>
    <w:unhideWhenUsed/>
    <w:rsid w:val="00541CFE"/>
    <w:pPr>
      <w:spacing w:before="100" w:beforeAutospacing="1" w:after="100" w:afterAutospacing="1"/>
    </w:pPr>
    <w:rPr>
      <w:rFonts w:ascii="Times New Roman" w:hAnsi="Times New Roman"/>
      <w:sz w:val="24"/>
      <w:szCs w:val="24"/>
    </w:rPr>
  </w:style>
  <w:style w:type="character" w:customStyle="1" w:styleId="a5">
    <w:name w:val="页脚 字符"/>
    <w:link w:val="a4"/>
    <w:uiPriority w:val="99"/>
    <w:rsid w:val="005363FE"/>
    <w:rPr>
      <w:rFonts w:ascii="Arial" w:hAnsi="Arial"/>
    </w:rPr>
  </w:style>
  <w:style w:type="paragraph" w:styleId="af4">
    <w:name w:val="List Paragraph"/>
    <w:basedOn w:val="a"/>
    <w:uiPriority w:val="99"/>
    <w:qFormat/>
    <w:rsid w:val="00475B50"/>
    <w:pPr>
      <w:ind w:left="720"/>
    </w:pPr>
  </w:style>
  <w:style w:type="paragraph" w:styleId="af5">
    <w:name w:val="Revision"/>
    <w:hidden/>
    <w:uiPriority w:val="99"/>
    <w:semiHidden/>
    <w:rsid w:val="001F47B0"/>
    <w:rPr>
      <w:rFonts w:ascii="Arial" w:hAnsi="Arial"/>
    </w:rPr>
  </w:style>
  <w:style w:type="paragraph" w:styleId="af6">
    <w:name w:val="Block Text"/>
    <w:basedOn w:val="a"/>
    <w:rsid w:val="00370831"/>
    <w:pPr>
      <w:tabs>
        <w:tab w:val="left" w:pos="-720"/>
        <w:tab w:val="left" w:pos="0"/>
        <w:tab w:val="left" w:pos="709"/>
      </w:tabs>
      <w:suppressAutoHyphens/>
      <w:ind w:left="709" w:right="720" w:hanging="709"/>
      <w:jc w:val="both"/>
    </w:pPr>
    <w:rPr>
      <w:rFonts w:ascii="Times New Roman" w:hAnsi="Times New Roman"/>
      <w:spacing w:val="-2"/>
      <w:lang w:eastAsia="en-US"/>
    </w:rPr>
  </w:style>
  <w:style w:type="paragraph" w:styleId="af7">
    <w:name w:val="No Spacing"/>
    <w:uiPriority w:val="99"/>
    <w:qFormat/>
    <w:rsid w:val="00D83BB1"/>
    <w:pPr>
      <w:overflowPunct w:val="0"/>
      <w:autoSpaceDE w:val="0"/>
      <w:autoSpaceDN w:val="0"/>
      <w:adjustRightInd w:val="0"/>
    </w:pPr>
    <w:rPr>
      <w:rFonts w:ascii="Calibri" w:hAnsi="Calibri"/>
      <w:sz w:val="22"/>
      <w:lang w:eastAsia="en-US"/>
    </w:rPr>
  </w:style>
  <w:style w:type="character" w:customStyle="1" w:styleId="UnresolvedMention1">
    <w:name w:val="Unresolved Mention1"/>
    <w:basedOn w:val="a0"/>
    <w:uiPriority w:val="99"/>
    <w:semiHidden/>
    <w:unhideWhenUsed/>
    <w:rsid w:val="008422EE"/>
    <w:rPr>
      <w:color w:val="605E5C"/>
      <w:shd w:val="clear" w:color="auto" w:fill="E1DFDD"/>
    </w:rPr>
  </w:style>
  <w:style w:type="character" w:styleId="af8">
    <w:name w:val="Unresolved Mention"/>
    <w:basedOn w:val="a0"/>
    <w:uiPriority w:val="99"/>
    <w:semiHidden/>
    <w:unhideWhenUsed/>
    <w:rsid w:val="0064556F"/>
    <w:rPr>
      <w:color w:val="605E5C"/>
      <w:shd w:val="clear" w:color="auto" w:fill="E1DFDD"/>
    </w:rPr>
  </w:style>
  <w:style w:type="character" w:customStyle="1" w:styleId="highlight">
    <w:name w:val="highlight"/>
    <w:basedOn w:val="a0"/>
    <w:rsid w:val="00C60979"/>
  </w:style>
  <w:style w:type="paragraph" w:styleId="af9">
    <w:name w:val="Bibliography"/>
    <w:basedOn w:val="a"/>
    <w:next w:val="a"/>
    <w:uiPriority w:val="37"/>
    <w:semiHidden/>
    <w:unhideWhenUsed/>
    <w:rsid w:val="00CD5A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8492684">
      <w:bodyDiv w:val="1"/>
      <w:marLeft w:val="0"/>
      <w:marRight w:val="0"/>
      <w:marTop w:val="0"/>
      <w:marBottom w:val="0"/>
      <w:divBdr>
        <w:top w:val="none" w:sz="0" w:space="0" w:color="auto"/>
        <w:left w:val="none" w:sz="0" w:space="0" w:color="auto"/>
        <w:bottom w:val="none" w:sz="0" w:space="0" w:color="auto"/>
        <w:right w:val="none" w:sz="0" w:space="0" w:color="auto"/>
      </w:divBdr>
    </w:div>
    <w:div w:id="358631696">
      <w:bodyDiv w:val="1"/>
      <w:marLeft w:val="0"/>
      <w:marRight w:val="0"/>
      <w:marTop w:val="0"/>
      <w:marBottom w:val="0"/>
      <w:divBdr>
        <w:top w:val="none" w:sz="0" w:space="0" w:color="auto"/>
        <w:left w:val="none" w:sz="0" w:space="0" w:color="auto"/>
        <w:bottom w:val="none" w:sz="0" w:space="0" w:color="auto"/>
        <w:right w:val="none" w:sz="0" w:space="0" w:color="auto"/>
      </w:divBdr>
    </w:div>
    <w:div w:id="405617776">
      <w:bodyDiv w:val="1"/>
      <w:marLeft w:val="0"/>
      <w:marRight w:val="0"/>
      <w:marTop w:val="0"/>
      <w:marBottom w:val="0"/>
      <w:divBdr>
        <w:top w:val="none" w:sz="0" w:space="0" w:color="auto"/>
        <w:left w:val="none" w:sz="0" w:space="0" w:color="auto"/>
        <w:bottom w:val="none" w:sz="0" w:space="0" w:color="auto"/>
        <w:right w:val="none" w:sz="0" w:space="0" w:color="auto"/>
      </w:divBdr>
    </w:div>
    <w:div w:id="592666608">
      <w:bodyDiv w:val="1"/>
      <w:marLeft w:val="0"/>
      <w:marRight w:val="0"/>
      <w:marTop w:val="0"/>
      <w:marBottom w:val="0"/>
      <w:divBdr>
        <w:top w:val="none" w:sz="0" w:space="0" w:color="auto"/>
        <w:left w:val="none" w:sz="0" w:space="0" w:color="auto"/>
        <w:bottom w:val="none" w:sz="0" w:space="0" w:color="auto"/>
        <w:right w:val="none" w:sz="0" w:space="0" w:color="auto"/>
      </w:divBdr>
      <w:divsChild>
        <w:div w:id="514348092">
          <w:marLeft w:val="0"/>
          <w:marRight w:val="0"/>
          <w:marTop w:val="0"/>
          <w:marBottom w:val="0"/>
          <w:divBdr>
            <w:top w:val="none" w:sz="0" w:space="0" w:color="auto"/>
            <w:left w:val="none" w:sz="0" w:space="0" w:color="auto"/>
            <w:bottom w:val="none" w:sz="0" w:space="0" w:color="auto"/>
            <w:right w:val="none" w:sz="0" w:space="0" w:color="auto"/>
          </w:divBdr>
          <w:divsChild>
            <w:div w:id="934442386">
              <w:marLeft w:val="0"/>
              <w:marRight w:val="0"/>
              <w:marTop w:val="0"/>
              <w:marBottom w:val="0"/>
              <w:divBdr>
                <w:top w:val="none" w:sz="0" w:space="0" w:color="auto"/>
                <w:left w:val="none" w:sz="0" w:space="0" w:color="auto"/>
                <w:bottom w:val="none" w:sz="0" w:space="0" w:color="auto"/>
                <w:right w:val="none" w:sz="0" w:space="0" w:color="auto"/>
              </w:divBdr>
              <w:divsChild>
                <w:div w:id="2022389839">
                  <w:marLeft w:val="0"/>
                  <w:marRight w:val="0"/>
                  <w:marTop w:val="0"/>
                  <w:marBottom w:val="0"/>
                  <w:divBdr>
                    <w:top w:val="none" w:sz="0" w:space="0" w:color="auto"/>
                    <w:left w:val="none" w:sz="0" w:space="0" w:color="auto"/>
                    <w:bottom w:val="none" w:sz="0" w:space="0" w:color="auto"/>
                    <w:right w:val="none" w:sz="0" w:space="0" w:color="auto"/>
                  </w:divBdr>
                  <w:divsChild>
                    <w:div w:id="1416129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8080778">
      <w:bodyDiv w:val="1"/>
      <w:marLeft w:val="0"/>
      <w:marRight w:val="0"/>
      <w:marTop w:val="0"/>
      <w:marBottom w:val="0"/>
      <w:divBdr>
        <w:top w:val="none" w:sz="0" w:space="0" w:color="auto"/>
        <w:left w:val="none" w:sz="0" w:space="0" w:color="auto"/>
        <w:bottom w:val="none" w:sz="0" w:space="0" w:color="auto"/>
        <w:right w:val="none" w:sz="0" w:space="0" w:color="auto"/>
      </w:divBdr>
    </w:div>
    <w:div w:id="1452935404">
      <w:bodyDiv w:val="1"/>
      <w:marLeft w:val="0"/>
      <w:marRight w:val="0"/>
      <w:marTop w:val="0"/>
      <w:marBottom w:val="0"/>
      <w:divBdr>
        <w:top w:val="none" w:sz="0" w:space="0" w:color="auto"/>
        <w:left w:val="none" w:sz="0" w:space="0" w:color="auto"/>
        <w:bottom w:val="none" w:sz="0" w:space="0" w:color="auto"/>
        <w:right w:val="none" w:sz="0" w:space="0" w:color="auto"/>
      </w:divBdr>
      <w:divsChild>
        <w:div w:id="453641175">
          <w:marLeft w:val="0"/>
          <w:marRight w:val="0"/>
          <w:marTop w:val="0"/>
          <w:marBottom w:val="0"/>
          <w:divBdr>
            <w:top w:val="none" w:sz="0" w:space="0" w:color="auto"/>
            <w:left w:val="none" w:sz="0" w:space="0" w:color="auto"/>
            <w:bottom w:val="none" w:sz="0" w:space="0" w:color="auto"/>
            <w:right w:val="none" w:sz="0" w:space="0" w:color="auto"/>
          </w:divBdr>
          <w:divsChild>
            <w:div w:id="79327444">
              <w:marLeft w:val="0"/>
              <w:marRight w:val="0"/>
              <w:marTop w:val="0"/>
              <w:marBottom w:val="0"/>
              <w:divBdr>
                <w:top w:val="none" w:sz="0" w:space="0" w:color="auto"/>
                <w:left w:val="none" w:sz="0" w:space="0" w:color="auto"/>
                <w:bottom w:val="none" w:sz="0" w:space="0" w:color="auto"/>
                <w:right w:val="none" w:sz="0" w:space="0" w:color="auto"/>
              </w:divBdr>
              <w:divsChild>
                <w:div w:id="283774767">
                  <w:marLeft w:val="0"/>
                  <w:marRight w:val="0"/>
                  <w:marTop w:val="0"/>
                  <w:marBottom w:val="0"/>
                  <w:divBdr>
                    <w:top w:val="none" w:sz="0" w:space="0" w:color="auto"/>
                    <w:left w:val="none" w:sz="0" w:space="0" w:color="auto"/>
                    <w:bottom w:val="none" w:sz="0" w:space="0" w:color="auto"/>
                    <w:right w:val="none" w:sz="0" w:space="0" w:color="auto"/>
                  </w:divBdr>
                  <w:divsChild>
                    <w:div w:id="1097140455">
                      <w:marLeft w:val="0"/>
                      <w:marRight w:val="0"/>
                      <w:marTop w:val="0"/>
                      <w:marBottom w:val="0"/>
                      <w:divBdr>
                        <w:top w:val="none" w:sz="0" w:space="0" w:color="auto"/>
                        <w:left w:val="none" w:sz="0" w:space="0" w:color="auto"/>
                        <w:bottom w:val="none" w:sz="0" w:space="0" w:color="auto"/>
                        <w:right w:val="none" w:sz="0" w:space="0" w:color="auto"/>
                      </w:divBdr>
                      <w:divsChild>
                        <w:div w:id="2106223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37568467">
      <w:bodyDiv w:val="1"/>
      <w:marLeft w:val="0"/>
      <w:marRight w:val="0"/>
      <w:marTop w:val="0"/>
      <w:marBottom w:val="0"/>
      <w:divBdr>
        <w:top w:val="none" w:sz="0" w:space="0" w:color="auto"/>
        <w:left w:val="none" w:sz="0" w:space="0" w:color="auto"/>
        <w:bottom w:val="none" w:sz="0" w:space="0" w:color="auto"/>
        <w:right w:val="none" w:sz="0" w:space="0" w:color="auto"/>
      </w:divBdr>
    </w:div>
    <w:div w:id="2111511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header" Target="header2.xml"/><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image" Target="media/image1.png"/><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mytsd.uwtsd.ac.uk"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uwtsd.ac.uk/iiced/protecting-innovation-and-creativity---intellectual-property/"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footer" Target="footer3.xml"/></Relationships>
</file>

<file path=word/_rels/header2.xml.rels><?xml version="1.0" encoding="UTF-8" standalone="yes"?>
<Relationships xmlns="http://schemas.openxmlformats.org/package/2006/relationships"><Relationship Id="rId1"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5" ma:contentTypeDescription="Create a new document." ma:contentTypeScope="" ma:versionID="bd0258b6d63df46e5159b31152002c43">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4a268c5e39fb5ea259bdfced0dd0d772"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CD31BAA-8904-4385-942C-C33E7C00638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0F53AFB-84C6-420E-9016-FA1170B99F4A}">
  <ds:schemaRefs>
    <ds:schemaRef ds:uri="http://schemas.openxmlformats.org/officeDocument/2006/bibliography"/>
  </ds:schemaRefs>
</ds:datastoreItem>
</file>

<file path=customXml/itemProps3.xml><?xml version="1.0" encoding="utf-8"?>
<ds:datastoreItem xmlns:ds="http://schemas.openxmlformats.org/officeDocument/2006/customXml" ds:itemID="{7C9116D7-58DE-4138-A50B-08F928853FA1}">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02655603-7A5C-43BD-94BB-3D3F3BC556F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98</TotalTime>
  <Pages>16</Pages>
  <Words>33746</Words>
  <Characters>192355</Characters>
  <Application>Microsoft Office Word</Application>
  <DocSecurity>0</DocSecurity>
  <Lines>1602</Lines>
  <Paragraphs>451</Paragraphs>
  <ScaleCrop>false</ScaleCrop>
  <HeadingPairs>
    <vt:vector size="2" baseType="variant">
      <vt:variant>
        <vt:lpstr>Title</vt:lpstr>
      </vt:variant>
      <vt:variant>
        <vt:i4>1</vt:i4>
      </vt:variant>
    </vt:vector>
  </HeadingPairs>
  <TitlesOfParts>
    <vt:vector size="1" baseType="lpstr">
      <vt:lpstr>PG1</vt:lpstr>
    </vt:vector>
  </TitlesOfParts>
  <Company>UWTSD</Company>
  <LinksUpToDate>false</LinksUpToDate>
  <CharactersWithSpaces>225650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PG1</dc:title>
  <dc:creator>Academic Office</dc:creator>
  <cp:lastModifiedBy>Yu Ding (2306311)</cp:lastModifiedBy>
  <cp:revision>48</cp:revision>
  <cp:lastPrinted>2016-11-02T14:01:00Z</cp:lastPrinted>
  <dcterms:created xsi:type="dcterms:W3CDTF">2020-11-24T14:17:00Z</dcterms:created>
  <dcterms:modified xsi:type="dcterms:W3CDTF">2024-10-14T08:08:00Z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y fmtid="{D5CDD505-2E9C-101B-9397-08002B2CF9AE}" pid="5" name="ContentTypeId">
    <vt:lpwstr>0x0101002070451B93B7834FA3DA78769DB3FA41</vt:lpwstr>
  </property>
  <property fmtid="{D5CDD505-2E9C-101B-9397-08002B2CF9AE}" pid="6" name="MediaServiceImageTags">
    <vt:lpwstr/>
  </property>
</Properties>
</file>