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73FAEC" w14:textId="75096A02" w:rsidR="0033217F" w:rsidRDefault="00F42277" w:rsidP="0033217F">
      <w:pPr>
        <w:spacing w:line="256" w:lineRule="auto"/>
        <w:ind w:right="531"/>
        <w:rPr>
          <w:rFonts w:ascii="Arial" w:eastAsia="Calibri" w:hAnsi="Arial" w:cs="Arial"/>
          <w:sz w:val="22"/>
          <w:szCs w:val="22"/>
        </w:rPr>
      </w:pPr>
      <w:r>
        <w:rPr>
          <w:rFonts w:ascii="Arial" w:hAnsi="Arial" w:cs="Arial"/>
          <w:sz w:val="22"/>
          <w:szCs w:val="22"/>
        </w:rPr>
        <w:t>Essay One</w:t>
      </w:r>
      <w:r w:rsidR="0033217F">
        <w:rPr>
          <w:rFonts w:ascii="Arial" w:hAnsi="Arial" w:cs="Arial"/>
          <w:sz w:val="22"/>
          <w:szCs w:val="22"/>
        </w:rPr>
        <w:t xml:space="preserve"> -</w:t>
      </w:r>
      <w:r w:rsidR="00FC63BA">
        <w:rPr>
          <w:rFonts w:ascii="Arial" w:hAnsi="Arial" w:cs="Arial"/>
          <w:sz w:val="22"/>
          <w:szCs w:val="22"/>
        </w:rPr>
        <w:t xml:space="preserve"> </w:t>
      </w:r>
      <w:r w:rsidR="0033217F">
        <w:rPr>
          <w:rFonts w:ascii="Arial" w:eastAsia="Calibri" w:hAnsi="Arial" w:cs="Arial"/>
          <w:sz w:val="22"/>
          <w:szCs w:val="22"/>
          <w:u w:val="single"/>
        </w:rPr>
        <w:t>Consider</w:t>
      </w:r>
      <w:r w:rsidR="0033217F">
        <w:rPr>
          <w:rFonts w:ascii="Arial" w:eastAsia="Calibri" w:hAnsi="Arial" w:cs="Arial"/>
          <w:sz w:val="22"/>
          <w:szCs w:val="22"/>
        </w:rPr>
        <w:t xml:space="preserve"> the effect of professionalisation on organisational culture within </w:t>
      </w:r>
      <w:r w:rsidR="0033217F">
        <w:rPr>
          <w:rFonts w:ascii="Arial" w:eastAsia="Calibri" w:hAnsi="Arial" w:cs="Arial"/>
          <w:sz w:val="22"/>
          <w:szCs w:val="22"/>
        </w:rPr>
        <w:t>policing and</w:t>
      </w:r>
      <w:r w:rsidR="0033217F">
        <w:rPr>
          <w:rFonts w:ascii="Arial" w:eastAsia="Calibri" w:hAnsi="Arial" w:cs="Arial"/>
          <w:sz w:val="22"/>
          <w:szCs w:val="22"/>
        </w:rPr>
        <w:t xml:space="preserve"> </w:t>
      </w:r>
      <w:r w:rsidR="0033217F">
        <w:rPr>
          <w:rFonts w:ascii="Arial" w:eastAsia="Calibri" w:hAnsi="Arial" w:cs="Arial"/>
          <w:sz w:val="22"/>
          <w:szCs w:val="22"/>
          <w:u w:val="single"/>
        </w:rPr>
        <w:t>examine</w:t>
      </w:r>
      <w:r w:rsidR="0033217F">
        <w:rPr>
          <w:rFonts w:ascii="Arial" w:eastAsia="Calibri" w:hAnsi="Arial" w:cs="Arial"/>
          <w:sz w:val="22"/>
          <w:szCs w:val="22"/>
        </w:rPr>
        <w:t xml:space="preserve"> the impact on officers’ wellbeing and resilience. Your answer must be based on academic research, not personal experience.</w:t>
      </w:r>
    </w:p>
    <w:p w14:paraId="0534D288" w14:textId="77777777" w:rsidR="00B27126" w:rsidRDefault="00B27126" w:rsidP="0033217F">
      <w:pPr>
        <w:spacing w:line="256" w:lineRule="auto"/>
        <w:ind w:right="531"/>
        <w:rPr>
          <w:rFonts w:ascii="Arial" w:eastAsia="Calibri" w:hAnsi="Arial" w:cs="Arial"/>
          <w:sz w:val="22"/>
          <w:szCs w:val="22"/>
        </w:rPr>
      </w:pPr>
    </w:p>
    <w:p w14:paraId="664F1E2E" w14:textId="176E1C75" w:rsidR="00F42277" w:rsidRDefault="00F42277" w:rsidP="00636621">
      <w:pPr>
        <w:rPr>
          <w:rFonts w:ascii="Arial" w:hAnsi="Arial" w:cs="Arial"/>
          <w:sz w:val="22"/>
          <w:szCs w:val="22"/>
        </w:rPr>
      </w:pPr>
    </w:p>
    <w:p w14:paraId="6978625B" w14:textId="38443479" w:rsidR="00F42277" w:rsidRDefault="00F42277" w:rsidP="00F42277">
      <w:pPr>
        <w:rPr>
          <w:rFonts w:ascii="Arial" w:hAnsi="Arial" w:cs="Arial"/>
          <w:sz w:val="22"/>
          <w:szCs w:val="22"/>
        </w:rPr>
      </w:pPr>
      <w:r w:rsidRPr="00F42277">
        <w:rPr>
          <w:rFonts w:ascii="Arial" w:hAnsi="Arial" w:cs="Arial"/>
          <w:sz w:val="22"/>
          <w:szCs w:val="22"/>
        </w:rPr>
        <w:t>A profession consists of extensive training to acquire specialised knowledge and skills accompanied with a professional qualification and ethical code of practice. Professionalisation therefore can be described as a process where a job or trade transforms into a profession (Walker, 2015, p.8). Police organisational culture is more challenging to define. Cockcroft (2020) presents many different understandings from many theorists but simplifies the concept as “common, values, attitudes and behaviours that are believed to exist among police officers”.</w:t>
      </w:r>
      <w:r w:rsidR="00FC63BA">
        <w:rPr>
          <w:rFonts w:ascii="Arial" w:hAnsi="Arial" w:cs="Arial"/>
          <w:sz w:val="22"/>
          <w:szCs w:val="22"/>
        </w:rPr>
        <w:t xml:space="preserve"> </w:t>
      </w:r>
      <w:r w:rsidRPr="00F42277">
        <w:rPr>
          <w:rFonts w:ascii="Arial" w:hAnsi="Arial" w:cs="Arial"/>
          <w:sz w:val="22"/>
          <w:szCs w:val="22"/>
        </w:rPr>
        <w:t xml:space="preserve">Policing has been slowly transitioning into a profession over the last 10 years. This process started with the introduction of the College of Policing, an independent professional body to connect all staff in law enforcement and provide skills and knowledge through evidence-based initiatives (College of Policing, </w:t>
      </w:r>
      <w:proofErr w:type="spellStart"/>
      <w:r w:rsidRPr="00F42277">
        <w:rPr>
          <w:rFonts w:ascii="Arial" w:hAnsi="Arial" w:cs="Arial"/>
          <w:sz w:val="22"/>
          <w:szCs w:val="22"/>
        </w:rPr>
        <w:t>n.d.a</w:t>
      </w:r>
      <w:proofErr w:type="spellEnd"/>
      <w:r w:rsidRPr="00F42277">
        <w:rPr>
          <w:rFonts w:ascii="Arial" w:hAnsi="Arial" w:cs="Arial"/>
          <w:sz w:val="22"/>
          <w:szCs w:val="22"/>
        </w:rPr>
        <w:t xml:space="preserve">). Following on from their inception, the College of Policing introduced the Code of Ethics, a standardised framework which promotes set values and beliefs for all stakeholders of policing (College of Policing, 2014). It is designed as a supportive decision-making framework to help officers at all levels increase their confidence in always doing the right thing (College of Policing, </w:t>
      </w:r>
      <w:proofErr w:type="spellStart"/>
      <w:r w:rsidRPr="00F42277">
        <w:rPr>
          <w:rFonts w:ascii="Arial" w:hAnsi="Arial" w:cs="Arial"/>
          <w:sz w:val="22"/>
          <w:szCs w:val="22"/>
        </w:rPr>
        <w:t>n.d.b</w:t>
      </w:r>
      <w:proofErr w:type="spellEnd"/>
      <w:r w:rsidRPr="00F42277">
        <w:rPr>
          <w:rFonts w:ascii="Arial" w:hAnsi="Arial" w:cs="Arial"/>
          <w:sz w:val="22"/>
          <w:szCs w:val="22"/>
        </w:rPr>
        <w:t>).</w:t>
      </w:r>
    </w:p>
    <w:p w14:paraId="16E1F594" w14:textId="77777777" w:rsidR="00F42277" w:rsidRPr="00F42277" w:rsidRDefault="00F42277" w:rsidP="00F42277">
      <w:pPr>
        <w:rPr>
          <w:rFonts w:ascii="Arial" w:hAnsi="Arial" w:cs="Arial"/>
          <w:sz w:val="22"/>
          <w:szCs w:val="22"/>
        </w:rPr>
      </w:pPr>
    </w:p>
    <w:p w14:paraId="34B871D1" w14:textId="2F6BCEA9" w:rsidR="00F42277" w:rsidRDefault="00F42277" w:rsidP="00F42277">
      <w:pPr>
        <w:rPr>
          <w:rFonts w:ascii="Arial" w:hAnsi="Arial" w:cs="Arial"/>
          <w:sz w:val="22"/>
          <w:szCs w:val="22"/>
        </w:rPr>
      </w:pPr>
      <w:r w:rsidRPr="00F42277">
        <w:rPr>
          <w:rFonts w:ascii="Arial" w:hAnsi="Arial" w:cs="Arial"/>
          <w:sz w:val="22"/>
          <w:szCs w:val="22"/>
        </w:rPr>
        <w:t>A code of ethics can enhance an organisational culture on the basis that all adhere to the principles. The code of ethics aims to build trust between participants involving police colleagues and members of the public and distance itself from previous negative connotations of police culture such as “stigma, fear of being reprimanded, feelings of not being able to complete a challenging task or follow direction” (Vincent, 2021, p.14). The concept of making honest, integral, and accountable decisions can create a foundation of trust that has been linked to improving officer wellbeing (Darrah, 2021, p.15). Darrah (2021) explores the concept of wellbeing as the “quality of life “and associates wellbeing with job satisfaction and morale in a workplace environment.</w:t>
      </w:r>
      <w:r w:rsidR="008B11BE">
        <w:rPr>
          <w:rFonts w:ascii="Arial" w:hAnsi="Arial" w:cs="Arial"/>
          <w:sz w:val="22"/>
          <w:szCs w:val="22"/>
        </w:rPr>
        <w:t xml:space="preserve"> </w:t>
      </w:r>
      <w:r w:rsidRPr="00F42277">
        <w:rPr>
          <w:rFonts w:ascii="Arial" w:hAnsi="Arial" w:cs="Arial"/>
          <w:sz w:val="22"/>
          <w:szCs w:val="22"/>
        </w:rPr>
        <w:t>This has been evidenced in a survey completed by 226 officers (of all ranks) from Thames Valley Police where it was found that fair treatment by supervisors (76.5%) and honest and ethical decision making (62.8%), two main principles introduced by the Code of Ethics, were voted by respondents as most important factors in terms of overall psychological wellbeing in the workplace (Darrah, 2021, p.16). It is worth taking into consideration the limitations of this research as only 1 police force was included with only 5.3% of Thames Valley Police responding to the survey. Darrah (2021) acknowledges this and states that cost limitations prevented the survey being carried out with other police forces that might have yielded different results.</w:t>
      </w:r>
    </w:p>
    <w:p w14:paraId="5016993A" w14:textId="77777777" w:rsidR="00F42277" w:rsidRPr="00F42277" w:rsidRDefault="00F42277" w:rsidP="00F42277">
      <w:pPr>
        <w:rPr>
          <w:rFonts w:ascii="Arial" w:hAnsi="Arial" w:cs="Arial"/>
          <w:sz w:val="22"/>
          <w:szCs w:val="22"/>
        </w:rPr>
      </w:pPr>
    </w:p>
    <w:p w14:paraId="22F32A4E" w14:textId="0E01277B" w:rsidR="00F42277" w:rsidRDefault="00F42277" w:rsidP="00F42277">
      <w:pPr>
        <w:rPr>
          <w:rFonts w:ascii="Arial" w:hAnsi="Arial" w:cs="Arial"/>
          <w:sz w:val="22"/>
          <w:szCs w:val="22"/>
        </w:rPr>
      </w:pPr>
      <w:r w:rsidRPr="00F42277">
        <w:rPr>
          <w:rFonts w:ascii="Arial" w:hAnsi="Arial" w:cs="Arial"/>
          <w:sz w:val="22"/>
          <w:szCs w:val="22"/>
        </w:rPr>
        <w:t>In a further bid to professionalise the police service, the College of Policing introduced the Policing Education Qualifications Framework (PEQF), a professional qualification, underpinned by the Code of Ethics, delivering consolidated learning to all entry level officers through evidence-based initiatives (College of Policing, 2020). The aim behind this is to further empower officers with providing degree level knowledge and teaching reflective practices to aid decision making (Williams, Norman, and Rowe, 2019, p.260). Williams, Norman, and Rowe conducted interviews with officers undertaking the PEQF to find out their thoughts. One interviewee stated:</w:t>
      </w:r>
    </w:p>
    <w:p w14:paraId="5D545241" w14:textId="77777777" w:rsidR="00F42277" w:rsidRPr="00F42277" w:rsidRDefault="00F42277" w:rsidP="00F42277">
      <w:pPr>
        <w:rPr>
          <w:rFonts w:ascii="Arial" w:hAnsi="Arial" w:cs="Arial"/>
          <w:sz w:val="22"/>
          <w:szCs w:val="22"/>
        </w:rPr>
      </w:pPr>
    </w:p>
    <w:p w14:paraId="65AAC1D5" w14:textId="06E466C7" w:rsidR="00F42277" w:rsidRDefault="00F42277" w:rsidP="00F42277">
      <w:pPr>
        <w:jc w:val="center"/>
        <w:rPr>
          <w:rFonts w:ascii="Arial" w:hAnsi="Arial" w:cs="Arial"/>
          <w:sz w:val="22"/>
          <w:szCs w:val="22"/>
        </w:rPr>
      </w:pPr>
      <w:r w:rsidRPr="00F42277">
        <w:rPr>
          <w:rFonts w:ascii="Arial" w:hAnsi="Arial" w:cs="Arial"/>
          <w:sz w:val="22"/>
          <w:szCs w:val="22"/>
        </w:rPr>
        <w:t>“It’s (the theory) that’s given me a greater understanding and that’s the big thing for me. It’s given me an even bigger understanding of why I do what I do, what’s gone on in the past, what’s happened, why policing does what it does, and why we can look at reviewing it and doing it better. And I think the more reading into something you do, the more confidence you gain and the more knowledge you gain (Williams, Norman, and Rowe, 2019, p. 263).</w:t>
      </w:r>
    </w:p>
    <w:p w14:paraId="034787A2" w14:textId="77777777" w:rsidR="00F42277" w:rsidRPr="00F42277" w:rsidRDefault="00F42277" w:rsidP="00F42277">
      <w:pPr>
        <w:jc w:val="center"/>
        <w:rPr>
          <w:rFonts w:ascii="Arial" w:hAnsi="Arial" w:cs="Arial"/>
          <w:sz w:val="22"/>
          <w:szCs w:val="22"/>
        </w:rPr>
      </w:pPr>
    </w:p>
    <w:p w14:paraId="064A004C" w14:textId="7683172D" w:rsidR="00F42277" w:rsidRDefault="00F42277" w:rsidP="00F42277">
      <w:pPr>
        <w:rPr>
          <w:rFonts w:ascii="Arial" w:hAnsi="Arial" w:cs="Arial"/>
          <w:sz w:val="22"/>
          <w:szCs w:val="22"/>
        </w:rPr>
      </w:pPr>
      <w:r w:rsidRPr="00F42277">
        <w:rPr>
          <w:rFonts w:ascii="Arial" w:hAnsi="Arial" w:cs="Arial"/>
          <w:sz w:val="22"/>
          <w:szCs w:val="22"/>
        </w:rPr>
        <w:t xml:space="preserve">Similar thoughts were echoed by other interviewees undertaking the PEQF who emphasised the degree has influenced their decision making and allowed them to start thinking critically, focusing on more the original cause of everyday work-related issues (Williams, Norman, and Rowe, 2019, p. 263). It is apparent from some of the interviewers that the PEQF has made these officers more competent at doing at their job. Graham et al (2020) theorises a positive correlation between an officer’s wellbeing and job satisfaction with an officer’s level of competency in the tasks that they perform in the role. This stems from a very common thought that the better a person is at their job, the more confident </w:t>
      </w:r>
      <w:r w:rsidR="00363876">
        <w:rPr>
          <w:rFonts w:ascii="Arial" w:hAnsi="Arial" w:cs="Arial"/>
          <w:sz w:val="22"/>
          <w:szCs w:val="22"/>
        </w:rPr>
        <w:t>they are performing that role and more satisfaction comes from being skilled at your profession.</w:t>
      </w:r>
      <w:r w:rsidR="00FF260A">
        <w:rPr>
          <w:rFonts w:ascii="Arial" w:hAnsi="Arial" w:cs="Arial"/>
          <w:sz w:val="22"/>
          <w:szCs w:val="22"/>
        </w:rPr>
        <w:t xml:space="preserve"> Hough and Stanko (2019) also state that training people to degree level knowledge will make them better at the role.</w:t>
      </w:r>
      <w:r w:rsidR="00363876">
        <w:rPr>
          <w:rFonts w:ascii="Arial" w:hAnsi="Arial" w:cs="Arial"/>
          <w:sz w:val="22"/>
          <w:szCs w:val="22"/>
        </w:rPr>
        <w:t xml:space="preserve"> </w:t>
      </w:r>
      <w:r w:rsidRPr="00F42277">
        <w:rPr>
          <w:rFonts w:ascii="Arial" w:hAnsi="Arial" w:cs="Arial"/>
          <w:sz w:val="22"/>
          <w:szCs w:val="22"/>
        </w:rPr>
        <w:t>Furthermore, Conn (2018) provides links of competency to the idea of resilience. Conn (2018) defines the concept of “resilience” as the ability to bounce back from adversity. Conn (2018) highlights that a person must utilise a level of flexibility to develop their resilience. Talks with other officers has revealed that previous organisational culture has developed a very rigid way of thinking which has left them trapped when trying to deal with certain aspects of the job (Conn, 2018). The change in culture through professionalisation of the police service has allowed entry level starters opportunities to develop their skills of critical thinking and problem solving</w:t>
      </w:r>
      <w:r w:rsidR="00194868">
        <w:rPr>
          <w:rFonts w:ascii="Arial" w:hAnsi="Arial" w:cs="Arial"/>
          <w:sz w:val="22"/>
          <w:szCs w:val="22"/>
        </w:rPr>
        <w:t xml:space="preserve"> through undertaking of the PEQF</w:t>
      </w:r>
      <w:r w:rsidRPr="00F42277">
        <w:rPr>
          <w:rFonts w:ascii="Arial" w:hAnsi="Arial" w:cs="Arial"/>
          <w:sz w:val="22"/>
          <w:szCs w:val="22"/>
        </w:rPr>
        <w:t xml:space="preserve"> and consequently their flexibility and resilience to deal with</w:t>
      </w:r>
      <w:r w:rsidR="00363876">
        <w:rPr>
          <w:rFonts w:ascii="Arial" w:hAnsi="Arial" w:cs="Arial"/>
          <w:sz w:val="22"/>
          <w:szCs w:val="22"/>
        </w:rPr>
        <w:t xml:space="preserve"> </w:t>
      </w:r>
      <w:r w:rsidR="00194868">
        <w:rPr>
          <w:rFonts w:ascii="Arial" w:hAnsi="Arial" w:cs="Arial"/>
          <w:sz w:val="22"/>
          <w:szCs w:val="22"/>
        </w:rPr>
        <w:t>complex community issues</w:t>
      </w:r>
      <w:r w:rsidR="00FD0286">
        <w:rPr>
          <w:rFonts w:ascii="Arial" w:hAnsi="Arial" w:cs="Arial"/>
          <w:sz w:val="22"/>
          <w:szCs w:val="22"/>
        </w:rPr>
        <w:t>.</w:t>
      </w:r>
    </w:p>
    <w:p w14:paraId="3F02640D" w14:textId="77777777" w:rsidR="00F42277" w:rsidRPr="00F42277" w:rsidRDefault="00F42277" w:rsidP="00F42277">
      <w:pPr>
        <w:rPr>
          <w:rFonts w:ascii="Arial" w:hAnsi="Arial" w:cs="Arial"/>
          <w:sz w:val="22"/>
          <w:szCs w:val="22"/>
        </w:rPr>
      </w:pPr>
    </w:p>
    <w:p w14:paraId="26485E2B" w14:textId="06B82AAC" w:rsidR="00E045DE" w:rsidRDefault="00F42277" w:rsidP="00FD0286">
      <w:pPr>
        <w:rPr>
          <w:rFonts w:ascii="Arial" w:hAnsi="Arial" w:cs="Arial"/>
          <w:sz w:val="22"/>
          <w:szCs w:val="22"/>
        </w:rPr>
      </w:pPr>
      <w:r w:rsidRPr="00F42277">
        <w:rPr>
          <w:rFonts w:ascii="Arial" w:hAnsi="Arial" w:cs="Arial"/>
          <w:sz w:val="22"/>
          <w:szCs w:val="22"/>
        </w:rPr>
        <w:t>Although this essay has featured many positive correlations, some within the police service have reservations regarding the professionalisation of the police service. One inspector emphasized that professionalisation has brough many performance measures based on crime detections, introduced by the Government and not the police service (Lumsden, 2017). These performance measures put an unnecessary strain on resource light police services. Officers highlighted the unfairness with these policies and performance measures in the survey with Thames Valley Police and the knock-on effect on wellbeing (Darrah, 2021).</w:t>
      </w:r>
      <w:r w:rsidR="00E045DE">
        <w:rPr>
          <w:rFonts w:ascii="Arial" w:hAnsi="Arial" w:cs="Arial"/>
          <w:sz w:val="22"/>
          <w:szCs w:val="22"/>
        </w:rPr>
        <w:t xml:space="preserve"> It has also been highlighted that </w:t>
      </w:r>
      <w:r w:rsidR="00FD0286">
        <w:rPr>
          <w:rFonts w:ascii="Arial" w:hAnsi="Arial" w:cs="Arial"/>
          <w:sz w:val="22"/>
          <w:szCs w:val="22"/>
        </w:rPr>
        <w:t xml:space="preserve">there might be an overreliance on theory compared to practice in police learning (Hough and Stanko, 2019). Hough and Stanko (2019) state that the PEQF could fail due to how unconnected the theory and the practical side of policing is. </w:t>
      </w:r>
      <w:r w:rsidR="00FF260A">
        <w:rPr>
          <w:rFonts w:ascii="Arial" w:hAnsi="Arial" w:cs="Arial"/>
          <w:sz w:val="22"/>
          <w:szCs w:val="22"/>
        </w:rPr>
        <w:t>More research specifically focusing on professionalising and link to wellbeing should be conducted with officers from various forces being surveyed on their opinion to gain some more clarity.</w:t>
      </w:r>
    </w:p>
    <w:p w14:paraId="6249C45A" w14:textId="42FE8F8E" w:rsidR="00FF260A" w:rsidRDefault="00FF260A" w:rsidP="00FD0286">
      <w:pPr>
        <w:rPr>
          <w:rFonts w:ascii="Arial" w:hAnsi="Arial" w:cs="Arial"/>
          <w:sz w:val="22"/>
          <w:szCs w:val="22"/>
        </w:rPr>
      </w:pPr>
    </w:p>
    <w:p w14:paraId="3AD612C7" w14:textId="5439EC8F" w:rsidR="00FF260A" w:rsidRDefault="00FF260A" w:rsidP="00FD0286">
      <w:pPr>
        <w:rPr>
          <w:rFonts w:ascii="Arial" w:hAnsi="Arial" w:cs="Arial"/>
          <w:sz w:val="22"/>
          <w:szCs w:val="22"/>
        </w:rPr>
      </w:pPr>
      <w:r>
        <w:rPr>
          <w:rFonts w:ascii="Arial" w:hAnsi="Arial" w:cs="Arial"/>
          <w:sz w:val="22"/>
          <w:szCs w:val="22"/>
        </w:rPr>
        <w:t>Word Count = 1023</w:t>
      </w:r>
    </w:p>
    <w:p w14:paraId="020DE123" w14:textId="0E338972" w:rsidR="00F42277" w:rsidRDefault="00F42277" w:rsidP="00636621">
      <w:pPr>
        <w:rPr>
          <w:rFonts w:ascii="Arial" w:hAnsi="Arial" w:cs="Arial"/>
          <w:sz w:val="22"/>
          <w:szCs w:val="22"/>
        </w:rPr>
      </w:pPr>
    </w:p>
    <w:p w14:paraId="6A2C9D06" w14:textId="77777777" w:rsidR="00B27126" w:rsidRDefault="00B27126" w:rsidP="00636621">
      <w:pPr>
        <w:rPr>
          <w:rFonts w:ascii="Arial" w:hAnsi="Arial" w:cs="Arial"/>
          <w:sz w:val="22"/>
          <w:szCs w:val="22"/>
        </w:rPr>
      </w:pPr>
    </w:p>
    <w:p w14:paraId="400AF756" w14:textId="749EA9DF" w:rsidR="00526D5D" w:rsidRDefault="00526D5D" w:rsidP="00636621">
      <w:pPr>
        <w:rPr>
          <w:rFonts w:ascii="Arial" w:eastAsia="Calibri" w:hAnsi="Arial" w:cs="Arial"/>
          <w:sz w:val="22"/>
          <w:szCs w:val="22"/>
        </w:rPr>
      </w:pPr>
      <w:r>
        <w:rPr>
          <w:rFonts w:ascii="Arial" w:hAnsi="Arial" w:cs="Arial"/>
          <w:sz w:val="22"/>
          <w:szCs w:val="22"/>
        </w:rPr>
        <w:t>Essay Two</w:t>
      </w:r>
      <w:r w:rsidR="006055CF">
        <w:rPr>
          <w:rFonts w:ascii="Arial" w:hAnsi="Arial" w:cs="Arial"/>
          <w:sz w:val="22"/>
          <w:szCs w:val="22"/>
        </w:rPr>
        <w:t xml:space="preserve"> -</w:t>
      </w:r>
      <w:r w:rsidR="00B96455">
        <w:rPr>
          <w:rFonts w:ascii="Arial" w:hAnsi="Arial" w:cs="Arial"/>
          <w:sz w:val="22"/>
          <w:szCs w:val="22"/>
        </w:rPr>
        <w:t xml:space="preserve"> </w:t>
      </w:r>
      <w:r w:rsidR="006055CF">
        <w:rPr>
          <w:rFonts w:ascii="Arial" w:eastAsia="Calibri" w:hAnsi="Arial" w:cs="Arial"/>
          <w:sz w:val="22"/>
          <w:szCs w:val="22"/>
          <w:u w:val="single"/>
        </w:rPr>
        <w:t>assess</w:t>
      </w:r>
      <w:r w:rsidR="006055CF">
        <w:rPr>
          <w:rFonts w:ascii="Arial" w:eastAsia="Calibri" w:hAnsi="Arial" w:cs="Arial"/>
          <w:sz w:val="22"/>
          <w:szCs w:val="22"/>
        </w:rPr>
        <w:t xml:space="preserve"> the limits of the police’s role in investigating </w:t>
      </w:r>
      <w:r w:rsidR="006055CF">
        <w:rPr>
          <w:rFonts w:ascii="Arial" w:eastAsia="Calibri" w:hAnsi="Arial" w:cs="Arial"/>
          <w:sz w:val="22"/>
          <w:szCs w:val="22"/>
        </w:rPr>
        <w:t>counterterrorism</w:t>
      </w:r>
      <w:r w:rsidR="006055CF">
        <w:rPr>
          <w:rFonts w:ascii="Arial" w:eastAsia="Calibri" w:hAnsi="Arial" w:cs="Arial"/>
          <w:sz w:val="22"/>
          <w:szCs w:val="22"/>
        </w:rPr>
        <w:t>.</w:t>
      </w:r>
    </w:p>
    <w:p w14:paraId="05E7B2EC" w14:textId="77777777" w:rsidR="00B27126" w:rsidRDefault="00B27126" w:rsidP="00636621">
      <w:pPr>
        <w:rPr>
          <w:rFonts w:ascii="Arial" w:hAnsi="Arial" w:cs="Arial"/>
          <w:sz w:val="22"/>
          <w:szCs w:val="22"/>
        </w:rPr>
      </w:pPr>
    </w:p>
    <w:p w14:paraId="35464FB4" w14:textId="656C7153" w:rsidR="00526D5D" w:rsidRDefault="00526D5D" w:rsidP="00636621">
      <w:pPr>
        <w:rPr>
          <w:rFonts w:ascii="Arial" w:hAnsi="Arial" w:cs="Arial"/>
          <w:sz w:val="22"/>
          <w:szCs w:val="22"/>
        </w:rPr>
      </w:pPr>
    </w:p>
    <w:p w14:paraId="5F31ED7B" w14:textId="09194064" w:rsidR="00C33E0E" w:rsidRDefault="00C33E0E" w:rsidP="00C33E0E">
      <w:pPr>
        <w:rPr>
          <w:rFonts w:ascii="Arial" w:hAnsi="Arial" w:cs="Arial"/>
          <w:sz w:val="22"/>
          <w:szCs w:val="22"/>
        </w:rPr>
      </w:pPr>
      <w:r w:rsidRPr="00C33E0E">
        <w:rPr>
          <w:rFonts w:ascii="Arial" w:hAnsi="Arial" w:cs="Arial"/>
          <w:sz w:val="22"/>
          <w:szCs w:val="22"/>
        </w:rPr>
        <w:t xml:space="preserve">The introduction of the Terrorism Act 2000 in UK legislation brought in a new definition for terrorism. Terrorism is defined as the use or threat of violence designed to influence a government or intimate members of the public in the bid to influence a political, religious, or racial ideology (Terrorism Act 2000). UK Police forces have formed 11 regional counter terrorism units (CTUs) and Intelligence Units (CTIUs) to target terrorism (Counter Terrorism Policing, n.d.). These departments utilise the CONTEST strategy, a four-step process of Prevent, Pursue, Protect, Prepare. The purpose of this paper is to assess any limits in relation to the police and their role within counter-terrorism investigations. According to an assistant commissioner Neil </w:t>
      </w:r>
      <w:proofErr w:type="spellStart"/>
      <w:r w:rsidRPr="00C33E0E">
        <w:rPr>
          <w:rFonts w:ascii="Arial" w:hAnsi="Arial" w:cs="Arial"/>
          <w:sz w:val="22"/>
          <w:szCs w:val="22"/>
        </w:rPr>
        <w:t>Basu</w:t>
      </w:r>
      <w:proofErr w:type="spellEnd"/>
      <w:r w:rsidRPr="00C33E0E">
        <w:rPr>
          <w:rFonts w:ascii="Arial" w:hAnsi="Arial" w:cs="Arial"/>
          <w:sz w:val="22"/>
          <w:szCs w:val="22"/>
        </w:rPr>
        <w:t>, prevent is the most important priority of the CONTEST strategy (Dodd, 2022). Prevent focuses on stopping people from becoming terrorists and to discourage them from supporting violence and extremism (HMGovernment, 2009). The police rely heavily on information and intelligence from their own officers and members of the public alike to identify any plots of terrorism or individuals that are susceptible to radicalisation.</w:t>
      </w:r>
    </w:p>
    <w:p w14:paraId="28C7F07B" w14:textId="77777777" w:rsidR="00C33E0E" w:rsidRPr="00C33E0E" w:rsidRDefault="00C33E0E" w:rsidP="00C33E0E">
      <w:pPr>
        <w:rPr>
          <w:rFonts w:ascii="Arial" w:hAnsi="Arial" w:cs="Arial"/>
          <w:sz w:val="22"/>
          <w:szCs w:val="22"/>
        </w:rPr>
      </w:pPr>
    </w:p>
    <w:p w14:paraId="07F27C80" w14:textId="7B96CE1D" w:rsidR="00C33E0E" w:rsidRDefault="00C33E0E" w:rsidP="00C33E0E">
      <w:pPr>
        <w:rPr>
          <w:rFonts w:ascii="Arial" w:hAnsi="Arial" w:cs="Arial"/>
          <w:sz w:val="22"/>
          <w:szCs w:val="22"/>
        </w:rPr>
      </w:pPr>
      <w:r w:rsidRPr="00C33E0E">
        <w:rPr>
          <w:rFonts w:ascii="Arial" w:hAnsi="Arial" w:cs="Arial"/>
          <w:sz w:val="22"/>
          <w:szCs w:val="22"/>
        </w:rPr>
        <w:t xml:space="preserve">Clarke and Newman (2007) also corroborate this, stressing the importance of Community Policing where local police officers being present in their communities daily can help obtain vital intelligence on subtle changes in their neighbourhood. Spalek (2013) further develops this thought process that Community Policing is linked to Counter Terrorism as Community Policing can be used to establish any presence of terrorist activities. Local Police are better positioned within their communities to disseminate information and intelligence as they have built relationships with certain members of the community and are able to grade this information more effectively than regional terrorism units (Spalek, 2013). It is common theory that promoting community engagement equates to better cooperation between the Police and the public which aids crime detection. Nevertheless, this ideology becomes a limitation for Police forces investigating terror in the wake of austerity and cuts to the police service over recent years. Following the London Bridge Attack in 2019 and criticism of the Police from Prime Minister Boris Johnson, a former head of Counter-Terrorism Robert Quick replied that cuts to the service had removed the “eyes and ears” of police investigations into terror (Dodd and Grierson, 2019). Robert Quick further emphasised on his point stating </w:t>
      </w:r>
      <w:r w:rsidR="00A32C0B">
        <w:rPr>
          <w:rFonts w:ascii="Arial" w:hAnsi="Arial" w:cs="Arial"/>
          <w:sz w:val="22"/>
          <w:szCs w:val="22"/>
        </w:rPr>
        <w:t>that, “c</w:t>
      </w:r>
      <w:r w:rsidR="00AB68A0" w:rsidRPr="00C33E0E">
        <w:rPr>
          <w:rFonts w:ascii="Arial" w:hAnsi="Arial" w:cs="Arial"/>
          <w:sz w:val="22"/>
          <w:szCs w:val="22"/>
        </w:rPr>
        <w:t>ounterterrorism</w:t>
      </w:r>
      <w:r w:rsidRPr="00C33E0E">
        <w:rPr>
          <w:rFonts w:ascii="Arial" w:hAnsi="Arial" w:cs="Arial"/>
          <w:sz w:val="22"/>
          <w:szCs w:val="22"/>
        </w:rPr>
        <w:t xml:space="preserve"> relies on the local intelligence feed from local police divisions. It has been undermined, without doubt by the reduction of policing presence in communities</w:t>
      </w:r>
      <w:r w:rsidR="00A32C0B">
        <w:rPr>
          <w:rFonts w:ascii="Arial" w:hAnsi="Arial" w:cs="Arial"/>
          <w:sz w:val="22"/>
          <w:szCs w:val="22"/>
        </w:rPr>
        <w:t>”</w:t>
      </w:r>
      <w:r w:rsidRPr="00C33E0E">
        <w:rPr>
          <w:rFonts w:ascii="Arial" w:hAnsi="Arial" w:cs="Arial"/>
          <w:sz w:val="22"/>
          <w:szCs w:val="22"/>
        </w:rPr>
        <w:t xml:space="preserve"> (Dodd and Grierson, 2019).</w:t>
      </w:r>
    </w:p>
    <w:p w14:paraId="390CA976" w14:textId="77777777" w:rsidR="00ED6CA5" w:rsidRPr="00C33E0E" w:rsidRDefault="00ED6CA5" w:rsidP="00C33E0E">
      <w:pPr>
        <w:rPr>
          <w:rFonts w:ascii="Arial" w:hAnsi="Arial" w:cs="Arial"/>
          <w:sz w:val="22"/>
          <w:szCs w:val="22"/>
        </w:rPr>
      </w:pPr>
    </w:p>
    <w:p w14:paraId="7F5D6DB9" w14:textId="6A407351" w:rsidR="00C33E0E" w:rsidRDefault="00C33E0E" w:rsidP="00C33E0E">
      <w:pPr>
        <w:rPr>
          <w:rFonts w:ascii="Arial" w:hAnsi="Arial" w:cs="Arial"/>
          <w:sz w:val="22"/>
          <w:szCs w:val="22"/>
        </w:rPr>
      </w:pPr>
      <w:r w:rsidRPr="00C33E0E">
        <w:rPr>
          <w:rFonts w:ascii="Arial" w:hAnsi="Arial" w:cs="Arial"/>
          <w:sz w:val="22"/>
          <w:szCs w:val="22"/>
        </w:rPr>
        <w:t>Figures from 2010 to 2019 further evidence Robert Quick’s statement, demonstrating a 40% fall in the number of Police Community Support Officers (PCSO’s) employed, who are primarily responsible for patrolling the streets and being the first point of contact for members of public (Schraer, 2019).</w:t>
      </w:r>
      <w:r w:rsidR="00ED6CA5">
        <w:rPr>
          <w:rFonts w:ascii="Arial" w:hAnsi="Arial" w:cs="Arial"/>
          <w:sz w:val="22"/>
          <w:szCs w:val="22"/>
        </w:rPr>
        <w:t xml:space="preserve"> </w:t>
      </w:r>
      <w:r w:rsidRPr="00C33E0E">
        <w:rPr>
          <w:rFonts w:ascii="Arial" w:hAnsi="Arial" w:cs="Arial"/>
          <w:sz w:val="22"/>
          <w:szCs w:val="22"/>
        </w:rPr>
        <w:t>Another limiting factor for Police is the inability to engage minority communities and protect vulnerable people that could be susceptible to radicalisation. Clarke and Newman (2007) state that immigrant communities will provide basic conditions for new arrivals or asylum seekers into the country and use their vulnerabilities such as poor supportive network, no accommodation, inability to speak domestic language to exploit these people and influence them with extremist ideologies. Clare and Newman (2007) highlight the examples of 9/11 and the London Bombings where the attackers responsible resided in migrant communities in the surrounding area. Recent statistics counted 37,562 applications relating to 44,190 people most notably from Iraq, Syria and Afghanistan made to the UK Government (GOV.UK, 2021).  The issue regarding Police investigations is the lack of engagement with these minority communities to intervene in radicalisation and additionally working with minorities to identify any attempts at radicalisation. The College of Policing (2018) have identified several barriers between the Police and minority communities such as language, gender, concerns about immigration status and historical mistrust of the police. Spalek (2013) emphasizes concerns that lack of engagement and these communication barriers stem from underrepresentation of ethnic minorities within the police. A recent report showed only 7.3% of serving police officers in the UK were of Black, Asian, Mixed, and other ethnic minorities (BAME) represented the (GOV.UK, 2021b). Obviously, this is an issue across all Police Forces in the UK with the lack of representation of BAME officers which results in mistrust and issues engaging minority communities. Spalek (2013) conducted interviews with police officers to gage their opinion and views on Counter Terrorism. In relation to police representation, one officer interviewed had the following comment:</w:t>
      </w:r>
    </w:p>
    <w:p w14:paraId="75404A28" w14:textId="77777777" w:rsidR="00AB68A0" w:rsidRPr="00C33E0E" w:rsidRDefault="00AB68A0" w:rsidP="00C33E0E">
      <w:pPr>
        <w:rPr>
          <w:rFonts w:ascii="Arial" w:hAnsi="Arial" w:cs="Arial"/>
          <w:sz w:val="22"/>
          <w:szCs w:val="22"/>
        </w:rPr>
      </w:pPr>
    </w:p>
    <w:p w14:paraId="3E47600C" w14:textId="030CFAD3" w:rsidR="00C33E0E" w:rsidRDefault="00C33E0E" w:rsidP="009C411A">
      <w:pPr>
        <w:jc w:val="center"/>
        <w:rPr>
          <w:rFonts w:ascii="Arial" w:hAnsi="Arial" w:cs="Arial"/>
          <w:sz w:val="22"/>
          <w:szCs w:val="22"/>
        </w:rPr>
      </w:pPr>
      <w:r w:rsidRPr="00C33E0E">
        <w:rPr>
          <w:rFonts w:ascii="Arial" w:hAnsi="Arial" w:cs="Arial"/>
          <w:sz w:val="22"/>
          <w:szCs w:val="22"/>
        </w:rPr>
        <w:t xml:space="preserve">If you can look at every major poll the number, the level of trust and confidence within the BME communities is lower </w:t>
      </w:r>
      <w:r w:rsidR="00AB68A0" w:rsidRPr="00C33E0E">
        <w:rPr>
          <w:rFonts w:ascii="Arial" w:hAnsi="Arial" w:cs="Arial"/>
          <w:sz w:val="22"/>
          <w:szCs w:val="22"/>
        </w:rPr>
        <w:t>than</w:t>
      </w:r>
      <w:r w:rsidRPr="00C33E0E">
        <w:rPr>
          <w:rFonts w:ascii="Arial" w:hAnsi="Arial" w:cs="Arial"/>
          <w:sz w:val="22"/>
          <w:szCs w:val="22"/>
        </w:rPr>
        <w:t xml:space="preserve"> the trust and confidence in the white community. </w:t>
      </w:r>
      <w:r w:rsidR="00AB68A0" w:rsidRPr="00C33E0E">
        <w:rPr>
          <w:rFonts w:ascii="Arial" w:hAnsi="Arial" w:cs="Arial"/>
          <w:sz w:val="22"/>
          <w:szCs w:val="22"/>
        </w:rPr>
        <w:t>So,</w:t>
      </w:r>
      <w:r w:rsidRPr="00C33E0E">
        <w:rPr>
          <w:rFonts w:ascii="Arial" w:hAnsi="Arial" w:cs="Arial"/>
          <w:sz w:val="22"/>
          <w:szCs w:val="22"/>
        </w:rPr>
        <w:t xml:space="preserve"> it’s about actually having Muslim officers who understand the community, the community are going to trust and have confidence in (Spalek, 2013, p. 54).</w:t>
      </w:r>
    </w:p>
    <w:p w14:paraId="4806A4A2" w14:textId="77777777" w:rsidR="00C33E0E" w:rsidRPr="00C33E0E" w:rsidRDefault="00C33E0E" w:rsidP="00C33E0E">
      <w:pPr>
        <w:rPr>
          <w:rFonts w:ascii="Arial" w:hAnsi="Arial" w:cs="Arial"/>
          <w:sz w:val="22"/>
          <w:szCs w:val="22"/>
        </w:rPr>
      </w:pPr>
    </w:p>
    <w:p w14:paraId="673428F5" w14:textId="77777777" w:rsidR="001F0AAF" w:rsidRDefault="00C33E0E" w:rsidP="00C33E0E">
      <w:pPr>
        <w:rPr>
          <w:rFonts w:ascii="Arial" w:hAnsi="Arial" w:cs="Arial"/>
          <w:sz w:val="22"/>
          <w:szCs w:val="22"/>
        </w:rPr>
      </w:pPr>
      <w:r w:rsidRPr="00C33E0E">
        <w:rPr>
          <w:rFonts w:ascii="Arial" w:hAnsi="Arial" w:cs="Arial"/>
          <w:sz w:val="22"/>
          <w:szCs w:val="22"/>
        </w:rPr>
        <w:t xml:space="preserve">This further shows that there could be value in employing officers from minority backgrounds that understand and can build bridges of communication between the police service and these communities. Building a level of trust will lead to improved detection rates with radicalisation of young ethnic minorities. A police inspector gave an example where a representative from a local mosque voluntarily contacted police to report suspicions from 3 members of the public who he believed were radicalising kids at the mosque (Innes et al., 2020). In addition to community policing, advancements in technology have shown limitations for police investigations into counter terrorism. Organised terrorist organisations have harnessed the internet and social media websites to project their propaganda. Statistics demonstrate number of websites supporting extremism at 12 in 1998 to an increase of over 4000 (HMGovernment, 2009). These organisations use social media due to the easy outreach to people across the world. Lowe and Bennett (2021) include statistics from 2019 showing that “4.388 billion use the internet, 5.112 billion use mobile phones, and 3.484 billion use social </w:t>
      </w:r>
      <w:r w:rsidR="001F0AAF" w:rsidRPr="00C33E0E">
        <w:rPr>
          <w:rFonts w:ascii="Arial" w:hAnsi="Arial" w:cs="Arial"/>
          <w:sz w:val="22"/>
          <w:szCs w:val="22"/>
        </w:rPr>
        <w:t>media”. This</w:t>
      </w:r>
      <w:r w:rsidRPr="00C33E0E">
        <w:rPr>
          <w:rFonts w:ascii="Arial" w:hAnsi="Arial" w:cs="Arial"/>
          <w:sz w:val="22"/>
          <w:szCs w:val="22"/>
        </w:rPr>
        <w:t xml:space="preserve"> is an unquantifiable threat for UK counter terrorism to investigate. This was reinforced by Home Secretary Sajid Javid who stated, “it will never be possible to stop every attack” (Lowe and Bennett, 2021). </w:t>
      </w:r>
    </w:p>
    <w:p w14:paraId="3B1AD058" w14:textId="77777777" w:rsidR="001F0AAF" w:rsidRDefault="001F0AAF" w:rsidP="00C33E0E">
      <w:pPr>
        <w:rPr>
          <w:rFonts w:ascii="Arial" w:hAnsi="Arial" w:cs="Arial"/>
          <w:sz w:val="22"/>
          <w:szCs w:val="22"/>
        </w:rPr>
      </w:pPr>
    </w:p>
    <w:p w14:paraId="35DC1D21" w14:textId="56D36ECA" w:rsidR="001F0AAF" w:rsidRDefault="001F0AAF" w:rsidP="00C33E0E">
      <w:pPr>
        <w:rPr>
          <w:rFonts w:ascii="Arial" w:hAnsi="Arial" w:cs="Arial"/>
          <w:sz w:val="22"/>
          <w:szCs w:val="22"/>
        </w:rPr>
      </w:pPr>
      <w:r>
        <w:rPr>
          <w:rFonts w:ascii="Arial" w:hAnsi="Arial" w:cs="Arial"/>
          <w:sz w:val="22"/>
          <w:szCs w:val="22"/>
        </w:rPr>
        <w:t xml:space="preserve">In summary, </w:t>
      </w:r>
      <w:r w:rsidR="00D465BE">
        <w:rPr>
          <w:rFonts w:ascii="Arial" w:hAnsi="Arial" w:cs="Arial"/>
          <w:sz w:val="22"/>
          <w:szCs w:val="22"/>
        </w:rPr>
        <w:t xml:space="preserve">there are many limits that face police forces being able to investigate terrorism. From reduced numbers through Government cuts affecting how much intelligence is gained at street level to the expansive internet and social media being utilised as a tool to spread propaganda which could easily radicalised more and more people. </w:t>
      </w:r>
      <w:r w:rsidR="00E5683F">
        <w:rPr>
          <w:rFonts w:ascii="Arial" w:hAnsi="Arial" w:cs="Arial"/>
          <w:sz w:val="22"/>
          <w:szCs w:val="22"/>
        </w:rPr>
        <w:t>It is a fact that every terror attack over the last 2 years contained an online element (Lowe and Bennett, 2021</w:t>
      </w:r>
      <w:r w:rsidR="00F94E2A">
        <w:rPr>
          <w:rFonts w:ascii="Arial" w:hAnsi="Arial" w:cs="Arial"/>
          <w:sz w:val="22"/>
          <w:szCs w:val="22"/>
        </w:rPr>
        <w:t xml:space="preserve">). The police cannot monitor </w:t>
      </w:r>
      <w:r w:rsidR="00E93419">
        <w:rPr>
          <w:rFonts w:ascii="Arial" w:hAnsi="Arial" w:cs="Arial"/>
          <w:sz w:val="22"/>
          <w:szCs w:val="22"/>
        </w:rPr>
        <w:t>every mobile device, social media page or website for the next terror attack as this infringes on human rights, particularly article 8 which is the right to respect one’s private and family life.</w:t>
      </w:r>
    </w:p>
    <w:p w14:paraId="49728A33" w14:textId="4A2C98E0" w:rsidR="00C33E0E" w:rsidRDefault="00C33E0E" w:rsidP="00C33E0E">
      <w:pPr>
        <w:rPr>
          <w:rFonts w:ascii="Arial" w:hAnsi="Arial" w:cs="Arial"/>
          <w:sz w:val="22"/>
          <w:szCs w:val="22"/>
        </w:rPr>
      </w:pPr>
    </w:p>
    <w:p w14:paraId="2BF194C1" w14:textId="5431E23D" w:rsidR="00C33E0E" w:rsidRDefault="00C33E0E" w:rsidP="00C33E0E">
      <w:pPr>
        <w:rPr>
          <w:rFonts w:ascii="Arial" w:hAnsi="Arial" w:cs="Arial"/>
          <w:sz w:val="22"/>
          <w:szCs w:val="22"/>
        </w:rPr>
      </w:pPr>
      <w:r>
        <w:rPr>
          <w:rFonts w:ascii="Arial" w:hAnsi="Arial" w:cs="Arial"/>
          <w:sz w:val="22"/>
          <w:szCs w:val="22"/>
        </w:rPr>
        <w:t xml:space="preserve">Word Count = </w:t>
      </w:r>
      <w:r w:rsidR="00E93419">
        <w:rPr>
          <w:rFonts w:ascii="Arial" w:hAnsi="Arial" w:cs="Arial"/>
          <w:sz w:val="22"/>
          <w:szCs w:val="22"/>
        </w:rPr>
        <w:t>1111</w:t>
      </w:r>
    </w:p>
    <w:p w14:paraId="6F99AD5C" w14:textId="77777777" w:rsidR="00526D5D" w:rsidRDefault="00526D5D" w:rsidP="00636621">
      <w:pPr>
        <w:rPr>
          <w:rFonts w:ascii="Arial" w:hAnsi="Arial" w:cs="Arial"/>
          <w:sz w:val="22"/>
          <w:szCs w:val="22"/>
        </w:rPr>
      </w:pPr>
    </w:p>
    <w:p w14:paraId="392EA46B" w14:textId="77777777" w:rsidR="00B96455" w:rsidRDefault="00B96455" w:rsidP="00B96455">
      <w:pPr>
        <w:spacing w:line="256" w:lineRule="auto"/>
        <w:ind w:left="567" w:right="531"/>
        <w:rPr>
          <w:rFonts w:ascii="Arial" w:hAnsi="Arial" w:cs="Arial"/>
          <w:sz w:val="22"/>
          <w:szCs w:val="22"/>
        </w:rPr>
      </w:pPr>
    </w:p>
    <w:p w14:paraId="06748DAA" w14:textId="38ABFDA6" w:rsidR="00B96455" w:rsidRDefault="00636621" w:rsidP="006055CF">
      <w:pPr>
        <w:spacing w:line="256" w:lineRule="auto"/>
        <w:ind w:right="531"/>
        <w:rPr>
          <w:rFonts w:ascii="Arial" w:eastAsia="Calibri" w:hAnsi="Arial" w:cs="Arial"/>
          <w:sz w:val="22"/>
          <w:szCs w:val="22"/>
        </w:rPr>
      </w:pPr>
      <w:r>
        <w:rPr>
          <w:rFonts w:ascii="Arial" w:hAnsi="Arial" w:cs="Arial"/>
          <w:sz w:val="22"/>
          <w:szCs w:val="22"/>
        </w:rPr>
        <w:t>Essay Four</w:t>
      </w:r>
      <w:r w:rsidR="00B96455">
        <w:rPr>
          <w:rFonts w:ascii="Arial" w:hAnsi="Arial" w:cs="Arial"/>
          <w:sz w:val="22"/>
          <w:szCs w:val="22"/>
        </w:rPr>
        <w:t xml:space="preserve"> - </w:t>
      </w:r>
      <w:r w:rsidR="00B96455">
        <w:rPr>
          <w:rFonts w:ascii="Arial" w:eastAsia="Calibri" w:hAnsi="Arial" w:cs="Arial"/>
          <w:sz w:val="22"/>
          <w:szCs w:val="22"/>
          <w:u w:val="single"/>
        </w:rPr>
        <w:t>Critically evaluate</w:t>
      </w:r>
      <w:r w:rsidR="00B96455">
        <w:rPr>
          <w:rFonts w:ascii="Arial" w:eastAsia="Calibri" w:hAnsi="Arial" w:cs="Arial"/>
          <w:sz w:val="22"/>
          <w:szCs w:val="22"/>
        </w:rPr>
        <w:t xml:space="preserve"> the effectiveness of crime prevention strategies in relation to Serious and Organised Crime.</w:t>
      </w:r>
    </w:p>
    <w:p w14:paraId="0F876D14" w14:textId="113888AF" w:rsidR="00636621" w:rsidRDefault="00636621" w:rsidP="00636621">
      <w:pPr>
        <w:rPr>
          <w:rFonts w:ascii="Arial" w:hAnsi="Arial" w:cs="Arial"/>
          <w:sz w:val="22"/>
          <w:szCs w:val="22"/>
        </w:rPr>
      </w:pPr>
    </w:p>
    <w:p w14:paraId="40E05460" w14:textId="77777777" w:rsidR="006055CF" w:rsidRDefault="006055CF" w:rsidP="00636621">
      <w:pPr>
        <w:rPr>
          <w:rFonts w:ascii="Arial" w:hAnsi="Arial" w:cs="Arial"/>
          <w:sz w:val="22"/>
          <w:szCs w:val="22"/>
        </w:rPr>
      </w:pPr>
    </w:p>
    <w:p w14:paraId="4A254C02" w14:textId="205C49C9" w:rsidR="00636621" w:rsidRDefault="00636621" w:rsidP="00636621">
      <w:pPr>
        <w:rPr>
          <w:rFonts w:ascii="Arial" w:hAnsi="Arial" w:cs="Arial"/>
          <w:sz w:val="22"/>
          <w:szCs w:val="22"/>
        </w:rPr>
      </w:pPr>
      <w:r>
        <w:rPr>
          <w:rFonts w:ascii="Arial" w:hAnsi="Arial" w:cs="Arial"/>
          <w:sz w:val="22"/>
          <w:szCs w:val="22"/>
        </w:rPr>
        <w:t>There has been an increasing interest in the subject of Crime Prevention towards the end of the 20</w:t>
      </w:r>
      <w:r w:rsidRPr="005901BD">
        <w:rPr>
          <w:rFonts w:ascii="Arial" w:hAnsi="Arial" w:cs="Arial"/>
          <w:sz w:val="22"/>
          <w:szCs w:val="22"/>
          <w:vertAlign w:val="superscript"/>
        </w:rPr>
        <w:t>th</w:t>
      </w:r>
      <w:r>
        <w:rPr>
          <w:rFonts w:ascii="Arial" w:hAnsi="Arial" w:cs="Arial"/>
          <w:sz w:val="22"/>
          <w:szCs w:val="22"/>
        </w:rPr>
        <w:t xml:space="preserve"> Century. The term Crime Prevention is now often used by practitioners operating in the criminal justice system, politicians, and the overall public (Hughes, 1998). There is not one singular definition for this concept as crime prevention can be aimed at deterring or reforming offenders, protecting victims, and addressing very specific needs or different communities (Hughes, 1998). This understanding from Hughes (1998) closely mirrors the most recent Crime Prevention Strategy developed by the Home Office (2016). The strategy focuses on the five principles of Target Hardening and Removal, Reducing the Means, Reducing the Payoff and Access Control (Home Office, 2016). The purpose of this paper is to evaluate the effectiveness of crime prevention strategies that underpin these principles, looking specifically at tackling Serious and Organised Crime.</w:t>
      </w:r>
    </w:p>
    <w:p w14:paraId="13E1B8D4" w14:textId="77777777" w:rsidR="00636621" w:rsidRDefault="00636621" w:rsidP="00636621">
      <w:pPr>
        <w:rPr>
          <w:rFonts w:ascii="Arial" w:hAnsi="Arial" w:cs="Arial"/>
          <w:sz w:val="22"/>
          <w:szCs w:val="22"/>
        </w:rPr>
      </w:pPr>
    </w:p>
    <w:p w14:paraId="557C5729" w14:textId="77777777" w:rsidR="00636621" w:rsidRDefault="00636621" w:rsidP="00636621">
      <w:pPr>
        <w:rPr>
          <w:rFonts w:ascii="Arial" w:hAnsi="Arial" w:cs="Arial"/>
          <w:sz w:val="22"/>
          <w:szCs w:val="22"/>
        </w:rPr>
      </w:pPr>
      <w:r>
        <w:rPr>
          <w:rFonts w:ascii="Arial" w:hAnsi="Arial" w:cs="Arial"/>
          <w:sz w:val="22"/>
          <w:szCs w:val="22"/>
        </w:rPr>
        <w:t>Serious and Organised Crime is increasing with an estimate of 4,500 organised criminal groups operating in the UK (House of Commons, 2019). Serious and Organised Crime is broad in what type of crime is involved within this. The National Crime Agency (NCA) has identified various organised crime threats such as child sexual exploitation and abuse; modern slavery and human trafficking; illegal drugs and firearms; money laundering and fraud and cyber-crime (House of Commons, 2019). The UK Government currently employs the 4P model similarly used in Counter Terrorism. These 4P’s are Prevent, Pursue, Protect and Prepare (House of Commons, 2019). Hurley and Boulton (2021) have recently conducted studies into the Prevent Theme, particularly a project launched in Greater Manchester Police named Project Engage. Project Engage was introduced to prevent people from becoming engaged in Serious and Organised Crime (SOC) and to support those persons engaged in low level SOC to move them away from any further criminality (Hurley and Boulton, 2021). A total of 18 people were selected to take part in this project. The study group was identified through various risk factors such as familial links to Organised Crime Groups (OCG’s), residents living in areas with known presence of SOC activity, no educational background and family hostility towards justice system (Hurley and Boulton, 2021). Each participant was evaluated in what Hurley and Boulton (2021) have described as a “deep dive.” The deep dives would look at every person individually and assess their life events and chronologically record all interactions with any agency. Action Plans were developed specific to the person to help achieve the aim of the project. Each participant would be invited to an intervention to discuss the action plan which was a clear path forward utilising a multi-agency approach.</w:t>
      </w:r>
    </w:p>
    <w:p w14:paraId="1E2897F0" w14:textId="77777777" w:rsidR="00636621" w:rsidRDefault="00636621" w:rsidP="00636621">
      <w:pPr>
        <w:rPr>
          <w:rFonts w:ascii="Arial" w:hAnsi="Arial" w:cs="Arial"/>
          <w:sz w:val="22"/>
          <w:szCs w:val="22"/>
        </w:rPr>
      </w:pPr>
    </w:p>
    <w:p w14:paraId="16599613" w14:textId="77777777" w:rsidR="00636621" w:rsidRDefault="00636621" w:rsidP="00636621">
      <w:pPr>
        <w:rPr>
          <w:rFonts w:ascii="Arial" w:hAnsi="Arial" w:cs="Arial"/>
          <w:sz w:val="22"/>
          <w:szCs w:val="22"/>
        </w:rPr>
      </w:pPr>
      <w:r>
        <w:rPr>
          <w:rFonts w:ascii="Arial" w:hAnsi="Arial" w:cs="Arial"/>
          <w:sz w:val="22"/>
          <w:szCs w:val="22"/>
        </w:rPr>
        <w:t>The University of Central Lancashire were commissioned to evaluate the effectiveness of Project Engage. The University found some encouraging results from the program such as the immediate reduction in offender behaviour such as crime reports during the intervention (Hurley and Boulton, 2021). However, it was acknowledged that this program does not demonstrate any lasting decrease in the rate of reoffending. The University identified positive soft outcomes such as a change in participants attitude and behaviour, but no hard outcomes such as employment or educational outcomes (Hurley and Boulton, 2021). The University concluded that Project Engage suffered from implementation failures. This stemmed from challenges of the multi-agency approach with failures to share information effectively, define the aim of the project or who the project was aimed at (Hurley and Boulton, 2021). Only 4 of the 18 participants engaged in the deep dive stage of the project and the rest of participants did not receive the intervention. Boulton, Phythian and Kirby (2019) suggested that the participants chosen were too involved in SOC which has resulted in the lack of engagement. Research indicates that initial SOC involvement occurs between ages of 12 and 14, therefore it might have been more ideal for the project to be aimed at individuals between this age group to improve effectiveness of preventing any engagement with SOC (Boulton, Phythian and Kirby, 2019). The average age for participants of Project Engage was 15 which Hurley and Boulton (2021) suggested were too far gone for any intervention. Boulton, Phythian and Kirby (2019) conclude that that any intervention and program should have been delivered on a longer term to provide continued support to these individuals. Any hard outcomes achieved for participants from Project Engage were in part due to continued independent support after the project had ended.</w:t>
      </w:r>
    </w:p>
    <w:p w14:paraId="05DF201C" w14:textId="77777777" w:rsidR="00636621" w:rsidRDefault="00636621" w:rsidP="00636621">
      <w:pPr>
        <w:rPr>
          <w:rFonts w:ascii="Arial" w:hAnsi="Arial" w:cs="Arial"/>
          <w:sz w:val="22"/>
          <w:szCs w:val="22"/>
        </w:rPr>
      </w:pPr>
    </w:p>
    <w:p w14:paraId="5BDF9767" w14:textId="77777777" w:rsidR="00636621" w:rsidRDefault="00636621" w:rsidP="00636621">
      <w:pPr>
        <w:rPr>
          <w:rFonts w:ascii="Arial" w:hAnsi="Arial" w:cs="Arial"/>
          <w:sz w:val="22"/>
          <w:szCs w:val="22"/>
        </w:rPr>
      </w:pPr>
      <w:r>
        <w:rPr>
          <w:rFonts w:ascii="Arial" w:hAnsi="Arial" w:cs="Arial"/>
          <w:sz w:val="22"/>
          <w:szCs w:val="22"/>
        </w:rPr>
        <w:t>Although Hurley and Boulton (2021) implied the participants were too “far gone” which resulted in the lack of engagement, the authors fail to evaluate specific comments made by some of the participants during their feedback of the project. Six participants highlighted challenges such as relationship building and finding the right youth worker. The participants felt it would have benefited further for one-to-one support and the same youth worker throughout the process. Furthermore, the participants stated it would have been ideal to have a youth worker who possibly had a similar upbringing or had experience of being involved in SOC and moving away from that lifestyle to build that better relationship (Boulton, Phythian and Kirby, 2019). Ashton and Bussu (2020) interviewed 15 males involved in SOC to gain a better understanding of the culture behind criminal gangs. The males interviewed ranged from 14 – 18 years of age like the youths involved in Project Engage. All participants who moved away from criminal gangs stated that it was agreed for them to break away on the basis they did not identify other members of the gang (Ashton and Bussu, 2020). This research demonstrates it is possible for intervention programmes to be aimed at older individuals to try and deter them from further involvement in SOC. Again, it must be noted that this conclusion is based on a very small sample size of 15 participants and all participants were male. It would have been preferable for a larger intake of interviewees with mixture of both male and female to draw some conclusive thoughts.</w:t>
      </w:r>
    </w:p>
    <w:p w14:paraId="2BC04454" w14:textId="77777777" w:rsidR="00636621" w:rsidRDefault="00636621" w:rsidP="00636621">
      <w:pPr>
        <w:rPr>
          <w:rFonts w:ascii="Arial" w:hAnsi="Arial" w:cs="Arial"/>
          <w:sz w:val="22"/>
          <w:szCs w:val="22"/>
        </w:rPr>
      </w:pPr>
    </w:p>
    <w:p w14:paraId="0A0A124D" w14:textId="77777777" w:rsidR="00636621" w:rsidRDefault="00636621" w:rsidP="00636621">
      <w:pPr>
        <w:rPr>
          <w:rFonts w:ascii="Arial" w:hAnsi="Arial" w:cs="Arial"/>
          <w:sz w:val="22"/>
          <w:szCs w:val="22"/>
        </w:rPr>
      </w:pPr>
      <w:r>
        <w:rPr>
          <w:rFonts w:ascii="Arial" w:hAnsi="Arial" w:cs="Arial"/>
          <w:sz w:val="22"/>
          <w:szCs w:val="22"/>
        </w:rPr>
        <w:t xml:space="preserve">This paper has primarily focused on the prevent theme of the most recent Government Strategy. SOC is on the increase over recent years and therefore there is a need for methods of preventing any further increase. Only recently has there been research into this with projects surrounding preventing young offenders engaging in any further SOC. Although there have been positives in terms of short-term soft outcomes in few participants, there are failings in getting young people to engage with the programmes. Some theorists have put this down to aiming the project at the incorrect age group or not following any long-term support following the project. Hopefully, these conclusions will only lead to further research with following projects building on longer term and larger sample sizes to produce more reliable results and aiming to apply feedback from these participants. </w:t>
      </w:r>
    </w:p>
    <w:p w14:paraId="7BB96A40" w14:textId="3F6CC7E6" w:rsidR="00636621" w:rsidRDefault="00636621" w:rsidP="00636621">
      <w:pPr>
        <w:spacing w:line="256" w:lineRule="auto"/>
        <w:ind w:right="531"/>
        <w:rPr>
          <w:rFonts w:ascii="Arial" w:eastAsia="Calibri" w:hAnsi="Arial" w:cs="Arial"/>
          <w:sz w:val="22"/>
          <w:szCs w:val="22"/>
        </w:rPr>
      </w:pPr>
    </w:p>
    <w:p w14:paraId="4B3D97AC" w14:textId="49DFFE3C"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Word Count = 1127</w:t>
      </w:r>
    </w:p>
    <w:p w14:paraId="6C313643" w14:textId="77777777" w:rsidR="00636621" w:rsidRDefault="00636621" w:rsidP="00636621">
      <w:pPr>
        <w:spacing w:line="256" w:lineRule="auto"/>
        <w:ind w:right="531"/>
        <w:rPr>
          <w:rFonts w:ascii="Arial" w:eastAsia="Calibri" w:hAnsi="Arial" w:cs="Arial"/>
          <w:sz w:val="22"/>
          <w:szCs w:val="22"/>
        </w:rPr>
      </w:pPr>
    </w:p>
    <w:p w14:paraId="3C30F867" w14:textId="77777777" w:rsidR="00433717" w:rsidRDefault="00433717" w:rsidP="00433717">
      <w:pPr>
        <w:spacing w:line="256" w:lineRule="auto"/>
        <w:ind w:left="567" w:right="531"/>
        <w:rPr>
          <w:rFonts w:ascii="Arial" w:eastAsia="Calibri" w:hAnsi="Arial" w:cs="Arial"/>
          <w:sz w:val="22"/>
          <w:szCs w:val="22"/>
        </w:rPr>
      </w:pPr>
    </w:p>
    <w:p w14:paraId="18BE77A2" w14:textId="1670AD2A" w:rsidR="00433717" w:rsidRDefault="00636621" w:rsidP="006055CF">
      <w:pPr>
        <w:spacing w:line="256" w:lineRule="auto"/>
        <w:ind w:right="531"/>
        <w:rPr>
          <w:rFonts w:ascii="Arial" w:eastAsia="Calibri" w:hAnsi="Arial" w:cs="Arial"/>
          <w:sz w:val="22"/>
          <w:szCs w:val="22"/>
        </w:rPr>
      </w:pPr>
      <w:r>
        <w:rPr>
          <w:rFonts w:ascii="Arial" w:eastAsia="Calibri" w:hAnsi="Arial" w:cs="Arial"/>
          <w:sz w:val="22"/>
          <w:szCs w:val="22"/>
        </w:rPr>
        <w:t>Essay Five</w:t>
      </w:r>
      <w:r w:rsidR="00433717">
        <w:rPr>
          <w:rFonts w:ascii="Arial" w:eastAsia="Calibri" w:hAnsi="Arial" w:cs="Arial"/>
          <w:sz w:val="22"/>
          <w:szCs w:val="22"/>
        </w:rPr>
        <w:t xml:space="preserve"> - </w:t>
      </w:r>
      <w:r w:rsidR="00433717">
        <w:rPr>
          <w:rFonts w:ascii="Arial" w:eastAsia="Calibri" w:hAnsi="Arial" w:cs="Arial"/>
          <w:sz w:val="22"/>
          <w:szCs w:val="22"/>
          <w:u w:val="single"/>
        </w:rPr>
        <w:t>Critically assess</w:t>
      </w:r>
      <w:r w:rsidR="00433717">
        <w:rPr>
          <w:rFonts w:ascii="Arial" w:eastAsia="Calibri" w:hAnsi="Arial" w:cs="Arial"/>
          <w:sz w:val="22"/>
          <w:szCs w:val="22"/>
        </w:rPr>
        <w:t xml:space="preserve"> the effectiveness of options available to reduce </w:t>
      </w:r>
      <w:r w:rsidR="00433717">
        <w:rPr>
          <w:rFonts w:ascii="Arial" w:eastAsia="Calibri" w:hAnsi="Arial" w:cs="Arial"/>
          <w:sz w:val="22"/>
          <w:szCs w:val="22"/>
        </w:rPr>
        <w:t>re-offending and</w:t>
      </w:r>
      <w:r w:rsidR="00433717">
        <w:rPr>
          <w:rFonts w:ascii="Arial" w:eastAsia="Calibri" w:hAnsi="Arial" w:cs="Arial"/>
          <w:sz w:val="22"/>
          <w:szCs w:val="22"/>
        </w:rPr>
        <w:t xml:space="preserve"> </w:t>
      </w:r>
      <w:r w:rsidR="00433717">
        <w:rPr>
          <w:rFonts w:ascii="Arial" w:eastAsia="Calibri" w:hAnsi="Arial" w:cs="Arial"/>
          <w:sz w:val="22"/>
          <w:szCs w:val="22"/>
          <w:u w:val="single"/>
        </w:rPr>
        <w:t>consider</w:t>
      </w:r>
      <w:r w:rsidR="00433717">
        <w:rPr>
          <w:rFonts w:ascii="Arial" w:eastAsia="Calibri" w:hAnsi="Arial" w:cs="Arial"/>
          <w:sz w:val="22"/>
          <w:szCs w:val="22"/>
        </w:rPr>
        <w:t xml:space="preserve"> how these are informed by evidence-based policing. You may choose a specific type of offence for this answer </w:t>
      </w:r>
      <w:proofErr w:type="gramStart"/>
      <w:r w:rsidR="00433717">
        <w:rPr>
          <w:rFonts w:ascii="Arial" w:eastAsia="Calibri" w:hAnsi="Arial" w:cs="Arial"/>
          <w:sz w:val="22"/>
          <w:szCs w:val="22"/>
        </w:rPr>
        <w:t>e.g.</w:t>
      </w:r>
      <w:proofErr w:type="gramEnd"/>
      <w:r w:rsidR="00433717">
        <w:rPr>
          <w:rFonts w:ascii="Arial" w:eastAsia="Calibri" w:hAnsi="Arial" w:cs="Arial"/>
          <w:sz w:val="22"/>
          <w:szCs w:val="22"/>
        </w:rPr>
        <w:t xml:space="preserve"> domestic violence, anti-social behaviour, knife crime. Your answer must be based on academic research, not personal experience.</w:t>
      </w:r>
    </w:p>
    <w:p w14:paraId="639F26C2" w14:textId="5E004E47" w:rsidR="00636621" w:rsidRDefault="00636621" w:rsidP="00636621">
      <w:pPr>
        <w:spacing w:line="256" w:lineRule="auto"/>
        <w:ind w:right="531"/>
        <w:rPr>
          <w:rFonts w:ascii="Arial" w:eastAsia="Calibri" w:hAnsi="Arial" w:cs="Arial"/>
          <w:sz w:val="22"/>
          <w:szCs w:val="22"/>
        </w:rPr>
      </w:pPr>
    </w:p>
    <w:p w14:paraId="488BAB7A" w14:textId="77777777" w:rsidR="00636621" w:rsidRDefault="00636621" w:rsidP="00636621">
      <w:pPr>
        <w:spacing w:line="256" w:lineRule="auto"/>
        <w:ind w:right="531"/>
        <w:rPr>
          <w:rFonts w:ascii="Arial" w:eastAsia="Calibri" w:hAnsi="Arial" w:cs="Arial"/>
          <w:sz w:val="22"/>
          <w:szCs w:val="22"/>
        </w:rPr>
      </w:pPr>
    </w:p>
    <w:p w14:paraId="34A36357" w14:textId="6B9EDCDB"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 xml:space="preserve">Evidence Based Policing (EBP) which has originated from Evidence Based Medicine is the methodology of using “best available research on the outcomes of police work to implement guidelines” (Mitchell and Lewis, 2017). Simply, any strategies developed by Police should be based on results from other projects to show if positive results could be achieved. EBP can improve cost effectiveness for Policing resources by showing what can or cannot work before implementation. Mitchell and Lewis (2017) argue that due to the wealth of empirical research on policing that exists today, that Police forces should be using EBP for strategic decision making. The purpose of this paper is to demonstrate evidenced based policing initiatives that could be effective for reducing re-offending. </w:t>
      </w:r>
    </w:p>
    <w:p w14:paraId="7B26C83C" w14:textId="77777777" w:rsidR="00636621" w:rsidRDefault="00636621" w:rsidP="00636621">
      <w:pPr>
        <w:spacing w:line="256" w:lineRule="auto"/>
        <w:ind w:right="531"/>
        <w:rPr>
          <w:rFonts w:ascii="Arial" w:eastAsia="Calibri" w:hAnsi="Arial" w:cs="Arial"/>
          <w:sz w:val="22"/>
          <w:szCs w:val="22"/>
        </w:rPr>
      </w:pPr>
    </w:p>
    <w:p w14:paraId="19DC9884" w14:textId="77777777"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 xml:space="preserve">Several factors have been identified that can increase the risk of re-offending. One factor is drug dependency. Research has demonstrated that addiction to cocaine and heroin will increase the probability of reconviction (Bennett and Holloway, 2016). The more substances that an individual consumes, the more likely they are to re-offend. This was confirmed in a project conducted by Bennett and Holloway (2016) where they found it was twice as likely for a person to be reconvicted based on taking two different drugs rather than one. Breedvelt et al. (2014) has conducted research into offenders incarcerated in prison to see if any program could be offered to reduce the rate of re-offenders once they had left prison. Breedvelt et al. (2014) has provided a focus on prisoners as the levels of drug dependency and related mental health conditions are disproportionately higher when compared with the general populous. Both these factors have been determined to increase the chance that a released convict will likely commit further offences when released (Breedvelt et al. 2014). For this project, 667 males ranging between 25-63 years old were identified that had to be released from prison between November 2006 and March 2010. All participants were to take part in an accredited based program, RAPt. RAPt is a 16–21-week intensive course focused on using previous evidence-based methods to address any substance misuse (Breedvelt et al. 2014). Participants were to engage in motivational interviewing, group therapy sessions and one to one counselling. The effectiveness of the project was based on what percentage of participants were reconvicted a year following release. </w:t>
      </w:r>
    </w:p>
    <w:p w14:paraId="3ED3B707" w14:textId="77777777" w:rsidR="00636621" w:rsidRDefault="00636621" w:rsidP="00636621">
      <w:pPr>
        <w:spacing w:line="256" w:lineRule="auto"/>
        <w:ind w:right="531"/>
        <w:rPr>
          <w:rFonts w:ascii="Arial" w:eastAsia="Calibri" w:hAnsi="Arial" w:cs="Arial"/>
          <w:sz w:val="22"/>
          <w:szCs w:val="22"/>
        </w:rPr>
      </w:pPr>
    </w:p>
    <w:p w14:paraId="5B214E6C" w14:textId="77777777"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From the sample of 667 participants, 267 (40%) participants were reconvicted while 400 (60%) participants were not reconvicted after one year. In relation to the participants who completed the RAPt programme, 31% of participants were reconvicted and 52% of the participants who did not complete the RAPt were reconvicted. These results translate to any participant who did not complete the RAPt programme were almost at twice as likely to be reconvicted (Breedvelt et al. 2014). These results show a positive correlation between completion of the RAPt programme and reduced reconviction. Nevertheless, according to Breedvelt et al. (2014), there has been a 60% fall in the completion of general drug misuse programmes from 2009/2010 to 2012/2013. Breedvelt et al. (2014) puts this down to issues with depression and other mental health preventing completion of the programme or sustaining any long-term abstinence from drugs. It has been suggested in this project that perhaps treatment for depression should co-exist with the RAPt programme to further improve retention and similarly further reduce the rate of reconviction. It is important to acknowledge the shortcomings with this project. Firstly, the findings were based on self-reporting from the participants which could cause issues with reliability of these results (Breedvelt et al. 2014). Another factor is that the representation of that sample was all male and mainly white ethnicity. It would have been beneficial to diversify the sample with female participants and other ethnicities to see if the results would have been any different. Similar programmes aimed at helping individuals with drug dependencies have produced very similar results. The delivery of the SMART and SMART Recovery programme to 2343 offenders saw reductions in both general crimes (21%) and violent crimes (42%) (Blatch et al. 2016).</w:t>
      </w:r>
    </w:p>
    <w:p w14:paraId="27CA7EFF" w14:textId="77777777" w:rsidR="00636621" w:rsidRDefault="00636621" w:rsidP="00636621">
      <w:pPr>
        <w:spacing w:line="256" w:lineRule="auto"/>
        <w:ind w:right="531"/>
        <w:rPr>
          <w:rFonts w:ascii="Arial" w:eastAsia="Calibri" w:hAnsi="Arial" w:cs="Arial"/>
          <w:sz w:val="22"/>
          <w:szCs w:val="22"/>
        </w:rPr>
      </w:pPr>
    </w:p>
    <w:p w14:paraId="1E76B67C" w14:textId="77777777"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 xml:space="preserve">Relating to comments made by Breedvelt et al. (2014) surrounding mental health playing a role in recidivism, more recent literature has provided a more in depth focus on the relationship between mental health and re-offending. Fowler et al. (2020) state that mental health conditions affect prison populations in far greater capacity when compared to general population. It is estimate that around 70% of any prisoner population will have been diagnosed with at least two different mental health conditions (Fowler et al. 2020). Fowler et al. (2020) continues that in its current state, inmates are not receiving adequate support for these mental health conditions which is similar findings discussed by Breedvelt et al. (2014) for the failures to complete the RAPt programme. Fowler et al. (2020) has conducted research on a sample of individuals on probation who were provided third party mental health support managed by St Andrews Healthcare in collaboration with London CRC to see if there is any effect on the rate of re-offending. The service provided was based on Cognitive Behaviour Therapy (CBT) techniques which were used in a one-to-one session with assistant psychologists. An initial sample of 569 individuals were selected however only 75 participants completed the 12-step programme (Fowler et al. 2020). The participants were monitored for any re-offending in the 12-month period following completion of the programme and compared the results with 12 months prior to starting the programme. Prior to treatment, the participants had on average 1.64 offences on their records. Following treatment, the average number of offences committed were 0.43. In terms of the participants who completed the full programme, 45 (74%) did not reoffend in the following 12-month months (Fowler et al. 2020). These results show a substantial change that aiding a person affected by a mental health condition will reduce the rate of recidivism. </w:t>
      </w:r>
    </w:p>
    <w:p w14:paraId="4B436F37" w14:textId="77777777" w:rsidR="00636621" w:rsidRDefault="00636621" w:rsidP="00636621">
      <w:pPr>
        <w:spacing w:line="256" w:lineRule="auto"/>
        <w:ind w:right="531"/>
        <w:rPr>
          <w:rFonts w:ascii="Arial" w:eastAsia="Calibri" w:hAnsi="Arial" w:cs="Arial"/>
          <w:sz w:val="22"/>
          <w:szCs w:val="22"/>
        </w:rPr>
      </w:pPr>
    </w:p>
    <w:p w14:paraId="750E6559" w14:textId="77777777"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In summary, there are multiple sources of research which identify drug dependency and mental health as key risk factors for individuals who re-offend. Various projects aimed at these vulnerabilities have all shown positive results with reducing reoffending and reconviction rate when individuals take part in programmes that aid recovery from substances and mental health conditions. Nevertheless, there are common problems that have emerged from the research. One issue seems to be the engagement rate with these projects. Although not highlighted as an issue by Fowler et al. (2020), only 75 participants out of the original 569 sample completed the course. More research needs to be conducted on why the engagement rate is low. A suggestion would have been to ask the participants who did not complete the programme for feedback on reasons why to see if future programmes could be tailored to their needs. None of the theorists in this paper seem to address this as major shortcoming with these projects.</w:t>
      </w:r>
    </w:p>
    <w:p w14:paraId="4452F567" w14:textId="77777777" w:rsidR="00636621" w:rsidRDefault="00636621" w:rsidP="00636621">
      <w:pPr>
        <w:spacing w:line="256" w:lineRule="auto"/>
        <w:ind w:right="531"/>
        <w:rPr>
          <w:rFonts w:ascii="Arial" w:eastAsia="Calibri" w:hAnsi="Arial" w:cs="Arial"/>
          <w:sz w:val="22"/>
          <w:szCs w:val="22"/>
        </w:rPr>
      </w:pPr>
    </w:p>
    <w:p w14:paraId="3D9D43D0" w14:textId="0D8404B5" w:rsidR="00636621" w:rsidRDefault="00636621" w:rsidP="00636621">
      <w:pPr>
        <w:spacing w:line="256" w:lineRule="auto"/>
        <w:ind w:right="531"/>
        <w:rPr>
          <w:rFonts w:ascii="Arial" w:eastAsia="Calibri" w:hAnsi="Arial" w:cs="Arial"/>
          <w:sz w:val="22"/>
          <w:szCs w:val="22"/>
        </w:rPr>
      </w:pPr>
      <w:r>
        <w:rPr>
          <w:rFonts w:ascii="Arial" w:eastAsia="Calibri" w:hAnsi="Arial" w:cs="Arial"/>
          <w:sz w:val="22"/>
          <w:szCs w:val="22"/>
        </w:rPr>
        <w:t>Word Count = 1133</w:t>
      </w:r>
    </w:p>
    <w:p w14:paraId="2D6F5735" w14:textId="237162CC" w:rsidR="000A1529" w:rsidRDefault="000A1529" w:rsidP="00636621">
      <w:pPr>
        <w:spacing w:line="256" w:lineRule="auto"/>
        <w:ind w:right="531"/>
        <w:rPr>
          <w:rFonts w:ascii="Arial" w:eastAsia="Calibri" w:hAnsi="Arial" w:cs="Arial"/>
          <w:sz w:val="22"/>
          <w:szCs w:val="22"/>
        </w:rPr>
      </w:pPr>
    </w:p>
    <w:p w14:paraId="4FE7FE15" w14:textId="11488D60" w:rsidR="000A1529" w:rsidRDefault="000A1529" w:rsidP="00636621">
      <w:pPr>
        <w:spacing w:line="256" w:lineRule="auto"/>
        <w:ind w:right="531"/>
        <w:rPr>
          <w:rFonts w:ascii="Arial" w:eastAsia="Calibri" w:hAnsi="Arial" w:cs="Arial"/>
          <w:sz w:val="22"/>
          <w:szCs w:val="22"/>
        </w:rPr>
      </w:pPr>
      <w:r>
        <w:rPr>
          <w:rFonts w:ascii="Arial" w:eastAsia="Calibri" w:hAnsi="Arial" w:cs="Arial"/>
          <w:sz w:val="22"/>
          <w:szCs w:val="22"/>
        </w:rPr>
        <w:t>Bibliography</w:t>
      </w:r>
    </w:p>
    <w:p w14:paraId="276446BC" w14:textId="1D07110B" w:rsidR="00671FBD" w:rsidRDefault="00671FBD" w:rsidP="00636621">
      <w:pPr>
        <w:spacing w:line="256" w:lineRule="auto"/>
        <w:ind w:right="531"/>
        <w:rPr>
          <w:rFonts w:ascii="Arial" w:eastAsia="Calibri" w:hAnsi="Arial" w:cs="Arial"/>
          <w:sz w:val="22"/>
          <w:szCs w:val="22"/>
        </w:rPr>
      </w:pPr>
    </w:p>
    <w:p w14:paraId="42BB7516" w14:textId="77777777" w:rsidR="00671FBD" w:rsidRPr="006176AC" w:rsidRDefault="00671FBD" w:rsidP="00671FBD">
      <w:pPr>
        <w:rPr>
          <w:rFonts w:ascii="Arial" w:hAnsi="Arial" w:cs="Arial"/>
          <w:sz w:val="22"/>
          <w:szCs w:val="22"/>
        </w:rPr>
      </w:pPr>
      <w:r>
        <w:rPr>
          <w:rFonts w:ascii="Arial" w:hAnsi="Arial" w:cs="Arial"/>
          <w:sz w:val="22"/>
          <w:szCs w:val="22"/>
        </w:rPr>
        <w:t xml:space="preserve">Ashton, S. and Bussu. A. (2020) ‘Peer groups, street gangs and organised crime in the narratives of adolescent male offenders’, </w:t>
      </w:r>
      <w:r>
        <w:rPr>
          <w:rFonts w:ascii="Arial" w:hAnsi="Arial" w:cs="Arial"/>
          <w:i/>
          <w:iCs/>
          <w:sz w:val="22"/>
          <w:szCs w:val="22"/>
        </w:rPr>
        <w:t xml:space="preserve">Journal of Criminology Psychology, </w:t>
      </w:r>
      <w:r>
        <w:rPr>
          <w:rFonts w:ascii="Arial" w:hAnsi="Arial" w:cs="Arial"/>
          <w:sz w:val="22"/>
          <w:szCs w:val="22"/>
        </w:rPr>
        <w:t xml:space="preserve">10(4), pp. 277-292. DOI: 10.1108/JCP-06-2020-0020. Available at: </w:t>
      </w:r>
      <w:hyperlink r:id="rId6" w:history="1">
        <w:r w:rsidRPr="00407F6A">
          <w:rPr>
            <w:rStyle w:val="Hyperlink"/>
            <w:rFonts w:ascii="Arial" w:hAnsi="Arial" w:cs="Arial"/>
            <w:sz w:val="22"/>
            <w:szCs w:val="22"/>
          </w:rPr>
          <w:t>https://doi.org/10.1108/JCP-06-2020-0020</w:t>
        </w:r>
      </w:hyperlink>
      <w:r>
        <w:rPr>
          <w:rFonts w:ascii="Arial" w:hAnsi="Arial" w:cs="Arial"/>
          <w:sz w:val="22"/>
          <w:szCs w:val="22"/>
        </w:rPr>
        <w:t xml:space="preserve"> (Accessed: 28/02/2023)</w:t>
      </w:r>
    </w:p>
    <w:p w14:paraId="42BF0ABE" w14:textId="483E8E76" w:rsidR="000A1529" w:rsidRDefault="000A1529" w:rsidP="00636621">
      <w:pPr>
        <w:spacing w:line="256" w:lineRule="auto"/>
        <w:ind w:right="531"/>
        <w:rPr>
          <w:rFonts w:ascii="Arial" w:eastAsia="Calibri" w:hAnsi="Arial" w:cs="Arial"/>
          <w:sz w:val="22"/>
          <w:szCs w:val="22"/>
        </w:rPr>
      </w:pPr>
    </w:p>
    <w:p w14:paraId="624BCCA1" w14:textId="77777777" w:rsidR="005D756A" w:rsidRPr="004445D2" w:rsidRDefault="005D756A" w:rsidP="005D756A">
      <w:pPr>
        <w:spacing w:line="256" w:lineRule="auto"/>
        <w:ind w:right="531"/>
        <w:rPr>
          <w:rFonts w:ascii="Arial" w:eastAsia="Calibri" w:hAnsi="Arial" w:cs="Arial"/>
          <w:sz w:val="22"/>
          <w:szCs w:val="22"/>
        </w:rPr>
      </w:pPr>
      <w:r>
        <w:rPr>
          <w:rFonts w:ascii="Arial" w:eastAsia="Calibri" w:hAnsi="Arial" w:cs="Arial"/>
          <w:sz w:val="22"/>
          <w:szCs w:val="22"/>
        </w:rPr>
        <w:t xml:space="preserve">Bennett, T. and Holloway, K. (2016) ‘The Association Between Multiple Drug Misuse and Crime’, </w:t>
      </w:r>
      <w:r>
        <w:rPr>
          <w:rFonts w:ascii="Arial" w:eastAsia="Calibri" w:hAnsi="Arial" w:cs="Arial"/>
          <w:i/>
          <w:iCs/>
          <w:sz w:val="22"/>
          <w:szCs w:val="22"/>
        </w:rPr>
        <w:t xml:space="preserve">International Journal of Offender Therapy and Comparative Criminology, </w:t>
      </w:r>
      <w:r>
        <w:rPr>
          <w:rFonts w:ascii="Arial" w:eastAsia="Calibri" w:hAnsi="Arial" w:cs="Arial"/>
          <w:sz w:val="22"/>
          <w:szCs w:val="22"/>
        </w:rPr>
        <w:t xml:space="preserve">49(1), pp. 63-81. DOI: 10.1177/0306624X04269003. Available at: </w:t>
      </w:r>
      <w:hyperlink r:id="rId7" w:history="1">
        <w:r>
          <w:rPr>
            <w:rStyle w:val="Hyperlink"/>
            <w:rFonts w:ascii="Open Sans" w:hAnsi="Open Sans" w:cs="Open Sans"/>
            <w:sz w:val="21"/>
            <w:szCs w:val="21"/>
            <w:shd w:val="clear" w:color="auto" w:fill="FFFFFF"/>
          </w:rPr>
          <w:t>https://doi.org/10.1177/0306624X04269003</w:t>
        </w:r>
      </w:hyperlink>
      <w:r>
        <w:rPr>
          <w:rFonts w:ascii="Arial" w:eastAsia="Calibri" w:hAnsi="Arial" w:cs="Arial"/>
          <w:sz w:val="22"/>
          <w:szCs w:val="22"/>
        </w:rPr>
        <w:t xml:space="preserve"> (Accessed: 02/03/2023)</w:t>
      </w:r>
    </w:p>
    <w:p w14:paraId="10F63ABF" w14:textId="77777777" w:rsidR="005D756A" w:rsidRDefault="005D756A" w:rsidP="005D756A">
      <w:pPr>
        <w:spacing w:line="256" w:lineRule="auto"/>
        <w:ind w:right="531"/>
        <w:rPr>
          <w:rFonts w:ascii="Arial" w:eastAsia="Calibri" w:hAnsi="Arial" w:cs="Arial"/>
          <w:sz w:val="22"/>
          <w:szCs w:val="22"/>
        </w:rPr>
      </w:pPr>
    </w:p>
    <w:p w14:paraId="51386756" w14:textId="240EB385" w:rsidR="005D756A" w:rsidRDefault="005D756A" w:rsidP="005D756A">
      <w:pPr>
        <w:spacing w:line="256" w:lineRule="auto"/>
        <w:ind w:right="531"/>
        <w:rPr>
          <w:rFonts w:ascii="Arial" w:eastAsia="Calibri" w:hAnsi="Arial" w:cs="Arial"/>
          <w:sz w:val="22"/>
          <w:szCs w:val="22"/>
        </w:rPr>
      </w:pPr>
      <w:r>
        <w:rPr>
          <w:rFonts w:ascii="Arial" w:eastAsia="Calibri" w:hAnsi="Arial" w:cs="Arial"/>
          <w:sz w:val="22"/>
          <w:szCs w:val="22"/>
        </w:rPr>
        <w:t xml:space="preserve">Blatch, C. et al. (2016) ‘Getting SMART, SMART Recovery programs and reoffending’, </w:t>
      </w:r>
      <w:r>
        <w:rPr>
          <w:rFonts w:ascii="Arial" w:eastAsia="Calibri" w:hAnsi="Arial" w:cs="Arial"/>
          <w:i/>
          <w:iCs/>
          <w:sz w:val="22"/>
          <w:szCs w:val="22"/>
        </w:rPr>
        <w:t xml:space="preserve">Journal of Forensic Practice, </w:t>
      </w:r>
      <w:r>
        <w:rPr>
          <w:rFonts w:ascii="Arial" w:eastAsia="Calibri" w:hAnsi="Arial" w:cs="Arial"/>
          <w:sz w:val="22"/>
          <w:szCs w:val="22"/>
        </w:rPr>
        <w:t xml:space="preserve">18(1), pp. 3-16. DOI: 10.1108/JFP-02-2015-0018. Available at: </w:t>
      </w:r>
      <w:hyperlink r:id="rId8" w:history="1">
        <w:r w:rsidRPr="00407F6A">
          <w:rPr>
            <w:rStyle w:val="Hyperlink"/>
            <w:rFonts w:ascii="Arial" w:eastAsia="Calibri" w:hAnsi="Arial" w:cs="Arial"/>
            <w:sz w:val="22"/>
            <w:szCs w:val="22"/>
          </w:rPr>
          <w:t>https://www.emerald.com/insight/content/doi/10.1108/JFP-02-2015-0018/full/html</w:t>
        </w:r>
      </w:hyperlink>
      <w:r>
        <w:rPr>
          <w:rFonts w:ascii="Arial" w:eastAsia="Calibri" w:hAnsi="Arial" w:cs="Arial"/>
          <w:sz w:val="22"/>
          <w:szCs w:val="22"/>
        </w:rPr>
        <w:t xml:space="preserve"> (Accessed: 01/03/2023)</w:t>
      </w:r>
    </w:p>
    <w:p w14:paraId="6309C44B" w14:textId="08BC4CF6" w:rsidR="003F726D" w:rsidRDefault="003F726D" w:rsidP="005D756A">
      <w:pPr>
        <w:spacing w:line="256" w:lineRule="auto"/>
        <w:ind w:right="531"/>
        <w:rPr>
          <w:rFonts w:ascii="Arial" w:eastAsia="Calibri" w:hAnsi="Arial" w:cs="Arial"/>
          <w:sz w:val="22"/>
          <w:szCs w:val="22"/>
        </w:rPr>
      </w:pPr>
    </w:p>
    <w:p w14:paraId="6D651669" w14:textId="77777777" w:rsidR="003F726D" w:rsidRPr="00596E7D" w:rsidRDefault="003F726D" w:rsidP="003F726D">
      <w:pPr>
        <w:rPr>
          <w:rFonts w:ascii="Arial" w:hAnsi="Arial" w:cs="Arial"/>
          <w:sz w:val="22"/>
          <w:szCs w:val="22"/>
        </w:rPr>
      </w:pPr>
      <w:r>
        <w:rPr>
          <w:rFonts w:ascii="Arial" w:hAnsi="Arial" w:cs="Arial"/>
          <w:sz w:val="22"/>
          <w:szCs w:val="22"/>
        </w:rPr>
        <w:t xml:space="preserve">Boulton, L.J. Phythian, R. Kirby, S. (2019) ‘Diverting young men from gangs: a qualitative evaluation’, </w:t>
      </w:r>
      <w:r>
        <w:rPr>
          <w:rFonts w:ascii="Arial" w:hAnsi="Arial" w:cs="Arial"/>
          <w:i/>
          <w:iCs/>
          <w:sz w:val="22"/>
          <w:szCs w:val="22"/>
        </w:rPr>
        <w:t xml:space="preserve">Policing: An International Journal, </w:t>
      </w:r>
      <w:r>
        <w:rPr>
          <w:rFonts w:ascii="Arial" w:hAnsi="Arial" w:cs="Arial"/>
          <w:sz w:val="22"/>
          <w:szCs w:val="22"/>
        </w:rPr>
        <w:t xml:space="preserve">42(5), pp. 887-900. DOI: 10.1108/PIJPSM-04-2019-0043. Available at: </w:t>
      </w:r>
      <w:hyperlink r:id="rId9" w:history="1">
        <w:r w:rsidRPr="00407F6A">
          <w:rPr>
            <w:rStyle w:val="Hyperlink"/>
            <w:rFonts w:ascii="Arial" w:hAnsi="Arial" w:cs="Arial"/>
            <w:sz w:val="22"/>
            <w:szCs w:val="22"/>
          </w:rPr>
          <w:t>https://doi.org/10.1108/PIJPSM-04-2019-0043</w:t>
        </w:r>
      </w:hyperlink>
      <w:r>
        <w:rPr>
          <w:rFonts w:ascii="Arial" w:hAnsi="Arial" w:cs="Arial"/>
          <w:sz w:val="22"/>
          <w:szCs w:val="22"/>
        </w:rPr>
        <w:t xml:space="preserve"> (Accessed: 27/02/2023)</w:t>
      </w:r>
    </w:p>
    <w:p w14:paraId="7BE11FB0" w14:textId="77777777" w:rsidR="005D756A" w:rsidRDefault="005D756A" w:rsidP="005D756A">
      <w:pPr>
        <w:spacing w:line="256" w:lineRule="auto"/>
        <w:ind w:right="531"/>
        <w:rPr>
          <w:rFonts w:ascii="Arial" w:eastAsia="Calibri" w:hAnsi="Arial" w:cs="Arial"/>
          <w:sz w:val="22"/>
          <w:szCs w:val="22"/>
        </w:rPr>
      </w:pPr>
    </w:p>
    <w:p w14:paraId="06898DCA" w14:textId="0F8A54ED" w:rsidR="005D756A" w:rsidRDefault="005D756A" w:rsidP="005D756A">
      <w:pPr>
        <w:spacing w:line="256" w:lineRule="auto"/>
        <w:ind w:right="531"/>
        <w:rPr>
          <w:rFonts w:ascii="Arial" w:eastAsia="Calibri" w:hAnsi="Arial" w:cs="Arial"/>
          <w:sz w:val="22"/>
          <w:szCs w:val="22"/>
        </w:rPr>
      </w:pPr>
      <w:r w:rsidRPr="00B82D7A">
        <w:rPr>
          <w:rFonts w:ascii="Arial" w:eastAsia="Calibri" w:hAnsi="Arial" w:cs="Arial"/>
          <w:sz w:val="22"/>
          <w:szCs w:val="22"/>
        </w:rPr>
        <w:t xml:space="preserve">Breedvelt, J.J.F. et al. (2014) ‘Predicting recidivism for offenders in UK substance dependence treatment: do mental health symptoms matter?’, </w:t>
      </w:r>
      <w:r w:rsidRPr="00B82D7A">
        <w:rPr>
          <w:rFonts w:ascii="Arial" w:eastAsia="Calibri" w:hAnsi="Arial" w:cs="Arial"/>
          <w:i/>
          <w:iCs/>
          <w:sz w:val="22"/>
          <w:szCs w:val="22"/>
        </w:rPr>
        <w:t xml:space="preserve">Journal of Criminal Psychology, </w:t>
      </w:r>
      <w:r w:rsidRPr="00B82D7A">
        <w:rPr>
          <w:rFonts w:ascii="Arial" w:eastAsia="Calibri" w:hAnsi="Arial" w:cs="Arial"/>
          <w:sz w:val="22"/>
          <w:szCs w:val="22"/>
        </w:rPr>
        <w:t>4(2), pp. 102-115. DOI: 10.1108/JCP-02-2014-0006. Available at:</w:t>
      </w:r>
      <w:r>
        <w:rPr>
          <w:rFonts w:ascii="Arial" w:eastAsia="Calibri" w:hAnsi="Arial" w:cs="Arial"/>
          <w:sz w:val="22"/>
          <w:szCs w:val="22"/>
        </w:rPr>
        <w:t xml:space="preserve"> </w:t>
      </w:r>
      <w:hyperlink r:id="rId10" w:history="1">
        <w:r w:rsidRPr="00407F6A">
          <w:rPr>
            <w:rStyle w:val="Hyperlink"/>
            <w:rFonts w:ascii="Arial" w:eastAsia="Calibri" w:hAnsi="Arial" w:cs="Arial"/>
            <w:sz w:val="22"/>
            <w:szCs w:val="22"/>
          </w:rPr>
          <w:t>https://www.emerald.com/insight/content/doi/10.1108/JCP-02-2014-0006/full/html</w:t>
        </w:r>
      </w:hyperlink>
      <w:r>
        <w:rPr>
          <w:rFonts w:ascii="Arial" w:eastAsia="Calibri" w:hAnsi="Arial" w:cs="Arial"/>
          <w:sz w:val="22"/>
          <w:szCs w:val="22"/>
        </w:rPr>
        <w:t xml:space="preserve"> </w:t>
      </w:r>
      <w:r w:rsidRPr="00B82D7A">
        <w:rPr>
          <w:rFonts w:ascii="Arial" w:eastAsia="Calibri" w:hAnsi="Arial" w:cs="Arial"/>
          <w:sz w:val="22"/>
          <w:szCs w:val="22"/>
        </w:rPr>
        <w:t>(Accessed: 01/03/2023)</w:t>
      </w:r>
    </w:p>
    <w:p w14:paraId="48E8BB33" w14:textId="02EF2C76" w:rsidR="002E03A7" w:rsidRDefault="002E03A7" w:rsidP="005D756A">
      <w:pPr>
        <w:spacing w:line="256" w:lineRule="auto"/>
        <w:ind w:right="531"/>
        <w:rPr>
          <w:rFonts w:ascii="Arial" w:eastAsia="Calibri" w:hAnsi="Arial" w:cs="Arial"/>
          <w:sz w:val="22"/>
          <w:szCs w:val="22"/>
        </w:rPr>
      </w:pPr>
    </w:p>
    <w:p w14:paraId="2C8961DE" w14:textId="78EB8D1D" w:rsidR="002E03A7" w:rsidRDefault="002E03A7" w:rsidP="005D756A">
      <w:pPr>
        <w:spacing w:line="256" w:lineRule="auto"/>
        <w:ind w:right="531"/>
        <w:rPr>
          <w:rFonts w:ascii="Arial" w:eastAsia="Calibri" w:hAnsi="Arial" w:cs="Arial"/>
          <w:sz w:val="22"/>
          <w:szCs w:val="22"/>
        </w:rPr>
      </w:pPr>
      <w:r w:rsidRPr="002E03A7">
        <w:rPr>
          <w:rFonts w:ascii="Arial" w:eastAsia="Calibri" w:hAnsi="Arial" w:cs="Arial"/>
          <w:sz w:val="22"/>
          <w:szCs w:val="22"/>
        </w:rPr>
        <w:t xml:space="preserve">Clarke, R. and Newman, G. (2007) ‘Police and the Prevention of Terrorism’ Policing: A Journal of Policy and Practice, 1(1), pp. 9-20 DOI: 10.1093/police/pam003. Available at: </w:t>
      </w:r>
      <w:hyperlink r:id="rId11" w:history="1">
        <w:r w:rsidRPr="00407F6A">
          <w:rPr>
            <w:rStyle w:val="Hyperlink"/>
            <w:rFonts w:ascii="Arial" w:eastAsia="Calibri" w:hAnsi="Arial" w:cs="Arial"/>
            <w:sz w:val="22"/>
            <w:szCs w:val="22"/>
          </w:rPr>
          <w:t>https://doi.org/10.1093/police/pam003</w:t>
        </w:r>
      </w:hyperlink>
      <w:r>
        <w:rPr>
          <w:rFonts w:ascii="Arial" w:eastAsia="Calibri" w:hAnsi="Arial" w:cs="Arial"/>
          <w:sz w:val="22"/>
          <w:szCs w:val="22"/>
        </w:rPr>
        <w:t xml:space="preserve"> </w:t>
      </w:r>
      <w:r w:rsidRPr="002E03A7">
        <w:rPr>
          <w:rFonts w:ascii="Arial" w:eastAsia="Calibri" w:hAnsi="Arial" w:cs="Arial"/>
          <w:sz w:val="22"/>
          <w:szCs w:val="22"/>
        </w:rPr>
        <w:t>(Accessed: 06/12/2022)</w:t>
      </w:r>
    </w:p>
    <w:p w14:paraId="7F918047" w14:textId="0BF30F9E" w:rsidR="000F24FB" w:rsidRDefault="000F24FB" w:rsidP="005D756A">
      <w:pPr>
        <w:spacing w:line="256" w:lineRule="auto"/>
        <w:ind w:right="531"/>
        <w:rPr>
          <w:rFonts w:ascii="Arial" w:eastAsia="Calibri" w:hAnsi="Arial" w:cs="Arial"/>
          <w:sz w:val="22"/>
          <w:szCs w:val="22"/>
        </w:rPr>
      </w:pPr>
    </w:p>
    <w:p w14:paraId="126A5A52" w14:textId="734C91C1" w:rsidR="000F24FB" w:rsidRPr="000F24FB" w:rsidRDefault="000F24FB" w:rsidP="000F24FB">
      <w:pPr>
        <w:rPr>
          <w:rFonts w:ascii="Arial" w:hAnsi="Arial" w:cs="Arial"/>
          <w:sz w:val="22"/>
          <w:szCs w:val="22"/>
        </w:rPr>
      </w:pPr>
      <w:r w:rsidRPr="000F24FB">
        <w:rPr>
          <w:rFonts w:ascii="Arial" w:hAnsi="Arial" w:cs="Arial"/>
          <w:sz w:val="22"/>
          <w:szCs w:val="22"/>
        </w:rPr>
        <w:t xml:space="preserve">Cockcroft, T. (2020) </w:t>
      </w:r>
      <w:r w:rsidRPr="000F24FB">
        <w:rPr>
          <w:rFonts w:ascii="Arial" w:hAnsi="Arial" w:cs="Arial"/>
          <w:i/>
          <w:iCs/>
          <w:sz w:val="22"/>
          <w:szCs w:val="22"/>
        </w:rPr>
        <w:t xml:space="preserve">Police Occupational Culture: Research and Practice. </w:t>
      </w:r>
      <w:r w:rsidRPr="000F24FB">
        <w:rPr>
          <w:rFonts w:ascii="Arial" w:hAnsi="Arial" w:cs="Arial"/>
          <w:sz w:val="22"/>
          <w:szCs w:val="22"/>
        </w:rPr>
        <w:t xml:space="preserve">Available at: </w:t>
      </w:r>
      <w:hyperlink r:id="rId12" w:history="1">
        <w:r w:rsidRPr="000F24FB">
          <w:rPr>
            <w:rStyle w:val="Hyperlink"/>
            <w:rFonts w:ascii="Arial" w:hAnsi="Arial" w:cs="Arial"/>
            <w:sz w:val="22"/>
            <w:szCs w:val="22"/>
          </w:rPr>
          <w:t>Full details and actions for Police Occupational Culture: Research and Practice (vlebooks.com)</w:t>
        </w:r>
      </w:hyperlink>
      <w:r w:rsidRPr="000F24FB">
        <w:rPr>
          <w:rFonts w:ascii="Arial" w:hAnsi="Arial" w:cs="Arial"/>
          <w:sz w:val="22"/>
          <w:szCs w:val="22"/>
        </w:rPr>
        <w:t xml:space="preserve"> (Accessed: </w:t>
      </w:r>
      <w:r>
        <w:rPr>
          <w:rFonts w:ascii="Arial" w:hAnsi="Arial" w:cs="Arial"/>
          <w:sz w:val="22"/>
          <w:szCs w:val="22"/>
        </w:rPr>
        <w:t>04/12/2022</w:t>
      </w:r>
      <w:r w:rsidRPr="000F24FB">
        <w:rPr>
          <w:rFonts w:ascii="Arial" w:hAnsi="Arial" w:cs="Arial"/>
          <w:sz w:val="22"/>
          <w:szCs w:val="22"/>
        </w:rPr>
        <w:t>)</w:t>
      </w:r>
    </w:p>
    <w:p w14:paraId="06AAE290" w14:textId="1ACA0BD4" w:rsidR="000F24FB" w:rsidRPr="000F24FB" w:rsidRDefault="000F24FB" w:rsidP="005D756A">
      <w:pPr>
        <w:spacing w:line="256" w:lineRule="auto"/>
        <w:ind w:right="531"/>
        <w:rPr>
          <w:rFonts w:ascii="Arial" w:eastAsia="Calibri" w:hAnsi="Arial" w:cs="Arial"/>
          <w:sz w:val="22"/>
          <w:szCs w:val="22"/>
        </w:rPr>
      </w:pPr>
    </w:p>
    <w:p w14:paraId="3F62BDE9" w14:textId="6183757D" w:rsidR="000F24FB" w:rsidRPr="000F24FB" w:rsidRDefault="000F24FB" w:rsidP="000F24FB">
      <w:pPr>
        <w:rPr>
          <w:rFonts w:ascii="Arial" w:hAnsi="Arial" w:cs="Arial"/>
          <w:sz w:val="22"/>
          <w:szCs w:val="22"/>
        </w:rPr>
      </w:pPr>
      <w:r w:rsidRPr="000F24FB">
        <w:rPr>
          <w:rFonts w:ascii="Arial" w:hAnsi="Arial" w:cs="Arial"/>
          <w:sz w:val="22"/>
          <w:szCs w:val="22"/>
        </w:rPr>
        <w:t>College of Policing (</w:t>
      </w:r>
      <w:proofErr w:type="spellStart"/>
      <w:r w:rsidRPr="000F24FB">
        <w:rPr>
          <w:rFonts w:ascii="Arial" w:hAnsi="Arial" w:cs="Arial"/>
          <w:sz w:val="22"/>
          <w:szCs w:val="22"/>
        </w:rPr>
        <w:t>n.d.a</w:t>
      </w:r>
      <w:proofErr w:type="spellEnd"/>
      <w:r w:rsidRPr="000F24FB">
        <w:rPr>
          <w:rFonts w:ascii="Arial" w:hAnsi="Arial" w:cs="Arial"/>
          <w:sz w:val="22"/>
          <w:szCs w:val="22"/>
        </w:rPr>
        <w:t xml:space="preserve">) </w:t>
      </w:r>
      <w:r w:rsidRPr="000F24FB">
        <w:rPr>
          <w:rFonts w:ascii="Arial" w:hAnsi="Arial" w:cs="Arial"/>
          <w:i/>
          <w:iCs/>
          <w:sz w:val="22"/>
          <w:szCs w:val="22"/>
        </w:rPr>
        <w:t>About Us.</w:t>
      </w:r>
      <w:r w:rsidRPr="000F24FB">
        <w:rPr>
          <w:rFonts w:ascii="Arial" w:hAnsi="Arial" w:cs="Arial"/>
          <w:sz w:val="22"/>
          <w:szCs w:val="22"/>
        </w:rPr>
        <w:t xml:space="preserve"> Available at: </w:t>
      </w:r>
      <w:hyperlink r:id="rId13" w:history="1">
        <w:r w:rsidRPr="000F24FB">
          <w:rPr>
            <w:rStyle w:val="Hyperlink"/>
            <w:rFonts w:ascii="Arial" w:hAnsi="Arial" w:cs="Arial"/>
            <w:sz w:val="22"/>
            <w:szCs w:val="22"/>
          </w:rPr>
          <w:t>About us | College of Policing</w:t>
        </w:r>
      </w:hyperlink>
      <w:r w:rsidRPr="000F24FB">
        <w:rPr>
          <w:rFonts w:ascii="Arial" w:hAnsi="Arial" w:cs="Arial"/>
          <w:sz w:val="22"/>
          <w:szCs w:val="22"/>
        </w:rPr>
        <w:t xml:space="preserve"> (Accessed: 04</w:t>
      </w:r>
      <w:r>
        <w:rPr>
          <w:rFonts w:ascii="Arial" w:hAnsi="Arial" w:cs="Arial"/>
          <w:sz w:val="22"/>
          <w:szCs w:val="22"/>
        </w:rPr>
        <w:t>/12/2022</w:t>
      </w:r>
      <w:r w:rsidRPr="000F24FB">
        <w:rPr>
          <w:rFonts w:ascii="Arial" w:hAnsi="Arial" w:cs="Arial"/>
          <w:sz w:val="22"/>
          <w:szCs w:val="22"/>
        </w:rPr>
        <w:t>)</w:t>
      </w:r>
    </w:p>
    <w:p w14:paraId="44510B0F" w14:textId="77777777" w:rsidR="000F24FB" w:rsidRDefault="000F24FB" w:rsidP="000F24FB"/>
    <w:p w14:paraId="4A1C75C8" w14:textId="77777777" w:rsidR="000F24FB" w:rsidRPr="000F24FB" w:rsidRDefault="000F24FB" w:rsidP="000F24FB">
      <w:pPr>
        <w:rPr>
          <w:rFonts w:ascii="Arial" w:hAnsi="Arial" w:cs="Arial"/>
          <w:sz w:val="22"/>
          <w:szCs w:val="22"/>
        </w:rPr>
      </w:pPr>
      <w:r w:rsidRPr="000F24FB">
        <w:rPr>
          <w:rFonts w:ascii="Arial" w:hAnsi="Arial" w:cs="Arial"/>
          <w:sz w:val="22"/>
          <w:szCs w:val="22"/>
        </w:rPr>
        <w:t xml:space="preserve">College of Policing, </w:t>
      </w:r>
      <w:proofErr w:type="spellStart"/>
      <w:r w:rsidRPr="000F24FB">
        <w:rPr>
          <w:rFonts w:ascii="Arial" w:hAnsi="Arial" w:cs="Arial"/>
          <w:sz w:val="22"/>
          <w:szCs w:val="22"/>
        </w:rPr>
        <w:t>n.d.b</w:t>
      </w:r>
      <w:proofErr w:type="spellEnd"/>
      <w:r w:rsidRPr="000F24FB">
        <w:rPr>
          <w:rFonts w:ascii="Arial" w:hAnsi="Arial" w:cs="Arial"/>
          <w:sz w:val="22"/>
          <w:szCs w:val="22"/>
        </w:rPr>
        <w:t xml:space="preserve">) </w:t>
      </w:r>
      <w:r w:rsidRPr="000F24FB">
        <w:rPr>
          <w:rFonts w:ascii="Arial" w:hAnsi="Arial" w:cs="Arial"/>
          <w:i/>
          <w:iCs/>
          <w:sz w:val="22"/>
          <w:szCs w:val="22"/>
        </w:rPr>
        <w:t xml:space="preserve">Code of Ethics. </w:t>
      </w:r>
      <w:r w:rsidRPr="000F24FB">
        <w:rPr>
          <w:rFonts w:ascii="Arial" w:hAnsi="Arial" w:cs="Arial"/>
          <w:sz w:val="22"/>
          <w:szCs w:val="22"/>
        </w:rPr>
        <w:t xml:space="preserve">Available at: </w:t>
      </w:r>
      <w:hyperlink r:id="rId14" w:history="1">
        <w:r w:rsidRPr="000F24FB">
          <w:rPr>
            <w:rStyle w:val="Hyperlink"/>
            <w:rFonts w:ascii="Arial" w:hAnsi="Arial" w:cs="Arial"/>
            <w:sz w:val="22"/>
            <w:szCs w:val="22"/>
          </w:rPr>
          <w:t>Code of Ethics | College of Policing</w:t>
        </w:r>
      </w:hyperlink>
      <w:r w:rsidRPr="000F24FB">
        <w:rPr>
          <w:rFonts w:ascii="Arial" w:hAnsi="Arial" w:cs="Arial"/>
          <w:sz w:val="22"/>
          <w:szCs w:val="22"/>
        </w:rPr>
        <w:t xml:space="preserve"> (Accessed: 04 December 2022)</w:t>
      </w:r>
    </w:p>
    <w:p w14:paraId="543493E3" w14:textId="742215BD" w:rsidR="000F24FB" w:rsidRDefault="000F24FB" w:rsidP="005D756A">
      <w:pPr>
        <w:spacing w:line="256" w:lineRule="auto"/>
        <w:ind w:right="531"/>
        <w:rPr>
          <w:rFonts w:ascii="Arial" w:eastAsia="Calibri" w:hAnsi="Arial" w:cs="Arial"/>
          <w:sz w:val="22"/>
          <w:szCs w:val="22"/>
        </w:rPr>
      </w:pPr>
    </w:p>
    <w:p w14:paraId="64D34E90" w14:textId="232AA933" w:rsidR="000F24FB" w:rsidRDefault="000F24FB" w:rsidP="000F24FB">
      <w:pPr>
        <w:rPr>
          <w:rFonts w:ascii="Arial" w:hAnsi="Arial" w:cs="Arial"/>
          <w:sz w:val="22"/>
          <w:szCs w:val="22"/>
        </w:rPr>
      </w:pPr>
      <w:r w:rsidRPr="000F24FB">
        <w:rPr>
          <w:rFonts w:ascii="Arial" w:hAnsi="Arial" w:cs="Arial"/>
          <w:sz w:val="22"/>
          <w:szCs w:val="22"/>
        </w:rPr>
        <w:t xml:space="preserve">College of Policing (2014) </w:t>
      </w:r>
      <w:r w:rsidRPr="000F24FB">
        <w:rPr>
          <w:rFonts w:ascii="Arial" w:hAnsi="Arial" w:cs="Arial"/>
          <w:i/>
          <w:iCs/>
          <w:sz w:val="22"/>
          <w:szCs w:val="22"/>
        </w:rPr>
        <w:t xml:space="preserve">Code of Ethics. A Code of Practice for the Principles and Standards of Professional Behaviour for the Policing Profession of England and Wales. </w:t>
      </w:r>
      <w:r w:rsidRPr="000F24FB">
        <w:rPr>
          <w:rFonts w:ascii="Arial" w:hAnsi="Arial" w:cs="Arial"/>
          <w:sz w:val="22"/>
          <w:szCs w:val="22"/>
        </w:rPr>
        <w:t xml:space="preserve">Available at: </w:t>
      </w:r>
      <w:hyperlink r:id="rId15" w:history="1">
        <w:r w:rsidRPr="000F24FB">
          <w:rPr>
            <w:rStyle w:val="Hyperlink"/>
            <w:rFonts w:ascii="Arial" w:hAnsi="Arial" w:cs="Arial"/>
            <w:sz w:val="22"/>
            <w:szCs w:val="22"/>
          </w:rPr>
          <w:t>Code-of-Ethics-2014.pdf (college.police.uk)</w:t>
        </w:r>
      </w:hyperlink>
      <w:r w:rsidRPr="000F24FB">
        <w:rPr>
          <w:rFonts w:ascii="Arial" w:hAnsi="Arial" w:cs="Arial"/>
          <w:sz w:val="22"/>
          <w:szCs w:val="22"/>
        </w:rPr>
        <w:t xml:space="preserve"> (Accessed: </w:t>
      </w:r>
      <w:r>
        <w:rPr>
          <w:rFonts w:ascii="Arial" w:hAnsi="Arial" w:cs="Arial"/>
          <w:sz w:val="22"/>
          <w:szCs w:val="22"/>
        </w:rPr>
        <w:t>04/12/2022)</w:t>
      </w:r>
    </w:p>
    <w:p w14:paraId="791F88C7" w14:textId="77777777" w:rsidR="000F24FB" w:rsidRPr="000F24FB" w:rsidRDefault="000F24FB" w:rsidP="000F24FB">
      <w:pPr>
        <w:rPr>
          <w:rFonts w:ascii="Arial" w:hAnsi="Arial" w:cs="Arial"/>
          <w:sz w:val="22"/>
          <w:szCs w:val="22"/>
        </w:rPr>
      </w:pPr>
    </w:p>
    <w:p w14:paraId="1979E6B2" w14:textId="6191CDE8" w:rsidR="000F24FB" w:rsidRPr="000F24FB" w:rsidRDefault="000F24FB" w:rsidP="000F24FB">
      <w:pPr>
        <w:rPr>
          <w:rFonts w:ascii="Arial" w:hAnsi="Arial" w:cs="Arial"/>
          <w:sz w:val="22"/>
          <w:szCs w:val="22"/>
        </w:rPr>
      </w:pPr>
      <w:r w:rsidRPr="000F24FB">
        <w:rPr>
          <w:rFonts w:ascii="Arial" w:hAnsi="Arial" w:cs="Arial"/>
          <w:sz w:val="22"/>
          <w:szCs w:val="22"/>
        </w:rPr>
        <w:t xml:space="preserve">College of Policing (2020) </w:t>
      </w:r>
      <w:r w:rsidRPr="000F24FB">
        <w:rPr>
          <w:rFonts w:ascii="Arial" w:hAnsi="Arial" w:cs="Arial"/>
          <w:i/>
          <w:iCs/>
          <w:sz w:val="22"/>
          <w:szCs w:val="22"/>
        </w:rPr>
        <w:t xml:space="preserve">Policing education qualification framework (PEQF). </w:t>
      </w:r>
      <w:r w:rsidRPr="000F24FB">
        <w:rPr>
          <w:rFonts w:ascii="Arial" w:hAnsi="Arial" w:cs="Arial"/>
          <w:sz w:val="22"/>
          <w:szCs w:val="22"/>
        </w:rPr>
        <w:t xml:space="preserve">Available at: </w:t>
      </w:r>
      <w:hyperlink r:id="rId16" w:history="1">
        <w:r w:rsidRPr="000F24FB">
          <w:rPr>
            <w:rStyle w:val="Hyperlink"/>
            <w:rFonts w:ascii="Arial" w:hAnsi="Arial" w:cs="Arial"/>
            <w:sz w:val="22"/>
            <w:szCs w:val="22"/>
          </w:rPr>
          <w:t>Policing education qualifications framework (PEQF) | College of Policing</w:t>
        </w:r>
      </w:hyperlink>
      <w:r w:rsidRPr="000F24FB">
        <w:rPr>
          <w:rFonts w:ascii="Arial" w:hAnsi="Arial" w:cs="Arial"/>
          <w:sz w:val="22"/>
          <w:szCs w:val="22"/>
        </w:rPr>
        <w:t xml:space="preserve"> (Accessed: </w:t>
      </w:r>
      <w:r>
        <w:rPr>
          <w:rFonts w:ascii="Arial" w:hAnsi="Arial" w:cs="Arial"/>
          <w:sz w:val="22"/>
          <w:szCs w:val="22"/>
        </w:rPr>
        <w:t>04/12/2022</w:t>
      </w:r>
      <w:r w:rsidRPr="000F24FB">
        <w:rPr>
          <w:rFonts w:ascii="Arial" w:hAnsi="Arial" w:cs="Arial"/>
          <w:sz w:val="22"/>
          <w:szCs w:val="22"/>
        </w:rPr>
        <w:t>)</w:t>
      </w:r>
    </w:p>
    <w:p w14:paraId="016F6592" w14:textId="29984FDB" w:rsidR="002E03A7" w:rsidRDefault="002E03A7" w:rsidP="005D756A">
      <w:pPr>
        <w:spacing w:line="256" w:lineRule="auto"/>
        <w:ind w:right="531"/>
        <w:rPr>
          <w:rFonts w:ascii="Arial" w:eastAsia="Calibri" w:hAnsi="Arial" w:cs="Arial"/>
          <w:sz w:val="22"/>
          <w:szCs w:val="22"/>
        </w:rPr>
      </w:pPr>
    </w:p>
    <w:p w14:paraId="09F65E86" w14:textId="1FA89BE9" w:rsidR="009D5607" w:rsidRDefault="009D5607" w:rsidP="009D5607">
      <w:pPr>
        <w:rPr>
          <w:rFonts w:ascii="Arial" w:hAnsi="Arial" w:cs="Arial"/>
          <w:sz w:val="22"/>
          <w:szCs w:val="22"/>
        </w:rPr>
      </w:pPr>
      <w:r w:rsidRPr="009D5607">
        <w:rPr>
          <w:rFonts w:ascii="Arial" w:hAnsi="Arial" w:cs="Arial"/>
          <w:sz w:val="22"/>
          <w:szCs w:val="22"/>
        </w:rPr>
        <w:t xml:space="preserve">College of Policing. (2018) </w:t>
      </w:r>
      <w:r w:rsidRPr="009D5607">
        <w:rPr>
          <w:rFonts w:ascii="Arial" w:hAnsi="Arial" w:cs="Arial"/>
          <w:i/>
          <w:iCs/>
          <w:sz w:val="22"/>
          <w:szCs w:val="22"/>
        </w:rPr>
        <w:t xml:space="preserve">Neighbourhood policing: impact and implementation. </w:t>
      </w:r>
      <w:r w:rsidRPr="009D5607">
        <w:rPr>
          <w:rFonts w:ascii="Arial" w:hAnsi="Arial" w:cs="Arial"/>
          <w:sz w:val="22"/>
          <w:szCs w:val="22"/>
        </w:rPr>
        <w:t xml:space="preserve">Available at: </w:t>
      </w:r>
      <w:hyperlink r:id="rId17" w:history="1">
        <w:r w:rsidRPr="009D5607">
          <w:rPr>
            <w:rStyle w:val="Hyperlink"/>
            <w:rFonts w:ascii="Arial" w:hAnsi="Arial" w:cs="Arial"/>
            <w:sz w:val="22"/>
            <w:szCs w:val="22"/>
          </w:rPr>
          <w:t>Neighbourhood_policing_impact_and_implementation-June2018.pdf (college.police.uk)</w:t>
        </w:r>
      </w:hyperlink>
      <w:r w:rsidRPr="009D5607">
        <w:rPr>
          <w:rFonts w:ascii="Arial" w:hAnsi="Arial" w:cs="Arial"/>
          <w:sz w:val="22"/>
          <w:szCs w:val="22"/>
        </w:rPr>
        <w:t xml:space="preserve"> (Accessed: 02/12/2022)</w:t>
      </w:r>
    </w:p>
    <w:p w14:paraId="2271EDCC" w14:textId="07BC6EC6" w:rsidR="000F24FB" w:rsidRDefault="000F24FB" w:rsidP="009D5607">
      <w:pPr>
        <w:rPr>
          <w:rFonts w:ascii="Arial" w:hAnsi="Arial" w:cs="Arial"/>
          <w:sz w:val="22"/>
          <w:szCs w:val="22"/>
        </w:rPr>
      </w:pPr>
    </w:p>
    <w:p w14:paraId="05E2E709" w14:textId="77777777" w:rsidR="000F24FB" w:rsidRPr="000F24FB" w:rsidRDefault="000F24FB" w:rsidP="000F24FB">
      <w:pPr>
        <w:rPr>
          <w:rFonts w:ascii="Arial" w:hAnsi="Arial" w:cs="Arial"/>
          <w:sz w:val="22"/>
          <w:szCs w:val="22"/>
        </w:rPr>
      </w:pPr>
      <w:r w:rsidRPr="000F24FB">
        <w:rPr>
          <w:rFonts w:ascii="Arial" w:hAnsi="Arial" w:cs="Arial"/>
          <w:sz w:val="22"/>
          <w:szCs w:val="22"/>
        </w:rPr>
        <w:t xml:space="preserve">Conn, S. (2018) </w:t>
      </w:r>
      <w:r w:rsidRPr="000F24FB">
        <w:rPr>
          <w:rFonts w:ascii="Arial" w:hAnsi="Arial" w:cs="Arial"/>
          <w:i/>
          <w:iCs/>
          <w:sz w:val="22"/>
          <w:szCs w:val="22"/>
        </w:rPr>
        <w:t xml:space="preserve">Increasing resilience in police and emergency personnel: Strengthening Your Mental Armour. </w:t>
      </w:r>
      <w:r w:rsidRPr="000F24FB">
        <w:rPr>
          <w:rFonts w:ascii="Arial" w:hAnsi="Arial" w:cs="Arial"/>
          <w:sz w:val="22"/>
          <w:szCs w:val="22"/>
        </w:rPr>
        <w:t>New York: Routledge</w:t>
      </w:r>
    </w:p>
    <w:p w14:paraId="533C58C7" w14:textId="69F01EE2" w:rsidR="002E03A7" w:rsidRDefault="002E03A7" w:rsidP="005D756A">
      <w:pPr>
        <w:spacing w:line="256" w:lineRule="auto"/>
        <w:ind w:right="531"/>
        <w:rPr>
          <w:rFonts w:ascii="Arial" w:eastAsia="Calibri" w:hAnsi="Arial" w:cs="Arial"/>
          <w:sz w:val="22"/>
          <w:szCs w:val="22"/>
        </w:rPr>
      </w:pPr>
    </w:p>
    <w:p w14:paraId="05B5EE14" w14:textId="79ECD3AB" w:rsidR="009D5607" w:rsidRDefault="009D5607" w:rsidP="009D5607">
      <w:pPr>
        <w:rPr>
          <w:rFonts w:ascii="Arial" w:hAnsi="Arial" w:cs="Arial"/>
          <w:sz w:val="22"/>
          <w:szCs w:val="22"/>
        </w:rPr>
      </w:pPr>
      <w:r w:rsidRPr="009D5607">
        <w:rPr>
          <w:rFonts w:ascii="Arial" w:hAnsi="Arial" w:cs="Arial"/>
          <w:sz w:val="22"/>
          <w:szCs w:val="22"/>
        </w:rPr>
        <w:t>Counter Terrorism Policing. (</w:t>
      </w:r>
      <w:proofErr w:type="spellStart"/>
      <w:r w:rsidRPr="009D5607">
        <w:rPr>
          <w:rFonts w:ascii="Arial" w:hAnsi="Arial" w:cs="Arial"/>
          <w:sz w:val="22"/>
          <w:szCs w:val="22"/>
        </w:rPr>
        <w:t>n.d</w:t>
      </w:r>
      <w:proofErr w:type="spellEnd"/>
      <w:r w:rsidRPr="009D5607">
        <w:rPr>
          <w:rFonts w:ascii="Arial" w:hAnsi="Arial" w:cs="Arial"/>
          <w:sz w:val="22"/>
          <w:szCs w:val="22"/>
        </w:rPr>
        <w:t xml:space="preserve">) </w:t>
      </w:r>
      <w:r w:rsidRPr="009D5607">
        <w:rPr>
          <w:rFonts w:ascii="Arial" w:hAnsi="Arial" w:cs="Arial"/>
          <w:i/>
          <w:iCs/>
          <w:sz w:val="22"/>
          <w:szCs w:val="22"/>
        </w:rPr>
        <w:t xml:space="preserve">Our Network. </w:t>
      </w:r>
      <w:r w:rsidRPr="009D5607">
        <w:rPr>
          <w:rFonts w:ascii="Arial" w:hAnsi="Arial" w:cs="Arial"/>
          <w:sz w:val="22"/>
          <w:szCs w:val="22"/>
        </w:rPr>
        <w:t xml:space="preserve">Available at: </w:t>
      </w:r>
      <w:hyperlink r:id="rId18" w:history="1">
        <w:r w:rsidRPr="009D5607">
          <w:rPr>
            <w:rStyle w:val="Hyperlink"/>
            <w:rFonts w:ascii="Arial" w:hAnsi="Arial" w:cs="Arial"/>
            <w:sz w:val="22"/>
            <w:szCs w:val="22"/>
          </w:rPr>
          <w:t>Our Network | Counter Terrorism Policing</w:t>
        </w:r>
      </w:hyperlink>
      <w:r w:rsidRPr="009D5607">
        <w:rPr>
          <w:rFonts w:ascii="Arial" w:hAnsi="Arial" w:cs="Arial"/>
          <w:sz w:val="22"/>
          <w:szCs w:val="22"/>
        </w:rPr>
        <w:t xml:space="preserve"> (Accessed: 06/12/2022)</w:t>
      </w:r>
    </w:p>
    <w:p w14:paraId="4749A09C" w14:textId="17AA1FB3" w:rsidR="009D5607" w:rsidRDefault="009D5607" w:rsidP="009D5607">
      <w:pPr>
        <w:rPr>
          <w:rFonts w:ascii="Arial" w:hAnsi="Arial" w:cs="Arial"/>
          <w:sz w:val="22"/>
          <w:szCs w:val="22"/>
        </w:rPr>
      </w:pPr>
    </w:p>
    <w:p w14:paraId="748EE2FA" w14:textId="562A4A4E" w:rsidR="00015CC1" w:rsidRDefault="00015CC1" w:rsidP="009D5607">
      <w:pPr>
        <w:rPr>
          <w:rFonts w:ascii="Arial" w:hAnsi="Arial" w:cs="Arial"/>
          <w:sz w:val="22"/>
          <w:szCs w:val="22"/>
        </w:rPr>
      </w:pPr>
      <w:r w:rsidRPr="00015CC1">
        <w:rPr>
          <w:rFonts w:ascii="Arial" w:hAnsi="Arial" w:cs="Arial"/>
          <w:sz w:val="22"/>
          <w:szCs w:val="22"/>
        </w:rPr>
        <w:t xml:space="preserve">Darrah, M. (2021) ‘The consequences of organisational injustice: How and to what extent does the perception of organisational injustice impact upon the psychological wellbeing of police officers in the UK?’, </w:t>
      </w:r>
      <w:r w:rsidRPr="00015CC1">
        <w:rPr>
          <w:rFonts w:ascii="Arial" w:hAnsi="Arial" w:cs="Arial"/>
          <w:i/>
          <w:iCs/>
          <w:sz w:val="22"/>
          <w:szCs w:val="22"/>
        </w:rPr>
        <w:t xml:space="preserve">Thames Valley Police Journal, </w:t>
      </w:r>
      <w:r w:rsidRPr="00015CC1">
        <w:rPr>
          <w:rFonts w:ascii="Arial" w:hAnsi="Arial" w:cs="Arial"/>
          <w:sz w:val="22"/>
          <w:szCs w:val="22"/>
        </w:rPr>
        <w:t xml:space="preserve">6(1), pp. 6-27. Available at: </w:t>
      </w:r>
      <w:hyperlink r:id="rId19" w:history="1">
        <w:r w:rsidRPr="00015CC1">
          <w:rPr>
            <w:rStyle w:val="Hyperlink"/>
            <w:rFonts w:ascii="Arial" w:hAnsi="Arial" w:cs="Arial"/>
            <w:sz w:val="22"/>
            <w:szCs w:val="22"/>
          </w:rPr>
          <w:t>Winter-2021-TVP-vol-6.pdf (college.police.uk)</w:t>
        </w:r>
      </w:hyperlink>
      <w:r w:rsidRPr="00015CC1">
        <w:rPr>
          <w:rFonts w:ascii="Arial" w:hAnsi="Arial" w:cs="Arial"/>
          <w:sz w:val="22"/>
          <w:szCs w:val="22"/>
        </w:rPr>
        <w:t xml:space="preserve"> (Accessed: 04/12/2022)</w:t>
      </w:r>
    </w:p>
    <w:p w14:paraId="77B28BCD" w14:textId="77777777" w:rsidR="00015CC1" w:rsidRDefault="00015CC1" w:rsidP="009D5607">
      <w:pPr>
        <w:rPr>
          <w:rFonts w:ascii="Arial" w:hAnsi="Arial" w:cs="Arial"/>
          <w:sz w:val="22"/>
          <w:szCs w:val="22"/>
        </w:rPr>
      </w:pPr>
    </w:p>
    <w:p w14:paraId="57A06BDB" w14:textId="77777777" w:rsidR="009D5607" w:rsidRPr="009D5607" w:rsidRDefault="009D5607" w:rsidP="009D5607">
      <w:pPr>
        <w:rPr>
          <w:rFonts w:ascii="Arial" w:hAnsi="Arial" w:cs="Arial"/>
          <w:sz w:val="22"/>
          <w:szCs w:val="22"/>
        </w:rPr>
      </w:pPr>
      <w:r w:rsidRPr="009D5607">
        <w:rPr>
          <w:rFonts w:ascii="Arial" w:hAnsi="Arial" w:cs="Arial"/>
          <w:sz w:val="22"/>
          <w:szCs w:val="22"/>
        </w:rPr>
        <w:t xml:space="preserve">Dodd, V. (2020b) </w:t>
      </w:r>
      <w:r w:rsidRPr="009D5607">
        <w:rPr>
          <w:rFonts w:ascii="Arial" w:hAnsi="Arial" w:cs="Arial"/>
          <w:i/>
          <w:iCs/>
          <w:sz w:val="22"/>
          <w:szCs w:val="22"/>
        </w:rPr>
        <w:t xml:space="preserve">Met police told 40% of recruits must be from BAME backgrounds. </w:t>
      </w:r>
      <w:r w:rsidRPr="009D5607">
        <w:rPr>
          <w:rFonts w:ascii="Arial" w:hAnsi="Arial" w:cs="Arial"/>
          <w:sz w:val="22"/>
          <w:szCs w:val="22"/>
        </w:rPr>
        <w:t xml:space="preserve">Available at: </w:t>
      </w:r>
      <w:hyperlink r:id="rId20" w:history="1">
        <w:r w:rsidRPr="009D5607">
          <w:rPr>
            <w:rStyle w:val="Hyperlink"/>
            <w:rFonts w:ascii="Arial" w:hAnsi="Arial" w:cs="Arial"/>
            <w:sz w:val="22"/>
            <w:szCs w:val="22"/>
          </w:rPr>
          <w:t>Met police told 40% of recruits must be from BAME backgrounds | Metropolitan police | The Guardian</w:t>
        </w:r>
      </w:hyperlink>
      <w:r w:rsidRPr="009D5607">
        <w:rPr>
          <w:rFonts w:ascii="Arial" w:hAnsi="Arial" w:cs="Arial"/>
          <w:sz w:val="22"/>
          <w:szCs w:val="22"/>
        </w:rPr>
        <w:t xml:space="preserve"> (Accessed: 07/12/2022)</w:t>
      </w:r>
    </w:p>
    <w:p w14:paraId="0CA31BF4" w14:textId="6956251D" w:rsidR="009D5607" w:rsidRDefault="009D5607" w:rsidP="009D5607">
      <w:pPr>
        <w:rPr>
          <w:rFonts w:ascii="Arial" w:hAnsi="Arial" w:cs="Arial"/>
          <w:sz w:val="22"/>
          <w:szCs w:val="22"/>
        </w:rPr>
      </w:pPr>
    </w:p>
    <w:p w14:paraId="68E60043" w14:textId="77777777" w:rsidR="009D5607" w:rsidRPr="009D5607" w:rsidRDefault="009D5607" w:rsidP="009D5607">
      <w:pPr>
        <w:rPr>
          <w:rFonts w:ascii="Arial" w:hAnsi="Arial" w:cs="Arial"/>
          <w:sz w:val="22"/>
          <w:szCs w:val="22"/>
        </w:rPr>
      </w:pPr>
      <w:r w:rsidRPr="009D5607">
        <w:rPr>
          <w:rFonts w:ascii="Arial" w:hAnsi="Arial" w:cs="Arial"/>
          <w:sz w:val="22"/>
          <w:szCs w:val="22"/>
        </w:rPr>
        <w:t xml:space="preserve">Dodd, V. and Grierson, J. (2019) </w:t>
      </w:r>
      <w:r w:rsidRPr="009D5607">
        <w:rPr>
          <w:rFonts w:ascii="Arial" w:hAnsi="Arial" w:cs="Arial"/>
          <w:i/>
          <w:iCs/>
          <w:sz w:val="22"/>
          <w:szCs w:val="22"/>
        </w:rPr>
        <w:t xml:space="preserve">Police cuts pose greatest risk to countering terrorism. </w:t>
      </w:r>
      <w:r w:rsidRPr="009D5607">
        <w:rPr>
          <w:rFonts w:ascii="Arial" w:hAnsi="Arial" w:cs="Arial"/>
          <w:sz w:val="22"/>
          <w:szCs w:val="22"/>
        </w:rPr>
        <w:t xml:space="preserve">Available at: </w:t>
      </w:r>
      <w:hyperlink r:id="rId21" w:history="1">
        <w:r w:rsidRPr="009D5607">
          <w:rPr>
            <w:rStyle w:val="Hyperlink"/>
            <w:rFonts w:ascii="Arial" w:hAnsi="Arial" w:cs="Arial"/>
            <w:sz w:val="22"/>
            <w:szCs w:val="22"/>
          </w:rPr>
          <w:t>Police cuts pose greatest risk to countering terrorism, says ex-chief | London Bridge terror attack 2019 | The Guardian</w:t>
        </w:r>
      </w:hyperlink>
      <w:r w:rsidRPr="009D5607">
        <w:rPr>
          <w:rFonts w:ascii="Arial" w:hAnsi="Arial" w:cs="Arial"/>
          <w:sz w:val="22"/>
          <w:szCs w:val="22"/>
        </w:rPr>
        <w:t xml:space="preserve"> (Accessed: 06/12/2022)</w:t>
      </w:r>
    </w:p>
    <w:p w14:paraId="661132C1" w14:textId="77777777" w:rsidR="005D756A" w:rsidRDefault="005D756A" w:rsidP="005D756A">
      <w:pPr>
        <w:spacing w:line="256" w:lineRule="auto"/>
        <w:ind w:right="531"/>
        <w:rPr>
          <w:rFonts w:ascii="Arial" w:eastAsia="Calibri" w:hAnsi="Arial" w:cs="Arial"/>
          <w:sz w:val="22"/>
          <w:szCs w:val="22"/>
        </w:rPr>
      </w:pPr>
    </w:p>
    <w:p w14:paraId="3CD5150B" w14:textId="2F888166" w:rsidR="005D756A" w:rsidRDefault="005D756A" w:rsidP="005D756A">
      <w:pPr>
        <w:spacing w:line="256" w:lineRule="auto"/>
        <w:ind w:right="531"/>
        <w:rPr>
          <w:rFonts w:ascii="Arial" w:eastAsia="Calibri" w:hAnsi="Arial" w:cs="Arial"/>
          <w:sz w:val="22"/>
          <w:szCs w:val="22"/>
        </w:rPr>
      </w:pPr>
      <w:r>
        <w:rPr>
          <w:rFonts w:ascii="Arial" w:eastAsia="Calibri" w:hAnsi="Arial" w:cs="Arial"/>
          <w:sz w:val="22"/>
          <w:szCs w:val="22"/>
        </w:rPr>
        <w:t xml:space="preserve">Fowler, J.C. et al. (2020) ‘Embedding third sector psychology services within the probation environment: an alternative to MHTRs’, </w:t>
      </w:r>
      <w:r>
        <w:rPr>
          <w:rFonts w:ascii="Arial" w:eastAsia="Calibri" w:hAnsi="Arial" w:cs="Arial"/>
          <w:i/>
          <w:iCs/>
          <w:sz w:val="22"/>
          <w:szCs w:val="22"/>
        </w:rPr>
        <w:t xml:space="preserve">Journal of Criminal Psychology, </w:t>
      </w:r>
      <w:r>
        <w:rPr>
          <w:rFonts w:ascii="Arial" w:eastAsia="Calibri" w:hAnsi="Arial" w:cs="Arial"/>
          <w:sz w:val="22"/>
          <w:szCs w:val="22"/>
        </w:rPr>
        <w:t xml:space="preserve">10(1), pp. 16-29. DOI: 10.1108/JCP-04-2019-0013. Available at: </w:t>
      </w:r>
      <w:hyperlink r:id="rId22" w:history="1">
        <w:r w:rsidRPr="00407F6A">
          <w:rPr>
            <w:rStyle w:val="Hyperlink"/>
            <w:rFonts w:ascii="Arial" w:eastAsia="Calibri" w:hAnsi="Arial" w:cs="Arial"/>
            <w:sz w:val="22"/>
            <w:szCs w:val="22"/>
          </w:rPr>
          <w:t>https://www.emerald.com/insight/content/doi/10.1108/JCP-04-2019-0013/full/html</w:t>
        </w:r>
      </w:hyperlink>
      <w:r>
        <w:rPr>
          <w:rFonts w:ascii="Arial" w:eastAsia="Calibri" w:hAnsi="Arial" w:cs="Arial"/>
          <w:sz w:val="22"/>
          <w:szCs w:val="22"/>
        </w:rPr>
        <w:t xml:space="preserve"> (Accessed: 02/03/2023)</w:t>
      </w:r>
    </w:p>
    <w:p w14:paraId="22D90391" w14:textId="45A2BAE3" w:rsidR="009D5607" w:rsidRDefault="009D5607" w:rsidP="005D756A">
      <w:pPr>
        <w:spacing w:line="256" w:lineRule="auto"/>
        <w:ind w:right="531"/>
        <w:rPr>
          <w:rFonts w:ascii="Arial" w:eastAsia="Calibri" w:hAnsi="Arial" w:cs="Arial"/>
          <w:sz w:val="22"/>
          <w:szCs w:val="22"/>
        </w:rPr>
      </w:pPr>
    </w:p>
    <w:p w14:paraId="043228A5" w14:textId="77777777" w:rsidR="007514E6" w:rsidRPr="007514E6" w:rsidRDefault="007514E6" w:rsidP="007514E6">
      <w:pPr>
        <w:rPr>
          <w:rFonts w:ascii="Arial" w:hAnsi="Arial" w:cs="Arial"/>
          <w:sz w:val="22"/>
          <w:szCs w:val="22"/>
        </w:rPr>
      </w:pPr>
      <w:r w:rsidRPr="007514E6">
        <w:rPr>
          <w:rFonts w:ascii="Arial" w:hAnsi="Arial" w:cs="Arial"/>
          <w:sz w:val="22"/>
          <w:szCs w:val="22"/>
        </w:rPr>
        <w:t xml:space="preserve">Graham, L. et al. (2020) </w:t>
      </w:r>
      <w:r w:rsidRPr="007514E6">
        <w:rPr>
          <w:rFonts w:ascii="Arial" w:hAnsi="Arial" w:cs="Arial"/>
          <w:i/>
          <w:iCs/>
          <w:sz w:val="22"/>
          <w:szCs w:val="22"/>
        </w:rPr>
        <w:t>National Policing Wellbeing Survey 2019</w:t>
      </w:r>
      <w:r w:rsidRPr="007514E6">
        <w:rPr>
          <w:rFonts w:ascii="Arial" w:hAnsi="Arial" w:cs="Arial"/>
          <w:sz w:val="22"/>
          <w:szCs w:val="22"/>
        </w:rPr>
        <w:t xml:space="preserve">. Available at: </w:t>
      </w:r>
      <w:hyperlink r:id="rId23" w:history="1">
        <w:r w:rsidRPr="007514E6">
          <w:rPr>
            <w:rStyle w:val="Hyperlink"/>
            <w:rFonts w:ascii="Arial" w:hAnsi="Arial" w:cs="Arial"/>
            <w:sz w:val="22"/>
            <w:szCs w:val="22"/>
          </w:rPr>
          <w:t>National-Police-Wellbeing-Survey.pdf (college.police.uk)</w:t>
        </w:r>
      </w:hyperlink>
      <w:r w:rsidRPr="007514E6">
        <w:rPr>
          <w:rFonts w:ascii="Arial" w:hAnsi="Arial" w:cs="Arial"/>
          <w:sz w:val="22"/>
          <w:szCs w:val="22"/>
        </w:rPr>
        <w:t xml:space="preserve"> (Accessed 04 December 2022)</w:t>
      </w:r>
    </w:p>
    <w:p w14:paraId="43739EDF" w14:textId="77777777" w:rsidR="007514E6" w:rsidRDefault="007514E6" w:rsidP="005D756A">
      <w:pPr>
        <w:spacing w:line="256" w:lineRule="auto"/>
        <w:ind w:right="531"/>
        <w:rPr>
          <w:rFonts w:ascii="Arial" w:eastAsia="Calibri" w:hAnsi="Arial" w:cs="Arial"/>
          <w:sz w:val="22"/>
          <w:szCs w:val="22"/>
        </w:rPr>
      </w:pPr>
    </w:p>
    <w:p w14:paraId="46F2AA35" w14:textId="0EE8DAA9" w:rsidR="009D5607" w:rsidRPr="009D5607" w:rsidRDefault="009D5607" w:rsidP="009D5607">
      <w:pPr>
        <w:rPr>
          <w:rFonts w:ascii="Arial" w:hAnsi="Arial" w:cs="Arial"/>
          <w:sz w:val="22"/>
          <w:szCs w:val="22"/>
        </w:rPr>
      </w:pPr>
      <w:r w:rsidRPr="009D5607">
        <w:rPr>
          <w:rFonts w:ascii="Arial" w:hAnsi="Arial" w:cs="Arial"/>
          <w:sz w:val="22"/>
          <w:szCs w:val="22"/>
        </w:rPr>
        <w:t xml:space="preserve">GOV.UK. (2021a) </w:t>
      </w:r>
      <w:r w:rsidRPr="009D5607">
        <w:rPr>
          <w:rFonts w:ascii="Arial" w:hAnsi="Arial" w:cs="Arial"/>
          <w:i/>
          <w:iCs/>
          <w:sz w:val="22"/>
          <w:szCs w:val="22"/>
        </w:rPr>
        <w:t xml:space="preserve">How many people do we grant asylum or protection?, </w:t>
      </w:r>
      <w:r w:rsidRPr="009D5607">
        <w:rPr>
          <w:rFonts w:ascii="Arial" w:hAnsi="Arial" w:cs="Arial"/>
          <w:sz w:val="22"/>
          <w:szCs w:val="22"/>
        </w:rPr>
        <w:t xml:space="preserve">Available at: </w:t>
      </w:r>
      <w:hyperlink r:id="rId24" w:history="1">
        <w:r w:rsidRPr="009D5607">
          <w:rPr>
            <w:rStyle w:val="Hyperlink"/>
            <w:rFonts w:ascii="Arial" w:hAnsi="Arial" w:cs="Arial"/>
            <w:sz w:val="22"/>
            <w:szCs w:val="22"/>
          </w:rPr>
          <w:t>How many people do we grant asylum or protection to? - GOV.UK (www.gov.uk)</w:t>
        </w:r>
      </w:hyperlink>
      <w:r w:rsidRPr="009D5607">
        <w:rPr>
          <w:rFonts w:ascii="Arial" w:hAnsi="Arial" w:cs="Arial"/>
          <w:sz w:val="22"/>
          <w:szCs w:val="22"/>
        </w:rPr>
        <w:t xml:space="preserve"> (Accessed</w:t>
      </w:r>
      <w:r>
        <w:rPr>
          <w:rFonts w:ascii="Arial" w:hAnsi="Arial" w:cs="Arial"/>
          <w:sz w:val="22"/>
          <w:szCs w:val="22"/>
        </w:rPr>
        <w:t>: 07/12/2022)</w:t>
      </w:r>
    </w:p>
    <w:p w14:paraId="07ECEF9F" w14:textId="27B1554B" w:rsidR="009D5607" w:rsidRDefault="009D5607" w:rsidP="009D5607">
      <w:pPr>
        <w:rPr>
          <w:rFonts w:ascii="Arial" w:hAnsi="Arial" w:cs="Arial"/>
        </w:rPr>
      </w:pPr>
    </w:p>
    <w:p w14:paraId="66787D95" w14:textId="229B6800" w:rsidR="009D5607" w:rsidRDefault="009D5607" w:rsidP="009D5607">
      <w:pPr>
        <w:rPr>
          <w:rFonts w:ascii="Arial" w:hAnsi="Arial" w:cs="Arial"/>
          <w:sz w:val="22"/>
          <w:szCs w:val="22"/>
        </w:rPr>
      </w:pPr>
      <w:r w:rsidRPr="009D5607">
        <w:rPr>
          <w:rFonts w:ascii="Arial" w:hAnsi="Arial" w:cs="Arial"/>
          <w:sz w:val="22"/>
          <w:szCs w:val="22"/>
        </w:rPr>
        <w:t xml:space="preserve">GOV.UK (2021b) </w:t>
      </w:r>
      <w:r w:rsidRPr="009D5607">
        <w:rPr>
          <w:rFonts w:ascii="Arial" w:hAnsi="Arial" w:cs="Arial"/>
          <w:i/>
          <w:iCs/>
          <w:sz w:val="22"/>
          <w:szCs w:val="22"/>
        </w:rPr>
        <w:t xml:space="preserve">Police Workforce. </w:t>
      </w:r>
      <w:r w:rsidRPr="009D5607">
        <w:rPr>
          <w:rFonts w:ascii="Arial" w:hAnsi="Arial" w:cs="Arial"/>
          <w:sz w:val="22"/>
          <w:szCs w:val="22"/>
        </w:rPr>
        <w:t xml:space="preserve">Available at: </w:t>
      </w:r>
      <w:hyperlink r:id="rId25" w:history="1">
        <w:r w:rsidRPr="009D5607">
          <w:rPr>
            <w:rStyle w:val="Hyperlink"/>
            <w:rFonts w:ascii="Arial" w:hAnsi="Arial" w:cs="Arial"/>
            <w:sz w:val="22"/>
            <w:szCs w:val="22"/>
          </w:rPr>
          <w:t>Police workforce - GOV.UK Ethnicity facts and figures (ethnicity-facts-figures.service.gov.uk)</w:t>
        </w:r>
      </w:hyperlink>
      <w:r w:rsidRPr="009D5607">
        <w:rPr>
          <w:rFonts w:ascii="Arial" w:hAnsi="Arial" w:cs="Arial"/>
          <w:sz w:val="22"/>
          <w:szCs w:val="22"/>
        </w:rPr>
        <w:t xml:space="preserve"> (Accessed</w:t>
      </w:r>
      <w:r>
        <w:rPr>
          <w:rFonts w:ascii="Arial" w:hAnsi="Arial" w:cs="Arial"/>
          <w:sz w:val="22"/>
          <w:szCs w:val="22"/>
        </w:rPr>
        <w:t>: 06/12/2022)</w:t>
      </w:r>
    </w:p>
    <w:p w14:paraId="3EF190AE" w14:textId="54484464" w:rsidR="00F93077" w:rsidRDefault="00F93077" w:rsidP="009D5607">
      <w:pPr>
        <w:rPr>
          <w:rFonts w:ascii="Arial" w:hAnsi="Arial" w:cs="Arial"/>
          <w:sz w:val="22"/>
          <w:szCs w:val="22"/>
        </w:rPr>
      </w:pPr>
    </w:p>
    <w:p w14:paraId="5C469E5D" w14:textId="504CB06B" w:rsidR="00F93077" w:rsidRDefault="00F93077" w:rsidP="00F93077">
      <w:pPr>
        <w:rPr>
          <w:rFonts w:ascii="Arial" w:hAnsi="Arial" w:cs="Arial"/>
          <w:sz w:val="22"/>
          <w:szCs w:val="22"/>
        </w:rPr>
      </w:pPr>
      <w:r w:rsidRPr="00F93077">
        <w:rPr>
          <w:rFonts w:ascii="Arial" w:hAnsi="Arial" w:cs="Arial"/>
          <w:sz w:val="22"/>
          <w:szCs w:val="22"/>
        </w:rPr>
        <w:t xml:space="preserve">HMGovernment (2009) </w:t>
      </w:r>
      <w:r w:rsidRPr="00F93077">
        <w:rPr>
          <w:rFonts w:ascii="Arial" w:hAnsi="Arial" w:cs="Arial"/>
          <w:i/>
          <w:iCs/>
          <w:sz w:val="22"/>
          <w:szCs w:val="22"/>
        </w:rPr>
        <w:t xml:space="preserve">Pursue Prevent Protect Prepare </w:t>
      </w:r>
      <w:proofErr w:type="gramStart"/>
      <w:r w:rsidRPr="00F93077">
        <w:rPr>
          <w:rFonts w:ascii="Arial" w:hAnsi="Arial" w:cs="Arial"/>
          <w:i/>
          <w:iCs/>
          <w:sz w:val="22"/>
          <w:szCs w:val="22"/>
        </w:rPr>
        <w:t>The</w:t>
      </w:r>
      <w:proofErr w:type="gramEnd"/>
      <w:r w:rsidRPr="00F93077">
        <w:rPr>
          <w:rFonts w:ascii="Arial" w:hAnsi="Arial" w:cs="Arial"/>
          <w:i/>
          <w:iCs/>
          <w:sz w:val="22"/>
          <w:szCs w:val="22"/>
        </w:rPr>
        <w:t xml:space="preserve"> United Kingdom’s Strategy for Countering International Terrorism. </w:t>
      </w:r>
      <w:r w:rsidRPr="00F93077">
        <w:rPr>
          <w:rFonts w:ascii="Arial" w:hAnsi="Arial" w:cs="Arial"/>
          <w:sz w:val="22"/>
          <w:szCs w:val="22"/>
        </w:rPr>
        <w:t xml:space="preserve">Available at: </w:t>
      </w:r>
      <w:hyperlink r:id="rId26" w:history="1">
        <w:r w:rsidRPr="00F93077">
          <w:rPr>
            <w:rStyle w:val="Hyperlink"/>
            <w:rFonts w:ascii="Arial" w:hAnsi="Arial" w:cs="Arial"/>
            <w:sz w:val="22"/>
            <w:szCs w:val="22"/>
          </w:rPr>
          <w:t>HO-Contest-strategy.pdf (college.police.uk)</w:t>
        </w:r>
      </w:hyperlink>
      <w:r w:rsidRPr="00F93077">
        <w:rPr>
          <w:rFonts w:ascii="Arial" w:hAnsi="Arial" w:cs="Arial"/>
          <w:sz w:val="22"/>
          <w:szCs w:val="22"/>
        </w:rPr>
        <w:t xml:space="preserve"> (Accessed: </w:t>
      </w:r>
      <w:r>
        <w:rPr>
          <w:rFonts w:ascii="Arial" w:hAnsi="Arial" w:cs="Arial"/>
          <w:sz w:val="22"/>
          <w:szCs w:val="22"/>
        </w:rPr>
        <w:t>06/12/2022)</w:t>
      </w:r>
    </w:p>
    <w:p w14:paraId="59F9F962" w14:textId="65E1191D" w:rsidR="006A39D9" w:rsidRDefault="006A39D9" w:rsidP="00026E19">
      <w:pPr>
        <w:rPr>
          <w:rFonts w:ascii="Arial" w:hAnsi="Arial" w:cs="Arial"/>
          <w:sz w:val="22"/>
          <w:szCs w:val="22"/>
        </w:rPr>
      </w:pPr>
    </w:p>
    <w:p w14:paraId="081CEA85" w14:textId="32B8E74E" w:rsidR="007608F2" w:rsidRDefault="007608F2" w:rsidP="007608F2">
      <w:pPr>
        <w:rPr>
          <w:rFonts w:ascii="Arial" w:hAnsi="Arial" w:cs="Arial"/>
          <w:sz w:val="22"/>
          <w:szCs w:val="22"/>
        </w:rPr>
      </w:pPr>
      <w:r>
        <w:rPr>
          <w:rFonts w:ascii="Arial" w:hAnsi="Arial" w:cs="Arial"/>
          <w:sz w:val="22"/>
          <w:szCs w:val="22"/>
        </w:rPr>
        <w:t xml:space="preserve">Home Office (2016) </w:t>
      </w:r>
      <w:r>
        <w:rPr>
          <w:rFonts w:ascii="Arial" w:hAnsi="Arial" w:cs="Arial"/>
          <w:i/>
          <w:iCs/>
          <w:sz w:val="22"/>
          <w:szCs w:val="22"/>
        </w:rPr>
        <w:t>Modern Crime Prevention Strategy.</w:t>
      </w:r>
      <w:r>
        <w:t xml:space="preserve"> </w:t>
      </w:r>
      <w:r>
        <w:rPr>
          <w:rFonts w:ascii="Arial" w:hAnsi="Arial" w:cs="Arial"/>
          <w:sz w:val="22"/>
          <w:szCs w:val="22"/>
        </w:rPr>
        <w:t xml:space="preserve">Available at: </w:t>
      </w:r>
      <w:hyperlink r:id="rId27" w:history="1">
        <w:r w:rsidRPr="007608F2">
          <w:rPr>
            <w:rStyle w:val="Hyperlink"/>
            <w:rFonts w:ascii="Arial" w:hAnsi="Arial" w:cs="Arial"/>
            <w:sz w:val="22"/>
            <w:szCs w:val="22"/>
          </w:rPr>
          <w:t xml:space="preserve">6.1770_Modern Crime Prevention </w:t>
        </w:r>
        <w:proofErr w:type="spellStart"/>
        <w:r w:rsidRPr="007608F2">
          <w:rPr>
            <w:rStyle w:val="Hyperlink"/>
            <w:rFonts w:ascii="Arial" w:hAnsi="Arial" w:cs="Arial"/>
            <w:sz w:val="22"/>
            <w:szCs w:val="22"/>
          </w:rPr>
          <w:t>Strategy_final</w:t>
        </w:r>
        <w:proofErr w:type="spellEnd"/>
        <w:r w:rsidRPr="007608F2">
          <w:rPr>
            <w:rStyle w:val="Hyperlink"/>
            <w:rFonts w:ascii="Arial" w:hAnsi="Arial" w:cs="Arial"/>
            <w:sz w:val="22"/>
            <w:szCs w:val="22"/>
          </w:rPr>
          <w:t xml:space="preserve"> (publishing.service.gov.uk)</w:t>
        </w:r>
      </w:hyperlink>
      <w:r>
        <w:t xml:space="preserve"> </w:t>
      </w:r>
      <w:r w:rsidRPr="00202EE3">
        <w:rPr>
          <w:rFonts w:ascii="Arial" w:hAnsi="Arial" w:cs="Arial"/>
          <w:sz w:val="22"/>
          <w:szCs w:val="22"/>
        </w:rPr>
        <w:t>(Accessed: 23/02/2023)</w:t>
      </w:r>
    </w:p>
    <w:p w14:paraId="7A8E782B" w14:textId="46A50BD9" w:rsidR="00C574BE" w:rsidRDefault="00C574BE" w:rsidP="007608F2">
      <w:pPr>
        <w:rPr>
          <w:rFonts w:ascii="Arial" w:hAnsi="Arial" w:cs="Arial"/>
          <w:sz w:val="22"/>
          <w:szCs w:val="22"/>
        </w:rPr>
      </w:pPr>
    </w:p>
    <w:p w14:paraId="3A89F555" w14:textId="551B19F7" w:rsidR="00C574BE" w:rsidRPr="007514E6" w:rsidRDefault="00C574BE" w:rsidP="00C574BE">
      <w:pPr>
        <w:rPr>
          <w:rFonts w:ascii="Arial" w:hAnsi="Arial" w:cs="Arial"/>
          <w:sz w:val="22"/>
          <w:szCs w:val="22"/>
        </w:rPr>
      </w:pPr>
      <w:r w:rsidRPr="007514E6">
        <w:rPr>
          <w:rFonts w:ascii="Arial" w:hAnsi="Arial" w:cs="Arial"/>
          <w:sz w:val="22"/>
          <w:szCs w:val="22"/>
        </w:rPr>
        <w:t xml:space="preserve">Hough, M. and Stanko, E. (2019) ’Designing Degree-Level Courses for Police Recruits in England and Wales: Some Issues and Challenges’ </w:t>
      </w:r>
      <w:r w:rsidRPr="007514E6">
        <w:rPr>
          <w:rFonts w:ascii="Arial" w:hAnsi="Arial" w:cs="Arial"/>
          <w:i/>
          <w:iCs/>
          <w:sz w:val="22"/>
          <w:szCs w:val="22"/>
        </w:rPr>
        <w:t>Policing: A Journal of Policy and Practice</w:t>
      </w:r>
      <w:r w:rsidRPr="007514E6">
        <w:rPr>
          <w:rFonts w:ascii="Arial" w:hAnsi="Arial" w:cs="Arial"/>
          <w:sz w:val="22"/>
          <w:szCs w:val="22"/>
        </w:rPr>
        <w:t>,</w:t>
      </w:r>
      <w:r w:rsidRPr="007514E6">
        <w:rPr>
          <w:rFonts w:ascii="Arial" w:hAnsi="Arial" w:cs="Arial"/>
          <w:i/>
          <w:iCs/>
          <w:sz w:val="22"/>
          <w:szCs w:val="22"/>
        </w:rPr>
        <w:t xml:space="preserve"> </w:t>
      </w:r>
      <w:r w:rsidRPr="007514E6">
        <w:rPr>
          <w:rFonts w:ascii="Arial" w:hAnsi="Arial" w:cs="Arial"/>
          <w:sz w:val="22"/>
          <w:szCs w:val="22"/>
        </w:rPr>
        <w:t>14(1), pp. 31-42. DOI: 10.1093/police</w:t>
      </w:r>
      <w:r w:rsidR="00395628">
        <w:rPr>
          <w:rFonts w:ascii="Arial" w:hAnsi="Arial" w:cs="Arial"/>
          <w:sz w:val="22"/>
          <w:szCs w:val="22"/>
        </w:rPr>
        <w:t>/</w:t>
      </w:r>
      <w:r w:rsidRPr="007514E6">
        <w:rPr>
          <w:rFonts w:ascii="Arial" w:hAnsi="Arial" w:cs="Arial"/>
          <w:sz w:val="22"/>
          <w:szCs w:val="22"/>
        </w:rPr>
        <w:t xml:space="preserve">pay096. Available at: </w:t>
      </w:r>
      <w:hyperlink r:id="rId28" w:history="1">
        <w:r w:rsidRPr="007514E6">
          <w:rPr>
            <w:rStyle w:val="Hyperlink"/>
            <w:rFonts w:ascii="Arial" w:hAnsi="Arial" w:cs="Arial"/>
            <w:sz w:val="22"/>
            <w:szCs w:val="22"/>
          </w:rPr>
          <w:t>Designing Degree-Level Courses for Police Recruits in England and Wales: Some Issues and Challenges | Policing: A Journal of Policy and Practice | Oxford Academic (oup.com)</w:t>
        </w:r>
      </w:hyperlink>
      <w:r w:rsidRPr="007514E6">
        <w:rPr>
          <w:rFonts w:ascii="Arial" w:hAnsi="Arial" w:cs="Arial"/>
          <w:sz w:val="22"/>
          <w:szCs w:val="22"/>
        </w:rPr>
        <w:t xml:space="preserve"> (Accessed: 04/12/2022)</w:t>
      </w:r>
    </w:p>
    <w:p w14:paraId="585DB506" w14:textId="77777777" w:rsidR="007608F2" w:rsidRDefault="007608F2" w:rsidP="007608F2">
      <w:pPr>
        <w:rPr>
          <w:rFonts w:ascii="Arial" w:hAnsi="Arial" w:cs="Arial"/>
          <w:sz w:val="22"/>
          <w:szCs w:val="22"/>
        </w:rPr>
      </w:pPr>
    </w:p>
    <w:p w14:paraId="1DF696AD" w14:textId="5E08D9DD" w:rsidR="007608F2" w:rsidRDefault="007608F2" w:rsidP="007608F2">
      <w:pPr>
        <w:rPr>
          <w:rFonts w:ascii="Arial" w:hAnsi="Arial" w:cs="Arial"/>
          <w:sz w:val="22"/>
          <w:szCs w:val="22"/>
        </w:rPr>
      </w:pPr>
      <w:r>
        <w:rPr>
          <w:rFonts w:ascii="Arial" w:hAnsi="Arial" w:cs="Arial"/>
          <w:sz w:val="22"/>
          <w:szCs w:val="22"/>
        </w:rPr>
        <w:t xml:space="preserve">House of Commons (2019) </w:t>
      </w:r>
      <w:r>
        <w:rPr>
          <w:rFonts w:ascii="Arial" w:hAnsi="Arial" w:cs="Arial"/>
          <w:i/>
          <w:iCs/>
          <w:sz w:val="22"/>
          <w:szCs w:val="22"/>
        </w:rPr>
        <w:t xml:space="preserve">Serious and Organised Crime. </w:t>
      </w:r>
      <w:r>
        <w:rPr>
          <w:rFonts w:ascii="Arial" w:hAnsi="Arial" w:cs="Arial"/>
          <w:sz w:val="22"/>
          <w:szCs w:val="22"/>
        </w:rPr>
        <w:t xml:space="preserve">Available at: </w:t>
      </w:r>
      <w:hyperlink r:id="rId29" w:history="1">
        <w:r w:rsidRPr="007608F2">
          <w:rPr>
            <w:rStyle w:val="Hyperlink"/>
            <w:rFonts w:ascii="Arial" w:hAnsi="Arial" w:cs="Arial"/>
            <w:sz w:val="22"/>
            <w:szCs w:val="22"/>
          </w:rPr>
          <w:t>Serious and Organised Crime (college.police.uk)</w:t>
        </w:r>
      </w:hyperlink>
      <w:r>
        <w:t xml:space="preserve"> </w:t>
      </w:r>
      <w:r w:rsidRPr="0024262F">
        <w:rPr>
          <w:rFonts w:ascii="Arial" w:hAnsi="Arial" w:cs="Arial"/>
          <w:sz w:val="22"/>
          <w:szCs w:val="22"/>
        </w:rPr>
        <w:t>(Accessed: 25/02/2023)</w:t>
      </w:r>
    </w:p>
    <w:p w14:paraId="149AE51B" w14:textId="1553ECEA" w:rsidR="00395628" w:rsidRDefault="00395628" w:rsidP="007608F2">
      <w:pPr>
        <w:rPr>
          <w:rFonts w:ascii="Arial" w:hAnsi="Arial" w:cs="Arial"/>
          <w:sz w:val="22"/>
          <w:szCs w:val="22"/>
        </w:rPr>
      </w:pPr>
    </w:p>
    <w:p w14:paraId="4FB49803" w14:textId="5E387E1C" w:rsidR="00395628" w:rsidRDefault="00395628" w:rsidP="007608F2">
      <w:pPr>
        <w:rPr>
          <w:rFonts w:ascii="Arial" w:hAnsi="Arial" w:cs="Arial"/>
          <w:sz w:val="22"/>
          <w:szCs w:val="22"/>
        </w:rPr>
      </w:pPr>
      <w:r w:rsidRPr="001847D9">
        <w:rPr>
          <w:rFonts w:ascii="Arial" w:hAnsi="Arial" w:cs="Arial"/>
          <w:sz w:val="22"/>
          <w:szCs w:val="22"/>
        </w:rPr>
        <w:t>Hughes, G</w:t>
      </w:r>
      <w:r>
        <w:rPr>
          <w:rFonts w:ascii="Arial" w:hAnsi="Arial" w:cs="Arial"/>
          <w:sz w:val="22"/>
          <w:szCs w:val="22"/>
        </w:rPr>
        <w:t>.</w:t>
      </w:r>
      <w:r w:rsidRPr="001847D9">
        <w:rPr>
          <w:rFonts w:ascii="Arial" w:hAnsi="Arial" w:cs="Arial"/>
          <w:sz w:val="22"/>
          <w:szCs w:val="22"/>
        </w:rPr>
        <w:t xml:space="preserve"> (</w:t>
      </w:r>
      <w:r>
        <w:rPr>
          <w:rFonts w:ascii="Arial" w:hAnsi="Arial" w:cs="Arial"/>
          <w:sz w:val="22"/>
          <w:szCs w:val="22"/>
        </w:rPr>
        <w:t>1998)</w:t>
      </w:r>
      <w:r w:rsidRPr="001847D9">
        <w:rPr>
          <w:rFonts w:ascii="Arial" w:hAnsi="Arial" w:cs="Arial"/>
          <w:sz w:val="22"/>
          <w:szCs w:val="22"/>
        </w:rPr>
        <w:t xml:space="preserve"> </w:t>
      </w:r>
      <w:r w:rsidRPr="001847D9">
        <w:rPr>
          <w:rFonts w:ascii="Arial" w:hAnsi="Arial" w:cs="Arial"/>
          <w:i/>
          <w:iCs/>
          <w:sz w:val="22"/>
          <w:szCs w:val="22"/>
        </w:rPr>
        <w:t>Understanding Crime Prevention</w:t>
      </w:r>
      <w:r>
        <w:rPr>
          <w:rFonts w:ascii="Arial" w:hAnsi="Arial" w:cs="Arial"/>
          <w:sz w:val="22"/>
          <w:szCs w:val="22"/>
        </w:rPr>
        <w:t>. Philadelphia: Open University Press</w:t>
      </w:r>
    </w:p>
    <w:p w14:paraId="40552307" w14:textId="1D2D8C60" w:rsidR="00526D5D" w:rsidRDefault="00526D5D" w:rsidP="007608F2">
      <w:pPr>
        <w:rPr>
          <w:rFonts w:ascii="Arial" w:hAnsi="Arial" w:cs="Arial"/>
          <w:sz w:val="22"/>
          <w:szCs w:val="22"/>
        </w:rPr>
      </w:pPr>
    </w:p>
    <w:p w14:paraId="64A900B2" w14:textId="77777777" w:rsidR="00526D5D" w:rsidRPr="00654E53" w:rsidRDefault="00526D5D" w:rsidP="00526D5D">
      <w:pPr>
        <w:rPr>
          <w:rFonts w:ascii="Arial" w:hAnsi="Arial" w:cs="Arial"/>
          <w:sz w:val="22"/>
          <w:szCs w:val="22"/>
        </w:rPr>
      </w:pPr>
      <w:r>
        <w:rPr>
          <w:rFonts w:ascii="Arial" w:hAnsi="Arial" w:cs="Arial"/>
          <w:sz w:val="22"/>
          <w:szCs w:val="22"/>
        </w:rPr>
        <w:t xml:space="preserve">Hurley, M and Boulton, L.J. (2021) ‘Early Identification and intervention with individuals at risk of becoming involved in serious and organised crime (SOC)’, </w:t>
      </w:r>
      <w:r>
        <w:rPr>
          <w:rFonts w:ascii="Arial" w:hAnsi="Arial" w:cs="Arial"/>
          <w:i/>
          <w:iCs/>
          <w:sz w:val="22"/>
          <w:szCs w:val="22"/>
        </w:rPr>
        <w:t xml:space="preserve">Safer Communities, </w:t>
      </w:r>
      <w:r>
        <w:rPr>
          <w:rFonts w:ascii="Arial" w:hAnsi="Arial" w:cs="Arial"/>
          <w:sz w:val="22"/>
          <w:szCs w:val="22"/>
        </w:rPr>
        <w:t>20(2), pp. 73–84.</w:t>
      </w:r>
      <w:r>
        <w:rPr>
          <w:rFonts w:ascii="Arial" w:hAnsi="Arial" w:cs="Arial"/>
          <w:i/>
          <w:iCs/>
          <w:sz w:val="22"/>
          <w:szCs w:val="22"/>
        </w:rPr>
        <w:t xml:space="preserve"> </w:t>
      </w:r>
      <w:r>
        <w:rPr>
          <w:rFonts w:ascii="Arial" w:hAnsi="Arial" w:cs="Arial"/>
          <w:sz w:val="22"/>
          <w:szCs w:val="22"/>
        </w:rPr>
        <w:t xml:space="preserve">DOI: </w:t>
      </w:r>
    </w:p>
    <w:p w14:paraId="428C8DFF" w14:textId="17592E79" w:rsidR="00526D5D" w:rsidRDefault="00526D5D" w:rsidP="00526D5D">
      <w:pPr>
        <w:rPr>
          <w:rFonts w:ascii="Arial" w:hAnsi="Arial" w:cs="Arial"/>
          <w:sz w:val="22"/>
          <w:szCs w:val="22"/>
        </w:rPr>
      </w:pPr>
      <w:r w:rsidRPr="00654E53">
        <w:rPr>
          <w:rFonts w:ascii="Arial" w:hAnsi="Arial" w:cs="Arial"/>
          <w:sz w:val="22"/>
          <w:szCs w:val="22"/>
        </w:rPr>
        <w:t>10.1108/SC-11-2020-0039</w:t>
      </w:r>
      <w:r>
        <w:rPr>
          <w:rFonts w:ascii="Arial" w:hAnsi="Arial" w:cs="Arial"/>
          <w:sz w:val="22"/>
          <w:szCs w:val="22"/>
        </w:rPr>
        <w:t xml:space="preserve">. Available at: </w:t>
      </w:r>
      <w:hyperlink r:id="rId30" w:history="1">
        <w:r w:rsidRPr="00407F6A">
          <w:rPr>
            <w:rStyle w:val="Hyperlink"/>
            <w:rFonts w:ascii="Arial" w:hAnsi="Arial" w:cs="Arial"/>
            <w:sz w:val="22"/>
            <w:szCs w:val="22"/>
          </w:rPr>
          <w:t>https://doi.org/10.1108/SC-11-2020-0039</w:t>
        </w:r>
      </w:hyperlink>
      <w:r>
        <w:rPr>
          <w:rFonts w:ascii="Arial" w:hAnsi="Arial" w:cs="Arial"/>
          <w:sz w:val="22"/>
          <w:szCs w:val="22"/>
        </w:rPr>
        <w:t xml:space="preserve"> (Accessed: 27/02/2023)</w:t>
      </w:r>
    </w:p>
    <w:p w14:paraId="53588D3B" w14:textId="072EEFE5" w:rsidR="00F411B4" w:rsidRDefault="00F411B4" w:rsidP="00526D5D">
      <w:pPr>
        <w:rPr>
          <w:rFonts w:ascii="Arial" w:hAnsi="Arial" w:cs="Arial"/>
          <w:sz w:val="22"/>
          <w:szCs w:val="22"/>
        </w:rPr>
      </w:pPr>
    </w:p>
    <w:p w14:paraId="0562C710" w14:textId="18FA8378" w:rsidR="00F411B4" w:rsidRDefault="00F411B4" w:rsidP="00F411B4">
      <w:pPr>
        <w:rPr>
          <w:rFonts w:ascii="Arial" w:hAnsi="Arial" w:cs="Arial"/>
          <w:sz w:val="22"/>
          <w:szCs w:val="22"/>
        </w:rPr>
      </w:pPr>
      <w:r w:rsidRPr="00F411B4">
        <w:rPr>
          <w:rFonts w:ascii="Arial" w:hAnsi="Arial" w:cs="Arial"/>
          <w:sz w:val="22"/>
          <w:szCs w:val="22"/>
        </w:rPr>
        <w:t xml:space="preserve">Innes et al. (2020) </w:t>
      </w:r>
      <w:r w:rsidRPr="00F411B4">
        <w:rPr>
          <w:rFonts w:ascii="Arial" w:hAnsi="Arial" w:cs="Arial"/>
          <w:i/>
          <w:iCs/>
          <w:sz w:val="22"/>
          <w:szCs w:val="22"/>
        </w:rPr>
        <w:t xml:space="preserve">Neighbourhood policing: the rise and fall of a policing model. </w:t>
      </w:r>
      <w:r w:rsidRPr="00F411B4">
        <w:rPr>
          <w:rFonts w:ascii="Arial" w:hAnsi="Arial" w:cs="Arial"/>
          <w:sz w:val="22"/>
          <w:szCs w:val="22"/>
        </w:rPr>
        <w:t>Oxford: Oxford University Press</w:t>
      </w:r>
    </w:p>
    <w:p w14:paraId="5D926025" w14:textId="537F4534" w:rsidR="00F411B4" w:rsidRDefault="00F411B4" w:rsidP="00F411B4">
      <w:pPr>
        <w:rPr>
          <w:rFonts w:ascii="Arial" w:hAnsi="Arial" w:cs="Arial"/>
          <w:sz w:val="22"/>
          <w:szCs w:val="22"/>
        </w:rPr>
      </w:pPr>
    </w:p>
    <w:p w14:paraId="5CD585CD" w14:textId="4F412D87" w:rsidR="00F411B4" w:rsidRDefault="00F411B4" w:rsidP="00F411B4">
      <w:pPr>
        <w:rPr>
          <w:rFonts w:ascii="Arial" w:hAnsi="Arial" w:cs="Arial"/>
          <w:sz w:val="22"/>
          <w:szCs w:val="22"/>
        </w:rPr>
      </w:pPr>
      <w:r w:rsidRPr="00F411B4">
        <w:rPr>
          <w:rFonts w:ascii="Arial" w:hAnsi="Arial" w:cs="Arial"/>
          <w:sz w:val="22"/>
          <w:szCs w:val="22"/>
        </w:rPr>
        <w:t xml:space="preserve">Lowe, D. and Bennett, R. (2021) </w:t>
      </w:r>
      <w:r w:rsidRPr="00F411B4">
        <w:rPr>
          <w:rFonts w:ascii="Arial" w:hAnsi="Arial" w:cs="Arial"/>
          <w:i/>
          <w:iCs/>
          <w:sz w:val="22"/>
          <w:szCs w:val="22"/>
        </w:rPr>
        <w:t xml:space="preserve">The prevent strategy: helping the vulnerable being drawn towards terrorism or another layer of surveillance? </w:t>
      </w:r>
      <w:r w:rsidRPr="00F411B4">
        <w:rPr>
          <w:rFonts w:ascii="Arial" w:hAnsi="Arial" w:cs="Arial"/>
          <w:sz w:val="22"/>
          <w:szCs w:val="22"/>
        </w:rPr>
        <w:t>Abingdon: Routledge</w:t>
      </w:r>
    </w:p>
    <w:p w14:paraId="127C7DFF" w14:textId="56D14C9C" w:rsidR="00395628" w:rsidRDefault="00395628" w:rsidP="00F411B4">
      <w:pPr>
        <w:rPr>
          <w:rFonts w:ascii="Arial" w:hAnsi="Arial" w:cs="Arial"/>
          <w:sz w:val="22"/>
          <w:szCs w:val="22"/>
        </w:rPr>
      </w:pPr>
    </w:p>
    <w:p w14:paraId="3ABDD81E" w14:textId="77777777" w:rsidR="00395628" w:rsidRPr="00395628" w:rsidRDefault="00395628" w:rsidP="00395628">
      <w:pPr>
        <w:rPr>
          <w:rFonts w:ascii="Arial" w:hAnsi="Arial" w:cs="Arial"/>
          <w:sz w:val="22"/>
          <w:szCs w:val="22"/>
        </w:rPr>
      </w:pPr>
      <w:r w:rsidRPr="00395628">
        <w:rPr>
          <w:rFonts w:ascii="Arial" w:hAnsi="Arial" w:cs="Arial"/>
          <w:sz w:val="22"/>
          <w:szCs w:val="22"/>
        </w:rPr>
        <w:t xml:space="preserve">Lumsden, K. (2017) ‘It’s a Profession, it Isn’t a job: Police Officers’ Views on the Professionalisation of Policing in England’ </w:t>
      </w:r>
      <w:r w:rsidRPr="00395628">
        <w:rPr>
          <w:rFonts w:ascii="Arial" w:hAnsi="Arial" w:cs="Arial"/>
          <w:i/>
          <w:iCs/>
          <w:sz w:val="22"/>
          <w:szCs w:val="22"/>
        </w:rPr>
        <w:t xml:space="preserve">Sage Journals, </w:t>
      </w:r>
      <w:r w:rsidRPr="00395628">
        <w:rPr>
          <w:rFonts w:ascii="Arial" w:hAnsi="Arial" w:cs="Arial"/>
          <w:sz w:val="22"/>
          <w:szCs w:val="22"/>
        </w:rPr>
        <w:t xml:space="preserve">22(3), pp. 1-33. DOI: 10.1177/1360780417724062. Available at: </w:t>
      </w:r>
      <w:hyperlink r:id="rId31" w:history="1">
        <w:r w:rsidRPr="00395628">
          <w:rPr>
            <w:rStyle w:val="Hyperlink"/>
            <w:rFonts w:ascii="Arial" w:hAnsi="Arial" w:cs="Arial"/>
            <w:sz w:val="22"/>
            <w:szCs w:val="22"/>
          </w:rPr>
          <w:t>‘It’s a Profession, it Isn’t a Job’: Police Officers’ Views on the Professionalisation of Policing in England - Karen Lumsden, 2017 (sagepub.com)</w:t>
        </w:r>
      </w:hyperlink>
      <w:r w:rsidRPr="00395628">
        <w:rPr>
          <w:rFonts w:ascii="Arial" w:hAnsi="Arial" w:cs="Arial"/>
          <w:sz w:val="22"/>
          <w:szCs w:val="22"/>
        </w:rPr>
        <w:t xml:space="preserve"> (Accessed: 04/12/2022)</w:t>
      </w:r>
    </w:p>
    <w:p w14:paraId="5595154C" w14:textId="77777777" w:rsidR="005D756A" w:rsidRPr="00B82D7A" w:rsidRDefault="005D756A" w:rsidP="007608F2">
      <w:pPr>
        <w:spacing w:line="256" w:lineRule="auto"/>
        <w:ind w:right="531"/>
        <w:rPr>
          <w:rFonts w:ascii="Arial" w:eastAsia="Calibri" w:hAnsi="Arial" w:cs="Arial"/>
          <w:sz w:val="22"/>
          <w:szCs w:val="22"/>
        </w:rPr>
      </w:pPr>
    </w:p>
    <w:p w14:paraId="535ED754" w14:textId="7C90638F" w:rsidR="005D756A" w:rsidRDefault="005D756A" w:rsidP="005D756A">
      <w:pPr>
        <w:rPr>
          <w:rFonts w:ascii="Arial" w:hAnsi="Arial" w:cs="Arial"/>
          <w:sz w:val="22"/>
          <w:szCs w:val="22"/>
        </w:rPr>
      </w:pPr>
      <w:r w:rsidRPr="00B82D7A">
        <w:rPr>
          <w:rFonts w:ascii="Arial" w:hAnsi="Arial" w:cs="Arial"/>
          <w:sz w:val="22"/>
          <w:szCs w:val="22"/>
        </w:rPr>
        <w:t xml:space="preserve">Mitchell, </w:t>
      </w:r>
      <w:proofErr w:type="gramStart"/>
      <w:r w:rsidRPr="00B82D7A">
        <w:rPr>
          <w:rFonts w:ascii="Arial" w:hAnsi="Arial" w:cs="Arial"/>
          <w:sz w:val="22"/>
          <w:szCs w:val="22"/>
        </w:rPr>
        <w:t>R.</w:t>
      </w:r>
      <w:proofErr w:type="gramEnd"/>
      <w:r w:rsidRPr="00B82D7A">
        <w:rPr>
          <w:rFonts w:ascii="Arial" w:hAnsi="Arial" w:cs="Arial"/>
          <w:sz w:val="22"/>
          <w:szCs w:val="22"/>
        </w:rPr>
        <w:t xml:space="preserve"> and Lewis. S. (2017) ‘Intention is not method, belief is not evidence, rank is not proof: Ethical policing needs evidence-based decision making’, </w:t>
      </w:r>
      <w:r w:rsidRPr="00B82D7A">
        <w:rPr>
          <w:rFonts w:ascii="Arial" w:hAnsi="Arial" w:cs="Arial"/>
          <w:i/>
          <w:iCs/>
          <w:sz w:val="22"/>
          <w:szCs w:val="22"/>
        </w:rPr>
        <w:t>International Journal of Emergency Services</w:t>
      </w:r>
      <w:r>
        <w:rPr>
          <w:rFonts w:ascii="Arial" w:hAnsi="Arial" w:cs="Arial"/>
          <w:i/>
          <w:iCs/>
          <w:sz w:val="22"/>
          <w:szCs w:val="22"/>
        </w:rPr>
        <w:t>,</w:t>
      </w:r>
      <w:r w:rsidRPr="00B82D7A">
        <w:rPr>
          <w:rFonts w:ascii="Arial" w:hAnsi="Arial" w:cs="Arial"/>
          <w:sz w:val="22"/>
          <w:szCs w:val="22"/>
        </w:rPr>
        <w:t xml:space="preserve"> 6(3), pp. 188-199. DOI: 10.1108/IJES-04-2017-0018. Available at: </w:t>
      </w:r>
      <w:hyperlink r:id="rId32" w:anchor=":~:text=Mitchell%2C%20R.J.%20and%20Lewis%2C%20S.%20%282017%29%2C%20%22Intention%20is,No.%203%2C%20pp.%20188-199.%20https%3A%2F%2Fdoi.org%2F10.1108%2FIJES-04-2017-0018%20Download%20as.RIS%20Publisher" w:history="1">
        <w:r w:rsidRPr="00B82D7A">
          <w:rPr>
            <w:rStyle w:val="Hyperlink"/>
            <w:rFonts w:ascii="Arial" w:hAnsi="Arial" w:cs="Arial"/>
            <w:sz w:val="22"/>
            <w:szCs w:val="22"/>
          </w:rPr>
          <w:t>Intention is not method, belief is not evidence, rank is not proof: Ethical policing needs evidence-based decision making | Emerald Insight</w:t>
        </w:r>
      </w:hyperlink>
      <w:r w:rsidRPr="00B82D7A">
        <w:rPr>
          <w:rFonts w:ascii="Arial" w:hAnsi="Arial" w:cs="Arial"/>
          <w:sz w:val="22"/>
          <w:szCs w:val="22"/>
        </w:rPr>
        <w:t xml:space="preserve"> (Accessed: 01/03/2023)</w:t>
      </w:r>
    </w:p>
    <w:p w14:paraId="4A485052" w14:textId="6529FEE2" w:rsidR="00AB68A0" w:rsidRDefault="00AB68A0" w:rsidP="005D756A">
      <w:pPr>
        <w:rPr>
          <w:rFonts w:ascii="Arial" w:hAnsi="Arial" w:cs="Arial"/>
          <w:sz w:val="22"/>
          <w:szCs w:val="22"/>
        </w:rPr>
      </w:pPr>
    </w:p>
    <w:p w14:paraId="5BC06D7D" w14:textId="77777777" w:rsidR="00AB68A0" w:rsidRPr="00AB68A0" w:rsidRDefault="00AB68A0" w:rsidP="00AB68A0">
      <w:pPr>
        <w:rPr>
          <w:rFonts w:ascii="Arial" w:hAnsi="Arial" w:cs="Arial"/>
          <w:sz w:val="22"/>
          <w:szCs w:val="22"/>
        </w:rPr>
      </w:pPr>
      <w:r w:rsidRPr="00AB68A0">
        <w:rPr>
          <w:rFonts w:ascii="Arial" w:hAnsi="Arial" w:cs="Arial"/>
          <w:sz w:val="22"/>
          <w:szCs w:val="22"/>
        </w:rPr>
        <w:t xml:space="preserve">Terrorism Act 2000, c.11. Available at: </w:t>
      </w:r>
      <w:hyperlink r:id="rId33" w:history="1">
        <w:r w:rsidRPr="00AB68A0">
          <w:rPr>
            <w:rStyle w:val="Hyperlink"/>
            <w:rFonts w:ascii="Arial" w:hAnsi="Arial" w:cs="Arial"/>
            <w:sz w:val="22"/>
            <w:szCs w:val="22"/>
          </w:rPr>
          <w:t>Terrorism Act 2000 (legislation.gov.uk)</w:t>
        </w:r>
      </w:hyperlink>
      <w:r w:rsidRPr="00AB68A0">
        <w:rPr>
          <w:rFonts w:ascii="Arial" w:hAnsi="Arial" w:cs="Arial"/>
          <w:sz w:val="22"/>
          <w:szCs w:val="22"/>
        </w:rPr>
        <w:t xml:space="preserve"> (Accessed: 06/12/2022)</w:t>
      </w:r>
    </w:p>
    <w:p w14:paraId="0DE21D71" w14:textId="369040BB" w:rsidR="00F411B4" w:rsidRDefault="00F411B4" w:rsidP="005D756A">
      <w:pPr>
        <w:rPr>
          <w:rFonts w:ascii="Arial" w:hAnsi="Arial" w:cs="Arial"/>
          <w:sz w:val="22"/>
          <w:szCs w:val="22"/>
        </w:rPr>
      </w:pPr>
    </w:p>
    <w:p w14:paraId="21B973EE" w14:textId="2401EED0" w:rsidR="00F411B4" w:rsidRPr="00F411B4" w:rsidRDefault="00F411B4" w:rsidP="00F411B4">
      <w:pPr>
        <w:rPr>
          <w:rFonts w:ascii="Arial" w:hAnsi="Arial" w:cs="Arial"/>
          <w:sz w:val="22"/>
          <w:szCs w:val="22"/>
        </w:rPr>
      </w:pPr>
      <w:r w:rsidRPr="00F411B4">
        <w:rPr>
          <w:rFonts w:ascii="Arial" w:hAnsi="Arial" w:cs="Arial"/>
          <w:sz w:val="22"/>
          <w:szCs w:val="22"/>
        </w:rPr>
        <w:t xml:space="preserve">Schraer, R. (2019) </w:t>
      </w:r>
      <w:r w:rsidRPr="00F411B4">
        <w:rPr>
          <w:rFonts w:ascii="Arial" w:hAnsi="Arial" w:cs="Arial"/>
          <w:i/>
          <w:iCs/>
          <w:sz w:val="22"/>
          <w:szCs w:val="22"/>
        </w:rPr>
        <w:t xml:space="preserve">Have police numbers </w:t>
      </w:r>
      <w:proofErr w:type="gramStart"/>
      <w:r w:rsidRPr="00F411B4">
        <w:rPr>
          <w:rFonts w:ascii="Arial" w:hAnsi="Arial" w:cs="Arial"/>
          <w:i/>
          <w:iCs/>
          <w:sz w:val="22"/>
          <w:szCs w:val="22"/>
        </w:rPr>
        <w:t>dropped?.</w:t>
      </w:r>
      <w:proofErr w:type="gramEnd"/>
      <w:r w:rsidRPr="00F411B4">
        <w:rPr>
          <w:rFonts w:ascii="Arial" w:hAnsi="Arial" w:cs="Arial"/>
          <w:i/>
          <w:iCs/>
          <w:sz w:val="22"/>
          <w:szCs w:val="22"/>
        </w:rPr>
        <w:t xml:space="preserve"> </w:t>
      </w:r>
      <w:r w:rsidRPr="00F411B4">
        <w:rPr>
          <w:rFonts w:ascii="Arial" w:hAnsi="Arial" w:cs="Arial"/>
          <w:sz w:val="22"/>
          <w:szCs w:val="22"/>
        </w:rPr>
        <w:t xml:space="preserve">Available at: </w:t>
      </w:r>
      <w:hyperlink r:id="rId34" w:history="1">
        <w:r w:rsidRPr="00F411B4">
          <w:rPr>
            <w:rStyle w:val="Hyperlink"/>
            <w:rFonts w:ascii="Arial" w:hAnsi="Arial" w:cs="Arial"/>
            <w:sz w:val="22"/>
            <w:szCs w:val="22"/>
          </w:rPr>
          <w:t>Have police numbers dropped? - BBC News</w:t>
        </w:r>
      </w:hyperlink>
      <w:r w:rsidRPr="00F411B4">
        <w:rPr>
          <w:rFonts w:ascii="Arial" w:hAnsi="Arial" w:cs="Arial"/>
          <w:sz w:val="22"/>
          <w:szCs w:val="22"/>
        </w:rPr>
        <w:t xml:space="preserve"> (Accessed</w:t>
      </w:r>
      <w:r w:rsidR="00AB68A0">
        <w:rPr>
          <w:rFonts w:ascii="Arial" w:hAnsi="Arial" w:cs="Arial"/>
          <w:sz w:val="22"/>
          <w:szCs w:val="22"/>
        </w:rPr>
        <w:t>: 07/12/2022</w:t>
      </w:r>
      <w:r w:rsidRPr="00F411B4">
        <w:rPr>
          <w:rFonts w:ascii="Arial" w:hAnsi="Arial" w:cs="Arial"/>
          <w:sz w:val="22"/>
          <w:szCs w:val="22"/>
        </w:rPr>
        <w:t>)</w:t>
      </w:r>
    </w:p>
    <w:p w14:paraId="2363C823" w14:textId="77777777" w:rsidR="00F411B4" w:rsidRPr="00C32935" w:rsidRDefault="00F411B4" w:rsidP="00F411B4">
      <w:pPr>
        <w:rPr>
          <w:rFonts w:ascii="Arial" w:hAnsi="Arial" w:cs="Arial"/>
        </w:rPr>
      </w:pPr>
    </w:p>
    <w:p w14:paraId="2F5A96FC" w14:textId="7A60C45A" w:rsidR="00D0603A" w:rsidRDefault="00F411B4">
      <w:pPr>
        <w:rPr>
          <w:rFonts w:ascii="Arial" w:hAnsi="Arial" w:cs="Arial"/>
          <w:sz w:val="22"/>
          <w:szCs w:val="22"/>
        </w:rPr>
      </w:pPr>
      <w:r w:rsidRPr="00F411B4">
        <w:rPr>
          <w:rFonts w:ascii="Arial" w:hAnsi="Arial" w:cs="Arial"/>
          <w:sz w:val="22"/>
          <w:szCs w:val="22"/>
        </w:rPr>
        <w:t xml:space="preserve">Spalek, B. (2013) </w:t>
      </w:r>
      <w:r w:rsidRPr="00F411B4">
        <w:rPr>
          <w:rFonts w:ascii="Arial" w:hAnsi="Arial" w:cs="Arial"/>
          <w:i/>
          <w:iCs/>
          <w:sz w:val="22"/>
          <w:szCs w:val="22"/>
        </w:rPr>
        <w:t xml:space="preserve">Terror Crime Prevention with Communities. </w:t>
      </w:r>
      <w:r w:rsidRPr="00F411B4">
        <w:rPr>
          <w:rFonts w:ascii="Arial" w:hAnsi="Arial" w:cs="Arial"/>
          <w:sz w:val="22"/>
          <w:szCs w:val="22"/>
        </w:rPr>
        <w:t>London: Bloomsbury Academic</w:t>
      </w:r>
    </w:p>
    <w:p w14:paraId="6D59AF19" w14:textId="249F3C68" w:rsidR="00280835" w:rsidRDefault="00280835">
      <w:pPr>
        <w:rPr>
          <w:rFonts w:ascii="Arial" w:hAnsi="Arial" w:cs="Arial"/>
          <w:sz w:val="22"/>
          <w:szCs w:val="22"/>
        </w:rPr>
      </w:pPr>
    </w:p>
    <w:p w14:paraId="3FD524FD" w14:textId="6E2527B2" w:rsidR="00280835" w:rsidRDefault="00280835" w:rsidP="00280835">
      <w:pPr>
        <w:rPr>
          <w:rFonts w:ascii="Arial" w:hAnsi="Arial" w:cs="Arial"/>
          <w:sz w:val="22"/>
          <w:szCs w:val="22"/>
        </w:rPr>
      </w:pPr>
      <w:r w:rsidRPr="00280835">
        <w:rPr>
          <w:rFonts w:ascii="Arial" w:hAnsi="Arial" w:cs="Arial"/>
          <w:sz w:val="22"/>
          <w:szCs w:val="22"/>
        </w:rPr>
        <w:t xml:space="preserve">Walker, A. (2015) ‘The professionalisation of data science’, </w:t>
      </w:r>
      <w:r w:rsidRPr="00280835">
        <w:rPr>
          <w:rFonts w:ascii="Arial" w:hAnsi="Arial" w:cs="Arial"/>
          <w:i/>
          <w:iCs/>
          <w:sz w:val="22"/>
          <w:szCs w:val="22"/>
        </w:rPr>
        <w:t xml:space="preserve">International Journal of Data Science, </w:t>
      </w:r>
      <w:r w:rsidRPr="00280835">
        <w:rPr>
          <w:rFonts w:ascii="Arial" w:hAnsi="Arial" w:cs="Arial"/>
          <w:sz w:val="22"/>
          <w:szCs w:val="22"/>
        </w:rPr>
        <w:t xml:space="preserve">1(1), pp.7-16. DOI: 10.1054/IJDS.2015.069048. Available at: </w:t>
      </w:r>
      <w:hyperlink r:id="rId35" w:history="1">
        <w:r w:rsidRPr="00280835">
          <w:rPr>
            <w:rStyle w:val="Hyperlink"/>
            <w:rFonts w:ascii="Arial" w:hAnsi="Arial" w:cs="Arial"/>
            <w:sz w:val="22"/>
            <w:szCs w:val="22"/>
          </w:rPr>
          <w:t>The professionalisation of data science (researchgate.net)</w:t>
        </w:r>
      </w:hyperlink>
      <w:r w:rsidRPr="00280835">
        <w:rPr>
          <w:rFonts w:ascii="Arial" w:hAnsi="Arial" w:cs="Arial"/>
          <w:sz w:val="22"/>
          <w:szCs w:val="22"/>
        </w:rPr>
        <w:t xml:space="preserve"> (Accessed: 04/12/2022)</w:t>
      </w:r>
    </w:p>
    <w:p w14:paraId="2270D3F9" w14:textId="5D80B81E" w:rsidR="00280835" w:rsidRDefault="00280835" w:rsidP="00280835">
      <w:pPr>
        <w:rPr>
          <w:rFonts w:ascii="Arial" w:hAnsi="Arial" w:cs="Arial"/>
          <w:sz w:val="22"/>
          <w:szCs w:val="22"/>
        </w:rPr>
      </w:pPr>
    </w:p>
    <w:p w14:paraId="39F8B058" w14:textId="72062217" w:rsidR="00280835" w:rsidRDefault="00280835" w:rsidP="00280835">
      <w:pPr>
        <w:rPr>
          <w:rFonts w:ascii="Arial" w:hAnsi="Arial" w:cs="Arial"/>
          <w:sz w:val="22"/>
          <w:szCs w:val="22"/>
        </w:rPr>
      </w:pPr>
      <w:r w:rsidRPr="00280835">
        <w:rPr>
          <w:rFonts w:ascii="Arial" w:hAnsi="Arial" w:cs="Arial"/>
          <w:sz w:val="22"/>
          <w:szCs w:val="22"/>
        </w:rPr>
        <w:t xml:space="preserve">Williams, E. and Norman J. and Rowe, M. (2019) ‘The police education qualification framework: a professional agenda or building professionals?’ </w:t>
      </w:r>
      <w:r w:rsidRPr="00280835">
        <w:rPr>
          <w:rFonts w:ascii="Arial" w:hAnsi="Arial" w:cs="Arial"/>
          <w:i/>
          <w:iCs/>
          <w:sz w:val="22"/>
          <w:szCs w:val="22"/>
        </w:rPr>
        <w:t xml:space="preserve">Police Practice and Research, </w:t>
      </w:r>
      <w:r w:rsidRPr="00280835">
        <w:rPr>
          <w:rFonts w:ascii="Arial" w:hAnsi="Arial" w:cs="Arial"/>
          <w:sz w:val="22"/>
          <w:szCs w:val="22"/>
        </w:rPr>
        <w:t xml:space="preserve">20(3), pp. 259-272. DOI: 10.1080/15614263.2019.1598070. Available at: </w:t>
      </w:r>
      <w:hyperlink r:id="rId36" w:history="1">
        <w:r w:rsidRPr="00280835">
          <w:rPr>
            <w:rStyle w:val="Hyperlink"/>
            <w:rFonts w:ascii="Arial" w:hAnsi="Arial" w:cs="Arial"/>
            <w:sz w:val="22"/>
            <w:szCs w:val="22"/>
          </w:rPr>
          <w:t>The police education qualification framework: a professional agenda or building professionals?: Police Practice and Research: Vol 20, No 3 (tandfonline.com)</w:t>
        </w:r>
      </w:hyperlink>
      <w:r w:rsidRPr="00280835">
        <w:rPr>
          <w:rFonts w:ascii="Arial" w:hAnsi="Arial" w:cs="Arial"/>
          <w:sz w:val="22"/>
          <w:szCs w:val="22"/>
        </w:rPr>
        <w:t xml:space="preserve"> (Accessed: 04/12/2022)</w:t>
      </w:r>
    </w:p>
    <w:p w14:paraId="7056D027" w14:textId="4D7C557D" w:rsidR="00280835" w:rsidRDefault="00280835" w:rsidP="00280835">
      <w:pPr>
        <w:rPr>
          <w:rFonts w:ascii="Arial" w:hAnsi="Arial" w:cs="Arial"/>
          <w:sz w:val="22"/>
          <w:szCs w:val="22"/>
        </w:rPr>
      </w:pPr>
    </w:p>
    <w:p w14:paraId="0BDD3208" w14:textId="24A0491A" w:rsidR="00280835" w:rsidRPr="00AB68A0" w:rsidRDefault="00280835">
      <w:pPr>
        <w:rPr>
          <w:rFonts w:ascii="Arial" w:hAnsi="Arial" w:cs="Arial"/>
          <w:sz w:val="22"/>
          <w:szCs w:val="22"/>
        </w:rPr>
      </w:pPr>
      <w:r w:rsidRPr="00280835">
        <w:rPr>
          <w:rFonts w:ascii="Arial" w:hAnsi="Arial" w:cs="Arial"/>
          <w:sz w:val="22"/>
          <w:szCs w:val="22"/>
        </w:rPr>
        <w:t xml:space="preserve">Vincent, M (2021) </w:t>
      </w:r>
      <w:r w:rsidRPr="00280835">
        <w:rPr>
          <w:rFonts w:ascii="Arial" w:hAnsi="Arial" w:cs="Arial"/>
          <w:i/>
          <w:iCs/>
          <w:sz w:val="22"/>
          <w:szCs w:val="22"/>
        </w:rPr>
        <w:t xml:space="preserve">Exploring organizational values, culture and mindset change in policing. </w:t>
      </w:r>
      <w:r w:rsidRPr="00280835">
        <w:rPr>
          <w:rFonts w:ascii="Arial" w:hAnsi="Arial" w:cs="Arial"/>
          <w:sz w:val="22"/>
          <w:szCs w:val="22"/>
        </w:rPr>
        <w:t xml:space="preserve">Available at: </w:t>
      </w:r>
      <w:hyperlink r:id="rId37" w:anchor=":~:text=Exploring%20organizational%20values%2C%20culture%20and%20mindset%20change%20in,task%20or%20follow%20direction%20in%20this%20paramilitary%20field." w:history="1">
        <w:r w:rsidRPr="00280835">
          <w:rPr>
            <w:rStyle w:val="Hyperlink"/>
            <w:rFonts w:ascii="Arial" w:hAnsi="Arial" w:cs="Arial"/>
            <w:sz w:val="22"/>
            <w:szCs w:val="22"/>
          </w:rPr>
          <w:t>Exploring organizational values, culture and mindset change in policing - Blue Line</w:t>
        </w:r>
      </w:hyperlink>
      <w:r w:rsidRPr="00280835">
        <w:rPr>
          <w:rFonts w:ascii="Arial" w:hAnsi="Arial" w:cs="Arial"/>
          <w:sz w:val="22"/>
          <w:szCs w:val="22"/>
        </w:rPr>
        <w:t xml:space="preserve"> (Accessed: 04/12/2022)</w:t>
      </w:r>
    </w:p>
    <w:sectPr w:rsidR="00280835" w:rsidRPr="00AB68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BB878" w14:textId="77777777" w:rsidR="00636621" w:rsidRDefault="00636621" w:rsidP="00636621">
      <w:r>
        <w:separator/>
      </w:r>
    </w:p>
  </w:endnote>
  <w:endnote w:type="continuationSeparator" w:id="0">
    <w:p w14:paraId="01ED2055" w14:textId="77777777" w:rsidR="00636621" w:rsidRDefault="00636621" w:rsidP="00636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6FA19" w14:textId="77777777" w:rsidR="00636621" w:rsidRDefault="00636621" w:rsidP="00636621">
      <w:r>
        <w:separator/>
      </w:r>
    </w:p>
  </w:footnote>
  <w:footnote w:type="continuationSeparator" w:id="0">
    <w:p w14:paraId="7A23DCBE" w14:textId="77777777" w:rsidR="00636621" w:rsidRDefault="00636621" w:rsidP="0063662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AFF"/>
    <w:rsid w:val="00015CC1"/>
    <w:rsid w:val="00026E19"/>
    <w:rsid w:val="000A1529"/>
    <w:rsid w:val="000F24FB"/>
    <w:rsid w:val="00194868"/>
    <w:rsid w:val="001F0AAF"/>
    <w:rsid w:val="00280835"/>
    <w:rsid w:val="002E03A7"/>
    <w:rsid w:val="0033217F"/>
    <w:rsid w:val="00363876"/>
    <w:rsid w:val="00395628"/>
    <w:rsid w:val="003F726D"/>
    <w:rsid w:val="00425077"/>
    <w:rsid w:val="00433717"/>
    <w:rsid w:val="00526D5D"/>
    <w:rsid w:val="005D756A"/>
    <w:rsid w:val="006055CF"/>
    <w:rsid w:val="00636621"/>
    <w:rsid w:val="00662AFF"/>
    <w:rsid w:val="00671FBD"/>
    <w:rsid w:val="006A39D9"/>
    <w:rsid w:val="007514E6"/>
    <w:rsid w:val="007608F2"/>
    <w:rsid w:val="007B6C9E"/>
    <w:rsid w:val="00851C46"/>
    <w:rsid w:val="008B11BE"/>
    <w:rsid w:val="009C411A"/>
    <w:rsid w:val="009C6C82"/>
    <w:rsid w:val="009D5607"/>
    <w:rsid w:val="00A32C0B"/>
    <w:rsid w:val="00A655AE"/>
    <w:rsid w:val="00AB68A0"/>
    <w:rsid w:val="00B27126"/>
    <w:rsid w:val="00B701D8"/>
    <w:rsid w:val="00B96455"/>
    <w:rsid w:val="00C33E0E"/>
    <w:rsid w:val="00C574BE"/>
    <w:rsid w:val="00D465BE"/>
    <w:rsid w:val="00D4749B"/>
    <w:rsid w:val="00D9147C"/>
    <w:rsid w:val="00E045DE"/>
    <w:rsid w:val="00E33699"/>
    <w:rsid w:val="00E5683F"/>
    <w:rsid w:val="00E73EAD"/>
    <w:rsid w:val="00E93419"/>
    <w:rsid w:val="00ED6CA5"/>
    <w:rsid w:val="00EF082E"/>
    <w:rsid w:val="00F411B4"/>
    <w:rsid w:val="00F42277"/>
    <w:rsid w:val="00F93077"/>
    <w:rsid w:val="00F94E2A"/>
    <w:rsid w:val="00FC63BA"/>
    <w:rsid w:val="00FD0286"/>
    <w:rsid w:val="00FF2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401B6B"/>
  <w15:chartTrackingRefBased/>
  <w15:docId w15:val="{1238D918-33F5-4540-A48C-9C5AA33C5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62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756A"/>
    <w:rPr>
      <w:color w:val="0000FF"/>
      <w:u w:val="single"/>
    </w:rPr>
  </w:style>
  <w:style w:type="character" w:styleId="UnresolvedMention">
    <w:name w:val="Unresolved Mention"/>
    <w:basedOn w:val="DefaultParagraphFont"/>
    <w:uiPriority w:val="99"/>
    <w:semiHidden/>
    <w:unhideWhenUsed/>
    <w:rsid w:val="002E03A7"/>
    <w:rPr>
      <w:color w:val="605E5C"/>
      <w:shd w:val="clear" w:color="auto" w:fill="E1DFDD"/>
    </w:rPr>
  </w:style>
  <w:style w:type="character" w:styleId="FollowedHyperlink">
    <w:name w:val="FollowedHyperlink"/>
    <w:basedOn w:val="DefaultParagraphFont"/>
    <w:uiPriority w:val="99"/>
    <w:semiHidden/>
    <w:unhideWhenUsed/>
    <w:rsid w:val="00E045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99034">
      <w:bodyDiv w:val="1"/>
      <w:marLeft w:val="0"/>
      <w:marRight w:val="0"/>
      <w:marTop w:val="0"/>
      <w:marBottom w:val="0"/>
      <w:divBdr>
        <w:top w:val="none" w:sz="0" w:space="0" w:color="auto"/>
        <w:left w:val="none" w:sz="0" w:space="0" w:color="auto"/>
        <w:bottom w:val="none" w:sz="0" w:space="0" w:color="auto"/>
        <w:right w:val="none" w:sz="0" w:space="0" w:color="auto"/>
      </w:divBdr>
    </w:div>
    <w:div w:id="758908236">
      <w:bodyDiv w:val="1"/>
      <w:marLeft w:val="0"/>
      <w:marRight w:val="0"/>
      <w:marTop w:val="0"/>
      <w:marBottom w:val="0"/>
      <w:divBdr>
        <w:top w:val="none" w:sz="0" w:space="0" w:color="auto"/>
        <w:left w:val="none" w:sz="0" w:space="0" w:color="auto"/>
        <w:bottom w:val="none" w:sz="0" w:space="0" w:color="auto"/>
        <w:right w:val="none" w:sz="0" w:space="0" w:color="auto"/>
      </w:divBdr>
    </w:div>
    <w:div w:id="2139184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JFP-02-2015-0018/full/html" TargetMode="External"/><Relationship Id="rId13" Type="http://schemas.openxmlformats.org/officeDocument/2006/relationships/hyperlink" Target="https://www.college.police.uk/about" TargetMode="External"/><Relationship Id="rId18" Type="http://schemas.openxmlformats.org/officeDocument/2006/relationships/hyperlink" Target="https://www.counterterrorism.police.uk/our-network/" TargetMode="External"/><Relationship Id="rId26" Type="http://schemas.openxmlformats.org/officeDocument/2006/relationships/hyperlink" Target="https://library.college.police.uk/docs/homeoffice/HO-Contest-strategy.pdf" TargetMode="External"/><Relationship Id="rId39"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heguardian.com/uk-news/2019/dec/03/police-cuts-pose-greatest-risk-to-countering-terrorism-says-ex-chief" TargetMode="External"/><Relationship Id="rId34" Type="http://schemas.openxmlformats.org/officeDocument/2006/relationships/hyperlink" Target="https://www.bbc.co.uk/news/uk-47225797" TargetMode="External"/><Relationship Id="rId7" Type="http://schemas.openxmlformats.org/officeDocument/2006/relationships/hyperlink" Target="https://doi.org/10.1177/0306624X04269003" TargetMode="External"/><Relationship Id="rId12" Type="http://schemas.openxmlformats.org/officeDocument/2006/relationships/hyperlink" Target="https://www.vlebooks.com/Product/Index/1846184?page=0" TargetMode="External"/><Relationship Id="rId17" Type="http://schemas.openxmlformats.org/officeDocument/2006/relationships/hyperlink" Target="https://library.college.police.uk/docs/college-of-policing/Neighbourhood_policing_impact_and_implementation-June2018.pdf" TargetMode="External"/><Relationship Id="rId25" Type="http://schemas.openxmlformats.org/officeDocument/2006/relationships/hyperlink" Target="https://www.ethnicity-facts-figures.service.gov.uk/workforce-and-business/workforce-diversity/police-workforce/latest" TargetMode="External"/><Relationship Id="rId33" Type="http://schemas.openxmlformats.org/officeDocument/2006/relationships/hyperlink" Target="https://www.legislation.gov.uk/ukpga/2000/11/section/1"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ollege.police.uk/career-learning/policing-education-qualifications-framework-peqf" TargetMode="External"/><Relationship Id="rId20" Type="http://schemas.openxmlformats.org/officeDocument/2006/relationships/hyperlink" Target="https://www.theguardian.com/uk-news/2020/nov/13/met-police-told-40-of-recruits-must-be-from-bame-backgrounds" TargetMode="External"/><Relationship Id="rId29" Type="http://schemas.openxmlformats.org/officeDocument/2006/relationships/hyperlink" Target="https://library.college.police.uk/docs/HoC/Serious_and_organised_crime_report.pdf" TargetMode="External"/><Relationship Id="rId1" Type="http://schemas.openxmlformats.org/officeDocument/2006/relationships/styles" Target="styles.xml"/><Relationship Id="rId6" Type="http://schemas.openxmlformats.org/officeDocument/2006/relationships/hyperlink" Target="https://doi.org/10.1108/JCP-06-2020-0020" TargetMode="External"/><Relationship Id="rId11" Type="http://schemas.openxmlformats.org/officeDocument/2006/relationships/hyperlink" Target="https://doi.org/10.1093/police/pam003" TargetMode="External"/><Relationship Id="rId24" Type="http://schemas.openxmlformats.org/officeDocument/2006/relationships/hyperlink" Target="https://www.gov.uk/government/statistics/immigration-statistics-year-ending-september-2021/how-many-people-do-we-grant-asylum-or-protection-to" TargetMode="External"/><Relationship Id="rId32" Type="http://schemas.openxmlformats.org/officeDocument/2006/relationships/hyperlink" Target="https://www.emerald.com/insight/content/doi/10.1108/IJES-04-2017-0018/full/html" TargetMode="External"/><Relationship Id="rId37" Type="http://schemas.openxmlformats.org/officeDocument/2006/relationships/hyperlink" Target="https://www.blueline.ca/exploring-organizational-values-culture-and-mindset-change-in-policing/" TargetMode="External"/><Relationship Id="rId5" Type="http://schemas.openxmlformats.org/officeDocument/2006/relationships/endnotes" Target="endnotes.xml"/><Relationship Id="rId15" Type="http://schemas.openxmlformats.org/officeDocument/2006/relationships/hyperlink" Target="https://library.college.police.uk/docs/college-of-policing/Code-of-Ethics-2014.pdf" TargetMode="External"/><Relationship Id="rId23" Type="http://schemas.openxmlformats.org/officeDocument/2006/relationships/hyperlink" Target="https://library.college.police.uk/docs/National-Police-Wellbeing-Survey.pdf" TargetMode="External"/><Relationship Id="rId28" Type="http://schemas.openxmlformats.org/officeDocument/2006/relationships/hyperlink" Target="https://academic.oup.com/policing/article/14/1/31/5281217" TargetMode="External"/><Relationship Id="rId36" Type="http://schemas.openxmlformats.org/officeDocument/2006/relationships/hyperlink" Target="https://www.tandfonline.com/doi/abs/10.1080/15614263.2019.1598070?journalCode=gppr20" TargetMode="External"/><Relationship Id="rId10" Type="http://schemas.openxmlformats.org/officeDocument/2006/relationships/hyperlink" Target="https://www.emerald.com/insight/content/doi/10.1108/JCP-02-2014-0006/full/html" TargetMode="External"/><Relationship Id="rId19" Type="http://schemas.openxmlformats.org/officeDocument/2006/relationships/hyperlink" Target="https://library.college.police.uk/docs/TVP/Winter-2021-TVP-vol-6.pdf" TargetMode="External"/><Relationship Id="rId31" Type="http://schemas.openxmlformats.org/officeDocument/2006/relationships/hyperlink" Target="https://journals.sagepub.com/doi/abs/10.1177/1360780417724062?journalCode=sroa" TargetMode="External"/><Relationship Id="rId4" Type="http://schemas.openxmlformats.org/officeDocument/2006/relationships/footnotes" Target="footnotes.xml"/><Relationship Id="rId9" Type="http://schemas.openxmlformats.org/officeDocument/2006/relationships/hyperlink" Target="https://doi.org/10.1108/PIJPSM-04-2019-0043"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emerald.com/insight/content/doi/10.1108/JCP-04-2019-0013/full/html" TargetMode="External"/><Relationship Id="rId27" Type="http://schemas.openxmlformats.org/officeDocument/2006/relationships/hyperlink" Target="https://assets.publishing.service.gov.uk/government/uploads/system/uploads/attachment_data/file/509831/6.1770_Modern_Crime_Prevention_Strategy_final_WEB_version.pdf" TargetMode="External"/><Relationship Id="rId30" Type="http://schemas.openxmlformats.org/officeDocument/2006/relationships/hyperlink" Target="https://doi.org/10.1108/SC-11-2020-0039" TargetMode="External"/><Relationship Id="rId35" Type="http://schemas.openxmlformats.org/officeDocument/2006/relationships/hyperlink" Target="https://www.researchgate.net/publication/276154836_The_professionalisation_of_data_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2852</TotalTime>
  <Pages>1</Pages>
  <Words>6143</Words>
  <Characters>35016</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Bradford, Hugh</dc:creator>
  <cp:keywords/>
  <dc:description/>
  <cp:lastModifiedBy>Bradford, Hugh</cp:lastModifiedBy>
  <cp:revision>31</cp:revision>
  <dcterms:created xsi:type="dcterms:W3CDTF">2023-03-03T15:26:00Z</dcterms:created>
  <dcterms:modified xsi:type="dcterms:W3CDTF">2023-03-06T02:20:00Z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2023-03-03T13:52:40Z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c772a1df-74ed-4e1b-b4fd-f270968b8ad7</vt:lpwstr>
  </property>
  <property fmtid="{D5CDD505-2E9C-101B-9397-08002B2CF9AE}" pid="8" name="MSIP_Label_f2acd28b-79a3-4a0f-b0ff-4b75658b1549_ContentBits">
    <vt:lpwstr>0</vt:lpwstr>
  </property>
</Properties>
</file>