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AD4F91D" w:rsidR="7908378C" w:rsidRDefault="7908378C" w:rsidP="33572C6E">
            <w:pPr>
              <w:ind w:right="237"/>
              <w:rPr>
                <w:b/>
                <w:bCs/>
                <w:color w:val="auto"/>
                <w:sz w:val="32"/>
                <w:szCs w:val="32"/>
              </w:rPr>
            </w:pPr>
            <w:r w:rsidRPr="33572C6E">
              <w:rPr>
                <w:b/>
                <w:bCs/>
                <w:color w:val="auto"/>
                <w:sz w:val="32"/>
                <w:szCs w:val="32"/>
              </w:rPr>
              <w:t xml:space="preserve">Learner name: </w:t>
            </w:r>
            <w:r w:rsidR="00F07676">
              <w:rPr>
                <w:b/>
                <w:bCs/>
                <w:color w:val="auto"/>
                <w:sz w:val="32"/>
                <w:szCs w:val="32"/>
              </w:rPr>
              <w:t>Corey Horton</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5B86156" w:rsidR="7908378C" w:rsidRDefault="00F07676" w:rsidP="33572C6E">
            <w:pPr>
              <w:ind w:right="237"/>
              <w:rPr>
                <w:b/>
                <w:bCs/>
                <w:color w:val="auto"/>
                <w:sz w:val="32"/>
                <w:szCs w:val="32"/>
              </w:rPr>
            </w:pPr>
            <w:r>
              <w:rPr>
                <w:b/>
                <w:bCs/>
                <w:color w:val="auto"/>
                <w:sz w:val="32"/>
                <w:szCs w:val="32"/>
              </w:rPr>
              <w:t>2236118</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EC79D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132A910E" w14:textId="77777777" w:rsidR="000E15C5" w:rsidRPr="000E15C5" w:rsidRDefault="000E15C5" w:rsidP="000E15C5">
      <w:pPr>
        <w:ind w:right="237"/>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46ADF6F1" w14:textId="2F07BA85" w:rsidR="00B14480" w:rsidRDefault="00B14480" w:rsidP="5B843AF0">
      <w:pPr>
        <w:ind w:right="237"/>
        <w:jc w:val="both"/>
        <w:rPr>
          <w:rFonts w:eastAsia="Arial"/>
          <w:color w:val="000000" w:themeColor="text1"/>
          <w:sz w:val="24"/>
          <w:szCs w:val="24"/>
        </w:rPr>
      </w:pPr>
      <w:r>
        <w:rPr>
          <w:rFonts w:eastAsia="Arial"/>
          <w:color w:val="000000" w:themeColor="text1"/>
          <w:sz w:val="24"/>
          <w:szCs w:val="24"/>
        </w:rPr>
        <w:t xml:space="preserve">As a police officer within South Wales Police, I have encountered numerous incidents </w:t>
      </w:r>
      <w:r w:rsidR="005C3493">
        <w:rPr>
          <w:rFonts w:eastAsia="Arial"/>
          <w:color w:val="000000" w:themeColor="text1"/>
          <w:sz w:val="24"/>
          <w:szCs w:val="24"/>
        </w:rPr>
        <w:t>which</w:t>
      </w:r>
      <w:r>
        <w:rPr>
          <w:rFonts w:eastAsia="Arial"/>
          <w:color w:val="000000" w:themeColor="text1"/>
          <w:sz w:val="24"/>
          <w:szCs w:val="24"/>
        </w:rPr>
        <w:t xml:space="preserve"> have tested my professional skillset, whereby the requirement to engage with victims of crime in a professional manner proves to be pivotal. The incident that will be critiqued and evaluated, was that of a domestic disturbance, involving a couple with a newborn baby, whereby the </w:t>
      </w:r>
      <w:r w:rsidR="0062392D">
        <w:rPr>
          <w:rFonts w:eastAsia="Arial"/>
          <w:color w:val="000000" w:themeColor="text1"/>
          <w:sz w:val="24"/>
          <w:szCs w:val="24"/>
        </w:rPr>
        <w:t>mother</w:t>
      </w:r>
      <w:r>
        <w:rPr>
          <w:rFonts w:eastAsia="Arial"/>
          <w:color w:val="000000" w:themeColor="text1"/>
          <w:sz w:val="24"/>
          <w:szCs w:val="24"/>
        </w:rPr>
        <w:t xml:space="preserve"> of the child required to be arrested, however the </w:t>
      </w:r>
      <w:r w:rsidR="0062392D">
        <w:rPr>
          <w:rFonts w:eastAsia="Arial"/>
          <w:color w:val="000000" w:themeColor="text1"/>
          <w:sz w:val="24"/>
          <w:szCs w:val="24"/>
        </w:rPr>
        <w:t>father</w:t>
      </w:r>
      <w:r>
        <w:rPr>
          <w:rFonts w:eastAsia="Arial"/>
          <w:color w:val="000000" w:themeColor="text1"/>
          <w:sz w:val="24"/>
          <w:szCs w:val="24"/>
        </w:rPr>
        <w:t xml:space="preserve"> was unsure of how to care for a newborn baby, resulting in high social concern. Furthermore, the young family did not speak fluent English, only creating further complexities.</w:t>
      </w:r>
    </w:p>
    <w:p w14:paraId="33B2EB57" w14:textId="77777777" w:rsidR="00F17DFE" w:rsidRDefault="00F17DFE" w:rsidP="5B843AF0">
      <w:pPr>
        <w:ind w:right="237"/>
        <w:jc w:val="both"/>
        <w:rPr>
          <w:rFonts w:eastAsia="Arial"/>
          <w:color w:val="000000" w:themeColor="text1"/>
          <w:sz w:val="24"/>
          <w:szCs w:val="24"/>
        </w:rPr>
      </w:pPr>
    </w:p>
    <w:p w14:paraId="37E3770A" w14:textId="3DA03031" w:rsidR="00F10684" w:rsidRDefault="00F17DFE" w:rsidP="00F10684">
      <w:pPr>
        <w:ind w:right="237"/>
        <w:jc w:val="both"/>
        <w:rPr>
          <w:rFonts w:eastAsia="Arial"/>
          <w:color w:val="000000" w:themeColor="text1"/>
          <w:sz w:val="24"/>
          <w:szCs w:val="24"/>
        </w:rPr>
      </w:pPr>
      <w:r>
        <w:rPr>
          <w:rFonts w:eastAsia="Arial"/>
          <w:color w:val="000000" w:themeColor="text1"/>
          <w:sz w:val="24"/>
          <w:szCs w:val="24"/>
        </w:rPr>
        <w:t>A socio-economic challenge that was faced immediately as an attending officer, was that the victim in the matter did not wish to see his partner arrested for domestic offences. Domestic related incidents will regularly not be reported to police for investigation, there are reasons why a victim may not wish to report an incident, such as fear of consequences from reporting, or concern that police involvement could cause a greater rift in relationships and families alike</w:t>
      </w:r>
      <w:r w:rsidR="001B770F">
        <w:rPr>
          <w:rFonts w:eastAsia="Arial"/>
          <w:color w:val="000000" w:themeColor="text1"/>
          <w:sz w:val="24"/>
          <w:szCs w:val="24"/>
        </w:rPr>
        <w:t>, Fenson et al (2002), concurs that reluctance to report is attributed to factors such as fear of reprisal and sympathy for the offender</w:t>
      </w:r>
      <w:r>
        <w:rPr>
          <w:rFonts w:eastAsia="Arial"/>
          <w:color w:val="000000" w:themeColor="text1"/>
          <w:sz w:val="24"/>
          <w:szCs w:val="24"/>
        </w:rPr>
        <w:t xml:space="preserve">. </w:t>
      </w:r>
      <w:r w:rsidR="00690081">
        <w:rPr>
          <w:rFonts w:eastAsia="Arial"/>
          <w:color w:val="000000" w:themeColor="text1"/>
          <w:sz w:val="24"/>
          <w:szCs w:val="24"/>
        </w:rPr>
        <w:t xml:space="preserve">Within </w:t>
      </w:r>
      <w:r>
        <w:rPr>
          <w:rFonts w:eastAsia="Arial"/>
          <w:color w:val="000000" w:themeColor="text1"/>
          <w:sz w:val="24"/>
          <w:szCs w:val="24"/>
        </w:rPr>
        <w:t xml:space="preserve">this incident, </w:t>
      </w:r>
      <w:r w:rsidR="00690081">
        <w:rPr>
          <w:rFonts w:eastAsia="Arial"/>
          <w:color w:val="000000" w:themeColor="text1"/>
          <w:sz w:val="24"/>
          <w:szCs w:val="24"/>
        </w:rPr>
        <w:t>the reporting person was</w:t>
      </w:r>
      <w:r>
        <w:rPr>
          <w:rFonts w:eastAsia="Arial"/>
          <w:color w:val="000000" w:themeColor="text1"/>
          <w:sz w:val="24"/>
          <w:szCs w:val="24"/>
        </w:rPr>
        <w:t xml:space="preserve"> a neighbour nearby who overheard the disturbance. Upon police arrival, the victim was in refusal to provide any detail or disclosure of any offences to police, with their reasoning being that they did not wish to see their partner taken from them by police taking positive action. </w:t>
      </w:r>
      <w:r w:rsidR="003A0BE0">
        <w:rPr>
          <w:rFonts w:eastAsia="Arial"/>
          <w:color w:val="000000" w:themeColor="text1"/>
          <w:sz w:val="24"/>
          <w:szCs w:val="24"/>
        </w:rPr>
        <w:t xml:space="preserve">The victim also explained to officers that his partner is the main financial dependency within the family, and as such, did not wish to support any investigation as this would have caused further implicants financially for all persons within the family. </w:t>
      </w:r>
      <w:r w:rsidR="00C73003">
        <w:rPr>
          <w:rFonts w:eastAsia="Arial"/>
          <w:color w:val="000000" w:themeColor="text1"/>
          <w:sz w:val="24"/>
          <w:szCs w:val="24"/>
        </w:rPr>
        <w:t xml:space="preserve">Mayes et al (2017) demonstrate that </w:t>
      </w:r>
      <w:r w:rsidR="00C73003" w:rsidRPr="00C73003">
        <w:rPr>
          <w:rFonts w:eastAsia="Arial"/>
          <w:color w:val="000000" w:themeColor="text1"/>
          <w:sz w:val="24"/>
          <w:szCs w:val="24"/>
        </w:rPr>
        <w:t xml:space="preserve">victims and survivors of domestic abuse may not want to see their partner punished or want to protect their </w:t>
      </w:r>
      <w:r w:rsidR="00C73003" w:rsidRPr="00C73003">
        <w:rPr>
          <w:rFonts w:eastAsia="Arial"/>
          <w:color w:val="000000" w:themeColor="text1"/>
          <w:sz w:val="24"/>
          <w:szCs w:val="24"/>
        </w:rPr>
        <w:lastRenderedPageBreak/>
        <w:t>partner from prosecution or the involvement of statutory agencies, which was raised by 14% of staff surveyed</w:t>
      </w:r>
      <w:r w:rsidR="00C73003">
        <w:rPr>
          <w:rFonts w:eastAsia="Arial"/>
          <w:color w:val="000000" w:themeColor="text1"/>
          <w:sz w:val="24"/>
          <w:szCs w:val="24"/>
        </w:rPr>
        <w:t xml:space="preserve">, whilst an increase of 7% of staff surveyed mentioned financial or housing concerns. </w:t>
      </w:r>
    </w:p>
    <w:p w14:paraId="4BC0CCCD" w14:textId="77777777" w:rsidR="00F10684" w:rsidRDefault="00F10684" w:rsidP="00F10684">
      <w:pPr>
        <w:ind w:right="237"/>
        <w:jc w:val="both"/>
        <w:rPr>
          <w:rFonts w:eastAsia="Arial"/>
          <w:color w:val="000000" w:themeColor="text1"/>
          <w:sz w:val="24"/>
          <w:szCs w:val="24"/>
        </w:rPr>
      </w:pPr>
    </w:p>
    <w:p w14:paraId="4F368BA5" w14:textId="7276FC38" w:rsidR="0009308F" w:rsidRDefault="00F10684" w:rsidP="00F10684">
      <w:pPr>
        <w:ind w:right="237"/>
        <w:jc w:val="both"/>
        <w:rPr>
          <w:rFonts w:eastAsia="Arial"/>
          <w:color w:val="000000" w:themeColor="text1"/>
          <w:sz w:val="24"/>
          <w:szCs w:val="24"/>
        </w:rPr>
      </w:pPr>
      <w:r>
        <w:rPr>
          <w:rFonts w:eastAsia="Arial"/>
          <w:color w:val="000000" w:themeColor="text1"/>
          <w:sz w:val="24"/>
          <w:szCs w:val="24"/>
        </w:rPr>
        <w:t>Regarding cultural or language concerned complexities, the family were of Eastern European descent and had recently moved to the United Kingdom, resulting in communication barrier</w:t>
      </w:r>
      <w:r w:rsidR="00690081">
        <w:rPr>
          <w:rFonts w:eastAsia="Arial"/>
          <w:color w:val="000000" w:themeColor="text1"/>
          <w:sz w:val="24"/>
          <w:szCs w:val="24"/>
        </w:rPr>
        <w:t>s</w:t>
      </w:r>
      <w:r>
        <w:rPr>
          <w:rFonts w:eastAsia="Arial"/>
          <w:color w:val="000000" w:themeColor="text1"/>
          <w:sz w:val="24"/>
          <w:szCs w:val="24"/>
        </w:rPr>
        <w:t xml:space="preserve"> due to English language not being their first primary language. Although the victim was able to speak some English and was able to understand police involvement, there was a duty of care to ensure that the victim was able to fully provide their account and their wishes to police, as such,</w:t>
      </w:r>
      <w:r w:rsidR="00D84803">
        <w:rPr>
          <w:rFonts w:eastAsia="Arial"/>
          <w:color w:val="000000" w:themeColor="text1"/>
          <w:sz w:val="24"/>
          <w:szCs w:val="24"/>
        </w:rPr>
        <w:t xml:space="preserve"> </w:t>
      </w:r>
      <w:r>
        <w:rPr>
          <w:rFonts w:eastAsia="Arial"/>
          <w:color w:val="000000" w:themeColor="text1"/>
          <w:sz w:val="24"/>
          <w:szCs w:val="24"/>
        </w:rPr>
        <w:t>an interpreter was</w:t>
      </w:r>
      <w:r w:rsidR="00D84803">
        <w:rPr>
          <w:rFonts w:eastAsia="Arial"/>
          <w:color w:val="000000" w:themeColor="text1"/>
          <w:sz w:val="24"/>
          <w:szCs w:val="24"/>
        </w:rPr>
        <w:t xml:space="preserve"> utilised,</w:t>
      </w:r>
      <w:r>
        <w:rPr>
          <w:rFonts w:eastAsia="Arial"/>
          <w:color w:val="000000" w:themeColor="text1"/>
          <w:sz w:val="24"/>
          <w:szCs w:val="24"/>
        </w:rPr>
        <w:t xml:space="preserve"> offer</w:t>
      </w:r>
      <w:r w:rsidR="00D84803">
        <w:rPr>
          <w:rFonts w:eastAsia="Arial"/>
          <w:color w:val="000000" w:themeColor="text1"/>
          <w:sz w:val="24"/>
          <w:szCs w:val="24"/>
        </w:rPr>
        <w:t>ing</w:t>
      </w:r>
      <w:r>
        <w:rPr>
          <w:rFonts w:eastAsia="Arial"/>
          <w:color w:val="000000" w:themeColor="text1"/>
          <w:sz w:val="24"/>
          <w:szCs w:val="24"/>
        </w:rPr>
        <w:t xml:space="preserve"> the victim the rightful opportunity to provide their account </w:t>
      </w:r>
      <w:r w:rsidR="00690081">
        <w:rPr>
          <w:rFonts w:eastAsia="Arial"/>
          <w:color w:val="000000" w:themeColor="text1"/>
          <w:sz w:val="24"/>
          <w:szCs w:val="24"/>
        </w:rPr>
        <w:t>with detail</w:t>
      </w:r>
      <w:r>
        <w:rPr>
          <w:rFonts w:eastAsia="Arial"/>
          <w:color w:val="000000" w:themeColor="text1"/>
          <w:sz w:val="24"/>
          <w:szCs w:val="24"/>
        </w:rPr>
        <w:t xml:space="preserve">, resulting in police </w:t>
      </w:r>
      <w:r w:rsidR="00D84803">
        <w:rPr>
          <w:rFonts w:eastAsia="Arial"/>
          <w:color w:val="000000" w:themeColor="text1"/>
          <w:sz w:val="24"/>
          <w:szCs w:val="24"/>
        </w:rPr>
        <w:t>obtaining the</w:t>
      </w:r>
      <w:r>
        <w:rPr>
          <w:rFonts w:eastAsia="Arial"/>
          <w:color w:val="000000" w:themeColor="text1"/>
          <w:sz w:val="24"/>
          <w:szCs w:val="24"/>
        </w:rPr>
        <w:t xml:space="preserve"> capability to conduct their investigation as efficiently and effectively as possible</w:t>
      </w:r>
      <w:r w:rsidR="00D84803">
        <w:rPr>
          <w:rFonts w:eastAsia="Arial"/>
          <w:color w:val="000000" w:themeColor="text1"/>
          <w:sz w:val="24"/>
          <w:szCs w:val="24"/>
        </w:rPr>
        <w:t>, and for the victim to have his rights explained to him clearly</w:t>
      </w:r>
      <w:r>
        <w:rPr>
          <w:rFonts w:eastAsia="Arial"/>
          <w:color w:val="000000" w:themeColor="text1"/>
          <w:sz w:val="24"/>
          <w:szCs w:val="24"/>
        </w:rPr>
        <w:t xml:space="preserve">. </w:t>
      </w:r>
      <w:r w:rsidR="004A5BFE" w:rsidRPr="004A5BFE">
        <w:rPr>
          <w:rFonts w:eastAsia="Arial"/>
          <w:color w:val="000000" w:themeColor="text1"/>
          <w:sz w:val="24"/>
          <w:szCs w:val="24"/>
        </w:rPr>
        <w:t>Interpreters can assist police to communicate effectively with people</w:t>
      </w:r>
      <w:r w:rsidR="004A5BFE">
        <w:rPr>
          <w:rFonts w:eastAsia="Arial"/>
          <w:color w:val="000000" w:themeColor="text1"/>
          <w:sz w:val="24"/>
          <w:szCs w:val="24"/>
        </w:rPr>
        <w:t xml:space="preserve"> (Howes, 2020). </w:t>
      </w:r>
      <w:r w:rsidR="00D84803">
        <w:rPr>
          <w:rFonts w:eastAsia="Arial"/>
          <w:color w:val="000000" w:themeColor="text1"/>
          <w:sz w:val="24"/>
          <w:szCs w:val="24"/>
        </w:rPr>
        <w:t xml:space="preserve">The victim did not wish to provide any information on the </w:t>
      </w:r>
      <w:r w:rsidR="003A0BE0">
        <w:rPr>
          <w:rFonts w:eastAsia="Arial"/>
          <w:color w:val="000000" w:themeColor="text1"/>
          <w:sz w:val="24"/>
          <w:szCs w:val="24"/>
        </w:rPr>
        <w:t>incident;</w:t>
      </w:r>
      <w:r w:rsidR="00D84803">
        <w:rPr>
          <w:rFonts w:eastAsia="Arial"/>
          <w:color w:val="000000" w:themeColor="text1"/>
          <w:sz w:val="24"/>
          <w:szCs w:val="24"/>
        </w:rPr>
        <w:t xml:space="preserve"> </w:t>
      </w:r>
      <w:r w:rsidR="003A0BE0">
        <w:rPr>
          <w:rFonts w:eastAsia="Arial"/>
          <w:color w:val="000000" w:themeColor="text1"/>
          <w:sz w:val="24"/>
          <w:szCs w:val="24"/>
        </w:rPr>
        <w:t>however,</w:t>
      </w:r>
      <w:r w:rsidR="00D84803">
        <w:rPr>
          <w:rFonts w:eastAsia="Arial"/>
          <w:color w:val="000000" w:themeColor="text1"/>
          <w:sz w:val="24"/>
          <w:szCs w:val="24"/>
        </w:rPr>
        <w:t xml:space="preserve"> the interpreter was utilised effectively to allow the </w:t>
      </w:r>
      <w:r w:rsidR="003A0BE0">
        <w:rPr>
          <w:rFonts w:eastAsia="Arial"/>
          <w:color w:val="000000" w:themeColor="text1"/>
          <w:sz w:val="24"/>
          <w:szCs w:val="24"/>
        </w:rPr>
        <w:t>victim</w:t>
      </w:r>
      <w:r w:rsidR="00D84803">
        <w:rPr>
          <w:rFonts w:eastAsia="Arial"/>
          <w:color w:val="000000" w:themeColor="text1"/>
          <w:sz w:val="24"/>
          <w:szCs w:val="24"/>
        </w:rPr>
        <w:t xml:space="preserve"> to voice his concerns regarding the welfare of the newborn child, allowing for police to explore considerations with social services to maximise safety and wellbeing of the baby. </w:t>
      </w:r>
      <w:r w:rsidR="003A0BE0">
        <w:rPr>
          <w:rFonts w:eastAsia="Arial"/>
          <w:color w:val="000000" w:themeColor="text1"/>
          <w:sz w:val="24"/>
          <w:szCs w:val="24"/>
        </w:rPr>
        <w:t xml:space="preserve">The victim explained via the means of an interpreter that he is unsure of how to make appropriate food for the child, as well as this, whilst officers have been with the victim, it was noted that the victim would allow the newborn to sleep in the same bed as himself, causing further concern. </w:t>
      </w:r>
    </w:p>
    <w:p w14:paraId="2F7E5527" w14:textId="2F277D11" w:rsidR="0009308F" w:rsidRDefault="0009308F" w:rsidP="00F10684">
      <w:pPr>
        <w:ind w:right="237"/>
        <w:jc w:val="both"/>
        <w:rPr>
          <w:rFonts w:eastAsia="Arial"/>
          <w:color w:val="000000" w:themeColor="text1"/>
          <w:sz w:val="24"/>
          <w:szCs w:val="24"/>
        </w:rPr>
      </w:pPr>
    </w:p>
    <w:p w14:paraId="79FA5B55" w14:textId="29716E79" w:rsidR="0009308F" w:rsidRDefault="0009308F" w:rsidP="00F10684">
      <w:pPr>
        <w:ind w:right="237"/>
        <w:jc w:val="both"/>
        <w:rPr>
          <w:rFonts w:eastAsia="Arial"/>
          <w:color w:val="000000" w:themeColor="text1"/>
          <w:sz w:val="24"/>
          <w:szCs w:val="24"/>
        </w:rPr>
      </w:pPr>
      <w:r>
        <w:rPr>
          <w:rFonts w:eastAsia="Arial"/>
          <w:color w:val="000000" w:themeColor="text1"/>
          <w:sz w:val="24"/>
          <w:szCs w:val="24"/>
        </w:rPr>
        <w:t xml:space="preserve">Furthermore, regarding the welfare of the newborn, Children’s Act 1989, which sets out legal framework for children’s protection was considered in co-ordination with social services, due to the child being present in a domestic violence incident. Utilisation of this act caused considerable concern for social service employees who in turn voiced their request to attend at the address as soon as practicable, ultimately to assist in carrying out their protective duties. </w:t>
      </w:r>
    </w:p>
    <w:p w14:paraId="6F60059D" w14:textId="77777777" w:rsidR="0009308F" w:rsidRDefault="0009308F" w:rsidP="00F10684">
      <w:pPr>
        <w:ind w:right="237"/>
        <w:jc w:val="both"/>
        <w:rPr>
          <w:rFonts w:eastAsia="Arial"/>
          <w:color w:val="000000" w:themeColor="text1"/>
          <w:sz w:val="24"/>
          <w:szCs w:val="24"/>
        </w:rPr>
      </w:pPr>
    </w:p>
    <w:p w14:paraId="7537A55E" w14:textId="7D947E99" w:rsidR="0009308F" w:rsidRDefault="00641568" w:rsidP="00F10684">
      <w:pPr>
        <w:ind w:right="237"/>
        <w:jc w:val="both"/>
        <w:rPr>
          <w:rFonts w:eastAsia="Arial"/>
          <w:color w:val="000000" w:themeColor="text1"/>
          <w:sz w:val="24"/>
          <w:szCs w:val="24"/>
        </w:rPr>
      </w:pPr>
      <w:r>
        <w:rPr>
          <w:rFonts w:eastAsia="Arial"/>
          <w:color w:val="000000" w:themeColor="text1"/>
          <w:sz w:val="24"/>
          <w:szCs w:val="24"/>
        </w:rPr>
        <w:t>Any person can be deemed vulnerable if as a result of their situation, they are unable to take care or protect themselves from harm or exploitation (College of Policing, 202</w:t>
      </w:r>
      <w:r w:rsidR="00547094">
        <w:rPr>
          <w:rFonts w:eastAsia="Arial"/>
          <w:color w:val="000000" w:themeColor="text1"/>
          <w:sz w:val="24"/>
          <w:szCs w:val="24"/>
        </w:rPr>
        <w:t>1</w:t>
      </w:r>
      <w:r>
        <w:rPr>
          <w:rFonts w:eastAsia="Arial"/>
          <w:color w:val="000000" w:themeColor="text1"/>
          <w:sz w:val="24"/>
          <w:szCs w:val="24"/>
        </w:rPr>
        <w:t xml:space="preserve">). Considering this definition, there are many factors that make the victim, and the newborn baby vulnerable persons. Firstly, considering the newborn, the baby is of extremely young age, and completely dependant on their parents to ensure their safety and wellbeing, as the baby has no means to protect itself from harm. Considering the victim, who has been a victim of domestic abuse from his partner but was unwilling to provide any information to police due to financial concerns, as well as concerns of the family being separated, also may be deemed vulnerable. </w:t>
      </w:r>
    </w:p>
    <w:p w14:paraId="616A6F7F" w14:textId="3405D119" w:rsidR="006C5FB5" w:rsidRDefault="006C5FB5" w:rsidP="00F10684">
      <w:pPr>
        <w:ind w:right="237"/>
        <w:jc w:val="both"/>
        <w:rPr>
          <w:rFonts w:eastAsia="Arial"/>
          <w:color w:val="000000" w:themeColor="text1"/>
          <w:sz w:val="24"/>
          <w:szCs w:val="24"/>
        </w:rPr>
      </w:pPr>
    </w:p>
    <w:p w14:paraId="76A04331" w14:textId="56DAF874" w:rsidR="006C5FB5" w:rsidRDefault="006C5FB5" w:rsidP="00F10684">
      <w:pPr>
        <w:ind w:right="237"/>
        <w:jc w:val="both"/>
        <w:rPr>
          <w:rFonts w:eastAsia="Arial"/>
          <w:color w:val="000000" w:themeColor="text1"/>
          <w:sz w:val="24"/>
          <w:szCs w:val="24"/>
        </w:rPr>
      </w:pPr>
      <w:r>
        <w:rPr>
          <w:rFonts w:eastAsia="Arial"/>
          <w:color w:val="000000" w:themeColor="text1"/>
          <w:sz w:val="24"/>
          <w:szCs w:val="24"/>
        </w:rPr>
        <w:t>Immediately following responding to the incident, the priority was ensuring the safety of all persons present, this being the victim, and</w:t>
      </w:r>
      <w:r w:rsidR="00690081">
        <w:rPr>
          <w:rFonts w:eastAsia="Arial"/>
          <w:color w:val="000000" w:themeColor="text1"/>
          <w:sz w:val="24"/>
          <w:szCs w:val="24"/>
        </w:rPr>
        <w:t xml:space="preserve"> </w:t>
      </w:r>
      <w:r>
        <w:rPr>
          <w:rFonts w:eastAsia="Arial"/>
          <w:color w:val="000000" w:themeColor="text1"/>
          <w:sz w:val="24"/>
          <w:szCs w:val="24"/>
        </w:rPr>
        <w:t xml:space="preserve">newborn. Regarding the safety of the newborn, it was established that social services were to be contacted to arrange for review of the care for the child as it was apparent to officers following the behaviours from the victim, that he was unable to care for the child alone. </w:t>
      </w:r>
    </w:p>
    <w:p w14:paraId="0F8280DC" w14:textId="68514E59" w:rsidR="00DC62EC" w:rsidRDefault="006C5FB5" w:rsidP="00F10684">
      <w:pPr>
        <w:ind w:right="237"/>
        <w:jc w:val="both"/>
        <w:rPr>
          <w:rFonts w:eastAsia="Arial"/>
          <w:color w:val="000000" w:themeColor="text1"/>
          <w:sz w:val="24"/>
          <w:szCs w:val="24"/>
        </w:rPr>
      </w:pPr>
      <w:r>
        <w:rPr>
          <w:rFonts w:eastAsia="Arial"/>
          <w:color w:val="000000" w:themeColor="text1"/>
          <w:sz w:val="24"/>
          <w:szCs w:val="24"/>
        </w:rPr>
        <w:t>The process of a public protection notice form was explained to the victim by the means of an interpreter due to the language barriers facing police. It was explained that the PPN process begins with a form that is completed by police that records safeguarding concerns and is then shared to partner agencies, such as health, education, and social care, who will discuss this PPN in a meeting</w:t>
      </w:r>
      <w:r w:rsidR="009C5852">
        <w:rPr>
          <w:rFonts w:eastAsia="Arial"/>
          <w:color w:val="000000" w:themeColor="text1"/>
          <w:sz w:val="24"/>
          <w:szCs w:val="24"/>
        </w:rPr>
        <w:t xml:space="preserve">, before deciding </w:t>
      </w:r>
      <w:r w:rsidR="009C5852">
        <w:rPr>
          <w:rFonts w:eastAsia="Arial"/>
          <w:color w:val="000000" w:themeColor="text1"/>
          <w:sz w:val="24"/>
          <w:szCs w:val="24"/>
        </w:rPr>
        <w:lastRenderedPageBreak/>
        <w:t xml:space="preserve">on the most appropriate action to take regarding safeguarding of victims and other vulnerable persons. </w:t>
      </w:r>
      <w:r w:rsidR="004A5BFE">
        <w:rPr>
          <w:rFonts w:eastAsia="Arial"/>
          <w:color w:val="000000" w:themeColor="text1"/>
          <w:sz w:val="24"/>
          <w:szCs w:val="24"/>
        </w:rPr>
        <w:t>HMICFRS (2023) defines a PPN as</w:t>
      </w:r>
      <w:r w:rsidR="004A5BFE" w:rsidRPr="004A5BFE">
        <w:rPr>
          <w:rFonts w:eastAsia="Arial"/>
          <w:color w:val="000000" w:themeColor="text1"/>
          <w:sz w:val="24"/>
          <w:szCs w:val="24"/>
        </w:rPr>
        <w:t xml:space="preserve"> </w:t>
      </w:r>
      <w:r w:rsidR="004A5BFE">
        <w:rPr>
          <w:rFonts w:eastAsia="Arial"/>
          <w:color w:val="000000" w:themeColor="text1"/>
          <w:sz w:val="24"/>
          <w:szCs w:val="24"/>
        </w:rPr>
        <w:t>“</w:t>
      </w:r>
      <w:r w:rsidR="004A5BFE" w:rsidRPr="004A5BFE">
        <w:rPr>
          <w:rFonts w:eastAsia="Arial"/>
          <w:color w:val="000000" w:themeColor="text1"/>
          <w:sz w:val="24"/>
          <w:szCs w:val="24"/>
        </w:rPr>
        <w:t>an information-sharing document that records safeguarding concerns about an adult or child. PPNs are shared with partner agencies to inform a multi-agency response</w:t>
      </w:r>
      <w:r w:rsidR="004A5BFE">
        <w:rPr>
          <w:rFonts w:eastAsia="Arial"/>
          <w:color w:val="000000" w:themeColor="text1"/>
          <w:sz w:val="24"/>
          <w:szCs w:val="24"/>
        </w:rPr>
        <w:t>”.</w:t>
      </w:r>
      <w:r w:rsidR="004A5BFE" w:rsidRPr="004A5BFE">
        <w:rPr>
          <w:rFonts w:eastAsia="Arial"/>
          <w:color w:val="000000" w:themeColor="text1"/>
          <w:sz w:val="24"/>
          <w:szCs w:val="24"/>
        </w:rPr>
        <w:t xml:space="preserve"> </w:t>
      </w:r>
      <w:r w:rsidR="009C5852">
        <w:rPr>
          <w:rFonts w:eastAsia="Arial"/>
          <w:color w:val="000000" w:themeColor="text1"/>
          <w:sz w:val="24"/>
          <w:szCs w:val="24"/>
        </w:rPr>
        <w:t>Furthermore, from public protection notices, it was explained to the victim that due to social services concern for the welfare of the newborn, that the concern may be risen in a multi-agency risk assessment conference, otherwise known as MARAC.</w:t>
      </w:r>
      <w:r w:rsidR="00A4169D">
        <w:rPr>
          <w:rFonts w:eastAsia="Arial"/>
          <w:color w:val="000000" w:themeColor="text1"/>
          <w:sz w:val="24"/>
          <w:szCs w:val="24"/>
        </w:rPr>
        <w:t xml:space="preserve"> Mcloughlin et al (2014) explain the key principles of MARAC being s</w:t>
      </w:r>
      <w:r w:rsidR="00A4169D" w:rsidRPr="00A4169D">
        <w:rPr>
          <w:rFonts w:eastAsia="Arial"/>
          <w:color w:val="000000" w:themeColor="text1"/>
          <w:sz w:val="24"/>
          <w:szCs w:val="24"/>
        </w:rPr>
        <w:t>afeguard</w:t>
      </w:r>
      <w:r w:rsidR="00A4169D">
        <w:rPr>
          <w:rFonts w:eastAsia="Arial"/>
          <w:color w:val="000000" w:themeColor="text1"/>
          <w:sz w:val="24"/>
          <w:szCs w:val="24"/>
        </w:rPr>
        <w:t>ing</w:t>
      </w:r>
      <w:r w:rsidR="00A4169D" w:rsidRPr="00A4169D">
        <w:rPr>
          <w:rFonts w:eastAsia="Arial"/>
          <w:color w:val="000000" w:themeColor="text1"/>
          <w:sz w:val="24"/>
          <w:szCs w:val="24"/>
        </w:rPr>
        <w:t xml:space="preserve"> adult victims</w:t>
      </w:r>
      <w:r w:rsidR="00A4169D">
        <w:rPr>
          <w:rFonts w:eastAsia="Arial"/>
          <w:color w:val="000000" w:themeColor="text1"/>
          <w:sz w:val="24"/>
          <w:szCs w:val="24"/>
        </w:rPr>
        <w:t>, m</w:t>
      </w:r>
      <w:r w:rsidR="00A4169D" w:rsidRPr="00A4169D">
        <w:rPr>
          <w:rFonts w:eastAsia="Arial"/>
          <w:color w:val="000000" w:themeColor="text1"/>
          <w:sz w:val="24"/>
          <w:szCs w:val="24"/>
        </w:rPr>
        <w:t>ake links with other public protection arrangements in relation to children, perpetrators and vulnerable adult</w:t>
      </w:r>
      <w:r w:rsidR="00A4169D">
        <w:rPr>
          <w:rFonts w:eastAsia="Arial"/>
          <w:color w:val="000000" w:themeColor="text1"/>
          <w:sz w:val="24"/>
          <w:szCs w:val="24"/>
        </w:rPr>
        <w:t>, to s</w:t>
      </w:r>
      <w:r w:rsidR="00A4169D" w:rsidRPr="00A4169D">
        <w:rPr>
          <w:rFonts w:eastAsia="Arial"/>
          <w:color w:val="000000" w:themeColor="text1"/>
          <w:sz w:val="24"/>
          <w:szCs w:val="24"/>
        </w:rPr>
        <w:t>afeguard agency staff</w:t>
      </w:r>
      <w:r w:rsidR="00A4169D">
        <w:rPr>
          <w:rFonts w:eastAsia="Arial"/>
          <w:color w:val="000000" w:themeColor="text1"/>
          <w:sz w:val="24"/>
          <w:szCs w:val="24"/>
        </w:rPr>
        <w:t>, and to a</w:t>
      </w:r>
      <w:r w:rsidR="00A4169D" w:rsidRPr="00A4169D">
        <w:rPr>
          <w:rFonts w:eastAsia="Arial"/>
          <w:color w:val="000000" w:themeColor="text1"/>
          <w:sz w:val="24"/>
          <w:szCs w:val="24"/>
        </w:rPr>
        <w:t>ddress the behaviour of the perpetrator.</w:t>
      </w:r>
      <w:r w:rsidR="009C5852">
        <w:rPr>
          <w:rFonts w:eastAsia="Arial"/>
          <w:color w:val="000000" w:themeColor="text1"/>
          <w:sz w:val="24"/>
          <w:szCs w:val="24"/>
        </w:rPr>
        <w:t xml:space="preserve"> It was explained to the victim that these conferences consist of further sharing of information where domestic violence is concerned, whereby participants from police, social, health, housing and domestic violence advocates will work together to identify what risks are at play and to build safety plans.</w:t>
      </w:r>
      <w:r w:rsidR="00DC62EC">
        <w:rPr>
          <w:rFonts w:eastAsia="Arial"/>
          <w:color w:val="000000" w:themeColor="text1"/>
          <w:sz w:val="24"/>
          <w:szCs w:val="24"/>
        </w:rPr>
        <w:t xml:space="preserve"> </w:t>
      </w:r>
    </w:p>
    <w:p w14:paraId="0C27CEF8" w14:textId="1AE85366" w:rsidR="00D84803" w:rsidRDefault="00DC62EC" w:rsidP="00F10684">
      <w:pPr>
        <w:ind w:right="237"/>
        <w:jc w:val="both"/>
        <w:rPr>
          <w:rFonts w:eastAsia="Arial"/>
          <w:color w:val="000000" w:themeColor="text1"/>
          <w:sz w:val="24"/>
          <w:szCs w:val="24"/>
        </w:rPr>
      </w:pPr>
      <w:r>
        <w:rPr>
          <w:rFonts w:eastAsia="Arial"/>
          <w:color w:val="000000" w:themeColor="text1"/>
          <w:sz w:val="24"/>
          <w:szCs w:val="24"/>
        </w:rPr>
        <w:t xml:space="preserve">When evaluating the use of public protection notices and the role they play in supporting victims of crime, it is evident that the ability for police to inform other services who may be able to offer different avenues of support that police is critical. Furthermore, PPN’s offer </w:t>
      </w:r>
      <w:r w:rsidR="004A127B">
        <w:rPr>
          <w:rFonts w:eastAsia="Arial"/>
          <w:color w:val="000000" w:themeColor="text1"/>
          <w:sz w:val="24"/>
          <w:szCs w:val="24"/>
        </w:rPr>
        <w:t xml:space="preserve">all support services the opportunity to consider the vulnerabilities of persons and the best approach to support these persons appropriately. Additionally, MARAC meetings only enhance the support services understanding of each individual case, meaning that information may be brought to the attention of police which was not previously known, allowing for police to approach each incident in the most suitable way possible. </w:t>
      </w:r>
    </w:p>
    <w:p w14:paraId="65AED923" w14:textId="77777777" w:rsidR="0009308F" w:rsidRDefault="0009308F" w:rsidP="00F10684">
      <w:pPr>
        <w:ind w:right="237"/>
        <w:jc w:val="both"/>
        <w:rPr>
          <w:rFonts w:eastAsia="Arial"/>
          <w:color w:val="000000" w:themeColor="text1"/>
          <w:sz w:val="24"/>
          <w:szCs w:val="24"/>
        </w:rPr>
      </w:pPr>
    </w:p>
    <w:p w14:paraId="1A456C76" w14:textId="337C8B37" w:rsidR="003C6967" w:rsidRDefault="009C5852" w:rsidP="003C6967">
      <w:pPr>
        <w:ind w:right="237"/>
        <w:jc w:val="both"/>
        <w:rPr>
          <w:rFonts w:eastAsia="Arial"/>
          <w:color w:val="000000" w:themeColor="text1"/>
          <w:sz w:val="24"/>
          <w:szCs w:val="24"/>
        </w:rPr>
      </w:pPr>
      <w:r>
        <w:rPr>
          <w:rFonts w:eastAsia="Arial"/>
          <w:color w:val="000000" w:themeColor="text1"/>
          <w:sz w:val="24"/>
          <w:szCs w:val="24"/>
        </w:rPr>
        <w:t>Another approach used to support the victim in this instance was consideration of the use of a domestic violence advocate</w:t>
      </w:r>
      <w:r w:rsidR="00535932">
        <w:rPr>
          <w:rFonts w:eastAsia="Arial"/>
          <w:color w:val="000000" w:themeColor="text1"/>
          <w:sz w:val="24"/>
          <w:szCs w:val="24"/>
        </w:rPr>
        <w:t>, whereby the victim was made aware of services that he would be able to contact that were independent from police and would assist in ensuring that the victim receives suitable support and can assist with support throughout police investigations. (Allen, 2</w:t>
      </w:r>
      <w:r w:rsidR="00AF0F76">
        <w:rPr>
          <w:rFonts w:eastAsia="Arial"/>
          <w:color w:val="000000" w:themeColor="text1"/>
          <w:sz w:val="24"/>
          <w:szCs w:val="24"/>
        </w:rPr>
        <w:t>017</w:t>
      </w:r>
      <w:r w:rsidR="00535932">
        <w:rPr>
          <w:rFonts w:eastAsia="Arial"/>
          <w:color w:val="000000" w:themeColor="text1"/>
          <w:sz w:val="24"/>
          <w:szCs w:val="24"/>
        </w:rPr>
        <w:t xml:space="preserve">) suggests that the involvement of domestic violence advocates can improve victims’ satisfaction with police involvement and reduces the likelihood of repeat victimization. This approach was considered largely due to the victim’s reluctance to provide any detail or information to police regarding the incident, meaning that a domestic violence advocate may be able to assist in supporting the victim towards an understanding of police requirement to ensure the safety and wellbeing of all persons involved. </w:t>
      </w:r>
    </w:p>
    <w:p w14:paraId="5B8E35D7" w14:textId="6A256A84" w:rsidR="69F7424F" w:rsidRPr="003C6967" w:rsidRDefault="003C6967" w:rsidP="003C6967">
      <w:pPr>
        <w:ind w:right="237"/>
        <w:jc w:val="both"/>
        <w:rPr>
          <w:rStyle w:val="normaltextrun"/>
          <w:rFonts w:eastAsia="Arial"/>
          <w:color w:val="000000" w:themeColor="text1"/>
          <w:sz w:val="24"/>
          <w:szCs w:val="24"/>
        </w:rPr>
      </w:pPr>
      <w:r>
        <w:rPr>
          <w:rFonts w:eastAsia="Arial"/>
          <w:color w:val="000000" w:themeColor="text1"/>
          <w:sz w:val="24"/>
          <w:szCs w:val="24"/>
        </w:rPr>
        <w:t xml:space="preserve">Evaluating the use of domestic violence advocates, it can be argued that an organisation that is independent from police can offer victims a completely different perspective, as these organisations offer no concern regarding the prosecution of defendants. This perspective allows victims to speak with advocates freely with no fear of consequences, ultimately resulting in victims providing circumstances of incidents and receiving the most suitable support. </w:t>
      </w:r>
    </w:p>
    <w:p w14:paraId="7D680199" w14:textId="77777777" w:rsidR="00B44C0B" w:rsidRDefault="00B44C0B" w:rsidP="00B44C0B">
      <w:pPr>
        <w:pStyle w:val="paragraph"/>
        <w:spacing w:before="0" w:beforeAutospacing="0" w:after="0" w:afterAutospacing="0"/>
        <w:ind w:right="225"/>
        <w:rPr>
          <w:rStyle w:val="normaltextrun"/>
          <w:rFonts w:ascii="Arial" w:hAnsi="Arial" w:cs="Arial"/>
          <w:b/>
          <w:bCs/>
          <w:color w:val="000000" w:themeColor="text1"/>
        </w:rPr>
      </w:pPr>
    </w:p>
    <w:p w14:paraId="0A02CC2F" w14:textId="77777777" w:rsidR="00547094" w:rsidRDefault="00547094" w:rsidP="00B44C0B">
      <w:pPr>
        <w:pStyle w:val="paragraph"/>
        <w:spacing w:before="0" w:beforeAutospacing="0" w:after="0" w:afterAutospacing="0"/>
        <w:ind w:right="225"/>
        <w:rPr>
          <w:rStyle w:val="normaltextrun"/>
          <w:rFonts w:ascii="Arial" w:hAnsi="Arial" w:cs="Arial"/>
          <w:color w:val="000000" w:themeColor="text1"/>
        </w:rPr>
      </w:pPr>
    </w:p>
    <w:p w14:paraId="23EA9307" w14:textId="77777777" w:rsidR="00AF0F76" w:rsidRDefault="00AF0F76" w:rsidP="00B44C0B">
      <w:pPr>
        <w:pStyle w:val="paragraph"/>
        <w:spacing w:before="0" w:beforeAutospacing="0" w:after="0" w:afterAutospacing="0"/>
        <w:ind w:right="225"/>
        <w:rPr>
          <w:rStyle w:val="normaltextrun"/>
          <w:rFonts w:ascii="Arial" w:hAnsi="Arial" w:cs="Arial"/>
          <w:color w:val="000000" w:themeColor="text1"/>
        </w:rPr>
      </w:pPr>
    </w:p>
    <w:p w14:paraId="0C9EEA2F" w14:textId="77777777" w:rsidR="00AF0F76" w:rsidRPr="00B44C0B" w:rsidRDefault="00AF0F76" w:rsidP="00B44C0B">
      <w:pPr>
        <w:pStyle w:val="paragraph"/>
        <w:spacing w:before="0" w:beforeAutospacing="0" w:after="0" w:afterAutospacing="0"/>
        <w:ind w:right="225"/>
        <w:rPr>
          <w:rStyle w:val="normaltextrun"/>
          <w:rFonts w:ascii="Arial" w:hAnsi="Arial" w:cs="Arial"/>
          <w:color w:val="000000" w:themeColor="text1"/>
        </w:rPr>
      </w:pPr>
    </w:p>
    <w:p w14:paraId="16B6C832" w14:textId="77777777" w:rsidR="008E1C84" w:rsidRDefault="008D24AE" w:rsidP="008E1C84">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 xml:space="preserve">Tackling repeat victimisation and repeat offending </w:t>
      </w:r>
      <w:r w:rsidR="008E1C84">
        <w:rPr>
          <w:rStyle w:val="eop"/>
          <w:rFonts w:ascii="Arial" w:hAnsi="Arial" w:cs="Arial"/>
          <w:color w:val="000000" w:themeColor="text1"/>
        </w:rPr>
        <w:t xml:space="preserve">is a challenge facing police that can be approached in many ways. It is often found that perpetrators will target the same people and will target the same victims. Many crimes and modus operandi such as domestic incidents, or thefts, will regularly have the same victims and as </w:t>
      </w:r>
      <w:r w:rsidR="008E1C84">
        <w:rPr>
          <w:rStyle w:val="eop"/>
          <w:rFonts w:ascii="Arial" w:hAnsi="Arial" w:cs="Arial"/>
          <w:color w:val="000000" w:themeColor="text1"/>
        </w:rPr>
        <w:lastRenderedPageBreak/>
        <w:t xml:space="preserve">such, there are methods and strategies that can be implemented to prevent repeated crime. </w:t>
      </w:r>
    </w:p>
    <w:p w14:paraId="12471791" w14:textId="77777777" w:rsidR="008E1C84" w:rsidRDefault="008E1C84" w:rsidP="008E1C84">
      <w:pPr>
        <w:pStyle w:val="paragraph"/>
        <w:spacing w:before="0" w:beforeAutospacing="0" w:after="0" w:afterAutospacing="0"/>
        <w:textAlignment w:val="baseline"/>
        <w:rPr>
          <w:rStyle w:val="eop"/>
          <w:rFonts w:ascii="Arial" w:hAnsi="Arial" w:cs="Arial"/>
          <w:color w:val="000000" w:themeColor="text1"/>
        </w:rPr>
      </w:pPr>
    </w:p>
    <w:p w14:paraId="58B730F5" w14:textId="1AEF3924" w:rsidR="008D24AE" w:rsidRDefault="008E1C84" w:rsidP="008E1C84">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The first method that will be discussed is target hardening. T</w:t>
      </w:r>
      <w:r w:rsidR="00690081">
        <w:rPr>
          <w:rStyle w:val="eop"/>
          <w:rFonts w:ascii="Arial" w:hAnsi="Arial" w:cs="Arial"/>
          <w:color w:val="000000" w:themeColor="text1"/>
        </w:rPr>
        <w:t>his</w:t>
      </w:r>
      <w:r>
        <w:rPr>
          <w:rStyle w:val="eop"/>
          <w:rFonts w:ascii="Arial" w:hAnsi="Arial" w:cs="Arial"/>
          <w:color w:val="000000" w:themeColor="text1"/>
        </w:rPr>
        <w:t xml:space="preserve"> concerns implementing increased security techniques, resulting in offenders having more difficulty to commit crimes. Target hardening is often suggested for crimes such as thefts and burglaries, as well as in the case of domestic incidents. Studies suggest that the utilisation of CCTV systems, alarm systems and improving hardware such as reinforced doors or locking systems will regularly prove to deter criminals from targeting business to commit damage or theft offences. Target hardening also can </w:t>
      </w:r>
      <w:r w:rsidR="000273FF">
        <w:rPr>
          <w:rStyle w:val="eop"/>
          <w:rFonts w:ascii="Arial" w:hAnsi="Arial" w:cs="Arial"/>
          <w:color w:val="000000" w:themeColor="text1"/>
        </w:rPr>
        <w:t>deter domestic offences, whereby if offenders are aware of camera systems within domestic properties, this will act as a deterrent to preventing violent offences.</w:t>
      </w:r>
      <w:r w:rsidR="00AF0F76">
        <w:rPr>
          <w:rStyle w:val="eop"/>
          <w:rFonts w:ascii="Arial" w:hAnsi="Arial" w:cs="Arial"/>
          <w:color w:val="000000" w:themeColor="text1"/>
        </w:rPr>
        <w:t xml:space="preserve"> </w:t>
      </w:r>
      <w:r w:rsidR="00DB3D2F">
        <w:rPr>
          <w:rStyle w:val="eop"/>
          <w:rFonts w:ascii="Arial" w:hAnsi="Arial" w:cs="Arial"/>
          <w:color w:val="000000" w:themeColor="text1"/>
        </w:rPr>
        <w:t>Mayhew (1984)</w:t>
      </w:r>
      <w:r w:rsidR="00AF0F76">
        <w:rPr>
          <w:rStyle w:val="eop"/>
          <w:rFonts w:ascii="Arial" w:hAnsi="Arial" w:cs="Arial"/>
          <w:color w:val="000000" w:themeColor="text1"/>
        </w:rPr>
        <w:t xml:space="preserve"> explains how target hardening </w:t>
      </w:r>
      <w:r w:rsidR="00770253">
        <w:rPr>
          <w:rStyle w:val="eop"/>
          <w:rFonts w:ascii="Arial" w:hAnsi="Arial" w:cs="Arial"/>
          <w:color w:val="000000" w:themeColor="text1"/>
        </w:rPr>
        <w:t xml:space="preserve">is a crucial deterrent in assisting in the prevention of crime. </w:t>
      </w:r>
    </w:p>
    <w:p w14:paraId="50AE4527" w14:textId="7D561743" w:rsidR="00C93C1C" w:rsidRDefault="00C93C1C" w:rsidP="008E1C84">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 xml:space="preserve">Similarly </w:t>
      </w:r>
      <w:r w:rsidR="00690081">
        <w:rPr>
          <w:rStyle w:val="eop"/>
          <w:rFonts w:ascii="Arial" w:hAnsi="Arial" w:cs="Arial"/>
          <w:color w:val="000000" w:themeColor="text1"/>
        </w:rPr>
        <w:t>to</w:t>
      </w:r>
      <w:r>
        <w:rPr>
          <w:rStyle w:val="eop"/>
          <w:rFonts w:ascii="Arial" w:hAnsi="Arial" w:cs="Arial"/>
          <w:color w:val="000000" w:themeColor="text1"/>
        </w:rPr>
        <w:t xml:space="preserve"> target hardening, correctly submitted risk assessments can assist in provid</w:t>
      </w:r>
      <w:r w:rsidR="00690081">
        <w:rPr>
          <w:rStyle w:val="eop"/>
          <w:rFonts w:ascii="Arial" w:hAnsi="Arial" w:cs="Arial"/>
          <w:color w:val="000000" w:themeColor="text1"/>
        </w:rPr>
        <w:t>i</w:t>
      </w:r>
      <w:r>
        <w:rPr>
          <w:rStyle w:val="eop"/>
          <w:rFonts w:ascii="Arial" w:hAnsi="Arial" w:cs="Arial"/>
          <w:color w:val="000000" w:themeColor="text1"/>
        </w:rPr>
        <w:t>ng protection and intervention, risk assessments are successful in the case of domestic incidents, whereby submitting PPN’s such as domestic abuse, stalking and harassment (DASH) PPNs can assist police in accurately considering the risk to victims and th</w:t>
      </w:r>
      <w:r w:rsidR="00690081">
        <w:rPr>
          <w:rStyle w:val="eop"/>
          <w:rFonts w:ascii="Arial" w:hAnsi="Arial" w:cs="Arial"/>
          <w:color w:val="000000" w:themeColor="text1"/>
        </w:rPr>
        <w:t xml:space="preserve">e </w:t>
      </w:r>
      <w:r>
        <w:rPr>
          <w:rStyle w:val="eop"/>
          <w:rFonts w:ascii="Arial" w:hAnsi="Arial" w:cs="Arial"/>
          <w:color w:val="000000" w:themeColor="text1"/>
        </w:rPr>
        <w:t xml:space="preserve">response appropriate for police when attending these incidents. </w:t>
      </w:r>
      <w:r w:rsidR="00DB3D2F">
        <w:rPr>
          <w:rStyle w:val="eop"/>
          <w:rFonts w:ascii="Arial" w:hAnsi="Arial" w:cs="Arial"/>
          <w:color w:val="000000" w:themeColor="text1"/>
        </w:rPr>
        <w:t xml:space="preserve">Buckinghamshire Domestic Abuse Board (2024) defines DASH as </w:t>
      </w:r>
      <w:r w:rsidR="00DB3D2F" w:rsidRPr="00DB3D2F">
        <w:rPr>
          <w:rFonts w:ascii="Arial" w:hAnsi="Arial" w:cs="Arial"/>
          <w:color w:val="000000" w:themeColor="text1"/>
        </w:rPr>
        <w:t>a risk assessment tool used by practitioners who work with victims of domestic abuse. The assessment is key to understanding the level of risk posed to a victim (including children). The risk levels are standard, medium and high</w:t>
      </w:r>
      <w:r w:rsidR="00DB3D2F">
        <w:rPr>
          <w:rFonts w:ascii="Arial" w:hAnsi="Arial" w:cs="Arial"/>
          <w:color w:val="000000" w:themeColor="text1"/>
        </w:rPr>
        <w:t>”.</w:t>
      </w:r>
      <w:r w:rsidR="00DB3D2F" w:rsidRPr="00DB3D2F">
        <w:rPr>
          <w:rFonts w:ascii="Arial" w:hAnsi="Arial" w:cs="Arial"/>
          <w:color w:val="000000" w:themeColor="text1"/>
        </w:rPr>
        <w:t xml:space="preserve"> </w:t>
      </w:r>
      <w:r>
        <w:rPr>
          <w:rStyle w:val="eop"/>
          <w:rFonts w:ascii="Arial" w:hAnsi="Arial" w:cs="Arial"/>
          <w:color w:val="000000" w:themeColor="text1"/>
        </w:rPr>
        <w:t>PPN’s offer officers the intelligence and information required to consider the best approach to attending these incidents, as officers will be aware prior to attendance of the level of risk that the victim may be subject too.</w:t>
      </w:r>
    </w:p>
    <w:p w14:paraId="2843A415" w14:textId="163675F4" w:rsidR="0062392D" w:rsidRDefault="0062392D" w:rsidP="008E1C84">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A third method that can assist in repeat victimisation and repeat offending is hot spot policing and proactive policing. This</w:t>
      </w:r>
      <w:r w:rsidR="00690081">
        <w:rPr>
          <w:rStyle w:val="eop"/>
          <w:rFonts w:ascii="Arial" w:hAnsi="Arial" w:cs="Arial"/>
          <w:color w:val="000000" w:themeColor="text1"/>
        </w:rPr>
        <w:t xml:space="preserve"> </w:t>
      </w:r>
      <w:r>
        <w:rPr>
          <w:rStyle w:val="eop"/>
          <w:rFonts w:ascii="Arial" w:hAnsi="Arial" w:cs="Arial"/>
          <w:color w:val="000000" w:themeColor="text1"/>
        </w:rPr>
        <w:t xml:space="preserve">intervention relies heavily on intelligence; </w:t>
      </w:r>
      <w:r w:rsidR="00AF0F76">
        <w:rPr>
          <w:rStyle w:val="eop"/>
          <w:rFonts w:ascii="Arial" w:hAnsi="Arial" w:cs="Arial"/>
          <w:color w:val="000000" w:themeColor="text1"/>
        </w:rPr>
        <w:t>however,</w:t>
      </w:r>
      <w:r>
        <w:rPr>
          <w:rStyle w:val="eop"/>
          <w:rFonts w:ascii="Arial" w:hAnsi="Arial" w:cs="Arial"/>
          <w:color w:val="000000" w:themeColor="text1"/>
        </w:rPr>
        <w:t xml:space="preserve"> intelligence can provide police with the information required to deploy officers into areas whereby there are higher rates of crime. Hot spot policing can greatly assist in the intervention of crimes such drug supplying, as well as anti-social behaviour concerns as the visible presence of officers will often deter criminals from conducting any criminal activity within the area targeted, ultimately disrupting any criminal patterns that may be happening within the area.</w:t>
      </w:r>
      <w:r w:rsidR="00DB3D2F">
        <w:rPr>
          <w:rStyle w:val="eop"/>
          <w:rFonts w:ascii="Arial" w:hAnsi="Arial" w:cs="Arial"/>
          <w:color w:val="000000" w:themeColor="text1"/>
        </w:rPr>
        <w:t xml:space="preserve"> Braga et al (2012) explains the importance of hot-spot policing, stating </w:t>
      </w:r>
      <w:r w:rsidR="00DB3D2F">
        <w:rPr>
          <w:rFonts w:ascii="Arial" w:hAnsi="Arial" w:cs="Arial"/>
          <w:color w:val="000000" w:themeColor="text1"/>
        </w:rPr>
        <w:t>p</w:t>
      </w:r>
      <w:r w:rsidR="00DB3D2F" w:rsidRPr="00DB3D2F">
        <w:rPr>
          <w:rFonts w:ascii="Arial" w:hAnsi="Arial" w:cs="Arial"/>
          <w:color w:val="000000" w:themeColor="text1"/>
        </w:rPr>
        <w:t>roblem-oriented</w:t>
      </w:r>
      <w:r w:rsidR="00DB3D2F" w:rsidRPr="00DB3D2F">
        <w:rPr>
          <w:rFonts w:ascii="Arial" w:hAnsi="Arial" w:cs="Arial"/>
          <w:color w:val="000000" w:themeColor="text1"/>
        </w:rPr>
        <w:t xml:space="preserve"> policing approach allows for developing tailored responses to specific recurring problems in high activity crime spots.</w:t>
      </w:r>
    </w:p>
    <w:p w14:paraId="0A168462" w14:textId="6D41508E" w:rsidR="00BE5055" w:rsidRDefault="00BE5055" w:rsidP="008E1C84">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A fourth method that is proven in the prevention of repeat offending is the use of rehabilitation processes, such as women’s pathfinder, which acts as an ‘out of court disposal’ by way of offering female perpetrators the opportunity to undertake a course as apposed to being charged for an offence, this acts as a means to prevent further offences by educating offenders on the consequences of their actions.</w:t>
      </w:r>
      <w:r w:rsidR="00162658">
        <w:rPr>
          <w:rStyle w:val="eop"/>
          <w:rFonts w:ascii="Arial" w:hAnsi="Arial" w:cs="Arial"/>
          <w:color w:val="000000" w:themeColor="text1"/>
        </w:rPr>
        <w:t xml:space="preserve"> </w:t>
      </w:r>
      <w:r w:rsidR="00690081">
        <w:rPr>
          <w:rStyle w:val="eop"/>
          <w:rFonts w:ascii="Arial" w:hAnsi="Arial" w:cs="Arial"/>
          <w:color w:val="000000" w:themeColor="text1"/>
        </w:rPr>
        <w:t>Women’s</w:t>
      </w:r>
      <w:r w:rsidR="00162658">
        <w:rPr>
          <w:rStyle w:val="eop"/>
          <w:rFonts w:ascii="Arial" w:hAnsi="Arial" w:cs="Arial"/>
          <w:color w:val="000000" w:themeColor="text1"/>
        </w:rPr>
        <w:t xml:space="preserve"> pathfinder is explained as “</w:t>
      </w:r>
      <w:r w:rsidR="00162658" w:rsidRPr="00162658">
        <w:rPr>
          <w:rFonts w:ascii="Arial" w:hAnsi="Arial" w:cs="Arial"/>
          <w:color w:val="000000" w:themeColor="text1"/>
        </w:rPr>
        <w:t>bring</w:t>
      </w:r>
      <w:r w:rsidR="00162658">
        <w:rPr>
          <w:rFonts w:ascii="Arial" w:hAnsi="Arial" w:cs="Arial"/>
          <w:color w:val="000000" w:themeColor="text1"/>
        </w:rPr>
        <w:t>ing</w:t>
      </w:r>
      <w:r w:rsidR="00162658" w:rsidRPr="00162658">
        <w:rPr>
          <w:rFonts w:ascii="Arial" w:hAnsi="Arial" w:cs="Arial"/>
          <w:color w:val="000000" w:themeColor="text1"/>
        </w:rPr>
        <w:t xml:space="preserve"> together local agencies in the criminal justice system and statutory and third sectors to develop a </w:t>
      </w:r>
      <w:r w:rsidR="00690081" w:rsidRPr="00162658">
        <w:rPr>
          <w:rFonts w:ascii="Arial" w:hAnsi="Arial" w:cs="Arial"/>
          <w:color w:val="000000" w:themeColor="text1"/>
        </w:rPr>
        <w:t>multi-agency</w:t>
      </w:r>
      <w:r w:rsidR="00162658" w:rsidRPr="00162658">
        <w:rPr>
          <w:rFonts w:ascii="Arial" w:hAnsi="Arial" w:cs="Arial"/>
          <w:color w:val="000000" w:themeColor="text1"/>
        </w:rPr>
        <w:t xml:space="preserve"> approach to address the complex needs of women</w:t>
      </w:r>
      <w:r w:rsidR="00162658">
        <w:rPr>
          <w:rFonts w:ascii="Arial" w:hAnsi="Arial" w:cs="Arial"/>
          <w:color w:val="000000" w:themeColor="text1"/>
        </w:rPr>
        <w:t xml:space="preserve">” (IOMCymru.org, 2024). </w:t>
      </w:r>
      <w:r>
        <w:rPr>
          <w:rStyle w:val="eop"/>
          <w:rFonts w:ascii="Arial" w:hAnsi="Arial" w:cs="Arial"/>
          <w:color w:val="000000" w:themeColor="text1"/>
        </w:rPr>
        <w:t xml:space="preserve">Furthermore, options available to officers such as ‘restorative justice’ is another means of preventing repeated offending, the restorative justice process is utilised by police as another form of ‘out of court disposal’, whereby the offender admits guilt and is informed that the offence will lay within their police record for a total of two years, and any further offences of a similar nature will leave them ineligible for further out of court disposals </w:t>
      </w:r>
      <w:r>
        <w:rPr>
          <w:rStyle w:val="eop"/>
          <w:rFonts w:ascii="Arial" w:hAnsi="Arial" w:cs="Arial"/>
          <w:color w:val="000000" w:themeColor="text1"/>
        </w:rPr>
        <w:lastRenderedPageBreak/>
        <w:t>and will result in arrest.</w:t>
      </w:r>
      <w:r w:rsidR="00763F16">
        <w:rPr>
          <w:rStyle w:val="eop"/>
          <w:rFonts w:ascii="Arial" w:hAnsi="Arial" w:cs="Arial"/>
          <w:color w:val="000000" w:themeColor="text1"/>
        </w:rPr>
        <w:t xml:space="preserve"> Bazemore et al (2001), explains that the restorative just acts to </w:t>
      </w:r>
      <w:r w:rsidR="00763F16" w:rsidRPr="00763F16">
        <w:rPr>
          <w:rFonts w:ascii="Arial" w:hAnsi="Arial" w:cs="Arial"/>
          <w:color w:val="000000" w:themeColor="text1"/>
        </w:rPr>
        <w:t>remedy the harm</w:t>
      </w:r>
      <w:r w:rsidR="00763F16">
        <w:rPr>
          <w:rFonts w:ascii="Arial" w:hAnsi="Arial" w:cs="Arial"/>
          <w:color w:val="000000" w:themeColor="text1"/>
        </w:rPr>
        <w:t xml:space="preserve"> </w:t>
      </w:r>
      <w:r w:rsidR="00763F16" w:rsidRPr="00763F16">
        <w:rPr>
          <w:rFonts w:ascii="Arial" w:hAnsi="Arial" w:cs="Arial"/>
          <w:color w:val="000000" w:themeColor="text1"/>
        </w:rPr>
        <w:t>experienced by those directly affected by the criminal act</w:t>
      </w:r>
      <w:r w:rsidR="00763F16">
        <w:rPr>
          <w:rFonts w:ascii="Arial" w:hAnsi="Arial" w:cs="Arial"/>
          <w:color w:val="000000" w:themeColor="text1"/>
        </w:rPr>
        <w:t xml:space="preserve"> in less intrusive means. Marshall (1999) goes onto explain how the process aims to bring </w:t>
      </w:r>
      <w:r w:rsidR="00763F16" w:rsidRPr="00763F16">
        <w:rPr>
          <w:rFonts w:ascii="Arial" w:hAnsi="Arial" w:cs="Arial"/>
          <w:color w:val="000000" w:themeColor="text1"/>
        </w:rPr>
        <w:t xml:space="preserve">parties </w:t>
      </w:r>
      <w:r w:rsidR="00763F16">
        <w:rPr>
          <w:rFonts w:ascii="Arial" w:hAnsi="Arial" w:cs="Arial"/>
          <w:color w:val="000000" w:themeColor="text1"/>
        </w:rPr>
        <w:t xml:space="preserve">involved </w:t>
      </w:r>
      <w:r w:rsidR="00763F16" w:rsidRPr="00763F16">
        <w:rPr>
          <w:rFonts w:ascii="Arial" w:hAnsi="Arial" w:cs="Arial"/>
          <w:color w:val="000000" w:themeColor="text1"/>
        </w:rPr>
        <w:t>in a particular offence together to resolve collectively how to deal with the aftermath of the offence and its implications for the future</w:t>
      </w:r>
      <w:r w:rsidR="00763F16">
        <w:rPr>
          <w:rFonts w:ascii="Arial" w:hAnsi="Arial" w:cs="Arial"/>
          <w:color w:val="000000" w:themeColor="text1"/>
        </w:rPr>
        <w:t>.</w:t>
      </w:r>
    </w:p>
    <w:p w14:paraId="5518CA34" w14:textId="77777777" w:rsidR="005C3493" w:rsidRDefault="005C3493" w:rsidP="008E1C84">
      <w:pPr>
        <w:pStyle w:val="paragraph"/>
        <w:spacing w:before="0" w:beforeAutospacing="0" w:after="0" w:afterAutospacing="0"/>
        <w:textAlignment w:val="baseline"/>
        <w:rPr>
          <w:rStyle w:val="eop"/>
          <w:rFonts w:ascii="Arial" w:hAnsi="Arial" w:cs="Arial"/>
          <w:color w:val="000000" w:themeColor="text1"/>
        </w:rPr>
      </w:pPr>
    </w:p>
    <w:p w14:paraId="0D9F7279" w14:textId="09C78A1E" w:rsidR="008D24AE" w:rsidRPr="00B311CE" w:rsidRDefault="005C3493" w:rsidP="00B311CE">
      <w:pPr>
        <w:pStyle w:val="paragraph"/>
        <w:spacing w:before="0" w:beforeAutospacing="0" w:after="0" w:afterAutospacing="0"/>
        <w:textAlignment w:val="baseline"/>
        <w:rPr>
          <w:rFonts w:ascii="Arial" w:hAnsi="Arial" w:cs="Arial"/>
          <w:color w:val="000000" w:themeColor="text1"/>
        </w:rPr>
      </w:pPr>
      <w:r>
        <w:rPr>
          <w:rFonts w:ascii="Arial" w:hAnsi="Arial" w:cs="Arial"/>
          <w:color w:val="000000" w:themeColor="text1"/>
        </w:rPr>
        <w:t xml:space="preserve">When exploring the use of </w:t>
      </w:r>
      <w:r w:rsidR="00B311CE">
        <w:rPr>
          <w:rFonts w:ascii="Arial" w:hAnsi="Arial" w:cs="Arial"/>
          <w:color w:val="000000" w:themeColor="text1"/>
        </w:rPr>
        <w:t>eviden</w:t>
      </w:r>
      <w:r w:rsidR="00162658">
        <w:rPr>
          <w:rFonts w:ascii="Arial" w:hAnsi="Arial" w:cs="Arial"/>
          <w:color w:val="000000" w:themeColor="text1"/>
        </w:rPr>
        <w:t>ce</w:t>
      </w:r>
      <w:r w:rsidR="00B311CE">
        <w:rPr>
          <w:rFonts w:ascii="Arial" w:hAnsi="Arial" w:cs="Arial"/>
          <w:color w:val="000000" w:themeColor="text1"/>
        </w:rPr>
        <w:t>-based</w:t>
      </w:r>
      <w:r>
        <w:rPr>
          <w:rFonts w:ascii="Arial" w:hAnsi="Arial" w:cs="Arial"/>
          <w:color w:val="000000" w:themeColor="text1"/>
        </w:rPr>
        <w:t xml:space="preserve"> policing,</w:t>
      </w:r>
      <w:r w:rsidR="00690081">
        <w:rPr>
          <w:rFonts w:ascii="Arial" w:hAnsi="Arial" w:cs="Arial"/>
          <w:color w:val="000000" w:themeColor="text1"/>
        </w:rPr>
        <w:t xml:space="preserve"> particularly strategies</w:t>
      </w:r>
      <w:r>
        <w:rPr>
          <w:rFonts w:ascii="Arial" w:hAnsi="Arial" w:cs="Arial"/>
          <w:color w:val="000000" w:themeColor="text1"/>
        </w:rPr>
        <w:t xml:space="preserve"> such as domestic abuse stalking harassment templates, as well as</w:t>
      </w:r>
      <w:r w:rsidR="00B311CE">
        <w:rPr>
          <w:rFonts w:ascii="Arial" w:hAnsi="Arial" w:cs="Arial"/>
          <w:color w:val="000000" w:themeColor="text1"/>
        </w:rPr>
        <w:t xml:space="preserve"> hotspot policing</w:t>
      </w:r>
      <w:r w:rsidR="00690081">
        <w:rPr>
          <w:rFonts w:ascii="Arial" w:hAnsi="Arial" w:cs="Arial"/>
          <w:color w:val="000000" w:themeColor="text1"/>
        </w:rPr>
        <w:t xml:space="preserve"> are considered</w:t>
      </w:r>
      <w:r w:rsidR="00B311CE">
        <w:rPr>
          <w:rFonts w:ascii="Arial" w:hAnsi="Arial" w:cs="Arial"/>
          <w:color w:val="000000" w:themeColor="text1"/>
        </w:rPr>
        <w:t xml:space="preserve">. In the case of DASH templates, utilising the evidence based on information that is provided within DASH questionnaires will allow police the opportunity to pre-determine the level of risk that a victim may be subject too. Considering the use of hotspot policing, the capability to evaluate intelligence and information provided to target locations that have a higher subject of crime, and utilising officers to position within these hotspots will cause a deterrence and disruption to any criminal activity within the area. </w:t>
      </w:r>
    </w:p>
    <w:p w14:paraId="7FD65C2A" w14:textId="77777777" w:rsidR="008D24AE" w:rsidRPr="00EC79D2" w:rsidRDefault="008D24AE" w:rsidP="008D24AE">
      <w:pPr>
        <w:pStyle w:val="paragraph"/>
        <w:spacing w:before="0" w:beforeAutospacing="0" w:after="0" w:afterAutospacing="0"/>
        <w:rPr>
          <w:rFonts w:ascii="Arial" w:hAnsi="Arial" w:cs="Arial"/>
        </w:rPr>
      </w:pPr>
    </w:p>
    <w:p w14:paraId="1520A8BC" w14:textId="70EEE461" w:rsidR="008D24AE" w:rsidRPr="00EC79D2" w:rsidRDefault="00AC1999" w:rsidP="008D24AE">
      <w:pPr>
        <w:pStyle w:val="paragraph"/>
        <w:spacing w:before="0" w:beforeAutospacing="0" w:after="0" w:afterAutospacing="0"/>
        <w:rPr>
          <w:rFonts w:ascii="Arial" w:hAnsi="Arial" w:cs="Arial"/>
        </w:rPr>
      </w:pPr>
      <w:r w:rsidRPr="00EC79D2">
        <w:rPr>
          <w:rFonts w:ascii="Arial" w:hAnsi="Arial" w:cs="Arial"/>
        </w:rPr>
        <w:t>Word Count: 2199</w:t>
      </w:r>
    </w:p>
    <w:p w14:paraId="08D18A4F" w14:textId="77777777" w:rsidR="005C3493" w:rsidRDefault="005C3493" w:rsidP="008D24AE">
      <w:pPr>
        <w:pStyle w:val="paragraph"/>
        <w:spacing w:before="0" w:beforeAutospacing="0" w:after="0" w:afterAutospacing="0"/>
        <w:rPr>
          <w:b/>
          <w:bCs/>
        </w:rPr>
      </w:pPr>
    </w:p>
    <w:p w14:paraId="2598748B" w14:textId="28A40FAA" w:rsidR="69F7424F" w:rsidRDefault="69F7424F" w:rsidP="00F34BDF">
      <w:pPr>
        <w:ind w:right="237"/>
        <w:rPr>
          <w:b/>
          <w:bCs/>
          <w:sz w:val="24"/>
          <w:szCs w:val="24"/>
        </w:rPr>
      </w:pPr>
    </w:p>
    <w:p w14:paraId="0FA195D0" w14:textId="77777777" w:rsidR="00200895" w:rsidRDefault="00200895" w:rsidP="5B843AF0">
      <w:pPr>
        <w:ind w:right="237"/>
        <w:jc w:val="center"/>
        <w:rPr>
          <w:b/>
          <w:bCs/>
          <w:sz w:val="24"/>
          <w:szCs w:val="24"/>
        </w:rPr>
      </w:pPr>
    </w:p>
    <w:p w14:paraId="38E05257" w14:textId="77777777" w:rsidR="00200895" w:rsidRDefault="00200895" w:rsidP="5B843AF0">
      <w:pPr>
        <w:ind w:right="237"/>
        <w:jc w:val="center"/>
        <w:rPr>
          <w:b/>
          <w:bCs/>
          <w:sz w:val="24"/>
          <w:szCs w:val="24"/>
        </w:rPr>
      </w:pPr>
    </w:p>
    <w:p w14:paraId="3D018A2C" w14:textId="77777777" w:rsidR="00200895" w:rsidRDefault="00200895" w:rsidP="5B843AF0">
      <w:pPr>
        <w:ind w:right="237"/>
        <w:jc w:val="center"/>
        <w:rPr>
          <w:b/>
          <w:bCs/>
          <w:sz w:val="24"/>
          <w:szCs w:val="24"/>
        </w:rPr>
      </w:pPr>
    </w:p>
    <w:p w14:paraId="55363F03" w14:textId="77777777" w:rsidR="00200895" w:rsidRDefault="00200895" w:rsidP="5B843AF0">
      <w:pPr>
        <w:ind w:right="237"/>
        <w:jc w:val="center"/>
        <w:rPr>
          <w:b/>
          <w:bCs/>
          <w:sz w:val="24"/>
          <w:szCs w:val="24"/>
        </w:rPr>
      </w:pPr>
    </w:p>
    <w:p w14:paraId="5C3C9C95" w14:textId="77777777" w:rsidR="00200895" w:rsidRDefault="00200895" w:rsidP="5B843AF0">
      <w:pPr>
        <w:ind w:right="237"/>
        <w:jc w:val="center"/>
        <w:rPr>
          <w:b/>
          <w:bCs/>
          <w:sz w:val="24"/>
          <w:szCs w:val="24"/>
        </w:rPr>
      </w:pPr>
    </w:p>
    <w:p w14:paraId="3F558629" w14:textId="77777777" w:rsidR="00200895" w:rsidRDefault="00200895" w:rsidP="5B843AF0">
      <w:pPr>
        <w:ind w:right="237"/>
        <w:jc w:val="center"/>
        <w:rPr>
          <w:b/>
          <w:bCs/>
          <w:sz w:val="24"/>
          <w:szCs w:val="24"/>
        </w:rPr>
      </w:pPr>
    </w:p>
    <w:p w14:paraId="1BDFEE13" w14:textId="77777777" w:rsidR="00200895" w:rsidRDefault="00200895" w:rsidP="5B843AF0">
      <w:pPr>
        <w:ind w:right="237"/>
        <w:jc w:val="center"/>
        <w:rPr>
          <w:b/>
          <w:bCs/>
          <w:sz w:val="24"/>
          <w:szCs w:val="24"/>
        </w:rPr>
      </w:pPr>
    </w:p>
    <w:p w14:paraId="06AC4DEE" w14:textId="77777777" w:rsidR="00200895" w:rsidRDefault="00200895" w:rsidP="5B843AF0">
      <w:pPr>
        <w:ind w:right="237"/>
        <w:jc w:val="center"/>
        <w:rPr>
          <w:b/>
          <w:bCs/>
          <w:sz w:val="24"/>
          <w:szCs w:val="24"/>
        </w:rPr>
      </w:pPr>
    </w:p>
    <w:p w14:paraId="0FC5FA73" w14:textId="77777777" w:rsidR="00200895" w:rsidRDefault="00200895" w:rsidP="5B843AF0">
      <w:pPr>
        <w:ind w:right="237"/>
        <w:jc w:val="center"/>
        <w:rPr>
          <w:b/>
          <w:bCs/>
          <w:sz w:val="24"/>
          <w:szCs w:val="24"/>
        </w:rPr>
      </w:pPr>
    </w:p>
    <w:p w14:paraId="769681C0" w14:textId="77777777" w:rsidR="00200895" w:rsidRDefault="00200895" w:rsidP="5B843AF0">
      <w:pPr>
        <w:ind w:right="237"/>
        <w:jc w:val="center"/>
        <w:rPr>
          <w:b/>
          <w:bCs/>
          <w:sz w:val="24"/>
          <w:szCs w:val="24"/>
        </w:rPr>
      </w:pPr>
    </w:p>
    <w:p w14:paraId="23FBC84A" w14:textId="77777777" w:rsidR="00200895" w:rsidRDefault="00200895" w:rsidP="5B843AF0">
      <w:pPr>
        <w:ind w:right="237"/>
        <w:jc w:val="center"/>
        <w:rPr>
          <w:b/>
          <w:bCs/>
          <w:sz w:val="24"/>
          <w:szCs w:val="24"/>
        </w:rPr>
      </w:pPr>
    </w:p>
    <w:p w14:paraId="5660A19A" w14:textId="77777777" w:rsidR="00200895" w:rsidRDefault="00200895" w:rsidP="5B843AF0">
      <w:pPr>
        <w:ind w:right="237"/>
        <w:jc w:val="center"/>
        <w:rPr>
          <w:b/>
          <w:bCs/>
          <w:sz w:val="24"/>
          <w:szCs w:val="24"/>
        </w:rPr>
      </w:pPr>
    </w:p>
    <w:p w14:paraId="14A2CCE0" w14:textId="77777777" w:rsidR="00200895" w:rsidRDefault="00200895" w:rsidP="5B843AF0">
      <w:pPr>
        <w:ind w:right="237"/>
        <w:jc w:val="center"/>
        <w:rPr>
          <w:b/>
          <w:bCs/>
          <w:sz w:val="24"/>
          <w:szCs w:val="24"/>
        </w:rPr>
      </w:pPr>
    </w:p>
    <w:p w14:paraId="726572A6" w14:textId="77777777" w:rsidR="00200895" w:rsidRDefault="00200895" w:rsidP="5B843AF0">
      <w:pPr>
        <w:ind w:right="237"/>
        <w:jc w:val="center"/>
        <w:rPr>
          <w:b/>
          <w:bCs/>
          <w:sz w:val="24"/>
          <w:szCs w:val="24"/>
        </w:rPr>
      </w:pPr>
    </w:p>
    <w:p w14:paraId="59162FE0" w14:textId="77777777" w:rsidR="00200895" w:rsidRDefault="00200895" w:rsidP="5B843AF0">
      <w:pPr>
        <w:ind w:right="237"/>
        <w:jc w:val="center"/>
        <w:rPr>
          <w:b/>
          <w:bCs/>
          <w:sz w:val="24"/>
          <w:szCs w:val="24"/>
        </w:rPr>
      </w:pPr>
    </w:p>
    <w:p w14:paraId="45225C6F" w14:textId="77777777" w:rsidR="00200895" w:rsidRDefault="00200895" w:rsidP="5B843AF0">
      <w:pPr>
        <w:ind w:right="237"/>
        <w:jc w:val="center"/>
        <w:rPr>
          <w:b/>
          <w:bCs/>
          <w:sz w:val="24"/>
          <w:szCs w:val="24"/>
        </w:rPr>
      </w:pPr>
    </w:p>
    <w:p w14:paraId="1F53C237" w14:textId="77777777" w:rsidR="00200895" w:rsidRDefault="00200895" w:rsidP="5B843AF0">
      <w:pPr>
        <w:ind w:right="237"/>
        <w:jc w:val="center"/>
        <w:rPr>
          <w:b/>
          <w:bCs/>
          <w:sz w:val="24"/>
          <w:szCs w:val="24"/>
        </w:rPr>
      </w:pPr>
    </w:p>
    <w:p w14:paraId="3EB328AE" w14:textId="77777777" w:rsidR="00200895" w:rsidRDefault="00200895" w:rsidP="5B843AF0">
      <w:pPr>
        <w:ind w:right="237"/>
        <w:jc w:val="center"/>
        <w:rPr>
          <w:b/>
          <w:bCs/>
          <w:sz w:val="24"/>
          <w:szCs w:val="24"/>
        </w:rPr>
      </w:pPr>
    </w:p>
    <w:p w14:paraId="14E418CC" w14:textId="77777777" w:rsidR="00200895" w:rsidRDefault="00200895" w:rsidP="5B843AF0">
      <w:pPr>
        <w:ind w:right="237"/>
        <w:jc w:val="center"/>
        <w:rPr>
          <w:b/>
          <w:bCs/>
          <w:sz w:val="24"/>
          <w:szCs w:val="24"/>
        </w:rPr>
      </w:pPr>
    </w:p>
    <w:p w14:paraId="1B7DAE71" w14:textId="77777777" w:rsidR="00200895" w:rsidRDefault="00200895" w:rsidP="5B843AF0">
      <w:pPr>
        <w:ind w:right="237"/>
        <w:jc w:val="center"/>
        <w:rPr>
          <w:b/>
          <w:bCs/>
          <w:sz w:val="24"/>
          <w:szCs w:val="24"/>
        </w:rPr>
      </w:pPr>
    </w:p>
    <w:p w14:paraId="0E64AA14" w14:textId="77777777" w:rsidR="00200895" w:rsidRDefault="00200895" w:rsidP="5B843AF0">
      <w:pPr>
        <w:ind w:right="237"/>
        <w:jc w:val="center"/>
        <w:rPr>
          <w:b/>
          <w:bCs/>
          <w:sz w:val="24"/>
          <w:szCs w:val="24"/>
        </w:rPr>
      </w:pPr>
    </w:p>
    <w:p w14:paraId="38057802" w14:textId="77777777" w:rsidR="00200895" w:rsidRDefault="00200895" w:rsidP="5B843AF0">
      <w:pPr>
        <w:ind w:right="237"/>
        <w:jc w:val="center"/>
        <w:rPr>
          <w:b/>
          <w:bCs/>
          <w:sz w:val="24"/>
          <w:szCs w:val="24"/>
        </w:rPr>
      </w:pPr>
    </w:p>
    <w:p w14:paraId="6ED864B6" w14:textId="77777777" w:rsidR="00200895" w:rsidRDefault="00200895" w:rsidP="5B843AF0">
      <w:pPr>
        <w:ind w:right="237"/>
        <w:jc w:val="center"/>
        <w:rPr>
          <w:b/>
          <w:bCs/>
          <w:sz w:val="24"/>
          <w:szCs w:val="24"/>
        </w:rPr>
      </w:pPr>
    </w:p>
    <w:p w14:paraId="547DBFB7" w14:textId="77777777" w:rsidR="00200895" w:rsidRDefault="00200895" w:rsidP="5B843AF0">
      <w:pPr>
        <w:ind w:right="237"/>
        <w:jc w:val="center"/>
        <w:rPr>
          <w:b/>
          <w:bCs/>
          <w:sz w:val="24"/>
          <w:szCs w:val="24"/>
        </w:rPr>
      </w:pPr>
    </w:p>
    <w:p w14:paraId="20020A4B" w14:textId="77777777" w:rsidR="00200895" w:rsidRDefault="00200895" w:rsidP="5B843AF0">
      <w:pPr>
        <w:ind w:right="237"/>
        <w:jc w:val="center"/>
        <w:rPr>
          <w:b/>
          <w:bCs/>
          <w:sz w:val="24"/>
          <w:szCs w:val="24"/>
        </w:rPr>
      </w:pPr>
    </w:p>
    <w:p w14:paraId="1A5C8A89" w14:textId="77777777" w:rsidR="00200895" w:rsidRDefault="00200895" w:rsidP="5B843AF0">
      <w:pPr>
        <w:ind w:right="237"/>
        <w:jc w:val="center"/>
        <w:rPr>
          <w:b/>
          <w:bCs/>
          <w:sz w:val="24"/>
          <w:szCs w:val="24"/>
        </w:rPr>
      </w:pPr>
    </w:p>
    <w:p w14:paraId="61B9B16F" w14:textId="77777777" w:rsidR="00200895" w:rsidRDefault="00200895" w:rsidP="5B843AF0">
      <w:pPr>
        <w:ind w:right="237"/>
        <w:jc w:val="center"/>
        <w:rPr>
          <w:b/>
          <w:bCs/>
          <w:sz w:val="24"/>
          <w:szCs w:val="24"/>
        </w:rPr>
      </w:pPr>
    </w:p>
    <w:p w14:paraId="38538ECA" w14:textId="77777777" w:rsidR="00200895" w:rsidRDefault="00200895" w:rsidP="5B843AF0">
      <w:pPr>
        <w:ind w:right="237"/>
        <w:jc w:val="center"/>
        <w:rPr>
          <w:b/>
          <w:bCs/>
          <w:sz w:val="24"/>
          <w:szCs w:val="24"/>
        </w:rPr>
      </w:pPr>
    </w:p>
    <w:p w14:paraId="3C4E576E" w14:textId="77777777" w:rsidR="00200895" w:rsidRDefault="00200895" w:rsidP="5B843AF0">
      <w:pPr>
        <w:ind w:right="237"/>
        <w:jc w:val="center"/>
        <w:rPr>
          <w:b/>
          <w:bCs/>
          <w:sz w:val="24"/>
          <w:szCs w:val="24"/>
        </w:rPr>
      </w:pPr>
    </w:p>
    <w:p w14:paraId="6873B70A" w14:textId="77777777" w:rsidR="00200895" w:rsidRDefault="00200895" w:rsidP="5B843AF0">
      <w:pPr>
        <w:ind w:right="237"/>
        <w:jc w:val="center"/>
        <w:rPr>
          <w:b/>
          <w:bCs/>
          <w:sz w:val="24"/>
          <w:szCs w:val="24"/>
        </w:rPr>
      </w:pPr>
    </w:p>
    <w:p w14:paraId="0CDC9C79" w14:textId="77777777" w:rsidR="00200895" w:rsidRDefault="00200895" w:rsidP="5B843AF0">
      <w:pPr>
        <w:ind w:right="237"/>
        <w:jc w:val="center"/>
        <w:rPr>
          <w:b/>
          <w:bCs/>
          <w:sz w:val="24"/>
          <w:szCs w:val="24"/>
        </w:rPr>
      </w:pPr>
    </w:p>
    <w:p w14:paraId="6B0989EF" w14:textId="3A41E435"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Default="00710D69" w:rsidP="00710D69">
      <w:pPr>
        <w:ind w:right="237"/>
        <w:jc w:val="both"/>
        <w:rPr>
          <w:sz w:val="24"/>
          <w:szCs w:val="24"/>
        </w:rPr>
      </w:pPr>
    </w:p>
    <w:p w14:paraId="634136F8" w14:textId="77777777" w:rsidR="00F34BDF" w:rsidRDefault="00F34BDF" w:rsidP="00710D69">
      <w:pPr>
        <w:ind w:right="237"/>
        <w:jc w:val="both"/>
        <w:rPr>
          <w:sz w:val="24"/>
          <w:szCs w:val="24"/>
        </w:rPr>
      </w:pPr>
    </w:p>
    <w:p w14:paraId="3091C911" w14:textId="77777777" w:rsidR="00F34BDF" w:rsidRDefault="00F34BDF" w:rsidP="00710D69">
      <w:pPr>
        <w:ind w:right="237"/>
        <w:jc w:val="both"/>
        <w:rPr>
          <w:sz w:val="24"/>
          <w:szCs w:val="24"/>
        </w:rPr>
      </w:pPr>
    </w:p>
    <w:p w14:paraId="7285D70E" w14:textId="77777777" w:rsidR="00F34BDF" w:rsidRPr="00E676F7" w:rsidRDefault="00F34BDF" w:rsidP="00710D69">
      <w:pPr>
        <w:ind w:right="237"/>
        <w:jc w:val="both"/>
        <w:rPr>
          <w:sz w:val="24"/>
          <w:szCs w:val="24"/>
        </w:rPr>
      </w:pPr>
    </w:p>
    <w:p w14:paraId="4EE76473" w14:textId="44135A16" w:rsidR="005C76DE" w:rsidRDefault="005C76DE" w:rsidP="5CE196A1">
      <w:pPr>
        <w:ind w:right="237"/>
        <w:jc w:val="both"/>
        <w:rPr>
          <w:b/>
          <w:bCs/>
          <w:sz w:val="24"/>
          <w:szCs w:val="24"/>
        </w:rPr>
      </w:pPr>
      <w:r w:rsidRPr="5CE196A1">
        <w:rPr>
          <w:b/>
          <w:bCs/>
          <w:sz w:val="24"/>
          <w:szCs w:val="24"/>
        </w:rPr>
        <w:lastRenderedPageBreak/>
        <w:t>ANSWER:</w:t>
      </w:r>
      <w:r w:rsidR="00C7145A">
        <w:rPr>
          <w:b/>
          <w:bCs/>
          <w:sz w:val="24"/>
          <w:szCs w:val="24"/>
        </w:rPr>
        <w:t xml:space="preserve"> </w:t>
      </w:r>
    </w:p>
    <w:p w14:paraId="2A08E919" w14:textId="09E37394" w:rsidR="00C7145A" w:rsidRPr="00C7145A" w:rsidRDefault="00C7145A" w:rsidP="5CE196A1">
      <w:pPr>
        <w:ind w:right="237"/>
        <w:jc w:val="both"/>
        <w:rPr>
          <w:sz w:val="24"/>
          <w:szCs w:val="24"/>
        </w:rPr>
      </w:pPr>
      <w:r>
        <w:rPr>
          <w:sz w:val="24"/>
          <w:szCs w:val="24"/>
        </w:rPr>
        <w:t xml:space="preserve">Domestic related incidents always have the capability to bring challenges and complexities that officers must face, as all domestic incidents will be different and will require individual consideration. There are however still strategies that can be implemented at all domestic related incidents that can assist in effective policing, such as the National Decision-Making Model. </w:t>
      </w:r>
    </w:p>
    <w:p w14:paraId="36518D64" w14:textId="77777777" w:rsidR="00C7145A" w:rsidRDefault="00C7145A" w:rsidP="5CE196A1">
      <w:pPr>
        <w:ind w:right="237"/>
        <w:jc w:val="both"/>
        <w:rPr>
          <w:b/>
          <w:bCs/>
          <w:sz w:val="24"/>
          <w:szCs w:val="24"/>
        </w:rPr>
      </w:pPr>
    </w:p>
    <w:p w14:paraId="226E294E" w14:textId="6D23816C" w:rsidR="00C7145A" w:rsidRDefault="00C7145A" w:rsidP="5CE196A1">
      <w:pPr>
        <w:ind w:right="237"/>
        <w:jc w:val="both"/>
        <w:rPr>
          <w:sz w:val="24"/>
          <w:szCs w:val="24"/>
        </w:rPr>
      </w:pPr>
      <w:r>
        <w:rPr>
          <w:sz w:val="24"/>
          <w:szCs w:val="24"/>
        </w:rPr>
        <w:t xml:space="preserve">The domestic related incident that will be discussed and assessed consists of multiple domestic related assaults, conflicting allegations, and vulnerable witnesses within the property. A third-party report had been made, whereby the information provided concerned loud screaming and banging from a neighbour’s property. Upon arrival at the address, it was quickly ascertained that the </w:t>
      </w:r>
      <w:r w:rsidR="00222309">
        <w:rPr>
          <w:sz w:val="24"/>
          <w:szCs w:val="24"/>
        </w:rPr>
        <w:t xml:space="preserve">couple, </w:t>
      </w:r>
      <w:r>
        <w:rPr>
          <w:sz w:val="24"/>
          <w:szCs w:val="24"/>
        </w:rPr>
        <w:t>within the address were previously known to police for domestic related incidents, and both persons were shown on police systems as a high risk of harm to one-another</w:t>
      </w:r>
      <w:r w:rsidR="00222309">
        <w:rPr>
          <w:sz w:val="24"/>
          <w:szCs w:val="24"/>
        </w:rPr>
        <w:t>, furthermore, there was also an</w:t>
      </w:r>
      <w:r w:rsidR="00771EC5">
        <w:rPr>
          <w:sz w:val="24"/>
          <w:szCs w:val="24"/>
        </w:rPr>
        <w:t xml:space="preserve"> </w:t>
      </w:r>
      <w:r w:rsidR="00222309">
        <w:rPr>
          <w:sz w:val="24"/>
          <w:szCs w:val="24"/>
        </w:rPr>
        <w:t>elderly relative of one of the couples residing in the address</w:t>
      </w:r>
      <w:r w:rsidR="00771EC5">
        <w:rPr>
          <w:sz w:val="24"/>
          <w:szCs w:val="24"/>
        </w:rPr>
        <w:t>, and due to circumstances established by officers, it was deemed that due to the age and concern for the female, that she would be considered vulnerable (College of Policing, 2021)</w:t>
      </w:r>
      <w:r w:rsidR="00222309">
        <w:rPr>
          <w:sz w:val="24"/>
          <w:szCs w:val="24"/>
        </w:rPr>
        <w:t xml:space="preserve">. The female was found outside with injuries, and the male was located within the address visibly irate. The females’ mother was also present in the address and had attempted to hide in an upstairs bedroom due to the incident taking place. </w:t>
      </w:r>
    </w:p>
    <w:p w14:paraId="44D2F5C4" w14:textId="77777777" w:rsidR="00222309" w:rsidRDefault="00222309" w:rsidP="5CE196A1">
      <w:pPr>
        <w:ind w:right="237"/>
        <w:jc w:val="both"/>
        <w:rPr>
          <w:sz w:val="24"/>
          <w:szCs w:val="24"/>
        </w:rPr>
      </w:pPr>
    </w:p>
    <w:p w14:paraId="36A551CD" w14:textId="3BD74715" w:rsidR="00524434" w:rsidRPr="00C7145A" w:rsidRDefault="00222309" w:rsidP="5CE196A1">
      <w:pPr>
        <w:ind w:right="237"/>
        <w:jc w:val="both"/>
        <w:rPr>
          <w:sz w:val="24"/>
          <w:szCs w:val="24"/>
        </w:rPr>
      </w:pPr>
      <w:r>
        <w:rPr>
          <w:sz w:val="24"/>
          <w:szCs w:val="24"/>
        </w:rPr>
        <w:t>When assessing the use of police strategies by utilisation of the National Decision Making-Model</w:t>
      </w:r>
      <w:r w:rsidR="00771EC5">
        <w:rPr>
          <w:sz w:val="24"/>
          <w:szCs w:val="24"/>
        </w:rPr>
        <w:t xml:space="preserve"> (College of Policing, 2014)</w:t>
      </w:r>
      <w:r>
        <w:rPr>
          <w:sz w:val="24"/>
          <w:szCs w:val="24"/>
        </w:rPr>
        <w:t xml:space="preserve">, the information and intelligence that was provided was of concern due to previous incidents and that both parties were of high risk of physical and emotional abuse to each other, as well as a third-party vulnerable person within the address. Consideration that the male was in the address with a vulnerable person, also required further thought as to the use of forcing entry into the address to prevent any further harm or injury to any person and to ensure that all persons were safeguarded immediately. Due to the female being located outside of the property with injuries, the threat and risk of the incident also was </w:t>
      </w:r>
      <w:r w:rsidR="00524434">
        <w:rPr>
          <w:sz w:val="24"/>
          <w:szCs w:val="24"/>
        </w:rPr>
        <w:t>assessed to be high. Once access to the property was gained, it was discovered that the male also had suffered injuries</w:t>
      </w:r>
      <w:r w:rsidR="003B306F">
        <w:rPr>
          <w:sz w:val="24"/>
          <w:szCs w:val="24"/>
        </w:rPr>
        <w:t xml:space="preserve"> and was heavily intoxicated.</w:t>
      </w:r>
      <w:r w:rsidR="00524434">
        <w:rPr>
          <w:sz w:val="24"/>
          <w:szCs w:val="24"/>
        </w:rPr>
        <w:t xml:space="preserve"> </w:t>
      </w:r>
      <w:r w:rsidR="003B306F">
        <w:rPr>
          <w:sz w:val="24"/>
          <w:szCs w:val="24"/>
        </w:rPr>
        <w:t>B</w:t>
      </w:r>
      <w:r w:rsidR="00524434">
        <w:rPr>
          <w:sz w:val="24"/>
          <w:szCs w:val="24"/>
        </w:rPr>
        <w:t>oth parties</w:t>
      </w:r>
      <w:r w:rsidR="003B306F">
        <w:rPr>
          <w:sz w:val="24"/>
          <w:szCs w:val="24"/>
        </w:rPr>
        <w:t xml:space="preserve"> were shouting </w:t>
      </w:r>
      <w:r w:rsidR="00771EC5">
        <w:rPr>
          <w:sz w:val="24"/>
          <w:szCs w:val="24"/>
        </w:rPr>
        <w:t>their accounts to</w:t>
      </w:r>
      <w:r w:rsidR="005A4422">
        <w:rPr>
          <w:sz w:val="24"/>
          <w:szCs w:val="24"/>
        </w:rPr>
        <w:t>wards</w:t>
      </w:r>
      <w:r w:rsidR="00771EC5">
        <w:rPr>
          <w:sz w:val="24"/>
          <w:szCs w:val="24"/>
        </w:rPr>
        <w:t xml:space="preserve"> officers, stating</w:t>
      </w:r>
      <w:r w:rsidR="00524434">
        <w:rPr>
          <w:sz w:val="24"/>
          <w:szCs w:val="24"/>
        </w:rPr>
        <w:t xml:space="preserve"> that the primary aggressor in the matter was the other person. The elderly female in the property also stated that she did not witness any assaults, therefore complexity arose regarding whom the primary aggressor would be. </w:t>
      </w:r>
      <w:r w:rsidR="003B306F">
        <w:rPr>
          <w:sz w:val="24"/>
          <w:szCs w:val="24"/>
        </w:rPr>
        <w:t>From deliberation, due to the female leaving the property, and that the female appeared to have suffered more severe injuries, it was assessed that the primary aggressor in the domestic incident would be the male.</w:t>
      </w:r>
    </w:p>
    <w:p w14:paraId="461EAB11" w14:textId="77777777" w:rsidR="009A742E" w:rsidRDefault="009A742E" w:rsidP="5CE196A1">
      <w:pPr>
        <w:ind w:right="237"/>
        <w:jc w:val="both"/>
        <w:rPr>
          <w:sz w:val="24"/>
          <w:szCs w:val="24"/>
        </w:rPr>
      </w:pPr>
    </w:p>
    <w:p w14:paraId="7347D4F5" w14:textId="2B99BA49" w:rsidR="009A742E" w:rsidRDefault="003B306F" w:rsidP="5CE196A1">
      <w:pPr>
        <w:ind w:right="237"/>
        <w:jc w:val="both"/>
        <w:rPr>
          <w:sz w:val="24"/>
          <w:szCs w:val="24"/>
        </w:rPr>
      </w:pPr>
      <w:r>
        <w:rPr>
          <w:sz w:val="24"/>
          <w:szCs w:val="24"/>
        </w:rPr>
        <w:t xml:space="preserve">The most immediate concern that required action from police was to ensure the safety of all persons present involved in the incident. The female was safeguarded and remained with colleagues, whilst other officers were required to enter the property to ensure the safety of the male, </w:t>
      </w:r>
      <w:r w:rsidR="005A4422">
        <w:rPr>
          <w:sz w:val="24"/>
          <w:szCs w:val="24"/>
        </w:rPr>
        <w:t>as well as</w:t>
      </w:r>
      <w:r>
        <w:rPr>
          <w:sz w:val="24"/>
          <w:szCs w:val="24"/>
        </w:rPr>
        <w:t xml:space="preserve"> the elderly female who was upstairs. Ensuring the safety of the elderly female proved to be a challenge, as the male, being intoxicated, became hostile to officers when entering the property. The hostility and intoxication of the male, along with the information of violence provided from the history of the male, meant that police were faced with </w:t>
      </w:r>
      <w:r w:rsidR="00B71D68">
        <w:rPr>
          <w:sz w:val="24"/>
          <w:szCs w:val="24"/>
        </w:rPr>
        <w:t xml:space="preserve">the </w:t>
      </w:r>
      <w:r>
        <w:rPr>
          <w:sz w:val="24"/>
          <w:szCs w:val="24"/>
        </w:rPr>
        <w:t xml:space="preserve">threat </w:t>
      </w:r>
      <w:r w:rsidR="00B71D68">
        <w:rPr>
          <w:sz w:val="24"/>
          <w:szCs w:val="24"/>
        </w:rPr>
        <w:t xml:space="preserve">of violence towards officers, as well as the elderly female. The threat of violence faced, provided </w:t>
      </w:r>
      <w:r w:rsidR="00B71D68">
        <w:rPr>
          <w:sz w:val="24"/>
          <w:szCs w:val="24"/>
        </w:rPr>
        <w:lastRenderedPageBreak/>
        <w:t xml:space="preserve">a complexity as to the option of which approach to de-escalating the incident would be most appropriate. Initially, the </w:t>
      </w:r>
      <w:r w:rsidR="00013819">
        <w:rPr>
          <w:sz w:val="24"/>
          <w:szCs w:val="24"/>
        </w:rPr>
        <w:t xml:space="preserve">initial </w:t>
      </w:r>
      <w:r w:rsidR="00B71D68">
        <w:rPr>
          <w:sz w:val="24"/>
          <w:szCs w:val="24"/>
        </w:rPr>
        <w:t>de-escalation technique which was utilised was of verbal communication, however, due to intoxication, the male did not show any response or change in behaviour towards verbal communication and only began to show more threatening behaviour.</w:t>
      </w:r>
      <w:r w:rsidR="00926619">
        <w:rPr>
          <w:sz w:val="24"/>
          <w:szCs w:val="24"/>
        </w:rPr>
        <w:t xml:space="preserve"> College of Policing (2020) explains that</w:t>
      </w:r>
      <w:r w:rsidR="00926619" w:rsidRPr="00926619">
        <w:rPr>
          <w:sz w:val="24"/>
          <w:szCs w:val="24"/>
        </w:rPr>
        <w:t xml:space="preserve"> evidence review</w:t>
      </w:r>
      <w:r w:rsidR="00926619">
        <w:rPr>
          <w:sz w:val="24"/>
          <w:szCs w:val="24"/>
        </w:rPr>
        <w:t>s</w:t>
      </w:r>
      <w:r w:rsidR="00926619" w:rsidRPr="00926619">
        <w:rPr>
          <w:sz w:val="24"/>
          <w:szCs w:val="24"/>
        </w:rPr>
        <w:t xml:space="preserve"> show that the chances of officers being assaulted increased in high-crime neighbourhoods or when citizens were hostile towards the police and/or intoxicated.</w:t>
      </w:r>
      <w:r w:rsidR="00B71D68">
        <w:rPr>
          <w:sz w:val="24"/>
          <w:szCs w:val="24"/>
        </w:rPr>
        <w:t xml:space="preserve"> Due to verbal communication not having any affect, it was quickly decided that use of force would be required, along with more aggressive tactical communication in attempt to subdue to male. A conducted energy device was utilised </w:t>
      </w:r>
      <w:r w:rsidR="00E91EB2">
        <w:rPr>
          <w:sz w:val="24"/>
          <w:szCs w:val="24"/>
        </w:rPr>
        <w:t xml:space="preserve">in attempt to calm the </w:t>
      </w:r>
      <w:proofErr w:type="gramStart"/>
      <w:r w:rsidR="00E91EB2">
        <w:rPr>
          <w:sz w:val="24"/>
          <w:szCs w:val="24"/>
        </w:rPr>
        <w:t>males</w:t>
      </w:r>
      <w:proofErr w:type="gramEnd"/>
      <w:r w:rsidR="00E91EB2">
        <w:rPr>
          <w:sz w:val="24"/>
          <w:szCs w:val="24"/>
        </w:rPr>
        <w:t xml:space="preserve"> demeanour, however, this still did not provide a change in behaviour</w:t>
      </w:r>
      <w:r w:rsidR="00B71D68">
        <w:rPr>
          <w:sz w:val="24"/>
          <w:szCs w:val="24"/>
        </w:rPr>
        <w:t xml:space="preserve"> as the threat of violence from the male continued</w:t>
      </w:r>
      <w:r w:rsidR="00E91EB2">
        <w:rPr>
          <w:sz w:val="24"/>
          <w:szCs w:val="24"/>
        </w:rPr>
        <w:t xml:space="preserve">, ultimately resulting in the male requiring the device to be discharged effectively, </w:t>
      </w:r>
      <w:r w:rsidR="00B71D68">
        <w:rPr>
          <w:sz w:val="24"/>
          <w:szCs w:val="24"/>
        </w:rPr>
        <w:t xml:space="preserve">which in turn gave police the opportunity to safely secure and detain the male. Dealing with uncooperative persons is always a complex task, as different persons react in individual ways to de-escalation techniques, and when considering this with further risk factors such as previous history and intoxication, it was quickly decided that utilising force was the safest means to securing the hostile male. </w:t>
      </w:r>
    </w:p>
    <w:p w14:paraId="7853E658" w14:textId="2D157D9F" w:rsidR="00013819" w:rsidRDefault="00013819" w:rsidP="5CE196A1">
      <w:pPr>
        <w:ind w:right="237"/>
        <w:jc w:val="both"/>
        <w:rPr>
          <w:sz w:val="24"/>
          <w:szCs w:val="24"/>
        </w:rPr>
      </w:pPr>
      <w:r>
        <w:rPr>
          <w:sz w:val="24"/>
          <w:szCs w:val="24"/>
        </w:rPr>
        <w:t>The challenge of dealing with aggressive and intoxicated perpetrators is often very unpredictable, as it can never be pre-determined how the perpetrator will react to police presence</w:t>
      </w:r>
      <w:r w:rsidR="00857424">
        <w:rPr>
          <w:sz w:val="24"/>
          <w:szCs w:val="24"/>
        </w:rPr>
        <w:t xml:space="preserve"> (College of Policing, 2020)</w:t>
      </w:r>
      <w:r>
        <w:rPr>
          <w:sz w:val="24"/>
          <w:szCs w:val="24"/>
        </w:rPr>
        <w:t>. When assessing the strategies deployed, verbal communication can be argued to be the most important and primary strategy to employ</w:t>
      </w:r>
      <w:r w:rsidR="005A4422">
        <w:rPr>
          <w:sz w:val="24"/>
          <w:szCs w:val="24"/>
        </w:rPr>
        <w:t xml:space="preserve"> (Engel et al, 2020)</w:t>
      </w:r>
      <w:r>
        <w:rPr>
          <w:sz w:val="24"/>
          <w:szCs w:val="24"/>
        </w:rPr>
        <w:t xml:space="preserve">, as the use of communication can de-escalate situations and prevent any further issues, without the requirement of force. As it was discovered that the male was not showing any change in behaviour when verbal communication was approached, the utilisation of force by way of taser deployment proved to be the most </w:t>
      </w:r>
      <w:r w:rsidR="00887796">
        <w:rPr>
          <w:sz w:val="24"/>
          <w:szCs w:val="24"/>
        </w:rPr>
        <w:t>effective means of safely neutralising the threat posed from the perpetrator</w:t>
      </w:r>
      <w:r w:rsidR="00606990">
        <w:rPr>
          <w:sz w:val="24"/>
          <w:szCs w:val="24"/>
        </w:rPr>
        <w:t xml:space="preserve">. Due to the threat of the perpetrator, as well as the injuries to the victim and vulnerability of the elderly female, the option to consider other means than arrest were not apparent, as ensuring the safety all persons was paramount. </w:t>
      </w:r>
    </w:p>
    <w:p w14:paraId="6B31B84E" w14:textId="77777777" w:rsidR="00741A29" w:rsidRDefault="00741A29" w:rsidP="5CE196A1">
      <w:pPr>
        <w:ind w:right="237"/>
        <w:jc w:val="both"/>
        <w:rPr>
          <w:sz w:val="24"/>
          <w:szCs w:val="24"/>
        </w:rPr>
      </w:pPr>
    </w:p>
    <w:p w14:paraId="39AF1BEA" w14:textId="52D5508D" w:rsidR="00B6015E" w:rsidRDefault="00741A29" w:rsidP="5CE196A1">
      <w:pPr>
        <w:ind w:right="237"/>
        <w:jc w:val="both"/>
        <w:rPr>
          <w:sz w:val="24"/>
          <w:szCs w:val="24"/>
        </w:rPr>
      </w:pPr>
      <w:r>
        <w:rPr>
          <w:sz w:val="24"/>
          <w:szCs w:val="24"/>
        </w:rPr>
        <w:t xml:space="preserve">Following securing the male, the elderly female was located upstairs and was visibly distressed from the </w:t>
      </w:r>
      <w:r w:rsidR="009A4309">
        <w:rPr>
          <w:sz w:val="24"/>
          <w:szCs w:val="24"/>
        </w:rPr>
        <w:t>incident and</w:t>
      </w:r>
      <w:r>
        <w:rPr>
          <w:sz w:val="24"/>
          <w:szCs w:val="24"/>
        </w:rPr>
        <w:t xml:space="preserve"> was not willing to provide officers with any information regarding the </w:t>
      </w:r>
      <w:r w:rsidR="009A4309">
        <w:rPr>
          <w:sz w:val="24"/>
          <w:szCs w:val="24"/>
        </w:rPr>
        <w:t>incident due to fear and emotional distress</w:t>
      </w:r>
      <w:r w:rsidR="003327CF">
        <w:rPr>
          <w:sz w:val="24"/>
          <w:szCs w:val="24"/>
        </w:rPr>
        <w:t>, however did explain that both she and her daughter are financially cared for by the male, and thus would not wish to find alternative accommodation, creating a new challenge that was approached, regarding consideration of appropriate long-term safeguarding for the female. A</w:t>
      </w:r>
      <w:r w:rsidR="009A4309">
        <w:rPr>
          <w:sz w:val="24"/>
          <w:szCs w:val="24"/>
        </w:rPr>
        <w:t xml:space="preserve"> further complexity was ascertained by way of ensuring that evidence was collected. The female, whom although was willing to inform that the male was the aggressor, did not wish to see the male arrested and did not wish to support in prosecution, with her rationale being that the male required mental health help due to obsessive drinking</w:t>
      </w:r>
      <w:r w:rsidR="003327CF">
        <w:rPr>
          <w:sz w:val="24"/>
          <w:szCs w:val="24"/>
        </w:rPr>
        <w:t>, as well as that the male was the sole financial dependency within the property</w:t>
      </w:r>
      <w:r w:rsidR="009A4309">
        <w:rPr>
          <w:sz w:val="24"/>
          <w:szCs w:val="24"/>
        </w:rPr>
        <w:t xml:space="preserve">. </w:t>
      </w:r>
      <w:r w:rsidR="00493B6E">
        <w:rPr>
          <w:sz w:val="24"/>
          <w:szCs w:val="24"/>
        </w:rPr>
        <w:t>Reaves (2017), explains that research suggests</w:t>
      </w:r>
      <w:r w:rsidR="00493B6E" w:rsidRPr="00493B6E">
        <w:rPr>
          <w:sz w:val="24"/>
          <w:szCs w:val="24"/>
        </w:rPr>
        <w:t xml:space="preserve"> the victim or other household member signed a criminal complaint against the offender in about half (48%) of nonfatal domestic violence victimizations reported to polic</w:t>
      </w:r>
      <w:r w:rsidR="00493B6E">
        <w:rPr>
          <w:sz w:val="24"/>
          <w:szCs w:val="24"/>
        </w:rPr>
        <w:t xml:space="preserve">e from 2006-2015. </w:t>
      </w:r>
    </w:p>
    <w:p w14:paraId="798FB50A" w14:textId="1203BCA5" w:rsidR="00B6015E" w:rsidRDefault="00B6015E" w:rsidP="5CE196A1">
      <w:pPr>
        <w:ind w:right="237"/>
        <w:jc w:val="both"/>
        <w:rPr>
          <w:sz w:val="24"/>
          <w:szCs w:val="24"/>
        </w:rPr>
      </w:pPr>
      <w:r>
        <w:rPr>
          <w:sz w:val="24"/>
          <w:szCs w:val="24"/>
        </w:rPr>
        <w:t>Considering the challenge of victims being reluctant to co-operate with police, there can be many reasons as to why a victim may be unwilling to assist police, such as fear of retaliation, cultural factors</w:t>
      </w:r>
      <w:r w:rsidR="00493B6E">
        <w:rPr>
          <w:sz w:val="24"/>
          <w:szCs w:val="24"/>
        </w:rPr>
        <w:t xml:space="preserve"> (Gracia, 2004)</w:t>
      </w:r>
      <w:r>
        <w:rPr>
          <w:sz w:val="24"/>
          <w:szCs w:val="24"/>
        </w:rPr>
        <w:t xml:space="preserve">, or and in the case of this incident, </w:t>
      </w:r>
      <w:r>
        <w:rPr>
          <w:sz w:val="24"/>
          <w:szCs w:val="24"/>
        </w:rPr>
        <w:lastRenderedPageBreak/>
        <w:t>emotional attachment to the perpetrator and financial dependencies</w:t>
      </w:r>
      <w:r w:rsidR="002D20E5">
        <w:rPr>
          <w:sz w:val="24"/>
          <w:szCs w:val="24"/>
        </w:rPr>
        <w:t xml:space="preserve">. This challenge can be approached by police, with the main aim of attempting to build rapport and confidence in the police system. Showing empathy and understanding to the victim and providing clear communication about the process and the support avenues that are available to the victim can prove to be critical towards helping the victim understand the potential risk of harm that they may be liable too, and ultimately assisting in bringing the victim to the understanding that police assistance may be in their best interests. </w:t>
      </w:r>
      <w:r w:rsidR="00857424">
        <w:rPr>
          <w:sz w:val="24"/>
          <w:szCs w:val="24"/>
        </w:rPr>
        <w:t>Parker I (2015), explains how 41% of domestic incidents will be dropped due to the victim not wishing to pursue any complaint, demonstrating an alarming percentage of incidents that may be not receiving appropriate justice.</w:t>
      </w:r>
    </w:p>
    <w:p w14:paraId="4EBF6B60" w14:textId="77777777" w:rsidR="00B6015E" w:rsidRDefault="00B6015E" w:rsidP="5CE196A1">
      <w:pPr>
        <w:ind w:right="237"/>
        <w:jc w:val="both"/>
        <w:rPr>
          <w:sz w:val="24"/>
          <w:szCs w:val="24"/>
        </w:rPr>
      </w:pPr>
    </w:p>
    <w:p w14:paraId="51D4F123" w14:textId="60DA1C86" w:rsidR="00206B78" w:rsidRDefault="009A4309" w:rsidP="5CE196A1">
      <w:pPr>
        <w:ind w:right="237"/>
        <w:jc w:val="both"/>
        <w:rPr>
          <w:sz w:val="24"/>
          <w:szCs w:val="24"/>
        </w:rPr>
      </w:pPr>
      <w:r>
        <w:rPr>
          <w:sz w:val="24"/>
          <w:szCs w:val="24"/>
        </w:rPr>
        <w:t xml:space="preserve">Effective communication skills were required, in attempt to explain the importance of ensuring long-term safety was the priority of officers, but also explaining the means police utilise to assist with mental health concerns, such as the use of public protection notification submissions. </w:t>
      </w:r>
      <w:r w:rsidR="00CA5BE6">
        <w:rPr>
          <w:sz w:val="24"/>
          <w:szCs w:val="24"/>
        </w:rPr>
        <w:t xml:space="preserve">The explanation of support systems available to the male, ultimately calmed the female and </w:t>
      </w:r>
      <w:r w:rsidR="00007B94">
        <w:rPr>
          <w:sz w:val="24"/>
          <w:szCs w:val="24"/>
        </w:rPr>
        <w:t>assisted with explaining</w:t>
      </w:r>
      <w:r w:rsidR="00CA5BE6">
        <w:rPr>
          <w:sz w:val="24"/>
          <w:szCs w:val="24"/>
        </w:rPr>
        <w:t xml:space="preserve"> the requirement for the male to be arrested, resulting in the female providing an account of the incident, however the female was adamant that she did not wish to pursue any criminal prosecution.</w:t>
      </w:r>
      <w:r w:rsidR="00637A2E">
        <w:rPr>
          <w:sz w:val="24"/>
          <w:szCs w:val="24"/>
        </w:rPr>
        <w:t xml:space="preserve"> There were considerations that due to the female not wishing to attend court, that the explanation of special measures, by way of providing evidence through a screen, or via a live link, could provide further support and comfort to the victim and ease the stress of supporting police in prosecution against her partner</w:t>
      </w:r>
      <w:r w:rsidR="00007B94">
        <w:rPr>
          <w:sz w:val="24"/>
          <w:szCs w:val="24"/>
        </w:rPr>
        <w:t xml:space="preserve"> (College of Policing, 2023)</w:t>
      </w:r>
      <w:r w:rsidR="00637A2E">
        <w:rPr>
          <w:sz w:val="24"/>
          <w:szCs w:val="24"/>
        </w:rPr>
        <w:t xml:space="preserve">. </w:t>
      </w:r>
      <w:r w:rsidR="00CA5BE6">
        <w:rPr>
          <w:sz w:val="24"/>
          <w:szCs w:val="24"/>
        </w:rPr>
        <w:t xml:space="preserve"> Assessing the utilisation of communication, it must be considered by police officers that the technique of adapting communication techniques will often cause a reaction in people, and it is critical to ensure that different techniques are attempted before finding the most appropriate. Some persons react more positively to assertive </w:t>
      </w:r>
      <w:r w:rsidR="00E01159">
        <w:rPr>
          <w:sz w:val="24"/>
          <w:szCs w:val="24"/>
        </w:rPr>
        <w:t xml:space="preserve">and instructive </w:t>
      </w:r>
      <w:r w:rsidR="00CA5BE6">
        <w:rPr>
          <w:sz w:val="24"/>
          <w:szCs w:val="24"/>
        </w:rPr>
        <w:t>communication</w:t>
      </w:r>
      <w:r w:rsidR="00E01159">
        <w:rPr>
          <w:sz w:val="24"/>
          <w:szCs w:val="24"/>
        </w:rPr>
        <w:t xml:space="preserve">, whereas others will react more positively towards calming and supportive communication, and it is the technique of distinguishing which technique suits each person most appropriately. </w:t>
      </w:r>
    </w:p>
    <w:p w14:paraId="6393A694" w14:textId="01552C9D" w:rsidR="00805A86" w:rsidRDefault="00805A86" w:rsidP="5CE196A1">
      <w:pPr>
        <w:ind w:right="237"/>
        <w:jc w:val="both"/>
        <w:rPr>
          <w:sz w:val="24"/>
          <w:szCs w:val="24"/>
        </w:rPr>
      </w:pPr>
      <w:r>
        <w:rPr>
          <w:sz w:val="24"/>
          <w:szCs w:val="24"/>
        </w:rPr>
        <w:t>Collection of evidence proved to be a significant challenge, due to the lack of support from the victim, as well as from the elderly female, however, it was imperative to obtain as much golden hour evidence as possible. Golden hour enquiries are to be followed expeditiously, ensuring that all house-to-house and CCTV enquiries are completed</w:t>
      </w:r>
      <w:r w:rsidR="00007B94">
        <w:rPr>
          <w:sz w:val="24"/>
          <w:szCs w:val="24"/>
        </w:rPr>
        <w:t xml:space="preserve"> (College of Policing, 2024)</w:t>
      </w:r>
      <w:r>
        <w:rPr>
          <w:sz w:val="24"/>
          <w:szCs w:val="24"/>
        </w:rPr>
        <w:t>. Due to the lack of evidence provided from the victim, house-to-house enquiries proved pivotal as the reporting person was the neighbour, who was able to provide a statement regarding what they had heard and witnessed</w:t>
      </w:r>
      <w:r w:rsidR="00B6015E">
        <w:rPr>
          <w:sz w:val="24"/>
          <w:szCs w:val="24"/>
        </w:rPr>
        <w:t xml:space="preserve">. Additionally, the capturing of CCTV was also sought, which allowed police a further insight into whom was the aggressor and victim. The potential impact of not completing these golden hour enquiries could have delayed the investigation, as well as not having key witness evidence to provide to the prosecution service for a decision. </w:t>
      </w:r>
    </w:p>
    <w:p w14:paraId="225972FA" w14:textId="77777777" w:rsidR="005440EA" w:rsidRDefault="005440EA" w:rsidP="5CE196A1">
      <w:pPr>
        <w:ind w:right="237"/>
        <w:jc w:val="both"/>
        <w:rPr>
          <w:sz w:val="24"/>
          <w:szCs w:val="24"/>
        </w:rPr>
      </w:pPr>
    </w:p>
    <w:p w14:paraId="7E2E5690" w14:textId="0CC0FD56" w:rsidR="005440EA" w:rsidRDefault="005440EA" w:rsidP="5CE196A1">
      <w:pPr>
        <w:ind w:right="237"/>
        <w:jc w:val="both"/>
        <w:rPr>
          <w:sz w:val="24"/>
          <w:szCs w:val="24"/>
        </w:rPr>
      </w:pPr>
      <w:r>
        <w:rPr>
          <w:sz w:val="24"/>
          <w:szCs w:val="24"/>
        </w:rPr>
        <w:t>Following the initial incident, it was decided that to ensure the safety of all persons involved, that the male would be given bail restrictions not to return to the address or speak with the victim or the elderly female. This in turn presented the challenge of ensuring long-term victim support whilst the investigation took place. Long term support and victim contact are critical to ensure effective policing and victim reassurance</w:t>
      </w:r>
      <w:r w:rsidR="00504705">
        <w:rPr>
          <w:sz w:val="24"/>
          <w:szCs w:val="24"/>
        </w:rPr>
        <w:t xml:space="preserve"> (Kelly, L. et al, 2015)</w:t>
      </w:r>
      <w:r>
        <w:rPr>
          <w:sz w:val="24"/>
          <w:szCs w:val="24"/>
        </w:rPr>
        <w:t xml:space="preserve">. It can be considered that psychological trauma and lack of confidence in police can arise if victims are not regularly recontacted to </w:t>
      </w:r>
      <w:r>
        <w:rPr>
          <w:sz w:val="24"/>
          <w:szCs w:val="24"/>
        </w:rPr>
        <w:lastRenderedPageBreak/>
        <w:t>be advised of w</w:t>
      </w:r>
      <w:r w:rsidR="00134DB2">
        <w:rPr>
          <w:sz w:val="24"/>
          <w:szCs w:val="24"/>
        </w:rPr>
        <w:t>hat stage the investigation is at</w:t>
      </w:r>
      <w:r w:rsidR="00013819">
        <w:rPr>
          <w:sz w:val="24"/>
          <w:szCs w:val="24"/>
        </w:rPr>
        <w:t xml:space="preserve">, especially in the case of the discussed incident, whereby the victim was not supportive of prosecution, however the perpetrator was still given bail conditions which were not requested from the victim. </w:t>
      </w:r>
    </w:p>
    <w:p w14:paraId="6AAD033B" w14:textId="77777777" w:rsidR="00EC79D2" w:rsidRDefault="00EC79D2" w:rsidP="5CE196A1">
      <w:pPr>
        <w:ind w:right="237"/>
        <w:jc w:val="both"/>
        <w:rPr>
          <w:sz w:val="24"/>
          <w:szCs w:val="24"/>
        </w:rPr>
      </w:pPr>
    </w:p>
    <w:p w14:paraId="6A828F95" w14:textId="25378677" w:rsidR="00EC79D2" w:rsidRPr="00E01159" w:rsidRDefault="00EC79D2" w:rsidP="5CE196A1">
      <w:pPr>
        <w:ind w:right="237"/>
        <w:jc w:val="both"/>
        <w:rPr>
          <w:sz w:val="24"/>
          <w:szCs w:val="24"/>
        </w:rPr>
      </w:pPr>
      <w:r>
        <w:rPr>
          <w:sz w:val="24"/>
          <w:szCs w:val="24"/>
        </w:rPr>
        <w:t>Word Count: 1822</w:t>
      </w:r>
    </w:p>
    <w:p w14:paraId="0DCDE910" w14:textId="77777777" w:rsidR="006126CB" w:rsidRDefault="006126CB" w:rsidP="00E91EB2">
      <w:pPr>
        <w:ind w:right="225"/>
        <w:rPr>
          <w:b/>
          <w:bCs/>
          <w:sz w:val="24"/>
          <w:szCs w:val="24"/>
          <w:lang w:eastAsia="zh-TW"/>
        </w:rPr>
      </w:pPr>
    </w:p>
    <w:p w14:paraId="1ADEFAE5" w14:textId="3EEAD7D2" w:rsidR="0FF883D4" w:rsidRDefault="5CE196A1" w:rsidP="5CE196A1">
      <w:r w:rsidRPr="5CE196A1">
        <w:rPr>
          <w:rFonts w:eastAsia="Arial"/>
          <w:b/>
          <w:bCs/>
          <w:color w:val="000000" w:themeColor="text1"/>
          <w:sz w:val="24"/>
          <w:szCs w:val="24"/>
        </w:rPr>
        <w:t xml:space="preserve">Authentication signature: </w:t>
      </w:r>
      <w:r w:rsidR="006126CB">
        <w:rPr>
          <w:rFonts w:eastAsia="Arial"/>
          <w:b/>
          <w:bCs/>
          <w:color w:val="000000" w:themeColor="text1"/>
          <w:sz w:val="24"/>
          <w:szCs w:val="24"/>
        </w:rPr>
        <w:t>Corey Horton</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8DEE7F2" w:rsidR="0FF883D4" w:rsidRDefault="5CE196A1" w:rsidP="5CE196A1">
      <w:r w:rsidRPr="5CE196A1">
        <w:rPr>
          <w:rFonts w:eastAsia="Arial"/>
          <w:b/>
          <w:bCs/>
          <w:color w:val="000000" w:themeColor="text1"/>
          <w:sz w:val="24"/>
          <w:szCs w:val="24"/>
        </w:rPr>
        <w:t xml:space="preserve">Signed: </w:t>
      </w:r>
      <w:r w:rsidR="006126CB">
        <w:rPr>
          <w:rFonts w:eastAsia="Arial"/>
          <w:b/>
          <w:bCs/>
          <w:color w:val="000000" w:themeColor="text1"/>
          <w:sz w:val="24"/>
          <w:szCs w:val="24"/>
        </w:rPr>
        <w:t>Corey Horton</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2EC4D549" w:rsidR="0FF883D4" w:rsidRDefault="006126CB" w:rsidP="006126CB">
      <w:pPr>
        <w:ind w:right="225"/>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05/08/2024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185BDE21" w14:textId="77777777" w:rsidR="00EC79D2" w:rsidRDefault="00EC79D2" w:rsidP="00EC79D2">
      <w:pPr>
        <w:pStyle w:val="ListParagraph"/>
        <w:overflowPunct/>
        <w:autoSpaceDE/>
        <w:autoSpaceDN/>
        <w:adjustRightInd/>
        <w:spacing w:after="160" w:line="259" w:lineRule="auto"/>
        <w:textAlignment w:val="auto"/>
      </w:pPr>
      <w:r w:rsidRPr="00C0095E">
        <w:t>Allan, A et al. (2017). Improving Emotional and Cognitive Outcomes for Domestic Violence Survivors: The Impact of Shelter Stay and Self-Com. </w:t>
      </w:r>
      <w:r w:rsidRPr="00C0095E">
        <w:rPr>
          <w:i/>
          <w:iCs/>
        </w:rPr>
        <w:t>Journal of Interpersonal Violence</w:t>
      </w:r>
      <w:r w:rsidRPr="00C0095E">
        <w:t>. 1-17, p.6. [Online]. Available at: https://self-compassion.org/wp-content/uploads/2018/05/Allen2017.pdf [Accessed 2 August 2024].</w:t>
      </w:r>
    </w:p>
    <w:p w14:paraId="17655415" w14:textId="77777777" w:rsidR="00EC79D2" w:rsidRDefault="00EC79D2" w:rsidP="00EC79D2">
      <w:pPr>
        <w:pStyle w:val="ListParagraph"/>
      </w:pPr>
    </w:p>
    <w:p w14:paraId="25577708" w14:textId="77777777" w:rsidR="00EC79D2" w:rsidRDefault="00EC79D2" w:rsidP="00EC79D2">
      <w:pPr>
        <w:pStyle w:val="ListParagraph"/>
        <w:overflowPunct/>
        <w:autoSpaceDE/>
        <w:autoSpaceDN/>
        <w:adjustRightInd/>
        <w:spacing w:after="160" w:line="259" w:lineRule="auto"/>
        <w:textAlignment w:val="auto"/>
      </w:pPr>
      <w:r w:rsidRPr="00221C2C">
        <w:t>Bazemore, G. &amp; Schiff, M. (2001). </w:t>
      </w:r>
      <w:r w:rsidRPr="00221C2C">
        <w:rPr>
          <w:i/>
          <w:iCs/>
        </w:rPr>
        <w:t>Restorative Community Justice</w:t>
      </w:r>
      <w:r w:rsidRPr="00221C2C">
        <w:t>. New York: Routledge. p.3.</w:t>
      </w:r>
    </w:p>
    <w:p w14:paraId="277E39BC" w14:textId="77777777" w:rsidR="00EC79D2" w:rsidRDefault="00EC79D2" w:rsidP="00EC79D2">
      <w:pPr>
        <w:pStyle w:val="ListParagraph"/>
      </w:pPr>
    </w:p>
    <w:p w14:paraId="3079B43E" w14:textId="77777777" w:rsidR="00EC79D2" w:rsidRDefault="00EC79D2" w:rsidP="00EC79D2">
      <w:pPr>
        <w:pStyle w:val="ListParagraph"/>
        <w:overflowPunct/>
        <w:autoSpaceDE/>
        <w:autoSpaceDN/>
        <w:adjustRightInd/>
        <w:spacing w:after="160" w:line="259" w:lineRule="auto"/>
        <w:textAlignment w:val="auto"/>
      </w:pPr>
      <w:r w:rsidRPr="00A020B7">
        <w:t>Braga, A et al. (2012). Hot spots policing effects on crime. </w:t>
      </w:r>
      <w:r w:rsidRPr="00A020B7">
        <w:rPr>
          <w:i/>
          <w:iCs/>
        </w:rPr>
        <w:t>Campbell Systematic Reviews</w:t>
      </w:r>
      <w:r w:rsidRPr="00A020B7">
        <w:t>. 8(1), p.22. [Online]. Available at: https://onlinelibrary.wiley.com/doi/10.4073/csr.2012.8 [Accessed 3 August 2024].</w:t>
      </w:r>
    </w:p>
    <w:p w14:paraId="48048B49" w14:textId="77777777" w:rsidR="00EC79D2" w:rsidRDefault="00EC79D2" w:rsidP="00EC79D2">
      <w:pPr>
        <w:pStyle w:val="ListParagraph"/>
      </w:pPr>
    </w:p>
    <w:p w14:paraId="71604469" w14:textId="77777777" w:rsidR="00EC79D2" w:rsidRDefault="00EC79D2" w:rsidP="00EC79D2">
      <w:pPr>
        <w:pStyle w:val="ListParagraph"/>
        <w:overflowPunct/>
        <w:autoSpaceDE/>
        <w:autoSpaceDN/>
        <w:adjustRightInd/>
        <w:spacing w:after="160" w:line="259" w:lineRule="auto"/>
        <w:textAlignment w:val="auto"/>
      </w:pPr>
      <w:r w:rsidRPr="00DA3005">
        <w:t>Buckinghamshire Domestic Abuse Board. (2024). </w:t>
      </w:r>
      <w:r w:rsidRPr="00DA3005">
        <w:rPr>
          <w:i/>
          <w:iCs/>
        </w:rPr>
        <w:t>DASH Risk Assessment and MARAC</w:t>
      </w:r>
      <w:r w:rsidRPr="00DA3005">
        <w:t>. [Online]. Bucksdap.org.uk. Available at: https://bucksdap.org.uk/information-for-professionals/toolkit/dash-risk-assessment-and-marac#:~:text [Accessed 3 August 2024].</w:t>
      </w:r>
    </w:p>
    <w:p w14:paraId="152D68A2" w14:textId="77777777" w:rsidR="00EC79D2" w:rsidRDefault="00EC79D2" w:rsidP="00EC79D2">
      <w:pPr>
        <w:pStyle w:val="ListParagraph"/>
      </w:pPr>
    </w:p>
    <w:p w14:paraId="0A13C554" w14:textId="77777777" w:rsidR="00EC79D2" w:rsidRDefault="00EC79D2" w:rsidP="00EC79D2">
      <w:pPr>
        <w:pStyle w:val="ListParagraph"/>
        <w:overflowPunct/>
        <w:autoSpaceDE/>
        <w:autoSpaceDN/>
        <w:adjustRightInd/>
        <w:spacing w:after="160" w:line="259" w:lineRule="auto"/>
        <w:textAlignment w:val="auto"/>
      </w:pPr>
      <w:r w:rsidRPr="00683135">
        <w:t>Citizens Advice. (2015). </w:t>
      </w:r>
      <w:r w:rsidRPr="00683135">
        <w:rPr>
          <w:i/>
          <w:iCs/>
        </w:rPr>
        <w:t xml:space="preserve">Parker, </w:t>
      </w:r>
      <w:proofErr w:type="gramStart"/>
      <w:r w:rsidRPr="00683135">
        <w:rPr>
          <w:i/>
          <w:iCs/>
        </w:rPr>
        <w:t>I.</w:t>
      </w:r>
      <w:r w:rsidRPr="00683135">
        <w:t>.</w:t>
      </w:r>
      <w:proofErr w:type="gramEnd"/>
      <w:r w:rsidRPr="00683135">
        <w:t xml:space="preserve"> [Online]. Victims of domestic abuse: struggling for support? Last Updated: 2015. Available at: https://www.citizensadvice.org.uk/global/migrated_documents/corporate/domestic-abuse-victims---strug [Accessed 5 August 2024].</w:t>
      </w:r>
    </w:p>
    <w:p w14:paraId="3385DD04" w14:textId="77777777" w:rsidR="00EC79D2" w:rsidRDefault="00EC79D2" w:rsidP="00EC79D2">
      <w:pPr>
        <w:pStyle w:val="ListParagraph"/>
      </w:pPr>
    </w:p>
    <w:p w14:paraId="317CB074" w14:textId="77777777" w:rsidR="00EC79D2" w:rsidRDefault="00EC79D2" w:rsidP="00EC79D2">
      <w:pPr>
        <w:pStyle w:val="ListParagraph"/>
        <w:overflowPunct/>
        <w:autoSpaceDE/>
        <w:autoSpaceDN/>
        <w:adjustRightInd/>
        <w:spacing w:after="160" w:line="259" w:lineRule="auto"/>
        <w:textAlignment w:val="auto"/>
      </w:pPr>
      <w:r w:rsidRPr="009D1030">
        <w:t>College of Policing. (2013). </w:t>
      </w:r>
      <w:r w:rsidRPr="009D1030">
        <w:rPr>
          <w:i/>
          <w:iCs/>
        </w:rPr>
        <w:t>Investigation Process</w:t>
      </w:r>
      <w:r w:rsidRPr="009D1030">
        <w:t>. [Online]. College of Policing. Last Updated: 28 May 2024. Available at: https://www.college.police.uk/app/investigation/investigation-process [Accessed 5 August 2024].</w:t>
      </w:r>
    </w:p>
    <w:p w14:paraId="178A2F5B" w14:textId="77777777" w:rsidR="00EC79D2" w:rsidRDefault="00EC79D2" w:rsidP="00EC79D2">
      <w:pPr>
        <w:pStyle w:val="ListParagraph"/>
      </w:pPr>
    </w:p>
    <w:p w14:paraId="2B47680A" w14:textId="77777777" w:rsidR="00EC79D2" w:rsidRDefault="00EC79D2" w:rsidP="00EC79D2">
      <w:pPr>
        <w:pStyle w:val="ListParagraph"/>
        <w:overflowPunct/>
        <w:autoSpaceDE/>
        <w:autoSpaceDN/>
        <w:adjustRightInd/>
        <w:spacing w:after="160" w:line="259" w:lineRule="auto"/>
        <w:textAlignment w:val="auto"/>
        <w:rPr>
          <w:sz w:val="24"/>
          <w:szCs w:val="24"/>
        </w:rPr>
      </w:pPr>
      <w:r w:rsidRPr="009E4438">
        <w:rPr>
          <w:sz w:val="24"/>
          <w:szCs w:val="24"/>
        </w:rPr>
        <w:t xml:space="preserve">College of Policing (2014). The Code of Ethics. [Online] </w:t>
      </w:r>
      <w:hyperlink r:id="rId16" w:history="1">
        <w:r w:rsidRPr="009E4438">
          <w:rPr>
            <w:rStyle w:val="Hyperlink"/>
            <w:sz w:val="24"/>
            <w:szCs w:val="24"/>
          </w:rPr>
          <w:t>www.college.police.uk</w:t>
        </w:r>
      </w:hyperlink>
      <w:r w:rsidRPr="009E4438">
        <w:rPr>
          <w:sz w:val="24"/>
          <w:szCs w:val="24"/>
        </w:rPr>
        <w:t xml:space="preserve">. Available at </w:t>
      </w:r>
      <w:hyperlink r:id="rId17" w:history="1">
        <w:r w:rsidRPr="009E4438">
          <w:rPr>
            <w:rStyle w:val="Hyperlink"/>
            <w:sz w:val="24"/>
            <w:szCs w:val="24"/>
          </w:rPr>
          <w:t>code_of_ethics_summary.pdf (college.police.uk)</w:t>
        </w:r>
      </w:hyperlink>
      <w:r w:rsidRPr="009E4438">
        <w:rPr>
          <w:sz w:val="24"/>
          <w:szCs w:val="24"/>
        </w:rPr>
        <w:t xml:space="preserve"> [Accessed </w:t>
      </w:r>
      <w:r>
        <w:rPr>
          <w:sz w:val="24"/>
          <w:szCs w:val="24"/>
        </w:rPr>
        <w:t>3</w:t>
      </w:r>
      <w:r w:rsidRPr="009E4438">
        <w:rPr>
          <w:sz w:val="24"/>
          <w:szCs w:val="24"/>
        </w:rPr>
        <w:t xml:space="preserve"> </w:t>
      </w:r>
      <w:r>
        <w:rPr>
          <w:sz w:val="24"/>
          <w:szCs w:val="24"/>
        </w:rPr>
        <w:t>August 2024</w:t>
      </w:r>
      <w:r w:rsidRPr="009E4438">
        <w:rPr>
          <w:sz w:val="24"/>
          <w:szCs w:val="24"/>
        </w:rPr>
        <w:t>].</w:t>
      </w:r>
    </w:p>
    <w:p w14:paraId="6D6F0107" w14:textId="77777777" w:rsidR="00EC79D2" w:rsidRPr="00FD4AD3" w:rsidRDefault="00EC79D2" w:rsidP="00EC79D2">
      <w:pPr>
        <w:pStyle w:val="ListParagraph"/>
        <w:rPr>
          <w:sz w:val="24"/>
          <w:szCs w:val="24"/>
        </w:rPr>
      </w:pPr>
    </w:p>
    <w:p w14:paraId="568748A0" w14:textId="77777777" w:rsidR="00EC79D2" w:rsidRPr="009E4438" w:rsidRDefault="00EC79D2" w:rsidP="00EC79D2">
      <w:pPr>
        <w:pStyle w:val="ListParagraph"/>
        <w:overflowPunct/>
        <w:autoSpaceDE/>
        <w:autoSpaceDN/>
        <w:adjustRightInd/>
        <w:spacing w:after="160" w:line="259" w:lineRule="auto"/>
        <w:textAlignment w:val="auto"/>
        <w:rPr>
          <w:sz w:val="24"/>
          <w:szCs w:val="24"/>
        </w:rPr>
      </w:pPr>
      <w:r w:rsidRPr="00FD4AD3">
        <w:rPr>
          <w:sz w:val="24"/>
          <w:szCs w:val="24"/>
        </w:rPr>
        <w:t>College of Policing. (2020). </w:t>
      </w:r>
      <w:r w:rsidRPr="00FD4AD3">
        <w:rPr>
          <w:i/>
          <w:iCs/>
          <w:sz w:val="24"/>
          <w:szCs w:val="24"/>
        </w:rPr>
        <w:t>Conflict Management Skills</w:t>
      </w:r>
      <w:r w:rsidRPr="00FD4AD3">
        <w:rPr>
          <w:sz w:val="24"/>
          <w:szCs w:val="24"/>
        </w:rPr>
        <w:t>. [Online]. College of Policing. Last Updated: 2 September 2020. Available at: https://www.college.police.uk/guidance/conflict-management/conflict-management-skills [Accessed 5 August 2024].</w:t>
      </w:r>
    </w:p>
    <w:p w14:paraId="1EFA0F4C" w14:textId="77777777" w:rsidR="00EC79D2" w:rsidRDefault="00EC79D2" w:rsidP="00EC79D2">
      <w:pPr>
        <w:pStyle w:val="ListParagraph"/>
      </w:pPr>
    </w:p>
    <w:p w14:paraId="7A29A308" w14:textId="77777777" w:rsidR="00EC79D2" w:rsidRDefault="00EC79D2" w:rsidP="00EC79D2">
      <w:pPr>
        <w:pStyle w:val="ListParagraph"/>
        <w:overflowPunct/>
        <w:autoSpaceDE/>
        <w:autoSpaceDN/>
        <w:adjustRightInd/>
        <w:spacing w:after="160" w:line="259" w:lineRule="auto"/>
        <w:textAlignment w:val="auto"/>
      </w:pPr>
      <w:r w:rsidRPr="00717C67">
        <w:t>College of Policing. (2021). </w:t>
      </w:r>
      <w:r w:rsidRPr="00717C67">
        <w:rPr>
          <w:i/>
          <w:iCs/>
        </w:rPr>
        <w:t>Introduction to vulnerability-related risk</w:t>
      </w:r>
      <w:r w:rsidRPr="00717C67">
        <w:t xml:space="preserve">. [Online]. College.Police.UK. Last Updated: 18 November 2021. Available at: https://www.college.police.uk/guidance/vulnerability-related-risks/introduction-vulnerability-relate [Accessed </w:t>
      </w:r>
      <w:r>
        <w:t>3</w:t>
      </w:r>
      <w:r w:rsidRPr="00717C67">
        <w:t xml:space="preserve"> August 2024].</w:t>
      </w:r>
    </w:p>
    <w:p w14:paraId="2A60749A" w14:textId="77777777" w:rsidR="00EC79D2" w:rsidRPr="000546FA" w:rsidRDefault="00EC79D2" w:rsidP="00EC79D2">
      <w:pPr>
        <w:pStyle w:val="ListParagraph"/>
      </w:pPr>
    </w:p>
    <w:p w14:paraId="5165F3D0" w14:textId="77777777" w:rsidR="00EC79D2" w:rsidRDefault="00EC79D2" w:rsidP="00EC79D2">
      <w:pPr>
        <w:pStyle w:val="ListParagraph"/>
        <w:overflowPunct/>
        <w:autoSpaceDE/>
        <w:autoSpaceDN/>
        <w:adjustRightInd/>
        <w:spacing w:after="160" w:line="259" w:lineRule="auto"/>
        <w:textAlignment w:val="auto"/>
      </w:pPr>
      <w:r w:rsidRPr="000546FA">
        <w:t>College of Policing. (2023). </w:t>
      </w:r>
      <w:r w:rsidRPr="000546FA">
        <w:rPr>
          <w:i/>
          <w:iCs/>
        </w:rPr>
        <w:t>Victim and Witness Care</w:t>
      </w:r>
      <w:r w:rsidRPr="000546FA">
        <w:t>. [Online]. https://www.college.police.uk/app/prosecution-and-case-management/victim-and-witness-care. Last Updated: 27 July 2023. Available at: https://www.college.police.uk/app/prosecution-and-case-management/victim-and-witness-care [Accessed 5 August 2024].</w:t>
      </w:r>
    </w:p>
    <w:p w14:paraId="4F47516C" w14:textId="77777777" w:rsidR="00EC79D2" w:rsidRPr="005B1376" w:rsidRDefault="00EC79D2" w:rsidP="00EC79D2">
      <w:pPr>
        <w:pStyle w:val="ListParagraph"/>
      </w:pPr>
    </w:p>
    <w:p w14:paraId="7E0B746C" w14:textId="77777777" w:rsidR="00EC79D2" w:rsidRDefault="00EC79D2" w:rsidP="00EC79D2">
      <w:pPr>
        <w:pStyle w:val="ListParagraph"/>
        <w:overflowPunct/>
        <w:autoSpaceDE/>
        <w:autoSpaceDN/>
        <w:adjustRightInd/>
        <w:spacing w:after="160" w:line="259" w:lineRule="auto"/>
        <w:textAlignment w:val="auto"/>
      </w:pPr>
      <w:r w:rsidRPr="005B1376">
        <w:t xml:space="preserve">Engel, RS. et al. (2020). Does de-escalation training </w:t>
      </w:r>
      <w:proofErr w:type="gramStart"/>
      <w:r w:rsidRPr="005B1376">
        <w:t>work?.</w:t>
      </w:r>
      <w:proofErr w:type="gramEnd"/>
      <w:r w:rsidRPr="005B1376">
        <w:t> </w:t>
      </w:r>
      <w:r w:rsidRPr="005B1376">
        <w:rPr>
          <w:i/>
          <w:iCs/>
        </w:rPr>
        <w:t>A Journal Devoted to Policy Discussions of Criminology Research Findings</w:t>
      </w:r>
      <w:r w:rsidRPr="005B1376">
        <w:t>. 17(1), p.20. [Online]. Available at: https://onlinelibrary.wiley.com/doi/abs/10.1111/1745-9133.12467 [Accessed 5 August 2024].</w:t>
      </w:r>
    </w:p>
    <w:p w14:paraId="187E4B6C" w14:textId="77777777" w:rsidR="00EC79D2" w:rsidRPr="00683135" w:rsidRDefault="00EC79D2" w:rsidP="00EC79D2">
      <w:pPr>
        <w:pStyle w:val="ListParagraph"/>
      </w:pPr>
    </w:p>
    <w:p w14:paraId="40202F33" w14:textId="77777777" w:rsidR="00EC79D2" w:rsidRPr="00683135" w:rsidRDefault="00EC79D2" w:rsidP="00EC79D2">
      <w:pPr>
        <w:pStyle w:val="ListParagraph"/>
      </w:pPr>
    </w:p>
    <w:p w14:paraId="2DBF7D83" w14:textId="77777777" w:rsidR="00EC79D2" w:rsidRDefault="00EC79D2" w:rsidP="00EC79D2">
      <w:pPr>
        <w:pStyle w:val="ListParagraph"/>
        <w:overflowPunct/>
        <w:autoSpaceDE/>
        <w:autoSpaceDN/>
        <w:adjustRightInd/>
        <w:spacing w:after="160" w:line="259" w:lineRule="auto"/>
        <w:textAlignment w:val="auto"/>
      </w:pPr>
      <w:r w:rsidRPr="00717C67">
        <w:t>Fenson, B. (2002). Reasons for Reporting and Not Reporting Domestic Violence to the Police. </w:t>
      </w:r>
      <w:r w:rsidRPr="00717C67">
        <w:rPr>
          <w:i/>
          <w:iCs/>
        </w:rPr>
        <w:t>Criminology, ProQuest Criminal Justice</w:t>
      </w:r>
      <w:r w:rsidRPr="00717C67">
        <w:t>. p.617. [Online]. Available at: https://www.researchgate.net/publication/229574900_Reasons_for_Reporting_and_Not_Reporting_Domestic_ [Accessed 1 August 2024].</w:t>
      </w:r>
    </w:p>
    <w:p w14:paraId="263ED718" w14:textId="77777777" w:rsidR="00EC79D2" w:rsidRPr="000B0909" w:rsidRDefault="00EC79D2" w:rsidP="00EC79D2">
      <w:pPr>
        <w:pStyle w:val="ListParagraph"/>
      </w:pPr>
    </w:p>
    <w:p w14:paraId="53CE78A7" w14:textId="77777777" w:rsidR="00EC79D2" w:rsidRPr="00F535AA" w:rsidRDefault="00EC79D2" w:rsidP="00EC79D2">
      <w:pPr>
        <w:pStyle w:val="ListParagraph"/>
        <w:overflowPunct/>
        <w:autoSpaceDE/>
        <w:autoSpaceDN/>
        <w:adjustRightInd/>
        <w:spacing w:after="160" w:line="259" w:lineRule="auto"/>
        <w:textAlignment w:val="auto"/>
      </w:pPr>
      <w:r w:rsidRPr="000B0909">
        <w:lastRenderedPageBreak/>
        <w:t xml:space="preserve">Gracia, E. (2004). Unreported cases of domestic violence against women: towards an epidemiology of social silence, tolerance, and </w:t>
      </w:r>
      <w:proofErr w:type="spellStart"/>
      <w:r w:rsidRPr="000B0909">
        <w:t>inhibitio</w:t>
      </w:r>
      <w:proofErr w:type="spellEnd"/>
      <w:r w:rsidRPr="000B0909">
        <w:t>. </w:t>
      </w:r>
      <w:r w:rsidRPr="000B0909">
        <w:rPr>
          <w:i/>
          <w:iCs/>
        </w:rPr>
        <w:t>Journal of Epidemiology &amp; Community Health</w:t>
      </w:r>
      <w:r w:rsidRPr="000B0909">
        <w:t>. p.12. [Online]. Available at: https://jech.bmj.com/content/58/7/536.short [Accessed 5 August 2024].</w:t>
      </w:r>
    </w:p>
    <w:p w14:paraId="32F77CB4" w14:textId="77777777" w:rsidR="00EC79D2" w:rsidRPr="000B0909" w:rsidRDefault="00EC79D2" w:rsidP="00EC79D2">
      <w:pPr>
        <w:pStyle w:val="ListParagraph"/>
      </w:pPr>
    </w:p>
    <w:p w14:paraId="5B77DDA8" w14:textId="77777777" w:rsidR="00EC79D2" w:rsidRDefault="00EC79D2" w:rsidP="00EC79D2">
      <w:pPr>
        <w:pStyle w:val="ListParagraph"/>
        <w:overflowPunct/>
        <w:autoSpaceDE/>
        <w:autoSpaceDN/>
        <w:adjustRightInd/>
        <w:spacing w:after="160" w:line="259" w:lineRule="auto"/>
        <w:textAlignment w:val="auto"/>
      </w:pPr>
      <w:r w:rsidRPr="00717C67">
        <w:t>HMICFRS. (2023). </w:t>
      </w:r>
      <w:r w:rsidRPr="00717C67">
        <w:rPr>
          <w:i/>
          <w:iCs/>
        </w:rPr>
        <w:t>Public Protection Notice</w:t>
      </w:r>
      <w:r w:rsidRPr="00717C67">
        <w:t>. [Online]. HMICFRS. Last Updated: 29 March 2023. Available at: https://hmicfrs.justiceinspectorates.gov.uk/glossary/public-protection-notice/ [Accessed 2 August 2024].</w:t>
      </w:r>
    </w:p>
    <w:p w14:paraId="207F4ED3" w14:textId="77777777" w:rsidR="00EC79D2" w:rsidRPr="00F535AA" w:rsidRDefault="00EC79D2" w:rsidP="00EC79D2">
      <w:pPr>
        <w:pStyle w:val="ListParagraph"/>
      </w:pPr>
    </w:p>
    <w:p w14:paraId="4EFFB17E" w14:textId="77777777" w:rsidR="00EC79D2" w:rsidRPr="00F535AA" w:rsidRDefault="00EC79D2" w:rsidP="00EC79D2">
      <w:pPr>
        <w:pStyle w:val="ListParagraph"/>
      </w:pPr>
    </w:p>
    <w:p w14:paraId="42491B7F" w14:textId="77777777" w:rsidR="00EC79D2" w:rsidRDefault="00EC79D2" w:rsidP="00EC79D2">
      <w:pPr>
        <w:pStyle w:val="ListParagraph"/>
        <w:overflowPunct/>
        <w:autoSpaceDE/>
        <w:autoSpaceDN/>
        <w:adjustRightInd/>
        <w:spacing w:after="160" w:line="259" w:lineRule="auto"/>
        <w:textAlignment w:val="auto"/>
      </w:pPr>
      <w:r w:rsidRPr="00717C67">
        <w:t>Howes, L. (2020). Working with interpreters in investigative interviews: Machines, tools, conduits, mouthpieces, professionals and humans. 1(1), pp.90-91. [Online]. Available at: https://www.researchgate.net/publication/344200797_Working_with_interpreters_in_investigative_interv [Accessed 1 August 2024].</w:t>
      </w:r>
    </w:p>
    <w:p w14:paraId="09B0A01F" w14:textId="77777777" w:rsidR="00EC79D2" w:rsidRDefault="00EC79D2" w:rsidP="00EC79D2">
      <w:pPr>
        <w:pStyle w:val="ListParagraph"/>
      </w:pPr>
    </w:p>
    <w:p w14:paraId="57FB7597" w14:textId="77777777" w:rsidR="00EC79D2" w:rsidRPr="00683135" w:rsidRDefault="00EC79D2" w:rsidP="00EC79D2">
      <w:pPr>
        <w:pStyle w:val="ListParagraph"/>
        <w:overflowPunct/>
        <w:autoSpaceDE/>
        <w:autoSpaceDN/>
        <w:adjustRightInd/>
        <w:spacing w:after="160" w:line="259" w:lineRule="auto"/>
        <w:textAlignment w:val="auto"/>
      </w:pPr>
      <w:r w:rsidRPr="00F535AA">
        <w:t xml:space="preserve">Kelly, L. &amp; </w:t>
      </w:r>
      <w:proofErr w:type="spellStart"/>
      <w:r w:rsidRPr="00F535AA">
        <w:t>Westmarland</w:t>
      </w:r>
      <w:proofErr w:type="spellEnd"/>
      <w:r w:rsidRPr="00F535AA">
        <w:t>, N. (2015). </w:t>
      </w:r>
      <w:r w:rsidRPr="00F535AA">
        <w:rPr>
          <w:i/>
          <w:iCs/>
        </w:rPr>
        <w:t>Domestic violence perpetrator programmes: steps towards change</w:t>
      </w:r>
      <w:r w:rsidRPr="00F535AA">
        <w:t>. London: p.14.</w:t>
      </w:r>
    </w:p>
    <w:p w14:paraId="64DB01C3" w14:textId="77777777" w:rsidR="00EC79D2" w:rsidRPr="00A020B7" w:rsidRDefault="00EC79D2" w:rsidP="00EC79D2">
      <w:pPr>
        <w:pStyle w:val="ListParagraph"/>
      </w:pPr>
    </w:p>
    <w:p w14:paraId="40DF82DC" w14:textId="77777777" w:rsidR="00EC79D2" w:rsidRDefault="00EC79D2" w:rsidP="00EC79D2">
      <w:pPr>
        <w:pStyle w:val="ListParagraph"/>
        <w:overflowPunct/>
        <w:autoSpaceDE/>
        <w:autoSpaceDN/>
        <w:adjustRightInd/>
        <w:spacing w:after="160" w:line="259" w:lineRule="auto"/>
        <w:textAlignment w:val="auto"/>
      </w:pPr>
      <w:r w:rsidRPr="00717C67">
        <w:t>Mayes, A et al. (2017). How victims and survivors of domestic abuse experience the criminal justice system. </w:t>
      </w:r>
      <w:r w:rsidRPr="00717C67">
        <w:rPr>
          <w:i/>
          <w:iCs/>
        </w:rPr>
        <w:t>Survivors Justice</w:t>
      </w:r>
      <w:r w:rsidRPr="00717C67">
        <w:t>. pp.7-8. [Online]. Available at: https://www.victimsupport.org.uk/wp-content/uploads/documents/files/VS_Survivor%E2%80%99s%20justice. [Accessed 1 August 2024].</w:t>
      </w:r>
    </w:p>
    <w:p w14:paraId="59AC16C6" w14:textId="77777777" w:rsidR="00EC79D2" w:rsidRDefault="00EC79D2" w:rsidP="00EC79D2">
      <w:pPr>
        <w:pStyle w:val="ListParagraph"/>
      </w:pPr>
    </w:p>
    <w:p w14:paraId="39F29680" w14:textId="77777777" w:rsidR="00EC79D2" w:rsidRDefault="00EC79D2" w:rsidP="00EC79D2">
      <w:pPr>
        <w:pStyle w:val="ListParagraph"/>
        <w:overflowPunct/>
        <w:autoSpaceDE/>
        <w:autoSpaceDN/>
        <w:adjustRightInd/>
        <w:spacing w:after="160" w:line="259" w:lineRule="auto"/>
        <w:textAlignment w:val="auto"/>
      </w:pPr>
      <w:r w:rsidRPr="00221C2C">
        <w:t>Marshall, T. (1999). </w:t>
      </w:r>
      <w:r w:rsidRPr="00221C2C">
        <w:rPr>
          <w:i/>
          <w:iCs/>
        </w:rPr>
        <w:t>Restorative Justice: An Overview</w:t>
      </w:r>
      <w:r w:rsidRPr="00221C2C">
        <w:t>. London</w:t>
      </w:r>
      <w:r>
        <w:t>:</w:t>
      </w:r>
      <w:r w:rsidRPr="00221C2C">
        <w:t xml:space="preserve"> p.7.</w:t>
      </w:r>
    </w:p>
    <w:p w14:paraId="2A848DE9" w14:textId="77777777" w:rsidR="00EC79D2" w:rsidRPr="00BC2738" w:rsidRDefault="00EC79D2" w:rsidP="00EC79D2">
      <w:pPr>
        <w:pStyle w:val="ListParagraph"/>
      </w:pPr>
    </w:p>
    <w:p w14:paraId="3A44DC37" w14:textId="77777777" w:rsidR="00EC79D2" w:rsidRDefault="00EC79D2" w:rsidP="00EC79D2">
      <w:pPr>
        <w:pStyle w:val="ListParagraph"/>
        <w:overflowPunct/>
        <w:autoSpaceDE/>
        <w:autoSpaceDN/>
        <w:adjustRightInd/>
        <w:spacing w:after="160" w:line="259" w:lineRule="auto"/>
        <w:textAlignment w:val="auto"/>
      </w:pPr>
      <w:r w:rsidRPr="00BC2738">
        <w:t xml:space="preserve">Mayhew, P. (1984). Target-Hardening: How Much of an </w:t>
      </w:r>
      <w:proofErr w:type="gramStart"/>
      <w:r w:rsidRPr="00BC2738">
        <w:t>Answer?.</w:t>
      </w:r>
      <w:proofErr w:type="gramEnd"/>
      <w:r w:rsidRPr="00BC2738">
        <w:t xml:space="preserve"> In: Clarke, R &amp; Hope, T. (Eds). </w:t>
      </w:r>
      <w:r w:rsidRPr="00BC2738">
        <w:rPr>
          <w:i/>
          <w:iCs/>
        </w:rPr>
        <w:t xml:space="preserve">Coping with </w:t>
      </w:r>
      <w:proofErr w:type="spellStart"/>
      <w:r w:rsidRPr="00BC2738">
        <w:rPr>
          <w:i/>
          <w:iCs/>
        </w:rPr>
        <w:t>Burlgary</w:t>
      </w:r>
      <w:proofErr w:type="spellEnd"/>
      <w:r w:rsidRPr="00BC2738">
        <w:t>. Lancaster: Klewer Nisjhoff Publishing. p.29.</w:t>
      </w:r>
    </w:p>
    <w:p w14:paraId="7EC10923" w14:textId="77777777" w:rsidR="00EC79D2" w:rsidRPr="00BC2738" w:rsidRDefault="00EC79D2" w:rsidP="00EC79D2">
      <w:pPr>
        <w:pStyle w:val="ListParagraph"/>
      </w:pPr>
    </w:p>
    <w:p w14:paraId="4E8877C7" w14:textId="77777777" w:rsidR="00EC79D2" w:rsidRPr="00717C67" w:rsidRDefault="00EC79D2" w:rsidP="00EC79D2">
      <w:pPr>
        <w:pStyle w:val="ListParagraph"/>
      </w:pPr>
    </w:p>
    <w:p w14:paraId="6467F511" w14:textId="77777777" w:rsidR="00EC79D2" w:rsidRDefault="00EC79D2" w:rsidP="00EC79D2">
      <w:pPr>
        <w:pStyle w:val="ListParagraph"/>
        <w:overflowPunct/>
        <w:autoSpaceDE/>
        <w:autoSpaceDN/>
        <w:adjustRightInd/>
        <w:spacing w:after="160" w:line="259" w:lineRule="auto"/>
        <w:textAlignment w:val="auto"/>
      </w:pPr>
      <w:r w:rsidRPr="00717C67">
        <w:t>McLaughlin, H et al. (2014). Domestic violence, adult social care and MARACs: implications for practice. p.2. [Online]. Available at: https://e-space.mmu.ac.uk/618130/1/RF44.pdf [Accessed 2 August 2024].</w:t>
      </w:r>
    </w:p>
    <w:p w14:paraId="03317CF9" w14:textId="77777777" w:rsidR="00EC79D2" w:rsidRDefault="00EC79D2" w:rsidP="00EC79D2">
      <w:pPr>
        <w:pStyle w:val="ListParagraph"/>
      </w:pPr>
    </w:p>
    <w:p w14:paraId="1C94103C" w14:textId="77777777" w:rsidR="00EC79D2" w:rsidRDefault="00EC79D2" w:rsidP="00EC79D2">
      <w:pPr>
        <w:pStyle w:val="ListParagraph"/>
        <w:overflowPunct/>
        <w:autoSpaceDE/>
        <w:autoSpaceDN/>
        <w:adjustRightInd/>
        <w:spacing w:after="160" w:line="259" w:lineRule="auto"/>
        <w:textAlignment w:val="auto"/>
      </w:pPr>
      <w:r w:rsidRPr="009E4438">
        <w:t>Reaves, B. (2017). </w:t>
      </w:r>
      <w:r w:rsidRPr="009E4438">
        <w:rPr>
          <w:i/>
          <w:iCs/>
        </w:rPr>
        <w:t>Police Response to Domestic Violence, 2006-2015</w:t>
      </w:r>
      <w:r w:rsidRPr="009E4438">
        <w:t>. New York: BJS. p.3.</w:t>
      </w:r>
    </w:p>
    <w:p w14:paraId="773F94FA" w14:textId="77777777" w:rsidR="00EC79D2" w:rsidRPr="00683135" w:rsidRDefault="00EC79D2" w:rsidP="00EC79D2">
      <w:pPr>
        <w:pStyle w:val="ListParagraph"/>
      </w:pPr>
    </w:p>
    <w:p w14:paraId="5D434117" w14:textId="77777777" w:rsidR="00EC79D2" w:rsidRPr="00F535AA" w:rsidRDefault="00EC79D2" w:rsidP="00EC79D2">
      <w:pPr>
        <w:pStyle w:val="ListParagraph"/>
        <w:overflowPunct/>
        <w:autoSpaceDE/>
        <w:autoSpaceDN/>
        <w:adjustRightInd/>
        <w:spacing w:after="160" w:line="259" w:lineRule="auto"/>
        <w:textAlignment w:val="auto"/>
      </w:pPr>
      <w:r w:rsidRPr="00A020B7">
        <w:t>Women's Pathfinder. (2024). [Online]. iomcymru.org. Available at: https://www.iomcymru.org.uk/Women%E2%80%99s-Pathfinder/ [Accessed 3 August 2024].</w:t>
      </w:r>
    </w:p>
    <w:p w14:paraId="391F0D2C" w14:textId="77777777" w:rsidR="00EC79D2" w:rsidRDefault="00EC79D2" w:rsidP="00EA28F1">
      <w:pPr>
        <w:keepNext/>
        <w:spacing w:before="240" w:after="60"/>
        <w:ind w:right="237"/>
        <w:jc w:val="both"/>
        <w:rPr>
          <w:sz w:val="24"/>
          <w:szCs w:val="24"/>
        </w:rPr>
      </w:pPr>
    </w:p>
    <w:p w14:paraId="4D784CC3" w14:textId="77777777" w:rsidR="00EC79D2" w:rsidRDefault="00EC79D2" w:rsidP="00EA28F1">
      <w:pPr>
        <w:keepNext/>
        <w:spacing w:before="240" w:after="60"/>
        <w:ind w:right="237"/>
        <w:jc w:val="both"/>
      </w:pPr>
    </w:p>
    <w:sectPr w:rsidR="00EC79D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132FF4"/>
    <w:multiLevelType w:val="hybridMultilevel"/>
    <w:tmpl w:val="C13A71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8"/>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5"/>
  </w:num>
  <w:num w:numId="6" w16cid:durableId="2030257421">
    <w:abstractNumId w:val="47"/>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1"/>
  </w:num>
  <w:num w:numId="28" w16cid:durableId="1722634903">
    <w:abstractNumId w:val="35"/>
  </w:num>
  <w:num w:numId="29" w16cid:durableId="1249390611">
    <w:abstractNumId w:val="39"/>
  </w:num>
  <w:num w:numId="30" w16cid:durableId="1344282584">
    <w:abstractNumId w:val="20"/>
  </w:num>
  <w:num w:numId="31" w16cid:durableId="1746609829">
    <w:abstractNumId w:val="43"/>
  </w:num>
  <w:num w:numId="32" w16cid:durableId="1988586761">
    <w:abstractNumId w:val="31"/>
  </w:num>
  <w:num w:numId="33" w16cid:durableId="1557475669">
    <w:abstractNumId w:val="12"/>
  </w:num>
  <w:num w:numId="34" w16cid:durableId="2114667185">
    <w:abstractNumId w:val="44"/>
  </w:num>
  <w:num w:numId="35" w16cid:durableId="1402630006">
    <w:abstractNumId w:val="38"/>
  </w:num>
  <w:num w:numId="36" w16cid:durableId="2135364684">
    <w:abstractNumId w:val="4"/>
  </w:num>
  <w:num w:numId="37" w16cid:durableId="1523282661">
    <w:abstractNumId w:val="46"/>
  </w:num>
  <w:num w:numId="38" w16cid:durableId="384984533">
    <w:abstractNumId w:val="42"/>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9"/>
  </w:num>
  <w:num w:numId="50" w16cid:durableId="1747799537">
    <w:abstractNumId w:val="4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B94"/>
    <w:rsid w:val="00013819"/>
    <w:rsid w:val="00020EEC"/>
    <w:rsid w:val="00025650"/>
    <w:rsid w:val="00026FAB"/>
    <w:rsid w:val="000273FF"/>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08F"/>
    <w:rsid w:val="00093720"/>
    <w:rsid w:val="000938E6"/>
    <w:rsid w:val="00093B3C"/>
    <w:rsid w:val="0009488C"/>
    <w:rsid w:val="00095C1B"/>
    <w:rsid w:val="00096DEA"/>
    <w:rsid w:val="000A4240"/>
    <w:rsid w:val="000A469A"/>
    <w:rsid w:val="000B1E96"/>
    <w:rsid w:val="000C378F"/>
    <w:rsid w:val="000C6892"/>
    <w:rsid w:val="000C6FFE"/>
    <w:rsid w:val="000D0BB6"/>
    <w:rsid w:val="000E15C5"/>
    <w:rsid w:val="000E26B0"/>
    <w:rsid w:val="000E4D68"/>
    <w:rsid w:val="000F1599"/>
    <w:rsid w:val="000F1769"/>
    <w:rsid w:val="000F6196"/>
    <w:rsid w:val="000F7ECD"/>
    <w:rsid w:val="00102E64"/>
    <w:rsid w:val="0010312C"/>
    <w:rsid w:val="00106DC7"/>
    <w:rsid w:val="00112391"/>
    <w:rsid w:val="00114F52"/>
    <w:rsid w:val="0012135C"/>
    <w:rsid w:val="00130E83"/>
    <w:rsid w:val="001347F8"/>
    <w:rsid w:val="00134DB2"/>
    <w:rsid w:val="00137BB5"/>
    <w:rsid w:val="00137E05"/>
    <w:rsid w:val="001447F6"/>
    <w:rsid w:val="00147DE3"/>
    <w:rsid w:val="00150794"/>
    <w:rsid w:val="001608C4"/>
    <w:rsid w:val="00162658"/>
    <w:rsid w:val="00171418"/>
    <w:rsid w:val="00190913"/>
    <w:rsid w:val="00191E1E"/>
    <w:rsid w:val="001961CF"/>
    <w:rsid w:val="001A59BB"/>
    <w:rsid w:val="001A6A51"/>
    <w:rsid w:val="001A79C4"/>
    <w:rsid w:val="001B331A"/>
    <w:rsid w:val="001B770F"/>
    <w:rsid w:val="001C0E74"/>
    <w:rsid w:val="001C6CEC"/>
    <w:rsid w:val="001D229F"/>
    <w:rsid w:val="001D6162"/>
    <w:rsid w:val="001E6FAD"/>
    <w:rsid w:val="001E7592"/>
    <w:rsid w:val="001F3878"/>
    <w:rsid w:val="001F4552"/>
    <w:rsid w:val="00200895"/>
    <w:rsid w:val="002019EB"/>
    <w:rsid w:val="002030F2"/>
    <w:rsid w:val="00203417"/>
    <w:rsid w:val="00205051"/>
    <w:rsid w:val="00206B78"/>
    <w:rsid w:val="00211F65"/>
    <w:rsid w:val="00213A97"/>
    <w:rsid w:val="0022001B"/>
    <w:rsid w:val="00220D06"/>
    <w:rsid w:val="002219BA"/>
    <w:rsid w:val="00222309"/>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652"/>
    <w:rsid w:val="00295CA1"/>
    <w:rsid w:val="002A291A"/>
    <w:rsid w:val="002A5604"/>
    <w:rsid w:val="002B1701"/>
    <w:rsid w:val="002B23C3"/>
    <w:rsid w:val="002B443A"/>
    <w:rsid w:val="002B5B35"/>
    <w:rsid w:val="002C256A"/>
    <w:rsid w:val="002C496D"/>
    <w:rsid w:val="002D05EB"/>
    <w:rsid w:val="002D20E5"/>
    <w:rsid w:val="002D2F29"/>
    <w:rsid w:val="002D2FD3"/>
    <w:rsid w:val="002E7017"/>
    <w:rsid w:val="002F4F6E"/>
    <w:rsid w:val="003015C3"/>
    <w:rsid w:val="0030698D"/>
    <w:rsid w:val="0031350A"/>
    <w:rsid w:val="00316815"/>
    <w:rsid w:val="003168CA"/>
    <w:rsid w:val="00321255"/>
    <w:rsid w:val="0032230D"/>
    <w:rsid w:val="00322A0B"/>
    <w:rsid w:val="003327CF"/>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BE0"/>
    <w:rsid w:val="003A0C37"/>
    <w:rsid w:val="003A1B6B"/>
    <w:rsid w:val="003A2F82"/>
    <w:rsid w:val="003A46C0"/>
    <w:rsid w:val="003A600E"/>
    <w:rsid w:val="003A6513"/>
    <w:rsid w:val="003B16C7"/>
    <w:rsid w:val="003B306F"/>
    <w:rsid w:val="003C19F1"/>
    <w:rsid w:val="003C4186"/>
    <w:rsid w:val="003C458C"/>
    <w:rsid w:val="003C6185"/>
    <w:rsid w:val="003C6967"/>
    <w:rsid w:val="003D0D2D"/>
    <w:rsid w:val="003D1D5A"/>
    <w:rsid w:val="003D4710"/>
    <w:rsid w:val="003E16D7"/>
    <w:rsid w:val="003E197E"/>
    <w:rsid w:val="004046F0"/>
    <w:rsid w:val="00405F2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3B6E"/>
    <w:rsid w:val="004962F9"/>
    <w:rsid w:val="004968E2"/>
    <w:rsid w:val="004A07F1"/>
    <w:rsid w:val="004A127B"/>
    <w:rsid w:val="004A14C4"/>
    <w:rsid w:val="004A2A49"/>
    <w:rsid w:val="004A5BFE"/>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705"/>
    <w:rsid w:val="00510D6A"/>
    <w:rsid w:val="00513C7D"/>
    <w:rsid w:val="005169D1"/>
    <w:rsid w:val="00521123"/>
    <w:rsid w:val="00521221"/>
    <w:rsid w:val="00524434"/>
    <w:rsid w:val="005306AB"/>
    <w:rsid w:val="00535932"/>
    <w:rsid w:val="00536FA9"/>
    <w:rsid w:val="005414F4"/>
    <w:rsid w:val="005440EA"/>
    <w:rsid w:val="00546187"/>
    <w:rsid w:val="005463F1"/>
    <w:rsid w:val="00547094"/>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979FC"/>
    <w:rsid w:val="005A1A3A"/>
    <w:rsid w:val="005A1B4C"/>
    <w:rsid w:val="005A1BA3"/>
    <w:rsid w:val="005A4422"/>
    <w:rsid w:val="005A545C"/>
    <w:rsid w:val="005C1567"/>
    <w:rsid w:val="005C3493"/>
    <w:rsid w:val="005C6CE5"/>
    <w:rsid w:val="005C76DE"/>
    <w:rsid w:val="005D3F07"/>
    <w:rsid w:val="005D583E"/>
    <w:rsid w:val="005E13EA"/>
    <w:rsid w:val="005E53BD"/>
    <w:rsid w:val="00606990"/>
    <w:rsid w:val="00606E27"/>
    <w:rsid w:val="006108C9"/>
    <w:rsid w:val="006126CB"/>
    <w:rsid w:val="00615C7E"/>
    <w:rsid w:val="0062158D"/>
    <w:rsid w:val="0062179F"/>
    <w:rsid w:val="0062392D"/>
    <w:rsid w:val="00630F39"/>
    <w:rsid w:val="006326D1"/>
    <w:rsid w:val="00632E0A"/>
    <w:rsid w:val="00633165"/>
    <w:rsid w:val="00636B6C"/>
    <w:rsid w:val="00637A2E"/>
    <w:rsid w:val="00641568"/>
    <w:rsid w:val="006447DE"/>
    <w:rsid w:val="0065276E"/>
    <w:rsid w:val="00654329"/>
    <w:rsid w:val="00654CEC"/>
    <w:rsid w:val="00655507"/>
    <w:rsid w:val="006712A7"/>
    <w:rsid w:val="006733CC"/>
    <w:rsid w:val="00674FC2"/>
    <w:rsid w:val="00677E42"/>
    <w:rsid w:val="00682334"/>
    <w:rsid w:val="00684B16"/>
    <w:rsid w:val="00690081"/>
    <w:rsid w:val="00694C00"/>
    <w:rsid w:val="00696F65"/>
    <w:rsid w:val="006A7A6D"/>
    <w:rsid w:val="006B0002"/>
    <w:rsid w:val="006B5E67"/>
    <w:rsid w:val="006C2EB5"/>
    <w:rsid w:val="006C5FB5"/>
    <w:rsid w:val="006D18A3"/>
    <w:rsid w:val="006D5970"/>
    <w:rsid w:val="006E22D8"/>
    <w:rsid w:val="006E481E"/>
    <w:rsid w:val="006E795F"/>
    <w:rsid w:val="00700249"/>
    <w:rsid w:val="0070604C"/>
    <w:rsid w:val="007069CD"/>
    <w:rsid w:val="0071050D"/>
    <w:rsid w:val="00710D69"/>
    <w:rsid w:val="007110E6"/>
    <w:rsid w:val="00711A70"/>
    <w:rsid w:val="00712E6F"/>
    <w:rsid w:val="00712E90"/>
    <w:rsid w:val="00713B7E"/>
    <w:rsid w:val="0071499F"/>
    <w:rsid w:val="007203DA"/>
    <w:rsid w:val="007204AE"/>
    <w:rsid w:val="0072678F"/>
    <w:rsid w:val="00727C4C"/>
    <w:rsid w:val="00734809"/>
    <w:rsid w:val="00734F5F"/>
    <w:rsid w:val="0073644B"/>
    <w:rsid w:val="007406E1"/>
    <w:rsid w:val="00741A29"/>
    <w:rsid w:val="00742D96"/>
    <w:rsid w:val="00743E40"/>
    <w:rsid w:val="00751263"/>
    <w:rsid w:val="0075704F"/>
    <w:rsid w:val="00763B2D"/>
    <w:rsid w:val="00763F16"/>
    <w:rsid w:val="00770253"/>
    <w:rsid w:val="00771EC5"/>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5A86"/>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57424"/>
    <w:rsid w:val="00861035"/>
    <w:rsid w:val="00861038"/>
    <w:rsid w:val="00865008"/>
    <w:rsid w:val="00866B50"/>
    <w:rsid w:val="008708F1"/>
    <w:rsid w:val="00880539"/>
    <w:rsid w:val="008859E8"/>
    <w:rsid w:val="0088737B"/>
    <w:rsid w:val="00887796"/>
    <w:rsid w:val="00892716"/>
    <w:rsid w:val="00893067"/>
    <w:rsid w:val="008933DE"/>
    <w:rsid w:val="00895FCE"/>
    <w:rsid w:val="00897F3E"/>
    <w:rsid w:val="008A1BA8"/>
    <w:rsid w:val="008A21B4"/>
    <w:rsid w:val="008A4576"/>
    <w:rsid w:val="008B07DE"/>
    <w:rsid w:val="008B28E7"/>
    <w:rsid w:val="008C14C7"/>
    <w:rsid w:val="008C2FFB"/>
    <w:rsid w:val="008C6EEA"/>
    <w:rsid w:val="008D24AE"/>
    <w:rsid w:val="008D5813"/>
    <w:rsid w:val="008D634E"/>
    <w:rsid w:val="008D778A"/>
    <w:rsid w:val="008E1C84"/>
    <w:rsid w:val="008F22BD"/>
    <w:rsid w:val="009079BD"/>
    <w:rsid w:val="00912BD9"/>
    <w:rsid w:val="00916CFB"/>
    <w:rsid w:val="00920E5B"/>
    <w:rsid w:val="009249F8"/>
    <w:rsid w:val="00926436"/>
    <w:rsid w:val="00926619"/>
    <w:rsid w:val="0093018C"/>
    <w:rsid w:val="00932CCA"/>
    <w:rsid w:val="009544C0"/>
    <w:rsid w:val="00954FA4"/>
    <w:rsid w:val="00956AE9"/>
    <w:rsid w:val="00964CC6"/>
    <w:rsid w:val="00991FDA"/>
    <w:rsid w:val="009927A1"/>
    <w:rsid w:val="0099774D"/>
    <w:rsid w:val="009A310E"/>
    <w:rsid w:val="009A4309"/>
    <w:rsid w:val="009A5F3B"/>
    <w:rsid w:val="009A742E"/>
    <w:rsid w:val="009B0B61"/>
    <w:rsid w:val="009B28C0"/>
    <w:rsid w:val="009B395A"/>
    <w:rsid w:val="009B7136"/>
    <w:rsid w:val="009B7806"/>
    <w:rsid w:val="009C3AC2"/>
    <w:rsid w:val="009C585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169D"/>
    <w:rsid w:val="00A470EE"/>
    <w:rsid w:val="00A47621"/>
    <w:rsid w:val="00A479CD"/>
    <w:rsid w:val="00A50CFC"/>
    <w:rsid w:val="00A54D67"/>
    <w:rsid w:val="00A55A3F"/>
    <w:rsid w:val="00A56BC4"/>
    <w:rsid w:val="00A652F6"/>
    <w:rsid w:val="00A732EA"/>
    <w:rsid w:val="00A7489E"/>
    <w:rsid w:val="00A8015F"/>
    <w:rsid w:val="00A80BD2"/>
    <w:rsid w:val="00A80DA9"/>
    <w:rsid w:val="00A85039"/>
    <w:rsid w:val="00A851F7"/>
    <w:rsid w:val="00A906AA"/>
    <w:rsid w:val="00A94C5E"/>
    <w:rsid w:val="00AA241A"/>
    <w:rsid w:val="00AA252C"/>
    <w:rsid w:val="00AA666E"/>
    <w:rsid w:val="00AA73B7"/>
    <w:rsid w:val="00AB5518"/>
    <w:rsid w:val="00AC01D4"/>
    <w:rsid w:val="00AC1999"/>
    <w:rsid w:val="00AC4A04"/>
    <w:rsid w:val="00AD336F"/>
    <w:rsid w:val="00AD3550"/>
    <w:rsid w:val="00AD6EC0"/>
    <w:rsid w:val="00AE2564"/>
    <w:rsid w:val="00AE301F"/>
    <w:rsid w:val="00AE3302"/>
    <w:rsid w:val="00AE655F"/>
    <w:rsid w:val="00AE7077"/>
    <w:rsid w:val="00AF0F76"/>
    <w:rsid w:val="00AF61C2"/>
    <w:rsid w:val="00AF6CC6"/>
    <w:rsid w:val="00B011CD"/>
    <w:rsid w:val="00B0296A"/>
    <w:rsid w:val="00B12295"/>
    <w:rsid w:val="00B137BE"/>
    <w:rsid w:val="00B14480"/>
    <w:rsid w:val="00B17FA0"/>
    <w:rsid w:val="00B24344"/>
    <w:rsid w:val="00B26769"/>
    <w:rsid w:val="00B311CE"/>
    <w:rsid w:val="00B31C91"/>
    <w:rsid w:val="00B3747F"/>
    <w:rsid w:val="00B43194"/>
    <w:rsid w:val="00B44C0B"/>
    <w:rsid w:val="00B47734"/>
    <w:rsid w:val="00B50FBA"/>
    <w:rsid w:val="00B558EB"/>
    <w:rsid w:val="00B577D3"/>
    <w:rsid w:val="00B6015E"/>
    <w:rsid w:val="00B60466"/>
    <w:rsid w:val="00B6548F"/>
    <w:rsid w:val="00B71D68"/>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5055"/>
    <w:rsid w:val="00C00138"/>
    <w:rsid w:val="00C01D14"/>
    <w:rsid w:val="00C025B4"/>
    <w:rsid w:val="00C0275F"/>
    <w:rsid w:val="00C11F61"/>
    <w:rsid w:val="00C12D5E"/>
    <w:rsid w:val="00C161FD"/>
    <w:rsid w:val="00C21FA1"/>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145A"/>
    <w:rsid w:val="00C73003"/>
    <w:rsid w:val="00C8089F"/>
    <w:rsid w:val="00C836CC"/>
    <w:rsid w:val="00C87A74"/>
    <w:rsid w:val="00C90A71"/>
    <w:rsid w:val="00C91574"/>
    <w:rsid w:val="00C91BC2"/>
    <w:rsid w:val="00C92C71"/>
    <w:rsid w:val="00C93C1C"/>
    <w:rsid w:val="00C93F8F"/>
    <w:rsid w:val="00C94BF2"/>
    <w:rsid w:val="00CA2745"/>
    <w:rsid w:val="00CA3593"/>
    <w:rsid w:val="00CA4EBC"/>
    <w:rsid w:val="00CA5BE6"/>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45E8D"/>
    <w:rsid w:val="00D5733C"/>
    <w:rsid w:val="00D607EF"/>
    <w:rsid w:val="00D60F88"/>
    <w:rsid w:val="00D625E7"/>
    <w:rsid w:val="00D646BD"/>
    <w:rsid w:val="00D70239"/>
    <w:rsid w:val="00D71201"/>
    <w:rsid w:val="00D720C7"/>
    <w:rsid w:val="00D733CB"/>
    <w:rsid w:val="00D77A04"/>
    <w:rsid w:val="00D81D06"/>
    <w:rsid w:val="00D84803"/>
    <w:rsid w:val="00D8652C"/>
    <w:rsid w:val="00D876E6"/>
    <w:rsid w:val="00DA1025"/>
    <w:rsid w:val="00DA22EC"/>
    <w:rsid w:val="00DA5860"/>
    <w:rsid w:val="00DB2767"/>
    <w:rsid w:val="00DB3D2F"/>
    <w:rsid w:val="00DC4729"/>
    <w:rsid w:val="00DC62EC"/>
    <w:rsid w:val="00DE556F"/>
    <w:rsid w:val="00E01159"/>
    <w:rsid w:val="00E03B6D"/>
    <w:rsid w:val="00E0649E"/>
    <w:rsid w:val="00E17160"/>
    <w:rsid w:val="00E35BEC"/>
    <w:rsid w:val="00E50821"/>
    <w:rsid w:val="00E50EF8"/>
    <w:rsid w:val="00E511D0"/>
    <w:rsid w:val="00E51F91"/>
    <w:rsid w:val="00E676F7"/>
    <w:rsid w:val="00E7086E"/>
    <w:rsid w:val="00E7374A"/>
    <w:rsid w:val="00E73C41"/>
    <w:rsid w:val="00E7598F"/>
    <w:rsid w:val="00E76F60"/>
    <w:rsid w:val="00E83D90"/>
    <w:rsid w:val="00E83F28"/>
    <w:rsid w:val="00E83F91"/>
    <w:rsid w:val="00E9107A"/>
    <w:rsid w:val="00E91EB2"/>
    <w:rsid w:val="00E91F62"/>
    <w:rsid w:val="00E929FD"/>
    <w:rsid w:val="00E93240"/>
    <w:rsid w:val="00E9479B"/>
    <w:rsid w:val="00EA28F1"/>
    <w:rsid w:val="00EA4D48"/>
    <w:rsid w:val="00EB2173"/>
    <w:rsid w:val="00EB62E6"/>
    <w:rsid w:val="00EC79D2"/>
    <w:rsid w:val="00ED1B30"/>
    <w:rsid w:val="00ED250E"/>
    <w:rsid w:val="00ED6535"/>
    <w:rsid w:val="00EE1AC1"/>
    <w:rsid w:val="00EE39D6"/>
    <w:rsid w:val="00EE413C"/>
    <w:rsid w:val="00EE52AD"/>
    <w:rsid w:val="00F01F92"/>
    <w:rsid w:val="00F07676"/>
    <w:rsid w:val="00F10684"/>
    <w:rsid w:val="00F10A08"/>
    <w:rsid w:val="00F139CF"/>
    <w:rsid w:val="00F17DFE"/>
    <w:rsid w:val="00F22AC5"/>
    <w:rsid w:val="00F254D1"/>
    <w:rsid w:val="00F32B82"/>
    <w:rsid w:val="00F34BDF"/>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083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763F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088420">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170056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1-02/code_of_ethics_summary.pdf" TargetMode="External"/><Relationship Id="rId2" Type="http://schemas.openxmlformats.org/officeDocument/2006/relationships/customXml" Target="../customXml/item2.xml"/><Relationship Id="rId16" Type="http://schemas.openxmlformats.org/officeDocument/2006/relationships/hyperlink" Target="http://www.college.police.uk"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3043</TotalTime>
  <Pages>17</Pages>
  <Words>5669</Words>
  <Characters>33433</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Horton,Corey swp8566</cp:lastModifiedBy>
  <cp:revision>41</cp:revision>
  <cp:lastPrinted>2014-08-26T08:55:00Z</cp:lastPrinted>
  <dcterms:created xsi:type="dcterms:W3CDTF">2024-07-26T17:49:00Z</dcterms:created>
  <dcterms:modified xsi:type="dcterms:W3CDTF">2024-08-05T20:57:00Z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2024-07-26T17:49:52Z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bb6bcd57-0b63-466a-80e8-a936e2eccd60</vt:lpwstr>
  </property>
  <property fmtid="{D5CDD505-2E9C-101B-9397-08002B2CF9AE}" pid="9" name="MSIP_Label_66cf8fe5-b7b7-4df7-b38d-1c61ac2f6639_ContentBits">
    <vt:lpwstr>0</vt:lpwstr>
  </property>
</Properties>
</file>