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80"/>
        <w:jc w:val="center"/>
      </w:pPr>
      <w:r>
        <w:rPr>
          <w:b/>
          <w:color w:val="1F4E78"/>
          <w:sz w:val="36"/>
        </w:rPr>
        <w:t>EXECUTIVE FINANCIAL REPORT</w:t>
        <w:br/>
        <w:t>5-Year Financial Ratio Trend Analysis (2021–2025)</w:t>
      </w:r>
    </w:p>
    <w:p>
      <w:pPr>
        <w:spacing w:after="720"/>
        <w:jc w:val="center"/>
      </w:pPr>
      <w:r>
        <w:rPr>
          <w:i/>
          <w:sz w:val="22"/>
        </w:rPr>
        <w:t>Prepared for: Assessment Portfolio</w:t>
        <w:br/>
        <w:t>Company Focus: Hilton Worldwide Holdings Inc. (NYSE: HLT)</w:t>
      </w:r>
    </w:p>
    <w:p>
      <w:pPr>
        <w:pStyle w:val="Heading1"/>
        <w:keepNext/>
        <w:spacing w:before="240" w:after="80"/>
      </w:pPr>
      <w:r>
        <w:rPr>
          <w:rFonts w:ascii="Calibri" w:hAnsi="Calibri"/>
          <w:b/>
          <w:color w:val="1F4E78"/>
        </w:rPr>
        <w:t>1. Executive Summary</w:t>
      </w:r>
    </w:p>
    <w:p>
      <w:pPr>
        <w:spacing w:after="240"/>
      </w:pPr>
      <w:r>
        <w:t>This report provides a comprehensive analysis of the financial health, liquidity, operational efficiency, and leverage profile of Hilton Worldwide Holdings Inc. over a five-year period from 2021 to 2025. Following the global disruption in the hospitality sector during 2020, Hilton executed a robust structural expansion. By focusing heavily on its managed and franchised asset-light business model, the corporation achieved substantial revenue escalation and premium profit margins, while simultaneously optimizing its capital architecture through aggressive shareholder buybacks.</w:t>
      </w:r>
    </w:p>
    <w:p>
      <w:pPr>
        <w:pStyle w:val="Heading1"/>
        <w:keepNext/>
        <w:spacing w:before="240" w:after="80"/>
      </w:pPr>
      <w:r>
        <w:rPr>
          <w:rFonts w:ascii="Calibri" w:hAnsi="Calibri"/>
          <w:b/>
          <w:color w:val="1F4E78"/>
        </w:rPr>
        <w:t>2. Profitability Performance and Margin Trends</w:t>
      </w:r>
    </w:p>
    <w:p>
      <w:pPr>
        <w:spacing w:after="120"/>
      </w:pPr>
      <w:r>
        <w:t>Hilton’s profitability highlights the operational leverage inherent in an asset-light fee-driven strategy. The operational metrics are categorized below:</w:t>
      </w:r>
    </w:p>
    <w:p>
      <w:pPr>
        <w:pStyle w:val="ListBullet"/>
        <w:spacing w:after="80"/>
      </w:pPr>
      <w:r>
        <w:rPr>
          <w:b/>
        </w:rPr>
        <w:t>Gross Margin:</w:t>
      </w:r>
      <w:r>
        <w:t xml:space="preserve"> Sustained consistently between 27.4% and 30.8%. Because Hilton's direct revenue stems from franchise and management fees, the top-line performance carries strong operational convertibility.</w:t>
      </w:r>
    </w:p>
    <w:p>
      <w:pPr>
        <w:pStyle w:val="ListBullet"/>
        <w:spacing w:after="80"/>
      </w:pPr>
      <w:r>
        <w:rPr>
          <w:b/>
        </w:rPr>
        <w:t>Operating Margin:</w:t>
      </w:r>
      <w:r>
        <w:t xml:space="preserve"> Advanced significantly from 17.5% in 2021 to peak at 23.9% in 2022, settling robustly at 22.4% by fiscal year 2025. This underscores efficient cost containment and scalable corporate infrastructure as global RevPAR (Revenue Per Available Room) rebounded.</w:t>
      </w:r>
    </w:p>
    <w:p>
      <w:pPr>
        <w:pStyle w:val="ListBullet"/>
        <w:spacing w:after="80"/>
      </w:pPr>
      <w:r>
        <w:rPr>
          <w:b/>
        </w:rPr>
        <w:t>Net Margin:</w:t>
      </w:r>
      <w:r>
        <w:t xml:space="preserve"> Exhibited a parallel expansion, stabilizing in the 11.2% to 14.3% corridor, reflecting high conversion from operating income down to bottom-line net profit.</w:t>
      </w:r>
    </w:p>
    <w:p>
      <w:pPr>
        <w:pStyle w:val="Heading1"/>
        <w:keepNext/>
        <w:spacing w:before="240" w:after="80"/>
      </w:pPr>
      <w:r>
        <w:rPr>
          <w:rFonts w:ascii="Calibri" w:hAnsi="Calibri"/>
          <w:b/>
          <w:color w:val="1F4E78"/>
        </w:rPr>
        <w:t>3. Liquidity Profile and Cash Deployment</w:t>
      </w:r>
    </w:p>
    <w:p>
      <w:pPr>
        <w:spacing w:after="120"/>
      </w:pPr>
      <w:r>
        <w:t>A directional analysis reveals a deliberate multi-year reduction in liquidity buffers from 2021 through 2025:</w:t>
      </w:r>
    </w:p>
    <w:p>
      <w:pPr>
        <w:pStyle w:val="ListBullet"/>
        <w:spacing w:after="80"/>
      </w:pPr>
      <w:r>
        <w:rPr>
          <w:b/>
        </w:rPr>
        <w:t>Current Ratio:</w:t>
      </w:r>
      <w:r>
        <w:t xml:space="preserve"> Contracted from a safe 1.46x in 2021 to 0.98x in 2025, moving slightly below the conventional parity threshold (1.0x).</w:t>
      </w:r>
    </w:p>
    <w:p>
      <w:pPr>
        <w:pStyle w:val="ListBullet"/>
        <w:spacing w:after="80"/>
      </w:pPr>
      <w:r>
        <w:rPr>
          <w:b/>
        </w:rPr>
        <w:t>Quick and Cash Ratios:</w:t>
      </w:r>
      <w:r>
        <w:t xml:space="preserve"> The Quick Ratio moved from 1.31x to 0.87x, while the Cash Ratio dropped from 0.77x to 0.32x over the same period.</w:t>
      </w:r>
    </w:p>
    <w:p>
      <w:pPr>
        <w:pStyle w:val="ListBullet"/>
        <w:spacing w:after="80"/>
      </w:pPr>
      <w:r>
        <w:rPr>
          <w:b/>
        </w:rPr>
        <w:t>Strategic Context:</w:t>
      </w:r>
      <w:r>
        <w:t xml:space="preserve"> This shift does not reflect underlying operational distress. During the 2021 post-pandemic transition, Hilton maintained defensive cash reserves ($1.51B). As the operating environment normalized, management systematically reduced idle cash balances to fund high-conviction capital allocation initiatives, specifically share repurchases and debt service.</w:t>
      </w:r>
    </w:p>
    <w:p>
      <w:pPr>
        <w:pStyle w:val="Heading1"/>
        <w:keepNext/>
        <w:spacing w:before="240" w:after="80"/>
      </w:pPr>
      <w:r>
        <w:rPr>
          <w:rFonts w:ascii="Calibri" w:hAnsi="Calibri"/>
          <w:b/>
          <w:color w:val="1F4E78"/>
        </w:rPr>
        <w:t>4. Asset Efficiency and Resource Optimization</w:t>
      </w:r>
    </w:p>
    <w:p>
      <w:pPr>
        <w:spacing w:after="120"/>
      </w:pPr>
      <w:r>
        <w:t>Hilton’s efficiency multipliers emphasize its unique asset-light property footprint:</w:t>
      </w:r>
    </w:p>
    <w:p>
      <w:pPr>
        <w:pStyle w:val="ListBullet"/>
        <w:spacing w:after="80"/>
      </w:pPr>
      <w:r>
        <w:rPr>
          <w:b/>
        </w:rPr>
        <w:t>Asset Turnover:</w:t>
      </w:r>
      <w:r>
        <w:t xml:space="preserve"> Nearly doubled from 0.37x in 2021 to 0.72x in 2025. This represents a highly efficient utilization of the broader balance sheet, generating $12.04B in revenue from a stable asset base of approximately $16.77B.</w:t>
      </w:r>
    </w:p>
    <w:p>
      <w:pPr>
        <w:pStyle w:val="ListBullet"/>
        <w:spacing w:after="80"/>
      </w:pPr>
      <w:r>
        <w:rPr>
          <w:b/>
        </w:rPr>
        <w:t>Fixed Asset Turnover:</w:t>
      </w:r>
      <w:r>
        <w:t xml:space="preserve"> Reached extraordinary peaks (e.g., 31.33x in 2022 and 27.19x in 2024). Because Hilton owns very few physical hotel assets—instead licensing its intellectual property, brands, and management infrastructure to third-party owners—its net property and equipment base is remarkably low, yielding world-class fixed-asset efficiency ratios.</w:t>
      </w:r>
    </w:p>
    <w:p>
      <w:pPr>
        <w:pStyle w:val="Heading1"/>
        <w:keepNext/>
        <w:spacing w:before="240" w:after="80"/>
      </w:pPr>
      <w:r>
        <w:rPr>
          <w:rFonts w:ascii="Calibri" w:hAnsi="Calibri"/>
          <w:b/>
          <w:color w:val="1F4E78"/>
        </w:rPr>
        <w:t>5. Leverage Structure and Debt Capacity</w:t>
      </w:r>
    </w:p>
    <w:p>
      <w:pPr>
        <w:spacing w:after="120"/>
      </w:pPr>
      <w:r>
        <w:t>The leverage configuration of Hilton presents a classic corporate finance case study:</w:t>
      </w:r>
    </w:p>
    <w:p>
      <w:pPr>
        <w:pStyle w:val="ListBullet"/>
        <w:spacing w:after="80"/>
      </w:pPr>
      <w:r>
        <w:rPr>
          <w:b/>
        </w:rPr>
        <w:t>Interest Coverage Ratio:</w:t>
      </w:r>
      <w:r>
        <w:t xml:space="preserve"> Strengths amplified from 2.54x (2021) to 4.34x (2025), peaking at 5.05x in 2022. This demonstrates that despite rising absolute interest obligations due to new debt issuances, Hilton’s operating earnings expand fast enough to comfortably service its fixed obligations.</w:t>
      </w:r>
    </w:p>
    <w:p>
      <w:pPr>
        <w:pStyle w:val="ListBullet"/>
        <w:spacing w:after="80"/>
      </w:pPr>
      <w:r>
        <w:rPr>
          <w:b/>
        </w:rPr>
        <w:t>Negative Debt-to-Equity:</w:t>
      </w:r>
      <w:r>
        <w:t xml:space="preserve"> The Debt-to-Equity ratio remains technically negative throughout the horizon (-10.48x to -2.35x). This is driven entirely by a persistent, expanding *Stockholders' Deficit* (reaching -$5.16B in 2025). This deficit is not an indicator of insolvency, but rather the structural consequence of continuous, multi-billion-dollar share buybacks that exceed historical retained earnings. This architecture highlights management's confidence in continuous, predictable operating cash flows to support synthetic leverage.</w:t>
      </w:r>
    </w:p>
    <w:p>
      <w:pPr>
        <w:pStyle w:val="Heading1"/>
        <w:keepNext/>
        <w:spacing w:before="240" w:after="80"/>
      </w:pPr>
      <w:r>
        <w:rPr>
          <w:rFonts w:ascii="Calibri" w:hAnsi="Calibri"/>
          <w:b/>
          <w:color w:val="1F4E78"/>
        </w:rPr>
        <w:t>6. Financial Ratio Matrix Reference Table</w:t>
      </w:r>
    </w:p>
    <w:p>
      <w:r>
        <w:t>The table below acts as a verbatim reference of the primary output figures available within the companion Excel model:</w:t>
      </w:r>
    </w:p>
    <w:tbl>
      <w:tblPr>
        <w:tblStyle w:val="LightShading-Accent1"/>
        <w:tblW w:type="auto" w:w="0"/>
        <w:tblLook w:firstColumn="1" w:firstRow="1" w:lastColumn="0" w:lastRow="0" w:noHBand="0" w:noVBand="1" w:val="04A0"/>
      </w:tblPr>
      <w:tblGrid>
        <w:gridCol w:w="1560"/>
        <w:gridCol w:w="1560"/>
        <w:gridCol w:w="1560"/>
        <w:gridCol w:w="1560"/>
        <w:gridCol w:w="1560"/>
        <w:gridCol w:w="1560"/>
      </w:tblGrid>
      <w:tr>
        <w:tc>
          <w:tcPr>
            <w:tcW w:type="dxa" w:w="1560"/>
          </w:tcPr>
          <w:p>
            <w:r>
              <w:rPr>
                <w:b/>
              </w:rPr>
              <w:t>Ratio Metric</w:t>
            </w:r>
          </w:p>
        </w:tc>
        <w:tc>
          <w:tcPr>
            <w:tcW w:type="dxa" w:w="1560"/>
          </w:tcPr>
          <w:p>
            <w:r>
              <w:rPr>
                <w:b/>
              </w:rPr>
              <w:t>2021</w:t>
            </w:r>
          </w:p>
        </w:tc>
        <w:tc>
          <w:tcPr>
            <w:tcW w:type="dxa" w:w="1560"/>
          </w:tcPr>
          <w:p>
            <w:r>
              <w:rPr>
                <w:b/>
              </w:rPr>
              <w:t>2022</w:t>
            </w:r>
          </w:p>
        </w:tc>
        <w:tc>
          <w:tcPr>
            <w:tcW w:type="dxa" w:w="1560"/>
          </w:tcPr>
          <w:p>
            <w:r>
              <w:rPr>
                <w:b/>
              </w:rPr>
              <w:t>2023</w:t>
            </w:r>
          </w:p>
        </w:tc>
        <w:tc>
          <w:tcPr>
            <w:tcW w:type="dxa" w:w="1560"/>
          </w:tcPr>
          <w:p>
            <w:r>
              <w:rPr>
                <w:b/>
              </w:rPr>
              <w:t>2024</w:t>
            </w:r>
          </w:p>
        </w:tc>
        <w:tc>
          <w:tcPr>
            <w:tcW w:type="dxa" w:w="1560"/>
          </w:tcPr>
          <w:p>
            <w:r>
              <w:rPr>
                <w:b/>
              </w:rPr>
              <w:t>2025</w:t>
            </w:r>
          </w:p>
        </w:tc>
      </w:tr>
      <w:tr>
        <w:tc>
          <w:tcPr>
            <w:tcW w:type="dxa" w:w="1560"/>
          </w:tcPr>
          <w:p>
            <w:r>
              <w:rPr>
                <w:b/>
              </w:rPr>
              <w:t>Gross Margin</w:t>
            </w:r>
          </w:p>
        </w:tc>
        <w:tc>
          <w:tcPr>
            <w:tcW w:type="dxa" w:w="1560"/>
          </w:tcPr>
          <w:p>
            <w:r>
              <w:t>28.6%</w:t>
            </w:r>
          </w:p>
        </w:tc>
        <w:tc>
          <w:tcPr>
            <w:tcW w:type="dxa" w:w="1560"/>
          </w:tcPr>
          <w:p>
            <w:r>
              <w:t>30.8%</w:t>
            </w:r>
          </w:p>
        </w:tc>
        <w:tc>
          <w:tcPr>
            <w:tcW w:type="dxa" w:w="1560"/>
          </w:tcPr>
          <w:p>
            <w:r>
              <w:t>28.6%</w:t>
            </w:r>
          </w:p>
        </w:tc>
        <w:tc>
          <w:tcPr>
            <w:tcW w:type="dxa" w:w="1560"/>
          </w:tcPr>
          <w:p>
            <w:r>
              <w:t>27.4%</w:t>
            </w:r>
          </w:p>
        </w:tc>
        <w:tc>
          <w:tcPr>
            <w:tcW w:type="dxa" w:w="1560"/>
          </w:tcPr>
          <w:p>
            <w:r>
              <w:t>28.2%</w:t>
            </w:r>
          </w:p>
        </w:tc>
      </w:tr>
      <w:tr>
        <w:tc>
          <w:tcPr>
            <w:tcW w:type="dxa" w:w="1560"/>
          </w:tcPr>
          <w:p>
            <w:r>
              <w:rPr>
                <w:b/>
              </w:rPr>
              <w:t>Operating Margin</w:t>
            </w:r>
          </w:p>
        </w:tc>
        <w:tc>
          <w:tcPr>
            <w:tcW w:type="dxa" w:w="1560"/>
          </w:tcPr>
          <w:p>
            <w:r>
              <w:t>17.5%</w:t>
            </w:r>
          </w:p>
        </w:tc>
        <w:tc>
          <w:tcPr>
            <w:tcW w:type="dxa" w:w="1560"/>
          </w:tcPr>
          <w:p>
            <w:r>
              <w:t>23.9%</w:t>
            </w:r>
          </w:p>
        </w:tc>
        <w:tc>
          <w:tcPr>
            <w:tcW w:type="dxa" w:w="1560"/>
          </w:tcPr>
          <w:p>
            <w:r>
              <w:t>21.7%</w:t>
            </w:r>
          </w:p>
        </w:tc>
        <w:tc>
          <w:tcPr>
            <w:tcW w:type="dxa" w:w="1560"/>
          </w:tcPr>
          <w:p>
            <w:r>
              <w:t>21.2%</w:t>
            </w:r>
          </w:p>
        </w:tc>
        <w:tc>
          <w:tcPr>
            <w:tcW w:type="dxa" w:w="1560"/>
          </w:tcPr>
          <w:p>
            <w:r>
              <w:t>22.4%</w:t>
            </w:r>
          </w:p>
        </w:tc>
      </w:tr>
      <w:tr>
        <w:tc>
          <w:tcPr>
            <w:tcW w:type="dxa" w:w="1560"/>
          </w:tcPr>
          <w:p>
            <w:r>
              <w:rPr>
                <w:b/>
              </w:rPr>
              <w:t>Net Margin</w:t>
            </w:r>
          </w:p>
        </w:tc>
        <w:tc>
          <w:tcPr>
            <w:tcW w:type="dxa" w:w="1560"/>
          </w:tcPr>
          <w:p>
            <w:r>
              <w:t>7.0%</w:t>
            </w:r>
          </w:p>
        </w:tc>
        <w:tc>
          <w:tcPr>
            <w:tcW w:type="dxa" w:w="1560"/>
          </w:tcPr>
          <w:p>
            <w:r>
              <w:t>14.3%</w:t>
            </w:r>
          </w:p>
        </w:tc>
        <w:tc>
          <w:tcPr>
            <w:tcW w:type="dxa" w:w="1560"/>
          </w:tcPr>
          <w:p>
            <w:r>
              <w:t>11.2%</w:t>
            </w:r>
          </w:p>
        </w:tc>
        <w:tc>
          <w:tcPr>
            <w:tcW w:type="dxa" w:w="1560"/>
          </w:tcPr>
          <w:p>
            <w:r>
              <w:t>13.8%</w:t>
            </w:r>
          </w:p>
        </w:tc>
        <w:tc>
          <w:tcPr>
            <w:tcW w:type="dxa" w:w="1560"/>
          </w:tcPr>
          <w:p>
            <w:r>
              <w:t>12.1%</w:t>
            </w:r>
          </w:p>
        </w:tc>
      </w:tr>
      <w:tr>
        <w:tc>
          <w:tcPr>
            <w:tcW w:type="dxa" w:w="1560"/>
          </w:tcPr>
          <w:p>
            <w:r>
              <w:rPr>
                <w:b/>
              </w:rPr>
              <w:t>Current Ratio</w:t>
            </w:r>
          </w:p>
        </w:tc>
        <w:tc>
          <w:tcPr>
            <w:tcW w:type="dxa" w:w="1560"/>
          </w:tcPr>
          <w:p>
            <w:r>
              <w:t>1.46x</w:t>
            </w:r>
          </w:p>
        </w:tc>
        <w:tc>
          <w:tcPr>
            <w:tcW w:type="dxa" w:w="1560"/>
          </w:tcPr>
          <w:p>
            <w:r>
              <w:t>1.27x</w:t>
            </w:r>
          </w:p>
        </w:tc>
        <w:tc>
          <w:tcPr>
            <w:tcW w:type="dxa" w:w="1560"/>
          </w:tcPr>
          <w:p>
            <w:r>
              <w:t>1.04x</w:t>
            </w:r>
          </w:p>
        </w:tc>
        <w:tc>
          <w:tcPr>
            <w:tcW w:type="dxa" w:w="1560"/>
          </w:tcPr>
          <w:p>
            <w:r>
              <w:t>0.99x</w:t>
            </w:r>
          </w:p>
        </w:tc>
        <w:tc>
          <w:tcPr>
            <w:tcW w:type="dxa" w:w="1560"/>
          </w:tcPr>
          <w:p>
            <w:r>
              <w:t>0.98x</w:t>
            </w:r>
          </w:p>
        </w:tc>
      </w:tr>
      <w:tr>
        <w:tc>
          <w:tcPr>
            <w:tcW w:type="dxa" w:w="1560"/>
          </w:tcPr>
          <w:p>
            <w:r>
              <w:rPr>
                <w:b/>
              </w:rPr>
              <w:t>Quick Ratio</w:t>
            </w:r>
          </w:p>
        </w:tc>
        <w:tc>
          <w:tcPr>
            <w:tcW w:type="dxa" w:w="1560"/>
          </w:tcPr>
          <w:p>
            <w:r>
              <w:t>1.31x</w:t>
            </w:r>
          </w:p>
        </w:tc>
        <w:tc>
          <w:tcPr>
            <w:tcW w:type="dxa" w:w="1560"/>
          </w:tcPr>
          <w:p>
            <w:r>
              <w:t>1.16x</w:t>
            </w:r>
          </w:p>
        </w:tc>
        <w:tc>
          <w:tcPr>
            <w:tcW w:type="dxa" w:w="1560"/>
          </w:tcPr>
          <w:p>
            <w:r>
              <w:t>0.94x</w:t>
            </w:r>
          </w:p>
        </w:tc>
        <w:tc>
          <w:tcPr>
            <w:tcW w:type="dxa" w:w="1560"/>
          </w:tcPr>
          <w:p>
            <w:r>
              <w:t>0.90x</w:t>
            </w:r>
          </w:p>
        </w:tc>
        <w:tc>
          <w:tcPr>
            <w:tcW w:type="dxa" w:w="1560"/>
          </w:tcPr>
          <w:p>
            <w:r>
              <w:t>0.87x</w:t>
            </w:r>
          </w:p>
        </w:tc>
      </w:tr>
      <w:tr>
        <w:tc>
          <w:tcPr>
            <w:tcW w:type="dxa" w:w="1560"/>
          </w:tcPr>
          <w:p>
            <w:r>
              <w:rPr>
                <w:b/>
              </w:rPr>
              <w:t>Asset Turnover</w:t>
            </w:r>
          </w:p>
        </w:tc>
        <w:tc>
          <w:tcPr>
            <w:tcW w:type="dxa" w:w="1560"/>
          </w:tcPr>
          <w:p>
            <w:r>
              <w:t>0.37x</w:t>
            </w:r>
          </w:p>
        </w:tc>
        <w:tc>
          <w:tcPr>
            <w:tcW w:type="dxa" w:w="1560"/>
          </w:tcPr>
          <w:p>
            <w:r>
              <w:t>0.57x</w:t>
            </w:r>
          </w:p>
        </w:tc>
        <w:tc>
          <w:tcPr>
            <w:tcW w:type="dxa" w:w="1560"/>
          </w:tcPr>
          <w:p>
            <w:r>
              <w:t>0.66x</w:t>
            </w:r>
          </w:p>
        </w:tc>
        <w:tc>
          <w:tcPr>
            <w:tcW w:type="dxa" w:w="1560"/>
          </w:tcPr>
          <w:p>
            <w:r>
              <w:t>0.68x</w:t>
            </w:r>
          </w:p>
        </w:tc>
        <w:tc>
          <w:tcPr>
            <w:tcW w:type="dxa" w:w="1560"/>
          </w:tcPr>
          <w:p>
            <w:r>
              <w:t>0.72x</w:t>
            </w:r>
          </w:p>
        </w:tc>
      </w:tr>
      <w:tr>
        <w:tc>
          <w:tcPr>
            <w:tcW w:type="dxa" w:w="1560"/>
          </w:tcPr>
          <w:p>
            <w:r>
              <w:rPr>
                <w:b/>
              </w:rPr>
              <w:t>Interest Coverage</w:t>
            </w:r>
          </w:p>
        </w:tc>
        <w:tc>
          <w:tcPr>
            <w:tcW w:type="dxa" w:w="1560"/>
          </w:tcPr>
          <w:p>
            <w:r>
              <w:t>2.54x</w:t>
            </w:r>
          </w:p>
        </w:tc>
        <w:tc>
          <w:tcPr>
            <w:tcW w:type="dxa" w:w="1560"/>
          </w:tcPr>
          <w:p>
            <w:r>
              <w:t>5.05x</w:t>
            </w:r>
          </w:p>
        </w:tc>
        <w:tc>
          <w:tcPr>
            <w:tcW w:type="dxa" w:w="1560"/>
          </w:tcPr>
          <w:p>
            <w:r>
              <w:t>4.80x</w:t>
            </w:r>
          </w:p>
        </w:tc>
        <w:tc>
          <w:tcPr>
            <w:tcW w:type="dxa" w:w="1560"/>
          </w:tcPr>
          <w:p>
            <w:r>
              <w:t>4.17x</w:t>
            </w:r>
          </w:p>
        </w:tc>
        <w:tc>
          <w:tcPr>
            <w:tcW w:type="dxa" w:w="1560"/>
          </w:tcPr>
          <w:p>
            <w:r>
              <w:t>4.34x</w:t>
            </w:r>
          </w:p>
        </w:tc>
      </w:tr>
      <w:tr>
        <w:tc>
          <w:tcPr>
            <w:tcW w:type="dxa" w:w="1560"/>
          </w:tcPr>
          <w:p>
            <w:r>
              <w:rPr>
                <w:b/>
              </w:rPr>
              <w:t>Debt / Equity</w:t>
            </w:r>
          </w:p>
        </w:tc>
        <w:tc>
          <w:tcPr>
            <w:tcW w:type="dxa" w:w="1560"/>
          </w:tcPr>
          <w:p>
            <w:r>
              <w:t>-10.48x</w:t>
            </w:r>
          </w:p>
        </w:tc>
        <w:tc>
          <w:tcPr>
            <w:tcW w:type="dxa" w:w="1560"/>
          </w:tcPr>
          <w:p>
            <w:r>
              <w:t>-7.89x</w:t>
            </w:r>
          </w:p>
        </w:tc>
        <w:tc>
          <w:tcPr>
            <w:tcW w:type="dxa" w:w="1560"/>
          </w:tcPr>
          <w:p>
            <w:r>
              <w:t>-3.90x</w:t>
            </w:r>
          </w:p>
        </w:tc>
        <w:tc>
          <w:tcPr>
            <w:tcW w:type="dxa" w:w="1560"/>
          </w:tcPr>
          <w:p>
            <w:r>
              <w:t>-3.03x</w:t>
            </w:r>
          </w:p>
        </w:tc>
        <w:tc>
          <w:tcPr>
            <w:tcW w:type="dxa" w:w="1560"/>
          </w:tcPr>
          <w:p>
            <w:r>
              <w:t>-2.35x</w:t>
            </w:r>
          </w:p>
        </w:tc>
      </w:tr>
    </w:tbl>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