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CF0981" w14:textId="47662ECC" w:rsidR="00A26738" w:rsidRDefault="00A26738">
      <w:r>
        <w:t>Ashley Mc Fee</w:t>
      </w:r>
    </w:p>
    <w:p w14:paraId="3B06B019" w14:textId="77777777" w:rsidR="00A26738" w:rsidRDefault="00A26738"/>
    <w:p w14:paraId="0036A90E" w14:textId="62FC10FD" w:rsidR="00A26738" w:rsidRDefault="00A26738">
      <w:r>
        <w:t>Britain and the Great War</w:t>
      </w:r>
    </w:p>
    <w:p w14:paraId="46C62D18" w14:textId="77777777" w:rsidR="00A26738" w:rsidRDefault="00A26738"/>
    <w:p w14:paraId="52841985" w14:textId="08CA4366" w:rsidR="00A26738" w:rsidRDefault="00A26738">
      <w:r>
        <w:t>Dr Lester Mason</w:t>
      </w:r>
    </w:p>
    <w:p w14:paraId="5404AE0D" w14:textId="77777777" w:rsidR="00A26738" w:rsidRDefault="00A26738"/>
    <w:p w14:paraId="5FEA401D" w14:textId="6621F935" w:rsidR="00A26738" w:rsidRDefault="00A26738">
      <w:r>
        <w:t>05 May 2024</w:t>
      </w:r>
    </w:p>
    <w:p w14:paraId="18933105" w14:textId="77777777" w:rsidR="00A26738" w:rsidRDefault="00A26738"/>
    <w:p w14:paraId="3EB5B8BB" w14:textId="77777777" w:rsidR="00167671" w:rsidRPr="002474D8" w:rsidRDefault="00167671" w:rsidP="00167671">
      <w:pPr>
        <w:rPr>
          <w:b/>
          <w:bCs/>
          <w:sz w:val="28"/>
          <w:szCs w:val="28"/>
          <w:u w:val="single"/>
        </w:rPr>
      </w:pPr>
      <w:r w:rsidRPr="002474D8">
        <w:rPr>
          <w:b/>
          <w:bCs/>
          <w:sz w:val="28"/>
          <w:szCs w:val="28"/>
          <w:u w:val="single"/>
        </w:rPr>
        <w:t>Book Analysis</w:t>
      </w:r>
    </w:p>
    <w:p w14:paraId="5C7CB8AC" w14:textId="77777777" w:rsidR="00167671" w:rsidRDefault="00167671" w:rsidP="00167671">
      <w:pPr>
        <w:rPr>
          <w:b/>
          <w:bCs/>
          <w:u w:val="single"/>
        </w:rPr>
      </w:pPr>
    </w:p>
    <w:p w14:paraId="37C5770D" w14:textId="77777777" w:rsidR="00167671" w:rsidRPr="00AC4F36" w:rsidRDefault="00167671" w:rsidP="00167671">
      <w:pPr>
        <w:rPr>
          <w:b/>
          <w:bCs/>
          <w:sz w:val="28"/>
          <w:szCs w:val="28"/>
          <w:u w:val="single"/>
        </w:rPr>
      </w:pPr>
      <w:r w:rsidRPr="00AC4F36">
        <w:rPr>
          <w:b/>
          <w:bCs/>
          <w:sz w:val="28"/>
          <w:szCs w:val="28"/>
          <w:u w:val="single"/>
        </w:rPr>
        <w:t>Book:</w:t>
      </w:r>
    </w:p>
    <w:p w14:paraId="2D74FC06" w14:textId="77777777" w:rsidR="00167671" w:rsidRPr="00AC4F36" w:rsidRDefault="00167671" w:rsidP="00167671">
      <w:pPr>
        <w:rPr>
          <w:b/>
          <w:bCs/>
        </w:rPr>
      </w:pPr>
      <w:r w:rsidRPr="00AC4F36">
        <w:rPr>
          <w:b/>
          <w:bCs/>
        </w:rPr>
        <w:t>The Great War, Memory and Ritual: Commemoration in the City and East London, 1916-1939</w:t>
      </w:r>
    </w:p>
    <w:p w14:paraId="7BF544E6" w14:textId="77777777" w:rsidR="00167671" w:rsidRDefault="00167671" w:rsidP="00167671"/>
    <w:p w14:paraId="0B6119C7" w14:textId="77777777" w:rsidR="00167671" w:rsidRDefault="00167671" w:rsidP="00167671">
      <w:r>
        <w:t>The physical copy of the book was published by Boydell and Brewer, Historical Society in 2002 and the eBook in 2023. It covers the historical response of society through memorialisation and commemoration of fallen soldiers during the Great War. It contains how families have decided to uphold the memory of the families who fought in the war, in London and other cities. There are no other versions of the book other than those listed above.</w:t>
      </w:r>
    </w:p>
    <w:p w14:paraId="2726A243" w14:textId="77777777" w:rsidR="00167671" w:rsidRDefault="00167671" w:rsidP="00167671"/>
    <w:p w14:paraId="102BBC4F" w14:textId="77777777" w:rsidR="00167671" w:rsidRPr="00167671" w:rsidRDefault="00167671" w:rsidP="00167671">
      <w:pPr>
        <w:rPr>
          <w:b/>
          <w:bCs/>
          <w:sz w:val="28"/>
          <w:szCs w:val="28"/>
          <w:u w:val="single"/>
        </w:rPr>
      </w:pPr>
      <w:r w:rsidRPr="00167671">
        <w:rPr>
          <w:b/>
          <w:bCs/>
          <w:sz w:val="28"/>
          <w:szCs w:val="28"/>
          <w:u w:val="single"/>
        </w:rPr>
        <w:t>Author:</w:t>
      </w:r>
    </w:p>
    <w:p w14:paraId="78E3DF9D" w14:textId="77777777" w:rsidR="00167671" w:rsidRDefault="00167671" w:rsidP="00167671"/>
    <w:p w14:paraId="59067DB9" w14:textId="77777777" w:rsidR="00167671" w:rsidRDefault="00167671" w:rsidP="00167671">
      <w:r>
        <w:t xml:space="preserve">Mark Connelly is well equipped with the knowledge to comment on how commemoration occurred by families and communities after World War One as he does in his book. As a military historian and a professor at the University of Kent, Connelly is adept in the history of the Great War and subsequent wars. He demonstrates his versatility in his other book, </w:t>
      </w:r>
      <w:r w:rsidRPr="00C97AD0">
        <w:rPr>
          <w:i/>
          <w:iCs/>
        </w:rPr>
        <w:t>We Can Take It! Britain and the memory of the Second World War</w:t>
      </w:r>
      <w:r>
        <w:t xml:space="preserve">. His preoccupation appears to be how the wars were memorialised especially in England. </w:t>
      </w:r>
    </w:p>
    <w:p w14:paraId="69120D6D" w14:textId="77777777" w:rsidR="00167671" w:rsidRDefault="00167671" w:rsidP="00167671"/>
    <w:p w14:paraId="749A0C06" w14:textId="77777777" w:rsidR="00167671" w:rsidRPr="00167671" w:rsidRDefault="00167671" w:rsidP="00167671">
      <w:pPr>
        <w:rPr>
          <w:b/>
          <w:bCs/>
          <w:sz w:val="28"/>
          <w:szCs w:val="28"/>
          <w:u w:val="single"/>
        </w:rPr>
      </w:pPr>
      <w:r w:rsidRPr="00167671">
        <w:rPr>
          <w:b/>
          <w:bCs/>
          <w:sz w:val="28"/>
          <w:szCs w:val="28"/>
          <w:u w:val="single"/>
        </w:rPr>
        <w:t>Subject Matter:</w:t>
      </w:r>
    </w:p>
    <w:p w14:paraId="54CC44EE" w14:textId="77777777" w:rsidR="00167671" w:rsidRDefault="00167671" w:rsidP="00167671">
      <w:pPr>
        <w:rPr>
          <w:b/>
          <w:bCs/>
          <w:u w:val="single"/>
        </w:rPr>
      </w:pPr>
    </w:p>
    <w:p w14:paraId="3B7D36F4" w14:textId="77777777" w:rsidR="00167671" w:rsidRDefault="00167671" w:rsidP="00167671">
      <w:r>
        <w:t>The purpose of the book is to dissect memorialisation and commemoration from within the cities of England, focusing on the importance of bereavement from the standpoint of social and economic diversity. He positions his work within the same context as Jay Winter and Adrian Gregory, however, he believes that they ‘use a broad brush covering the entire nation and in Winter’s case the empire and Europe’</w:t>
      </w:r>
      <w:r>
        <w:rPr>
          <w:rStyle w:val="FootnoteReference"/>
        </w:rPr>
        <w:footnoteReference w:id="1"/>
      </w:r>
      <w:r>
        <w:t xml:space="preserve"> which he wants to separate himself from by keeping his assessment in a small focus group. He claims to want to separate his view of war in the book from that of the popularised interpretation of it.</w:t>
      </w:r>
      <w:r>
        <w:rPr>
          <w:rStyle w:val="FootnoteReference"/>
        </w:rPr>
        <w:footnoteReference w:id="2"/>
      </w:r>
      <w:r>
        <w:t xml:space="preserve"> He does not believe that historians who have spoken about the war made significant mention of the memorials of war. He does so by criticising Paul Fussell’s lack of concern for war memorials. Connelly’s fixed attention on commemoration in the book is to give it the value that it deserves; seeing it as simply the point to remember those who died and maintaining that they would be remembered. While he commends the work of those who have written extensively about war memorials, he believes that his work separates itself from theirs:</w:t>
      </w:r>
    </w:p>
    <w:p w14:paraId="4DB1F5F9" w14:textId="77777777" w:rsidR="00167671" w:rsidRDefault="00167671" w:rsidP="00167671"/>
    <w:p w14:paraId="3F36284D" w14:textId="77777777" w:rsidR="00167671" w:rsidRDefault="00167671" w:rsidP="00167671">
      <w:pPr>
        <w:ind w:left="720"/>
      </w:pPr>
      <w:r>
        <w:t>…unlike the works already mentioned, which take the form of general surveys, is firmly fixed in location…They are not, however, concerned with the direct shadow of human loss…</w:t>
      </w:r>
      <w:r>
        <w:rPr>
          <w:rStyle w:val="FootnoteReference"/>
        </w:rPr>
        <w:footnoteReference w:id="3"/>
      </w:r>
    </w:p>
    <w:p w14:paraId="1BB4D975" w14:textId="77777777" w:rsidR="00167671" w:rsidRDefault="00167671" w:rsidP="00167671"/>
    <w:p w14:paraId="04071BEC" w14:textId="77777777" w:rsidR="00167671" w:rsidRDefault="00167671" w:rsidP="00167671">
      <w:r>
        <w:t>He focuses on East London and metropolitan Essex because it was a condensed zone with diversity in aspects of society:</w:t>
      </w:r>
    </w:p>
    <w:p w14:paraId="1FC6EBFA" w14:textId="77777777" w:rsidR="00167671" w:rsidRDefault="00167671" w:rsidP="00167671"/>
    <w:p w14:paraId="2D5794FD" w14:textId="77777777" w:rsidR="00167671" w:rsidRDefault="00167671" w:rsidP="00167671">
      <w:pPr>
        <w:ind w:left="720"/>
      </w:pPr>
      <w:r>
        <w:t>It was, and still is extraordinary in its racial mix, matched by no other district: it also exhibited a wide variety of social and economic conditions…</w:t>
      </w:r>
      <w:r>
        <w:rPr>
          <w:rStyle w:val="FootnoteReference"/>
        </w:rPr>
        <w:footnoteReference w:id="4"/>
      </w:r>
    </w:p>
    <w:p w14:paraId="13FB661C" w14:textId="77777777" w:rsidR="00167671" w:rsidRDefault="00167671" w:rsidP="00167671"/>
    <w:p w14:paraId="2E88FC7E" w14:textId="77777777" w:rsidR="00167671" w:rsidRDefault="00167671" w:rsidP="00167671">
      <w:r>
        <w:t>Connelly wants to comment on the importance of memorialisation within communities rather than as an exhibition of self-interest. He wants to see how families relate to the ideas of commemorating and keeping the essence of the soldiers they lost alive, ‘not simply to satisfy some romantic or nostalgic whim’</w:t>
      </w:r>
      <w:r>
        <w:rPr>
          <w:rStyle w:val="FootnoteReference"/>
        </w:rPr>
        <w:footnoteReference w:id="5"/>
      </w:r>
      <w:r>
        <w:t>. Connelly’s strength in his work is compartmentalising the source of memorialisation, which is narrowing his efforts into a confined group.</w:t>
      </w:r>
    </w:p>
    <w:p w14:paraId="584B29B7" w14:textId="77777777" w:rsidR="00167671" w:rsidRDefault="00167671" w:rsidP="00167671"/>
    <w:p w14:paraId="568C374F" w14:textId="77777777" w:rsidR="00167671" w:rsidRPr="00167671" w:rsidRDefault="00167671" w:rsidP="00167671">
      <w:pPr>
        <w:rPr>
          <w:b/>
          <w:bCs/>
          <w:sz w:val="28"/>
          <w:szCs w:val="28"/>
          <w:u w:val="single"/>
        </w:rPr>
      </w:pPr>
      <w:r w:rsidRPr="00167671">
        <w:rPr>
          <w:b/>
          <w:bCs/>
          <w:sz w:val="28"/>
          <w:szCs w:val="28"/>
          <w:u w:val="single"/>
        </w:rPr>
        <w:t>Content Analysis:</w:t>
      </w:r>
    </w:p>
    <w:p w14:paraId="5C32A5C4" w14:textId="77777777" w:rsidR="00167671" w:rsidRDefault="00167671" w:rsidP="00167671">
      <w:pPr>
        <w:rPr>
          <w:b/>
          <w:bCs/>
          <w:u w:val="single"/>
        </w:rPr>
      </w:pPr>
    </w:p>
    <w:p w14:paraId="1E0E48C4" w14:textId="77777777" w:rsidR="00167671" w:rsidRDefault="00167671" w:rsidP="00167671">
      <w:r>
        <w:t>Mark Connelly divides his work into two sections, the first covering the Iconography of war memorials and the second Armistice Day commemoration. Connelly opens his work by astutely presenting the statistical representation of the diverse religious and economic backgrounds of East London areas; that is Ilford, East Ham, West Ham, Poplar, Stepney and Bethnal Green, as well as Romford. He discusses the importance of shrines which started in 1916 as a form of memorialisation, drawing back to ‘The first memorial activity of note… in the form of street war shrines.’</w:t>
      </w:r>
      <w:r>
        <w:rPr>
          <w:rStyle w:val="FootnoteReference"/>
        </w:rPr>
        <w:footnoteReference w:id="6"/>
      </w:r>
      <w:r>
        <w:t xml:space="preserve">  He says:</w:t>
      </w:r>
    </w:p>
    <w:p w14:paraId="250A44A5" w14:textId="77777777" w:rsidR="00167671" w:rsidRDefault="00167671" w:rsidP="00167671"/>
    <w:p w14:paraId="15F845AF" w14:textId="77777777" w:rsidR="00167671" w:rsidRPr="00E958C2" w:rsidRDefault="00167671" w:rsidP="00167671">
      <w:pPr>
        <w:ind w:left="720"/>
      </w:pPr>
      <w:r>
        <w:t>Crucially, the shrines reflected a desire to turn the sublime and abstract emotions of grief, pride and hope into tangible symbols; and the precedents and patterns set at this time provided the blueprint for the permanent memorials erected at the end of war.</w:t>
      </w:r>
      <w:r>
        <w:rPr>
          <w:rStyle w:val="FootnoteReference"/>
        </w:rPr>
        <w:footnoteReference w:id="7"/>
      </w:r>
    </w:p>
    <w:p w14:paraId="709618F2" w14:textId="77777777" w:rsidR="00167671" w:rsidRDefault="00167671" w:rsidP="00167671"/>
    <w:p w14:paraId="4947FBF7" w14:textId="77777777" w:rsidR="00167671" w:rsidRDefault="00167671" w:rsidP="00167671">
      <w:r>
        <w:t xml:space="preserve">This is his way of saying that memorials like shrines were temporary yet physical illustrations of remembrance for those who died in the war, and whose bodies did not return. It was a means of grieving the loss through physical representation; they were a source of comfort to families. Connelly highlights how communities came together to erect shrines which bore the names of dead soldiers and those who were in combat. </w:t>
      </w:r>
    </w:p>
    <w:p w14:paraId="699A1CE7" w14:textId="77777777" w:rsidR="00167671" w:rsidRDefault="00167671" w:rsidP="00167671"/>
    <w:p w14:paraId="5853B284" w14:textId="77777777" w:rsidR="00167671" w:rsidRDefault="00167671" w:rsidP="00167671">
      <w:r>
        <w:t>He goes on to show the evolution of shrines from street memorials to memorials located within different social parts of society; that is the church and schools. Connelly comments on the church and spirituality as vital to commemoration as he points out:</w:t>
      </w:r>
    </w:p>
    <w:p w14:paraId="1DF461AC" w14:textId="77777777" w:rsidR="00167671" w:rsidRDefault="00167671" w:rsidP="00167671"/>
    <w:p w14:paraId="4353D6A8" w14:textId="77777777" w:rsidR="00167671" w:rsidRDefault="00167671" w:rsidP="00167671">
      <w:pPr>
        <w:ind w:left="720"/>
      </w:pPr>
      <w:r>
        <w:t xml:space="preserve">It was not the spiritual element that made the Churches important, however, for they were also symbols of community and friendship: they made up an extended family </w:t>
      </w:r>
      <w:r>
        <w:lastRenderedPageBreak/>
        <w:t>that included patriarchal and trusted figures. Religion and the Churches provided a sense of belonging and interdependence.</w:t>
      </w:r>
      <w:r>
        <w:rPr>
          <w:rStyle w:val="FootnoteReference"/>
        </w:rPr>
        <w:footnoteReference w:id="8"/>
      </w:r>
    </w:p>
    <w:p w14:paraId="025EB657" w14:textId="77777777" w:rsidR="00167671" w:rsidRDefault="00167671" w:rsidP="00167671"/>
    <w:p w14:paraId="0685C9C7" w14:textId="77777777" w:rsidR="00167671" w:rsidRDefault="00167671" w:rsidP="00167671">
      <w:r>
        <w:t xml:space="preserve">It reiterates his point of community, but also enforces the idea that Churches are a source of identity as many soldiers and families are a part of the church. The Church made it their responsibility to assist with the memorialisation of these soldiers by erecting memorials in the buildings. It shows the reason why Connelly discusses the religious population in his book, in many instances, these soldiers were religious and played a role in the Church. </w:t>
      </w:r>
    </w:p>
    <w:p w14:paraId="559A842D" w14:textId="77777777" w:rsidR="00167671" w:rsidRDefault="00167671" w:rsidP="00167671"/>
    <w:p w14:paraId="23CD9B9D" w14:textId="77777777" w:rsidR="00167671" w:rsidRDefault="00167671" w:rsidP="00167671">
      <w:r>
        <w:t>Connelly points out what seems to be the problem with memorials in schools and as exhibitions rather than a sign of bereavement. Whereas Churches and shrines see these memorials as a means to remember the soldiers as humans and integral parts of their community, the wider public and authoritarian figures see them as teachable moments; as moments of inspiration to create patriots. Connelly comments significantly on such ideas:</w:t>
      </w:r>
    </w:p>
    <w:p w14:paraId="21D7A875" w14:textId="77777777" w:rsidR="00167671" w:rsidRDefault="00167671" w:rsidP="00167671"/>
    <w:p w14:paraId="696662D9" w14:textId="77777777" w:rsidR="00167671" w:rsidRDefault="00167671" w:rsidP="00167671">
      <w:pPr>
        <w:ind w:left="720"/>
      </w:pPr>
      <w:r>
        <w:t>A whole set of didactic impositions came with memorials in schools and clubs: the community was defined by its shared values and the memorial was glorious proof of their worth. These concepts were to be passed on to the successors of the dead, Duty was the key word.</w:t>
      </w:r>
      <w:r>
        <w:rPr>
          <w:rStyle w:val="FootnoteReference"/>
        </w:rPr>
        <w:footnoteReference w:id="9"/>
      </w:r>
    </w:p>
    <w:p w14:paraId="17EB1093" w14:textId="77777777" w:rsidR="00167671" w:rsidRDefault="00167671" w:rsidP="00167671"/>
    <w:p w14:paraId="2FE7A6E7" w14:textId="77777777" w:rsidR="00167671" w:rsidRDefault="00167671" w:rsidP="00167671">
      <w:r>
        <w:t>These conventions are a reflection of the romanticising that he does not want people to view his work as. It is also a convention of war that Wilfred Owen alludes to in his poem ‘</w:t>
      </w:r>
      <w:r w:rsidRPr="00344322">
        <w:rPr>
          <w:i/>
          <w:iCs/>
        </w:rPr>
        <w:t>Dulce et Decorum est</w:t>
      </w:r>
      <w:r>
        <w:rPr>
          <w:i/>
          <w:iCs/>
        </w:rPr>
        <w:t>.</w:t>
      </w:r>
      <w:r w:rsidRPr="00344322">
        <w:rPr>
          <w:i/>
          <w:iCs/>
        </w:rPr>
        <w:t>’</w:t>
      </w:r>
      <w:r>
        <w:rPr>
          <w:i/>
          <w:iCs/>
        </w:rPr>
        <w:t xml:space="preserve"> </w:t>
      </w:r>
      <w:r>
        <w:t xml:space="preserve">Unlike Owen, Connelly does not provide the basis that people see the death and memorials of soldiers only as it is from outside of the war and not as it is in the combat zone. This proves to be the weakness, of Connelly’s work, in part due to his idealism in portraying the war and its memorial as statistics and well-researched documentation of commemoration and outside the popularised version of history. This is not a comparison of their positions as authors or their work but of their position of experience. </w:t>
      </w:r>
    </w:p>
    <w:p w14:paraId="64FABB0A" w14:textId="77777777" w:rsidR="00167671" w:rsidRDefault="00167671" w:rsidP="00167671"/>
    <w:p w14:paraId="01E667A5" w14:textId="77777777" w:rsidR="00167671" w:rsidRDefault="00167671" w:rsidP="00167671">
      <w:r>
        <w:t>In the second part of the book, Connelly comments on the Armistice Day commemoration which is significant in honouring the end of World War One. He dwells on how the first time it was recognised the eagerness of the public to observe such a historic moment.</w:t>
      </w:r>
    </w:p>
    <w:p w14:paraId="7F22E5D3" w14:textId="77777777" w:rsidR="00167671" w:rsidRDefault="00167671" w:rsidP="00167671"/>
    <w:p w14:paraId="78D7DB65" w14:textId="77777777" w:rsidR="00167671" w:rsidRDefault="00167671" w:rsidP="00167671">
      <w:pPr>
        <w:ind w:left="720"/>
      </w:pPr>
      <w:r>
        <w:t xml:space="preserve">In Ilford, the start of the silence was heralded by the maroons at the police station and the hooter of the </w:t>
      </w:r>
      <w:r>
        <w:rPr>
          <w:i/>
          <w:iCs/>
        </w:rPr>
        <w:t>Ilford Recorder</w:t>
      </w:r>
      <w:r>
        <w:t xml:space="preserve"> works, The </w:t>
      </w:r>
      <w:r w:rsidRPr="0092069C">
        <w:rPr>
          <w:i/>
          <w:iCs/>
        </w:rPr>
        <w:t>Recorder</w:t>
      </w:r>
      <w:r>
        <w:rPr>
          <w:i/>
          <w:iCs/>
        </w:rPr>
        <w:t xml:space="preserve"> </w:t>
      </w:r>
      <w:r>
        <w:t>noted that ‘most people were in the streets or at their doors awaiting the stroke of eleven.’ This is an important point as it reveals that the silence was perceived as an active and communal event, not something to be done at home, but a public expression.</w:t>
      </w:r>
      <w:r>
        <w:rPr>
          <w:rStyle w:val="FootnoteReference"/>
        </w:rPr>
        <w:footnoteReference w:id="10"/>
      </w:r>
    </w:p>
    <w:p w14:paraId="0C089952" w14:textId="77777777" w:rsidR="00167671" w:rsidRDefault="00167671" w:rsidP="00167671"/>
    <w:p w14:paraId="40EE9A5B" w14:textId="77777777" w:rsidR="00167671" w:rsidRPr="00440002" w:rsidRDefault="00167671" w:rsidP="00167671">
      <w:r>
        <w:t xml:space="preserve">He covers Armistice Day in a four-part series as he discusses </w:t>
      </w:r>
      <w:r>
        <w:rPr>
          <w:i/>
          <w:iCs/>
        </w:rPr>
        <w:t xml:space="preserve">Laying the Foundations, 1919-1921, </w:t>
      </w:r>
      <w:r>
        <w:t>and the reception of the event in the different areas and highlights how some saw it as a community activity while others questioned the longevity of the event., –</w:t>
      </w:r>
      <w:r>
        <w:rPr>
          <w:i/>
          <w:iCs/>
        </w:rPr>
        <w:t xml:space="preserve">The Years Rich in Imagery, 1922-1929, </w:t>
      </w:r>
      <w:r w:rsidRPr="00440002">
        <w:t>which</w:t>
      </w:r>
      <w:r>
        <w:rPr>
          <w:i/>
          <w:iCs/>
        </w:rPr>
        <w:t xml:space="preserve"> </w:t>
      </w:r>
      <w:r>
        <w:t xml:space="preserve">covers the evolution of Armistice Day into a serious time of reflection, then he reflects on </w:t>
      </w:r>
      <w:r>
        <w:rPr>
          <w:i/>
          <w:iCs/>
        </w:rPr>
        <w:t xml:space="preserve">The Years of Flux 1930-1935, </w:t>
      </w:r>
      <w:r>
        <w:t xml:space="preserve">a period where Armistice Day needed to be reconsidered through other lenses. He addresses the themes and factors that need to be reconsidered in order to give true meaning to the ritual. He then covers the Armistice Day leading up to the Second World War and the role it played in the preparation </w:t>
      </w:r>
      <w:r>
        <w:lastRenderedPageBreak/>
        <w:t>for the war as he says, ‘it was a great agent of national cohesion when people were brought together and presented with largely reassuring messages of duty and obedience.’</w:t>
      </w:r>
      <w:r>
        <w:rPr>
          <w:rStyle w:val="FootnoteReference"/>
        </w:rPr>
        <w:footnoteReference w:id="11"/>
      </w:r>
    </w:p>
    <w:p w14:paraId="1CA47E69" w14:textId="77777777" w:rsidR="00167671" w:rsidRDefault="00167671" w:rsidP="00167671"/>
    <w:p w14:paraId="5A3F0528" w14:textId="3AF4A7E1" w:rsidR="00167671" w:rsidRDefault="00167671">
      <w:r>
        <w:t xml:space="preserve">Connelly’s work expresses the importance and acceptance of the memorial within and surrounding East London especially within the confines of religious and social backgrounds. He addresses the community aspect of these memorials and how different aspects of society accepted them for more than their intended purposes. </w:t>
      </w:r>
    </w:p>
    <w:p w14:paraId="63C2904B" w14:textId="77777777" w:rsidR="00167671" w:rsidRDefault="00167671"/>
    <w:p w14:paraId="745268D6" w14:textId="39948513" w:rsidR="00167671" w:rsidRDefault="00167671">
      <w:r>
        <w:br w:type="page"/>
      </w:r>
    </w:p>
    <w:p w14:paraId="11C208B1" w14:textId="77777777" w:rsidR="00A26738" w:rsidRDefault="00A26738"/>
    <w:p w14:paraId="17A8A335" w14:textId="61CC43D0" w:rsidR="00A26738" w:rsidRPr="00167671" w:rsidRDefault="00A26738">
      <w:pPr>
        <w:rPr>
          <w:b/>
          <w:bCs/>
          <w:sz w:val="28"/>
          <w:szCs w:val="28"/>
        </w:rPr>
      </w:pPr>
      <w:r w:rsidRPr="00167671">
        <w:rPr>
          <w:sz w:val="28"/>
          <w:szCs w:val="28"/>
        </w:rPr>
        <w:t xml:space="preserve">Document Report: </w:t>
      </w:r>
      <w:r w:rsidRPr="00167671">
        <w:rPr>
          <w:b/>
          <w:bCs/>
          <w:sz w:val="28"/>
          <w:szCs w:val="28"/>
        </w:rPr>
        <w:t xml:space="preserve">Dulce et Decorum </w:t>
      </w:r>
      <w:proofErr w:type="spellStart"/>
      <w:r w:rsidRPr="00167671">
        <w:rPr>
          <w:b/>
          <w:bCs/>
          <w:sz w:val="28"/>
          <w:szCs w:val="28"/>
        </w:rPr>
        <w:t>est</w:t>
      </w:r>
      <w:proofErr w:type="spellEnd"/>
      <w:r w:rsidRPr="00167671">
        <w:rPr>
          <w:b/>
          <w:bCs/>
          <w:sz w:val="28"/>
          <w:szCs w:val="28"/>
        </w:rPr>
        <w:t xml:space="preserve"> by Wilfred Owen</w:t>
      </w:r>
    </w:p>
    <w:p w14:paraId="2731EA01" w14:textId="77777777" w:rsidR="00A26738" w:rsidRDefault="00A26738">
      <w:pPr>
        <w:rPr>
          <w:b/>
          <w:bCs/>
        </w:rPr>
      </w:pPr>
    </w:p>
    <w:p w14:paraId="0CC0A25B" w14:textId="630F768D" w:rsidR="00A26738" w:rsidRPr="00167671" w:rsidRDefault="009D63D2">
      <w:pPr>
        <w:rPr>
          <w:b/>
          <w:bCs/>
          <w:sz w:val="28"/>
          <w:szCs w:val="28"/>
          <w:u w:val="single"/>
        </w:rPr>
      </w:pPr>
      <w:r w:rsidRPr="00167671">
        <w:rPr>
          <w:b/>
          <w:bCs/>
          <w:sz w:val="28"/>
          <w:szCs w:val="28"/>
          <w:u w:val="single"/>
        </w:rPr>
        <w:t>Background</w:t>
      </w:r>
    </w:p>
    <w:p w14:paraId="3D588405" w14:textId="77777777" w:rsidR="009D63D2" w:rsidRDefault="009D63D2">
      <w:pPr>
        <w:rPr>
          <w:b/>
          <w:bCs/>
          <w:u w:val="single"/>
        </w:rPr>
      </w:pPr>
    </w:p>
    <w:p w14:paraId="766181DF" w14:textId="629C9071" w:rsidR="000245F4" w:rsidRDefault="00994280" w:rsidP="00994280">
      <w:r>
        <w:t xml:space="preserve">Wilfred Owen a soldier and poet, wrote </w:t>
      </w:r>
      <w:r>
        <w:rPr>
          <w:i/>
          <w:iCs/>
        </w:rPr>
        <w:t xml:space="preserve">Dulce et Decorum </w:t>
      </w:r>
      <w:proofErr w:type="spellStart"/>
      <w:r>
        <w:rPr>
          <w:i/>
          <w:iCs/>
        </w:rPr>
        <w:t>est</w:t>
      </w:r>
      <w:proofErr w:type="spellEnd"/>
      <w:r>
        <w:rPr>
          <w:i/>
          <w:iCs/>
        </w:rPr>
        <w:t xml:space="preserve"> </w:t>
      </w:r>
      <w:r>
        <w:t xml:space="preserve">as a means of illustrating the experiences of many soldiers during World War One. In this poem, he articulates their encounter and the death of a soldier from a </w:t>
      </w:r>
      <w:r w:rsidR="006332AF">
        <w:t xml:space="preserve">chlorine </w:t>
      </w:r>
      <w:r>
        <w:t xml:space="preserve">gas attack. </w:t>
      </w:r>
      <w:r w:rsidR="006332AF">
        <w:t xml:space="preserve">Owen sent the poem to his </w:t>
      </w:r>
      <w:r w:rsidR="00167671">
        <w:t>mother,</w:t>
      </w:r>
      <w:r w:rsidR="006332AF">
        <w:t xml:space="preserve"> and it was dated 8 October 1917.</w:t>
      </w:r>
      <w:r w:rsidR="009E0391">
        <w:t xml:space="preserve"> Owen experienced World War One </w:t>
      </w:r>
      <w:r w:rsidR="00167671">
        <w:t>first-hand</w:t>
      </w:r>
      <w:r w:rsidR="009E0391">
        <w:t xml:space="preserve"> and documents these experiences within his literature.</w:t>
      </w:r>
      <w:r w:rsidR="006F1DF1">
        <w:t xml:space="preserve"> </w:t>
      </w:r>
    </w:p>
    <w:p w14:paraId="2F3A8319" w14:textId="72C41984" w:rsidR="006F1DF1" w:rsidRDefault="006F1DF1" w:rsidP="00994280">
      <w:r>
        <w:tab/>
      </w:r>
    </w:p>
    <w:p w14:paraId="5A15BBF0" w14:textId="61FCDB52" w:rsidR="006F1DF1" w:rsidRDefault="006F1DF1" w:rsidP="006F1DF1">
      <w:pPr>
        <w:ind w:left="720"/>
      </w:pPr>
      <w:r>
        <w:t>Wilfred Owen was always close to his mother. The apron strings were never cut – not even by the bullets of the Western Front.</w:t>
      </w:r>
      <w:r>
        <w:rPr>
          <w:rStyle w:val="FootnoteReference"/>
        </w:rPr>
        <w:footnoteReference w:id="12"/>
      </w:r>
    </w:p>
    <w:p w14:paraId="3161D425" w14:textId="77777777" w:rsidR="006F1DF1" w:rsidRDefault="006F1DF1" w:rsidP="006F1DF1"/>
    <w:p w14:paraId="533AED51" w14:textId="6AAEE184" w:rsidR="006F1DF1" w:rsidRDefault="006F1DF1" w:rsidP="006F1DF1">
      <w:r>
        <w:t xml:space="preserve">He wrote many of his poems to his mother and stayed close to her before his death. This relationship was one that he held onto </w:t>
      </w:r>
      <w:r w:rsidR="006961DA">
        <w:t>during the war probably because it was a reminder that he was still a son and human before soldier, especially having to experience the grimness of war.</w:t>
      </w:r>
    </w:p>
    <w:p w14:paraId="618B1D32" w14:textId="77777777" w:rsidR="006332AF" w:rsidRDefault="006332AF" w:rsidP="00994280"/>
    <w:p w14:paraId="6717B305" w14:textId="3E2462CA" w:rsidR="006332AF" w:rsidRPr="00167671" w:rsidRDefault="006332AF" w:rsidP="00994280">
      <w:pPr>
        <w:rPr>
          <w:b/>
          <w:bCs/>
          <w:sz w:val="28"/>
          <w:szCs w:val="28"/>
          <w:u w:val="single"/>
        </w:rPr>
      </w:pPr>
      <w:r w:rsidRPr="00167671">
        <w:rPr>
          <w:b/>
          <w:bCs/>
          <w:sz w:val="28"/>
          <w:szCs w:val="28"/>
          <w:u w:val="single"/>
        </w:rPr>
        <w:t>Context and Content</w:t>
      </w:r>
    </w:p>
    <w:p w14:paraId="23150452" w14:textId="77777777" w:rsidR="000245F4" w:rsidRDefault="000245F4">
      <w:pPr>
        <w:rPr>
          <w:b/>
          <w:bCs/>
          <w:u w:val="single"/>
        </w:rPr>
      </w:pPr>
    </w:p>
    <w:p w14:paraId="3F247135" w14:textId="270B0E2E" w:rsidR="000245F4" w:rsidRDefault="000245F4" w:rsidP="000245F4">
      <w:pPr>
        <w:pStyle w:val="ListParagraph"/>
        <w:numPr>
          <w:ilvl w:val="0"/>
          <w:numId w:val="1"/>
        </w:numPr>
        <w:rPr>
          <w:b/>
          <w:bCs/>
          <w:u w:val="single"/>
        </w:rPr>
      </w:pPr>
      <w:r>
        <w:rPr>
          <w:b/>
          <w:bCs/>
          <w:u w:val="single"/>
        </w:rPr>
        <w:t>Imagery</w:t>
      </w:r>
    </w:p>
    <w:p w14:paraId="14296A03" w14:textId="77777777" w:rsidR="000245F4" w:rsidRDefault="000245F4" w:rsidP="000245F4">
      <w:pPr>
        <w:pStyle w:val="ListParagraph"/>
        <w:rPr>
          <w:b/>
          <w:bCs/>
          <w:u w:val="single"/>
        </w:rPr>
      </w:pPr>
    </w:p>
    <w:p w14:paraId="044B27FD" w14:textId="265457E1" w:rsidR="000245F4" w:rsidRDefault="000245F4" w:rsidP="000245F4">
      <w:r>
        <w:t xml:space="preserve">Owen does not spare the imagination of what the World War looked like from the inside. He goes into vivid detail about the horrors of war soldiers had to endure. In the poem, Owen is describing a time when they were already wounded and </w:t>
      </w:r>
      <w:r w:rsidR="002830AD">
        <w:t>forced</w:t>
      </w:r>
      <w:r>
        <w:t xml:space="preserve"> to fend off a gas attack. He highlights that they were caught off guard and in demonstrating this in the poem he gives a visual of a fellow soldier unable to dress his gas mask as quickly as others. He says:</w:t>
      </w:r>
    </w:p>
    <w:p w14:paraId="277A78CC" w14:textId="77777777" w:rsidR="002830AD" w:rsidRDefault="000245F4" w:rsidP="000245F4">
      <w:r>
        <w:tab/>
      </w:r>
    </w:p>
    <w:p w14:paraId="7625D247" w14:textId="0CBC1B92" w:rsidR="000245F4" w:rsidRDefault="000245F4" w:rsidP="002830AD">
      <w:pPr>
        <w:ind w:firstLine="720"/>
      </w:pPr>
      <w:r>
        <w:t>But someone still was yelling out and stumbling</w:t>
      </w:r>
    </w:p>
    <w:p w14:paraId="37FD9983" w14:textId="19A59FD2" w:rsidR="000245F4" w:rsidRDefault="000245F4" w:rsidP="000245F4">
      <w:r>
        <w:tab/>
        <w:t>And floundering like a man in fire or lime</w:t>
      </w:r>
      <w:r>
        <w:rPr>
          <w:rStyle w:val="FootnoteReference"/>
        </w:rPr>
        <w:footnoteReference w:id="13"/>
      </w:r>
    </w:p>
    <w:p w14:paraId="048E33E5" w14:textId="77777777" w:rsidR="002830AD" w:rsidRDefault="002830AD" w:rsidP="000245F4"/>
    <w:p w14:paraId="11D81407" w14:textId="003C1122" w:rsidR="002830AD" w:rsidRDefault="002830AD" w:rsidP="000245F4">
      <w:r>
        <w:t xml:space="preserve">In this description, Owen gives readers an idea of the chaos that was ensuing and the struggles of the soldier. He compares the man to being on fire which gives readers a visual representation of the panic of the man to fit his gas mask. There is a sense of fear that Owen makes privy to his audience, his fear and the soldier’s fear. In the opening quatrain of the poem, Owen describes and visualises the battering that they had already endured. </w:t>
      </w:r>
    </w:p>
    <w:p w14:paraId="4D085CD7" w14:textId="77777777" w:rsidR="002830AD" w:rsidRDefault="002830AD" w:rsidP="000245F4"/>
    <w:p w14:paraId="076BFB8F" w14:textId="77777777" w:rsidR="002830AD" w:rsidRDefault="002830AD" w:rsidP="002830AD">
      <w:r>
        <w:tab/>
        <w:t>Bent double, like old beggars under sacks,</w:t>
      </w:r>
    </w:p>
    <w:p w14:paraId="549E5A2A" w14:textId="77777777" w:rsidR="002830AD" w:rsidRDefault="002830AD" w:rsidP="002830AD">
      <w:pPr>
        <w:ind w:firstLine="720"/>
      </w:pPr>
      <w:r>
        <w:t>Knock-kneed, coughing like hags, we cursed through sludge,</w:t>
      </w:r>
    </w:p>
    <w:p w14:paraId="59F5E675" w14:textId="77777777" w:rsidR="002830AD" w:rsidRDefault="002830AD" w:rsidP="002830AD">
      <w:pPr>
        <w:ind w:firstLine="720"/>
      </w:pPr>
      <w:r>
        <w:t>Till on the haunting flares we turned our backs,</w:t>
      </w:r>
    </w:p>
    <w:p w14:paraId="23F31887" w14:textId="022D89D7" w:rsidR="002830AD" w:rsidRDefault="002830AD" w:rsidP="002830AD">
      <w:pPr>
        <w:ind w:firstLine="720"/>
      </w:pPr>
      <w:r>
        <w:t>And towards our distant rest began to trudge.</w:t>
      </w:r>
      <w:r>
        <w:rPr>
          <w:rStyle w:val="FootnoteReference"/>
        </w:rPr>
        <w:footnoteReference w:id="14"/>
      </w:r>
    </w:p>
    <w:p w14:paraId="5DC8A658" w14:textId="77777777" w:rsidR="002830AD" w:rsidRDefault="002830AD" w:rsidP="002830AD"/>
    <w:p w14:paraId="1CC620DA" w14:textId="306CD194" w:rsidR="004E1363" w:rsidRDefault="0045332E" w:rsidP="002830AD">
      <w:r>
        <w:t xml:space="preserve">The opening takes readers through the typical routine of returning to the soldier’s base after coming up against their enemies. In this moment, Owen categorises the pains of the soldiers, </w:t>
      </w:r>
      <w:r>
        <w:lastRenderedPageBreak/>
        <w:t>again giving readers an inside understanding of the tool that war takes on the physical aspect of an individual.</w:t>
      </w:r>
      <w:r w:rsidR="006961DA">
        <w:t xml:space="preserve"> Gas as a weapon was first introduced during World War One and Owen brings light to the effects of it on a person.</w:t>
      </w:r>
    </w:p>
    <w:p w14:paraId="44D7D229" w14:textId="77777777" w:rsidR="004E1363" w:rsidRDefault="004E1363" w:rsidP="002830AD"/>
    <w:p w14:paraId="53808EA2" w14:textId="6D9BC041" w:rsidR="004E1363" w:rsidRPr="004E1363" w:rsidRDefault="004E1363" w:rsidP="004E1363">
      <w:pPr>
        <w:pStyle w:val="ListParagraph"/>
        <w:numPr>
          <w:ilvl w:val="0"/>
          <w:numId w:val="1"/>
        </w:numPr>
        <w:rPr>
          <w:b/>
          <w:bCs/>
          <w:u w:val="single"/>
        </w:rPr>
      </w:pPr>
      <w:r w:rsidRPr="004E1363">
        <w:rPr>
          <w:b/>
          <w:bCs/>
          <w:u w:val="single"/>
        </w:rPr>
        <w:t>Theme: War as a Glorious Experience</w:t>
      </w:r>
    </w:p>
    <w:p w14:paraId="79425176" w14:textId="77777777" w:rsidR="002830AD" w:rsidRDefault="002830AD" w:rsidP="000245F4"/>
    <w:p w14:paraId="735A82F0" w14:textId="4F33503A" w:rsidR="004E1363" w:rsidRDefault="004E1363" w:rsidP="000245F4">
      <w:r>
        <w:t xml:space="preserve">Owen demystifies war as a glorious experience through the poem by underscoring the death of the soldier in such a horrific manner. </w:t>
      </w:r>
      <w:r w:rsidR="0041475C">
        <w:t xml:space="preserve">The poem starts with the title </w:t>
      </w:r>
      <w:r w:rsidR="0041475C">
        <w:rPr>
          <w:i/>
          <w:iCs/>
        </w:rPr>
        <w:t xml:space="preserve">Dulce et Decorum </w:t>
      </w:r>
      <w:proofErr w:type="spellStart"/>
      <w:r w:rsidR="0041475C">
        <w:rPr>
          <w:i/>
          <w:iCs/>
        </w:rPr>
        <w:t>est</w:t>
      </w:r>
      <w:proofErr w:type="spellEnd"/>
      <w:r w:rsidR="0041475C">
        <w:rPr>
          <w:i/>
          <w:iCs/>
        </w:rPr>
        <w:t xml:space="preserve">, </w:t>
      </w:r>
      <w:r w:rsidR="0041475C">
        <w:t xml:space="preserve">which when translated from Latin to English means, Sweet and Fitting it is. It is an incomplete quotation from Horace, the Roman poet, that sums up the initial experiences of soldiers who were first encountering a war. Owen presents to the readers that people perceived dying in war to be an honourable achievement for a soldier. </w:t>
      </w:r>
      <w:r w:rsidR="0045332E">
        <w:t>Owen tries to point out that the only people that believed that it was such an honour, were those who have never fought in a war.</w:t>
      </w:r>
    </w:p>
    <w:p w14:paraId="67F7F5DF" w14:textId="77777777" w:rsidR="0045332E" w:rsidRDefault="0045332E" w:rsidP="000245F4"/>
    <w:p w14:paraId="24B8F204" w14:textId="4A35B690" w:rsidR="0045332E" w:rsidRDefault="0045332E" w:rsidP="000245F4">
      <w:r>
        <w:t xml:space="preserve">In the poem, Wilfred Owen argues that there is nothing glorious or patriotic about dying in the war. He does so through, the expression of the gruesome death of the soldier in the hopes of dissuading people from the belief that it is an honourable thing to die for one’s country. He wants parents and the public to </w:t>
      </w:r>
      <w:r w:rsidR="00642491">
        <w:t>stop glorifying war and death to children because being outside is nothing compared to watching a soldier die in such an inhumane manner. He concludes the poem by saying:</w:t>
      </w:r>
    </w:p>
    <w:p w14:paraId="499D7864" w14:textId="77777777" w:rsidR="00642491" w:rsidRDefault="00642491" w:rsidP="000245F4"/>
    <w:p w14:paraId="51EC8693" w14:textId="77777777" w:rsidR="00642491" w:rsidRDefault="00642491" w:rsidP="00642491">
      <w:r>
        <w:tab/>
        <w:t>My friend, you would not tell with such high zest</w:t>
      </w:r>
    </w:p>
    <w:p w14:paraId="79F386B2" w14:textId="77777777" w:rsidR="00642491" w:rsidRDefault="00642491" w:rsidP="00642491">
      <w:pPr>
        <w:ind w:firstLine="720"/>
      </w:pPr>
      <w:r>
        <w:t>To children ardent for some desperate glory,</w:t>
      </w:r>
    </w:p>
    <w:p w14:paraId="0E835DF1" w14:textId="77777777" w:rsidR="00642491" w:rsidRDefault="00642491" w:rsidP="00642491">
      <w:pPr>
        <w:ind w:firstLine="720"/>
      </w:pPr>
      <w:r>
        <w:t xml:space="preserve">The old Lie: Dulce et decorum </w:t>
      </w:r>
      <w:proofErr w:type="spellStart"/>
      <w:r>
        <w:t>est</w:t>
      </w:r>
      <w:proofErr w:type="spellEnd"/>
    </w:p>
    <w:p w14:paraId="2B210573" w14:textId="7FF5C0B1" w:rsidR="00642491" w:rsidRDefault="00642491" w:rsidP="00642491">
      <w:pPr>
        <w:ind w:firstLine="720"/>
      </w:pPr>
      <w:r>
        <w:t>Pro patria mori.</w:t>
      </w:r>
      <w:r>
        <w:rPr>
          <w:rStyle w:val="FootnoteReference"/>
        </w:rPr>
        <w:footnoteReference w:id="15"/>
      </w:r>
    </w:p>
    <w:p w14:paraId="469A31FD" w14:textId="77777777" w:rsidR="00642491" w:rsidRDefault="00642491" w:rsidP="00642491"/>
    <w:p w14:paraId="5942E480" w14:textId="70D35BF3" w:rsidR="00642491" w:rsidRDefault="00642491" w:rsidP="00642491">
      <w:r>
        <w:t xml:space="preserve">He is saying to readers that if they experienced death in the way that he and other soldiers did, then they would realise Horace’s complete quote </w:t>
      </w:r>
      <w:r w:rsidR="004D4FDE">
        <w:t>“</w:t>
      </w:r>
      <w:r>
        <w:t xml:space="preserve">Dulce et decorum </w:t>
      </w:r>
      <w:proofErr w:type="spellStart"/>
      <w:r>
        <w:t>est</w:t>
      </w:r>
      <w:proofErr w:type="spellEnd"/>
      <w:r w:rsidR="004D4FDE">
        <w:t>//</w:t>
      </w:r>
      <w:r>
        <w:t>Pro patria mori</w:t>
      </w:r>
      <w:r w:rsidR="004D4FDE">
        <w:t>”</w:t>
      </w:r>
      <w:r>
        <w:t xml:space="preserve">, is just a fable told to the public, and that </w:t>
      </w:r>
      <w:r w:rsidR="006961DA">
        <w:t>there</w:t>
      </w:r>
      <w:r>
        <w:t xml:space="preserve"> is nothing honourable about a soldier’s death.</w:t>
      </w:r>
    </w:p>
    <w:p w14:paraId="6FDA1B5A" w14:textId="77777777" w:rsidR="00642491" w:rsidRDefault="00642491" w:rsidP="00642491"/>
    <w:p w14:paraId="600860DA" w14:textId="77777777" w:rsidR="00642491" w:rsidRDefault="00642491" w:rsidP="00642491"/>
    <w:p w14:paraId="76C242A6" w14:textId="5EB87A78" w:rsidR="00642491" w:rsidRDefault="00642491" w:rsidP="00642491">
      <w:pPr>
        <w:pStyle w:val="ListParagraph"/>
        <w:numPr>
          <w:ilvl w:val="0"/>
          <w:numId w:val="1"/>
        </w:numPr>
        <w:rPr>
          <w:b/>
          <w:bCs/>
          <w:u w:val="single"/>
        </w:rPr>
      </w:pPr>
      <w:r w:rsidRPr="00642491">
        <w:rPr>
          <w:b/>
          <w:bCs/>
          <w:u w:val="single"/>
        </w:rPr>
        <w:t>Repetition</w:t>
      </w:r>
    </w:p>
    <w:p w14:paraId="20B3152B" w14:textId="77777777" w:rsidR="00642491" w:rsidRDefault="00642491" w:rsidP="00642491">
      <w:pPr>
        <w:rPr>
          <w:b/>
          <w:bCs/>
          <w:u w:val="single"/>
        </w:rPr>
      </w:pPr>
    </w:p>
    <w:p w14:paraId="251F4C4C" w14:textId="012B7DB8" w:rsidR="00642491" w:rsidRDefault="001E165A" w:rsidP="00642491">
      <w:r>
        <w:t xml:space="preserve">The poem tackles an important part of fighting a war and Owen addresses it the way he repeats certain diction. </w:t>
      </w:r>
    </w:p>
    <w:p w14:paraId="3B871A3B" w14:textId="77777777" w:rsidR="001E165A" w:rsidRDefault="001E165A" w:rsidP="00642491"/>
    <w:p w14:paraId="25E72A65" w14:textId="1A017C43" w:rsidR="001E165A" w:rsidRDefault="001E165A" w:rsidP="001E165A">
      <w:pPr>
        <w:ind w:firstLine="720"/>
      </w:pPr>
      <w:r>
        <w:t>Dim through the misty panes and thick green light,</w:t>
      </w:r>
    </w:p>
    <w:p w14:paraId="305227AE" w14:textId="77777777" w:rsidR="001E165A" w:rsidRDefault="001E165A" w:rsidP="001E165A">
      <w:pPr>
        <w:ind w:firstLine="720"/>
      </w:pPr>
      <w:r>
        <w:t>As under a green sea, I saw him drowning.</w:t>
      </w:r>
    </w:p>
    <w:p w14:paraId="5AC90085" w14:textId="77777777" w:rsidR="001E165A" w:rsidRDefault="001E165A" w:rsidP="001E165A"/>
    <w:p w14:paraId="6C25E500" w14:textId="77777777" w:rsidR="001E165A" w:rsidRDefault="001E165A" w:rsidP="001E165A">
      <w:pPr>
        <w:ind w:firstLine="720"/>
      </w:pPr>
      <w:r>
        <w:t>In all my dreams before my helpless sight,</w:t>
      </w:r>
    </w:p>
    <w:p w14:paraId="0BE5C1B5" w14:textId="4608E251" w:rsidR="001E165A" w:rsidRDefault="001E165A" w:rsidP="001E165A">
      <w:pPr>
        <w:ind w:firstLine="720"/>
      </w:pPr>
      <w:r>
        <w:t>He plunges at me, guttering, choking, drowning.</w:t>
      </w:r>
      <w:r>
        <w:rPr>
          <w:rStyle w:val="FootnoteReference"/>
        </w:rPr>
        <w:footnoteReference w:id="16"/>
      </w:r>
    </w:p>
    <w:p w14:paraId="2633CE23" w14:textId="77777777" w:rsidR="001E165A" w:rsidRDefault="001E165A" w:rsidP="001E165A"/>
    <w:p w14:paraId="0AF169D9" w14:textId="24119F21" w:rsidR="001E165A" w:rsidRDefault="001E165A" w:rsidP="001E165A">
      <w:r>
        <w:t xml:space="preserve">Owen, responding to a traumatic experience, employs repetition to articulate the extremity of the death of the soldier and his inability to formulate a complete thought after witnessing this </w:t>
      </w:r>
      <w:r>
        <w:lastRenderedPageBreak/>
        <w:t xml:space="preserve">incident in his presence. It comes across as a moment of disbelief, he could not comprehend what had occurred, and his thoughts are not as cohesive as they were in the beginning. </w:t>
      </w:r>
    </w:p>
    <w:p w14:paraId="07D365A7" w14:textId="77777777" w:rsidR="001E165A" w:rsidRDefault="001E165A" w:rsidP="001E165A"/>
    <w:p w14:paraId="21532E9C" w14:textId="3E1321AF" w:rsidR="001E165A" w:rsidRDefault="001E165A" w:rsidP="001E165A">
      <w:r>
        <w:t>Wilfred Owen demonstrates to the readers, the trauma that soldiers had to endure during and after World War One. He examines how this trauma stays with soldiers after the war and evolves into shell</w:t>
      </w:r>
      <w:r w:rsidR="009E0391">
        <w:t xml:space="preserve"> </w:t>
      </w:r>
      <w:r>
        <w:t xml:space="preserve">shock. It furthers his point that war should not be glorified because it leaves people with more than just physical scars; mentally it takes a toll on soldiers because they </w:t>
      </w:r>
      <w:r w:rsidR="006332AF">
        <w:t>must</w:t>
      </w:r>
      <w:r>
        <w:t xml:space="preserve"> live with the image of their </w:t>
      </w:r>
      <w:r w:rsidR="006332AF">
        <w:t>fellow soldiers</w:t>
      </w:r>
      <w:r>
        <w:t xml:space="preserve"> dying in gruesome and gut-wrenching ways. </w:t>
      </w:r>
      <w:r w:rsidR="006332AF">
        <w:t>World War One was the first time that the psychological aspect of war was taken into consideration, and Owen’s repetition of the words ‘green’ and ‘drowning’ specifies the impact of trauma on the soldiers.</w:t>
      </w:r>
    </w:p>
    <w:p w14:paraId="2894869B" w14:textId="77777777" w:rsidR="006332AF" w:rsidRDefault="006332AF" w:rsidP="001E165A"/>
    <w:p w14:paraId="4FEB1F44" w14:textId="6F84DB4D" w:rsidR="006332AF" w:rsidRDefault="006332AF" w:rsidP="00EA55EF">
      <w:pPr>
        <w:rPr>
          <w:b/>
          <w:bCs/>
          <w:u w:val="single"/>
        </w:rPr>
      </w:pPr>
    </w:p>
    <w:p w14:paraId="2BAAE82B" w14:textId="00ADCA9A" w:rsidR="00EA55EF" w:rsidRPr="00167671" w:rsidRDefault="00EA55EF" w:rsidP="00EA55EF">
      <w:pPr>
        <w:rPr>
          <w:b/>
          <w:bCs/>
          <w:sz w:val="28"/>
          <w:szCs w:val="28"/>
          <w:u w:val="single"/>
        </w:rPr>
      </w:pPr>
      <w:r w:rsidRPr="00167671">
        <w:rPr>
          <w:b/>
          <w:bCs/>
          <w:sz w:val="28"/>
          <w:szCs w:val="28"/>
          <w:u w:val="single"/>
        </w:rPr>
        <w:t>Conclusion</w:t>
      </w:r>
    </w:p>
    <w:p w14:paraId="558EEB23" w14:textId="77777777" w:rsidR="00EA55EF" w:rsidRDefault="00EA55EF" w:rsidP="00EA55EF">
      <w:pPr>
        <w:rPr>
          <w:b/>
          <w:bCs/>
          <w:u w:val="single"/>
        </w:rPr>
      </w:pPr>
    </w:p>
    <w:p w14:paraId="264680CC" w14:textId="50393781" w:rsidR="00EA55EF" w:rsidRPr="00EA55EF" w:rsidRDefault="00EA55EF" w:rsidP="00EA55EF">
      <w:r>
        <w:t xml:space="preserve">Owen presents World War One as it is; he does not romanticise it like the public did. From Owen’s poem, I have gathered that there were serious repercussions to the war. Death was not the only thing that soldiers had to endure, they were left with mental scars after witnessing the horrors of war. In this particular attack, witnessing the death of a soldier in the manner that he died was a traumatic experience. Soldiers were still dreaming about the impact of it even in the future. It opens people to the fact that </w:t>
      </w:r>
      <w:r w:rsidR="007245C7">
        <w:t>war leaves permanent damage</w:t>
      </w:r>
      <w:r w:rsidR="009E0391">
        <w:t xml:space="preserve"> and that although soldiers went into the war as patriots, some of them left parts of themselves on the battlefield. </w:t>
      </w:r>
    </w:p>
    <w:p w14:paraId="0E43AE03" w14:textId="77777777" w:rsidR="006332AF" w:rsidRDefault="006332AF" w:rsidP="006332AF">
      <w:pPr>
        <w:rPr>
          <w:b/>
          <w:bCs/>
          <w:u w:val="single"/>
        </w:rPr>
      </w:pPr>
    </w:p>
    <w:p w14:paraId="5708FBC9" w14:textId="77777777" w:rsidR="005B742F" w:rsidRDefault="005B742F" w:rsidP="006332AF">
      <w:pPr>
        <w:rPr>
          <w:b/>
          <w:bCs/>
          <w:u w:val="single"/>
        </w:rPr>
      </w:pPr>
    </w:p>
    <w:p w14:paraId="0F36C9D1" w14:textId="5BA55352" w:rsidR="00167671" w:rsidRDefault="00167671">
      <w:pPr>
        <w:rPr>
          <w:b/>
          <w:bCs/>
          <w:u w:val="single"/>
        </w:rPr>
      </w:pPr>
      <w:r>
        <w:rPr>
          <w:b/>
          <w:bCs/>
          <w:u w:val="single"/>
        </w:rPr>
        <w:br w:type="page"/>
      </w:r>
    </w:p>
    <w:p w14:paraId="707A5C4F" w14:textId="4161180F" w:rsidR="006332AF" w:rsidRDefault="00167671" w:rsidP="006332AF">
      <w:pPr>
        <w:rPr>
          <w:b/>
          <w:bCs/>
          <w:sz w:val="28"/>
          <w:szCs w:val="28"/>
          <w:u w:val="single"/>
        </w:rPr>
      </w:pPr>
      <w:r w:rsidRPr="00167671">
        <w:rPr>
          <w:b/>
          <w:bCs/>
          <w:sz w:val="28"/>
          <w:szCs w:val="28"/>
          <w:u w:val="single"/>
        </w:rPr>
        <w:lastRenderedPageBreak/>
        <w:t>Bibliography</w:t>
      </w:r>
    </w:p>
    <w:p w14:paraId="07E16A0A" w14:textId="77777777" w:rsidR="006961DA" w:rsidRDefault="006961DA" w:rsidP="006332AF">
      <w:pPr>
        <w:rPr>
          <w:b/>
          <w:bCs/>
          <w:sz w:val="28"/>
          <w:szCs w:val="28"/>
          <w:u w:val="single"/>
        </w:rPr>
      </w:pPr>
    </w:p>
    <w:p w14:paraId="659DA815" w14:textId="77777777" w:rsidR="006961DA" w:rsidRDefault="006961DA" w:rsidP="006961DA">
      <w:pPr>
        <w:pStyle w:val="NormalWeb"/>
        <w:spacing w:before="0" w:beforeAutospacing="0" w:after="240" w:afterAutospacing="0" w:line="360" w:lineRule="auto"/>
        <w:ind w:left="720" w:hanging="720"/>
      </w:pPr>
      <w:r>
        <w:t xml:space="preserve">Connelly, Mark, </w:t>
      </w:r>
      <w:r>
        <w:rPr>
          <w:i/>
          <w:iCs/>
        </w:rPr>
        <w:t>The Great War, Memory and Ritual: Commemoration in the City and East London, 1916-1939</w:t>
      </w:r>
      <w:r>
        <w:t xml:space="preserve">, </w:t>
      </w:r>
      <w:r>
        <w:rPr>
          <w:i/>
          <w:iCs/>
        </w:rPr>
        <w:t>JSTOR</w:t>
      </w:r>
      <w:r>
        <w:t>, NED - New edition (Boydell &amp; Brewer, 2002) &lt;https://www.jstor.org/stable/j.ctv136bvr4.9&gt; [accessed 5 May 2024]</w:t>
      </w:r>
    </w:p>
    <w:p w14:paraId="6C461554" w14:textId="77777777" w:rsidR="006961DA" w:rsidRDefault="006961DA" w:rsidP="006961DA">
      <w:pPr>
        <w:pStyle w:val="NormalWeb"/>
        <w:spacing w:before="0" w:beforeAutospacing="0" w:after="240" w:afterAutospacing="0" w:line="360" w:lineRule="auto"/>
        <w:ind w:left="720" w:hanging="720"/>
      </w:pPr>
      <w:r>
        <w:t xml:space="preserve">Cuthbertson, Guy, </w:t>
      </w:r>
      <w:r>
        <w:rPr>
          <w:i/>
          <w:iCs/>
        </w:rPr>
        <w:t>Wilfred Owen</w:t>
      </w:r>
      <w:r>
        <w:t xml:space="preserve"> (New Haven, Ct: Yale University Press, 2014)</w:t>
      </w:r>
    </w:p>
    <w:p w14:paraId="57AD2057" w14:textId="77777777" w:rsidR="006961DA" w:rsidRDefault="006961DA" w:rsidP="006961DA">
      <w:pPr>
        <w:pStyle w:val="NormalWeb"/>
        <w:spacing w:before="0" w:beforeAutospacing="0" w:after="240" w:afterAutospacing="0" w:line="360" w:lineRule="auto"/>
        <w:ind w:left="720" w:hanging="720"/>
      </w:pPr>
      <w:r>
        <w:t xml:space="preserve">Owen, Wilfred, ‘Dulce et Decorum Est’, </w:t>
      </w:r>
      <w:r>
        <w:rPr>
          <w:i/>
          <w:iCs/>
        </w:rPr>
        <w:t>Poetry Foundation</w:t>
      </w:r>
      <w:r>
        <w:t xml:space="preserve"> (Viking Press, 1920) &lt;https://www.poetryfoundation.org/poems/46560/dulce-et-decorum-est&gt;</w:t>
      </w:r>
    </w:p>
    <w:p w14:paraId="3D1DB86E" w14:textId="77777777" w:rsidR="006961DA" w:rsidRPr="006961DA" w:rsidRDefault="006961DA" w:rsidP="006332AF">
      <w:pPr>
        <w:rPr>
          <w:b/>
          <w:bCs/>
          <w:sz w:val="28"/>
          <w:szCs w:val="28"/>
        </w:rPr>
      </w:pPr>
    </w:p>
    <w:sectPr w:rsidR="006961DA" w:rsidRPr="006961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5B6529" w14:textId="77777777" w:rsidR="003F2839" w:rsidRDefault="003F2839" w:rsidP="009D63D2">
      <w:r>
        <w:separator/>
      </w:r>
    </w:p>
  </w:endnote>
  <w:endnote w:type="continuationSeparator" w:id="0">
    <w:p w14:paraId="45670D59" w14:textId="77777777" w:rsidR="003F2839" w:rsidRDefault="003F2839" w:rsidP="009D63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0F666" w14:textId="77777777" w:rsidR="003F2839" w:rsidRDefault="003F2839" w:rsidP="009D63D2">
      <w:r>
        <w:separator/>
      </w:r>
    </w:p>
  </w:footnote>
  <w:footnote w:type="continuationSeparator" w:id="0">
    <w:p w14:paraId="14B3A607" w14:textId="77777777" w:rsidR="003F2839" w:rsidRDefault="003F2839" w:rsidP="009D63D2">
      <w:r>
        <w:continuationSeparator/>
      </w:r>
    </w:p>
  </w:footnote>
  <w:footnote w:id="1">
    <w:p w14:paraId="1F590CD4" w14:textId="77777777" w:rsidR="00167671" w:rsidRDefault="00167671" w:rsidP="00167671">
      <w:pPr>
        <w:pStyle w:val="FootnoteText"/>
      </w:pPr>
      <w:r>
        <w:rPr>
          <w:rStyle w:val="FootnoteReference"/>
        </w:rPr>
        <w:footnoteRef/>
      </w:r>
      <w:r>
        <w:t xml:space="preserve"> </w:t>
      </w:r>
      <w:r w:rsidRPr="004137E3">
        <w:t xml:space="preserve">Mark Connelly, </w:t>
      </w:r>
      <w:r w:rsidRPr="004137E3">
        <w:rPr>
          <w:i/>
          <w:iCs/>
        </w:rPr>
        <w:t>The Great War, Memory and Ritual: Commemoration in the City and East London, 1916-1939</w:t>
      </w:r>
      <w:r w:rsidRPr="004137E3">
        <w:t xml:space="preserve">, </w:t>
      </w:r>
      <w:r w:rsidRPr="004137E3">
        <w:rPr>
          <w:i/>
          <w:iCs/>
        </w:rPr>
        <w:t>JSTOR</w:t>
      </w:r>
      <w:r w:rsidRPr="004137E3">
        <w:t>, NED - New edition (Boydell &amp; Brewer, 2002) &lt;</w:t>
      </w:r>
      <w:hyperlink r:id="rId1" w:history="1">
        <w:r w:rsidRPr="004137E3">
          <w:rPr>
            <w:rStyle w:val="Hyperlink"/>
          </w:rPr>
          <w:t>https://www.jstor.org/stable/j.ctv136bvr4.9</w:t>
        </w:r>
      </w:hyperlink>
      <w:r w:rsidRPr="004137E3">
        <w:t xml:space="preserve">&gt; [accessed </w:t>
      </w:r>
      <w:r>
        <w:t xml:space="preserve">3 </w:t>
      </w:r>
      <w:r w:rsidRPr="004137E3">
        <w:t>May 2024].</w:t>
      </w:r>
    </w:p>
  </w:footnote>
  <w:footnote w:id="2">
    <w:p w14:paraId="364DF011" w14:textId="77777777" w:rsidR="00167671" w:rsidRDefault="00167671" w:rsidP="00167671">
      <w:pPr>
        <w:pStyle w:val="FootnoteText"/>
      </w:pPr>
      <w:r>
        <w:rPr>
          <w:rStyle w:val="FootnoteReference"/>
        </w:rPr>
        <w:footnoteRef/>
      </w:r>
      <w:r>
        <w:t xml:space="preserve"> Connelly, </w:t>
      </w:r>
      <w:r w:rsidRPr="004137E3">
        <w:rPr>
          <w:i/>
          <w:iCs/>
        </w:rPr>
        <w:t>The Great War, Memory and Ritual: Commemoration in the City and East London, 1916-1939</w:t>
      </w:r>
      <w:r w:rsidRPr="004137E3">
        <w:t xml:space="preserve">, </w:t>
      </w:r>
      <w:r w:rsidRPr="004137E3">
        <w:rPr>
          <w:i/>
          <w:iCs/>
        </w:rPr>
        <w:t>JSTOR</w:t>
      </w:r>
      <w:r w:rsidRPr="004137E3">
        <w:t xml:space="preserve">, NED - New edition (Boydell &amp; Brewer, 2002) </w:t>
      </w:r>
      <w:r>
        <w:t xml:space="preserve">p. 2 </w:t>
      </w:r>
    </w:p>
  </w:footnote>
  <w:footnote w:id="3">
    <w:p w14:paraId="66FF87DA" w14:textId="77777777" w:rsidR="00167671" w:rsidRDefault="00167671" w:rsidP="00167671">
      <w:pPr>
        <w:pStyle w:val="FootnoteText"/>
      </w:pPr>
      <w:r>
        <w:rPr>
          <w:rStyle w:val="FootnoteReference"/>
        </w:rPr>
        <w:footnoteRef/>
      </w:r>
      <w:r>
        <w:t xml:space="preserve"> Connelly, </w:t>
      </w:r>
      <w:r w:rsidRPr="004137E3">
        <w:t>p.</w:t>
      </w:r>
      <w:r>
        <w:t xml:space="preserve"> 4</w:t>
      </w:r>
    </w:p>
  </w:footnote>
  <w:footnote w:id="4">
    <w:p w14:paraId="740BA191" w14:textId="77777777" w:rsidR="00167671" w:rsidRDefault="00167671" w:rsidP="00167671">
      <w:pPr>
        <w:pStyle w:val="FootnoteText"/>
      </w:pPr>
      <w:r>
        <w:rPr>
          <w:rStyle w:val="FootnoteReference"/>
        </w:rPr>
        <w:footnoteRef/>
      </w:r>
      <w:r>
        <w:t xml:space="preserve"> Connelly, p. 5</w:t>
      </w:r>
    </w:p>
  </w:footnote>
  <w:footnote w:id="5">
    <w:p w14:paraId="7D421CAD" w14:textId="77777777" w:rsidR="00167671" w:rsidRDefault="00167671" w:rsidP="00167671">
      <w:pPr>
        <w:pStyle w:val="FootnoteText"/>
      </w:pPr>
      <w:r>
        <w:rPr>
          <w:rStyle w:val="FootnoteReference"/>
        </w:rPr>
        <w:footnoteRef/>
      </w:r>
      <w:r>
        <w:t xml:space="preserve"> Ibid. </w:t>
      </w:r>
    </w:p>
  </w:footnote>
  <w:footnote w:id="6">
    <w:p w14:paraId="6C53135A" w14:textId="77777777" w:rsidR="00167671" w:rsidRDefault="00167671" w:rsidP="00167671">
      <w:pPr>
        <w:pStyle w:val="FootnoteText"/>
      </w:pPr>
      <w:r>
        <w:rPr>
          <w:rStyle w:val="FootnoteReference"/>
        </w:rPr>
        <w:footnoteRef/>
      </w:r>
      <w:r>
        <w:t xml:space="preserve"> Connelly, p.25</w:t>
      </w:r>
    </w:p>
  </w:footnote>
  <w:footnote w:id="7">
    <w:p w14:paraId="4A1A634C" w14:textId="77777777" w:rsidR="00167671" w:rsidRDefault="00167671" w:rsidP="00167671">
      <w:pPr>
        <w:pStyle w:val="FootnoteText"/>
      </w:pPr>
      <w:r>
        <w:rPr>
          <w:rStyle w:val="FootnoteReference"/>
        </w:rPr>
        <w:footnoteRef/>
      </w:r>
      <w:r>
        <w:t xml:space="preserve"> Connelly, p. 25</w:t>
      </w:r>
    </w:p>
  </w:footnote>
  <w:footnote w:id="8">
    <w:p w14:paraId="71604155" w14:textId="77777777" w:rsidR="00167671" w:rsidRDefault="00167671" w:rsidP="00167671">
      <w:pPr>
        <w:pStyle w:val="FootnoteText"/>
      </w:pPr>
      <w:r>
        <w:rPr>
          <w:rStyle w:val="FootnoteReference"/>
        </w:rPr>
        <w:footnoteRef/>
      </w:r>
      <w:r>
        <w:t xml:space="preserve"> Connelly, p. 36</w:t>
      </w:r>
    </w:p>
  </w:footnote>
  <w:footnote w:id="9">
    <w:p w14:paraId="14B75B35" w14:textId="77777777" w:rsidR="00167671" w:rsidRDefault="00167671" w:rsidP="00167671">
      <w:pPr>
        <w:pStyle w:val="FootnoteText"/>
      </w:pPr>
      <w:r>
        <w:rPr>
          <w:rStyle w:val="FootnoteReference"/>
        </w:rPr>
        <w:footnoteRef/>
      </w:r>
      <w:r>
        <w:t xml:space="preserve"> Connelly, p. 83</w:t>
      </w:r>
    </w:p>
  </w:footnote>
  <w:footnote w:id="10">
    <w:p w14:paraId="5932C782" w14:textId="77777777" w:rsidR="00167671" w:rsidRDefault="00167671" w:rsidP="00167671">
      <w:pPr>
        <w:pStyle w:val="FootnoteText"/>
      </w:pPr>
      <w:r>
        <w:rPr>
          <w:rStyle w:val="FootnoteReference"/>
        </w:rPr>
        <w:footnoteRef/>
      </w:r>
      <w:r>
        <w:t xml:space="preserve"> Connelly, pp. 140-141</w:t>
      </w:r>
    </w:p>
  </w:footnote>
  <w:footnote w:id="11">
    <w:p w14:paraId="0C1CBC78" w14:textId="77777777" w:rsidR="00167671" w:rsidRDefault="00167671" w:rsidP="00167671">
      <w:pPr>
        <w:pStyle w:val="FootnoteText"/>
      </w:pPr>
      <w:r>
        <w:rPr>
          <w:rStyle w:val="FootnoteReference"/>
        </w:rPr>
        <w:footnoteRef/>
      </w:r>
      <w:r>
        <w:t xml:space="preserve"> Connelly, p. 200</w:t>
      </w:r>
    </w:p>
  </w:footnote>
  <w:footnote w:id="12">
    <w:p w14:paraId="25A2E857" w14:textId="42BC074E" w:rsidR="006F1DF1" w:rsidRDefault="006F1DF1">
      <w:pPr>
        <w:pStyle w:val="FootnoteText"/>
      </w:pPr>
      <w:r>
        <w:rPr>
          <w:rStyle w:val="FootnoteReference"/>
        </w:rPr>
        <w:footnoteRef/>
      </w:r>
      <w:r>
        <w:t xml:space="preserve"> </w:t>
      </w:r>
      <w:r w:rsidR="006961DA" w:rsidRPr="006961DA">
        <w:t xml:space="preserve">Guy Cuthbertson, </w:t>
      </w:r>
      <w:r w:rsidR="006961DA" w:rsidRPr="006961DA">
        <w:rPr>
          <w:i/>
          <w:iCs/>
        </w:rPr>
        <w:t>Wilfred Owen</w:t>
      </w:r>
      <w:r w:rsidR="006961DA" w:rsidRPr="006961DA">
        <w:t xml:space="preserve"> (New Haven, Ct: Yale University Press, 2014).</w:t>
      </w:r>
    </w:p>
  </w:footnote>
  <w:footnote w:id="13">
    <w:p w14:paraId="01F10B2B" w14:textId="271D45FF" w:rsidR="000245F4" w:rsidRDefault="000245F4">
      <w:pPr>
        <w:pStyle w:val="FootnoteText"/>
      </w:pPr>
      <w:r>
        <w:rPr>
          <w:rStyle w:val="FootnoteReference"/>
        </w:rPr>
        <w:footnoteRef/>
      </w:r>
      <w:r>
        <w:t xml:space="preserve"> </w:t>
      </w:r>
      <w:r w:rsidR="004E1363" w:rsidRPr="004E1363">
        <w:t>Wilfred Owen, ‘Dulce et Decorum Est’, Poetry Foundation (Viking Press, 1920) &lt;https://www.poetryfoundation.org/poems/46560/dulce-et-decorum-est&gt;.</w:t>
      </w:r>
    </w:p>
  </w:footnote>
  <w:footnote w:id="14">
    <w:p w14:paraId="41BD30A8" w14:textId="0666A355" w:rsidR="002830AD" w:rsidRDefault="002830AD">
      <w:pPr>
        <w:pStyle w:val="FootnoteText"/>
      </w:pPr>
      <w:r>
        <w:rPr>
          <w:rStyle w:val="FootnoteReference"/>
        </w:rPr>
        <w:footnoteRef/>
      </w:r>
      <w:r>
        <w:t xml:space="preserve"> </w:t>
      </w:r>
      <w:r w:rsidR="004E1363">
        <w:t>Ibid.</w:t>
      </w:r>
    </w:p>
  </w:footnote>
  <w:footnote w:id="15">
    <w:p w14:paraId="331FEF5D" w14:textId="6380AF29" w:rsidR="00642491" w:rsidRDefault="00642491">
      <w:pPr>
        <w:pStyle w:val="FootnoteText"/>
      </w:pPr>
      <w:r>
        <w:rPr>
          <w:rStyle w:val="FootnoteReference"/>
        </w:rPr>
        <w:footnoteRef/>
      </w:r>
      <w:r>
        <w:t xml:space="preserve"> Ibid.</w:t>
      </w:r>
    </w:p>
  </w:footnote>
  <w:footnote w:id="16">
    <w:p w14:paraId="5DDF1E4E" w14:textId="01C5312A" w:rsidR="001E165A" w:rsidRDefault="001E165A">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932DDB"/>
    <w:multiLevelType w:val="hybridMultilevel"/>
    <w:tmpl w:val="81365BA6"/>
    <w:lvl w:ilvl="0" w:tplc="53B26C90">
      <w:start w:val="1"/>
      <w:numFmt w:val="decimal"/>
      <w:lvlText w:val="%1."/>
      <w:lvlJc w:val="left"/>
      <w:pPr>
        <w:ind w:left="785"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5330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374"/>
    <w:rsid w:val="000245F4"/>
    <w:rsid w:val="00167671"/>
    <w:rsid w:val="001E165A"/>
    <w:rsid w:val="002830AD"/>
    <w:rsid w:val="003F2839"/>
    <w:rsid w:val="0041475C"/>
    <w:rsid w:val="0045332E"/>
    <w:rsid w:val="004D4FDE"/>
    <w:rsid w:val="004E1363"/>
    <w:rsid w:val="005B742F"/>
    <w:rsid w:val="006332AF"/>
    <w:rsid w:val="00642491"/>
    <w:rsid w:val="00646188"/>
    <w:rsid w:val="006961DA"/>
    <w:rsid w:val="006F1DF1"/>
    <w:rsid w:val="0070388A"/>
    <w:rsid w:val="007245C7"/>
    <w:rsid w:val="00755D6C"/>
    <w:rsid w:val="00771374"/>
    <w:rsid w:val="00834D6A"/>
    <w:rsid w:val="00994280"/>
    <w:rsid w:val="009D63D2"/>
    <w:rsid w:val="009E0391"/>
    <w:rsid w:val="00A2576C"/>
    <w:rsid w:val="00A26738"/>
    <w:rsid w:val="00C2279F"/>
    <w:rsid w:val="00EA55EF"/>
    <w:rsid w:val="00ED50F3"/>
    <w:rsid w:val="00F01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B356AC"/>
  <w15:chartTrackingRefBased/>
  <w15:docId w15:val="{D86CDBD1-77B3-4B0A-985D-86F2A3ECF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3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3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37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37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137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137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137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137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137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3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3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37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37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7137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7137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7137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7137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7137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7137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3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37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37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713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1374"/>
    <w:rPr>
      <w:i/>
      <w:iCs/>
      <w:color w:val="404040" w:themeColor="text1" w:themeTint="BF"/>
    </w:rPr>
  </w:style>
  <w:style w:type="paragraph" w:styleId="ListParagraph">
    <w:name w:val="List Paragraph"/>
    <w:basedOn w:val="Normal"/>
    <w:uiPriority w:val="34"/>
    <w:qFormat/>
    <w:rsid w:val="00771374"/>
    <w:pPr>
      <w:ind w:left="720"/>
      <w:contextualSpacing/>
    </w:pPr>
  </w:style>
  <w:style w:type="character" w:styleId="IntenseEmphasis">
    <w:name w:val="Intense Emphasis"/>
    <w:basedOn w:val="DefaultParagraphFont"/>
    <w:uiPriority w:val="21"/>
    <w:qFormat/>
    <w:rsid w:val="00771374"/>
    <w:rPr>
      <w:i/>
      <w:iCs/>
      <w:color w:val="0F4761" w:themeColor="accent1" w:themeShade="BF"/>
    </w:rPr>
  </w:style>
  <w:style w:type="paragraph" w:styleId="IntenseQuote">
    <w:name w:val="Intense Quote"/>
    <w:basedOn w:val="Normal"/>
    <w:next w:val="Normal"/>
    <w:link w:val="IntenseQuoteChar"/>
    <w:uiPriority w:val="30"/>
    <w:qFormat/>
    <w:rsid w:val="007713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374"/>
    <w:rPr>
      <w:i/>
      <w:iCs/>
      <w:color w:val="0F4761" w:themeColor="accent1" w:themeShade="BF"/>
    </w:rPr>
  </w:style>
  <w:style w:type="character" w:styleId="IntenseReference">
    <w:name w:val="Intense Reference"/>
    <w:basedOn w:val="DefaultParagraphFont"/>
    <w:uiPriority w:val="32"/>
    <w:qFormat/>
    <w:rsid w:val="00771374"/>
    <w:rPr>
      <w:b/>
      <w:bCs/>
      <w:smallCaps/>
      <w:color w:val="0F4761" w:themeColor="accent1" w:themeShade="BF"/>
      <w:spacing w:val="5"/>
    </w:rPr>
  </w:style>
  <w:style w:type="character" w:styleId="Emphasis">
    <w:name w:val="Emphasis"/>
    <w:basedOn w:val="DefaultParagraphFont"/>
    <w:uiPriority w:val="20"/>
    <w:qFormat/>
    <w:rsid w:val="00A26738"/>
    <w:rPr>
      <w:i/>
      <w:iCs/>
    </w:rPr>
  </w:style>
  <w:style w:type="paragraph" w:styleId="FootnoteText">
    <w:name w:val="footnote text"/>
    <w:basedOn w:val="Normal"/>
    <w:link w:val="FootnoteTextChar"/>
    <w:uiPriority w:val="99"/>
    <w:semiHidden/>
    <w:unhideWhenUsed/>
    <w:rsid w:val="009D63D2"/>
    <w:rPr>
      <w:sz w:val="20"/>
      <w:szCs w:val="20"/>
    </w:rPr>
  </w:style>
  <w:style w:type="character" w:customStyle="1" w:styleId="FootnoteTextChar">
    <w:name w:val="Footnote Text Char"/>
    <w:basedOn w:val="DefaultParagraphFont"/>
    <w:link w:val="FootnoteText"/>
    <w:uiPriority w:val="99"/>
    <w:semiHidden/>
    <w:rsid w:val="009D63D2"/>
    <w:rPr>
      <w:sz w:val="20"/>
      <w:szCs w:val="20"/>
    </w:rPr>
  </w:style>
  <w:style w:type="character" w:styleId="FootnoteReference">
    <w:name w:val="footnote reference"/>
    <w:basedOn w:val="DefaultParagraphFont"/>
    <w:uiPriority w:val="99"/>
    <w:semiHidden/>
    <w:unhideWhenUsed/>
    <w:rsid w:val="009D63D2"/>
    <w:rPr>
      <w:vertAlign w:val="superscript"/>
    </w:rPr>
  </w:style>
  <w:style w:type="character" w:styleId="Hyperlink">
    <w:name w:val="Hyperlink"/>
    <w:basedOn w:val="DefaultParagraphFont"/>
    <w:uiPriority w:val="99"/>
    <w:unhideWhenUsed/>
    <w:rsid w:val="00167671"/>
    <w:rPr>
      <w:color w:val="467886" w:themeColor="hyperlink"/>
      <w:u w:val="single"/>
    </w:rPr>
  </w:style>
  <w:style w:type="paragraph" w:styleId="NormalWeb">
    <w:name w:val="Normal (Web)"/>
    <w:basedOn w:val="Normal"/>
    <w:uiPriority w:val="99"/>
    <w:semiHidden/>
    <w:unhideWhenUsed/>
    <w:rsid w:val="006961DA"/>
    <w:pPr>
      <w:spacing w:before="100" w:beforeAutospacing="1" w:after="100" w:afterAutospacing="1"/>
    </w:pPr>
    <w:rPr>
      <w:rFonts w:eastAsia="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27893">
      <w:bodyDiv w:val="1"/>
      <w:marLeft w:val="0"/>
      <w:marRight w:val="0"/>
      <w:marTop w:val="0"/>
      <w:marBottom w:val="0"/>
      <w:divBdr>
        <w:top w:val="none" w:sz="0" w:space="0" w:color="auto"/>
        <w:left w:val="none" w:sz="0" w:space="0" w:color="auto"/>
        <w:bottom w:val="none" w:sz="0" w:space="0" w:color="auto"/>
        <w:right w:val="none" w:sz="0" w:space="0" w:color="auto"/>
      </w:divBdr>
    </w:div>
    <w:div w:id="562444340">
      <w:bodyDiv w:val="1"/>
      <w:marLeft w:val="0"/>
      <w:marRight w:val="0"/>
      <w:marTop w:val="0"/>
      <w:marBottom w:val="0"/>
      <w:divBdr>
        <w:top w:val="none" w:sz="0" w:space="0" w:color="auto"/>
        <w:left w:val="none" w:sz="0" w:space="0" w:color="auto"/>
        <w:bottom w:val="none" w:sz="0" w:space="0" w:color="auto"/>
        <w:right w:val="none" w:sz="0" w:space="0" w:color="auto"/>
      </w:divBdr>
      <w:divsChild>
        <w:div w:id="962615847">
          <w:marLeft w:val="-720"/>
          <w:marRight w:val="0"/>
          <w:marTop w:val="0"/>
          <w:marBottom w:val="0"/>
          <w:divBdr>
            <w:top w:val="none" w:sz="0" w:space="0" w:color="auto"/>
            <w:left w:val="none" w:sz="0" w:space="0" w:color="auto"/>
            <w:bottom w:val="none" w:sz="0" w:space="0" w:color="auto"/>
            <w:right w:val="none" w:sz="0" w:space="0" w:color="auto"/>
          </w:divBdr>
        </w:div>
      </w:divsChild>
    </w:div>
    <w:div w:id="660935744">
      <w:bodyDiv w:val="1"/>
      <w:marLeft w:val="0"/>
      <w:marRight w:val="0"/>
      <w:marTop w:val="0"/>
      <w:marBottom w:val="0"/>
      <w:divBdr>
        <w:top w:val="none" w:sz="0" w:space="0" w:color="auto"/>
        <w:left w:val="none" w:sz="0" w:space="0" w:color="auto"/>
        <w:bottom w:val="none" w:sz="0" w:space="0" w:color="auto"/>
        <w:right w:val="none" w:sz="0" w:space="0" w:color="auto"/>
      </w:divBdr>
    </w:div>
    <w:div w:id="1136026024">
      <w:bodyDiv w:val="1"/>
      <w:marLeft w:val="0"/>
      <w:marRight w:val="0"/>
      <w:marTop w:val="0"/>
      <w:marBottom w:val="0"/>
      <w:divBdr>
        <w:top w:val="none" w:sz="0" w:space="0" w:color="auto"/>
        <w:left w:val="none" w:sz="0" w:space="0" w:color="auto"/>
        <w:bottom w:val="none" w:sz="0" w:space="0" w:color="auto"/>
        <w:right w:val="none" w:sz="0" w:space="0" w:color="auto"/>
      </w:divBdr>
      <w:divsChild>
        <w:div w:id="2076315916">
          <w:marLeft w:val="0"/>
          <w:marRight w:val="0"/>
          <w:marTop w:val="0"/>
          <w:marBottom w:val="900"/>
          <w:divBdr>
            <w:top w:val="none" w:sz="0" w:space="0" w:color="auto"/>
            <w:left w:val="none" w:sz="0" w:space="0" w:color="auto"/>
            <w:bottom w:val="none" w:sz="0" w:space="0" w:color="auto"/>
            <w:right w:val="none" w:sz="0" w:space="0" w:color="auto"/>
          </w:divBdr>
          <w:divsChild>
            <w:div w:id="1927155289">
              <w:marLeft w:val="0"/>
              <w:marRight w:val="0"/>
              <w:marTop w:val="0"/>
              <w:marBottom w:val="0"/>
              <w:divBdr>
                <w:top w:val="none" w:sz="0" w:space="0" w:color="auto"/>
                <w:left w:val="none" w:sz="0" w:space="0" w:color="auto"/>
                <w:bottom w:val="none" w:sz="0" w:space="0" w:color="auto"/>
                <w:right w:val="none" w:sz="0" w:space="0" w:color="auto"/>
              </w:divBdr>
              <w:divsChild>
                <w:div w:id="1103453113">
                  <w:marLeft w:val="0"/>
                  <w:marRight w:val="0"/>
                  <w:marTop w:val="0"/>
                  <w:marBottom w:val="600"/>
                  <w:divBdr>
                    <w:top w:val="none" w:sz="0" w:space="0" w:color="auto"/>
                    <w:left w:val="none" w:sz="0" w:space="0" w:color="auto"/>
                    <w:bottom w:val="none" w:sz="0" w:space="0" w:color="auto"/>
                    <w:right w:val="none" w:sz="0" w:space="0" w:color="auto"/>
                  </w:divBdr>
                  <w:divsChild>
                    <w:div w:id="1449348790">
                      <w:marLeft w:val="0"/>
                      <w:marRight w:val="0"/>
                      <w:marTop w:val="0"/>
                      <w:marBottom w:val="0"/>
                      <w:divBdr>
                        <w:top w:val="none" w:sz="0" w:space="0" w:color="auto"/>
                        <w:left w:val="none" w:sz="0" w:space="0" w:color="auto"/>
                        <w:bottom w:val="none" w:sz="0" w:space="0" w:color="auto"/>
                        <w:right w:val="none" w:sz="0" w:space="0" w:color="auto"/>
                      </w:divBdr>
                      <w:divsChild>
                        <w:div w:id="1207330873">
                          <w:marLeft w:val="0"/>
                          <w:marRight w:val="0"/>
                          <w:marTop w:val="0"/>
                          <w:marBottom w:val="0"/>
                          <w:divBdr>
                            <w:top w:val="none" w:sz="0" w:space="0" w:color="auto"/>
                            <w:left w:val="none" w:sz="0" w:space="0" w:color="auto"/>
                            <w:bottom w:val="none" w:sz="0" w:space="0" w:color="auto"/>
                            <w:right w:val="none" w:sz="0" w:space="0" w:color="auto"/>
                          </w:divBdr>
                        </w:div>
                        <w:div w:id="1951811643">
                          <w:marLeft w:val="0"/>
                          <w:marRight w:val="0"/>
                          <w:marTop w:val="0"/>
                          <w:marBottom w:val="0"/>
                          <w:divBdr>
                            <w:top w:val="none" w:sz="0" w:space="0" w:color="auto"/>
                            <w:left w:val="none" w:sz="0" w:space="0" w:color="auto"/>
                            <w:bottom w:val="none" w:sz="0" w:space="0" w:color="auto"/>
                            <w:right w:val="none" w:sz="0" w:space="0" w:color="auto"/>
                          </w:divBdr>
                        </w:div>
                        <w:div w:id="415323443">
                          <w:marLeft w:val="0"/>
                          <w:marRight w:val="0"/>
                          <w:marTop w:val="0"/>
                          <w:marBottom w:val="0"/>
                          <w:divBdr>
                            <w:top w:val="none" w:sz="0" w:space="0" w:color="auto"/>
                            <w:left w:val="none" w:sz="0" w:space="0" w:color="auto"/>
                            <w:bottom w:val="none" w:sz="0" w:space="0" w:color="auto"/>
                            <w:right w:val="none" w:sz="0" w:space="0" w:color="auto"/>
                          </w:divBdr>
                        </w:div>
                        <w:div w:id="86017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229467">
      <w:bodyDiv w:val="1"/>
      <w:marLeft w:val="0"/>
      <w:marRight w:val="0"/>
      <w:marTop w:val="0"/>
      <w:marBottom w:val="0"/>
      <w:divBdr>
        <w:top w:val="none" w:sz="0" w:space="0" w:color="auto"/>
        <w:left w:val="none" w:sz="0" w:space="0" w:color="auto"/>
        <w:bottom w:val="none" w:sz="0" w:space="0" w:color="auto"/>
        <w:right w:val="none" w:sz="0" w:space="0" w:color="auto"/>
      </w:divBdr>
      <w:divsChild>
        <w:div w:id="1557542983">
          <w:marLeft w:val="0"/>
          <w:marRight w:val="0"/>
          <w:marTop w:val="0"/>
          <w:marBottom w:val="0"/>
          <w:divBdr>
            <w:top w:val="none" w:sz="0" w:space="0" w:color="auto"/>
            <w:left w:val="none" w:sz="0" w:space="0" w:color="auto"/>
            <w:bottom w:val="none" w:sz="0" w:space="0" w:color="auto"/>
            <w:right w:val="none" w:sz="0" w:space="0" w:color="auto"/>
          </w:divBdr>
        </w:div>
        <w:div w:id="664279603">
          <w:marLeft w:val="0"/>
          <w:marRight w:val="0"/>
          <w:marTop w:val="0"/>
          <w:marBottom w:val="0"/>
          <w:divBdr>
            <w:top w:val="none" w:sz="0" w:space="0" w:color="auto"/>
            <w:left w:val="none" w:sz="0" w:space="0" w:color="auto"/>
            <w:bottom w:val="none" w:sz="0" w:space="0" w:color="auto"/>
            <w:right w:val="none" w:sz="0" w:space="0" w:color="auto"/>
          </w:divBdr>
        </w:div>
        <w:div w:id="566769710">
          <w:marLeft w:val="0"/>
          <w:marRight w:val="0"/>
          <w:marTop w:val="0"/>
          <w:marBottom w:val="0"/>
          <w:divBdr>
            <w:top w:val="none" w:sz="0" w:space="0" w:color="auto"/>
            <w:left w:val="none" w:sz="0" w:space="0" w:color="auto"/>
            <w:bottom w:val="none" w:sz="0" w:space="0" w:color="auto"/>
            <w:right w:val="none" w:sz="0" w:space="0" w:color="auto"/>
          </w:divBdr>
        </w:div>
        <w:div w:id="1560483870">
          <w:marLeft w:val="0"/>
          <w:marRight w:val="0"/>
          <w:marTop w:val="0"/>
          <w:marBottom w:val="0"/>
          <w:divBdr>
            <w:top w:val="none" w:sz="0" w:space="0" w:color="auto"/>
            <w:left w:val="none" w:sz="0" w:space="0" w:color="auto"/>
            <w:bottom w:val="none" w:sz="0" w:space="0" w:color="auto"/>
            <w:right w:val="none" w:sz="0" w:space="0" w:color="auto"/>
          </w:divBdr>
        </w:div>
      </w:divsChild>
    </w:div>
    <w:div w:id="1490172319">
      <w:bodyDiv w:val="1"/>
      <w:marLeft w:val="0"/>
      <w:marRight w:val="0"/>
      <w:marTop w:val="0"/>
      <w:marBottom w:val="0"/>
      <w:divBdr>
        <w:top w:val="none" w:sz="0" w:space="0" w:color="auto"/>
        <w:left w:val="none" w:sz="0" w:space="0" w:color="auto"/>
        <w:bottom w:val="none" w:sz="0" w:space="0" w:color="auto"/>
        <w:right w:val="none" w:sz="0" w:space="0" w:color="auto"/>
      </w:divBdr>
      <w:divsChild>
        <w:div w:id="2132436928">
          <w:marLeft w:val="0"/>
          <w:marRight w:val="0"/>
          <w:marTop w:val="0"/>
          <w:marBottom w:val="0"/>
          <w:divBdr>
            <w:top w:val="none" w:sz="0" w:space="0" w:color="auto"/>
            <w:left w:val="none" w:sz="0" w:space="0" w:color="auto"/>
            <w:bottom w:val="none" w:sz="0" w:space="0" w:color="auto"/>
            <w:right w:val="none" w:sz="0" w:space="0" w:color="auto"/>
          </w:divBdr>
        </w:div>
        <w:div w:id="1702245662">
          <w:marLeft w:val="0"/>
          <w:marRight w:val="0"/>
          <w:marTop w:val="0"/>
          <w:marBottom w:val="0"/>
          <w:divBdr>
            <w:top w:val="none" w:sz="0" w:space="0" w:color="auto"/>
            <w:left w:val="none" w:sz="0" w:space="0" w:color="auto"/>
            <w:bottom w:val="none" w:sz="0" w:space="0" w:color="auto"/>
            <w:right w:val="none" w:sz="0" w:space="0" w:color="auto"/>
          </w:divBdr>
        </w:div>
        <w:div w:id="1159809234">
          <w:marLeft w:val="0"/>
          <w:marRight w:val="0"/>
          <w:marTop w:val="0"/>
          <w:marBottom w:val="0"/>
          <w:divBdr>
            <w:top w:val="none" w:sz="0" w:space="0" w:color="auto"/>
            <w:left w:val="none" w:sz="0" w:space="0" w:color="auto"/>
            <w:bottom w:val="none" w:sz="0" w:space="0" w:color="auto"/>
            <w:right w:val="none" w:sz="0" w:space="0" w:color="auto"/>
          </w:divBdr>
        </w:div>
        <w:div w:id="1219435215">
          <w:marLeft w:val="0"/>
          <w:marRight w:val="0"/>
          <w:marTop w:val="0"/>
          <w:marBottom w:val="0"/>
          <w:divBdr>
            <w:top w:val="none" w:sz="0" w:space="0" w:color="auto"/>
            <w:left w:val="none" w:sz="0" w:space="0" w:color="auto"/>
            <w:bottom w:val="none" w:sz="0" w:space="0" w:color="auto"/>
            <w:right w:val="none" w:sz="0" w:space="0" w:color="auto"/>
          </w:divBdr>
        </w:div>
        <w:div w:id="1974098239">
          <w:marLeft w:val="0"/>
          <w:marRight w:val="0"/>
          <w:marTop w:val="0"/>
          <w:marBottom w:val="0"/>
          <w:divBdr>
            <w:top w:val="none" w:sz="0" w:space="0" w:color="auto"/>
            <w:left w:val="none" w:sz="0" w:space="0" w:color="auto"/>
            <w:bottom w:val="none" w:sz="0" w:space="0" w:color="auto"/>
            <w:right w:val="none" w:sz="0" w:space="0" w:color="auto"/>
          </w:divBdr>
        </w:div>
        <w:div w:id="1730880205">
          <w:marLeft w:val="0"/>
          <w:marRight w:val="0"/>
          <w:marTop w:val="0"/>
          <w:marBottom w:val="0"/>
          <w:divBdr>
            <w:top w:val="none" w:sz="0" w:space="0" w:color="auto"/>
            <w:left w:val="none" w:sz="0" w:space="0" w:color="auto"/>
            <w:bottom w:val="none" w:sz="0" w:space="0" w:color="auto"/>
            <w:right w:val="none" w:sz="0" w:space="0" w:color="auto"/>
          </w:divBdr>
        </w:div>
        <w:div w:id="898858194">
          <w:marLeft w:val="0"/>
          <w:marRight w:val="0"/>
          <w:marTop w:val="0"/>
          <w:marBottom w:val="0"/>
          <w:divBdr>
            <w:top w:val="none" w:sz="0" w:space="0" w:color="auto"/>
            <w:left w:val="none" w:sz="0" w:space="0" w:color="auto"/>
            <w:bottom w:val="none" w:sz="0" w:space="0" w:color="auto"/>
            <w:right w:val="none" w:sz="0" w:space="0" w:color="auto"/>
          </w:divBdr>
        </w:div>
        <w:div w:id="812259325">
          <w:marLeft w:val="0"/>
          <w:marRight w:val="0"/>
          <w:marTop w:val="0"/>
          <w:marBottom w:val="0"/>
          <w:divBdr>
            <w:top w:val="none" w:sz="0" w:space="0" w:color="auto"/>
            <w:left w:val="none" w:sz="0" w:space="0" w:color="auto"/>
            <w:bottom w:val="none" w:sz="0" w:space="0" w:color="auto"/>
            <w:right w:val="none" w:sz="0" w:space="0" w:color="auto"/>
          </w:divBdr>
        </w:div>
        <w:div w:id="1210074445">
          <w:marLeft w:val="0"/>
          <w:marRight w:val="0"/>
          <w:marTop w:val="0"/>
          <w:marBottom w:val="0"/>
          <w:divBdr>
            <w:top w:val="none" w:sz="0" w:space="0" w:color="auto"/>
            <w:left w:val="none" w:sz="0" w:space="0" w:color="auto"/>
            <w:bottom w:val="none" w:sz="0" w:space="0" w:color="auto"/>
            <w:right w:val="none" w:sz="0" w:space="0" w:color="auto"/>
          </w:divBdr>
        </w:div>
        <w:div w:id="1101758288">
          <w:marLeft w:val="0"/>
          <w:marRight w:val="0"/>
          <w:marTop w:val="0"/>
          <w:marBottom w:val="0"/>
          <w:divBdr>
            <w:top w:val="none" w:sz="0" w:space="0" w:color="auto"/>
            <w:left w:val="none" w:sz="0" w:space="0" w:color="auto"/>
            <w:bottom w:val="none" w:sz="0" w:space="0" w:color="auto"/>
            <w:right w:val="none" w:sz="0" w:space="0" w:color="auto"/>
          </w:divBdr>
        </w:div>
        <w:div w:id="1335916251">
          <w:marLeft w:val="0"/>
          <w:marRight w:val="0"/>
          <w:marTop w:val="0"/>
          <w:marBottom w:val="0"/>
          <w:divBdr>
            <w:top w:val="none" w:sz="0" w:space="0" w:color="auto"/>
            <w:left w:val="none" w:sz="0" w:space="0" w:color="auto"/>
            <w:bottom w:val="none" w:sz="0" w:space="0" w:color="auto"/>
            <w:right w:val="none" w:sz="0" w:space="0" w:color="auto"/>
          </w:divBdr>
        </w:div>
        <w:div w:id="1211108007">
          <w:marLeft w:val="0"/>
          <w:marRight w:val="0"/>
          <w:marTop w:val="0"/>
          <w:marBottom w:val="0"/>
          <w:divBdr>
            <w:top w:val="none" w:sz="0" w:space="0" w:color="auto"/>
            <w:left w:val="none" w:sz="0" w:space="0" w:color="auto"/>
            <w:bottom w:val="none" w:sz="0" w:space="0" w:color="auto"/>
            <w:right w:val="none" w:sz="0" w:space="0" w:color="auto"/>
          </w:divBdr>
        </w:div>
        <w:div w:id="1044981516">
          <w:marLeft w:val="0"/>
          <w:marRight w:val="0"/>
          <w:marTop w:val="0"/>
          <w:marBottom w:val="0"/>
          <w:divBdr>
            <w:top w:val="none" w:sz="0" w:space="0" w:color="auto"/>
            <w:left w:val="none" w:sz="0" w:space="0" w:color="auto"/>
            <w:bottom w:val="none" w:sz="0" w:space="0" w:color="auto"/>
            <w:right w:val="none" w:sz="0" w:space="0" w:color="auto"/>
          </w:divBdr>
        </w:div>
        <w:div w:id="393238094">
          <w:marLeft w:val="0"/>
          <w:marRight w:val="0"/>
          <w:marTop w:val="0"/>
          <w:marBottom w:val="0"/>
          <w:divBdr>
            <w:top w:val="none" w:sz="0" w:space="0" w:color="auto"/>
            <w:left w:val="none" w:sz="0" w:space="0" w:color="auto"/>
            <w:bottom w:val="none" w:sz="0" w:space="0" w:color="auto"/>
            <w:right w:val="none" w:sz="0" w:space="0" w:color="auto"/>
          </w:divBdr>
        </w:div>
        <w:div w:id="525296296">
          <w:marLeft w:val="0"/>
          <w:marRight w:val="0"/>
          <w:marTop w:val="0"/>
          <w:marBottom w:val="0"/>
          <w:divBdr>
            <w:top w:val="none" w:sz="0" w:space="0" w:color="auto"/>
            <w:left w:val="none" w:sz="0" w:space="0" w:color="auto"/>
            <w:bottom w:val="none" w:sz="0" w:space="0" w:color="auto"/>
            <w:right w:val="none" w:sz="0" w:space="0" w:color="auto"/>
          </w:divBdr>
        </w:div>
        <w:div w:id="1894387167">
          <w:marLeft w:val="0"/>
          <w:marRight w:val="0"/>
          <w:marTop w:val="0"/>
          <w:marBottom w:val="0"/>
          <w:divBdr>
            <w:top w:val="none" w:sz="0" w:space="0" w:color="auto"/>
            <w:left w:val="none" w:sz="0" w:space="0" w:color="auto"/>
            <w:bottom w:val="none" w:sz="0" w:space="0" w:color="auto"/>
            <w:right w:val="none" w:sz="0" w:space="0" w:color="auto"/>
          </w:divBdr>
        </w:div>
        <w:div w:id="827945395">
          <w:marLeft w:val="0"/>
          <w:marRight w:val="0"/>
          <w:marTop w:val="0"/>
          <w:marBottom w:val="0"/>
          <w:divBdr>
            <w:top w:val="none" w:sz="0" w:space="0" w:color="auto"/>
            <w:left w:val="none" w:sz="0" w:space="0" w:color="auto"/>
            <w:bottom w:val="none" w:sz="0" w:space="0" w:color="auto"/>
            <w:right w:val="none" w:sz="0" w:space="0" w:color="auto"/>
          </w:divBdr>
        </w:div>
        <w:div w:id="415252288">
          <w:marLeft w:val="0"/>
          <w:marRight w:val="0"/>
          <w:marTop w:val="0"/>
          <w:marBottom w:val="0"/>
          <w:divBdr>
            <w:top w:val="none" w:sz="0" w:space="0" w:color="auto"/>
            <w:left w:val="none" w:sz="0" w:space="0" w:color="auto"/>
            <w:bottom w:val="none" w:sz="0" w:space="0" w:color="auto"/>
            <w:right w:val="none" w:sz="0" w:space="0" w:color="auto"/>
          </w:divBdr>
        </w:div>
        <w:div w:id="661660875">
          <w:marLeft w:val="0"/>
          <w:marRight w:val="0"/>
          <w:marTop w:val="0"/>
          <w:marBottom w:val="0"/>
          <w:divBdr>
            <w:top w:val="none" w:sz="0" w:space="0" w:color="auto"/>
            <w:left w:val="none" w:sz="0" w:space="0" w:color="auto"/>
            <w:bottom w:val="none" w:sz="0" w:space="0" w:color="auto"/>
            <w:right w:val="none" w:sz="0" w:space="0" w:color="auto"/>
          </w:divBdr>
        </w:div>
        <w:div w:id="577831620">
          <w:marLeft w:val="0"/>
          <w:marRight w:val="0"/>
          <w:marTop w:val="0"/>
          <w:marBottom w:val="0"/>
          <w:divBdr>
            <w:top w:val="none" w:sz="0" w:space="0" w:color="auto"/>
            <w:left w:val="none" w:sz="0" w:space="0" w:color="auto"/>
            <w:bottom w:val="none" w:sz="0" w:space="0" w:color="auto"/>
            <w:right w:val="none" w:sz="0" w:space="0" w:color="auto"/>
          </w:divBdr>
        </w:div>
        <w:div w:id="609894273">
          <w:marLeft w:val="0"/>
          <w:marRight w:val="0"/>
          <w:marTop w:val="0"/>
          <w:marBottom w:val="0"/>
          <w:divBdr>
            <w:top w:val="none" w:sz="0" w:space="0" w:color="auto"/>
            <w:left w:val="none" w:sz="0" w:space="0" w:color="auto"/>
            <w:bottom w:val="none" w:sz="0" w:space="0" w:color="auto"/>
            <w:right w:val="none" w:sz="0" w:space="0" w:color="auto"/>
          </w:divBdr>
        </w:div>
        <w:div w:id="1472020087">
          <w:marLeft w:val="0"/>
          <w:marRight w:val="0"/>
          <w:marTop w:val="0"/>
          <w:marBottom w:val="0"/>
          <w:divBdr>
            <w:top w:val="none" w:sz="0" w:space="0" w:color="auto"/>
            <w:left w:val="none" w:sz="0" w:space="0" w:color="auto"/>
            <w:bottom w:val="none" w:sz="0" w:space="0" w:color="auto"/>
            <w:right w:val="none" w:sz="0" w:space="0" w:color="auto"/>
          </w:divBdr>
        </w:div>
        <w:div w:id="1881550935">
          <w:marLeft w:val="0"/>
          <w:marRight w:val="0"/>
          <w:marTop w:val="0"/>
          <w:marBottom w:val="0"/>
          <w:divBdr>
            <w:top w:val="none" w:sz="0" w:space="0" w:color="auto"/>
            <w:left w:val="none" w:sz="0" w:space="0" w:color="auto"/>
            <w:bottom w:val="none" w:sz="0" w:space="0" w:color="auto"/>
            <w:right w:val="none" w:sz="0" w:space="0" w:color="auto"/>
          </w:divBdr>
        </w:div>
        <w:div w:id="416825877">
          <w:marLeft w:val="0"/>
          <w:marRight w:val="0"/>
          <w:marTop w:val="0"/>
          <w:marBottom w:val="0"/>
          <w:divBdr>
            <w:top w:val="none" w:sz="0" w:space="0" w:color="auto"/>
            <w:left w:val="none" w:sz="0" w:space="0" w:color="auto"/>
            <w:bottom w:val="none" w:sz="0" w:space="0" w:color="auto"/>
            <w:right w:val="none" w:sz="0" w:space="0" w:color="auto"/>
          </w:divBdr>
        </w:div>
        <w:div w:id="1049232062">
          <w:marLeft w:val="0"/>
          <w:marRight w:val="0"/>
          <w:marTop w:val="0"/>
          <w:marBottom w:val="0"/>
          <w:divBdr>
            <w:top w:val="none" w:sz="0" w:space="0" w:color="auto"/>
            <w:left w:val="none" w:sz="0" w:space="0" w:color="auto"/>
            <w:bottom w:val="none" w:sz="0" w:space="0" w:color="auto"/>
            <w:right w:val="none" w:sz="0" w:space="0" w:color="auto"/>
          </w:divBdr>
        </w:div>
        <w:div w:id="833498923">
          <w:marLeft w:val="0"/>
          <w:marRight w:val="0"/>
          <w:marTop w:val="0"/>
          <w:marBottom w:val="0"/>
          <w:divBdr>
            <w:top w:val="none" w:sz="0" w:space="0" w:color="auto"/>
            <w:left w:val="none" w:sz="0" w:space="0" w:color="auto"/>
            <w:bottom w:val="none" w:sz="0" w:space="0" w:color="auto"/>
            <w:right w:val="none" w:sz="0" w:space="0" w:color="auto"/>
          </w:divBdr>
        </w:div>
        <w:div w:id="233711799">
          <w:marLeft w:val="0"/>
          <w:marRight w:val="0"/>
          <w:marTop w:val="0"/>
          <w:marBottom w:val="0"/>
          <w:divBdr>
            <w:top w:val="none" w:sz="0" w:space="0" w:color="auto"/>
            <w:left w:val="none" w:sz="0" w:space="0" w:color="auto"/>
            <w:bottom w:val="none" w:sz="0" w:space="0" w:color="auto"/>
            <w:right w:val="none" w:sz="0" w:space="0" w:color="auto"/>
          </w:divBdr>
        </w:div>
        <w:div w:id="2124761538">
          <w:marLeft w:val="0"/>
          <w:marRight w:val="0"/>
          <w:marTop w:val="0"/>
          <w:marBottom w:val="0"/>
          <w:divBdr>
            <w:top w:val="none" w:sz="0" w:space="0" w:color="auto"/>
            <w:left w:val="none" w:sz="0" w:space="0" w:color="auto"/>
            <w:bottom w:val="none" w:sz="0" w:space="0" w:color="auto"/>
            <w:right w:val="none" w:sz="0" w:space="0" w:color="auto"/>
          </w:divBdr>
        </w:div>
        <w:div w:id="919486553">
          <w:marLeft w:val="0"/>
          <w:marRight w:val="0"/>
          <w:marTop w:val="0"/>
          <w:marBottom w:val="0"/>
          <w:divBdr>
            <w:top w:val="none" w:sz="0" w:space="0" w:color="auto"/>
            <w:left w:val="none" w:sz="0" w:space="0" w:color="auto"/>
            <w:bottom w:val="none" w:sz="0" w:space="0" w:color="auto"/>
            <w:right w:val="none" w:sz="0" w:space="0" w:color="auto"/>
          </w:divBdr>
        </w:div>
        <w:div w:id="556670374">
          <w:marLeft w:val="0"/>
          <w:marRight w:val="0"/>
          <w:marTop w:val="0"/>
          <w:marBottom w:val="0"/>
          <w:divBdr>
            <w:top w:val="none" w:sz="0" w:space="0" w:color="auto"/>
            <w:left w:val="none" w:sz="0" w:space="0" w:color="auto"/>
            <w:bottom w:val="none" w:sz="0" w:space="0" w:color="auto"/>
            <w:right w:val="none" w:sz="0" w:space="0" w:color="auto"/>
          </w:divBdr>
        </w:div>
        <w:div w:id="112868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j.ctv136bvr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2616</Words>
  <Characters>12796</Characters>
  <Application>Microsoft Office Word</Application>
  <DocSecurity>0</DocSecurity>
  <Lines>272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3</cp:revision>
  <dcterms:created xsi:type="dcterms:W3CDTF">2024-05-05T18:38:00Z</dcterms:created>
  <dcterms:modified xsi:type="dcterms:W3CDTF">2024-05-05T18:45:00Z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a4c58095d118438ef641b982f7d83f687398302dfed526d1524389972cfc0054</vt:lpwstr>
  </property>
</Properties>
</file>