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B0B7C6" wp14:paraId="35955FE6" wp14:textId="7B50990E">
      <w:pPr>
        <w:spacing w:before="0" w:beforeAutospacing="off" w:after="0" w:afterAutospacing="off"/>
        <w:jc w:val="center"/>
        <w:rPr>
          <w:rFonts w:ascii="Arial" w:hAnsi="Arial" w:eastAsia="Arial" w:cs="Arial"/>
          <w:b w:val="0"/>
          <w:bCs w:val="0"/>
          <w:i w:val="0"/>
          <w:iCs w:val="0"/>
          <w:strike w:val="0"/>
          <w:dstrike w:val="0"/>
          <w:color w:val="000000" w:themeColor="text1" w:themeTint="FF" w:themeShade="FF"/>
          <w:sz w:val="32"/>
          <w:szCs w:val="32"/>
          <w:u w:val="single"/>
        </w:rPr>
      </w:pPr>
      <w:r w:rsidRPr="19B0B7C6" w:rsidR="728B586B">
        <w:rPr>
          <w:rFonts w:ascii="Arial" w:hAnsi="Arial" w:eastAsia="Arial" w:cs="Arial"/>
          <w:b w:val="0"/>
          <w:bCs w:val="0"/>
          <w:i w:val="0"/>
          <w:iCs w:val="0"/>
          <w:strike w:val="0"/>
          <w:dstrike w:val="0"/>
          <w:color w:val="000000" w:themeColor="text1" w:themeTint="FF" w:themeShade="FF"/>
          <w:sz w:val="32"/>
          <w:szCs w:val="32"/>
          <w:u w:val="single"/>
        </w:rPr>
        <w:t>Cwricwla Blynnyddoedd Cynnar</w:t>
      </w:r>
    </w:p>
    <w:p xmlns:wp14="http://schemas.microsoft.com/office/word/2010/wordml" wp14:paraId="26C37650" wp14:textId="2679EF0F"/>
    <w:p xmlns:wp14="http://schemas.microsoft.com/office/word/2010/wordml" w:rsidP="19B0B7C6" wp14:paraId="79A9C95C" wp14:textId="0B307CEF">
      <w:pPr>
        <w:spacing w:before="0" w:beforeAutospacing="off" w:after="0" w:afterAutospacing="off"/>
        <w:jc w:val="center"/>
        <w:rPr>
          <w:rFonts w:ascii="Arial" w:hAnsi="Arial" w:eastAsia="Arial" w:cs="Arial"/>
          <w:b w:val="0"/>
          <w:bCs w:val="0"/>
          <w:i w:val="0"/>
          <w:iCs w:val="0"/>
          <w:strike w:val="0"/>
          <w:dstrike w:val="0"/>
          <w:color w:val="000000" w:themeColor="text1" w:themeTint="FF" w:themeShade="FF"/>
          <w:sz w:val="30"/>
          <w:szCs w:val="30"/>
          <w:u w:val="none"/>
        </w:rPr>
      </w:pPr>
    </w:p>
    <w:p xmlns:wp14="http://schemas.microsoft.com/office/word/2010/wordml" w:rsidP="19B0B7C6" wp14:paraId="50F6BC78" wp14:textId="38EC81EC">
      <w:pPr>
        <w:spacing w:before="0" w:beforeAutospacing="off" w:after="0" w:afterAutospacing="off"/>
        <w:jc w:val="center"/>
      </w:pPr>
      <w:r w:rsidRPr="19B0B7C6" w:rsidR="38B610C1">
        <w:rPr>
          <w:rFonts w:ascii="Arial" w:hAnsi="Arial" w:eastAsia="Arial" w:cs="Arial"/>
          <w:b w:val="0"/>
          <w:bCs w:val="0"/>
          <w:i w:val="0"/>
          <w:iCs w:val="0"/>
          <w:strike w:val="0"/>
          <w:dstrike w:val="0"/>
          <w:color w:val="000000" w:themeColor="text1" w:themeTint="FF" w:themeShade="FF"/>
          <w:sz w:val="30"/>
          <w:szCs w:val="30"/>
          <w:u w:val="none"/>
        </w:rPr>
        <w:t>CYNNWYS:</w:t>
      </w:r>
    </w:p>
    <w:p xmlns:wp14="http://schemas.microsoft.com/office/word/2010/wordml" w:rsidP="19B0B7C6" wp14:paraId="3750B261" wp14:textId="05B450B0">
      <w:pPr>
        <w:spacing w:before="0" w:beforeAutospacing="off" w:after="0" w:afterAutospacing="off"/>
        <w:jc w:val="center"/>
        <w:rPr>
          <w:rFonts w:ascii="Arial" w:hAnsi="Arial" w:eastAsia="Arial" w:cs="Arial"/>
          <w:b w:val="0"/>
          <w:bCs w:val="0"/>
          <w:i w:val="0"/>
          <w:iCs w:val="0"/>
          <w:strike w:val="0"/>
          <w:dstrike w:val="0"/>
          <w:color w:val="000000" w:themeColor="text1" w:themeTint="FF" w:themeShade="FF"/>
          <w:sz w:val="30"/>
          <w:szCs w:val="30"/>
          <w:u w:val="none"/>
        </w:rPr>
      </w:pPr>
    </w:p>
    <w:p xmlns:wp14="http://schemas.microsoft.com/office/word/2010/wordml" w:rsidP="19B0B7C6" wp14:paraId="08919C68" wp14:textId="2CFD3590">
      <w:pPr>
        <w:spacing w:before="0" w:beforeAutospacing="off" w:after="0" w:afterAutospacing="off"/>
        <w:jc w:val="both"/>
      </w:pP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Darn 1: </w:t>
      </w:r>
      <w:r w:rsidRPr="19B0B7C6" w:rsidR="728B586B">
        <w:rPr>
          <w:rFonts w:ascii="Arial" w:hAnsi="Arial" w:eastAsia="Arial" w:cs="Arial"/>
          <w:b w:val="0"/>
          <w:bCs w:val="0"/>
          <w:i w:val="0"/>
          <w:iCs w:val="0"/>
          <w:strike w:val="0"/>
          <w:dstrike w:val="0"/>
          <w:color w:val="000000" w:themeColor="text1" w:themeTint="FF" w:themeShade="FF"/>
          <w:sz w:val="30"/>
          <w:szCs w:val="30"/>
          <w:u w:val="none"/>
        </w:rPr>
        <w:t>Dadansoddi</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dau</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Cwricwla Blynnyddoed Cynnar………...</w:t>
      </w:r>
      <w:r w:rsidRPr="19B0B7C6" w:rsidR="74175857">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…2</w:t>
      </w:r>
    </w:p>
    <w:p xmlns:wp14="http://schemas.microsoft.com/office/word/2010/wordml" w:rsidP="19B0B7C6" wp14:paraId="0719B830" wp14:textId="65D96F5B">
      <w:pPr>
        <w:jc w:val="both"/>
      </w:pPr>
    </w:p>
    <w:p xmlns:wp14="http://schemas.microsoft.com/office/word/2010/wordml" w:rsidP="19B0B7C6" wp14:paraId="5651464D" wp14:textId="5269D20D">
      <w:pPr>
        <w:spacing w:before="0" w:beforeAutospacing="off" w:after="0" w:afterAutospacing="off"/>
        <w:jc w:val="both"/>
      </w:pP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Darn 2: </w:t>
      </w:r>
      <w:r w:rsidRPr="19B0B7C6" w:rsidR="728B586B">
        <w:rPr>
          <w:rFonts w:ascii="Arial" w:hAnsi="Arial" w:eastAsia="Arial" w:cs="Arial"/>
          <w:b w:val="0"/>
          <w:bCs w:val="0"/>
          <w:i w:val="0"/>
          <w:iCs w:val="0"/>
          <w:strike w:val="0"/>
          <w:dstrike w:val="0"/>
          <w:color w:val="000000" w:themeColor="text1" w:themeTint="FF" w:themeShade="FF"/>
          <w:sz w:val="30"/>
          <w:szCs w:val="30"/>
          <w:u w:val="none"/>
        </w:rPr>
        <w:t>Ystyried</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30"/>
          <w:szCs w:val="30"/>
          <w:u w:val="none"/>
        </w:rPr>
        <w:t>Plentyn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Unigryw</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Gwerthusiad</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Beirniadol</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o </w:t>
      </w:r>
      <w:r w:rsidRPr="19B0B7C6" w:rsidR="728B586B">
        <w:rPr>
          <w:rFonts w:ascii="Arial" w:hAnsi="Arial" w:eastAsia="Arial" w:cs="Arial"/>
          <w:b w:val="0"/>
          <w:bCs w:val="0"/>
          <w:i w:val="0"/>
          <w:iCs w:val="0"/>
          <w:strike w:val="0"/>
          <w:dstrike w:val="0"/>
          <w:color w:val="000000" w:themeColor="text1" w:themeTint="FF" w:themeShade="FF"/>
          <w:sz w:val="30"/>
          <w:szCs w:val="30"/>
          <w:u w:val="none"/>
        </w:rPr>
        <w:t>Asesu</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mewn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Dysgu</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Sylfaenol </w:t>
      </w:r>
      <w:r w:rsidRPr="19B0B7C6" w:rsidR="728B586B">
        <w:rPr>
          <w:rFonts w:ascii="Arial" w:hAnsi="Arial" w:eastAsia="Arial" w:cs="Arial"/>
          <w:b w:val="0"/>
          <w:bCs w:val="0"/>
          <w:i w:val="0"/>
          <w:iCs w:val="0"/>
          <w:strike w:val="0"/>
          <w:dstrike w:val="0"/>
          <w:color w:val="000000" w:themeColor="text1" w:themeTint="FF" w:themeShade="FF"/>
          <w:sz w:val="30"/>
          <w:szCs w:val="30"/>
          <w:u w:val="none"/>
        </w:rPr>
        <w:t>yng</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Nghymru ac </w:t>
      </w:r>
      <w:r w:rsidRPr="19B0B7C6" w:rsidR="728B586B">
        <w:rPr>
          <w:rFonts w:ascii="Arial" w:hAnsi="Arial" w:eastAsia="Arial" w:cs="Arial"/>
          <w:b w:val="0"/>
          <w:bCs w:val="0"/>
          <w:i w:val="0"/>
          <w:iCs w:val="0"/>
          <w:strike w:val="0"/>
          <w:dstrike w:val="0"/>
          <w:color w:val="000000" w:themeColor="text1" w:themeTint="FF" w:themeShade="FF"/>
          <w:sz w:val="30"/>
          <w:szCs w:val="30"/>
          <w:u w:val="none"/>
        </w:rPr>
        <w:t>Ysgolion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Meithrin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yn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y Coed </w:t>
      </w:r>
      <w:r w:rsidRPr="19B0B7C6" w:rsidR="728B586B">
        <w:rPr>
          <w:rFonts w:ascii="Arial" w:hAnsi="Arial" w:eastAsia="Arial" w:cs="Arial"/>
          <w:b w:val="0"/>
          <w:bCs w:val="0"/>
          <w:i w:val="0"/>
          <w:iCs w:val="0"/>
          <w:strike w:val="0"/>
          <w:dstrike w:val="0"/>
          <w:color w:val="000000" w:themeColor="text1" w:themeTint="FF" w:themeShade="FF"/>
          <w:sz w:val="30"/>
          <w:szCs w:val="30"/>
          <w:u w:val="none"/>
        </w:rPr>
        <w:t>yn</w:t>
      </w: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none"/>
        </w:rPr>
        <w:t>Nenmarc</w:t>
      </w:r>
      <w:r w:rsidRPr="19B0B7C6" w:rsidR="728B586B">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w:t>
      </w:r>
      <w:r w:rsidRPr="19B0B7C6" w:rsidR="12E4019D">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w:t>
      </w:r>
      <w:r w:rsidRPr="19B0B7C6" w:rsidR="728B586B">
        <w:rPr>
          <w:rFonts w:ascii="Arial" w:hAnsi="Arial" w:eastAsia="Arial" w:cs="Arial"/>
          <w:b w:val="0"/>
          <w:bCs w:val="0"/>
          <w:i w:val="0"/>
          <w:iCs w:val="0"/>
          <w:strike w:val="0"/>
          <w:dstrike w:val="0"/>
          <w:color w:val="000000" w:themeColor="text1" w:themeTint="FF" w:themeShade="FF"/>
          <w:sz w:val="30"/>
          <w:szCs w:val="30"/>
          <w:u w:val="none"/>
        </w:rPr>
        <w:t>7</w:t>
      </w:r>
    </w:p>
    <w:p xmlns:wp14="http://schemas.microsoft.com/office/word/2010/wordml" w:rsidP="19B0B7C6" wp14:paraId="0279FF53" wp14:textId="7ED5EB6B">
      <w:pPr>
        <w:jc w:val="both"/>
      </w:pPr>
    </w:p>
    <w:p xmlns:wp14="http://schemas.microsoft.com/office/word/2010/wordml" w:rsidP="19B0B7C6" wp14:paraId="7DC6E236" wp14:textId="62C69C91">
      <w:pPr>
        <w:spacing w:before="0" w:beforeAutospacing="off" w:after="0" w:afterAutospacing="off"/>
        <w:jc w:val="both"/>
        <w:rPr>
          <w:rFonts w:ascii="Arial" w:hAnsi="Arial" w:eastAsia="Arial" w:cs="Arial"/>
          <w:b w:val="0"/>
          <w:bCs w:val="0"/>
          <w:i w:val="0"/>
          <w:iCs w:val="0"/>
          <w:strike w:val="0"/>
          <w:dstrike w:val="0"/>
          <w:color w:val="000000" w:themeColor="text1" w:themeTint="FF" w:themeShade="FF"/>
          <w:sz w:val="30"/>
          <w:szCs w:val="30"/>
          <w:u w:val="none"/>
        </w:rPr>
      </w:pPr>
      <w:r w:rsidRPr="19B0B7C6" w:rsidR="728B586B">
        <w:rPr>
          <w:rFonts w:ascii="Arial" w:hAnsi="Arial" w:eastAsia="Arial" w:cs="Arial"/>
          <w:b w:val="0"/>
          <w:bCs w:val="0"/>
          <w:i w:val="0"/>
          <w:iCs w:val="0"/>
          <w:strike w:val="0"/>
          <w:dstrike w:val="0"/>
          <w:color w:val="000000" w:themeColor="text1" w:themeTint="FF" w:themeShade="FF"/>
          <w:sz w:val="30"/>
          <w:szCs w:val="30"/>
          <w:u w:val="none"/>
        </w:rPr>
        <w:t>Darn 3: Blog …………………………………………………………</w:t>
      </w:r>
      <w:r w:rsidRPr="19B0B7C6" w:rsidR="27324CAA">
        <w:rPr>
          <w:rFonts w:ascii="Arial" w:hAnsi="Arial" w:eastAsia="Arial" w:cs="Arial"/>
          <w:b w:val="0"/>
          <w:bCs w:val="0"/>
          <w:i w:val="0"/>
          <w:iCs w:val="0"/>
          <w:strike w:val="0"/>
          <w:dstrike w:val="0"/>
          <w:color w:val="000000" w:themeColor="text1" w:themeTint="FF" w:themeShade="FF"/>
          <w:sz w:val="30"/>
          <w:szCs w:val="30"/>
          <w:u w:val="none"/>
        </w:rPr>
        <w:t>.......12</w:t>
      </w:r>
    </w:p>
    <w:p xmlns:wp14="http://schemas.microsoft.com/office/word/2010/wordml" w:rsidP="19B0B7C6" wp14:paraId="04F15CFB" wp14:textId="6D656045">
      <w:pPr>
        <w:jc w:val="both"/>
      </w:pPr>
    </w:p>
    <w:p xmlns:wp14="http://schemas.microsoft.com/office/word/2010/wordml" w:rsidP="19B0B7C6" wp14:paraId="2275913B" wp14:textId="49AEC59E">
      <w:pPr>
        <w:spacing w:before="0" w:beforeAutospacing="off" w:after="0" w:afterAutospacing="off"/>
        <w:jc w:val="both"/>
      </w:pPr>
      <w:r w:rsidRPr="15CD8A61" w:rsidR="728B586B">
        <w:rPr>
          <w:rFonts w:ascii="Arial" w:hAnsi="Arial" w:eastAsia="Arial" w:cs="Arial"/>
          <w:b w:val="0"/>
          <w:bCs w:val="0"/>
          <w:i w:val="0"/>
          <w:iCs w:val="0"/>
          <w:strike w:val="0"/>
          <w:dstrike w:val="0"/>
          <w:color w:val="000000" w:themeColor="text1" w:themeTint="FF" w:themeShade="FF"/>
          <w:sz w:val="30"/>
          <w:szCs w:val="30"/>
          <w:u w:val="none"/>
        </w:rPr>
        <w:t>Rhestr</w:t>
      </w:r>
      <w:r w:rsidRPr="15CD8A61" w:rsidR="728B586B">
        <w:rPr>
          <w:rFonts w:ascii="Arial" w:hAnsi="Arial" w:eastAsia="Arial" w:cs="Arial"/>
          <w:b w:val="0"/>
          <w:bCs w:val="0"/>
          <w:i w:val="0"/>
          <w:iCs w:val="0"/>
          <w:strike w:val="0"/>
          <w:dstrike w:val="0"/>
          <w:color w:val="000000" w:themeColor="text1" w:themeTint="FF" w:themeShade="FF"/>
          <w:sz w:val="30"/>
          <w:szCs w:val="30"/>
          <w:u w:val="none"/>
        </w:rPr>
        <w:t xml:space="preserve"> </w:t>
      </w:r>
      <w:r w:rsidRPr="15CD8A61" w:rsidR="728B586B">
        <w:rPr>
          <w:rFonts w:ascii="Arial" w:hAnsi="Arial" w:eastAsia="Arial" w:cs="Arial"/>
          <w:b w:val="0"/>
          <w:bCs w:val="0"/>
          <w:i w:val="0"/>
          <w:iCs w:val="0"/>
          <w:strike w:val="0"/>
          <w:dstrike w:val="0"/>
          <w:color w:val="000000" w:themeColor="text1" w:themeTint="FF" w:themeShade="FF"/>
          <w:sz w:val="30"/>
          <w:szCs w:val="30"/>
          <w:u w:val="none"/>
        </w:rPr>
        <w:t>Cyfeirnod</w:t>
      </w:r>
      <w:r w:rsidRPr="15CD8A61" w:rsidR="728B586B">
        <w:rPr>
          <w:rFonts w:ascii="Arial" w:hAnsi="Arial" w:eastAsia="Arial" w:cs="Arial"/>
          <w:b w:val="0"/>
          <w:bCs w:val="0"/>
          <w:i w:val="0"/>
          <w:iCs w:val="0"/>
          <w:strike w:val="0"/>
          <w:dstrike w:val="0"/>
          <w:color w:val="000000" w:themeColor="text1" w:themeTint="FF" w:themeShade="FF"/>
          <w:sz w:val="30"/>
          <w:szCs w:val="30"/>
          <w:u w:val="none"/>
        </w:rPr>
        <w:t>……………………………………………</w:t>
      </w:r>
      <w:r w:rsidRPr="15CD8A61" w:rsidR="1A255080">
        <w:rPr>
          <w:rFonts w:ascii="Arial" w:hAnsi="Arial" w:eastAsia="Arial" w:cs="Arial"/>
          <w:b w:val="0"/>
          <w:bCs w:val="0"/>
          <w:i w:val="0"/>
          <w:iCs w:val="0"/>
          <w:strike w:val="0"/>
          <w:dstrike w:val="0"/>
          <w:color w:val="000000" w:themeColor="text1" w:themeTint="FF" w:themeShade="FF"/>
          <w:sz w:val="30"/>
          <w:szCs w:val="30"/>
          <w:u w:val="none"/>
        </w:rPr>
        <w:t>...........</w:t>
      </w:r>
      <w:r w:rsidRPr="15CD8A61" w:rsidR="728B586B">
        <w:rPr>
          <w:rFonts w:ascii="Arial" w:hAnsi="Arial" w:eastAsia="Arial" w:cs="Arial"/>
          <w:b w:val="0"/>
          <w:bCs w:val="0"/>
          <w:i w:val="0"/>
          <w:iCs w:val="0"/>
          <w:strike w:val="0"/>
          <w:dstrike w:val="0"/>
          <w:color w:val="000000" w:themeColor="text1" w:themeTint="FF" w:themeShade="FF"/>
          <w:sz w:val="30"/>
          <w:szCs w:val="30"/>
          <w:u w:val="none"/>
        </w:rPr>
        <w:t>……</w:t>
      </w:r>
      <w:r w:rsidRPr="15CD8A61" w:rsidR="3FED4D49">
        <w:rPr>
          <w:rFonts w:ascii="Arial" w:hAnsi="Arial" w:eastAsia="Arial" w:cs="Arial"/>
          <w:b w:val="0"/>
          <w:bCs w:val="0"/>
          <w:i w:val="0"/>
          <w:iCs w:val="0"/>
          <w:strike w:val="0"/>
          <w:dstrike w:val="0"/>
          <w:color w:val="000000" w:themeColor="text1" w:themeTint="FF" w:themeShade="FF"/>
          <w:sz w:val="30"/>
          <w:szCs w:val="30"/>
          <w:u w:val="none"/>
        </w:rPr>
        <w:t>13</w:t>
      </w:r>
    </w:p>
    <w:p xmlns:wp14="http://schemas.microsoft.com/office/word/2010/wordml" w:rsidP="19B0B7C6" wp14:paraId="6409101C" wp14:textId="5D40E41C">
      <w:pPr>
        <w:jc w:val="both"/>
      </w:pPr>
    </w:p>
    <w:p xmlns:wp14="http://schemas.microsoft.com/office/word/2010/wordml" wp14:paraId="616E5010" wp14:textId="088CCF9F"/>
    <w:p xmlns:wp14="http://schemas.microsoft.com/office/word/2010/wordml" wp14:paraId="3664B1BB" wp14:textId="29C6305F"/>
    <w:p xmlns:wp14="http://schemas.microsoft.com/office/word/2010/wordml" w:rsidP="19B0B7C6" wp14:paraId="084E1D78" wp14:textId="6C3E9B98">
      <w:pPr>
        <w:spacing w:before="0" w:beforeAutospacing="off" w:after="0" w:afterAutospacing="off"/>
        <w:jc w:val="center"/>
      </w:pPr>
      <w:r w:rsidRPr="19B0B7C6" w:rsidR="728B586B">
        <w:rPr>
          <w:rFonts w:ascii="Arial" w:hAnsi="Arial" w:eastAsia="Arial" w:cs="Arial"/>
          <w:b w:val="0"/>
          <w:bCs w:val="0"/>
          <w:i w:val="0"/>
          <w:iCs w:val="0"/>
          <w:strike w:val="0"/>
          <w:dstrike w:val="0"/>
          <w:color w:val="000000" w:themeColor="text1" w:themeTint="FF" w:themeShade="FF"/>
          <w:sz w:val="30"/>
          <w:szCs w:val="30"/>
          <w:u w:val="none"/>
        </w:rPr>
        <w:t>Datganiad AI</w:t>
      </w:r>
    </w:p>
    <w:p xmlns:wp14="http://schemas.microsoft.com/office/word/2010/wordml" w:rsidP="19B0B7C6" wp14:paraId="19CED31F" wp14:textId="1EBB4914">
      <w:pPr>
        <w:spacing w:before="0" w:beforeAutospacing="off" w:after="0" w:afterAutospacing="off"/>
        <w:jc w:val="center"/>
      </w:pPr>
      <w:r w:rsidRPr="19B0B7C6" w:rsidR="728B586B">
        <w:rPr>
          <w:rFonts w:ascii="Arial" w:hAnsi="Arial" w:eastAsia="Arial" w:cs="Arial"/>
          <w:b w:val="0"/>
          <w:bCs w:val="0"/>
          <w:i w:val="0"/>
          <w:iCs w:val="0"/>
          <w:strike w:val="0"/>
          <w:dstrike w:val="0"/>
          <w:color w:val="000000" w:themeColor="text1" w:themeTint="FF" w:themeShade="FF"/>
          <w:sz w:val="30"/>
          <w:szCs w:val="30"/>
          <w:u w:val="none"/>
        </w:rPr>
        <w:t xml:space="preserve">Dydw i ddim wedi defnyddio AI yn fy ngwaith. </w:t>
      </w:r>
    </w:p>
    <w:p xmlns:wp14="http://schemas.microsoft.com/office/word/2010/wordml" wp14:paraId="5C63004D" wp14:textId="06F5DF5B"/>
    <w:p xmlns:wp14="http://schemas.microsoft.com/office/word/2010/wordml" wp14:paraId="37CF9445" wp14:textId="30B49FC4"/>
    <w:p xmlns:wp14="http://schemas.microsoft.com/office/word/2010/wordml" wp14:paraId="08F005ED" wp14:textId="7AA2941B"/>
    <w:p xmlns:wp14="http://schemas.microsoft.com/office/word/2010/wordml" wp14:paraId="727356E8" wp14:textId="23511A10"/>
    <w:p xmlns:wp14="http://schemas.microsoft.com/office/word/2010/wordml" wp14:paraId="232E5FEC" wp14:textId="0F7110AE"/>
    <w:p xmlns:wp14="http://schemas.microsoft.com/office/word/2010/wordml" wp14:paraId="3C087F21" wp14:textId="5C433BE8"/>
    <w:p xmlns:wp14="http://schemas.microsoft.com/office/word/2010/wordml" wp14:paraId="5FAB8DD8" wp14:textId="6ACB0ADA"/>
    <w:p xmlns:wp14="http://schemas.microsoft.com/office/word/2010/wordml" wp14:paraId="21476AC3" wp14:textId="5757F35B"/>
    <w:p xmlns:wp14="http://schemas.microsoft.com/office/word/2010/wordml" wp14:paraId="4E41891F" wp14:textId="1DEDC680"/>
    <w:p xmlns:wp14="http://schemas.microsoft.com/office/word/2010/wordml" w:rsidP="19B0B7C6" wp14:paraId="6390FD47" wp14:textId="5F748645">
      <w:pPr>
        <w:pStyle w:val="Normal"/>
        <w:rPr>
          <w:rFonts w:ascii="Arial" w:hAnsi="Arial" w:eastAsia="Arial" w:cs="Arial"/>
          <w:b w:val="0"/>
          <w:bCs w:val="0"/>
          <w:i w:val="0"/>
          <w:iCs w:val="0"/>
          <w:strike w:val="0"/>
          <w:dstrike w:val="0"/>
          <w:color w:val="000000" w:themeColor="text1" w:themeTint="FF" w:themeShade="FF"/>
          <w:sz w:val="30"/>
          <w:szCs w:val="30"/>
          <w:u w:val="single"/>
        </w:rPr>
      </w:pPr>
    </w:p>
    <w:p xmlns:wp14="http://schemas.microsoft.com/office/word/2010/wordml" w:rsidP="19B0B7C6" wp14:paraId="46CF5AC4" wp14:textId="7715CAB5">
      <w:pPr>
        <w:pStyle w:val="Normal"/>
      </w:pPr>
      <w:r w:rsidRPr="19B0B7C6" w:rsidR="728B586B">
        <w:rPr>
          <w:rFonts w:ascii="Arial" w:hAnsi="Arial" w:eastAsia="Arial" w:cs="Arial"/>
          <w:b w:val="0"/>
          <w:bCs w:val="0"/>
          <w:i w:val="0"/>
          <w:iCs w:val="0"/>
          <w:strike w:val="0"/>
          <w:dstrike w:val="0"/>
          <w:color w:val="000000" w:themeColor="text1" w:themeTint="FF" w:themeShade="FF"/>
          <w:sz w:val="30"/>
          <w:szCs w:val="30"/>
          <w:u w:val="single"/>
        </w:rPr>
        <w:t>Dadansoddiad</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Dau Cwricwla Blynnyddoedd </w:t>
      </w:r>
      <w:r w:rsidRPr="19B0B7C6" w:rsidR="728B586B">
        <w:rPr>
          <w:rFonts w:ascii="Arial" w:hAnsi="Arial" w:eastAsia="Arial" w:cs="Arial"/>
          <w:b w:val="0"/>
          <w:bCs w:val="0"/>
          <w:i w:val="0"/>
          <w:iCs w:val="0"/>
          <w:strike w:val="0"/>
          <w:dstrike w:val="0"/>
          <w:color w:val="000000" w:themeColor="text1" w:themeTint="FF" w:themeShade="FF"/>
          <w:sz w:val="30"/>
          <w:szCs w:val="30"/>
          <w:u w:val="single"/>
        </w:rPr>
        <w:t>Cynnar</w:t>
      </w:r>
    </w:p>
    <w:p xmlns:wp14="http://schemas.microsoft.com/office/word/2010/wordml" w:rsidP="19B0B7C6" wp14:paraId="7850F533" wp14:textId="633DE9AC">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Mae dysgu seiliedig ar chwarae yn ddull pwysig o fewn addysg plentyndod cynnar oherwydd ei fod yn galluogi plant i archwilio eu diddordebau, datblygu perthnasoedd ac adeiladu dealltwriaeth trwy brofiadau gweithredol (Taylor and Boyer, 2020). Fodd bynnag, mae gweithredu cwricwla seiliedig ar chwarae yn cyflwyno heriau oherwydd rhaid trosi polisi addysgol yn ymarfer ystyrlon wrth gydbwyso ymreolaeth plant ag amcanion dysgu, asesu, cynhwysiant ac arebolrwydd. Mae’r trafodaeth hon yn cymharu’n feirniadol y Cyfnod Sylfaen (Welsh Government [WG],2015) gyda Meithrinfa Goedwig Denmarc, gan ystyried sut mae strwythurau cwricwlwm, arbenigedd ymarferwyr ac ac amgylcheddau dysgu yn dylanwadu ar weithredu. Er bod y ddau dull yn gwerthfawrogi cyfranogiad gweithredol plant, maent yn gweithredu o fewn cy-destunau addysgol gwahanol. Roedd y Cyfnod Sylfaen (WG, 2015) yn fframwaith cwricwlwm cenedlaethol Cymru ar gyfer plant rhwng tair a saith oed, tra bod Meithrinfa Goedwig Denmarc yn ddull seiliadig ar natur o fewn system addysg a gofal plentyndod cynnar. Mae Taylor, Rhys a Waldron (2016) yn dangos bod diwygio’r cwricwlwm yn cynnwys heriau y tu hwnt i ddylunio polisi ei hun. Yn yr un modd, mae Mackinder (2022) yn dangos sut mae credoau addysgeg a threfniadiaeth amgylcheddau dysgu yn llunio profiadau plant o chwarae yn yr awyr agored. </w:t>
      </w:r>
    </w:p>
    <w:p xmlns:wp14="http://schemas.microsoft.com/office/word/2010/wordml" w:rsidP="19B0B7C6" wp14:paraId="7CDD7F25" wp14:textId="0C316596">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single"/>
        </w:rPr>
        <w:t>Gweithredu'r cwricwlwm a pholisi</w:t>
      </w:r>
    </w:p>
    <w:p xmlns:wp14="http://schemas.microsoft.com/office/word/2010/wordml" w:rsidP="19B0B7C6" wp14:paraId="202171CF" wp14:textId="375D27E1">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Her sylweddol wrth weithredu cwricwla sy’n seiliedig ar chwarae yw sicrhau bod egwyddorion bwriadedig polisi addysgol yn cael eu hadlewyrchu’n gydon mewn ymarfer pob dydd (Taylor, Rhys and Waldron, 2016). Yng Nghymru, roedd y Cyfnod Sylfaen (WG,2015) yn cynrychioli symudiad i ffwrdd o ddull mwy ffurfiol, sy’n seiliedig ar gymhwysedd, tuag at ddysgu profiadol a datblygiad plant. Fodd bynnag, mae Taylor, Rhys a Waldron (2016) yn egluro bod ffactorau cyd-destunol o amgylch ei gyflwyno wedi dylanwadu ar weithredu ac effaith ddilynol y giwygiad. Mae hyn yn awgrymu nad yw sefydlu cwricwlwm sy’n seiliedig ar chwarae yn trawsnewid arferion addysgeg ymarferwyr yn awtomatig. Gall gwahaniaethau mewn dealltwriaeth broffesiynol, blaenoriaethau sefydliadol a’r gefnogaeth sydd ar gael i leoliadau effeithio ar sut mae egwyddorion cwricwlwm yn cael eu dehongli (WG, 2026). </w:t>
      </w:r>
    </w:p>
    <w:p xmlns:wp14="http://schemas.microsoft.com/office/word/2010/wordml" w:rsidP="19B0B7C6" wp14:paraId="2556D76D" wp14:textId="1C245C41">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Mae tystiolaeth gyfoes yn dangos bod gweithredu’n parhau i fod yn berthnasol o dan y Cwricwlwm i Gymru. Archwiliodd astudiaeth ansoddol Llywodraeth Cymru (2026) o ddysgu sylfaen ddylunio cwricwlwm, arfer addysgeg, dilyniant, asesu a dysgu proffesiynol ar draws 19 o ysgolion cynradd. Mae’r ymchwil yn rhoi cipolwg ar sut mae ymarferwyr yn dehongli ac yn gwireddu dysgu sy’n briodol i ddatblygiad, er na all ei sampl ansoddol sefydlu pa mor aml y mae heriau penodol yn digwydd ledled Cymru. Serch hynny, mae’n tynnu sylw at bwysigrwydd archwilio gweithredu’r cwricwlwm fel proses yn hytrach na thybio bod bwriadau polisi yn gwarantu arfer cyson. </w:t>
      </w:r>
    </w:p>
    <w:p xmlns:wp14="http://schemas.microsoft.com/office/word/2010/wordml" w:rsidP="19B0B7C6" wp14:paraId="789B3233" wp14:textId="47394474">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Mae cymhariaeth â Meithrinfa Goedwig Denmarc yn dangos sut mae addysgeg hefyd yn cael ei llunio gan drefniadaeth lleoliadau unigol. Cymharodd Mackinder (2022) chwarae plant mewn un Ysgol Goedwig yn Lloegr ac un Meithrinfa Goedwig Denmarc. Er bod plant yn y ddau leoliad wedi cymryd rhan weithredol mewn chwarae, roedd y lleoliadau’n wahanol yn eu dulliau addysgeg a’u trefniadaeth. Mae hyn yn dangos bod profiadau plant yn cael eu dylanwadu nid yn unig gan werth datganedig chwarae, ond hefyd gan sut mae oedolion yn strwythuro cyfleoedd ac adnoddau. Fodd bynnag, ni all yr astudiaeth achos ar raddfa fach sefydlu bod y gwahaniaethau hyn yn cynrychioli’r holl ddarpariaeth Saesneg neu Ddaneg. Ar ben hynny, ni ddylid cyfateb Meithrinfa Goedwig â chwricwlwm plentyndod cynnar cyfan Denmarc. Mae fframwaith addysgeg cenedlaethol Denmarc yn cwmpasu sawl thema ddatblygiadol, gan gynnwys natur, bywyd awyr agored a gwyddoniaeth (Gweinyddiaeth Plant ac Addysg Denmarc, 2020). </w:t>
      </w:r>
    </w:p>
    <w:p xmlns:wp14="http://schemas.microsoft.com/office/word/2010/wordml" w:rsidP="19B0B7C6" wp14:paraId="6274CB59" wp14:textId="2A14C78B">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O ganlyniad, mae'r ddau gyd-destun yn dangos bod gweithredu dysgu seiliedig ar chwarae yn dibynnu ar sut mae ymarferwyr yn dehongli ac yn gweithredu egwyddorion addysgol. Er bod y dystiolaeth Gymreig yn tynnu sylw at heriau sy'n gysylltiedig â diwygio'r cwricwlwm, mae'r gymhariaeth Ddenmarc yn dangos dylanwad penderfyniadau addysgeg penodol i leoliadau. Nid yw'r naill gyd-destun na'r llall yn gwarantu gweithredu cyson drwy gymeradwyo dysgu sy'n canolbwyntio ar y plentyn yn unig.</w:t>
      </w:r>
    </w:p>
    <w:p xmlns:wp14="http://schemas.microsoft.com/office/word/2010/wordml" w:rsidP="19B0B7C6" wp14:paraId="46F74761" wp14:textId="45454B01">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single"/>
        </w:rPr>
        <w:t>Asesu a disgwyliadau academaidd</w:t>
      </w:r>
    </w:p>
    <w:p xmlns:wp14="http://schemas.microsoft.com/office/word/2010/wordml" w:rsidP="19B0B7C6" wp14:paraId="08FA1832" wp14:textId="1A90941B">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Her bellach yw cydbwyso archwilio dan arweiniad plant â disgwyliadau ar gyfer asesu a chynnydd mesuradwy. O fewn addysg sy'n seiliedig ar chwarae, gall dysgu plant ddod i'r amlwg yn raddol trwy sgyrsiau, arbrofi a rhyngweithio cymdeithasol yn hytrach na thrwy weithgareddau â chanlyniadau wedi'u pennu ymlaen llaw. O ganlyniad, rhaid i ymarferwyr gydnabod a dogfennu dysgu heb ganiatáu i ofynion asesu ddominyddu profiadau plant. Yng Nghymru, mae ymchwil Llywodraeth Cymru (2022) i arferion asesu yn y Cyfnod Sylfaen yn darparu ffynhonnell bolisi berthnasol ar gyfer archwilio sut mae asesu'n cael ei ymgorffori yn y ddarpariaeth blynyddoedd cynnar. Mae adroddiad Estyn (2017) ar ddysgu gweithredol a phrofiadol hefyd yn darparu cyd-destun ar gyfer ystyried sut mae ymarferwyr yn cefnogi dysgu ystyrlon wrth fynd i'r afael â disgwyliadau llythrennedd a rhifedd.</w:t>
      </w:r>
    </w:p>
    <w:p xmlns:wp14="http://schemas.microsoft.com/office/word/2010/wordml" w:rsidP="19B0B7C6" wp14:paraId="1B68E219" wp14:textId="43CEF4E3">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Fodd bynnag, byddai'n anghywir awgrymu bod asesu yn gynhenid anghydnaws â chwarae. Gall arsylwi alluogi ymarferwyr i nodi diddordebau sy'n dod i'r amlwg, cydnabod dealltwriaeth plant a chynllunio camau nesaf priodol (Llywodraeth Cymru, 2022). Mae'r her yn codi pan fydd asesu'n canolbwyntio gormod ar yr hyn y gellir ei fesur, gan annog ymarferwyr o bosibl i flaenoriaethu canlyniadau y gellir eu dangos yn hawdd dros brofiadau datblygiadol ehangach. Mae Llywodraeth Cymru (2026) yn tynnu sylw at densiynau parhaus rhwng asesu cyfannol, sy'n seiliedig ar arsylwi, ac angen canfyddedig ymarferwyr i ddangos cynnydd mesuradwy. I'r gwrthwyneb, heb arsylwi ac asesu pwrpasol, gall ymarferwyr golli cyfleoedd i nodi gwybodaeth sy'n datblygu plant ac addasu profiadau i gefnogi eu hanghenion dysgu unigol (Guarrella, van Driel a Cohrssen, 2022). Felly, mae gweithredu effeithiol yn ei gwneud yn ofynnol i ymarferwyr gydbwyso dysgu ymatebol, a gychwynnir gan blant, â chynllunio addysgol gwybodus.</w:t>
      </w:r>
    </w:p>
    <w:p xmlns:wp14="http://schemas.microsoft.com/office/word/2010/wordml" w:rsidP="19B0B7C6" wp14:paraId="3835B3A2" wp14:textId="1807B8D5">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tensiwn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hwn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berthnasol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Ddenmarc</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hefyd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Mae </w:t>
      </w:r>
      <w:r w:rsidRPr="19B0B7C6" w:rsidR="728B586B">
        <w:rPr>
          <w:rFonts w:ascii="Arial" w:hAnsi="Arial" w:eastAsia="Arial" w:cs="Arial"/>
          <w:b w:val="0"/>
          <w:bCs w:val="0"/>
          <w:i w:val="0"/>
          <w:iCs w:val="0"/>
          <w:strike w:val="0"/>
          <w:dstrike w:val="0"/>
          <w:color w:val="000000" w:themeColor="text1" w:themeTint="FF" w:themeShade="FF"/>
          <w:sz w:val="24"/>
          <w:szCs w:val="24"/>
          <w:u w:val="none"/>
        </w:rPr>
        <w:t>Gweinidogaeth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Plant </w:t>
      </w:r>
      <w:r w:rsidRPr="19B0B7C6" w:rsidR="728B586B">
        <w:rPr>
          <w:rFonts w:ascii="Arial" w:hAnsi="Arial" w:eastAsia="Arial" w:cs="Arial"/>
          <w:b w:val="0"/>
          <w:bCs w:val="0"/>
          <w:i w:val="0"/>
          <w:iCs w:val="0"/>
          <w:strike w:val="0"/>
          <w:dstrike w:val="0"/>
          <w:color w:val="000000" w:themeColor="text1" w:themeTint="FF" w:themeShade="FF"/>
          <w:sz w:val="24"/>
          <w:szCs w:val="24"/>
          <w:u w:val="none"/>
        </w:rPr>
        <w:t>ac</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Addysg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Denmarc</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(2020)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nodi </w:t>
      </w:r>
      <w:r w:rsidRPr="19B0B7C6" w:rsidR="728B586B">
        <w:rPr>
          <w:rFonts w:ascii="Arial" w:hAnsi="Arial" w:eastAsia="Arial" w:cs="Arial"/>
          <w:b w:val="0"/>
          <w:bCs w:val="0"/>
          <w:i w:val="0"/>
          <w:iCs w:val="0"/>
          <w:strike w:val="0"/>
          <w:dstrike w:val="0"/>
          <w:color w:val="000000" w:themeColor="text1" w:themeTint="FF" w:themeShade="FF"/>
          <w:sz w:val="24"/>
          <w:szCs w:val="24"/>
          <w:u w:val="none"/>
        </w:rPr>
        <w:t>chwe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thema </w:t>
      </w:r>
      <w:r w:rsidRPr="19B0B7C6" w:rsidR="728B586B">
        <w:rPr>
          <w:rFonts w:ascii="Arial" w:hAnsi="Arial" w:eastAsia="Arial" w:cs="Arial"/>
          <w:b w:val="0"/>
          <w:bCs w:val="0"/>
          <w:i w:val="0"/>
          <w:iCs w:val="0"/>
          <w:strike w:val="0"/>
          <w:dstrike w:val="0"/>
          <w:color w:val="000000" w:themeColor="text1" w:themeTint="FF" w:themeShade="FF"/>
          <w:sz w:val="24"/>
          <w:szCs w:val="24"/>
          <w:u w:val="none"/>
        </w:rPr>
        <w:t>gwricwlaidd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o </w:t>
      </w:r>
      <w:r w:rsidRPr="19B0B7C6" w:rsidR="728B586B">
        <w:rPr>
          <w:rFonts w:ascii="Arial" w:hAnsi="Arial" w:eastAsia="Arial" w:cs="Arial"/>
          <w:b w:val="0"/>
          <w:bCs w:val="0"/>
          <w:i w:val="0"/>
          <w:iCs w:val="0"/>
          <w:strike w:val="0"/>
          <w:dstrike w:val="0"/>
          <w:color w:val="000000" w:themeColor="text1" w:themeTint="FF" w:themeShade="FF"/>
          <w:sz w:val="24"/>
          <w:szCs w:val="24"/>
          <w:u w:val="none"/>
        </w:rPr>
        <w:t>fewn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fframwaith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pedagogaidd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cenedlaethol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gan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ddangos</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bod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darpariaeth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sy'n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seiliedig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natur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rhan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o </w:t>
      </w:r>
      <w:r w:rsidRPr="19B0B7C6" w:rsidR="728B586B">
        <w:rPr>
          <w:rFonts w:ascii="Arial" w:hAnsi="Arial" w:eastAsia="Arial" w:cs="Arial"/>
          <w:b w:val="0"/>
          <w:bCs w:val="0"/>
          <w:i w:val="0"/>
          <w:iCs w:val="0"/>
          <w:strike w:val="0"/>
          <w:dstrike w:val="0"/>
          <w:color w:val="000000" w:themeColor="text1" w:themeTint="FF" w:themeShade="FF"/>
          <w:sz w:val="24"/>
          <w:szCs w:val="24"/>
          <w:u w:val="none"/>
        </w:rPr>
        <w:t>ymrwymiad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ehangach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ddatblygiad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plant. Felly, </w:t>
      </w:r>
      <w:r w:rsidRPr="19B0B7C6" w:rsidR="728B586B">
        <w:rPr>
          <w:rFonts w:ascii="Arial" w:hAnsi="Arial" w:eastAsia="Arial" w:cs="Arial"/>
          <w:b w:val="0"/>
          <w:bCs w:val="0"/>
          <w:i w:val="0"/>
          <w:iCs w:val="0"/>
          <w:strike w:val="0"/>
          <w:dstrike w:val="0"/>
          <w:color w:val="000000" w:themeColor="text1" w:themeTint="FF" w:themeShade="FF"/>
          <w:sz w:val="24"/>
          <w:szCs w:val="24"/>
          <w:u w:val="none"/>
        </w:rPr>
        <w:t>rhaid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deall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'Kindergarten </w:t>
      </w:r>
      <w:r w:rsidRPr="19B0B7C6" w:rsidR="728B586B">
        <w:rPr>
          <w:rFonts w:ascii="Arial" w:hAnsi="Arial" w:eastAsia="Arial" w:cs="Arial"/>
          <w:b w:val="0"/>
          <w:bCs w:val="0"/>
          <w:i w:val="0"/>
          <w:iCs w:val="0"/>
          <w:strike w:val="0"/>
          <w:dstrike w:val="0"/>
          <w:color w:val="000000" w:themeColor="text1" w:themeTint="FF" w:themeShade="FF"/>
          <w:sz w:val="24"/>
          <w:szCs w:val="24"/>
          <w:u w:val="none"/>
        </w:rPr>
        <w:t>Coedwig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fel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rhywbeth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sy'n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fwy</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na</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chwarae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awyr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agored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heb</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gyfyngiadau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Mae </w:t>
      </w:r>
      <w:r w:rsidRPr="19B0B7C6" w:rsidR="728B586B">
        <w:rPr>
          <w:rFonts w:ascii="Arial" w:hAnsi="Arial" w:eastAsia="Arial" w:cs="Arial"/>
          <w:b w:val="0"/>
          <w:bCs w:val="0"/>
          <w:i w:val="0"/>
          <w:iCs w:val="0"/>
          <w:strike w:val="0"/>
          <w:dstrike w:val="0"/>
          <w:color w:val="000000" w:themeColor="text1" w:themeTint="FF" w:themeShade="FF"/>
          <w:sz w:val="24"/>
          <w:szCs w:val="24"/>
          <w:u w:val="none"/>
        </w:rPr>
        <w:t>angen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ymarferwyr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barhau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ystyried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dysgu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cyfranogiad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 </w:t>
      </w:r>
      <w:r w:rsidRPr="19B0B7C6" w:rsidR="728B586B">
        <w:rPr>
          <w:rFonts w:ascii="Arial" w:hAnsi="Arial" w:eastAsia="Arial" w:cs="Arial"/>
          <w:b w:val="0"/>
          <w:bCs w:val="0"/>
          <w:i w:val="0"/>
          <w:iCs w:val="0"/>
          <w:strike w:val="0"/>
          <w:dstrike w:val="0"/>
          <w:color w:val="000000" w:themeColor="text1" w:themeTint="FF" w:themeShade="FF"/>
          <w:sz w:val="24"/>
          <w:szCs w:val="24"/>
          <w:u w:val="none"/>
        </w:rPr>
        <w:t>datblygiad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plant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draws y </w:t>
      </w:r>
      <w:r w:rsidRPr="19B0B7C6" w:rsidR="728B586B">
        <w:rPr>
          <w:rFonts w:ascii="Arial" w:hAnsi="Arial" w:eastAsia="Arial" w:cs="Arial"/>
          <w:b w:val="0"/>
          <w:bCs w:val="0"/>
          <w:i w:val="0"/>
          <w:iCs w:val="0"/>
          <w:strike w:val="0"/>
          <w:dstrike w:val="0"/>
          <w:color w:val="000000" w:themeColor="text1" w:themeTint="FF" w:themeShade="FF"/>
          <w:sz w:val="24"/>
          <w:szCs w:val="24"/>
          <w:u w:val="none"/>
        </w:rPr>
        <w:t>cwricwlwm</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Mae Mohammed et al. (2026), </w:t>
      </w:r>
      <w:r w:rsidRPr="19B0B7C6" w:rsidR="728B586B">
        <w:rPr>
          <w:rFonts w:ascii="Arial" w:hAnsi="Arial" w:eastAsia="Arial" w:cs="Arial"/>
          <w:b w:val="0"/>
          <w:bCs w:val="0"/>
          <w:i w:val="0"/>
          <w:iCs w:val="0"/>
          <w:strike w:val="0"/>
          <w:dstrike w:val="0"/>
          <w:color w:val="000000" w:themeColor="text1" w:themeTint="FF" w:themeShade="FF"/>
          <w:sz w:val="24"/>
          <w:szCs w:val="24"/>
          <w:u w:val="none"/>
        </w:rPr>
        <w:t>mewn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adolygiad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cwmpasu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o 51 o </w:t>
      </w:r>
      <w:r w:rsidRPr="19B0B7C6" w:rsidR="728B586B">
        <w:rPr>
          <w:rFonts w:ascii="Arial" w:hAnsi="Arial" w:eastAsia="Arial" w:cs="Arial"/>
          <w:b w:val="0"/>
          <w:bCs w:val="0"/>
          <w:i w:val="0"/>
          <w:iCs w:val="0"/>
          <w:strike w:val="0"/>
          <w:dstrike w:val="0"/>
          <w:color w:val="000000" w:themeColor="text1" w:themeTint="FF" w:themeShade="FF"/>
          <w:sz w:val="24"/>
          <w:szCs w:val="24"/>
          <w:u w:val="none"/>
        </w:rPr>
        <w:t>astudiaethau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ddysgu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drwy</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chwarae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nodi </w:t>
      </w:r>
      <w:r w:rsidRPr="19B0B7C6" w:rsidR="728B586B">
        <w:rPr>
          <w:rFonts w:ascii="Arial" w:hAnsi="Arial" w:eastAsia="Arial" w:cs="Arial"/>
          <w:b w:val="0"/>
          <w:bCs w:val="0"/>
          <w:i w:val="0"/>
          <w:iCs w:val="0"/>
          <w:strike w:val="0"/>
          <w:dstrike w:val="0"/>
          <w:color w:val="000000" w:themeColor="text1" w:themeTint="FF" w:themeShade="FF"/>
          <w:sz w:val="24"/>
          <w:szCs w:val="24"/>
          <w:u w:val="none"/>
        </w:rPr>
        <w:t>ffactorau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gweithredu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ac </w:t>
      </w:r>
      <w:r w:rsidRPr="19B0B7C6" w:rsidR="728B586B">
        <w:rPr>
          <w:rFonts w:ascii="Arial" w:hAnsi="Arial" w:eastAsia="Arial" w:cs="Arial"/>
          <w:b w:val="0"/>
          <w:bCs w:val="0"/>
          <w:i w:val="0"/>
          <w:iCs w:val="0"/>
          <w:strike w:val="0"/>
          <w:dstrike w:val="0"/>
          <w:color w:val="000000" w:themeColor="text1" w:themeTint="FF" w:themeShade="FF"/>
          <w:sz w:val="24"/>
          <w:szCs w:val="24"/>
          <w:u w:val="none"/>
        </w:rPr>
        <w:t>arferion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asesu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fel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meysydd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pwysig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o </w:t>
      </w:r>
      <w:r w:rsidRPr="19B0B7C6" w:rsidR="728B586B">
        <w:rPr>
          <w:rFonts w:ascii="Arial" w:hAnsi="Arial" w:eastAsia="Arial" w:cs="Arial"/>
          <w:b w:val="0"/>
          <w:bCs w:val="0"/>
          <w:i w:val="0"/>
          <w:iCs w:val="0"/>
          <w:strike w:val="0"/>
          <w:dstrike w:val="0"/>
          <w:color w:val="000000" w:themeColor="text1" w:themeTint="FF" w:themeShade="FF"/>
          <w:sz w:val="24"/>
          <w:szCs w:val="24"/>
          <w:u w:val="none"/>
        </w:rPr>
        <w:t>fewn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llenyddiaeth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ymchwil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Fodd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bynnag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mae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amrywiaeth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lleoliadau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dulliau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ymchwil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 </w:t>
      </w:r>
      <w:r w:rsidRPr="19B0B7C6" w:rsidR="728B586B">
        <w:rPr>
          <w:rFonts w:ascii="Arial" w:hAnsi="Arial" w:eastAsia="Arial" w:cs="Arial"/>
          <w:b w:val="0"/>
          <w:bCs w:val="0"/>
          <w:i w:val="0"/>
          <w:iCs w:val="0"/>
          <w:strike w:val="0"/>
          <w:dstrike w:val="0"/>
          <w:color w:val="000000" w:themeColor="text1" w:themeTint="FF" w:themeShade="FF"/>
          <w:sz w:val="24"/>
          <w:szCs w:val="24"/>
          <w:u w:val="none"/>
        </w:rPr>
        <w:t>gynhwysir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yr </w:t>
      </w:r>
      <w:r w:rsidRPr="19B0B7C6" w:rsidR="728B586B">
        <w:rPr>
          <w:rFonts w:ascii="Arial" w:hAnsi="Arial" w:eastAsia="Arial" w:cs="Arial"/>
          <w:b w:val="0"/>
          <w:bCs w:val="0"/>
          <w:i w:val="0"/>
          <w:iCs w:val="0"/>
          <w:strike w:val="0"/>
          <w:dstrike w:val="0"/>
          <w:color w:val="000000" w:themeColor="text1" w:themeTint="FF" w:themeShade="FF"/>
          <w:sz w:val="24"/>
          <w:szCs w:val="24"/>
          <w:u w:val="none"/>
        </w:rPr>
        <w:t>adolygiad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cyfyngu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graddau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gellir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cymhwyso'r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canfyddiadau'n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uniongyrchol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Gymru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neu </w:t>
      </w:r>
      <w:r w:rsidRPr="19B0B7C6" w:rsidR="728B586B">
        <w:rPr>
          <w:rFonts w:ascii="Arial" w:hAnsi="Arial" w:eastAsia="Arial" w:cs="Arial"/>
          <w:b w:val="0"/>
          <w:bCs w:val="0"/>
          <w:i w:val="0"/>
          <w:iCs w:val="0"/>
          <w:strike w:val="0"/>
          <w:dstrike w:val="0"/>
          <w:color w:val="000000" w:themeColor="text1" w:themeTint="FF" w:themeShade="FF"/>
          <w:sz w:val="24"/>
          <w:szCs w:val="24"/>
          <w:u w:val="none"/>
        </w:rPr>
        <w:t>Ddenmarc</w:t>
      </w:r>
      <w:r w:rsidRPr="19B0B7C6" w:rsidR="728B586B">
        <w:rPr>
          <w:rFonts w:ascii="Arial" w:hAnsi="Arial" w:eastAsia="Arial" w:cs="Arial"/>
          <w:b w:val="0"/>
          <w:bCs w:val="0"/>
          <w:i w:val="0"/>
          <w:iCs w:val="0"/>
          <w:strike w:val="0"/>
          <w:dstrike w:val="0"/>
          <w:color w:val="000000" w:themeColor="text1" w:themeTint="FF" w:themeShade="FF"/>
          <w:sz w:val="24"/>
          <w:szCs w:val="24"/>
          <w:u w:val="none"/>
        </w:rPr>
        <w:t>.</w:t>
      </w:r>
    </w:p>
    <w:p xmlns:wp14="http://schemas.microsoft.com/office/word/2010/wordml" w:rsidP="19B0B7C6" wp14:paraId="7A832E1B" wp14:textId="23792331">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Mae'r gymhariaeth yn awgrymu bod asesu yn cyflwyno her yn y ddau gyd-destun, er y gall y pwysau a wynebir gan leoliadau unigol amrywio. Yn hytrach na rhoi'r gorau i asesu er mwyn diogelu ymreolaeth plant, mae angen dulliau ar ymarferwyr sy'n cydnabod dysgu drwy arsylwi a rhyngweithio ystyrlon, heb gyfyngu ar archwilio yn ddiangen (Llywodraeth Cymru, 2022; Guarrella, van Driel a Cohrssen, 2023).</w:t>
      </w:r>
    </w:p>
    <w:p xmlns:wp14="http://schemas.microsoft.com/office/word/2010/wordml" w:rsidP="19B0B7C6" wp14:paraId="02FC191A" wp14:textId="0C483329">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single"/>
        </w:rPr>
        <w:t>Amgylcheddau awyr agored, diogelwch a chynhwysiant</w:t>
      </w:r>
    </w:p>
    <w:p xmlns:wp14="http://schemas.microsoft.com/office/word/2010/wordml" w:rsidP="19B0B7C6" wp14:paraId="03CECA39" wp14:textId="7071E9AA">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 dysgu yn yr awyr agored yn creu cyfleoedd ar gyfer symud, archwilio a rhyngweithio, ond mae gweithredu darpariaeth sy'n seiliedig ar natur hefyd yn cyflwyno heriau ymarferol (Cerino, 2023). Gall Meithrinfa'r Goedwig gynnig mynediad i blant at ddeunyddiau naturiol ac amgylcheddau llai rhagweladwy, gan gefnogi cyfleoedd ar gyfer chwarae dychmygus, gweithgaredd corfforol ac archwilio amgylcheddol. Fodd bynnag, nid yw argaeledd lle awyr agored addas yn sicrhau dysgu o ansawdd uchel yn awtomatig. Rhaid i ymarferwyr ystyried addasrwydd yr amgylchedd, yr adnoddau sydd ar gael, amodau tywydd, dillad, goruchwyliaeth ac anghenion unigol plant (Cerino, 2023).</w:t>
      </w:r>
    </w:p>
    <w:p xmlns:wp14="http://schemas.microsoft.com/office/word/2010/wordml" w:rsidP="19B0B7C6" wp14:paraId="015DCBF8" wp14:textId="33E5291C">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Cynhaliodd Ardoin a Bowers (2020) adolygiad systematig o 66 o astudiaethau empirig o addysg amgylcheddol plentyndod cynnar. Mae eu hadolygiad yn nodi canlyniadau gwybyddol, affeithiol a chymdeithasol-emosiynol a gofnodwyd sy'n gysylltiedig ag addysg amgylcheddol ac yn tynnu sylw at bwysigrwydd chwarae, symud a phrofiadau cyfoethog o ran natur. Mae hyn yn darparu sylfaen dystiolaeth sylweddol ar gyfer ystyried potensial addysgol dysgu yn yr awyr agored. Serch hynny, mae addysg amgylcheddol yn cynnwys ystod ehangach o brofiadau na Meithrinfa Goedwig, sy'n golygu na ellir trin ei chanfyddiadau fel tystiolaeth uniongyrchol bod pob lleoliad sy'n seiliedig ar natur yn Nenmarc yn cyflawni'r un canlyniadau.</w:t>
      </w:r>
    </w:p>
    <w:p xmlns:wp14="http://schemas.microsoft.com/office/word/2010/wordml" w:rsidP="19B0B7C6" wp14:paraId="50A31DDD" wp14:textId="0A4A06A3">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Adolygodd Dabaja (2021b) </w:t>
      </w:r>
      <w:r w:rsidRPr="19B0B7C6" w:rsidR="728B586B">
        <w:rPr>
          <w:rFonts w:ascii="Arial" w:hAnsi="Arial" w:eastAsia="Arial" w:cs="Arial"/>
          <w:b w:val="0"/>
          <w:bCs w:val="0"/>
          <w:i w:val="0"/>
          <w:iCs w:val="0"/>
          <w:strike w:val="0"/>
          <w:dstrike w:val="0"/>
          <w:color w:val="000000" w:themeColor="text1" w:themeTint="FF" w:themeShade="FF"/>
          <w:sz w:val="24"/>
          <w:szCs w:val="24"/>
          <w:u w:val="none"/>
        </w:rPr>
        <w:t>ymchwil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Ysgol </w:t>
      </w:r>
      <w:r w:rsidRPr="19B0B7C6" w:rsidR="728B586B">
        <w:rPr>
          <w:rFonts w:ascii="Arial" w:hAnsi="Arial" w:eastAsia="Arial" w:cs="Arial"/>
          <w:b w:val="0"/>
          <w:bCs w:val="0"/>
          <w:i w:val="0"/>
          <w:iCs w:val="0"/>
          <w:strike w:val="0"/>
          <w:dstrike w:val="0"/>
          <w:color w:val="000000" w:themeColor="text1" w:themeTint="FF" w:themeShade="FF"/>
          <w:sz w:val="24"/>
          <w:szCs w:val="24"/>
          <w:u w:val="none"/>
        </w:rPr>
        <w:t>Goedwig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 nododd </w:t>
      </w:r>
      <w:r w:rsidRPr="19B0B7C6" w:rsidR="728B586B">
        <w:rPr>
          <w:rFonts w:ascii="Arial" w:hAnsi="Arial" w:eastAsia="Arial" w:cs="Arial"/>
          <w:b w:val="0"/>
          <w:bCs w:val="0"/>
          <w:i w:val="0"/>
          <w:iCs w:val="0"/>
          <w:strike w:val="0"/>
          <w:dstrike w:val="0"/>
          <w:color w:val="000000" w:themeColor="text1" w:themeTint="FF" w:themeShade="FF"/>
          <w:sz w:val="24"/>
          <w:szCs w:val="24"/>
          <w:u w:val="none"/>
        </w:rPr>
        <w:t>fanteision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adroddwyd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ymwneud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â </w:t>
      </w:r>
      <w:r w:rsidRPr="19B0B7C6" w:rsidR="728B586B">
        <w:rPr>
          <w:rFonts w:ascii="Arial" w:hAnsi="Arial" w:eastAsia="Arial" w:cs="Arial"/>
          <w:b w:val="0"/>
          <w:bCs w:val="0"/>
          <w:i w:val="0"/>
          <w:iCs w:val="0"/>
          <w:strike w:val="0"/>
          <w:dstrike w:val="0"/>
          <w:color w:val="000000" w:themeColor="text1" w:themeTint="FF" w:themeShade="FF"/>
          <w:sz w:val="24"/>
          <w:szCs w:val="24"/>
          <w:u w:val="none"/>
        </w:rPr>
        <w:t>chydweithrediad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cymdeithasol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 </w:t>
      </w:r>
      <w:r w:rsidRPr="19B0B7C6" w:rsidR="728B586B">
        <w:rPr>
          <w:rFonts w:ascii="Arial" w:hAnsi="Arial" w:eastAsia="Arial" w:cs="Arial"/>
          <w:b w:val="0"/>
          <w:bCs w:val="0"/>
          <w:i w:val="0"/>
          <w:iCs w:val="0"/>
          <w:strike w:val="0"/>
          <w:dstrike w:val="0"/>
          <w:color w:val="000000" w:themeColor="text1" w:themeTint="FF" w:themeShade="FF"/>
          <w:sz w:val="24"/>
          <w:szCs w:val="24"/>
          <w:u w:val="none"/>
        </w:rPr>
        <w:t>sgiliau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corfforol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plant. Mewn </w:t>
      </w:r>
      <w:r w:rsidRPr="19B0B7C6" w:rsidR="728B586B">
        <w:rPr>
          <w:rFonts w:ascii="Arial" w:hAnsi="Arial" w:eastAsia="Arial" w:cs="Arial"/>
          <w:b w:val="0"/>
          <w:bCs w:val="0"/>
          <w:i w:val="0"/>
          <w:iCs w:val="0"/>
          <w:strike w:val="0"/>
          <w:dstrike w:val="0"/>
          <w:color w:val="000000" w:themeColor="text1" w:themeTint="FF" w:themeShade="FF"/>
          <w:sz w:val="24"/>
          <w:szCs w:val="24"/>
          <w:u w:val="none"/>
        </w:rPr>
        <w:t>adolygiad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dilynol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ystyriodd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Dabaja (2021a) </w:t>
      </w:r>
      <w:r w:rsidRPr="19B0B7C6" w:rsidR="728B586B">
        <w:rPr>
          <w:rFonts w:ascii="Arial" w:hAnsi="Arial" w:eastAsia="Arial" w:cs="Arial"/>
          <w:b w:val="0"/>
          <w:bCs w:val="0"/>
          <w:i w:val="0"/>
          <w:iCs w:val="0"/>
          <w:strike w:val="0"/>
          <w:dstrike w:val="0"/>
          <w:color w:val="000000" w:themeColor="text1" w:themeTint="FF" w:themeShade="FF"/>
          <w:sz w:val="24"/>
          <w:szCs w:val="24"/>
          <w:u w:val="none"/>
        </w:rPr>
        <w:t>ganlyniadau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ychwanegol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adroddwyd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gan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gynnwys</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hyder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lles</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emosiynol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rheoli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risg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ac </w:t>
      </w:r>
      <w:r w:rsidRPr="19B0B7C6" w:rsidR="728B586B">
        <w:rPr>
          <w:rFonts w:ascii="Arial" w:hAnsi="Arial" w:eastAsia="Arial" w:cs="Arial"/>
          <w:b w:val="0"/>
          <w:bCs w:val="0"/>
          <w:i w:val="0"/>
          <w:iCs w:val="0"/>
          <w:strike w:val="0"/>
          <w:dstrike w:val="0"/>
          <w:color w:val="000000" w:themeColor="text1" w:themeTint="FF" w:themeShade="FF"/>
          <w:sz w:val="24"/>
          <w:szCs w:val="24"/>
          <w:u w:val="none"/>
        </w:rPr>
        <w:t>ymwybyddiaeth</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amgylcheddol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Gyda'i </w:t>
      </w:r>
      <w:r w:rsidRPr="19B0B7C6" w:rsidR="728B586B">
        <w:rPr>
          <w:rFonts w:ascii="Arial" w:hAnsi="Arial" w:eastAsia="Arial" w:cs="Arial"/>
          <w:b w:val="0"/>
          <w:bCs w:val="0"/>
          <w:i w:val="0"/>
          <w:iCs w:val="0"/>
          <w:strike w:val="0"/>
          <w:dstrike w:val="0"/>
          <w:color w:val="000000" w:themeColor="text1" w:themeTint="FF" w:themeShade="FF"/>
          <w:sz w:val="24"/>
          <w:szCs w:val="24"/>
          <w:u w:val="none"/>
        </w:rPr>
        <w:t>gilydd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mae'r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adolygiadau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awgrymu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gall Ysgol </w:t>
      </w:r>
      <w:r w:rsidRPr="19B0B7C6" w:rsidR="728B586B">
        <w:rPr>
          <w:rFonts w:ascii="Arial" w:hAnsi="Arial" w:eastAsia="Arial" w:cs="Arial"/>
          <w:b w:val="0"/>
          <w:bCs w:val="0"/>
          <w:i w:val="0"/>
          <w:iCs w:val="0"/>
          <w:strike w:val="0"/>
          <w:dstrike w:val="0"/>
          <w:color w:val="000000" w:themeColor="text1" w:themeTint="FF" w:themeShade="FF"/>
          <w:sz w:val="24"/>
          <w:szCs w:val="24"/>
          <w:u w:val="none"/>
        </w:rPr>
        <w:t>Goedwig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gynnig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ystod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o </w:t>
      </w:r>
      <w:r w:rsidRPr="19B0B7C6" w:rsidR="728B586B">
        <w:rPr>
          <w:rFonts w:ascii="Arial" w:hAnsi="Arial" w:eastAsia="Arial" w:cs="Arial"/>
          <w:b w:val="0"/>
          <w:bCs w:val="0"/>
          <w:i w:val="0"/>
          <w:iCs w:val="0"/>
          <w:strike w:val="0"/>
          <w:dstrike w:val="0"/>
          <w:color w:val="000000" w:themeColor="text1" w:themeTint="FF" w:themeShade="FF"/>
          <w:sz w:val="24"/>
          <w:szCs w:val="24"/>
          <w:u w:val="none"/>
        </w:rPr>
        <w:t>gyfleoedd</w:t>
      </w:r>
      <w:r w:rsidRPr="19B0B7C6" w:rsidR="1794C3DC">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datblygiadol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Fodd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bynnag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ni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ddylid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dehongli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manteision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adroddwyd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awtomatig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fel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effeithiau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achosol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enwedig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lle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mae</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astudiaethau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sylfaenol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wahanol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dulliau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eu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hyd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cyd-destunau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addysgol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Mae </w:t>
      </w:r>
      <w:r w:rsidRPr="19B0B7C6" w:rsidR="728B586B">
        <w:rPr>
          <w:rFonts w:ascii="Arial" w:hAnsi="Arial" w:eastAsia="Arial" w:cs="Arial"/>
          <w:b w:val="0"/>
          <w:bCs w:val="0"/>
          <w:i w:val="0"/>
          <w:iCs w:val="0"/>
          <w:strike w:val="0"/>
          <w:dstrike w:val="0"/>
          <w:color w:val="000000" w:themeColor="text1" w:themeTint="FF" w:themeShade="FF"/>
          <w:sz w:val="24"/>
          <w:szCs w:val="24"/>
          <w:u w:val="none"/>
        </w:rPr>
        <w:t>hyn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cyfyngu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ar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sicrwydd</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 </w:t>
      </w:r>
      <w:r w:rsidRPr="19B0B7C6" w:rsidR="728B586B">
        <w:rPr>
          <w:rFonts w:ascii="Arial" w:hAnsi="Arial" w:eastAsia="Arial" w:cs="Arial"/>
          <w:b w:val="0"/>
          <w:bCs w:val="0"/>
          <w:i w:val="0"/>
          <w:iCs w:val="0"/>
          <w:strike w:val="0"/>
          <w:dstrike w:val="0"/>
          <w:color w:val="000000" w:themeColor="text1" w:themeTint="FF" w:themeShade="FF"/>
          <w:sz w:val="24"/>
          <w:szCs w:val="24"/>
          <w:u w:val="none"/>
        </w:rPr>
        <w:t>gellir</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priodoli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canlyniadau</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cadarnhaol</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i</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Ysgol </w:t>
      </w:r>
      <w:r w:rsidRPr="19B0B7C6" w:rsidR="728B586B">
        <w:rPr>
          <w:rFonts w:ascii="Arial" w:hAnsi="Arial" w:eastAsia="Arial" w:cs="Arial"/>
          <w:b w:val="0"/>
          <w:bCs w:val="0"/>
          <w:i w:val="0"/>
          <w:iCs w:val="0"/>
          <w:strike w:val="0"/>
          <w:dstrike w:val="0"/>
          <w:color w:val="000000" w:themeColor="text1" w:themeTint="FF" w:themeShade="FF"/>
          <w:sz w:val="24"/>
          <w:szCs w:val="24"/>
          <w:u w:val="none"/>
        </w:rPr>
        <w:t>Goedwig</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yn</w:t>
      </w: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 </w:t>
      </w:r>
      <w:r w:rsidRPr="19B0B7C6" w:rsidR="728B586B">
        <w:rPr>
          <w:rFonts w:ascii="Arial" w:hAnsi="Arial" w:eastAsia="Arial" w:cs="Arial"/>
          <w:b w:val="0"/>
          <w:bCs w:val="0"/>
          <w:i w:val="0"/>
          <w:iCs w:val="0"/>
          <w:strike w:val="0"/>
          <w:dstrike w:val="0"/>
          <w:color w:val="000000" w:themeColor="text1" w:themeTint="FF" w:themeShade="FF"/>
          <w:sz w:val="24"/>
          <w:szCs w:val="24"/>
          <w:u w:val="none"/>
        </w:rPr>
        <w:t>unig</w:t>
      </w:r>
      <w:r w:rsidRPr="19B0B7C6" w:rsidR="728B586B">
        <w:rPr>
          <w:rFonts w:ascii="Arial" w:hAnsi="Arial" w:eastAsia="Arial" w:cs="Arial"/>
          <w:b w:val="0"/>
          <w:bCs w:val="0"/>
          <w:i w:val="0"/>
          <w:iCs w:val="0"/>
          <w:strike w:val="0"/>
          <w:dstrike w:val="0"/>
          <w:color w:val="000000" w:themeColor="text1" w:themeTint="FF" w:themeShade="FF"/>
          <w:sz w:val="24"/>
          <w:szCs w:val="24"/>
          <w:u w:val="none"/>
        </w:rPr>
        <w:t>.</w:t>
      </w:r>
    </w:p>
    <w:p xmlns:wp14="http://schemas.microsoft.com/office/word/2010/wordml" w:rsidP="19B0B7C6" wp14:paraId="6E85B224" wp14:textId="4BCEC261">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Mae'r gymhariaeth yn dangos y gall yr amgylchedd dysgu greu cyfleoedd tra hefyd yn gosod cyfyngiadau ymarferol. Gall lleoliadau Cymreig ymgorffori profiadau awyr agored o fewn darpariaeth ehangach, tra bod Meithrin y Goedwig yn rhoi pwyslais penodol ar amgylcheddau naturiol. Fodd bynnag, nid yw'r naill ddull na'r llall yn gwarantu cyfranogiad teg. Mae gweithredu effeithiol yn ei gwneud yn ofynnol i ymarferwyr addasu amgylcheddau a phrofiadau wrth gadw cyfleoedd ar gyfer annibyniaeth ac archwilio plant.</w:t>
      </w:r>
    </w:p>
    <w:p xmlns:wp14="http://schemas.microsoft.com/office/word/2010/wordml" w:rsidP="19B0B7C6" wp14:paraId="2B4C9421" wp14:textId="6D857769">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single"/>
        </w:rPr>
        <w:t>Casgliad</w:t>
      </w:r>
    </w:p>
    <w:p xmlns:wp14="http://schemas.microsoft.com/office/word/2010/wordml" w:rsidP="19B0B7C6" wp14:paraId="2C76C27C" wp14:textId="29E680E3">
      <w:pPr>
        <w:spacing w:before="0" w:beforeAutospacing="off" w:after="0" w:afterAutospacing="off"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I gloi, mae gweithredu cwricwla sy'n seiliedig ar chwarae yn cyflwyno heriau sy'n ymwneud â dehongli a gwerthuso polisïau. Mae Cyfnod Sylfaen Cymru yn dangos sut y gall diwygio cwricwlwm uchelgeisiol wynebu anawsterau pan gaiff ei egwyddorion eu cyfieithu i ymarfer bob dydd (Taylor, Rhys a Waldron, 2016), tra bod Meithrinfa Goedwig Danaidd yn dangos y cyfleoedd a'r gofynion ymarferol sy'n gysylltiedig â dysgu sy'n seiliedig ar natur (Mackinder, 2022). Er bod y ddau ddull yn gwerthfawrogi cyfranogiad gweithredol plant, nid yw'r naill na'r llall yn gwarantu darpariaeth gyson na chynhwysol (Llywodraeth Cymru, 2022; Mackinder, 2022).</w:t>
      </w:r>
    </w:p>
    <w:p xmlns:wp14="http://schemas.microsoft.com/office/word/2010/wordml" w:rsidP="19B0B7C6" wp14:paraId="07D47775" wp14:textId="4D226DED">
      <w:pPr>
        <w:spacing w:line="360" w:lineRule="auto"/>
      </w:pPr>
    </w:p>
    <w:p xmlns:wp14="http://schemas.microsoft.com/office/word/2010/wordml" w:rsidP="19B0B7C6" wp14:paraId="09CF3CAE" wp14:textId="74F639FF">
      <w:pPr>
        <w:spacing w:line="360" w:lineRule="auto"/>
      </w:pPr>
    </w:p>
    <w:p xmlns:wp14="http://schemas.microsoft.com/office/word/2010/wordml" w:rsidP="19B0B7C6" wp14:paraId="0D906BEF" wp14:textId="2B029AEC">
      <w:pPr>
        <w:spacing w:line="360" w:lineRule="auto"/>
      </w:pPr>
    </w:p>
    <w:p xmlns:wp14="http://schemas.microsoft.com/office/word/2010/wordml" w:rsidP="19B0B7C6" wp14:paraId="5AEC0E56" wp14:textId="4F1DCEE1">
      <w:pPr>
        <w:spacing w:line="360" w:lineRule="auto"/>
      </w:pPr>
    </w:p>
    <w:p xmlns:wp14="http://schemas.microsoft.com/office/word/2010/wordml" w:rsidP="19B0B7C6" wp14:paraId="687DF8C6" wp14:textId="41D259EA">
      <w:pPr>
        <w:spacing w:line="360" w:lineRule="auto"/>
      </w:pPr>
    </w:p>
    <w:p xmlns:wp14="http://schemas.microsoft.com/office/word/2010/wordml" w:rsidP="19B0B7C6" wp14:paraId="3DA99FC4" wp14:textId="43942406">
      <w:pPr>
        <w:spacing w:line="360" w:lineRule="auto"/>
      </w:pPr>
    </w:p>
    <w:p xmlns:wp14="http://schemas.microsoft.com/office/word/2010/wordml" w:rsidP="19B0B7C6" wp14:paraId="6D25A4CA" wp14:textId="334CC728">
      <w:pPr>
        <w:spacing w:line="360" w:lineRule="auto"/>
      </w:pPr>
    </w:p>
    <w:p xmlns:wp14="http://schemas.microsoft.com/office/word/2010/wordml" w:rsidP="19B0B7C6" wp14:paraId="15160DA3" wp14:textId="52B6BB5A">
      <w:pPr>
        <w:pStyle w:val="Normal"/>
        <w:spacing w:line="360" w:lineRule="auto"/>
      </w:pPr>
      <w:r w:rsidRPr="19B0B7C6" w:rsidR="728B586B">
        <w:rPr>
          <w:rFonts w:ascii="Arial" w:hAnsi="Arial" w:eastAsia="Arial" w:cs="Arial"/>
          <w:b w:val="0"/>
          <w:bCs w:val="0"/>
          <w:i w:val="0"/>
          <w:iCs w:val="0"/>
          <w:strike w:val="0"/>
          <w:dstrike w:val="0"/>
          <w:color w:val="000000" w:themeColor="text1" w:themeTint="FF" w:themeShade="FF"/>
          <w:sz w:val="30"/>
          <w:szCs w:val="30"/>
          <w:u w:val="single"/>
        </w:rPr>
        <w:t>Ystyried</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y </w:t>
      </w:r>
      <w:r w:rsidRPr="19B0B7C6" w:rsidR="728B586B">
        <w:rPr>
          <w:rFonts w:ascii="Arial" w:hAnsi="Arial" w:eastAsia="Arial" w:cs="Arial"/>
          <w:b w:val="0"/>
          <w:bCs w:val="0"/>
          <w:i w:val="0"/>
          <w:iCs w:val="0"/>
          <w:strike w:val="0"/>
          <w:dstrike w:val="0"/>
          <w:color w:val="000000" w:themeColor="text1" w:themeTint="FF" w:themeShade="FF"/>
          <w:sz w:val="30"/>
          <w:szCs w:val="30"/>
          <w:u w:val="single"/>
        </w:rPr>
        <w:t>Plentyn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Unigryw</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Gwerthusiad</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Beirniadol</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o </w:t>
      </w:r>
      <w:r w:rsidRPr="19B0B7C6" w:rsidR="728B586B">
        <w:rPr>
          <w:rFonts w:ascii="Arial" w:hAnsi="Arial" w:eastAsia="Arial" w:cs="Arial"/>
          <w:b w:val="0"/>
          <w:bCs w:val="0"/>
          <w:i w:val="0"/>
          <w:iCs w:val="0"/>
          <w:strike w:val="0"/>
          <w:dstrike w:val="0"/>
          <w:color w:val="000000" w:themeColor="text1" w:themeTint="FF" w:themeShade="FF"/>
          <w:sz w:val="30"/>
          <w:szCs w:val="30"/>
          <w:u w:val="single"/>
        </w:rPr>
        <w:t>Asesu</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mewn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Dysgu</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Sylfaenol </w:t>
      </w:r>
      <w:r w:rsidRPr="19B0B7C6" w:rsidR="728B586B">
        <w:rPr>
          <w:rFonts w:ascii="Arial" w:hAnsi="Arial" w:eastAsia="Arial" w:cs="Arial"/>
          <w:b w:val="0"/>
          <w:bCs w:val="0"/>
          <w:i w:val="0"/>
          <w:iCs w:val="0"/>
          <w:strike w:val="0"/>
          <w:dstrike w:val="0"/>
          <w:color w:val="000000" w:themeColor="text1" w:themeTint="FF" w:themeShade="FF"/>
          <w:sz w:val="30"/>
          <w:szCs w:val="30"/>
          <w:u w:val="single"/>
        </w:rPr>
        <w:t>yng</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Nghymru ac </w:t>
      </w:r>
      <w:r w:rsidRPr="19B0B7C6" w:rsidR="728B586B">
        <w:rPr>
          <w:rFonts w:ascii="Arial" w:hAnsi="Arial" w:eastAsia="Arial" w:cs="Arial"/>
          <w:b w:val="0"/>
          <w:bCs w:val="0"/>
          <w:i w:val="0"/>
          <w:iCs w:val="0"/>
          <w:strike w:val="0"/>
          <w:dstrike w:val="0"/>
          <w:color w:val="000000" w:themeColor="text1" w:themeTint="FF" w:themeShade="FF"/>
          <w:sz w:val="30"/>
          <w:szCs w:val="30"/>
          <w:u w:val="single"/>
        </w:rPr>
        <w:t>Ysgolion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Meithrin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yn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y Coed </w:t>
      </w:r>
      <w:r w:rsidRPr="19B0B7C6" w:rsidR="728B586B">
        <w:rPr>
          <w:rFonts w:ascii="Arial" w:hAnsi="Arial" w:eastAsia="Arial" w:cs="Arial"/>
          <w:b w:val="0"/>
          <w:bCs w:val="0"/>
          <w:i w:val="0"/>
          <w:iCs w:val="0"/>
          <w:strike w:val="0"/>
          <w:dstrike w:val="0"/>
          <w:color w:val="000000" w:themeColor="text1" w:themeTint="FF" w:themeShade="FF"/>
          <w:sz w:val="30"/>
          <w:szCs w:val="30"/>
          <w:u w:val="single"/>
        </w:rPr>
        <w:t>yn</w:t>
      </w:r>
      <w:r w:rsidRPr="19B0B7C6" w:rsidR="728B586B">
        <w:rPr>
          <w:rFonts w:ascii="Arial" w:hAnsi="Arial" w:eastAsia="Arial" w:cs="Arial"/>
          <w:b w:val="0"/>
          <w:bCs w:val="0"/>
          <w:i w:val="0"/>
          <w:iCs w:val="0"/>
          <w:strike w:val="0"/>
          <w:dstrike w:val="0"/>
          <w:color w:val="000000" w:themeColor="text1" w:themeTint="FF" w:themeShade="FF"/>
          <w:sz w:val="30"/>
          <w:szCs w:val="30"/>
          <w:u w:val="single"/>
        </w:rPr>
        <w:t xml:space="preserve"> </w:t>
      </w:r>
      <w:r w:rsidRPr="19B0B7C6" w:rsidR="728B586B">
        <w:rPr>
          <w:rFonts w:ascii="Arial" w:hAnsi="Arial" w:eastAsia="Arial" w:cs="Arial"/>
          <w:b w:val="0"/>
          <w:bCs w:val="0"/>
          <w:i w:val="0"/>
          <w:iCs w:val="0"/>
          <w:strike w:val="0"/>
          <w:dstrike w:val="0"/>
          <w:color w:val="000000" w:themeColor="text1" w:themeTint="FF" w:themeShade="FF"/>
          <w:sz w:val="30"/>
          <w:szCs w:val="30"/>
          <w:u w:val="single"/>
        </w:rPr>
        <w:t>Nenmarc</w:t>
      </w:r>
    </w:p>
    <w:p xmlns:wp14="http://schemas.microsoft.com/office/word/2010/wordml" w:rsidP="19B0B7C6" wp14:paraId="451ADC04" wp14:textId="742CE210">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 cysyniad y ‘Plentyn Unigryw’ yn cydnabod bod gan blant ddiddordebau, galluoedd, hunaniaethau a llwybrau datblygu unigol. Mae hyn yn herio’r rhagdybiaeth y dylai pob plentyn ddangos dysgu ar yr un oedran neu mewn ffyrdd hollol unfath (McMahon a Dyer, 2018). Mae asesu yn golygu casglu a dehongli tystiolaeth o ddysgu plant er mwyn llywio cynnydd, addysgu a chymorth ychwanegol. Fodd bynnag, o fewn cwricwla sy’n seiliedig ar chwarae, mae asesu yn creu tensiwn rhwng nodi cynnydd datblygiadol a diogelu unigrywiaeth y plentyn. Mewn adolygiad systematig o 56 o astudiaethau, nododd Montoya-Fernández et al. (2024) amrywiaeth sylweddol yn yr offerynnau a ddefnyddir i asesu datblygiad trwy chwarae; cwestiynasant a yw’r offerynnau unigol hyn yn cynrychioli datblygiad aml-ddimensiwn plant yn ddigonol.</w:t>
      </w:r>
    </w:p>
    <w:p xmlns:wp14="http://schemas.microsoft.com/office/word/2010/wordml" w:rsidP="19B0B7C6" wp14:paraId="786B62C1" wp14:textId="428B2D32">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Mae'r traethawd hwn yn gwerthuso asesu drwy arsylwi yn feirniadol, gan ystyried y Proffil Cyfnod Sylfaen yng Nghymru ac arferion addysgeg sy'n seiliedig ar arsylwi mewn meithrinfeydd coedwig yn Nenmarc. Er bod y Proffil Cyfnod Sylfaen yn cynrychioli fframwaith asesu cynharach yng Nghymru, mae'r canllawiau cyfredol ar gyfer y Cwricwlwm i Gymru yn cynnig sail berthnasol ar gyfer archwilio cynnydd a datblygiad unigol (OECD, 2020). Mae meithrinfeydd coedwig yn Nenmarc yn cynnig cyd-destun gwahanol, lle gellir arsylwi ar ddysgu plant drwy chwarae parhaus yn yr awyr agored (Hattingh, 2023). Dadleuir bod yn rhaid i asesu effeithiol gydbwyso'r broses o nodi cynnydd yn systematig â dealltwriaeth gyd-destunol o alluoedd unigol plant, yn enwedig wrth ystyried anghenion dysgu ychwanegol (Llywodraeth Cymru, 2022b; Hattingh, 2023).</w:t>
      </w:r>
    </w:p>
    <w:p xmlns:wp14="http://schemas.microsoft.com/office/word/2010/wordml" w:rsidP="19B0B7C6" wp14:paraId="4CE12CA5" wp14:textId="28EAE523">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single"/>
        </w:rPr>
        <w:t>Y Plentyn Unigryw: safbwyntiau damcaniaethol a chwricwlaidd</w:t>
      </w:r>
    </w:p>
    <w:p xmlns:wp14="http://schemas.microsoft.com/office/word/2010/wordml" w:rsidP="19B0B7C6" wp14:paraId="6E6145E3" wp14:textId="0EC664F7">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Mae'r Plentyn Unigryw yn herio dulliau sy'n seiliedig ar ddiffyg sy'n diffinio plant yn bennaf trwy'r hyn na allant ei gyflawni eto (Packer, Gillie a Spruce, 2025). Hyrwyddodd Cyfnod Sylfaen blaenorol Cymru ddysgu profiadol, archwilio a chwarae a gychwynnwyd gan blant, gan ddarparu cyfleoedd i arsylwi dysgu ar draws meysydd datblygiadol cydgysylltiedig (Llywodraeth Cymru, 2015). Mae Cwricwlwm presennol Cymru yn parhau i gefnogi dilyniant unigol trwy ei bwyslais ar ddeall mannau cychwyn dysgwyr, nodi rhwystrau ac addasu addysgu (Llywodraeth Cymru, 2026). Mae gwerthusiad Llywodraeth Cymru o ddysgu sylfaen yn 2026 yn archwilio ymhellach sut mae ysgolion yn gweithredu cwricwla sy'n briodol o ran datblygiad ac yn asesu dilyniant, gan ddangos pwysigrwydd parhaus y ddadl hon (Llywodraeth Cymru, 2026a).</w:t>
      </w:r>
    </w:p>
    <w:p xmlns:wp14="http://schemas.microsoft.com/office/word/2010/wordml" w:rsidP="19B0B7C6" wp14:paraId="47C36ABC" wp14:textId="23329BB2">
      <w:pPr>
        <w:spacing w:line="360" w:lineRule="auto"/>
      </w:pPr>
      <w:r w:rsidRPr="19B0B7C6" w:rsidR="728B586B">
        <w:rPr>
          <w:rFonts w:ascii="Arial" w:hAnsi="Arial" w:eastAsia="Arial" w:cs="Arial"/>
          <w:b w:val="0"/>
          <w:bCs w:val="0"/>
          <w:i w:val="0"/>
          <w:iCs w:val="0"/>
          <w:strike w:val="0"/>
          <w:dstrike w:val="0"/>
          <w:color w:val="000000" w:themeColor="text1" w:themeTint="FF" w:themeShade="FF"/>
          <w:sz w:val="24"/>
          <w:szCs w:val="24"/>
          <w:u w:val="none"/>
        </w:rPr>
        <w:t>Mae damcaniaeth gymdeithasegol-ddiwylliannol yn rhoi esboniad defnyddiol o pam mae'n rhaid i asesu ystyried cyd-destun. Mae cysyniad Vygotsky (1978) o'r parth datblygiad agosaf yn gwahaniaethu rhwng perfformiad annibynnol plant a'r hyn y gallant ei gyflawni gyda chymorth priodol. Yn yr un modd, mae Pyle a Danniels (2017) yn dangos bod dysgu sy'n seiliedig ar chwarae yn cynnwys gwahanol berthnasoedd rhwng gweithgaredd a gychwynnir gan blant ac arweiniad oedolion. O ganlyniad, gall plentyn sy'n cael trafferth cwblhau adeiladwaith yn annibynnol ddangos rhesymu mwy datblygedig wrth gydweithio â chyfoedion. Mae asesiad sy'n cofnodi perfformiad annibynnol yn unig mewn perygl o anwybyddu galluoedd sy'n dod i'r amlwg, tra gall arsylwi ymatebol ddatgelu sut mae dysgu'n datblygu trwy ryngweithio cymdeithasol (Pyle a Danniels, 2017).</w:t>
      </w:r>
    </w:p>
    <w:p xmlns:wp14="http://schemas.microsoft.com/office/word/2010/wordml" w:rsidP="19B0B7C6" wp14:paraId="0ED52ECA" wp14:textId="56347A44">
      <w:pPr>
        <w:spacing w:line="360" w:lineRule="auto"/>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pPr>
      <w:r w:rsidRPr="19B0B7C6" w:rsidR="728B586B">
        <w:rPr>
          <w:rFonts w:ascii="Arial" w:hAnsi="Arial" w:eastAsia="Arial" w:cs="Arial"/>
          <w:b w:val="0"/>
          <w:bCs w:val="0"/>
          <w:i w:val="0"/>
          <w:iCs w:val="0"/>
          <w:strike w:val="0"/>
          <w:dstrike w:val="0"/>
          <w:color w:val="000000" w:themeColor="text1" w:themeTint="FF" w:themeShade="FF"/>
          <w:sz w:val="24"/>
          <w:szCs w:val="24"/>
          <w:u w:val="none"/>
        </w:rPr>
        <w:t xml:space="preserve">Serch hynny, nid yw cydnabod unigrywiaeth yn golygu rhoi'r gorau i wybodaeth am ddatblygiad. Gall deall patrymau nodweddiadol helpu ymarferwyr i nodi rhwystrau posibl a darparu cymorth priodol (Copple a Bredekamp, 2009). Yr her yw gwahaniaethu rhwng arweiniad datblygiadol defnyddiol a disgwyliadau anhyblyg sy'n dosbarthu plant yn seiliedig ar ddiffygion a ganfyddir. Mewn adolygiad systematig o bumdeg-chwech o astudiaethau, nododd Montoya-Fernández et al. (2024) amrywiaeth sylweddol yn yr offerynnau asesu datblygiadol sy'n seiliedig ar chwarae, a thynnwyd sylw at yr angen </w:t>
      </w:r>
      <w:r w:rsidRPr="19B0B7C6" w:rsidR="728B586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am ddulliau mwy cynhwysfawr. Mae hyn yn awgrymu na all un offeryn asesu yn unig gynrychioli cymhlethdod datblygiad plant yn llawn.</w:t>
      </w:r>
    </w:p>
    <w:p xmlns:wp14="http://schemas.microsoft.com/office/word/2010/wordml" w:rsidP="19B0B7C6" wp14:paraId="2014FE43" wp14:textId="363BE567">
      <w:pPr>
        <w:spacing w:line="360" w:lineRule="auto"/>
      </w:pPr>
      <w:r w:rsidRPr="19B0B7C6" w:rsidR="7E0FF855">
        <w:rPr>
          <w:rFonts w:ascii="Arial" w:hAnsi="Arial" w:eastAsia="Arial" w:cs="Arial" w:asciiTheme="minorAscii" w:hAnsiTheme="minorAscii" w:eastAsiaTheme="minorAscii" w:cstheme="minorAscii"/>
          <w:b w:val="0"/>
          <w:bCs w:val="0"/>
          <w:u w:val="single"/>
        </w:rPr>
        <w:t>Dull Un: Asesiad arsylwadol a Phroffil y Cyfnod Sylfaen yng Nghymru</w:t>
      </w:r>
      <w:r>
        <w:br/>
      </w:r>
      <w:r w:rsidRPr="19B0B7C6" w:rsidR="7E0FF855">
        <w:rPr>
          <w:rFonts w:ascii="Arial" w:hAnsi="Arial" w:eastAsia="Arial" w:cs="Arial" w:asciiTheme="minorAscii" w:hAnsiTheme="minorAscii" w:eastAsiaTheme="minorAscii" w:cstheme="minorAscii"/>
          <w:b w:val="0"/>
          <w:bCs w:val="0"/>
        </w:rPr>
        <w:t>Cafodd Proffil y Cyfnod Sylfaen ei gynllunio i sefydlu dealltwriaeth o ddatblygiad plant trwy arsylwi anymwthiol yn hytrach na phrofion ffurfiol. Fe'i defnyddiwyd ar gyfer asesiad statudol wrth ddechrau yn ystod chwe wythnos gyntaf y Dosbarth Derbyn, gydag arsylwadau'n darparu tystiolaeth o alluoedd a diddordebau plant ar draws gwahanol gyd-destunau dysgu (Llywodraeth Cymru, 2015). Roedd ei strwythur yn cynnwys grisiau sgiliau gyda'r bwriad o helpu ymarferwyr i nodi galluoedd presennol plant a'u camau nesaf posibl.</w:t>
      </w:r>
      <w:r w:rsidRPr="19B0B7C6" w:rsidR="74FE863C">
        <w:rPr>
          <w:rFonts w:ascii="Arial" w:hAnsi="Arial" w:eastAsia="Arial" w:cs="Arial" w:asciiTheme="minorAscii" w:hAnsiTheme="minorAscii" w:eastAsiaTheme="minorAscii" w:cstheme="minorAscii"/>
          <w:b w:val="0"/>
          <w:bCs w:val="0"/>
        </w:rPr>
        <w:t xml:space="preserve"> </w:t>
      </w:r>
    </w:p>
    <w:p xmlns:wp14="http://schemas.microsoft.com/office/word/2010/wordml" w:rsidP="19B0B7C6" wp14:paraId="03FADDED" wp14:textId="5AA9513E">
      <w:pPr>
        <w:spacing w:line="360" w:lineRule="auto"/>
      </w:pPr>
      <w:r w:rsidRPr="19B0B7C6" w:rsidR="6885348C">
        <w:rPr>
          <w:rFonts w:ascii="Arial" w:hAnsi="Arial" w:eastAsia="Arial" w:cs="Arial" w:asciiTheme="minorAscii" w:hAnsiTheme="minorAscii" w:eastAsiaTheme="minorAscii" w:cstheme="minorAscii"/>
          <w:b w:val="0"/>
          <w:bCs w:val="0"/>
        </w:rPr>
        <w:t>Un o'r prif gryfderau oedd ei botensial i integreiddio asesu i chwarae ystyrlon, yn hytrach na dibynnu'n llwyr ar brofi ffurfiol. Er enghraifft, gallai arsylwi plant yn adeiladu pont ddatgelu rhesymu mathemategol, ymwybyddiaeth ofodol, cyfathrebu a chydweithio ar yr un pryd, gan gefnogi dealltwriaeth gyfannol o ddatblygiad (Llywodraeth Cymru, 2017; Montoya-Fernández et al., 2024).</w:t>
      </w:r>
    </w:p>
    <w:p xmlns:wp14="http://schemas.microsoft.com/office/word/2010/wordml" w:rsidP="19B0B7C6" wp14:paraId="3A4F4C11" wp14:textId="5F7CC8E6">
      <w:pPr>
        <w:pStyle w:val="Normal"/>
        <w:spacing w:line="360" w:lineRule="auto"/>
      </w:pPr>
      <w:r w:rsidR="6F554E38">
        <w:rPr/>
        <w:t>Fodd bynnag, yn ôl Barghaus et al. (2022), nid yw arsylwi yn arwain yn awtomatig at asesiad cywir neu ddiduedd. Mae ymarferwyr yn dehongli ymddygiad drwy eu disgwyliadau eu hunain, a gall plant ddangos dealltwriaeth mewn ffyrdd gwahanol yn dibynnu ar eu hyder, iaith, perthnasoedd a pha mor gyfarwydd ydynt â'r amgylchedd. Gall plentyn sy'n cyfathrebu drwy ystumiau neu weithgaredd ymarferol parhaus ddangos cymhwysedd sy'n cael ei anwybyddu pan roddir blaenoriaeth i eglurhadau llafar. Mae Barghaus et al. (2022) yn pwysleisio pa mor bwysig yw archwilio sut y llunnir ymatebion asesu, ac a yw'r dehongliadau yn ddilys. Felly, mae arsylwadau dro ar ôl tro mewn gwahanol gyd-destunau yn fwy cadarn na chasgliadau a dynnir o un digwyddiad yn unig (Barghaus et al., 2022; Llywodraeth Cymru, 2017).</w:t>
      </w:r>
    </w:p>
    <w:p xmlns:wp14="http://schemas.microsoft.com/office/word/2010/wordml" w:rsidP="19B0B7C6" wp14:paraId="29442C2D" wp14:textId="7A9DDE82">
      <w:pPr>
        <w:spacing w:line="360" w:lineRule="auto"/>
      </w:pPr>
      <w:r w:rsidR="2566020C">
        <w:rPr/>
        <w:t>Mae ymchwil Llywodraeth Cymru a gynhaliwyd gan Miller Research, Old Bell 3 a Meurig Roberts (2022) yn darparu tystiolaeth empirig o'r heriau hyn. Canfu ei ymchwiliad ar draws 20 o ysgolion astudiaeth achos fod ymarferwyr yn gwerthfawrogi Proffil y Cyfnod Sylfaen ond eu bod wedi nodi pryderon ynghylch llwyth gwaith, cofnodi blychau ticio ac anawsterau wrth asesu sgiliau penodol trwy chwarae. Trefnodd rhai ymarferwyr weithgareddau penodol i gael tystiolaeth, gan symud asesu o bosibl tuag at dasgau dan gyfarwyddyd oedolion. Er na all y canfyddiadau gynrychioli pob lleoliad yng Nghymru, maent yn datgelu gwrthddywediad sylweddol: gall asesiad a fwriadwyd i gydnabod datblygiad unigol gyfyngu ar chwarae pan fydd cwblhau meini prawf yn dod yn bwysicach na deall dysgu (Llywodraeth Cymru, 2022).</w:t>
      </w:r>
    </w:p>
    <w:p xmlns:wp14="http://schemas.microsoft.com/office/word/2010/wordml" w:rsidP="19B0B7C6" wp14:paraId="437FE222" wp14:textId="5F1A94C7">
      <w:pPr>
        <w:spacing w:line="360" w:lineRule="auto"/>
      </w:pPr>
      <w:r w:rsidR="25A33DF2">
        <w:rPr/>
        <w:t>Nid yw cyfyngiadau'r Proffil yn profi bod asesu strwythuredig yn anaddas yn ei hanfod (Varier a Yun, 2023). Yn hytrach, maent yn dangos bod defnyddioldeb asesiad yn dibynnu ar y ffordd y caiff tystiolaeth ei dehongli a'i chymhwyso. Mae gwerthusiad Llywodraeth Cymru o ddysgu sylfaenol yn 2026 yn tanlinellu pwysigrwydd archwilio sut mae ymarferwyr yn gweithredu dulliau sy'n briodol i ddatblygiad o dan y cwricwlwm presennol. Fodd bynnag, rhaid peidio â chymysgu'r Proffil hanesyddol â'r trefniadau asesu statudol cyfredol. Ei werth yn y drafodaeth hon yw ei fod yn dangos manteision arsylwi systematig, yn ogystal â'r risgiau o leihau datblygiad cymhleth i ddangosyddion a gofnodwyd (Llywodraeth Cymru, 2026a; Llywodraeth Cymru, 2022b).</w:t>
      </w:r>
      <w:r w:rsidR="12963448">
        <w:rPr/>
        <w:t xml:space="preserve"> </w:t>
      </w:r>
    </w:p>
    <w:p xmlns:wp14="http://schemas.microsoft.com/office/word/2010/wordml" w:rsidP="19B0B7C6" wp14:paraId="2C078E63" wp14:textId="49CD7ADF">
      <w:pPr>
        <w:spacing w:line="360" w:lineRule="auto"/>
      </w:pPr>
      <w:r w:rsidRPr="19B0B7C6" w:rsidR="03A5A1E3">
        <w:rPr>
          <w:u w:val="single"/>
        </w:rPr>
        <w:t>Dull Dau: Arsylwi a dogfennu addysgeg mewn ysgolion meithrin coedwig Denmarc</w:t>
      </w:r>
    </w:p>
    <w:p w:rsidR="7A67C924" w:rsidP="19B0B7C6" w:rsidRDefault="7A67C924" w14:paraId="7083285D" w14:textId="237FF1C4">
      <w:pPr>
        <w:spacing w:line="360" w:lineRule="auto"/>
      </w:pPr>
      <w:r w:rsidR="7A67C924">
        <w:rPr>
          <w:u w:val="none"/>
        </w:rPr>
        <w:t>Mae meithrinfeydd coedwig yn Nenmarc yn cynnig cyd-destun gwahanol lle gall dysgu plant ddatblygu drwy archwilio'r awyr agored dros gyfnodau hir, gweithgaredd corfforol a chydweithio (Hattingh, 2023). Mae fframwaith cwricwlwm pedagogaidd Denmarc yn nodi chwe thema, gan gynnwys datblygiad personol, datblygiad cymdeithasol, cyfathrebu ac iaith, y corff a mudiad, natur a gwyddoniaeth, a diwylliant a chymuned (Gweinidogaeth Plant ac Addysg Denmarc, 2020). Rhaid i leoliadau ddatblygu cwricwla pedagogaidd sy'n ystyried safbwyntiau a chyfranogiad plant, er y gall meithrinfeydd coedwig unigol ddefnyddio arferion asesu a dogfennu gwahanol (Gweinidogaeth Plant ac Addysg Denmarc, 2020).</w:t>
      </w:r>
    </w:p>
    <w:p w:rsidR="41D0185B" w:rsidP="19B0B7C6" w:rsidRDefault="41D0185B" w14:paraId="3D3411EF" w14:textId="6C145FD5">
      <w:pPr>
        <w:spacing w:line="360" w:lineRule="auto"/>
      </w:pPr>
      <w:r w:rsidR="41D0185B">
        <w:rPr>
          <w:u w:val="none"/>
        </w:rPr>
        <w:t xml:space="preserve">Ymchwiliodd Hattingh (2023) i chwarae yn yr awyr agored ymhlith plant rhwng tair a chwech oed mewn meithrinfeydd coedwig yn Nenmarc. Canfu'r ymchwil fod mynediad at amser a gofod yn galluogi plant i ddilyn diddordebau, canolbwyntio am gyfnodau estynedig a meddwl ar y cyd. Mae canfyddiadau o'r fath yn dangos sut y gall galluoedd plant </w:t>
      </w:r>
      <w:r w:rsidR="41D0185B">
        <w:rPr>
          <w:u w:val="none"/>
        </w:rPr>
        <w:t>ddod</w:t>
      </w:r>
      <w:r w:rsidR="41D0185B">
        <w:rPr>
          <w:u w:val="none"/>
        </w:rPr>
        <w:t xml:space="preserve"> </w:t>
      </w:r>
      <w:r w:rsidR="41D0185B">
        <w:rPr>
          <w:u w:val="none"/>
        </w:rPr>
        <w:t>yn</w:t>
      </w:r>
      <w:r w:rsidR="41D0185B">
        <w:rPr>
          <w:u w:val="none"/>
        </w:rPr>
        <w:t xml:space="preserve"> </w:t>
      </w:r>
      <w:r w:rsidR="41D0185B">
        <w:rPr>
          <w:u w:val="none"/>
        </w:rPr>
        <w:t>weladwy</w:t>
      </w:r>
      <w:r w:rsidR="41D0185B">
        <w:rPr>
          <w:u w:val="none"/>
        </w:rPr>
        <w:t xml:space="preserve"> </w:t>
      </w:r>
      <w:r w:rsidR="41D0185B">
        <w:rPr>
          <w:u w:val="none"/>
        </w:rPr>
        <w:t>trwy</w:t>
      </w:r>
      <w:r w:rsidR="41D0185B">
        <w:rPr>
          <w:u w:val="none"/>
        </w:rPr>
        <w:t xml:space="preserve"> </w:t>
      </w:r>
      <w:r w:rsidR="41D0185B">
        <w:rPr>
          <w:u w:val="none"/>
        </w:rPr>
        <w:t>weithgaredd</w:t>
      </w:r>
      <w:r w:rsidR="41D0185B">
        <w:rPr>
          <w:u w:val="none"/>
        </w:rPr>
        <w:t xml:space="preserve"> </w:t>
      </w:r>
      <w:r w:rsidR="41D0185B">
        <w:rPr>
          <w:u w:val="none"/>
        </w:rPr>
        <w:t>parhaus</w:t>
      </w:r>
      <w:r w:rsidR="41D0185B">
        <w:rPr>
          <w:u w:val="none"/>
        </w:rPr>
        <w:t xml:space="preserve"> </w:t>
      </w:r>
      <w:r w:rsidR="41D0185B">
        <w:rPr>
          <w:u w:val="none"/>
        </w:rPr>
        <w:t>yn</w:t>
      </w:r>
      <w:r w:rsidR="41D0185B">
        <w:rPr>
          <w:u w:val="none"/>
        </w:rPr>
        <w:t xml:space="preserve"> </w:t>
      </w:r>
      <w:r w:rsidR="41D0185B">
        <w:rPr>
          <w:u w:val="none"/>
        </w:rPr>
        <w:t>hytrach</w:t>
      </w:r>
      <w:r w:rsidR="41D0185B">
        <w:rPr>
          <w:u w:val="none"/>
        </w:rPr>
        <w:t xml:space="preserve"> </w:t>
      </w:r>
      <w:r w:rsidR="41D0185B">
        <w:rPr>
          <w:u w:val="none"/>
        </w:rPr>
        <w:t>na</w:t>
      </w:r>
      <w:r w:rsidR="41D0185B">
        <w:rPr>
          <w:u w:val="none"/>
        </w:rPr>
        <w:t xml:space="preserve"> </w:t>
      </w:r>
      <w:r w:rsidR="41D0185B">
        <w:rPr>
          <w:u w:val="none"/>
        </w:rPr>
        <w:t>thasgau</w:t>
      </w:r>
      <w:r w:rsidR="41D0185B">
        <w:rPr>
          <w:u w:val="none"/>
        </w:rPr>
        <w:t xml:space="preserve"> </w:t>
      </w:r>
      <w:r w:rsidR="41D0185B">
        <w:rPr>
          <w:u w:val="none"/>
        </w:rPr>
        <w:t>ynysig</w:t>
      </w:r>
      <w:r w:rsidR="41D0185B">
        <w:rPr>
          <w:u w:val="none"/>
        </w:rPr>
        <w:t xml:space="preserve">. Er </w:t>
      </w:r>
      <w:r w:rsidR="41D0185B">
        <w:rPr>
          <w:u w:val="none"/>
        </w:rPr>
        <w:t>enghraifft</w:t>
      </w:r>
      <w:r w:rsidR="41D0185B">
        <w:rPr>
          <w:u w:val="none"/>
        </w:rPr>
        <w:t xml:space="preserve">, gall </w:t>
      </w:r>
      <w:r w:rsidR="41D0185B">
        <w:rPr>
          <w:u w:val="none"/>
        </w:rPr>
        <w:t>plentyn</w:t>
      </w:r>
      <w:r w:rsidR="41D0185B">
        <w:rPr>
          <w:u w:val="none"/>
        </w:rPr>
        <w:t xml:space="preserve"> </w:t>
      </w:r>
      <w:r w:rsidR="41D0185B">
        <w:rPr>
          <w:u w:val="none"/>
        </w:rPr>
        <w:t>sy'n</w:t>
      </w:r>
      <w:r w:rsidR="41D0185B">
        <w:rPr>
          <w:u w:val="none"/>
        </w:rPr>
        <w:t xml:space="preserve"> </w:t>
      </w:r>
      <w:r w:rsidR="41D0185B">
        <w:rPr>
          <w:u w:val="none"/>
        </w:rPr>
        <w:t>arbrofi</w:t>
      </w:r>
      <w:r w:rsidR="41D0185B">
        <w:rPr>
          <w:u w:val="none"/>
        </w:rPr>
        <w:t xml:space="preserve"> </w:t>
      </w:r>
      <w:r w:rsidR="41D0185B">
        <w:rPr>
          <w:u w:val="none"/>
        </w:rPr>
        <w:t>dro</w:t>
      </w:r>
      <w:r w:rsidR="41D0185B">
        <w:rPr>
          <w:u w:val="none"/>
        </w:rPr>
        <w:t xml:space="preserve"> </w:t>
      </w:r>
      <w:r w:rsidR="41D0185B">
        <w:rPr>
          <w:u w:val="none"/>
        </w:rPr>
        <w:t>ar</w:t>
      </w:r>
      <w:r w:rsidR="41D0185B">
        <w:rPr>
          <w:u w:val="none"/>
        </w:rPr>
        <w:t xml:space="preserve"> </w:t>
      </w:r>
      <w:r w:rsidR="41D0185B">
        <w:rPr>
          <w:u w:val="none"/>
        </w:rPr>
        <w:t>ôl</w:t>
      </w:r>
      <w:r w:rsidR="41D0185B">
        <w:rPr>
          <w:u w:val="none"/>
        </w:rPr>
        <w:t xml:space="preserve"> tro gyda changhennau i adeiladu lloches ddangos dyfalbarhad, rhesymu gofodol a negodi. Gallai dogfennu'r broses hon dros amser ddatgelu strategaethau sy'n datblygu y gallai asesiad datblygiadol byr eu hanwybyddu (Hattingh, 2023).</w:t>
      </w:r>
      <w:r w:rsidR="592B9276">
        <w:rPr>
          <w:u w:val="none"/>
        </w:rPr>
        <w:t xml:space="preserve"> Fodd bynnag, mae asesu dan arweiniad arsylwi hefyd yn cyflwyno anawsterau. Heb gofnodi systematig, gall ymarferwyr gofio gweithgareddau amlwg iawn wrth anwybyddu cyflawniadau tawelach neu blant sy'n cymryd rhan yn llai gweladwy. Mae Mackinder (2024), wrth gymharu rolau oedolion yn Ysgol Goedwig Lloegr a Meithrinfa Goedwig Danaidd, yn tynnu sylw at bwysigrwydd deall sut mae ymarferwyr yn cefnogi dysgu o fewn amgylcheddau sy'n canolbwyntio ar y plentyn. Yn yr un modd, mae Pyle a Danniels (2017) yn herio'r dybiaeth bod yn rhaid i ddysgu sy'n seiliedig ar chwarae gael ei gyfeirio'n llwyr gan y plentyn. Gyda'i gilydd, mae'r safbwyntiau hyn yn awgrymu bod arsylwi effeithiol yn gofyn am farn broffesiynol fwriadol: rhaid i ymarferwyr gydnabod diddordebau plant wrth nodi cyfleoedd i ymestyn dysgu heb amharu'n ddiangen ar chwarae (Mackinder, 2024; Pyle a Danniels, 2017).</w:t>
      </w:r>
    </w:p>
    <w:p w:rsidR="1EBE7356" w:rsidP="19B0B7C6" w:rsidRDefault="1EBE7356" w14:paraId="6D7C67C4" w14:textId="0CA367BE">
      <w:pPr>
        <w:spacing w:line="360" w:lineRule="auto"/>
      </w:pPr>
      <w:r w:rsidR="1EBE7356">
        <w:rPr>
          <w:u w:val="none"/>
        </w:rPr>
        <w:t xml:space="preserve">Mae </w:t>
      </w:r>
      <w:r w:rsidR="1EBE7356">
        <w:rPr>
          <w:u w:val="none"/>
        </w:rPr>
        <w:t>asesu</w:t>
      </w:r>
      <w:r w:rsidR="1EBE7356">
        <w:rPr>
          <w:u w:val="none"/>
        </w:rPr>
        <w:t xml:space="preserve"> </w:t>
      </w:r>
      <w:r w:rsidR="1EBE7356">
        <w:rPr>
          <w:u w:val="none"/>
        </w:rPr>
        <w:t>strwythuredig</w:t>
      </w:r>
      <w:r w:rsidR="1EBE7356">
        <w:rPr>
          <w:u w:val="none"/>
        </w:rPr>
        <w:t xml:space="preserve"> ac </w:t>
      </w:r>
      <w:r w:rsidR="1EBE7356">
        <w:rPr>
          <w:u w:val="none"/>
        </w:rPr>
        <w:t>arsylwi</w:t>
      </w:r>
      <w:r w:rsidR="1EBE7356">
        <w:rPr>
          <w:u w:val="none"/>
        </w:rPr>
        <w:t xml:space="preserve"> </w:t>
      </w:r>
      <w:r w:rsidR="1EBE7356">
        <w:rPr>
          <w:u w:val="none"/>
        </w:rPr>
        <w:t>cyd-destunol</w:t>
      </w:r>
      <w:r w:rsidR="1EBE7356">
        <w:rPr>
          <w:u w:val="none"/>
        </w:rPr>
        <w:t xml:space="preserve"> </w:t>
      </w:r>
      <w:r w:rsidR="1EBE7356">
        <w:rPr>
          <w:u w:val="none"/>
        </w:rPr>
        <w:t>yn</w:t>
      </w:r>
      <w:r w:rsidR="1EBE7356">
        <w:rPr>
          <w:u w:val="none"/>
        </w:rPr>
        <w:t xml:space="preserve"> </w:t>
      </w:r>
      <w:r w:rsidR="1EBE7356">
        <w:rPr>
          <w:u w:val="none"/>
        </w:rPr>
        <w:t>cynnig</w:t>
      </w:r>
      <w:r w:rsidR="1EBE7356">
        <w:rPr>
          <w:u w:val="none"/>
        </w:rPr>
        <w:t xml:space="preserve"> </w:t>
      </w:r>
      <w:r w:rsidR="1EBE7356">
        <w:rPr>
          <w:u w:val="none"/>
        </w:rPr>
        <w:t>cryfderau</w:t>
      </w:r>
      <w:r w:rsidR="1EBE7356">
        <w:rPr>
          <w:u w:val="none"/>
        </w:rPr>
        <w:t xml:space="preserve"> </w:t>
      </w:r>
      <w:r w:rsidR="1EBE7356">
        <w:rPr>
          <w:u w:val="none"/>
        </w:rPr>
        <w:t>sy'n</w:t>
      </w:r>
      <w:r w:rsidR="1EBE7356">
        <w:rPr>
          <w:u w:val="none"/>
        </w:rPr>
        <w:t xml:space="preserve"> </w:t>
      </w:r>
      <w:r w:rsidR="1EBE7356">
        <w:rPr>
          <w:u w:val="none"/>
        </w:rPr>
        <w:t>ategu</w:t>
      </w:r>
      <w:r w:rsidR="1EBE7356">
        <w:rPr>
          <w:u w:val="none"/>
        </w:rPr>
        <w:t xml:space="preserve"> </w:t>
      </w:r>
      <w:r w:rsidR="1EBE7356">
        <w:rPr>
          <w:u w:val="none"/>
        </w:rPr>
        <w:t>ei</w:t>
      </w:r>
      <w:r w:rsidR="1EBE7356">
        <w:rPr>
          <w:u w:val="none"/>
        </w:rPr>
        <w:t xml:space="preserve"> </w:t>
      </w:r>
      <w:r w:rsidR="1EBE7356">
        <w:rPr>
          <w:u w:val="none"/>
        </w:rPr>
        <w:t>gilydd</w:t>
      </w:r>
      <w:r w:rsidR="1EBE7356">
        <w:rPr>
          <w:u w:val="none"/>
        </w:rPr>
        <w:t xml:space="preserve">, </w:t>
      </w:r>
      <w:r w:rsidR="1EBE7356">
        <w:rPr>
          <w:u w:val="none"/>
        </w:rPr>
        <w:t>ond</w:t>
      </w:r>
      <w:r w:rsidR="1EBE7356">
        <w:rPr>
          <w:u w:val="none"/>
        </w:rPr>
        <w:t xml:space="preserve"> </w:t>
      </w:r>
      <w:r w:rsidR="1EBE7356">
        <w:rPr>
          <w:u w:val="none"/>
        </w:rPr>
        <w:t>nid</w:t>
      </w:r>
      <w:r w:rsidR="1EBE7356">
        <w:rPr>
          <w:u w:val="none"/>
        </w:rPr>
        <w:t xml:space="preserve"> </w:t>
      </w:r>
      <w:r w:rsidR="1EBE7356">
        <w:rPr>
          <w:u w:val="none"/>
        </w:rPr>
        <w:t>yw'r</w:t>
      </w:r>
      <w:r w:rsidR="1EBE7356">
        <w:rPr>
          <w:u w:val="none"/>
        </w:rPr>
        <w:t xml:space="preserve"> </w:t>
      </w:r>
      <w:r w:rsidR="1EBE7356">
        <w:rPr>
          <w:u w:val="none"/>
        </w:rPr>
        <w:t>naill</w:t>
      </w:r>
      <w:r w:rsidR="1EBE7356">
        <w:rPr>
          <w:u w:val="none"/>
        </w:rPr>
        <w:t xml:space="preserve"> </w:t>
      </w:r>
      <w:r w:rsidR="1EBE7356">
        <w:rPr>
          <w:u w:val="none"/>
        </w:rPr>
        <w:t>na'r</w:t>
      </w:r>
      <w:r w:rsidR="1EBE7356">
        <w:rPr>
          <w:u w:val="none"/>
        </w:rPr>
        <w:t xml:space="preserve"> </w:t>
      </w:r>
      <w:r w:rsidR="1EBE7356">
        <w:rPr>
          <w:u w:val="none"/>
        </w:rPr>
        <w:t>llall</w:t>
      </w:r>
      <w:r w:rsidR="1EBE7356">
        <w:rPr>
          <w:u w:val="none"/>
        </w:rPr>
        <w:t xml:space="preserve"> </w:t>
      </w:r>
      <w:r w:rsidR="1EBE7356">
        <w:rPr>
          <w:u w:val="none"/>
        </w:rPr>
        <w:t>yn</w:t>
      </w:r>
      <w:r w:rsidR="1EBE7356">
        <w:rPr>
          <w:u w:val="none"/>
        </w:rPr>
        <w:t xml:space="preserve"> </w:t>
      </w:r>
      <w:r w:rsidR="1EBE7356">
        <w:rPr>
          <w:u w:val="none"/>
        </w:rPr>
        <w:t>cynrychioli</w:t>
      </w:r>
      <w:r w:rsidR="1EBE7356">
        <w:rPr>
          <w:u w:val="none"/>
        </w:rPr>
        <w:t xml:space="preserve"> </w:t>
      </w:r>
      <w:r w:rsidR="1EBE7356">
        <w:rPr>
          <w:u w:val="none"/>
        </w:rPr>
        <w:t>galluoedd</w:t>
      </w:r>
      <w:r w:rsidR="1EBE7356">
        <w:rPr>
          <w:u w:val="none"/>
        </w:rPr>
        <w:t xml:space="preserve"> </w:t>
      </w:r>
      <w:r w:rsidR="1EBE7356">
        <w:rPr>
          <w:u w:val="none"/>
        </w:rPr>
        <w:t>plentyn</w:t>
      </w:r>
      <w:r w:rsidR="1EBE7356">
        <w:rPr>
          <w:u w:val="none"/>
        </w:rPr>
        <w:t xml:space="preserve"> </w:t>
      </w:r>
      <w:r w:rsidR="1EBE7356">
        <w:rPr>
          <w:u w:val="none"/>
        </w:rPr>
        <w:t>yn</w:t>
      </w:r>
      <w:r w:rsidR="1EBE7356">
        <w:rPr>
          <w:u w:val="none"/>
        </w:rPr>
        <w:t xml:space="preserve"> </w:t>
      </w:r>
      <w:r w:rsidR="1EBE7356">
        <w:rPr>
          <w:u w:val="none"/>
        </w:rPr>
        <w:t>llawn</w:t>
      </w:r>
      <w:r w:rsidR="1EBE7356">
        <w:rPr>
          <w:u w:val="none"/>
        </w:rPr>
        <w:t xml:space="preserve"> (Montoya-Fernández et al., 2024). Mae </w:t>
      </w:r>
      <w:r w:rsidR="1EBE7356">
        <w:rPr>
          <w:u w:val="none"/>
        </w:rPr>
        <w:t>asesu</w:t>
      </w:r>
      <w:r w:rsidR="1EBE7356">
        <w:rPr>
          <w:u w:val="none"/>
        </w:rPr>
        <w:t xml:space="preserve"> </w:t>
      </w:r>
      <w:r w:rsidR="1EBE7356">
        <w:rPr>
          <w:u w:val="none"/>
        </w:rPr>
        <w:t>cynhwysol</w:t>
      </w:r>
      <w:r w:rsidR="1EBE7356">
        <w:rPr>
          <w:u w:val="none"/>
        </w:rPr>
        <w:t xml:space="preserve"> </w:t>
      </w:r>
      <w:r w:rsidR="1EBE7356">
        <w:rPr>
          <w:u w:val="none"/>
        </w:rPr>
        <w:t>yn</w:t>
      </w:r>
      <w:r w:rsidR="1EBE7356">
        <w:rPr>
          <w:u w:val="none"/>
        </w:rPr>
        <w:t xml:space="preserve"> </w:t>
      </w:r>
      <w:r w:rsidR="1EBE7356">
        <w:rPr>
          <w:u w:val="none"/>
        </w:rPr>
        <w:t>golygu</w:t>
      </w:r>
      <w:r w:rsidR="1EBE7356">
        <w:rPr>
          <w:u w:val="none"/>
        </w:rPr>
        <w:t xml:space="preserve"> </w:t>
      </w:r>
      <w:r w:rsidR="1EBE7356">
        <w:rPr>
          <w:u w:val="none"/>
        </w:rPr>
        <w:t>ystyried</w:t>
      </w:r>
      <w:r w:rsidR="1EBE7356">
        <w:rPr>
          <w:u w:val="none"/>
        </w:rPr>
        <w:t xml:space="preserve"> </w:t>
      </w:r>
      <w:r w:rsidR="1EBE7356">
        <w:rPr>
          <w:u w:val="none"/>
        </w:rPr>
        <w:t>anghenion</w:t>
      </w:r>
      <w:r w:rsidR="1EBE7356">
        <w:rPr>
          <w:u w:val="none"/>
        </w:rPr>
        <w:t xml:space="preserve"> </w:t>
      </w:r>
      <w:r w:rsidR="1EBE7356">
        <w:rPr>
          <w:u w:val="none"/>
        </w:rPr>
        <w:t>dysgu</w:t>
      </w:r>
      <w:r w:rsidR="1EBE7356">
        <w:rPr>
          <w:u w:val="none"/>
        </w:rPr>
        <w:t xml:space="preserve"> </w:t>
      </w:r>
      <w:r w:rsidR="1EBE7356">
        <w:rPr>
          <w:u w:val="none"/>
        </w:rPr>
        <w:t>ychwanegol</w:t>
      </w:r>
      <w:r w:rsidR="1EBE7356">
        <w:rPr>
          <w:u w:val="none"/>
        </w:rPr>
        <w:t xml:space="preserve">, </w:t>
      </w:r>
      <w:r w:rsidR="1EBE7356">
        <w:rPr>
          <w:u w:val="none"/>
        </w:rPr>
        <w:t>amlieithrwydd</w:t>
      </w:r>
      <w:r w:rsidR="1EBE7356">
        <w:rPr>
          <w:u w:val="none"/>
        </w:rPr>
        <w:t xml:space="preserve">, </w:t>
      </w:r>
      <w:r w:rsidR="1EBE7356">
        <w:rPr>
          <w:u w:val="none"/>
        </w:rPr>
        <w:t>hygyrchedd</w:t>
      </w:r>
      <w:r w:rsidR="1EBE7356">
        <w:rPr>
          <w:u w:val="none"/>
        </w:rPr>
        <w:t xml:space="preserve"> a </w:t>
      </w:r>
      <w:r w:rsidR="1EBE7356">
        <w:rPr>
          <w:u w:val="none"/>
        </w:rPr>
        <w:t>safbwyntiau</w:t>
      </w:r>
      <w:r w:rsidR="1EBE7356">
        <w:rPr>
          <w:u w:val="none"/>
        </w:rPr>
        <w:t xml:space="preserve"> </w:t>
      </w:r>
      <w:r w:rsidR="1EBE7356">
        <w:rPr>
          <w:u w:val="none"/>
        </w:rPr>
        <w:t>teuluoedd</w:t>
      </w:r>
      <w:r w:rsidR="1EBE7356">
        <w:rPr>
          <w:u w:val="none"/>
        </w:rPr>
        <w:t xml:space="preserve"> (</w:t>
      </w:r>
      <w:r w:rsidR="1EBE7356">
        <w:rPr>
          <w:u w:val="none"/>
        </w:rPr>
        <w:t>Llywodraeth</w:t>
      </w:r>
      <w:r w:rsidR="1EBE7356">
        <w:rPr>
          <w:u w:val="none"/>
        </w:rPr>
        <w:t xml:space="preserve"> Cymru, 2026b</w:t>
      </w:r>
      <w:r w:rsidR="0469B152">
        <w:rPr>
          <w:u w:val="none"/>
        </w:rPr>
        <w:t xml:space="preserve">; </w:t>
      </w:r>
      <w:r w:rsidR="0469B152">
        <w:rPr>
          <w:u w:val="none"/>
        </w:rPr>
        <w:t>Llywodraeth</w:t>
      </w:r>
      <w:r w:rsidR="0469B152">
        <w:rPr>
          <w:u w:val="none"/>
        </w:rPr>
        <w:t xml:space="preserve"> Cymru, 2021</w:t>
      </w:r>
      <w:r w:rsidR="1EBE7356">
        <w:rPr>
          <w:u w:val="none"/>
        </w:rPr>
        <w:t xml:space="preserve">). Dylai </w:t>
      </w:r>
      <w:r w:rsidR="1EBE7356">
        <w:rPr>
          <w:u w:val="none"/>
        </w:rPr>
        <w:t>ymarferwyr</w:t>
      </w:r>
      <w:r w:rsidR="1EBE7356">
        <w:rPr>
          <w:u w:val="none"/>
        </w:rPr>
        <w:t xml:space="preserve"> </w:t>
      </w:r>
      <w:r w:rsidR="1EBE7356">
        <w:rPr>
          <w:u w:val="none"/>
        </w:rPr>
        <w:t>gasglu</w:t>
      </w:r>
      <w:r w:rsidR="1EBE7356">
        <w:rPr>
          <w:u w:val="none"/>
        </w:rPr>
        <w:t xml:space="preserve"> </w:t>
      </w:r>
      <w:r w:rsidR="1EBE7356">
        <w:rPr>
          <w:u w:val="none"/>
        </w:rPr>
        <w:t>tystiolaeth</w:t>
      </w:r>
      <w:r w:rsidR="1EBE7356">
        <w:rPr>
          <w:u w:val="none"/>
        </w:rPr>
        <w:t xml:space="preserve"> </w:t>
      </w:r>
      <w:r w:rsidR="1EBE7356">
        <w:rPr>
          <w:u w:val="none"/>
        </w:rPr>
        <w:t>ystyrlon</w:t>
      </w:r>
      <w:r w:rsidR="1EBE7356">
        <w:rPr>
          <w:u w:val="none"/>
        </w:rPr>
        <w:t xml:space="preserve"> </w:t>
      </w:r>
      <w:r w:rsidR="1EBE7356">
        <w:rPr>
          <w:u w:val="none"/>
        </w:rPr>
        <w:t>heb</w:t>
      </w:r>
      <w:r w:rsidR="1EBE7356">
        <w:rPr>
          <w:u w:val="none"/>
        </w:rPr>
        <w:t xml:space="preserve"> </w:t>
      </w:r>
      <w:r w:rsidR="1EBE7356">
        <w:rPr>
          <w:u w:val="none"/>
        </w:rPr>
        <w:t>amharu'n</w:t>
      </w:r>
      <w:r w:rsidR="1EBE7356">
        <w:rPr>
          <w:u w:val="none"/>
        </w:rPr>
        <w:t xml:space="preserve"> </w:t>
      </w:r>
      <w:r w:rsidR="1EBE7356">
        <w:rPr>
          <w:u w:val="none"/>
        </w:rPr>
        <w:t>ddiangen</w:t>
      </w:r>
      <w:r w:rsidR="1EBE7356">
        <w:rPr>
          <w:u w:val="none"/>
        </w:rPr>
        <w:t xml:space="preserve"> </w:t>
      </w:r>
      <w:r w:rsidR="1EBE7356">
        <w:rPr>
          <w:u w:val="none"/>
        </w:rPr>
        <w:t>ar</w:t>
      </w:r>
      <w:r w:rsidR="1EBE7356">
        <w:rPr>
          <w:u w:val="none"/>
        </w:rPr>
        <w:t xml:space="preserve"> </w:t>
      </w:r>
      <w:r w:rsidR="1EBE7356">
        <w:rPr>
          <w:u w:val="none"/>
        </w:rPr>
        <w:t>chwarae</w:t>
      </w:r>
      <w:r w:rsidR="1EBE7356">
        <w:rPr>
          <w:u w:val="none"/>
        </w:rPr>
        <w:t xml:space="preserve">, </w:t>
      </w:r>
      <w:r w:rsidR="1EBE7356">
        <w:rPr>
          <w:u w:val="none"/>
        </w:rPr>
        <w:t>gan</w:t>
      </w:r>
      <w:r w:rsidR="1EBE7356">
        <w:rPr>
          <w:u w:val="none"/>
        </w:rPr>
        <w:t xml:space="preserve"> </w:t>
      </w:r>
      <w:r w:rsidR="1EBE7356">
        <w:rPr>
          <w:u w:val="none"/>
        </w:rPr>
        <w:t>ddiogelu</w:t>
      </w:r>
      <w:r w:rsidR="1EBE7356">
        <w:rPr>
          <w:u w:val="none"/>
        </w:rPr>
        <w:t xml:space="preserve"> </w:t>
      </w:r>
      <w:r w:rsidR="1EBE7356">
        <w:rPr>
          <w:u w:val="none"/>
        </w:rPr>
        <w:t>ymreolaeth</w:t>
      </w:r>
      <w:r w:rsidR="1EBE7356">
        <w:rPr>
          <w:u w:val="none"/>
        </w:rPr>
        <w:t xml:space="preserve">, </w:t>
      </w:r>
      <w:r w:rsidR="1EBE7356">
        <w:rPr>
          <w:u w:val="none"/>
        </w:rPr>
        <w:t>lles</w:t>
      </w:r>
      <w:r w:rsidR="1EBE7356">
        <w:rPr>
          <w:u w:val="none"/>
        </w:rPr>
        <w:t xml:space="preserve"> a </w:t>
      </w:r>
      <w:r w:rsidR="1EBE7356">
        <w:rPr>
          <w:u w:val="none"/>
        </w:rPr>
        <w:t>chynnydd</w:t>
      </w:r>
      <w:r w:rsidR="1EBE7356">
        <w:rPr>
          <w:u w:val="none"/>
        </w:rPr>
        <w:t xml:space="preserve"> </w:t>
      </w:r>
      <w:r w:rsidR="1EBE7356">
        <w:rPr>
          <w:u w:val="none"/>
        </w:rPr>
        <w:t>datblygiadol</w:t>
      </w:r>
      <w:r w:rsidR="1EBE7356">
        <w:rPr>
          <w:u w:val="none"/>
        </w:rPr>
        <w:t xml:space="preserve"> plant (Hattingh, 2023).</w:t>
      </w:r>
    </w:p>
    <w:p w:rsidR="15766B51" w:rsidP="19B0B7C6" w:rsidRDefault="15766B51" w14:paraId="69EC755A" w14:textId="579EB0C9">
      <w:pPr>
        <w:spacing w:line="360" w:lineRule="auto"/>
        <w:rPr>
          <w:u w:val="single"/>
        </w:rPr>
      </w:pPr>
      <w:r w:rsidRPr="19B0B7C6" w:rsidR="15766B51">
        <w:rPr>
          <w:u w:val="single"/>
        </w:rPr>
        <w:t>Casgliad</w:t>
      </w:r>
    </w:p>
    <w:p w:rsidR="15766B51" w:rsidP="19B0B7C6" w:rsidRDefault="15766B51" w14:paraId="2A70CF22" w14:textId="794093C4">
      <w:pPr>
        <w:spacing w:line="360" w:lineRule="auto"/>
      </w:pPr>
      <w:r w:rsidR="15766B51">
        <w:rPr>
          <w:u w:val="none"/>
        </w:rPr>
        <w:t>Mae asesu effeithiol yn cydnabod plant fel unigolion unigryw, sy'n datblygu. Er bod asesu strwythuredig yn darparu cysondeb, mae arsylwi cyd-destunol yn cipio cryfderau a phrofiadau unigol. Mae cyfuno arsylwadau, safbwyntiau teuluol a lleisiau plant yn cefnogi arfer cynhwysol, yn enwedig ar gyfer plant ag ADY. Yn y pen draw, dylai asesu lywio darpariaeth ymatebol yn hytrach na chyfyngu ar botensial trwy ddisgwyliadau datblygiadol rhagnodedig.</w:t>
      </w:r>
    </w:p>
    <w:p w:rsidR="19B0B7C6" w:rsidP="19B0B7C6" w:rsidRDefault="19B0B7C6" w14:paraId="777BF367" w14:textId="2EEE2AA8">
      <w:pPr>
        <w:spacing w:line="360" w:lineRule="auto"/>
        <w:rPr>
          <w:u w:val="none"/>
        </w:rPr>
      </w:pPr>
    </w:p>
    <w:p w:rsidR="19B0B7C6" w:rsidP="19B0B7C6" w:rsidRDefault="19B0B7C6" w14:paraId="2E98A257" w14:textId="726ADEAF">
      <w:pPr>
        <w:spacing w:line="360" w:lineRule="auto"/>
        <w:rPr>
          <w:u w:val="none"/>
        </w:rPr>
      </w:pPr>
    </w:p>
    <w:p w:rsidR="19B0B7C6" w:rsidP="19B0B7C6" w:rsidRDefault="19B0B7C6" w14:paraId="4A1031CB" w14:textId="4A513ADC">
      <w:pPr>
        <w:spacing w:line="360" w:lineRule="auto"/>
        <w:rPr>
          <w:u w:val="none"/>
        </w:rPr>
      </w:pPr>
    </w:p>
    <w:p w:rsidR="19B0B7C6" w:rsidP="19B0B7C6" w:rsidRDefault="19B0B7C6" w14:paraId="5E8FEA4C" w14:textId="15230FB6">
      <w:pPr>
        <w:spacing w:line="360" w:lineRule="auto"/>
        <w:rPr>
          <w:u w:val="none"/>
        </w:rPr>
      </w:pPr>
    </w:p>
    <w:p w:rsidR="19B0B7C6" w:rsidP="19B0B7C6" w:rsidRDefault="19B0B7C6" w14:paraId="40F5F1AD" w14:textId="7943587E">
      <w:pPr>
        <w:spacing w:line="360" w:lineRule="auto"/>
        <w:rPr>
          <w:u w:val="none"/>
        </w:rPr>
      </w:pPr>
    </w:p>
    <w:p w:rsidR="19B0B7C6" w:rsidP="19B0B7C6" w:rsidRDefault="19B0B7C6" w14:paraId="27D58A34" w14:textId="364CBF53">
      <w:pPr>
        <w:spacing w:line="360" w:lineRule="auto"/>
        <w:rPr>
          <w:u w:val="none"/>
        </w:rPr>
      </w:pPr>
    </w:p>
    <w:p w:rsidR="19B0B7C6" w:rsidP="19B0B7C6" w:rsidRDefault="19B0B7C6" w14:paraId="662756C8" w14:textId="49740AEF">
      <w:pPr>
        <w:pStyle w:val="Normal"/>
        <w:spacing w:line="360" w:lineRule="auto"/>
      </w:pPr>
      <w:r w:rsidR="1B07A169">
        <w:drawing>
          <wp:inline wp14:editId="0F3C874A" wp14:anchorId="12A7B4A9">
            <wp:extent cx="6362911" cy="8253412"/>
            <wp:effectExtent l="0" t="0" r="0" b="0"/>
            <wp:docPr id="1027645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5154350" name="Picture 2065154350"/>
                    <pic:cNvPicPr/>
                  </pic:nvPicPr>
                  <pic:blipFill>
                    <a:blip xmlns:r="http://schemas.openxmlformats.org/officeDocument/2006/relationships" r:embed="rId399918431">
                      <a:extLst>
                        <a:ext uri="{28A0092B-C50C-407E-A947-70E740481C1C}">
                          <a14:useLocalDpi xmlns:a14="http://schemas.microsoft.com/office/drawing/2010/main"/>
                        </a:ext>
                      </a:extLst>
                    </a:blip>
                    <a:stretch>
                      <a:fillRect/>
                    </a:stretch>
                  </pic:blipFill>
                  <pic:spPr>
                    <a:xfrm rot="0">
                      <a:off x="0" y="0"/>
                      <a:ext cx="6362911" cy="8253412"/>
                    </a:xfrm>
                    <a:prstGeom prst="rect">
                      <a:avLst/>
                    </a:prstGeom>
                  </pic:spPr>
                </pic:pic>
              </a:graphicData>
            </a:graphic>
          </wp:inline>
        </w:drawing>
      </w:r>
    </w:p>
    <w:p w:rsidR="19B0B7C6" w:rsidP="15CD8A61" w:rsidRDefault="19B0B7C6" w14:paraId="4759C6F4" w14:textId="19E9896C">
      <w:pPr>
        <w:pStyle w:val="Normal"/>
        <w:spacing w:line="360" w:lineRule="auto"/>
      </w:pPr>
      <w:r w:rsidRPr="15CD8A61" w:rsidR="5002AF18">
        <w:rPr>
          <w:b w:val="1"/>
          <w:bCs w:val="1"/>
          <w:sz w:val="32"/>
          <w:szCs w:val="32"/>
          <w:u w:val="single"/>
        </w:rPr>
        <w:t>Rhestr Cyfeirnodi</w:t>
      </w:r>
    </w:p>
    <w:p w:rsidR="19B0B7C6" w:rsidP="15CD8A61" w:rsidRDefault="19B0B7C6" w14:paraId="779953DC" w14:textId="264A734B">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A Spencer, R., 1 School of Health &amp; Human Performance, Dalhousie University, Halifax, Canada, Joshi, N., Branje, K., Lee McIsaac, J., Cawley, J., Rehman, L., FL Kirk, S., Stone, M., 2 Faculty of Education and Department of Child and Youth Study, Mount Saint Vincent University, Halifax, Canada and 3 Healthy Populations Institute, Dalhousie University, Halifax, Canada (2019). Educator perceptions on the benefits and challenges of loose parts play in the outdoor environments of childcare centres. </w:t>
      </w:r>
      <w:r w:rsidRPr="15CD8A61" w:rsidR="5002AF18">
        <w:rPr>
          <w:rFonts w:ascii="Arial" w:hAnsi="Arial"/>
          <w:b w:val="0"/>
          <w:bCs w:val="0"/>
          <w:i w:val="1"/>
          <w:iCs w:val="1"/>
          <w:noProof w:val="0"/>
          <w:sz w:val="24"/>
          <w:szCs w:val="24"/>
          <w:u w:val="none"/>
          <w:lang w:val="cy-GB"/>
        </w:rPr>
        <w:t>AIMS Public Health</w:t>
      </w:r>
      <w:r w:rsidRPr="15CD8A61" w:rsidR="5002AF18">
        <w:rPr>
          <w:rFonts w:ascii="Arial" w:hAnsi="Arial"/>
          <w:b w:val="0"/>
          <w:bCs w:val="0"/>
          <w:noProof w:val="0"/>
          <w:sz w:val="24"/>
          <w:szCs w:val="24"/>
          <w:u w:val="none"/>
          <w:lang w:val="cy-GB"/>
        </w:rPr>
        <w:t xml:space="preserve">, [online] 6(4), pp.461–476. doi:10.3934/publichealth.2019.4.461. </w:t>
      </w:r>
    </w:p>
    <w:p w:rsidR="19B0B7C6" w:rsidP="15CD8A61" w:rsidRDefault="19B0B7C6" w14:paraId="174DB242" w14:textId="43158A46">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Adva Eichengreen, Martin van Rooijen, Lisa-Maria van Klaveren, Nasri, M., Tsou, Y.-T., Koutamanis, A., Mitra Baratchi and Carolien Rieffe (2023). The impact of loose‐parts‐play on schoolyard social participation of children with and without disabilities: A case study. </w:t>
      </w:r>
      <w:r w:rsidRPr="15CD8A61" w:rsidR="5002AF18">
        <w:rPr>
          <w:rFonts w:ascii="Arial" w:hAnsi="Arial"/>
          <w:b w:val="0"/>
          <w:bCs w:val="0"/>
          <w:i w:val="1"/>
          <w:iCs w:val="1"/>
          <w:noProof w:val="0"/>
          <w:sz w:val="24"/>
          <w:szCs w:val="24"/>
          <w:u w:val="none"/>
          <w:lang w:val="cy-GB"/>
        </w:rPr>
        <w:t>The impact of loose-parts-play on schoolyard social participation of children with and without disabilities: A case study</w:t>
      </w:r>
      <w:r w:rsidRPr="15CD8A61" w:rsidR="5002AF18">
        <w:rPr>
          <w:rFonts w:ascii="Arial" w:hAnsi="Arial"/>
          <w:b w:val="0"/>
          <w:bCs w:val="0"/>
          <w:noProof w:val="0"/>
          <w:sz w:val="24"/>
          <w:szCs w:val="24"/>
          <w:u w:val="none"/>
          <w:lang w:val="cy-GB"/>
        </w:rPr>
        <w:t>, 50(1). doi:10.1111/cch.13144.</w:t>
      </w:r>
    </w:p>
    <w:p w:rsidR="19B0B7C6" w:rsidP="15CD8A61" w:rsidRDefault="19B0B7C6" w14:paraId="69339322" w14:textId="22E9DEE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Ardoin, N.M. and Bowers, A.W. (2020). Early childhood environmental education: A systematic review of the research literature. </w:t>
      </w:r>
      <w:r w:rsidRPr="15CD8A61" w:rsidR="5002AF18">
        <w:rPr>
          <w:rFonts w:ascii="Arial" w:hAnsi="Arial"/>
          <w:b w:val="0"/>
          <w:bCs w:val="0"/>
          <w:i w:val="1"/>
          <w:iCs w:val="1"/>
          <w:noProof w:val="0"/>
          <w:sz w:val="24"/>
          <w:szCs w:val="24"/>
          <w:u w:val="none"/>
          <w:lang w:val="cy-GB"/>
        </w:rPr>
        <w:t>Educational Research Review</w:t>
      </w:r>
      <w:r w:rsidRPr="15CD8A61" w:rsidR="5002AF18">
        <w:rPr>
          <w:rFonts w:ascii="Arial" w:hAnsi="Arial"/>
          <w:b w:val="0"/>
          <w:bCs w:val="0"/>
          <w:noProof w:val="0"/>
          <w:sz w:val="24"/>
          <w:szCs w:val="24"/>
          <w:u w:val="none"/>
          <w:lang w:val="cy-GB"/>
        </w:rPr>
        <w:t>, 31(100353), p.100353.</w:t>
      </w:r>
    </w:p>
    <w:p w:rsidR="19B0B7C6" w:rsidP="15CD8A61" w:rsidRDefault="19B0B7C6" w14:paraId="0A7DB349" w14:textId="0FBD714C">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Barghaus, K.M., Fantuzzo, J.W., Buek, K. and Gullo, D.F. (2022). Neglected validities: A diagnostic look at the state of early childhood assessment. </w:t>
      </w:r>
      <w:r w:rsidRPr="15CD8A61" w:rsidR="5002AF18">
        <w:rPr>
          <w:rFonts w:ascii="Arial" w:hAnsi="Arial"/>
          <w:b w:val="0"/>
          <w:bCs w:val="0"/>
          <w:i w:val="1"/>
          <w:iCs w:val="1"/>
          <w:noProof w:val="0"/>
          <w:sz w:val="24"/>
          <w:szCs w:val="24"/>
          <w:u w:val="none"/>
          <w:lang w:val="cy-GB"/>
        </w:rPr>
        <w:t>Early Childhood Research Quarterly</w:t>
      </w:r>
      <w:r w:rsidRPr="15CD8A61" w:rsidR="5002AF18">
        <w:rPr>
          <w:rFonts w:ascii="Arial" w:hAnsi="Arial"/>
          <w:b w:val="0"/>
          <w:bCs w:val="0"/>
          <w:noProof w:val="0"/>
          <w:sz w:val="24"/>
          <w:szCs w:val="24"/>
          <w:u w:val="none"/>
          <w:lang w:val="cy-GB"/>
        </w:rPr>
        <w:t>, 58, pp.287–299. doi:10.1016/j.ecresq.2021.09.007.</w:t>
      </w:r>
    </w:p>
    <w:p w:rsidR="19B0B7C6" w:rsidP="15CD8A61" w:rsidRDefault="19B0B7C6" w14:paraId="79F2491A" w14:textId="28C7200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Beekhuizen, R.Q., Bloemen, M.A.T., Bolster, E.A.M., Visser, K., van der Lugt, R., Bassa, M., Henry, N.L., Kotte, E.M.W., van Hartingsveldt, M. and Gorter, J.W. (2026). Can you see us play? Observing inclusive outdoor play behaviour among children with and without disabilities: A mixed methods study. </w:t>
      </w:r>
      <w:r w:rsidRPr="15CD8A61" w:rsidR="5002AF18">
        <w:rPr>
          <w:rFonts w:ascii="Arial" w:hAnsi="Arial"/>
          <w:b w:val="0"/>
          <w:bCs w:val="0"/>
          <w:i w:val="1"/>
          <w:iCs w:val="1"/>
          <w:noProof w:val="0"/>
          <w:sz w:val="24"/>
          <w:szCs w:val="24"/>
          <w:u w:val="none"/>
          <w:lang w:val="cy-GB"/>
        </w:rPr>
        <w:t>Child: Care, Health and Development</w:t>
      </w:r>
      <w:r w:rsidRPr="15CD8A61" w:rsidR="5002AF18">
        <w:rPr>
          <w:rFonts w:ascii="Arial" w:hAnsi="Arial"/>
          <w:b w:val="0"/>
          <w:bCs w:val="0"/>
          <w:noProof w:val="0"/>
          <w:sz w:val="24"/>
          <w:szCs w:val="24"/>
          <w:u w:val="none"/>
          <w:lang w:val="cy-GB"/>
        </w:rPr>
        <w:t>, 52(1). doi:10.1111/cch.70198.</w:t>
      </w:r>
    </w:p>
    <w:p w:rsidR="19B0B7C6" w:rsidP="15CD8A61" w:rsidRDefault="19B0B7C6" w14:paraId="11D96D9D" w14:textId="39C4EF2D">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Bubikova-Moan, J., Næss Hjetland, H. and Wollscheid, S. (2019). ECE teachers’ views on play-based learning: A systematic review. </w:t>
      </w:r>
      <w:r w:rsidRPr="15CD8A61" w:rsidR="5002AF18">
        <w:rPr>
          <w:rFonts w:ascii="Arial" w:hAnsi="Arial"/>
          <w:b w:val="0"/>
          <w:bCs w:val="0"/>
          <w:i w:val="1"/>
          <w:iCs w:val="1"/>
          <w:noProof w:val="0"/>
          <w:sz w:val="24"/>
          <w:szCs w:val="24"/>
          <w:u w:val="none"/>
          <w:lang w:val="cy-GB"/>
        </w:rPr>
        <w:t>European Early Childhood Education Research Journal</w:t>
      </w:r>
      <w:r w:rsidRPr="15CD8A61" w:rsidR="5002AF18">
        <w:rPr>
          <w:rFonts w:ascii="Arial" w:hAnsi="Arial"/>
          <w:b w:val="0"/>
          <w:bCs w:val="0"/>
          <w:noProof w:val="0"/>
          <w:sz w:val="24"/>
          <w:szCs w:val="24"/>
          <w:u w:val="none"/>
          <w:lang w:val="cy-GB"/>
        </w:rPr>
        <w:t>, [online] 27(6), pp.776–800. doi:https://doi.org/10.1080/1350293X.2019.1678717.</w:t>
      </w:r>
    </w:p>
    <w:p w:rsidR="19B0B7C6" w:rsidP="15CD8A61" w:rsidRDefault="19B0B7C6" w14:paraId="1713215F" w14:textId="335C6CAF">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Cerino, A. (2023). The importance of recognising and promoting independence in young children: The role of the environment and the Danish Forest School Approach. </w:t>
      </w:r>
      <w:r w:rsidRPr="15CD8A61" w:rsidR="5002AF18">
        <w:rPr>
          <w:rFonts w:ascii="Arial" w:hAnsi="Arial"/>
          <w:b w:val="0"/>
          <w:bCs w:val="0"/>
          <w:i w:val="1"/>
          <w:iCs w:val="1"/>
          <w:noProof w:val="0"/>
          <w:sz w:val="24"/>
          <w:szCs w:val="24"/>
          <w:u w:val="none"/>
          <w:lang w:val="cy-GB"/>
        </w:rPr>
        <w:t>Education 3-13</w:t>
      </w:r>
      <w:r w:rsidRPr="15CD8A61" w:rsidR="5002AF18">
        <w:rPr>
          <w:rFonts w:ascii="Arial" w:hAnsi="Arial"/>
          <w:b w:val="0"/>
          <w:bCs w:val="0"/>
          <w:noProof w:val="0"/>
          <w:sz w:val="24"/>
          <w:szCs w:val="24"/>
          <w:u w:val="none"/>
          <w:lang w:val="cy-GB"/>
        </w:rPr>
        <w:t>, 51(4), pp.685–694. doi:10.1080/03004279.2021.2000468.</w:t>
      </w:r>
    </w:p>
    <w:p w:rsidR="19B0B7C6" w:rsidP="15CD8A61" w:rsidRDefault="19B0B7C6" w14:paraId="0EB1393C" w14:textId="21B18C55">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Copple, C. and Bredekamp, S. (2009). </w:t>
      </w:r>
      <w:r w:rsidRPr="15CD8A61" w:rsidR="5002AF18">
        <w:rPr>
          <w:rFonts w:ascii="Arial" w:hAnsi="Arial"/>
          <w:b w:val="0"/>
          <w:bCs w:val="0"/>
          <w:i w:val="1"/>
          <w:iCs w:val="1"/>
          <w:noProof w:val="0"/>
          <w:sz w:val="24"/>
          <w:szCs w:val="24"/>
          <w:u w:val="none"/>
          <w:lang w:val="cy-GB"/>
        </w:rPr>
        <w:t>Developmentally appropriate practice in early childhood programs: Serving children from birth through age 8</w:t>
      </w:r>
      <w:r w:rsidRPr="15CD8A61" w:rsidR="5002AF18">
        <w:rPr>
          <w:rFonts w:ascii="Arial" w:hAnsi="Arial"/>
          <w:b w:val="0"/>
          <w:bCs w:val="0"/>
          <w:noProof w:val="0"/>
          <w:sz w:val="24"/>
          <w:szCs w:val="24"/>
          <w:u w:val="none"/>
          <w:lang w:val="cy-GB"/>
        </w:rPr>
        <w:t>. 3rd ed. Washington: National Association for the Education of Young Children.</w:t>
      </w:r>
    </w:p>
    <w:p w:rsidR="19B0B7C6" w:rsidP="15CD8A61" w:rsidRDefault="19B0B7C6" w14:paraId="6DEEFB70" w14:textId="4D20111D">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Dabaja, Z.F. (2021a). Reviewing two decades of research on the Forest School impact on children: The sequel. </w:t>
      </w:r>
      <w:r w:rsidRPr="15CD8A61" w:rsidR="5002AF18">
        <w:rPr>
          <w:rFonts w:ascii="Arial" w:hAnsi="Arial"/>
          <w:b w:val="0"/>
          <w:bCs w:val="0"/>
          <w:i w:val="1"/>
          <w:iCs w:val="1"/>
          <w:noProof w:val="0"/>
          <w:sz w:val="24"/>
          <w:szCs w:val="24"/>
          <w:u w:val="none"/>
          <w:lang w:val="cy-GB"/>
        </w:rPr>
        <w:t>Education 3-13</w:t>
      </w:r>
      <w:r w:rsidRPr="15CD8A61" w:rsidR="5002AF18">
        <w:rPr>
          <w:rFonts w:ascii="Arial" w:hAnsi="Arial"/>
          <w:b w:val="0"/>
          <w:bCs w:val="0"/>
          <w:noProof w:val="0"/>
          <w:sz w:val="24"/>
          <w:szCs w:val="24"/>
          <w:u w:val="none"/>
          <w:lang w:val="cy-GB"/>
        </w:rPr>
        <w:t>, 50(6), pp.1–14. doi:10.1080/03004279.2021.1905019.</w:t>
      </w:r>
    </w:p>
    <w:p w:rsidR="19B0B7C6" w:rsidP="15CD8A61" w:rsidRDefault="19B0B7C6" w14:paraId="5B190C2E" w14:textId="02DB7F9C">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Dabaja, Z.F. (2021b). The forest school impact on children: Reviewing two decades of research. </w:t>
      </w:r>
      <w:r w:rsidRPr="15CD8A61" w:rsidR="5002AF18">
        <w:rPr>
          <w:rFonts w:ascii="Arial" w:hAnsi="Arial"/>
          <w:b w:val="0"/>
          <w:bCs w:val="0"/>
          <w:i w:val="1"/>
          <w:iCs w:val="1"/>
          <w:noProof w:val="0"/>
          <w:sz w:val="24"/>
          <w:szCs w:val="24"/>
          <w:u w:val="none"/>
          <w:lang w:val="cy-GB"/>
        </w:rPr>
        <w:t>Education 3-13</w:t>
      </w:r>
      <w:r w:rsidRPr="15CD8A61" w:rsidR="5002AF18">
        <w:rPr>
          <w:rFonts w:ascii="Arial" w:hAnsi="Arial"/>
          <w:b w:val="0"/>
          <w:bCs w:val="0"/>
          <w:noProof w:val="0"/>
          <w:sz w:val="24"/>
          <w:szCs w:val="24"/>
          <w:u w:val="none"/>
          <w:lang w:val="cy-GB"/>
        </w:rPr>
        <w:t>, [online] 50(5), pp.1–14. doi:10.1080/03004279.2021.1889013.</w:t>
      </w:r>
    </w:p>
    <w:p w:rsidR="19B0B7C6" w:rsidP="15CD8A61" w:rsidRDefault="19B0B7C6" w14:paraId="77511569" w14:textId="0C1B75BF">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Danish Ministry of Children and Education (2020). </w:t>
      </w:r>
      <w:r w:rsidRPr="15CD8A61" w:rsidR="5002AF18">
        <w:rPr>
          <w:rFonts w:ascii="Arial" w:hAnsi="Arial"/>
          <w:b w:val="0"/>
          <w:bCs w:val="0"/>
          <w:i w:val="1"/>
          <w:iCs w:val="1"/>
          <w:noProof w:val="0"/>
          <w:sz w:val="24"/>
          <w:szCs w:val="24"/>
          <w:u w:val="none"/>
          <w:lang w:val="cy-GB"/>
        </w:rPr>
        <w:t>The Strengthened Pedagogical Curriculum Framework and Content</w:t>
      </w:r>
      <w:r w:rsidRPr="15CD8A61" w:rsidR="5002AF18">
        <w:rPr>
          <w:rFonts w:ascii="Arial" w:hAnsi="Arial"/>
          <w:b w:val="0"/>
          <w:bCs w:val="0"/>
          <w:noProof w:val="0"/>
          <w:sz w:val="24"/>
          <w:szCs w:val="24"/>
          <w:u w:val="none"/>
          <w:lang w:val="cy-GB"/>
        </w:rPr>
        <w:t xml:space="preserve">. [online] Available at: </w:t>
      </w:r>
      <w:hyperlink r:id="Rd4c9bac2d3d94abd">
        <w:r w:rsidRPr="15CD8A61" w:rsidR="5002AF18">
          <w:rPr>
            <w:rStyle w:val="Hyperlink"/>
            <w:rFonts w:ascii="Arial" w:hAnsi="Arial"/>
            <w:b w:val="0"/>
            <w:bCs w:val="0"/>
            <w:noProof w:val="0"/>
            <w:sz w:val="24"/>
            <w:szCs w:val="24"/>
            <w:u w:val="none"/>
            <w:lang w:val="cy-GB"/>
          </w:rPr>
          <w:t>https://emu.dk/sites/default/files/2021-03/8077%20SPL%20Hovedpublikation_UK_WEB%20FINAL-a.pdf</w:t>
        </w:r>
      </w:hyperlink>
      <w:r w:rsidRPr="15CD8A61" w:rsidR="5002AF18">
        <w:rPr>
          <w:rFonts w:ascii="Arial" w:hAnsi="Arial"/>
          <w:b w:val="0"/>
          <w:bCs w:val="0"/>
          <w:noProof w:val="0"/>
          <w:sz w:val="24"/>
          <w:szCs w:val="24"/>
          <w:u w:val="none"/>
          <w:lang w:val="cy-GB"/>
        </w:rPr>
        <w:t xml:space="preserve"> [Accessed 22 Oct. 2026].</w:t>
      </w:r>
    </w:p>
    <w:p w:rsidR="19B0B7C6" w:rsidP="15CD8A61" w:rsidRDefault="19B0B7C6" w14:paraId="07992648" w14:textId="1278F0AF">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Dankiw, K.A., Tsiros, M.D., Baldock, K.L. and Kumar, S. (2020). The impacts of unstructured nature play on health in early childhood development: A systematic review. </w:t>
      </w:r>
      <w:r w:rsidRPr="15CD8A61" w:rsidR="5002AF18">
        <w:rPr>
          <w:rFonts w:ascii="Arial" w:hAnsi="Arial"/>
          <w:b w:val="0"/>
          <w:bCs w:val="0"/>
          <w:i w:val="1"/>
          <w:iCs w:val="1"/>
          <w:noProof w:val="0"/>
          <w:sz w:val="24"/>
          <w:szCs w:val="24"/>
          <w:u w:val="none"/>
          <w:lang w:val="cy-GB"/>
        </w:rPr>
        <w:t>PLOS ONE</w:t>
      </w:r>
      <w:r w:rsidRPr="15CD8A61" w:rsidR="5002AF18">
        <w:rPr>
          <w:rFonts w:ascii="Arial" w:hAnsi="Arial"/>
          <w:b w:val="0"/>
          <w:bCs w:val="0"/>
          <w:noProof w:val="0"/>
          <w:sz w:val="24"/>
          <w:szCs w:val="24"/>
          <w:u w:val="none"/>
          <w:lang w:val="cy-GB"/>
        </w:rPr>
        <w:t>, [online] 15(2), p.e0229006. doi:https://doi.org/10.1371/journal.pone.0229006.</w:t>
      </w:r>
    </w:p>
    <w:p w:rsidR="19B0B7C6" w:rsidP="15CD8A61" w:rsidRDefault="19B0B7C6" w14:paraId="4F363AB7" w14:textId="59C42AE0">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Estyn (2017). </w:t>
      </w:r>
      <w:r w:rsidRPr="15CD8A61" w:rsidR="5002AF18">
        <w:rPr>
          <w:rFonts w:ascii="Arial" w:hAnsi="Arial"/>
          <w:b w:val="0"/>
          <w:bCs w:val="0"/>
          <w:i w:val="1"/>
          <w:iCs w:val="1"/>
          <w:noProof w:val="0"/>
          <w:sz w:val="24"/>
          <w:szCs w:val="24"/>
          <w:u w:val="none"/>
          <w:lang w:val="cy-GB"/>
        </w:rPr>
        <w:t>Effective foundation phase practice in delivering literacy and numeracy in Year 1 and Year 2</w:t>
      </w:r>
      <w:r w:rsidRPr="15CD8A61" w:rsidR="5002AF18">
        <w:rPr>
          <w:rFonts w:ascii="Arial" w:hAnsi="Arial"/>
          <w:b w:val="0"/>
          <w:bCs w:val="0"/>
          <w:noProof w:val="0"/>
          <w:sz w:val="24"/>
          <w:szCs w:val="24"/>
          <w:u w:val="none"/>
          <w:lang w:val="cy-GB"/>
        </w:rPr>
        <w:t xml:space="preserve">. [online] Cardiff: Estyn. Available at: </w:t>
      </w:r>
      <w:hyperlink r:id="R35d61d42e8244abe">
        <w:r w:rsidRPr="15CD8A61" w:rsidR="5002AF18">
          <w:rPr>
            <w:rStyle w:val="Hyperlink"/>
            <w:rFonts w:ascii="Arial" w:hAnsi="Arial"/>
            <w:b w:val="0"/>
            <w:bCs w:val="0"/>
            <w:noProof w:val="0"/>
            <w:sz w:val="24"/>
            <w:szCs w:val="24"/>
            <w:u w:val="none"/>
            <w:lang w:val="cy-GB"/>
          </w:rPr>
          <w:t>https://www.estyn.gov.wales/system/files/2020-07/Estyn%2520Active%2520and%2520experiential%2520learning_E_Accessible_1.pdf</w:t>
        </w:r>
      </w:hyperlink>
      <w:r w:rsidRPr="15CD8A61" w:rsidR="5002AF18">
        <w:rPr>
          <w:rFonts w:ascii="Arial" w:hAnsi="Arial"/>
          <w:b w:val="0"/>
          <w:bCs w:val="0"/>
          <w:noProof w:val="0"/>
          <w:sz w:val="24"/>
          <w:szCs w:val="24"/>
          <w:u w:val="none"/>
          <w:lang w:val="cy-GB"/>
        </w:rPr>
        <w:t>? [Accessed 22 Oct. 2026].</w:t>
      </w:r>
    </w:p>
    <w:p w:rsidR="19B0B7C6" w:rsidP="15CD8A61" w:rsidRDefault="19B0B7C6" w14:paraId="69039D2C" w14:textId="6090284F">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Guarrella, C., van Driel, J. and Cohrssen, C. (2022). Toward assessment for playful learning in early childhood: Influences on teachers” science assessment practices. </w:t>
      </w:r>
      <w:r w:rsidRPr="15CD8A61" w:rsidR="5002AF18">
        <w:rPr>
          <w:rFonts w:ascii="Arial" w:hAnsi="Arial"/>
          <w:b w:val="0"/>
          <w:bCs w:val="0"/>
          <w:i w:val="1"/>
          <w:iCs w:val="1"/>
          <w:noProof w:val="0"/>
          <w:sz w:val="24"/>
          <w:szCs w:val="24"/>
          <w:u w:val="none"/>
          <w:lang w:val="cy-GB"/>
        </w:rPr>
        <w:t>Journal of Research in Science Teaching</w:t>
      </w:r>
      <w:r w:rsidRPr="15CD8A61" w:rsidR="5002AF18">
        <w:rPr>
          <w:rFonts w:ascii="Arial" w:hAnsi="Arial"/>
          <w:b w:val="0"/>
          <w:bCs w:val="0"/>
          <w:noProof w:val="0"/>
          <w:sz w:val="24"/>
          <w:szCs w:val="24"/>
          <w:u w:val="none"/>
          <w:lang w:val="cy-GB"/>
        </w:rPr>
        <w:t>, 60(3), pp.608–642. doi:10.1002/tea.21811.</w:t>
      </w:r>
    </w:p>
    <w:p w:rsidR="19B0B7C6" w:rsidP="15CD8A61" w:rsidRDefault="19B0B7C6" w14:paraId="622DB3F4" w14:textId="3B47D13C">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Hattingh, L. (2023). Time to play, time to think: Meaningful moments in the forest. </w:t>
      </w:r>
      <w:r w:rsidRPr="15CD8A61" w:rsidR="5002AF18">
        <w:rPr>
          <w:rFonts w:ascii="Arial" w:hAnsi="Arial"/>
          <w:b w:val="0"/>
          <w:bCs w:val="0"/>
          <w:i w:val="1"/>
          <w:iCs w:val="1"/>
          <w:noProof w:val="0"/>
          <w:sz w:val="24"/>
          <w:szCs w:val="24"/>
          <w:u w:val="none"/>
          <w:lang w:val="cy-GB"/>
        </w:rPr>
        <w:t>European Early Childhood Education Research Journal</w:t>
      </w:r>
      <w:r w:rsidRPr="15CD8A61" w:rsidR="5002AF18">
        <w:rPr>
          <w:rFonts w:ascii="Arial" w:hAnsi="Arial"/>
          <w:b w:val="0"/>
          <w:bCs w:val="0"/>
          <w:noProof w:val="0"/>
          <w:sz w:val="24"/>
          <w:szCs w:val="24"/>
          <w:u w:val="none"/>
          <w:lang w:val="cy-GB"/>
        </w:rPr>
        <w:t>, 32(1), pp.22–33. doi:10.1080/1350293x.2023.2221419.</w:t>
      </w:r>
    </w:p>
    <w:p w:rsidR="19B0B7C6" w:rsidP="15CD8A61" w:rsidRDefault="19B0B7C6" w14:paraId="59EC1C91" w14:textId="1BF6E9A3">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Johnstone, A., Martin, A., Cordovil, R., Fjørtoft, I., Iivonen, S., Jidovtseff, B., Lopes, F., Reilly, J.J., Thomson, H., Wells, V. and McCrorie, P. (2022). Nature-based early childhood education and children’s social, emotional and cognitive development: A mixed-methods systematic review. </w:t>
      </w:r>
      <w:r w:rsidRPr="15CD8A61" w:rsidR="5002AF18">
        <w:rPr>
          <w:rFonts w:ascii="Arial" w:hAnsi="Arial"/>
          <w:b w:val="0"/>
          <w:bCs w:val="0"/>
          <w:i w:val="1"/>
          <w:iCs w:val="1"/>
          <w:noProof w:val="0"/>
          <w:sz w:val="24"/>
          <w:szCs w:val="24"/>
          <w:u w:val="none"/>
          <w:lang w:val="cy-GB"/>
        </w:rPr>
        <w:t>International Journal of Environmental Research and Public Health</w:t>
      </w:r>
      <w:r w:rsidRPr="15CD8A61" w:rsidR="5002AF18">
        <w:rPr>
          <w:rFonts w:ascii="Arial" w:hAnsi="Arial"/>
          <w:b w:val="0"/>
          <w:bCs w:val="0"/>
          <w:noProof w:val="0"/>
          <w:sz w:val="24"/>
          <w:szCs w:val="24"/>
          <w:u w:val="none"/>
          <w:lang w:val="cy-GB"/>
        </w:rPr>
        <w:t>, [online] 19(10), p.5967. doi:10.3390/ijerph19105967.</w:t>
      </w:r>
    </w:p>
    <w:p w:rsidR="19B0B7C6" w:rsidP="15CD8A61" w:rsidRDefault="19B0B7C6" w14:paraId="1C6705FA" w14:textId="472D1D8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Kiviranta, L., Lindfors, E., Rönkkö, M.-L. and Luukka, E. (2024). Outdoor learning in early childhood education: Exploring benefits and challenges. </w:t>
      </w:r>
      <w:r w:rsidRPr="15CD8A61" w:rsidR="5002AF18">
        <w:rPr>
          <w:rFonts w:ascii="Arial" w:hAnsi="Arial"/>
          <w:b w:val="0"/>
          <w:bCs w:val="0"/>
          <w:i w:val="1"/>
          <w:iCs w:val="1"/>
          <w:noProof w:val="0"/>
          <w:sz w:val="24"/>
          <w:szCs w:val="24"/>
          <w:u w:val="none"/>
          <w:lang w:val="cy-GB"/>
        </w:rPr>
        <w:t>Educational Research</w:t>
      </w:r>
      <w:r w:rsidRPr="15CD8A61" w:rsidR="5002AF18">
        <w:rPr>
          <w:rFonts w:ascii="Arial" w:hAnsi="Arial"/>
          <w:b w:val="0"/>
          <w:bCs w:val="0"/>
          <w:noProof w:val="0"/>
          <w:sz w:val="24"/>
          <w:szCs w:val="24"/>
          <w:u w:val="none"/>
          <w:lang w:val="cy-GB"/>
        </w:rPr>
        <w:t>, 66(1), pp.1–18. doi:https://doi.org/10.1080/00131881.2023.2285762.</w:t>
      </w:r>
    </w:p>
    <w:p w:rsidR="19B0B7C6" w:rsidP="15CD8A61" w:rsidRDefault="19B0B7C6" w14:paraId="51B4CD03" w14:textId="5F1F7EE2">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Little, H., Sandseter, E.B. and Kleppe, R. (2026). Risky play in early childhood education and care settings: A scoping review. </w:t>
      </w:r>
      <w:r w:rsidRPr="15CD8A61" w:rsidR="5002AF18">
        <w:rPr>
          <w:rFonts w:ascii="Arial" w:hAnsi="Arial"/>
          <w:b w:val="0"/>
          <w:bCs w:val="0"/>
          <w:i w:val="1"/>
          <w:iCs w:val="1"/>
          <w:noProof w:val="0"/>
          <w:sz w:val="24"/>
          <w:szCs w:val="24"/>
          <w:u w:val="none"/>
          <w:lang w:val="cy-GB"/>
        </w:rPr>
        <w:t>Review of Education</w:t>
      </w:r>
      <w:r w:rsidRPr="15CD8A61" w:rsidR="5002AF18">
        <w:rPr>
          <w:rFonts w:ascii="Arial" w:hAnsi="Arial"/>
          <w:b w:val="0"/>
          <w:bCs w:val="0"/>
          <w:noProof w:val="0"/>
          <w:sz w:val="24"/>
          <w:szCs w:val="24"/>
          <w:u w:val="none"/>
          <w:lang w:val="cy-GB"/>
        </w:rPr>
        <w:t>, [online] 14(2). doi:10.1002/rev3.70210.</w:t>
      </w:r>
    </w:p>
    <w:p w:rsidR="19B0B7C6" w:rsidP="15CD8A61" w:rsidRDefault="19B0B7C6" w14:paraId="13B28BBE" w14:textId="7115077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Locke, M., Stone, M.R., So, S., Sheriko, J., Arbour-Nicitopoulos, K.P., Brussoni, M. and Moore, S.A. (2026). How does disability impact children’s experiences in outdoor and risky play? A scoping review and narrative synthesis. </w:t>
      </w:r>
      <w:r w:rsidRPr="15CD8A61" w:rsidR="5002AF18">
        <w:rPr>
          <w:rFonts w:ascii="Arial" w:hAnsi="Arial"/>
          <w:b w:val="0"/>
          <w:bCs w:val="0"/>
          <w:i w:val="1"/>
          <w:iCs w:val="1"/>
          <w:noProof w:val="0"/>
          <w:sz w:val="24"/>
          <w:szCs w:val="24"/>
          <w:u w:val="none"/>
          <w:lang w:val="cy-GB"/>
        </w:rPr>
        <w:t>BMC Public Health</w:t>
      </w:r>
      <w:r w:rsidRPr="15CD8A61" w:rsidR="5002AF18">
        <w:rPr>
          <w:rFonts w:ascii="Arial" w:hAnsi="Arial"/>
          <w:b w:val="0"/>
          <w:bCs w:val="0"/>
          <w:noProof w:val="0"/>
          <w:sz w:val="24"/>
          <w:szCs w:val="24"/>
          <w:u w:val="none"/>
          <w:lang w:val="cy-GB"/>
        </w:rPr>
        <w:t>, 26(1). doi:10.1186/s12889-026-27201-x.</w:t>
      </w:r>
    </w:p>
    <w:p w:rsidR="19B0B7C6" w:rsidP="15CD8A61" w:rsidRDefault="19B0B7C6" w14:paraId="33055FC3" w14:textId="4D2DDF9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Mackinder, M. (2022). A bird’s eye view: Comparing young children’s play in Forest School in England with forest kindergarten in Denmark. </w:t>
      </w:r>
      <w:r w:rsidRPr="15CD8A61" w:rsidR="5002AF18">
        <w:rPr>
          <w:rFonts w:ascii="Arial" w:hAnsi="Arial"/>
          <w:b w:val="0"/>
          <w:bCs w:val="0"/>
          <w:i w:val="1"/>
          <w:iCs w:val="1"/>
          <w:noProof w:val="0"/>
          <w:sz w:val="24"/>
          <w:szCs w:val="24"/>
          <w:u w:val="none"/>
          <w:lang w:val="cy-GB"/>
        </w:rPr>
        <w:t>Education 3-13</w:t>
      </w:r>
      <w:r w:rsidRPr="15CD8A61" w:rsidR="5002AF18">
        <w:rPr>
          <w:rFonts w:ascii="Arial" w:hAnsi="Arial"/>
          <w:b w:val="0"/>
          <w:bCs w:val="0"/>
          <w:noProof w:val="0"/>
          <w:sz w:val="24"/>
          <w:szCs w:val="24"/>
          <w:u w:val="none"/>
          <w:lang w:val="cy-GB"/>
        </w:rPr>
        <w:t>, 52(5), pp.1–18. doi:10.1080/03004279.2022.2126284.</w:t>
      </w:r>
    </w:p>
    <w:p w:rsidR="19B0B7C6" w:rsidP="15CD8A61" w:rsidRDefault="19B0B7C6" w14:paraId="56A6EE5B" w14:textId="5AD0462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McCrorie, P., Johnstone, A., Nicholls, N., Keime, M., Jidovtseff, B. and Martin, A. (2025). Risky outdoor play in the early years: How are parental and practitioner perceptions of danger and benefits associated with young children’s outdoor play experiences? </w:t>
      </w:r>
      <w:r w:rsidRPr="15CD8A61" w:rsidR="5002AF18">
        <w:rPr>
          <w:rFonts w:ascii="Arial" w:hAnsi="Arial"/>
          <w:b w:val="0"/>
          <w:bCs w:val="0"/>
          <w:i w:val="1"/>
          <w:iCs w:val="1"/>
          <w:noProof w:val="0"/>
          <w:sz w:val="24"/>
          <w:szCs w:val="24"/>
          <w:u w:val="none"/>
          <w:lang w:val="cy-GB"/>
        </w:rPr>
        <w:t>International Journal of Play</w:t>
      </w:r>
      <w:r w:rsidRPr="15CD8A61" w:rsidR="5002AF18">
        <w:rPr>
          <w:rFonts w:ascii="Arial" w:hAnsi="Arial"/>
          <w:b w:val="0"/>
          <w:bCs w:val="0"/>
          <w:noProof w:val="0"/>
          <w:sz w:val="24"/>
          <w:szCs w:val="24"/>
          <w:u w:val="none"/>
          <w:lang w:val="cy-GB"/>
        </w:rPr>
        <w:t>, [online] 14(2), pp.120–138. doi:10.1080/21594937.2025.2508649.</w:t>
      </w:r>
    </w:p>
    <w:p w:rsidR="19B0B7C6" w:rsidP="15CD8A61" w:rsidRDefault="19B0B7C6" w14:paraId="685E7BF2" w14:textId="7932E8E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McMahon, S. and Dyer, M. (2018). </w:t>
      </w:r>
      <w:r w:rsidRPr="15CD8A61" w:rsidR="5002AF18">
        <w:rPr>
          <w:rFonts w:ascii="Arial" w:hAnsi="Arial"/>
          <w:b w:val="0"/>
          <w:bCs w:val="0"/>
          <w:i w:val="1"/>
          <w:iCs w:val="1"/>
          <w:noProof w:val="0"/>
          <w:sz w:val="24"/>
          <w:szCs w:val="24"/>
          <w:u w:val="none"/>
          <w:lang w:val="cy-GB"/>
        </w:rPr>
        <w:t>Advanced work-based practice in the early years: A guide for students</w:t>
      </w:r>
      <w:r w:rsidRPr="15CD8A61" w:rsidR="5002AF18">
        <w:rPr>
          <w:rFonts w:ascii="Arial" w:hAnsi="Arial"/>
          <w:b w:val="0"/>
          <w:bCs w:val="0"/>
          <w:noProof w:val="0"/>
          <w:sz w:val="24"/>
          <w:szCs w:val="24"/>
          <w:u w:val="none"/>
          <w:lang w:val="cy-GB"/>
        </w:rPr>
        <w:t>. Routledge.</w:t>
      </w:r>
    </w:p>
    <w:p w:rsidR="19B0B7C6" w:rsidP="15CD8A61" w:rsidRDefault="19B0B7C6" w14:paraId="04485E58" w14:textId="3BAC9AA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Mohammed, A.H., Nigussie, B., Schellens, T. and Rotsaert, T. (2026). Play-based learning in early childhood education: A scoping review. </w:t>
      </w:r>
      <w:r w:rsidRPr="15CD8A61" w:rsidR="5002AF18">
        <w:rPr>
          <w:rFonts w:ascii="Arial" w:hAnsi="Arial"/>
          <w:b w:val="0"/>
          <w:bCs w:val="0"/>
          <w:i w:val="1"/>
          <w:iCs w:val="1"/>
          <w:noProof w:val="0"/>
          <w:sz w:val="24"/>
          <w:szCs w:val="24"/>
          <w:u w:val="none"/>
          <w:lang w:val="cy-GB"/>
        </w:rPr>
        <w:t>Early Childhood Education Journal</w:t>
      </w:r>
      <w:r w:rsidRPr="15CD8A61" w:rsidR="5002AF18">
        <w:rPr>
          <w:rFonts w:ascii="Arial" w:hAnsi="Arial"/>
          <w:b w:val="0"/>
          <w:bCs w:val="0"/>
          <w:noProof w:val="0"/>
          <w:sz w:val="24"/>
          <w:szCs w:val="24"/>
          <w:u w:val="none"/>
          <w:lang w:val="cy-GB"/>
        </w:rPr>
        <w:t>, [online] 54(5), pp.3929–3975. doi:10.1007/s10643-026-02127-6.</w:t>
      </w:r>
    </w:p>
    <w:p w:rsidR="19B0B7C6" w:rsidP="15CD8A61" w:rsidRDefault="19B0B7C6" w14:paraId="56E12CC0" w14:textId="0393464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Montoya-Fernández, C., Losada-Puente, L., Isabel María Gómez-Barreto and Gil-Madrona, P. (2024). Developmental play-based assessment in early childhood education: A systematic review. </w:t>
      </w:r>
      <w:r w:rsidRPr="15CD8A61" w:rsidR="5002AF18">
        <w:rPr>
          <w:rFonts w:ascii="Arial" w:hAnsi="Arial"/>
          <w:b w:val="0"/>
          <w:bCs w:val="0"/>
          <w:i w:val="1"/>
          <w:iCs w:val="1"/>
          <w:noProof w:val="0"/>
          <w:sz w:val="24"/>
          <w:szCs w:val="24"/>
          <w:u w:val="none"/>
          <w:lang w:val="cy-GB"/>
        </w:rPr>
        <w:t>European Early Childhood Education Research Journal</w:t>
      </w:r>
      <w:r w:rsidRPr="15CD8A61" w:rsidR="5002AF18">
        <w:rPr>
          <w:rFonts w:ascii="Arial" w:hAnsi="Arial"/>
          <w:b w:val="0"/>
          <w:bCs w:val="0"/>
          <w:noProof w:val="0"/>
          <w:sz w:val="24"/>
          <w:szCs w:val="24"/>
          <w:u w:val="none"/>
          <w:lang w:val="cy-GB"/>
        </w:rPr>
        <w:t>, 32(5), pp.1–26. doi:10.1080/1350293x.2024.2311100.</w:t>
      </w:r>
    </w:p>
    <w:p w:rsidR="19B0B7C6" w:rsidP="15CD8A61" w:rsidRDefault="19B0B7C6" w14:paraId="1A513F0B" w14:textId="6A32B43D">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Morgenthaler, T., Schulze, C., Pentland, D. and Lynch, H. (2023). Environmental qualities that enhance outdoor play in community playgrounds from the perspective of children with and without disabilities: A scoping review. </w:t>
      </w:r>
      <w:r w:rsidRPr="15CD8A61" w:rsidR="5002AF18">
        <w:rPr>
          <w:rFonts w:ascii="Arial" w:hAnsi="Arial"/>
          <w:b w:val="0"/>
          <w:bCs w:val="0"/>
          <w:i w:val="1"/>
          <w:iCs w:val="1"/>
          <w:noProof w:val="0"/>
          <w:sz w:val="24"/>
          <w:szCs w:val="24"/>
          <w:u w:val="none"/>
          <w:lang w:val="cy-GB"/>
        </w:rPr>
        <w:t>International Journal of Environmental Research and Public Health</w:t>
      </w:r>
      <w:r w:rsidRPr="15CD8A61" w:rsidR="5002AF18">
        <w:rPr>
          <w:rFonts w:ascii="Arial" w:hAnsi="Arial"/>
          <w:b w:val="0"/>
          <w:bCs w:val="0"/>
          <w:noProof w:val="0"/>
          <w:sz w:val="24"/>
          <w:szCs w:val="24"/>
          <w:u w:val="none"/>
          <w:lang w:val="cy-GB"/>
        </w:rPr>
        <w:t>, [online] 20(3), p.1763. doi:10.3390/ijerph20031763.</w:t>
      </w:r>
    </w:p>
    <w:p w:rsidR="19B0B7C6" w:rsidP="15CD8A61" w:rsidRDefault="19B0B7C6" w14:paraId="326238C2" w14:textId="5B516AB6">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OECD (2020). </w:t>
      </w:r>
      <w:r w:rsidRPr="15CD8A61" w:rsidR="5002AF18">
        <w:rPr>
          <w:rFonts w:ascii="Arial" w:hAnsi="Arial"/>
          <w:b w:val="0"/>
          <w:bCs w:val="0"/>
          <w:i w:val="1"/>
          <w:iCs w:val="1"/>
          <w:noProof w:val="0"/>
          <w:sz w:val="24"/>
          <w:szCs w:val="24"/>
          <w:u w:val="none"/>
          <w:lang w:val="cy-GB"/>
        </w:rPr>
        <w:t>Achieving the new curriculum for Wales</w:t>
      </w:r>
      <w:r w:rsidRPr="15CD8A61" w:rsidR="5002AF18">
        <w:rPr>
          <w:rFonts w:ascii="Arial" w:hAnsi="Arial"/>
          <w:b w:val="0"/>
          <w:bCs w:val="0"/>
          <w:noProof w:val="0"/>
          <w:sz w:val="24"/>
          <w:szCs w:val="24"/>
          <w:u w:val="none"/>
          <w:lang w:val="cy-GB"/>
        </w:rPr>
        <w:t xml:space="preserve">. [online] Available at: </w:t>
      </w:r>
      <w:hyperlink r:id="R8848916daf2a4b75">
        <w:r w:rsidRPr="15CD8A61" w:rsidR="5002AF18">
          <w:rPr>
            <w:rStyle w:val="Hyperlink"/>
            <w:rFonts w:ascii="Arial" w:hAnsi="Arial"/>
            <w:b w:val="0"/>
            <w:bCs w:val="0"/>
            <w:noProof w:val="0"/>
            <w:sz w:val="24"/>
            <w:szCs w:val="24"/>
            <w:u w:val="none"/>
            <w:lang w:val="cy-GB"/>
          </w:rPr>
          <w:t>https://www.oecd.org/content/dam/oecd/en/publications/reports/2020/10/achieving-the-new-curriculum-for-wales_a717ca73/4b483953-en.pdf</w:t>
        </w:r>
      </w:hyperlink>
      <w:r w:rsidRPr="15CD8A61" w:rsidR="5002AF18">
        <w:rPr>
          <w:rFonts w:ascii="Arial" w:hAnsi="Arial"/>
          <w:b w:val="0"/>
          <w:bCs w:val="0"/>
          <w:noProof w:val="0"/>
          <w:sz w:val="24"/>
          <w:szCs w:val="24"/>
          <w:u w:val="none"/>
          <w:lang w:val="cy-GB"/>
        </w:rPr>
        <w:t>? [Accessed 23 Oct. 2026].</w:t>
      </w:r>
    </w:p>
    <w:p w:rsidR="19B0B7C6" w:rsidP="15CD8A61" w:rsidRDefault="19B0B7C6" w14:paraId="3156CDE7" w14:textId="46D8A36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Packer, R., Gillie, S. and Spruce, S. (2025). The Unique Child. In: J. Brown and T. Clark, eds., </w:t>
      </w:r>
      <w:r w:rsidRPr="15CD8A61" w:rsidR="5002AF18">
        <w:rPr>
          <w:rFonts w:ascii="Arial" w:hAnsi="Arial"/>
          <w:b w:val="0"/>
          <w:bCs w:val="0"/>
          <w:i w:val="1"/>
          <w:iCs w:val="1"/>
          <w:noProof w:val="0"/>
          <w:sz w:val="24"/>
          <w:szCs w:val="24"/>
          <w:u w:val="none"/>
          <w:lang w:val="cy-GB"/>
        </w:rPr>
        <w:t>Debating Childhoods: Critical Perspectives on Early Childhood.</w:t>
      </w:r>
      <w:r w:rsidRPr="15CD8A61" w:rsidR="5002AF18">
        <w:rPr>
          <w:rFonts w:ascii="Arial" w:hAnsi="Arial"/>
          <w:b w:val="0"/>
          <w:bCs w:val="0"/>
          <w:noProof w:val="0"/>
          <w:sz w:val="24"/>
          <w:szCs w:val="24"/>
          <w:u w:val="none"/>
          <w:lang w:val="cy-GB"/>
        </w:rPr>
        <w:t xml:space="preserve"> London: SAGE, pp.110–121.</w:t>
      </w:r>
    </w:p>
    <w:p w:rsidR="19B0B7C6" w:rsidP="15CD8A61" w:rsidRDefault="19B0B7C6" w14:paraId="7564E4FE" w14:textId="7B246C70">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pijama61 (2023). </w:t>
      </w:r>
      <w:r w:rsidRPr="15CD8A61" w:rsidR="5002AF18">
        <w:rPr>
          <w:rFonts w:ascii="Arial" w:hAnsi="Arial"/>
          <w:b w:val="0"/>
          <w:bCs w:val="0"/>
          <w:i w:val="1"/>
          <w:iCs w:val="1"/>
          <w:noProof w:val="0"/>
          <w:sz w:val="24"/>
          <w:szCs w:val="24"/>
          <w:u w:val="none"/>
          <w:lang w:val="cy-GB"/>
        </w:rPr>
        <w:t>Vector illustration Children Having Fun And Balancing On Tree In Fall Woodland - stock illustration</w:t>
      </w:r>
      <w:r w:rsidRPr="15CD8A61" w:rsidR="5002AF18">
        <w:rPr>
          <w:rFonts w:ascii="Arial" w:hAnsi="Arial"/>
          <w:b w:val="0"/>
          <w:bCs w:val="0"/>
          <w:noProof w:val="0"/>
          <w:sz w:val="24"/>
          <w:szCs w:val="24"/>
          <w:u w:val="none"/>
          <w:lang w:val="cy-GB"/>
        </w:rPr>
        <w:t xml:space="preserve">. </w:t>
      </w:r>
      <w:r w:rsidRPr="15CD8A61" w:rsidR="5002AF18">
        <w:rPr>
          <w:rFonts w:ascii="Arial" w:hAnsi="Arial"/>
          <w:b w:val="0"/>
          <w:bCs w:val="0"/>
          <w:i w:val="1"/>
          <w:iCs w:val="1"/>
          <w:noProof w:val="0"/>
          <w:sz w:val="24"/>
          <w:szCs w:val="24"/>
          <w:u w:val="none"/>
          <w:lang w:val="cy-GB"/>
        </w:rPr>
        <w:t>gettyimages</w:t>
      </w:r>
      <w:r w:rsidRPr="15CD8A61" w:rsidR="5002AF18">
        <w:rPr>
          <w:rFonts w:ascii="Arial" w:hAnsi="Arial"/>
          <w:b w:val="0"/>
          <w:bCs w:val="0"/>
          <w:noProof w:val="0"/>
          <w:sz w:val="24"/>
          <w:szCs w:val="24"/>
          <w:u w:val="none"/>
          <w:lang w:val="cy-GB"/>
        </w:rPr>
        <w:t>.</w:t>
      </w:r>
    </w:p>
    <w:p w:rsidR="19B0B7C6" w:rsidP="15CD8A61" w:rsidRDefault="19B0B7C6" w14:paraId="49BB9202" w14:textId="27348397">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Pyle, A. and Danniels, E. (2017). A continuum of play-based learning: The role of the teacher in play-based pedagogy and the fear of hijacking play. </w:t>
      </w:r>
      <w:r w:rsidRPr="15CD8A61" w:rsidR="5002AF18">
        <w:rPr>
          <w:rFonts w:ascii="Arial" w:hAnsi="Arial"/>
          <w:b w:val="0"/>
          <w:bCs w:val="0"/>
          <w:i w:val="1"/>
          <w:iCs w:val="1"/>
          <w:noProof w:val="0"/>
          <w:sz w:val="24"/>
          <w:szCs w:val="24"/>
          <w:u w:val="none"/>
          <w:lang w:val="cy-GB"/>
        </w:rPr>
        <w:t>Early Education and Development</w:t>
      </w:r>
      <w:r w:rsidRPr="15CD8A61" w:rsidR="5002AF18">
        <w:rPr>
          <w:rFonts w:ascii="Arial" w:hAnsi="Arial"/>
          <w:b w:val="0"/>
          <w:bCs w:val="0"/>
          <w:noProof w:val="0"/>
          <w:sz w:val="24"/>
          <w:szCs w:val="24"/>
          <w:u w:val="none"/>
          <w:lang w:val="cy-GB"/>
        </w:rPr>
        <w:t>, [online] 28(3), pp.274–289. doi:https://doi.org/10.1080/10409289.2016.1220771.</w:t>
      </w:r>
    </w:p>
    <w:p w:rsidR="19B0B7C6" w:rsidP="15CD8A61" w:rsidRDefault="19B0B7C6" w14:paraId="514CFC42" w14:textId="3FE4A0EB">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Skene, K., O’Farrelly, C.M., Byrne, E.M., Kirby, N., Stevens, E.C. and Ramchandani, P.G. (2022). CAN guidance during play enhance children’s learning and development in educational contexts? A systematic review and meta‐analysis. </w:t>
      </w:r>
      <w:r w:rsidRPr="15CD8A61" w:rsidR="5002AF18">
        <w:rPr>
          <w:rFonts w:ascii="Arial" w:hAnsi="Arial"/>
          <w:b w:val="0"/>
          <w:bCs w:val="0"/>
          <w:i w:val="1"/>
          <w:iCs w:val="1"/>
          <w:noProof w:val="0"/>
          <w:sz w:val="24"/>
          <w:szCs w:val="24"/>
          <w:u w:val="none"/>
          <w:lang w:val="cy-GB"/>
        </w:rPr>
        <w:t>Child Development</w:t>
      </w:r>
      <w:r w:rsidRPr="15CD8A61" w:rsidR="5002AF18">
        <w:rPr>
          <w:rFonts w:ascii="Arial" w:hAnsi="Arial"/>
          <w:b w:val="0"/>
          <w:bCs w:val="0"/>
          <w:noProof w:val="0"/>
          <w:sz w:val="24"/>
          <w:szCs w:val="24"/>
          <w:u w:val="none"/>
          <w:lang w:val="cy-GB"/>
        </w:rPr>
        <w:t>, [online] 93(4), pp.1162–1180. doi:10.1111/cdev.13730.</w:t>
      </w:r>
    </w:p>
    <w:p w:rsidR="19B0B7C6" w:rsidP="15CD8A61" w:rsidRDefault="19B0B7C6" w14:paraId="11A72B64" w14:textId="5DFBF5C4">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Storli, R., Sandseter, E.B.H. and Sando, O.J. (2020). Children’s involvement in free play and the use of play materials in the outdoor early childhood education and care environment. </w:t>
      </w:r>
      <w:r w:rsidRPr="15CD8A61" w:rsidR="5002AF18">
        <w:rPr>
          <w:rFonts w:ascii="Arial" w:hAnsi="Arial"/>
          <w:b w:val="0"/>
          <w:bCs w:val="0"/>
          <w:i w:val="1"/>
          <w:iCs w:val="1"/>
          <w:noProof w:val="0"/>
          <w:sz w:val="24"/>
          <w:szCs w:val="24"/>
          <w:u w:val="none"/>
          <w:lang w:val="cy-GB"/>
        </w:rPr>
        <w:t>Children, Youth and Environments</w:t>
      </w:r>
      <w:r w:rsidRPr="15CD8A61" w:rsidR="5002AF18">
        <w:rPr>
          <w:rFonts w:ascii="Arial" w:hAnsi="Arial"/>
          <w:b w:val="0"/>
          <w:bCs w:val="0"/>
          <w:noProof w:val="0"/>
          <w:sz w:val="24"/>
          <w:szCs w:val="24"/>
          <w:u w:val="none"/>
          <w:lang w:val="cy-GB"/>
        </w:rPr>
        <w:t>, 30(1), p.66. doi:10.7721/chilyoutenvi.30.1.0066.</w:t>
      </w:r>
    </w:p>
    <w:p w:rsidR="19B0B7C6" w:rsidP="15CD8A61" w:rsidRDefault="19B0B7C6" w14:paraId="7E89C119" w14:textId="28D6D8A9">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Taylor, C., Rhys, M. and Waldron, S. (2016). Implementing curriculum reform in Wales: The case of the foundation phase. </w:t>
      </w:r>
      <w:r w:rsidRPr="15CD8A61" w:rsidR="5002AF18">
        <w:rPr>
          <w:rFonts w:ascii="Arial" w:hAnsi="Arial"/>
          <w:b w:val="0"/>
          <w:bCs w:val="0"/>
          <w:i w:val="1"/>
          <w:iCs w:val="1"/>
          <w:noProof w:val="0"/>
          <w:sz w:val="24"/>
          <w:szCs w:val="24"/>
          <w:u w:val="none"/>
          <w:lang w:val="cy-GB"/>
        </w:rPr>
        <w:t>Oxford Review of Education</w:t>
      </w:r>
      <w:r w:rsidRPr="15CD8A61" w:rsidR="5002AF18">
        <w:rPr>
          <w:rFonts w:ascii="Arial" w:hAnsi="Arial"/>
          <w:b w:val="0"/>
          <w:bCs w:val="0"/>
          <w:noProof w:val="0"/>
          <w:sz w:val="24"/>
          <w:szCs w:val="24"/>
          <w:u w:val="none"/>
          <w:lang w:val="cy-GB"/>
        </w:rPr>
        <w:t>, 42(3), pp.299–315. doi:10.1080/03054985.2016.1184872.</w:t>
      </w:r>
    </w:p>
    <w:p w:rsidR="19B0B7C6" w:rsidP="15CD8A61" w:rsidRDefault="19B0B7C6" w14:paraId="10A0FE37" w14:textId="0D35F9F5">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Taylor, M.E. and Boyer, W. (2020). Play-based learning: Evidence-based research to improve children’s learning experiences in the kindergarten classroom. </w:t>
      </w:r>
      <w:r w:rsidRPr="15CD8A61" w:rsidR="5002AF18">
        <w:rPr>
          <w:rFonts w:ascii="Arial" w:hAnsi="Arial"/>
          <w:b w:val="0"/>
          <w:bCs w:val="0"/>
          <w:i w:val="1"/>
          <w:iCs w:val="1"/>
          <w:noProof w:val="0"/>
          <w:sz w:val="24"/>
          <w:szCs w:val="24"/>
          <w:u w:val="none"/>
          <w:lang w:val="cy-GB"/>
        </w:rPr>
        <w:t>Early Childhood Education Journal</w:t>
      </w:r>
      <w:r w:rsidRPr="15CD8A61" w:rsidR="5002AF18">
        <w:rPr>
          <w:rFonts w:ascii="Arial" w:hAnsi="Arial"/>
          <w:b w:val="0"/>
          <w:bCs w:val="0"/>
          <w:noProof w:val="0"/>
          <w:sz w:val="24"/>
          <w:szCs w:val="24"/>
          <w:u w:val="none"/>
          <w:lang w:val="cy-GB"/>
        </w:rPr>
        <w:t>, 48(2), pp.127–133. doi:10.1007/s10643-019-00989-7.</w:t>
      </w:r>
    </w:p>
    <w:p w:rsidR="19B0B7C6" w:rsidP="15CD8A61" w:rsidRDefault="19B0B7C6" w14:paraId="1E9E1B52" w14:textId="25AA3E88">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Varier, D. and Yun, S. (2023). A review of research on assessment use: Implications for preparing early childhood educators for data-informed decision-making. </w:t>
      </w:r>
      <w:r w:rsidRPr="15CD8A61" w:rsidR="5002AF18">
        <w:rPr>
          <w:rFonts w:ascii="Arial" w:hAnsi="Arial"/>
          <w:b w:val="0"/>
          <w:bCs w:val="0"/>
          <w:i w:val="1"/>
          <w:iCs w:val="1"/>
          <w:noProof w:val="0"/>
          <w:sz w:val="24"/>
          <w:szCs w:val="24"/>
          <w:u w:val="none"/>
          <w:lang w:val="cy-GB"/>
        </w:rPr>
        <w:t>Journal of Early Childhood Teacher Education</w:t>
      </w:r>
      <w:r w:rsidRPr="15CD8A61" w:rsidR="5002AF18">
        <w:rPr>
          <w:rFonts w:ascii="Arial" w:hAnsi="Arial"/>
          <w:b w:val="0"/>
          <w:bCs w:val="0"/>
          <w:noProof w:val="0"/>
          <w:sz w:val="24"/>
          <w:szCs w:val="24"/>
          <w:u w:val="none"/>
          <w:lang w:val="cy-GB"/>
        </w:rPr>
        <w:t>, 44(4), pp.1067–1092. doi:10.1080/10901027.2023.2257157.</w:t>
      </w:r>
    </w:p>
    <w:p w:rsidR="19B0B7C6" w:rsidP="15CD8A61" w:rsidRDefault="19B0B7C6" w14:paraId="7CA54C0F" w14:textId="2B48D805">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Vygotsky, L.S. (1978). </w:t>
      </w:r>
      <w:r w:rsidRPr="15CD8A61" w:rsidR="5002AF18">
        <w:rPr>
          <w:rFonts w:ascii="Arial" w:hAnsi="Arial"/>
          <w:b w:val="0"/>
          <w:bCs w:val="0"/>
          <w:i w:val="1"/>
          <w:iCs w:val="1"/>
          <w:noProof w:val="0"/>
          <w:sz w:val="24"/>
          <w:szCs w:val="24"/>
          <w:u w:val="none"/>
          <w:lang w:val="cy-GB"/>
        </w:rPr>
        <w:t>Mind in society: The development of higher psychological processes</w:t>
      </w:r>
      <w:r w:rsidRPr="15CD8A61" w:rsidR="5002AF18">
        <w:rPr>
          <w:rFonts w:ascii="Arial" w:hAnsi="Arial"/>
          <w:b w:val="0"/>
          <w:bCs w:val="0"/>
          <w:noProof w:val="0"/>
          <w:sz w:val="24"/>
          <w:szCs w:val="24"/>
          <w:u w:val="none"/>
          <w:lang w:val="cy-GB"/>
        </w:rPr>
        <w:t xml:space="preserve">. [online] Cambridge: Harvard University Press. Available at: </w:t>
      </w:r>
      <w:hyperlink r:id="Rb44d273c9b1d4424">
        <w:r w:rsidRPr="15CD8A61" w:rsidR="5002AF18">
          <w:rPr>
            <w:rStyle w:val="Hyperlink"/>
            <w:rFonts w:ascii="Arial" w:hAnsi="Arial"/>
            <w:b w:val="0"/>
            <w:bCs w:val="0"/>
            <w:noProof w:val="0"/>
            <w:sz w:val="24"/>
            <w:szCs w:val="24"/>
            <w:u w:val="none"/>
            <w:lang w:val="cy-GB"/>
          </w:rPr>
          <w:t>https://w.pauldowling.me/rtf/2021.1/readings/LSVygotsky_1978_MindinSocietyDevelopmentofHigherPsycholo.pdf</w:t>
        </w:r>
      </w:hyperlink>
      <w:r w:rsidRPr="15CD8A61" w:rsidR="5002AF18">
        <w:rPr>
          <w:rFonts w:ascii="Arial" w:hAnsi="Arial"/>
          <w:b w:val="0"/>
          <w:bCs w:val="0"/>
          <w:noProof w:val="0"/>
          <w:sz w:val="24"/>
          <w:szCs w:val="24"/>
          <w:u w:val="none"/>
          <w:lang w:val="cy-GB"/>
        </w:rPr>
        <w:t xml:space="preserve"> [Accessed 23 Oct. 2026].</w:t>
      </w:r>
    </w:p>
    <w:p w:rsidR="19B0B7C6" w:rsidP="15CD8A61" w:rsidRDefault="19B0B7C6" w14:paraId="644CADE1" w14:textId="77784D92">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(2015). </w:t>
      </w:r>
      <w:r w:rsidRPr="15CD8A61" w:rsidR="5002AF18">
        <w:rPr>
          <w:rFonts w:ascii="Arial" w:hAnsi="Arial"/>
          <w:b w:val="0"/>
          <w:bCs w:val="0"/>
          <w:i w:val="1"/>
          <w:iCs w:val="1"/>
          <w:noProof w:val="0"/>
          <w:sz w:val="24"/>
          <w:szCs w:val="24"/>
          <w:u w:val="none"/>
          <w:lang w:val="cy-GB"/>
        </w:rPr>
        <w:t>Foundation Phase Framework Curriculum for Wales</w:t>
      </w:r>
      <w:r w:rsidRPr="15CD8A61" w:rsidR="5002AF18">
        <w:rPr>
          <w:rFonts w:ascii="Arial" w:hAnsi="Arial"/>
          <w:b w:val="0"/>
          <w:bCs w:val="0"/>
          <w:noProof w:val="0"/>
          <w:sz w:val="24"/>
          <w:szCs w:val="24"/>
          <w:u w:val="none"/>
          <w:lang w:val="cy-GB"/>
        </w:rPr>
        <w:t xml:space="preserve">. [online] p.2. Available at: </w:t>
      </w:r>
      <w:hyperlink r:id="R57d5665e64884191">
        <w:r w:rsidRPr="15CD8A61" w:rsidR="5002AF18">
          <w:rPr>
            <w:rStyle w:val="Hyperlink"/>
            <w:rFonts w:ascii="Arial" w:hAnsi="Arial"/>
            <w:b w:val="0"/>
            <w:bCs w:val="0"/>
            <w:noProof w:val="0"/>
            <w:sz w:val="24"/>
            <w:szCs w:val="24"/>
            <w:u w:val="none"/>
            <w:lang w:val="cy-GB"/>
          </w:rPr>
          <w:t>https://hwb.gov.wales/storage/d5d8e39c-b534-40cb-a3f5-7e2e126d8077/foundation-phase-framework.pdf</w:t>
        </w:r>
      </w:hyperlink>
      <w:r w:rsidRPr="15CD8A61" w:rsidR="5002AF18">
        <w:rPr>
          <w:rFonts w:ascii="Arial" w:hAnsi="Arial"/>
          <w:b w:val="0"/>
          <w:bCs w:val="0"/>
          <w:noProof w:val="0"/>
          <w:sz w:val="24"/>
          <w:szCs w:val="24"/>
          <w:u w:val="none"/>
          <w:lang w:val="cy-GB"/>
        </w:rPr>
        <w:t xml:space="preserve"> [Accessed 22 Oct. 2026].</w:t>
      </w:r>
    </w:p>
    <w:p w:rsidR="19B0B7C6" w:rsidP="15CD8A61" w:rsidRDefault="19B0B7C6" w14:paraId="46534F91" w14:textId="69479B55">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(2017). </w:t>
      </w:r>
      <w:r w:rsidRPr="15CD8A61" w:rsidR="5002AF18">
        <w:rPr>
          <w:rFonts w:ascii="Arial" w:hAnsi="Arial"/>
          <w:b w:val="0"/>
          <w:bCs w:val="0"/>
          <w:i w:val="1"/>
          <w:iCs w:val="1"/>
          <w:noProof w:val="0"/>
          <w:sz w:val="24"/>
          <w:szCs w:val="24"/>
          <w:u w:val="none"/>
          <w:lang w:val="cy-GB"/>
        </w:rPr>
        <w:t>Foundation phase profile handbook</w:t>
      </w:r>
      <w:r w:rsidRPr="15CD8A61" w:rsidR="5002AF18">
        <w:rPr>
          <w:rFonts w:ascii="Arial" w:hAnsi="Arial"/>
          <w:b w:val="0"/>
          <w:bCs w:val="0"/>
          <w:noProof w:val="0"/>
          <w:sz w:val="24"/>
          <w:szCs w:val="24"/>
          <w:u w:val="none"/>
          <w:lang w:val="cy-GB"/>
        </w:rPr>
        <w:t xml:space="preserve">. [online] Available at: </w:t>
      </w:r>
      <w:hyperlink r:id="Rc3f264e122644392">
        <w:r w:rsidRPr="15CD8A61" w:rsidR="5002AF18">
          <w:rPr>
            <w:rStyle w:val="Hyperlink"/>
            <w:rFonts w:ascii="Arial" w:hAnsi="Arial"/>
            <w:b w:val="0"/>
            <w:bCs w:val="0"/>
            <w:noProof w:val="0"/>
            <w:sz w:val="24"/>
            <w:szCs w:val="24"/>
            <w:u w:val="none"/>
            <w:lang w:val="cy-GB"/>
          </w:rPr>
          <w:t>https://hwb.gov.wales/storage/f9d85dba-85a4-4e87-bb58-a24730ad7e57/foundation-phase-profile-handbook-revised-september-2017.pdf</w:t>
        </w:r>
      </w:hyperlink>
      <w:r w:rsidRPr="15CD8A61" w:rsidR="5002AF18">
        <w:rPr>
          <w:rFonts w:ascii="Arial" w:hAnsi="Arial"/>
          <w:b w:val="0"/>
          <w:bCs w:val="0"/>
          <w:noProof w:val="0"/>
          <w:sz w:val="24"/>
          <w:szCs w:val="24"/>
          <w:u w:val="none"/>
          <w:lang w:val="cy-GB"/>
        </w:rPr>
        <w:t xml:space="preserve"> [Accessed 23 Oct. 2026].</w:t>
      </w:r>
    </w:p>
    <w:p w:rsidR="19B0B7C6" w:rsidP="15CD8A61" w:rsidRDefault="19B0B7C6" w14:paraId="30E0B91D" w14:textId="3ECAD007">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(2021). </w:t>
      </w:r>
      <w:r w:rsidRPr="15CD8A61" w:rsidR="5002AF18">
        <w:rPr>
          <w:rFonts w:ascii="Arial" w:hAnsi="Arial"/>
          <w:b w:val="0"/>
          <w:bCs w:val="0"/>
          <w:i w:val="1"/>
          <w:iCs w:val="1"/>
          <w:noProof w:val="0"/>
          <w:sz w:val="24"/>
          <w:szCs w:val="24"/>
          <w:u w:val="none"/>
          <w:lang w:val="cy-GB"/>
        </w:rPr>
        <w:t>The additional learning needs code for Wales 2021 WG21-23</w:t>
      </w:r>
      <w:r w:rsidRPr="15CD8A61" w:rsidR="5002AF18">
        <w:rPr>
          <w:rFonts w:ascii="Arial" w:hAnsi="Arial"/>
          <w:b w:val="0"/>
          <w:bCs w:val="0"/>
          <w:noProof w:val="0"/>
          <w:sz w:val="24"/>
          <w:szCs w:val="24"/>
          <w:u w:val="none"/>
          <w:lang w:val="cy-GB"/>
        </w:rPr>
        <w:t xml:space="preserve">. [online] Available at: </w:t>
      </w:r>
      <w:hyperlink r:id="R204b253e32a44144">
        <w:r w:rsidRPr="15CD8A61" w:rsidR="5002AF18">
          <w:rPr>
            <w:rStyle w:val="Hyperlink"/>
            <w:rFonts w:ascii="Arial" w:hAnsi="Arial"/>
            <w:b w:val="0"/>
            <w:bCs w:val="0"/>
            <w:noProof w:val="0"/>
            <w:sz w:val="24"/>
            <w:szCs w:val="24"/>
            <w:u w:val="none"/>
            <w:lang w:val="cy-GB"/>
          </w:rPr>
          <w:t>https://www.gov.wales/sites/default/files/publications/2026-04/the-additional-learning-needs-code-for-wales-2021_0.pdf</w:t>
        </w:r>
      </w:hyperlink>
      <w:r w:rsidRPr="15CD8A61" w:rsidR="5002AF18">
        <w:rPr>
          <w:rFonts w:ascii="Arial" w:hAnsi="Arial"/>
          <w:b w:val="0"/>
          <w:bCs w:val="0"/>
          <w:noProof w:val="0"/>
          <w:sz w:val="24"/>
          <w:szCs w:val="24"/>
          <w:u w:val="none"/>
          <w:lang w:val="cy-GB"/>
        </w:rPr>
        <w:t xml:space="preserve"> [Accessed 23 Oct. 2026].</w:t>
      </w:r>
    </w:p>
    <w:p w:rsidR="19B0B7C6" w:rsidP="15CD8A61" w:rsidRDefault="19B0B7C6" w14:paraId="45639AB5" w14:textId="6E214370">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(2022a). </w:t>
      </w:r>
      <w:r w:rsidRPr="15CD8A61" w:rsidR="5002AF18">
        <w:rPr>
          <w:rFonts w:ascii="Arial" w:hAnsi="Arial"/>
          <w:b w:val="0"/>
          <w:bCs w:val="0"/>
          <w:i w:val="1"/>
          <w:iCs w:val="1"/>
          <w:noProof w:val="0"/>
          <w:sz w:val="24"/>
          <w:szCs w:val="24"/>
          <w:u w:val="none"/>
          <w:lang w:val="cy-GB"/>
        </w:rPr>
        <w:t>Research into assessment practices in the foundation phase | gov.wales</w:t>
      </w:r>
      <w:r w:rsidRPr="15CD8A61" w:rsidR="5002AF18">
        <w:rPr>
          <w:rFonts w:ascii="Arial" w:hAnsi="Arial"/>
          <w:b w:val="0"/>
          <w:bCs w:val="0"/>
          <w:noProof w:val="0"/>
          <w:sz w:val="24"/>
          <w:szCs w:val="24"/>
          <w:u w:val="none"/>
          <w:lang w:val="cy-GB"/>
        </w:rPr>
        <w:t xml:space="preserve">. [online] GOV.WALES. Available at: </w:t>
      </w:r>
      <w:hyperlink r:id="R63b1366ab6674f89">
        <w:r w:rsidRPr="15CD8A61" w:rsidR="5002AF18">
          <w:rPr>
            <w:rStyle w:val="Hyperlink"/>
            <w:rFonts w:ascii="Arial" w:hAnsi="Arial"/>
            <w:b w:val="0"/>
            <w:bCs w:val="0"/>
            <w:noProof w:val="0"/>
            <w:sz w:val="24"/>
            <w:szCs w:val="24"/>
            <w:u w:val="none"/>
            <w:lang w:val="cy-GB"/>
          </w:rPr>
          <w:t>https://www.gov.wales/research-assessment-practices-foundation-phase</w:t>
        </w:r>
      </w:hyperlink>
      <w:r w:rsidRPr="15CD8A61" w:rsidR="5002AF18">
        <w:rPr>
          <w:rFonts w:ascii="Arial" w:hAnsi="Arial"/>
          <w:b w:val="0"/>
          <w:bCs w:val="0"/>
          <w:noProof w:val="0"/>
          <w:sz w:val="24"/>
          <w:szCs w:val="24"/>
          <w:u w:val="none"/>
          <w:lang w:val="cy-GB"/>
        </w:rPr>
        <w:t xml:space="preserve"> [Accessed 22 Oct. 2026].</w:t>
      </w:r>
    </w:p>
    <w:p w:rsidR="19B0B7C6" w:rsidP="15CD8A61" w:rsidRDefault="19B0B7C6" w14:paraId="1693FC5B" w14:textId="661C429B">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(2022b). </w:t>
      </w:r>
      <w:r w:rsidRPr="15CD8A61" w:rsidR="5002AF18">
        <w:rPr>
          <w:rFonts w:ascii="Arial" w:hAnsi="Arial"/>
          <w:b w:val="0"/>
          <w:bCs w:val="0"/>
          <w:i w:val="1"/>
          <w:iCs w:val="1"/>
          <w:noProof w:val="0"/>
          <w:sz w:val="24"/>
          <w:szCs w:val="24"/>
          <w:u w:val="none"/>
          <w:lang w:val="cy-GB"/>
        </w:rPr>
        <w:t>Supporting learner progression assessment guidance - HWB</w:t>
      </w:r>
      <w:r w:rsidRPr="15CD8A61" w:rsidR="5002AF18">
        <w:rPr>
          <w:rFonts w:ascii="Arial" w:hAnsi="Arial"/>
          <w:b w:val="0"/>
          <w:bCs w:val="0"/>
          <w:noProof w:val="0"/>
          <w:sz w:val="24"/>
          <w:szCs w:val="24"/>
          <w:u w:val="none"/>
          <w:lang w:val="cy-GB"/>
        </w:rPr>
        <w:t xml:space="preserve">. [online] Gov.wales. Available at: </w:t>
      </w:r>
      <w:hyperlink r:id="Rc4c5f84aa81b4c59">
        <w:r w:rsidRPr="15CD8A61" w:rsidR="5002AF18">
          <w:rPr>
            <w:rStyle w:val="Hyperlink"/>
            <w:rFonts w:ascii="Arial" w:hAnsi="Arial"/>
            <w:b w:val="0"/>
            <w:bCs w:val="0"/>
            <w:noProof w:val="0"/>
            <w:sz w:val="24"/>
            <w:szCs w:val="24"/>
            <w:u w:val="none"/>
            <w:lang w:val="cy-GB"/>
          </w:rPr>
          <w:t>https://hwb.gov.wales/curriculum-for-wales/assessment-arrangements/supporting-learner-progression-assessment-guidance</w:t>
        </w:r>
      </w:hyperlink>
      <w:r w:rsidRPr="15CD8A61" w:rsidR="5002AF18">
        <w:rPr>
          <w:rFonts w:ascii="Arial" w:hAnsi="Arial"/>
          <w:b w:val="0"/>
          <w:bCs w:val="0"/>
          <w:noProof w:val="0"/>
          <w:sz w:val="24"/>
          <w:szCs w:val="24"/>
          <w:u w:val="none"/>
          <w:lang w:val="cy-GB"/>
        </w:rPr>
        <w:t>? [Accessed 23 Oct. 2026].</w:t>
      </w:r>
    </w:p>
    <w:p w:rsidR="19B0B7C6" w:rsidP="15CD8A61" w:rsidRDefault="19B0B7C6" w14:paraId="45237B36" w14:textId="03E3700E">
      <w:pPr>
        <w:spacing w:line="360" w:lineRule="auto"/>
        <w:rPr>
          <w:rFonts w:ascii="Arial" w:hAnsi="Arial"/>
          <w:b w:val="0"/>
          <w:bCs w:val="0"/>
          <w:noProof w:val="0"/>
          <w:sz w:val="24"/>
          <w:szCs w:val="24"/>
          <w:u w:val="none"/>
          <w:lang w:val="cy-GB"/>
        </w:rPr>
      </w:pPr>
      <w:r w:rsidRPr="15CD8A61" w:rsidR="5002AF18">
        <w:rPr>
          <w:rFonts w:ascii="Arial" w:hAnsi="Arial"/>
          <w:b w:val="0"/>
          <w:bCs w:val="0"/>
          <w:noProof w:val="0"/>
          <w:sz w:val="24"/>
          <w:szCs w:val="24"/>
          <w:u w:val="none"/>
          <w:lang w:val="cy-GB"/>
        </w:rPr>
        <w:t xml:space="preserve">Welsh Government (2026). </w:t>
      </w:r>
      <w:r w:rsidRPr="15CD8A61" w:rsidR="5002AF18">
        <w:rPr>
          <w:rFonts w:ascii="Arial" w:hAnsi="Arial"/>
          <w:b w:val="0"/>
          <w:bCs w:val="0"/>
          <w:i w:val="1"/>
          <w:iCs w:val="1"/>
          <w:noProof w:val="0"/>
          <w:sz w:val="24"/>
          <w:szCs w:val="24"/>
          <w:u w:val="none"/>
          <w:lang w:val="cy-GB"/>
        </w:rPr>
        <w:t>Foundation learning in the curriculum for Wales: A qualitative study | gov.wales</w:t>
      </w:r>
      <w:r w:rsidRPr="15CD8A61" w:rsidR="5002AF18">
        <w:rPr>
          <w:rFonts w:ascii="Arial" w:hAnsi="Arial"/>
          <w:b w:val="0"/>
          <w:bCs w:val="0"/>
          <w:noProof w:val="0"/>
          <w:sz w:val="24"/>
          <w:szCs w:val="24"/>
          <w:u w:val="none"/>
          <w:lang w:val="cy-GB"/>
        </w:rPr>
        <w:t xml:space="preserve">. [online] GOV.WALES. Available at: </w:t>
      </w:r>
      <w:hyperlink r:id="Rd51828e17c0442f0">
        <w:r w:rsidRPr="15CD8A61" w:rsidR="5002AF18">
          <w:rPr>
            <w:rStyle w:val="Hyperlink"/>
            <w:rFonts w:ascii="Arial" w:hAnsi="Arial"/>
            <w:b w:val="0"/>
            <w:bCs w:val="0"/>
            <w:noProof w:val="0"/>
            <w:sz w:val="24"/>
            <w:szCs w:val="24"/>
            <w:u w:val="none"/>
            <w:lang w:val="cy-GB"/>
          </w:rPr>
          <w:t>https://www.gov.wales/foundation-learning-curriculum-wales-qualitative-study</w:t>
        </w:r>
      </w:hyperlink>
      <w:r w:rsidRPr="15CD8A61" w:rsidR="5002AF18">
        <w:rPr>
          <w:rFonts w:ascii="Arial" w:hAnsi="Arial"/>
          <w:b w:val="0"/>
          <w:bCs w:val="0"/>
          <w:noProof w:val="0"/>
          <w:sz w:val="24"/>
          <w:szCs w:val="24"/>
          <w:u w:val="none"/>
          <w:lang w:val="cy-GB"/>
        </w:rPr>
        <w:t xml:space="preserve"> [Accessed 22 Oct. 2026].</w:t>
      </w:r>
    </w:p>
    <w:p w:rsidR="19B0B7C6" w:rsidP="15CD8A61" w:rsidRDefault="19B0B7C6" w14:paraId="6078FEE8" w14:textId="3D046101">
      <w:pPr>
        <w:pStyle w:val="Normal"/>
        <w:spacing w:line="360" w:lineRule="auto"/>
        <w:rPr>
          <w:b w:val="1"/>
          <w:bCs w:val="1"/>
          <w:sz w:val="32"/>
          <w:szCs w:val="32"/>
          <w:u w:val="single"/>
        </w:rPr>
      </w:pPr>
    </w:p>
    <w:p w:rsidR="19B0B7C6" w:rsidP="19B0B7C6" w:rsidRDefault="19B0B7C6" w14:paraId="1734C9BF" w14:textId="34331A89">
      <w:pPr>
        <w:spacing w:line="360" w:lineRule="auto"/>
        <w:rPr>
          <w:u w:val="none"/>
        </w:rPr>
      </w:pPr>
    </w:p>
    <w:p w:rsidR="19B0B7C6" w:rsidP="19B0B7C6" w:rsidRDefault="19B0B7C6" w14:paraId="33713E7D" w14:textId="33C2412C">
      <w:pPr>
        <w:spacing w:line="360" w:lineRule="auto"/>
        <w:rPr>
          <w:u w:val="none"/>
        </w:rPr>
      </w:pPr>
    </w:p>
    <w:sectPr>
      <w:pgSz w:w="12240" w:h="15840" w:orient="portrait"/>
      <w:pgMar w:top="1440" w:right="1440" w:bottom="1440" w:left="1440" w:header="720" w:footer="720" w:gutter="0"/>
      <w:cols w:space="720"/>
      <w:docGrid w:linePitch="360"/>
      <w:headerReference w:type="default" r:id="R0e463710662e49d3"/>
      <w:footerReference w:type="default" r:id="Rb01363ca63cb40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B0B7C6" w:rsidTr="19B0B7C6" w14:paraId="09CC9F3B">
      <w:trPr>
        <w:trHeight w:val="300"/>
      </w:trPr>
      <w:tc>
        <w:tcPr>
          <w:tcW w:w="3120" w:type="dxa"/>
          <w:tcMar/>
        </w:tcPr>
        <w:p w:rsidR="19B0B7C6" w:rsidP="19B0B7C6" w:rsidRDefault="19B0B7C6" w14:paraId="6D3623BC" w14:textId="7DF08AEE">
          <w:pPr>
            <w:pStyle w:val="Header"/>
            <w:bidi w:val="0"/>
            <w:ind w:left="-115"/>
            <w:jc w:val="left"/>
          </w:pPr>
        </w:p>
      </w:tc>
      <w:tc>
        <w:tcPr>
          <w:tcW w:w="3120" w:type="dxa"/>
          <w:tcMar/>
        </w:tcPr>
        <w:p w:rsidR="19B0B7C6" w:rsidP="19B0B7C6" w:rsidRDefault="19B0B7C6" w14:paraId="4C658ABF" w14:textId="4070E98D">
          <w:pPr>
            <w:pStyle w:val="Header"/>
            <w:bidi w:val="0"/>
            <w:jc w:val="center"/>
          </w:pPr>
          <w:r>
            <w:fldChar w:fldCharType="begin"/>
          </w:r>
          <w:r>
            <w:instrText xml:space="preserve">PAGE</w:instrText>
          </w:r>
          <w:r>
            <w:fldChar w:fldCharType="separate"/>
          </w:r>
          <w:r>
            <w:fldChar w:fldCharType="end"/>
          </w:r>
        </w:p>
      </w:tc>
      <w:tc>
        <w:tcPr>
          <w:tcW w:w="3120" w:type="dxa"/>
          <w:tcMar/>
        </w:tcPr>
        <w:p w:rsidR="19B0B7C6" w:rsidP="19B0B7C6" w:rsidRDefault="19B0B7C6" w14:paraId="6057BA7A" w14:textId="0C45988F">
          <w:pPr>
            <w:pStyle w:val="Header"/>
            <w:bidi w:val="0"/>
            <w:ind w:right="-115"/>
            <w:jc w:val="right"/>
          </w:pPr>
        </w:p>
      </w:tc>
    </w:tr>
  </w:tbl>
  <w:p w:rsidR="19B0B7C6" w:rsidP="19B0B7C6" w:rsidRDefault="19B0B7C6" w14:paraId="261C0EBD" w14:textId="72D1C2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B0B7C6" w:rsidTr="15CD8A61" w14:paraId="5B7AF9C2">
      <w:trPr>
        <w:trHeight w:val="300"/>
      </w:trPr>
      <w:tc>
        <w:tcPr>
          <w:tcW w:w="3120" w:type="dxa"/>
          <w:tcMar/>
        </w:tcPr>
        <w:p w:rsidR="19B0B7C6" w:rsidP="19B0B7C6" w:rsidRDefault="19B0B7C6" w14:paraId="6EA63032" w14:textId="0204A379">
          <w:pPr>
            <w:pStyle w:val="Header"/>
            <w:bidi w:val="0"/>
            <w:ind w:left="-115"/>
            <w:jc w:val="left"/>
          </w:pPr>
          <w:r w:rsidR="19B0B7C6">
            <w:rPr/>
            <w:t>ECEY6010/C</w:t>
          </w:r>
        </w:p>
      </w:tc>
      <w:tc>
        <w:tcPr>
          <w:tcW w:w="3120" w:type="dxa"/>
          <w:tcMar/>
        </w:tcPr>
        <w:p w:rsidR="19B0B7C6" w:rsidP="19B0B7C6" w:rsidRDefault="19B0B7C6" w14:paraId="6EC505FA" w14:textId="503B1BAF">
          <w:pPr>
            <w:pStyle w:val="Header"/>
            <w:bidi w:val="0"/>
            <w:jc w:val="center"/>
          </w:pPr>
          <w:r w:rsidR="19B0B7C6">
            <w:rPr/>
            <w:t>2409002</w:t>
          </w:r>
        </w:p>
      </w:tc>
      <w:tc>
        <w:tcPr>
          <w:tcW w:w="3120" w:type="dxa"/>
          <w:tcMar/>
        </w:tcPr>
        <w:p w:rsidR="19B0B7C6" w:rsidP="19B0B7C6" w:rsidRDefault="19B0B7C6" w14:paraId="24DDC781" w14:textId="54C0782A">
          <w:pPr>
            <w:pStyle w:val="Header"/>
            <w:bidi w:val="0"/>
            <w:ind w:right="-115"/>
            <w:jc w:val="right"/>
          </w:pPr>
          <w:r w:rsidR="15CD8A61">
            <w:rPr/>
            <w:t>Geiriau</w:t>
          </w:r>
          <w:r w:rsidR="15CD8A61">
            <w:rPr/>
            <w:t xml:space="preserve">: </w:t>
          </w:r>
          <w:r w:rsidR="15CD8A61">
            <w:rPr/>
            <w:t>4399</w:t>
          </w:r>
        </w:p>
      </w:tc>
    </w:tr>
  </w:tbl>
  <w:p w:rsidR="19B0B7C6" w:rsidP="19B0B7C6" w:rsidRDefault="19B0B7C6" w14:paraId="021B56BE" w14:textId="56152FC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3BCEA9"/>
    <w:rsid w:val="03A5A1E3"/>
    <w:rsid w:val="0469B152"/>
    <w:rsid w:val="073CD8B1"/>
    <w:rsid w:val="0E8CBE52"/>
    <w:rsid w:val="12963448"/>
    <w:rsid w:val="12E4019D"/>
    <w:rsid w:val="15766B51"/>
    <w:rsid w:val="15CD8A61"/>
    <w:rsid w:val="16627B26"/>
    <w:rsid w:val="1700F965"/>
    <w:rsid w:val="173BB0C7"/>
    <w:rsid w:val="1794C3DC"/>
    <w:rsid w:val="188E33F1"/>
    <w:rsid w:val="19B0B7C6"/>
    <w:rsid w:val="19B9E648"/>
    <w:rsid w:val="1A255080"/>
    <w:rsid w:val="1A9D7262"/>
    <w:rsid w:val="1B07A169"/>
    <w:rsid w:val="1D829ECC"/>
    <w:rsid w:val="1EBE7356"/>
    <w:rsid w:val="23CDB27A"/>
    <w:rsid w:val="2566020C"/>
    <w:rsid w:val="25A33DF2"/>
    <w:rsid w:val="27324CAA"/>
    <w:rsid w:val="284E0773"/>
    <w:rsid w:val="29E4B848"/>
    <w:rsid w:val="2A1E389B"/>
    <w:rsid w:val="2DBEE0C4"/>
    <w:rsid w:val="32EF6C2F"/>
    <w:rsid w:val="334B6B74"/>
    <w:rsid w:val="356F98A8"/>
    <w:rsid w:val="360789C3"/>
    <w:rsid w:val="37A33A38"/>
    <w:rsid w:val="38B610C1"/>
    <w:rsid w:val="3FED4D49"/>
    <w:rsid w:val="415C7A9B"/>
    <w:rsid w:val="4194147D"/>
    <w:rsid w:val="41D0185B"/>
    <w:rsid w:val="434DB4F5"/>
    <w:rsid w:val="498599E6"/>
    <w:rsid w:val="4C3BCEA9"/>
    <w:rsid w:val="4F0C29D4"/>
    <w:rsid w:val="4F0E78DB"/>
    <w:rsid w:val="5002AF18"/>
    <w:rsid w:val="58C21F56"/>
    <w:rsid w:val="59105CCA"/>
    <w:rsid w:val="592B9276"/>
    <w:rsid w:val="5A0A7436"/>
    <w:rsid w:val="5C07DEF7"/>
    <w:rsid w:val="5D84928E"/>
    <w:rsid w:val="5E27BF9A"/>
    <w:rsid w:val="60F0122B"/>
    <w:rsid w:val="61781E64"/>
    <w:rsid w:val="63348A77"/>
    <w:rsid w:val="64586137"/>
    <w:rsid w:val="6885348C"/>
    <w:rsid w:val="6C44ABF9"/>
    <w:rsid w:val="6DC8CEC9"/>
    <w:rsid w:val="6F2E20E1"/>
    <w:rsid w:val="6F554E38"/>
    <w:rsid w:val="6FF8D1CD"/>
    <w:rsid w:val="728B586B"/>
    <w:rsid w:val="7309B1DD"/>
    <w:rsid w:val="731F9B21"/>
    <w:rsid w:val="74175857"/>
    <w:rsid w:val="74FE863C"/>
    <w:rsid w:val="755CD574"/>
    <w:rsid w:val="78D3DF99"/>
    <w:rsid w:val="7A67C924"/>
    <w:rsid w:val="7E0FF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1913"/>
  <w15:chartTrackingRefBased/>
  <w15:docId w15:val="{69B5F837-AE3A-433F-BB64-4288068B24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9B0B7C6"/>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B0B7C6"/>
    <w:pPr>
      <w:tabs>
        <w:tab w:val="center" w:leader="none" w:pos="4680"/>
        <w:tab w:val="right" w:leader="none" w:pos="9360"/>
      </w:tabs>
      <w:spacing w:after="0" w:line="240" w:lineRule="auto"/>
    </w:pPr>
  </w:style>
  <w:style w:type="paragraph" w:styleId="Footer">
    <w:uiPriority w:val="99"/>
    <w:name w:val="footer"/>
    <w:basedOn w:val="Normal"/>
    <w:unhideWhenUsed/>
    <w:rsid w:val="19B0B7C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5CD8A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99918431" /><Relationship Type="http://schemas.openxmlformats.org/officeDocument/2006/relationships/header" Target="header.xml" Id="R0e463710662e49d3" /><Relationship Type="http://schemas.openxmlformats.org/officeDocument/2006/relationships/footer" Target="footer.xml" Id="Rb01363ca63cb40f3" /><Relationship Type="http://schemas.openxmlformats.org/officeDocument/2006/relationships/hyperlink" Target="https://emu.dk/sites/default/files/2021-03/8077%20SPL%20Hovedpublikation_UK_WEB%20FINAL-a.pdf" TargetMode="External" Id="Rd4c9bac2d3d94abd" /><Relationship Type="http://schemas.openxmlformats.org/officeDocument/2006/relationships/hyperlink" Target="https://www.estyn.gov.wales/system/files/2020-07/Estyn%2520Active%2520and%2520experiential%2520learning_E_Accessible_1.pdf" TargetMode="External" Id="R35d61d42e8244abe" /><Relationship Type="http://schemas.openxmlformats.org/officeDocument/2006/relationships/hyperlink" Target="https://www.oecd.org/content/dam/oecd/en/publications/reports/2020/10/achieving-the-new-curriculum-for-wales_a717ca73/4b483953-en.pdf" TargetMode="External" Id="R8848916daf2a4b75" /><Relationship Type="http://schemas.openxmlformats.org/officeDocument/2006/relationships/hyperlink" Target="https://w.pauldowling.me/rtf/2021.1/readings/LSVygotsky_1978_MindinSocietyDevelopmentofHigherPsycholo.pdf" TargetMode="External" Id="Rb44d273c9b1d4424" /><Relationship Type="http://schemas.openxmlformats.org/officeDocument/2006/relationships/hyperlink" Target="https://hwb.gov.wales/storage/d5d8e39c-b534-40cb-a3f5-7e2e126d8077/foundation-phase-framework.pdf" TargetMode="External" Id="R57d5665e64884191" /><Relationship Type="http://schemas.openxmlformats.org/officeDocument/2006/relationships/hyperlink" Target="https://hwb.gov.wales/storage/f9d85dba-85a4-4e87-bb58-a24730ad7e57/foundation-phase-profile-handbook-revised-september-2017.pdf" TargetMode="External" Id="Rc3f264e122644392" /><Relationship Type="http://schemas.openxmlformats.org/officeDocument/2006/relationships/hyperlink" Target="https://www.gov.wales/sites/default/files/publications/2026-04/the-additional-learning-needs-code-for-wales-2021_0.pdf" TargetMode="External" Id="R204b253e32a44144" /><Relationship Type="http://schemas.openxmlformats.org/officeDocument/2006/relationships/hyperlink" Target="https://www.gov.wales/research-assessment-practices-foundation-phase" TargetMode="External" Id="R63b1366ab6674f89" /><Relationship Type="http://schemas.openxmlformats.org/officeDocument/2006/relationships/hyperlink" Target="https://hwb.gov.wales/curriculum-for-wales/assessment-arrangements/supporting-learner-progression-assessment-guidance" TargetMode="External" Id="Rc4c5f84aa81b4c59" /><Relationship Type="http://schemas.openxmlformats.org/officeDocument/2006/relationships/hyperlink" Target="https://www.gov.wales/foundation-learning-curriculum-wales-qualitative-study" TargetMode="External" Id="Rd51828e17c0442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2026-10-23T23:28:25.6784158Z</dcterms:created>
  <dcterms:modified xsi:type="dcterms:W3CDTF">2026-10-25T14:41:37.0238583Z</dcterms:modified>
  <dc:creator>Liliwen Evans (2409002)</dc:creator>
  <lastModifiedBy>Liliwen Evans (2409002)</lastModifiedBy>
</coreProperties>
</file>