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7FB0A02">
      <w:pPr>
        <w:spacing w:line="360" w:lineRule="auto"/>
        <w:jc w:val="center"/>
      </w:pPr>
      <w:r>
        <w:rPr>
          <w:rFonts w:ascii="Arial" w:hAnsi="Arial" w:eastAsia="Arial"/>
          <w:b/>
          <w:sz w:val="22"/>
        </w:rPr>
        <w:t>UNIVERSITY OF WALES TRINITY SAINT DAVID</w:t>
      </w:r>
    </w:p>
    <w:p w14:paraId="2AA3F533">
      <w:pPr>
        <w:spacing w:line="360" w:lineRule="auto"/>
        <w:jc w:val="center"/>
      </w:pPr>
      <w:r>
        <w:rPr>
          <w:rFonts w:ascii="Arial" w:hAnsi="Arial" w:eastAsia="Arial"/>
          <w:b/>
          <w:sz w:val="22"/>
        </w:rPr>
        <w:t>BSc (Hons) Health and Social Care</w:t>
      </w:r>
    </w:p>
    <w:p w14:paraId="2E61DD3D">
      <w:pPr>
        <w:spacing w:line="360" w:lineRule="auto"/>
        <w:jc w:val="center"/>
      </w:pPr>
    </w:p>
    <w:p w14:paraId="57B7F66F">
      <w:pPr>
        <w:spacing w:line="360" w:lineRule="auto"/>
        <w:jc w:val="center"/>
      </w:pPr>
      <w:r>
        <w:rPr>
          <w:rFonts w:ascii="Arial" w:hAnsi="Arial" w:eastAsia="Arial"/>
          <w:b/>
          <w:sz w:val="22"/>
        </w:rPr>
        <w:t>BMHP5015</w:t>
      </w:r>
    </w:p>
    <w:p w14:paraId="38FA7D69">
      <w:pPr>
        <w:spacing w:line="360" w:lineRule="auto"/>
        <w:jc w:val="center"/>
      </w:pPr>
      <w:r>
        <w:rPr>
          <w:rFonts w:ascii="Arial" w:hAnsi="Arial" w:eastAsia="Arial"/>
          <w:b/>
          <w:sz w:val="22"/>
        </w:rPr>
        <w:t>Changemakers: Building your Personal Brand for Sustainable Employment</w:t>
      </w:r>
    </w:p>
    <w:p w14:paraId="6CC6EE74">
      <w:pPr>
        <w:spacing w:line="360" w:lineRule="auto"/>
        <w:jc w:val="center"/>
      </w:pPr>
    </w:p>
    <w:p w14:paraId="63A2747B">
      <w:pPr>
        <w:spacing w:line="360" w:lineRule="auto"/>
        <w:jc w:val="center"/>
      </w:pPr>
      <w:r>
        <w:rPr>
          <w:rFonts w:ascii="Arial" w:hAnsi="Arial" w:eastAsia="Arial"/>
          <w:b/>
          <w:sz w:val="22"/>
        </w:rPr>
        <w:t xml:space="preserve">Component </w:t>
      </w:r>
      <w:r>
        <w:rPr>
          <w:rFonts w:hint="default" w:ascii="Arial" w:hAnsi="Arial" w:eastAsia="Arial"/>
          <w:b/>
          <w:sz w:val="22"/>
          <w:lang w:val="ru-RU"/>
        </w:rPr>
        <w:t>2</w:t>
      </w:r>
      <w:r>
        <w:rPr>
          <w:rFonts w:ascii="Arial" w:hAnsi="Arial" w:eastAsia="Arial"/>
          <w:b/>
          <w:sz w:val="22"/>
        </w:rPr>
        <w:t xml:space="preserve">: </w:t>
      </w:r>
      <w:r>
        <w:rPr>
          <w:rFonts w:hint="default" w:ascii="Arial" w:hAnsi="Arial" w:eastAsia="Arial"/>
          <w:b/>
          <w:sz w:val="22"/>
          <w:lang w:val="en-GB"/>
        </w:rPr>
        <w:t>Assignment Report</w:t>
      </w:r>
      <w:bookmarkStart w:id="0" w:name="_GoBack"/>
      <w:bookmarkEnd w:id="0"/>
    </w:p>
    <w:p w14:paraId="79B5AEB2">
      <w:pPr>
        <w:spacing w:line="360" w:lineRule="auto"/>
        <w:jc w:val="both"/>
      </w:pPr>
    </w:p>
    <w:tbl>
      <w:tblPr>
        <w:tblStyle w:val="1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19"/>
        <w:gridCol w:w="4623"/>
      </w:tblGrid>
      <w:tr w14:paraId="53F7A1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747AA88F">
            <w:r>
              <w:rPr>
                <w:rFonts w:ascii="Arial" w:hAnsi="Arial"/>
                <w:b/>
                <w:sz w:val="22"/>
              </w:rPr>
              <w:t>Student name</w:t>
            </w:r>
          </w:p>
        </w:tc>
        <w:tc>
          <w:tcPr>
            <w:tcW w:w="4680" w:type="dxa"/>
            <w:vAlign w:val="center"/>
          </w:tcPr>
          <w:p w14:paraId="2A1E5BD3">
            <w:r>
              <w:rPr>
                <w:rFonts w:ascii="Arial" w:hAnsi="Arial"/>
                <w:sz w:val="22"/>
              </w:rPr>
              <w:t>Daria Vozdrahanova</w:t>
            </w:r>
          </w:p>
        </w:tc>
      </w:tr>
      <w:tr w14:paraId="0D577B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14B8B975">
            <w:r>
              <w:rPr>
                <w:rFonts w:ascii="Arial" w:hAnsi="Arial"/>
                <w:b/>
                <w:sz w:val="22"/>
              </w:rPr>
              <w:t>Student ID</w:t>
            </w:r>
          </w:p>
        </w:tc>
        <w:tc>
          <w:tcPr>
            <w:tcW w:w="4680" w:type="dxa"/>
            <w:vAlign w:val="center"/>
          </w:tcPr>
          <w:p w14:paraId="4473D081">
            <w:r>
              <w:rPr>
                <w:rFonts w:ascii="Arial" w:hAnsi="Arial"/>
                <w:sz w:val="22"/>
              </w:rPr>
              <w:t>2417492</w:t>
            </w:r>
          </w:p>
        </w:tc>
      </w:tr>
      <w:tr w14:paraId="7BC1C1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4733E7C3">
            <w:r>
              <w:rPr>
                <w:rFonts w:ascii="Arial" w:hAnsi="Arial"/>
                <w:b/>
                <w:sz w:val="22"/>
              </w:rPr>
              <w:t>Lecturer</w:t>
            </w:r>
          </w:p>
        </w:tc>
        <w:tc>
          <w:tcPr>
            <w:tcW w:w="4680" w:type="dxa"/>
            <w:vAlign w:val="center"/>
          </w:tcPr>
          <w:p w14:paraId="15FDB6A3">
            <w:r>
              <w:rPr>
                <w:rFonts w:ascii="Arial" w:hAnsi="Arial"/>
                <w:sz w:val="22"/>
              </w:rPr>
              <w:t>Brian Mashumba</w:t>
            </w:r>
          </w:p>
        </w:tc>
      </w:tr>
      <w:tr w14:paraId="6ACE67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03B92020">
            <w:r>
              <w:rPr>
                <w:rFonts w:ascii="Arial" w:hAnsi="Arial"/>
                <w:b/>
                <w:sz w:val="22"/>
              </w:rPr>
              <w:t>Programme</w:t>
            </w:r>
          </w:p>
        </w:tc>
        <w:tc>
          <w:tcPr>
            <w:tcW w:w="4680" w:type="dxa"/>
            <w:vAlign w:val="center"/>
          </w:tcPr>
          <w:p w14:paraId="2E15404B">
            <w:r>
              <w:rPr>
                <w:rFonts w:ascii="Arial" w:hAnsi="Arial"/>
                <w:sz w:val="22"/>
              </w:rPr>
              <w:t>BSc (Hons) Health and Social Care</w:t>
            </w:r>
          </w:p>
        </w:tc>
      </w:tr>
      <w:tr w14:paraId="20C4BF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0DE7A72B">
            <w:r>
              <w:rPr>
                <w:rFonts w:ascii="Arial" w:hAnsi="Arial"/>
                <w:b/>
                <w:sz w:val="22"/>
              </w:rPr>
              <w:t>Module code</w:t>
            </w:r>
          </w:p>
        </w:tc>
        <w:tc>
          <w:tcPr>
            <w:tcW w:w="4680" w:type="dxa"/>
            <w:vAlign w:val="center"/>
          </w:tcPr>
          <w:p w14:paraId="53ECB2DC">
            <w:r>
              <w:rPr>
                <w:rFonts w:ascii="Arial" w:hAnsi="Arial"/>
                <w:sz w:val="22"/>
              </w:rPr>
              <w:t>BMHP5015</w:t>
            </w:r>
          </w:p>
        </w:tc>
      </w:tr>
      <w:tr w14:paraId="6EBCB4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80" w:type="dxa"/>
            <w:vAlign w:val="center"/>
          </w:tcPr>
          <w:p w14:paraId="555AB80C">
            <w:r>
              <w:rPr>
                <w:rFonts w:ascii="Arial" w:hAnsi="Arial"/>
                <w:b/>
                <w:sz w:val="22"/>
              </w:rPr>
              <w:t>Submission date</w:t>
            </w:r>
          </w:p>
        </w:tc>
        <w:tc>
          <w:tcPr>
            <w:tcW w:w="4680" w:type="dxa"/>
            <w:vAlign w:val="center"/>
          </w:tcPr>
          <w:p w14:paraId="5BF1888F">
            <w:r>
              <w:rPr>
                <w:rFonts w:hint="default" w:ascii="Arial" w:hAnsi="Arial"/>
                <w:sz w:val="22"/>
                <w:lang w:val="en-GB"/>
              </w:rPr>
              <w:t>06</w:t>
            </w:r>
            <w:r>
              <w:rPr>
                <w:rFonts w:ascii="Arial" w:hAnsi="Arial"/>
                <w:sz w:val="22"/>
              </w:rPr>
              <w:t xml:space="preserve"> </w:t>
            </w:r>
            <w:r>
              <w:rPr>
                <w:rFonts w:hint="default" w:ascii="Arial" w:hAnsi="Arial"/>
                <w:sz w:val="22"/>
                <w:lang w:val="en-GB"/>
              </w:rPr>
              <w:t xml:space="preserve">August </w:t>
            </w:r>
            <w:r>
              <w:rPr>
                <w:rFonts w:ascii="Arial" w:hAnsi="Arial"/>
                <w:sz w:val="22"/>
              </w:rPr>
              <w:t>2026</w:t>
            </w:r>
          </w:p>
        </w:tc>
      </w:tr>
    </w:tbl>
    <w:p w14:paraId="46FDC85D">
      <w:pPr>
        <w:spacing w:after="0" w:line="360" w:lineRule="auto"/>
        <w:jc w:val="both"/>
        <w:rPr>
          <w:rFonts w:ascii="Arial" w:hAnsi="Arial" w:cs="Arial"/>
          <w:b/>
          <w:bCs/>
          <w:sz w:val="22"/>
          <w:szCs w:val="22"/>
        </w:rPr>
      </w:pPr>
    </w:p>
    <w:p w14:paraId="464E8A33">
      <w:pPr>
        <w:spacing w:after="0" w:line="360" w:lineRule="auto"/>
        <w:jc w:val="both"/>
        <w:rPr>
          <w:rFonts w:ascii="Arial" w:hAnsi="Arial" w:cs="Arial"/>
          <w:b/>
          <w:bCs/>
          <w:sz w:val="22"/>
          <w:szCs w:val="22"/>
        </w:rPr>
      </w:pPr>
    </w:p>
    <w:p w14:paraId="76FA47F1">
      <w:pPr>
        <w:spacing w:after="0" w:line="360" w:lineRule="auto"/>
        <w:jc w:val="both"/>
        <w:rPr>
          <w:rFonts w:ascii="Arial" w:hAnsi="Arial" w:cs="Arial"/>
          <w:b/>
          <w:bCs/>
          <w:sz w:val="22"/>
          <w:szCs w:val="22"/>
        </w:rPr>
      </w:pPr>
    </w:p>
    <w:p w14:paraId="30A556A5">
      <w:pPr>
        <w:spacing w:after="0" w:line="360" w:lineRule="auto"/>
        <w:jc w:val="both"/>
        <w:rPr>
          <w:rFonts w:ascii="Arial" w:hAnsi="Arial" w:cs="Arial"/>
          <w:b/>
          <w:bCs/>
          <w:sz w:val="22"/>
          <w:szCs w:val="22"/>
        </w:rPr>
      </w:pPr>
    </w:p>
    <w:p w14:paraId="563580C3">
      <w:pPr>
        <w:spacing w:after="0" w:line="360" w:lineRule="auto"/>
        <w:jc w:val="both"/>
        <w:rPr>
          <w:rFonts w:ascii="Arial" w:hAnsi="Arial" w:cs="Arial"/>
          <w:b/>
          <w:bCs/>
          <w:sz w:val="22"/>
          <w:szCs w:val="22"/>
        </w:rPr>
      </w:pPr>
    </w:p>
    <w:p w14:paraId="0B250D0A">
      <w:pPr>
        <w:spacing w:after="0" w:line="360" w:lineRule="auto"/>
        <w:jc w:val="both"/>
        <w:rPr>
          <w:rFonts w:ascii="Arial" w:hAnsi="Arial" w:cs="Arial"/>
          <w:b/>
          <w:bCs/>
          <w:sz w:val="22"/>
          <w:szCs w:val="22"/>
        </w:rPr>
      </w:pPr>
    </w:p>
    <w:p w14:paraId="44C8842E">
      <w:pPr>
        <w:spacing w:after="0" w:line="360" w:lineRule="auto"/>
        <w:jc w:val="both"/>
        <w:rPr>
          <w:rFonts w:ascii="Arial" w:hAnsi="Arial" w:cs="Arial"/>
          <w:b/>
          <w:bCs/>
          <w:sz w:val="22"/>
          <w:szCs w:val="22"/>
        </w:rPr>
      </w:pPr>
    </w:p>
    <w:p w14:paraId="75FDD736">
      <w:pPr>
        <w:spacing w:after="0" w:line="360" w:lineRule="auto"/>
        <w:jc w:val="both"/>
        <w:rPr>
          <w:rFonts w:ascii="Arial" w:hAnsi="Arial" w:cs="Arial"/>
          <w:b/>
          <w:bCs/>
          <w:sz w:val="22"/>
          <w:szCs w:val="22"/>
        </w:rPr>
      </w:pPr>
    </w:p>
    <w:p w14:paraId="419C4DDD">
      <w:pPr>
        <w:spacing w:after="0" w:line="360" w:lineRule="auto"/>
        <w:jc w:val="both"/>
        <w:rPr>
          <w:rFonts w:ascii="Arial" w:hAnsi="Arial" w:cs="Arial"/>
          <w:b/>
          <w:bCs/>
          <w:sz w:val="22"/>
          <w:szCs w:val="22"/>
        </w:rPr>
      </w:pPr>
    </w:p>
    <w:p w14:paraId="1AF2CE3D">
      <w:pPr>
        <w:spacing w:after="0" w:line="360" w:lineRule="auto"/>
        <w:jc w:val="both"/>
        <w:rPr>
          <w:rFonts w:ascii="Arial" w:hAnsi="Arial" w:cs="Arial"/>
          <w:b/>
          <w:bCs/>
          <w:sz w:val="22"/>
          <w:szCs w:val="22"/>
        </w:rPr>
      </w:pPr>
    </w:p>
    <w:p w14:paraId="3DEE45C6">
      <w:pPr>
        <w:spacing w:after="0" w:line="360" w:lineRule="auto"/>
        <w:jc w:val="both"/>
        <w:rPr>
          <w:rFonts w:ascii="Arial" w:hAnsi="Arial" w:cs="Arial"/>
          <w:b/>
          <w:bCs/>
          <w:sz w:val="22"/>
          <w:szCs w:val="22"/>
        </w:rPr>
      </w:pPr>
    </w:p>
    <w:p w14:paraId="00200378">
      <w:pPr>
        <w:spacing w:after="0" w:line="360" w:lineRule="auto"/>
        <w:jc w:val="both"/>
        <w:rPr>
          <w:rFonts w:ascii="Arial" w:hAnsi="Arial" w:cs="Arial"/>
          <w:b/>
          <w:bCs/>
          <w:sz w:val="22"/>
          <w:szCs w:val="22"/>
        </w:rPr>
      </w:pPr>
    </w:p>
    <w:p w14:paraId="3D6390D2">
      <w:pPr>
        <w:spacing w:after="0" w:line="360" w:lineRule="auto"/>
        <w:jc w:val="both"/>
        <w:rPr>
          <w:rFonts w:ascii="Arial" w:hAnsi="Arial" w:cs="Arial"/>
          <w:b/>
          <w:bCs/>
          <w:sz w:val="22"/>
          <w:szCs w:val="22"/>
        </w:rPr>
      </w:pPr>
    </w:p>
    <w:p w14:paraId="7E1B19B1">
      <w:pPr>
        <w:spacing w:after="0" w:line="360" w:lineRule="auto"/>
        <w:jc w:val="both"/>
        <w:rPr>
          <w:rFonts w:ascii="Arial" w:hAnsi="Arial" w:cs="Arial"/>
          <w:b/>
          <w:bCs/>
          <w:sz w:val="22"/>
          <w:szCs w:val="22"/>
        </w:rPr>
      </w:pPr>
    </w:p>
    <w:p w14:paraId="1C4F6DDF">
      <w:pPr>
        <w:spacing w:after="0" w:line="360" w:lineRule="auto"/>
        <w:jc w:val="both"/>
        <w:rPr>
          <w:rFonts w:ascii="Arial" w:hAnsi="Arial" w:cs="Arial"/>
          <w:b/>
          <w:bCs/>
          <w:sz w:val="22"/>
          <w:szCs w:val="22"/>
        </w:rPr>
      </w:pPr>
    </w:p>
    <w:p w14:paraId="33BC0C21">
      <w:pPr>
        <w:spacing w:after="0" w:line="360" w:lineRule="auto"/>
        <w:jc w:val="both"/>
        <w:rPr>
          <w:rFonts w:ascii="Arial" w:hAnsi="Arial" w:cs="Arial"/>
          <w:b/>
          <w:bCs/>
          <w:sz w:val="22"/>
          <w:szCs w:val="22"/>
        </w:rPr>
      </w:pPr>
    </w:p>
    <w:p w14:paraId="463D8AAC">
      <w:pPr>
        <w:spacing w:after="0" w:line="360" w:lineRule="auto"/>
        <w:jc w:val="both"/>
        <w:rPr>
          <w:rFonts w:ascii="Arial" w:hAnsi="Arial" w:eastAsia="Arial" w:cs="Arial"/>
          <w:b/>
          <w:bCs/>
          <w:sz w:val="22"/>
          <w:szCs w:val="22"/>
        </w:rPr>
      </w:pPr>
    </w:p>
    <w:p w14:paraId="4D73AD62">
      <w:pPr>
        <w:spacing w:after="0" w:line="360" w:lineRule="auto"/>
        <w:jc w:val="both"/>
        <w:rPr>
          <w:rFonts w:ascii="Arial" w:hAnsi="Arial" w:cs="Arial"/>
          <w:b/>
          <w:bCs/>
          <w:sz w:val="28"/>
          <w:szCs w:val="28"/>
        </w:rPr>
      </w:pPr>
      <w:r>
        <w:rPr>
          <w:rFonts w:ascii="Arial" w:hAnsi="Arial" w:eastAsia="Arial" w:cs="Arial"/>
          <w:b/>
          <w:bCs/>
          <w:sz w:val="28"/>
          <w:szCs w:val="28"/>
        </w:rPr>
        <w:t>Introduction</w:t>
      </w:r>
    </w:p>
    <w:p w14:paraId="5FF4FEAE">
      <w:pPr>
        <w:spacing w:line="360" w:lineRule="auto"/>
        <w:jc w:val="both"/>
        <w:rPr>
          <w:rFonts w:hint="default"/>
          <w:b/>
          <w:bCs/>
          <w:sz w:val="28"/>
          <w:szCs w:val="28"/>
          <w:lang w:val="en-GB"/>
        </w:rPr>
      </w:pPr>
    </w:p>
    <w:p w14:paraId="3A7897DA">
      <w:pPr>
        <w:spacing w:line="360" w:lineRule="auto"/>
        <w:jc w:val="both"/>
        <w:rPr>
          <w:rFonts w:hint="default"/>
          <w:b w:val="0"/>
          <w:bCs w:val="0"/>
          <w:sz w:val="28"/>
          <w:szCs w:val="28"/>
          <w:lang w:val="ru-RU"/>
        </w:rPr>
      </w:pPr>
      <w:r>
        <w:rPr>
          <w:rFonts w:hint="default" w:ascii="Arial" w:hAnsi="Arial" w:eastAsia="Arial"/>
          <w:b w:val="0"/>
          <w:bCs w:val="0"/>
          <w:sz w:val="22"/>
          <w:szCs w:val="28"/>
          <w:lang w:val="ru-RU"/>
        </w:rPr>
        <w:t>This report focuses on the role of Health and Wellbeing Coach at Barnsley Healthcare Federation, which operates within the NHS Primary Care Network (PCN). The role involves supporting patients to improve their health and wellbeing through personalised coaching, behaviour change, healthy lifestyle advice and self-management. Health and Wellbeing Coaches also work closely with multidisciplinary teams to help patients achieve better health outcomes and live more independently.</w:t>
      </w:r>
    </w:p>
    <w:p w14:paraId="6B3D139D">
      <w:pPr>
        <w:spacing w:line="360" w:lineRule="auto"/>
        <w:jc w:val="both"/>
        <w:rPr>
          <w:rFonts w:hint="default"/>
          <w:b w:val="0"/>
          <w:bCs w:val="0"/>
          <w:sz w:val="28"/>
          <w:szCs w:val="28"/>
          <w:lang w:val="ru-RU"/>
        </w:rPr>
      </w:pPr>
      <w:r>
        <w:rPr>
          <w:rFonts w:hint="default" w:ascii="Arial" w:hAnsi="Arial" w:eastAsia="Arial"/>
          <w:b w:val="0"/>
          <w:bCs w:val="0"/>
          <w:sz w:val="22"/>
          <w:szCs w:val="28"/>
          <w:lang w:val="ru-RU"/>
        </w:rPr>
        <w:t>I chose this role because it closely matches my career goals and personal interests. I am interested in helping people improve their physical and mental wellbeing by encouraging healthy lifestyle changes, increasing physical activity and supporting long-term behaviour change. I believe this role combines effective communication, empathy and health promotion, which are qualities I would like to develop further throughout my career in health and social care.</w:t>
      </w:r>
    </w:p>
    <w:p w14:paraId="01C8CAF4">
      <w:pPr>
        <w:spacing w:line="360" w:lineRule="auto"/>
        <w:jc w:val="both"/>
        <w:rPr>
          <w:rFonts w:hint="default" w:ascii="Arial" w:hAnsi="Arial" w:eastAsia="Arial"/>
          <w:b w:val="0"/>
          <w:bCs w:val="0"/>
          <w:sz w:val="22"/>
          <w:szCs w:val="28"/>
          <w:lang w:val="ru-RU"/>
        </w:rPr>
      </w:pPr>
      <w:r>
        <w:rPr>
          <w:rFonts w:hint="default" w:ascii="Arial" w:hAnsi="Arial" w:eastAsia="Arial"/>
          <w:b w:val="0"/>
          <w:bCs w:val="0"/>
          <w:sz w:val="22"/>
          <w:szCs w:val="28"/>
          <w:lang w:val="ru-RU"/>
        </w:rPr>
        <w:t>This report will analyse the employability skills, qualifications and professional behaviours required for this position. It will also evaluate my current knowledge and skills against the requirements of the role, discuss how I plan to build my personal brand and professional identity, and present an action plan outlining the steps I will take to achieve my career goal. The discussion is based on a current NHS Health and Wellbeing Coach vacancy and relevant academic literature (NHS Jobs, 2026).</w:t>
      </w:r>
    </w:p>
    <w:p w14:paraId="10D4B79F">
      <w:pPr>
        <w:spacing w:line="360" w:lineRule="auto"/>
        <w:jc w:val="both"/>
        <w:rPr>
          <w:rFonts w:hint="default" w:ascii="Arial" w:hAnsi="Arial" w:eastAsia="Arial"/>
          <w:b w:val="0"/>
          <w:bCs w:val="0"/>
          <w:sz w:val="22"/>
          <w:szCs w:val="28"/>
          <w:lang w:val="ru-RU"/>
        </w:rPr>
      </w:pPr>
    </w:p>
    <w:p w14:paraId="742C856B">
      <w:pPr>
        <w:spacing w:line="360" w:lineRule="auto"/>
        <w:jc w:val="both"/>
        <w:rPr>
          <w:rFonts w:hint="default" w:ascii="Arial" w:hAnsi="Arial" w:eastAsia="Arial"/>
          <w:b w:val="0"/>
          <w:bCs w:val="0"/>
          <w:sz w:val="22"/>
          <w:szCs w:val="28"/>
          <w:lang w:val="ru-RU"/>
        </w:rPr>
      </w:pPr>
    </w:p>
    <w:p w14:paraId="43CE4B8E">
      <w:pPr>
        <w:spacing w:line="360" w:lineRule="auto"/>
        <w:jc w:val="both"/>
        <w:rPr>
          <w:rFonts w:hint="default" w:ascii="Arial" w:hAnsi="Arial" w:eastAsia="Arial"/>
          <w:b w:val="0"/>
          <w:bCs w:val="0"/>
          <w:sz w:val="22"/>
          <w:szCs w:val="28"/>
          <w:lang w:val="ru-RU"/>
        </w:rPr>
      </w:pPr>
    </w:p>
    <w:p w14:paraId="377ACE1D">
      <w:pPr>
        <w:spacing w:line="360" w:lineRule="auto"/>
        <w:jc w:val="both"/>
        <w:rPr>
          <w:rFonts w:hint="default" w:ascii="Arial" w:hAnsi="Arial" w:eastAsia="Arial"/>
          <w:b w:val="0"/>
          <w:bCs w:val="0"/>
          <w:sz w:val="22"/>
          <w:szCs w:val="28"/>
          <w:lang w:val="ru-RU"/>
        </w:rPr>
      </w:pPr>
    </w:p>
    <w:p w14:paraId="36ECD0F8">
      <w:pPr>
        <w:spacing w:line="360" w:lineRule="auto"/>
        <w:jc w:val="both"/>
        <w:rPr>
          <w:rFonts w:hint="default" w:ascii="Arial" w:hAnsi="Arial" w:eastAsia="Arial"/>
          <w:b w:val="0"/>
          <w:bCs w:val="0"/>
          <w:sz w:val="22"/>
          <w:szCs w:val="28"/>
          <w:lang w:val="ru-RU"/>
        </w:rPr>
      </w:pPr>
    </w:p>
    <w:p w14:paraId="27B0631A">
      <w:pPr>
        <w:spacing w:line="360" w:lineRule="auto"/>
        <w:jc w:val="both"/>
        <w:rPr>
          <w:rFonts w:hint="default" w:ascii="Arial" w:hAnsi="Arial" w:eastAsia="Arial"/>
          <w:b w:val="0"/>
          <w:bCs w:val="0"/>
          <w:sz w:val="22"/>
          <w:szCs w:val="28"/>
          <w:lang w:val="ru-RU"/>
        </w:rPr>
      </w:pPr>
    </w:p>
    <w:p w14:paraId="07BB4977">
      <w:pPr>
        <w:spacing w:line="360" w:lineRule="auto"/>
        <w:jc w:val="both"/>
        <w:rPr>
          <w:rFonts w:hint="default" w:ascii="Arial" w:hAnsi="Arial" w:eastAsia="Arial"/>
          <w:b w:val="0"/>
          <w:bCs w:val="0"/>
          <w:sz w:val="22"/>
          <w:szCs w:val="28"/>
          <w:lang w:val="ru-RU"/>
        </w:rPr>
      </w:pPr>
    </w:p>
    <w:p w14:paraId="3C764747">
      <w:pPr>
        <w:spacing w:line="360" w:lineRule="auto"/>
        <w:jc w:val="both"/>
        <w:rPr>
          <w:rFonts w:hint="default" w:ascii="Arial" w:hAnsi="Arial" w:eastAsia="Arial"/>
          <w:b w:val="0"/>
          <w:bCs w:val="0"/>
          <w:sz w:val="22"/>
          <w:szCs w:val="28"/>
          <w:lang w:val="ru-RU"/>
        </w:rPr>
      </w:pPr>
    </w:p>
    <w:p w14:paraId="6F16E036">
      <w:pPr>
        <w:spacing w:line="360" w:lineRule="auto"/>
        <w:jc w:val="both"/>
        <w:rPr>
          <w:rFonts w:hint="default" w:ascii="Arial" w:hAnsi="Arial" w:eastAsia="Arial"/>
          <w:b w:val="0"/>
          <w:bCs w:val="0"/>
          <w:sz w:val="22"/>
          <w:szCs w:val="28"/>
          <w:lang w:val="ru-RU"/>
        </w:rPr>
      </w:pPr>
    </w:p>
    <w:p w14:paraId="6D9FF8CD">
      <w:pPr>
        <w:spacing w:line="360" w:lineRule="auto"/>
        <w:jc w:val="both"/>
        <w:rPr>
          <w:rFonts w:hint="default" w:ascii="Arial" w:hAnsi="Arial" w:eastAsia="Arial"/>
          <w:b w:val="0"/>
          <w:bCs w:val="0"/>
          <w:sz w:val="22"/>
          <w:szCs w:val="28"/>
          <w:lang w:val="ru-RU"/>
        </w:rPr>
      </w:pPr>
    </w:p>
    <w:p w14:paraId="25E1BC44">
      <w:pPr>
        <w:spacing w:line="360" w:lineRule="auto"/>
        <w:jc w:val="both"/>
        <w:rPr>
          <w:rFonts w:hint="default"/>
          <w:b/>
          <w:bCs/>
          <w:sz w:val="28"/>
          <w:szCs w:val="28"/>
          <w:lang w:val="ru-RU"/>
        </w:rPr>
      </w:pPr>
      <w:r>
        <w:rPr>
          <w:rFonts w:hint="default" w:ascii="Arial" w:hAnsi="Arial" w:eastAsia="Arial"/>
          <w:b/>
          <w:bCs/>
          <w:sz w:val="22"/>
          <w:szCs w:val="28"/>
          <w:lang w:val="ru-RU"/>
        </w:rPr>
        <w:t>Figure 1. NHS Health and Wellbeing Coach Vacancy</w:t>
      </w:r>
    </w:p>
    <w:p w14:paraId="2AF5589E">
      <w:pPr>
        <w:spacing w:line="360" w:lineRule="auto"/>
        <w:jc w:val="both"/>
        <w:rPr>
          <w:rFonts w:hint="default"/>
          <w:b w:val="0"/>
          <w:bCs w:val="0"/>
          <w:sz w:val="28"/>
          <w:szCs w:val="28"/>
          <w:lang w:val="ru-RU"/>
        </w:rPr>
      </w:pPr>
      <w:r>
        <w:rPr>
          <w:rFonts w:ascii="Arial" w:hAnsi="Arial" w:eastAsia="Arial"/>
          <w:sz w:val="22"/>
        </w:rPr>
        <w:drawing>
          <wp:inline distT="0" distB="0" distL="114300" distR="114300">
            <wp:extent cx="3911600" cy="552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3911600" cy="5524500"/>
                    </a:xfrm>
                    <a:prstGeom prst="rect">
                      <a:avLst/>
                    </a:prstGeom>
                    <a:noFill/>
                    <a:ln>
                      <a:noFill/>
                    </a:ln>
                  </pic:spPr>
                </pic:pic>
              </a:graphicData>
            </a:graphic>
          </wp:inline>
        </w:drawing>
      </w:r>
    </w:p>
    <w:p w14:paraId="6B0A8FFE">
      <w:pPr>
        <w:spacing w:line="360" w:lineRule="auto"/>
        <w:jc w:val="both"/>
        <w:rPr>
          <w:rFonts w:ascii="Arial" w:hAnsi="Arial" w:cs="Arial"/>
          <w:b/>
          <w:bCs/>
          <w:color w:val="000000"/>
          <w:sz w:val="22"/>
          <w:szCs w:val="22"/>
        </w:rPr>
      </w:pPr>
    </w:p>
    <w:p w14:paraId="2E22002B">
      <w:pPr>
        <w:spacing w:line="360" w:lineRule="auto"/>
        <w:jc w:val="both"/>
        <w:rPr>
          <w:rFonts w:hint="default"/>
          <w:b/>
          <w:bCs/>
          <w:sz w:val="28"/>
          <w:szCs w:val="28"/>
          <w:lang w:val="en-GB"/>
        </w:rPr>
      </w:pPr>
      <w:r>
        <w:rPr>
          <w:rFonts w:ascii="Arial" w:hAnsi="Arial" w:eastAsia="Arial" w:cs="Arial"/>
          <w:b/>
          <w:bCs/>
          <w:color w:val="000000"/>
          <w:sz w:val="28"/>
          <w:szCs w:val="28"/>
        </w:rPr>
        <w:t>Analyse the Personal Employability Skills Required</w:t>
      </w:r>
    </w:p>
    <w:p w14:paraId="5C233825">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The Health and Wellbeing Coach role within Barnsley Healthcare Federation Primary Care Network (PCN) requires a broad combination of professional knowledge, interpersonal skills and personal attributes to support patients in improving their health and wellbeing. According to the job description, the post holder is responsible for coaching individuals to identify their health goals, encouraging sustainable behaviour change, delivering personalised interventions and supporting patients to manage long-term conditions more independently. The role also involves working collaboratively with multidisciplinary teams (MDTs), Social Prescribing Link Workers and community organisations to improve health outcomes and reduce health inequalities (NHS Jobs, 2026).</w:t>
      </w:r>
    </w:p>
    <w:p w14:paraId="4E191181">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One of the most important employability skills required for this role is effective communication. The job description repeatedly highlights the need to build trusting relationships, use a non-judgemental approach and tailor health advice to each individual's needs. Communication is essential because Health and Wellbeing Coaches support patients with different health conditions, cultural backgrounds and levels of health literacy. Rather than simply providing advice, the coach must actively listen, ask effective questions and encourage patients to make informed decisions about their own health. These principles are consistent with the NHS Constitution, which identifies respect, compassion and working in partnership with patients as fundamental values of healthcare practice (Department of Health and Social Care, 2021). Similarly, the Skills for Care Core Skills Framework identifies communication as one of the essential competencies required across health and social care services (Skills for Care, 2024).</w:t>
      </w:r>
    </w:p>
    <w:p w14:paraId="49F4139D">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Another key employability skill is the ability to facilitate behaviour change. Unlike traditional health education, health coaching focuses on empowering individuals to develop the confidence, knowledge and motivation required to improve their own wellbeing. The vacancy specifically requires coaches to help patients set personalised goals, increase self-management and improve patient activation through multiple coaching sessions (NHS Jobs, 2026). This approach reflects the principles of person-centred care, where patients actively participate in decisions affecting their health rather than passively receiving advice (Personalised Care Institute, 2023). Supporting behaviour change therefore requires strong motivational, coaching and problem-solving skills in addition to clinical knowledge.</w:t>
      </w:r>
    </w:p>
    <w:p w14:paraId="4A31BF02">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The role also demands excellent teamworking and collaborative practice. Health and Wellbeing Coaches work alongside GPs, nurses, Social Prescribing Link Workers and voluntary organisations to provide coordinated support for patients. Effective multidisciplinary collaboration improves continuity of care and enables professionals to address not only medical needs but also wider social determinants of health, including loneliness, unemployment and poor housing (NHS Jobs, 2026). These responsibilities closely align with the Skills for Care Core Skills Framework, which highlights partnership working and integrated care as essential professional competencies (Skills for Care, 2024).</w:t>
      </w:r>
    </w:p>
    <w:p w14:paraId="4510C706">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In addition, the vacancy emphasises digital literacy, organisation and continuous professional development. The successful candidate is expected to manage their own caseload, accurately document patient information, use clinical systems, conduct face-to-face, telephone and video consultations, and participate in accredited Health and Wellbeing Coach training (NHS Jobs, 2026). These responsibilities demonstrate that healthcare professionals must continually update their knowledge and skills in response to changing healthcare needs. Kolb's Experiential Learning Theory suggests that professional competence develops through continuous cycles of experience, reflection and application, making lifelong learning an essential component of employability (Kolb, 1984).</w:t>
      </w:r>
    </w:p>
    <w:p w14:paraId="2DF6B736">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Overall, the analysis demonstrates that the Health and Wellbeing Coach role requires much more than technical knowledge. Success depends upon excellent communication, behaviour change coaching, teamwork, digital competence and a commitment to continuous professional development. These employability skills enable practitioners to deliver personalised, holistic and evidence-based care while empowering individuals to improve their own health and wellbeing.</w:t>
      </w:r>
    </w:p>
    <w:p w14:paraId="114AAA10">
      <w:pPr>
        <w:spacing w:line="360" w:lineRule="auto"/>
        <w:jc w:val="both"/>
        <w:rPr>
          <w:rFonts w:hint="default"/>
          <w:b w:val="0"/>
          <w:bCs w:val="0"/>
          <w:sz w:val="28"/>
          <w:szCs w:val="28"/>
          <w:lang w:val="en-GB"/>
        </w:rPr>
      </w:pPr>
      <w:r>
        <w:rPr>
          <w:rFonts w:ascii="Arial" w:hAnsi="Arial" w:eastAsia="Arial" w:cs="Arial"/>
          <w:b/>
          <w:bCs/>
          <w:color w:val="000000"/>
          <w:sz w:val="28"/>
          <w:szCs w:val="28"/>
        </w:rPr>
        <w:t>Evaluate Your Own Skills</w:t>
      </w:r>
    </w:p>
    <w:p w14:paraId="015DC69E">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To evaluate my suitability for the Health and Wellbeing Coach role, I compared my current knowledge, skills and experience with the requirements outlined in the job description and person specification. I used a SWOT analysis to identify my strengths, weaknesses, opportunities and potential challenges. This approach helped me critically reflect on my current level of employability and identify the areas that require further development before applying for a similar position.</w:t>
      </w:r>
    </w:p>
    <w:p w14:paraId="157984DD">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One of my main strengths is my strong interest in health promotion and behaviour change. I chose to study Health and Social Care because I want to support people in improving their physical and mental wellbeing through sustainable lifestyle changes. This motivation aligns closely with the purpose of the Health and Wellbeing Coach role, which focuses on empowering people to manage their own health and achieve personalised wellbeing goals (NHS Jobs, 2026). I also enjoy learning about physical activity, healthy lifestyles and psychological wellbeing, which encourages me to continue developing professionally.</w:t>
      </w:r>
    </w:p>
    <w:p w14:paraId="0D9686E6">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Another strength is my communication and interpersonal skills. Although my previous employment was outside healthcare, working in customer service required me to communicate with people from different backgrounds, remain calm under pressure and resolve everyday problems professionally. These experiences helped me develop confidence, patience and active listening skills. According to the Skills for Care Core Skills Framework, effective communication is one of the most important competencies required within health and social care because it supports person-centred practice and collaborative working (Skills for Care, 2024).</w:t>
      </w:r>
    </w:p>
    <w:p w14:paraId="65EBD13D">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Despite these strengths, I also recognise several important weaknesses. I do not yet have direct experience working in the NHS or within a Primary Care Network. I have not completed the accredited Health and Wellbeing Coach training listed as an essential requirement for this position, and I have limited knowledge of NHS clinical systems and multidisciplinary working (NHS Jobs, 2026). In addition, English is not my first language. Although I communicate effectively in everyday situations and continue to improve my academic English through university study, I recognise that further development will help me communicate more confidently with patients and healthcare professionals.</w:t>
      </w:r>
    </w:p>
    <w:p w14:paraId="7F191199">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My SWOT analysis also highlighted several valuable opportunities. Completing my degree will strengthen my theoretical knowledge of health and social care. I also plan to complete accredited Health and Wellbeing Coach training, gain practical experience through volunteering or employment within health and social care, and build a professional network by creating a LinkedIn profile and connecting with professionals working in the NHS. These opportunities will help me become a stronger candidate for future employment.</w:t>
      </w:r>
    </w:p>
    <w:p w14:paraId="31B04491">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At the same time, I recognise some potential threats. Competition for NHS positions can be high, and many applicants may already have healthcare experience or additional qualifications. However, I believe these challenges can be addressed through continuous professional development, gaining practical experience and developing transferable skills. This approach reflects Gibbs' Reflective Cycle (Gibbs, 1988), particularly the stages of evaluation and action planning, where reflection is used to identify improvements and support future professional growth.</w:t>
      </w:r>
    </w:p>
    <w:p w14:paraId="30E9D64F">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Overall, this evaluation shows that I already possess several qualities that are valuable for a Health and Wellbeing Coach, including communication skills, motivation, empathy and a genuine interest in improving people's wellbeing. However, it also highlights clear areas for development, particularly gaining healthcare experience, improving my professional knowledge and completing accredited training. Recognising these gaps has helped me develop a realistic understanding of my current level of employability and the practical steps required to achieve my long-term career goal.</w:t>
      </w:r>
    </w:p>
    <w:p w14:paraId="343FDBBC">
      <w:pPr>
        <w:pStyle w:val="3"/>
        <w:spacing w:line="360" w:lineRule="auto"/>
        <w:jc w:val="both"/>
        <w:rPr>
          <w:rFonts w:ascii="Arial" w:hAnsi="Arial" w:cs="Arial"/>
          <w:b/>
          <w:bCs/>
          <w:color w:val="000000"/>
          <w:sz w:val="28"/>
          <w:szCs w:val="28"/>
        </w:rPr>
      </w:pPr>
      <w:r>
        <w:rPr>
          <w:rFonts w:ascii="Arial" w:hAnsi="Arial" w:eastAsia="Arial" w:cs="Arial"/>
          <w:b/>
          <w:bCs/>
          <w:color w:val="000000"/>
          <w:sz w:val="28"/>
          <w:szCs w:val="28"/>
        </w:rPr>
        <w:t>Building a Personal Brand and Professional Identity</w:t>
      </w:r>
    </w:p>
    <w:p w14:paraId="5E9B5CDE">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Developing a strong personal brand is an important part of becoming a successful Health and Wellbeing Coach. In health and social care, a professional reputation is built not only through qualifications but also through personal values, communication, professionalism and a commitment to continuous learning. I believe that my personal brand should reflect the type of healthcare professional I want to become and the way I would like patients and colleagues to perceive me.</w:t>
      </w:r>
    </w:p>
    <w:p w14:paraId="3089CCC4">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My personal values closely align with the principles of person-centred care. I believe that every individual should be treated with dignity, respect and compassion, regardless of their background or circumstances. I also believe that healthcare professionals should empower people rather than simply tell them what to do. This approach reflects the purpose of the Health and Wellbeing Coach role, which focuses on supporting people to make informed decisions, improve their confidence and achieve sustainable behaviour change (NHS Jobs, 2026).</w:t>
      </w:r>
    </w:p>
    <w:p w14:paraId="02872E91">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One of my unique selling points (USP) is my genuine interest in the relationship between physical activity, mental wellbeing and long-term health. My goal is not only to help people improve their physical health but also to support positive lifestyle changes that can improve confidence, independence and overall wellbeing. I believe this combination of interests will allow me to build meaningful relationships with patients and provide holistic support that considers both physical and psychological wellbeing.</w:t>
      </w:r>
    </w:p>
    <w:p w14:paraId="52F369D7">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At present, I do not yet have a LinkedIn profile because I am still developing my professional experience and completing my university studies. However, I recognise the importance of maintaining a professional online presence within modern health and social care. As part of my career development, I plan to create a LinkedIn profile that includes my education, future qualifications, key skills and professional interests. I also intend to connect with NHS organisations, Health and Wellbeing Coaches and other healthcare professionals to expand my professional network and remain informed about employment opportunities and continuing professional development.</w:t>
      </w:r>
    </w:p>
    <w:p w14:paraId="04417F4A">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The CareerEDGE Model highlights that employability is influenced not only by knowledge and experience but also by career development learning, emotional intelligence and self-reflection (Dacre Pool and Sewell, 2007). This model reflects my own approach to professional development because I recognise that building a successful career requires continuous learning, practical experience and ongoing reflection. By developing both my professional skills and my personal brand, I aim to become a trustworthy, knowledgeable and compassionate Health and Wellbeing Coach who can make a positive contribution to patients and the wider healthcare team.</w:t>
      </w:r>
    </w:p>
    <w:p w14:paraId="7673E681">
      <w:pPr>
        <w:spacing w:line="360" w:lineRule="auto"/>
        <w:jc w:val="both"/>
        <w:rPr>
          <w:rFonts w:hint="default"/>
          <w:b w:val="0"/>
          <w:bCs w:val="0"/>
          <w:sz w:val="28"/>
          <w:szCs w:val="28"/>
          <w:lang w:val="en-GB"/>
        </w:rPr>
      </w:pPr>
    </w:p>
    <w:p w14:paraId="3FD952A1">
      <w:pPr>
        <w:spacing w:line="360" w:lineRule="auto"/>
        <w:jc w:val="both"/>
        <w:rPr>
          <w:rFonts w:hint="default"/>
          <w:b w:val="0"/>
          <w:bCs w:val="0"/>
          <w:sz w:val="28"/>
          <w:szCs w:val="28"/>
          <w:lang w:val="en-GB"/>
        </w:rPr>
      </w:pPr>
      <w:r>
        <w:rPr>
          <w:rFonts w:ascii="Arial" w:hAnsi="Arial" w:eastAsia="Arial" w:cs="Arial"/>
          <w:b/>
          <w:bCs/>
          <w:color w:val="000000"/>
          <w:sz w:val="28"/>
          <w:szCs w:val="28"/>
        </w:rPr>
        <w:t>Action Plan and Timeline</w:t>
      </w:r>
    </w:p>
    <w:p w14:paraId="54081BCD">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To become a competitive candidate for the Health and Wellbeing Coach role, I have identified several areas that require further development. Based on my self-evaluation, my action plan focuses on improving my qualifications, gaining practical experience, strengthening my professional network and continuing to develop both my communication skills and professional knowledge. I believe that setting clear and realistic goals will help me progress towards my long-term career objective.</w:t>
      </w:r>
    </w:p>
    <w:p w14:paraId="2B6F9339">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To structure my development, I have used the SMART Goal Framework (Doran, 1981). This framework suggests that goals should be Specific, Measurable, Achievable, Relevant and Time-bound. Using SMART goals has helped me break my long-term career ambition into smaller and more achievable steps. Rather than focusing only on obtaining my ideal job, I have identified practical actions that will gradually improve my employability.</w:t>
      </w:r>
    </w:p>
    <w:p w14:paraId="0ECA340F">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My immediate priority is to successfully complete my Health and Social Care degree while continuing to improve my academic and professional English. Strong communication skills are essential for building trusting relationships with patients and working effectively within multidisciplinary healthcare teams. At the same time, I plan to gain practical experience through volunteering or paid employment in health and social care. This will allow me to apply theoretical knowledge in real-life situations and develop greater confidence when working directly with patients.</w:t>
      </w:r>
    </w:p>
    <w:p w14:paraId="2B1C1A08">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Another important objective is to complete accredited Health and Wellbeing Coach training and continue participating in continuing professional development (CPD). The job description identifies ongoing professional development as an important expectation for this role (NHS Jobs, 2026). I also intend to build my professional network by creating a LinkedIn profile, attending relevant workshops and following NHS organisations and healthcare professionals. Developing these connections may provide valuable learning opportunities and increase awareness of future employment opportunities.</w:t>
      </w:r>
    </w:p>
    <w:p w14:paraId="2A8F5501">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This action plan is also supported by Bandura's Self-Efficacy Theory, which suggests that confidence develops through experience, successful performance and continuous learning (Bandura, 1997). As I gain practical experience and achieve smaller goals, I expect my confidence and professional competence to increase. Rather than viewing my current lack of experience as a barrier, I see it as a starting point for continuous development. By following this structured plan, I believe I will gradually develop the knowledge, skills and confidence required to become an effective Health and Wellbeing Coach within the NHS.</w:t>
      </w:r>
    </w:p>
    <w:tbl>
      <w:tblPr>
        <w:tblStyle w:val="12"/>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1902"/>
        <w:gridCol w:w="1829"/>
        <w:gridCol w:w="2842"/>
        <w:gridCol w:w="2543"/>
      </w:tblGrid>
      <w:tr w14:paraId="6D9F318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Header/>
          <w:tblCellSpacing w:w="15" w:type="dxa"/>
        </w:trPr>
        <w:tc>
          <w:tcPr>
            <w:tcW w:w="0" w:type="auto"/>
            <w:shd w:val="clear" w:color="auto" w:fill="auto"/>
            <w:vAlign w:val="center"/>
          </w:tcPr>
          <w:p w14:paraId="6D8C46CE">
            <w:pPr>
              <w:keepNext w:val="0"/>
              <w:keepLines w:val="0"/>
              <w:widowControl/>
              <w:suppressLineNumbers w:val="0"/>
              <w:jc w:val="center"/>
              <w:rPr>
                <w:rFonts w:hint="default" w:ascii="Arial" w:hAnsi="Arial" w:cs="Arial"/>
                <w:b/>
                <w:bCs/>
                <w:sz w:val="22"/>
                <w:szCs w:val="22"/>
              </w:rPr>
            </w:pPr>
            <w:r>
              <w:rPr>
                <w:rStyle w:val="17"/>
                <w:rFonts w:hint="default" w:ascii="Arial" w:hAnsi="Arial" w:eastAsia="SimSun" w:cs="Arial"/>
                <w:kern w:val="0"/>
                <w:sz w:val="22"/>
                <w:szCs w:val="22"/>
                <w:lang w:val="en-US" w:eastAsia="zh-CN" w:bidi="ar"/>
                <w14:ligatures w14:val="standardContextual"/>
              </w:rPr>
              <w:t>Goal</w:t>
            </w:r>
          </w:p>
        </w:tc>
        <w:tc>
          <w:tcPr>
            <w:tcW w:w="0" w:type="auto"/>
            <w:shd w:val="clear" w:color="auto" w:fill="auto"/>
            <w:vAlign w:val="center"/>
          </w:tcPr>
          <w:p w14:paraId="265FFBC4">
            <w:pPr>
              <w:keepNext w:val="0"/>
              <w:keepLines w:val="0"/>
              <w:widowControl/>
              <w:suppressLineNumbers w:val="0"/>
              <w:jc w:val="center"/>
              <w:rPr>
                <w:rFonts w:hint="default" w:ascii="Arial" w:hAnsi="Arial" w:cs="Arial"/>
                <w:b/>
                <w:bCs/>
                <w:sz w:val="22"/>
                <w:szCs w:val="22"/>
              </w:rPr>
            </w:pPr>
            <w:r>
              <w:rPr>
                <w:rStyle w:val="17"/>
                <w:rFonts w:hint="default" w:ascii="Arial" w:hAnsi="Arial" w:eastAsia="SimSun" w:cs="Arial"/>
                <w:kern w:val="0"/>
                <w:sz w:val="22"/>
                <w:szCs w:val="22"/>
                <w:lang w:val="en-US" w:eastAsia="zh-CN" w:bidi="ar"/>
                <w14:ligatures w14:val="standardContextual"/>
              </w:rPr>
              <w:t>Timescale</w:t>
            </w:r>
          </w:p>
        </w:tc>
        <w:tc>
          <w:tcPr>
            <w:tcW w:w="0" w:type="auto"/>
            <w:shd w:val="clear" w:color="auto" w:fill="auto"/>
            <w:vAlign w:val="center"/>
          </w:tcPr>
          <w:p w14:paraId="2E304E43">
            <w:pPr>
              <w:keepNext w:val="0"/>
              <w:keepLines w:val="0"/>
              <w:widowControl/>
              <w:suppressLineNumbers w:val="0"/>
              <w:jc w:val="center"/>
              <w:rPr>
                <w:rFonts w:hint="default" w:ascii="Arial" w:hAnsi="Arial" w:cs="Arial"/>
                <w:b/>
                <w:bCs/>
                <w:sz w:val="22"/>
                <w:szCs w:val="22"/>
              </w:rPr>
            </w:pPr>
            <w:r>
              <w:rPr>
                <w:rStyle w:val="17"/>
                <w:rFonts w:hint="default" w:ascii="Arial" w:hAnsi="Arial" w:eastAsia="SimSun" w:cs="Arial"/>
                <w:kern w:val="0"/>
                <w:sz w:val="22"/>
                <w:szCs w:val="22"/>
                <w:lang w:val="en-US" w:eastAsia="zh-CN" w:bidi="ar"/>
                <w14:ligatures w14:val="standardContextual"/>
              </w:rPr>
              <w:t>Action</w:t>
            </w:r>
          </w:p>
        </w:tc>
        <w:tc>
          <w:tcPr>
            <w:tcW w:w="0" w:type="auto"/>
            <w:shd w:val="clear" w:color="auto" w:fill="auto"/>
            <w:vAlign w:val="center"/>
          </w:tcPr>
          <w:p w14:paraId="1DE818E7">
            <w:pPr>
              <w:keepNext w:val="0"/>
              <w:keepLines w:val="0"/>
              <w:widowControl/>
              <w:suppressLineNumbers w:val="0"/>
              <w:jc w:val="center"/>
              <w:rPr>
                <w:rFonts w:hint="default" w:ascii="Arial" w:hAnsi="Arial" w:cs="Arial"/>
                <w:b/>
                <w:bCs/>
                <w:sz w:val="22"/>
                <w:szCs w:val="22"/>
              </w:rPr>
            </w:pPr>
            <w:r>
              <w:rPr>
                <w:rStyle w:val="17"/>
                <w:rFonts w:hint="default" w:ascii="Arial" w:hAnsi="Arial" w:eastAsia="SimSun" w:cs="Arial"/>
                <w:kern w:val="0"/>
                <w:sz w:val="22"/>
                <w:szCs w:val="22"/>
                <w:lang w:val="en-US" w:eastAsia="zh-CN" w:bidi="ar"/>
                <w14:ligatures w14:val="standardContextual"/>
              </w:rPr>
              <w:t>Expected Outcome</w:t>
            </w:r>
          </w:p>
        </w:tc>
      </w:tr>
      <w:tr w14:paraId="3C289304">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0" w:type="auto"/>
            <w:shd w:val="clear" w:color="auto" w:fill="auto"/>
            <w:vAlign w:val="center"/>
          </w:tcPr>
          <w:p w14:paraId="0F51FD70">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Complete Health and Social Care degree</w:t>
            </w:r>
          </w:p>
        </w:tc>
        <w:tc>
          <w:tcPr>
            <w:tcW w:w="0" w:type="auto"/>
            <w:shd w:val="clear" w:color="auto" w:fill="auto"/>
            <w:vAlign w:val="center"/>
          </w:tcPr>
          <w:p w14:paraId="15C1C22A">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2026–2027</w:t>
            </w:r>
          </w:p>
        </w:tc>
        <w:tc>
          <w:tcPr>
            <w:tcW w:w="0" w:type="auto"/>
            <w:shd w:val="clear" w:color="auto" w:fill="auto"/>
            <w:vAlign w:val="center"/>
          </w:tcPr>
          <w:p w14:paraId="6221C114">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Successfully complete all university modules</w:t>
            </w:r>
          </w:p>
        </w:tc>
        <w:tc>
          <w:tcPr>
            <w:tcW w:w="0" w:type="auto"/>
            <w:shd w:val="clear" w:color="auto" w:fill="auto"/>
            <w:vAlign w:val="center"/>
          </w:tcPr>
          <w:p w14:paraId="418148E6">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Graduate with relevant qualification</w:t>
            </w:r>
          </w:p>
        </w:tc>
      </w:tr>
      <w:tr w14:paraId="6BEF4E6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14776056">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Improve professional English</w:t>
            </w:r>
          </w:p>
        </w:tc>
        <w:tc>
          <w:tcPr>
            <w:tcW w:w="0" w:type="auto"/>
            <w:shd w:val="clear" w:color="auto" w:fill="auto"/>
            <w:vAlign w:val="center"/>
          </w:tcPr>
          <w:p w14:paraId="01E77264">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Ongoing</w:t>
            </w:r>
          </w:p>
        </w:tc>
        <w:tc>
          <w:tcPr>
            <w:tcW w:w="0" w:type="auto"/>
            <w:shd w:val="clear" w:color="auto" w:fill="auto"/>
            <w:vAlign w:val="center"/>
          </w:tcPr>
          <w:p w14:paraId="7AA46B2C">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Continue academic study and practise professional communication</w:t>
            </w:r>
          </w:p>
        </w:tc>
        <w:tc>
          <w:tcPr>
            <w:tcW w:w="0" w:type="auto"/>
            <w:shd w:val="clear" w:color="auto" w:fill="auto"/>
            <w:vAlign w:val="center"/>
          </w:tcPr>
          <w:p w14:paraId="37BADF9E">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Greater confidence when communicating with patients and colleagues</w:t>
            </w:r>
          </w:p>
        </w:tc>
      </w:tr>
      <w:tr w14:paraId="5F6D3B03">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0" w:type="auto"/>
            <w:shd w:val="clear" w:color="auto" w:fill="auto"/>
            <w:vAlign w:val="center"/>
          </w:tcPr>
          <w:p w14:paraId="021A8A00">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Gain practical healthcare experience</w:t>
            </w:r>
          </w:p>
        </w:tc>
        <w:tc>
          <w:tcPr>
            <w:tcW w:w="0" w:type="auto"/>
            <w:shd w:val="clear" w:color="auto" w:fill="auto"/>
            <w:vAlign w:val="center"/>
          </w:tcPr>
          <w:p w14:paraId="699F4733">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Within 12 months</w:t>
            </w:r>
          </w:p>
        </w:tc>
        <w:tc>
          <w:tcPr>
            <w:tcW w:w="0" w:type="auto"/>
            <w:shd w:val="clear" w:color="auto" w:fill="auto"/>
            <w:vAlign w:val="center"/>
          </w:tcPr>
          <w:p w14:paraId="3C5F3B63">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Apply for volunteering or entry-level Health and Social Care roles</w:t>
            </w:r>
          </w:p>
        </w:tc>
        <w:tc>
          <w:tcPr>
            <w:tcW w:w="0" w:type="auto"/>
            <w:shd w:val="clear" w:color="auto" w:fill="auto"/>
            <w:vAlign w:val="center"/>
          </w:tcPr>
          <w:p w14:paraId="422DCB10">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Develop practical skills and understanding of healthcare settings</w:t>
            </w:r>
          </w:p>
        </w:tc>
      </w:tr>
      <w:tr w14:paraId="13F3B37C">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15" w:type="dxa"/>
            <w:left w:w="15" w:type="dxa"/>
            <w:bottom w:w="15" w:type="dxa"/>
            <w:right w:w="15" w:type="dxa"/>
          </w:tblCellMar>
        </w:tblPrEx>
        <w:trPr>
          <w:tblCellSpacing w:w="15" w:type="dxa"/>
        </w:trPr>
        <w:tc>
          <w:tcPr>
            <w:tcW w:w="0" w:type="auto"/>
            <w:shd w:val="clear" w:color="auto" w:fill="auto"/>
            <w:vAlign w:val="center"/>
          </w:tcPr>
          <w:p w14:paraId="78EFAC59">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Complete Health and Wellbeing Coach training</w:t>
            </w:r>
          </w:p>
        </w:tc>
        <w:tc>
          <w:tcPr>
            <w:tcW w:w="0" w:type="auto"/>
            <w:shd w:val="clear" w:color="auto" w:fill="auto"/>
            <w:vAlign w:val="center"/>
          </w:tcPr>
          <w:p w14:paraId="10E7C333">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Within 1–2 years</w:t>
            </w:r>
          </w:p>
        </w:tc>
        <w:tc>
          <w:tcPr>
            <w:tcW w:w="0" w:type="auto"/>
            <w:shd w:val="clear" w:color="auto" w:fill="auto"/>
            <w:vAlign w:val="center"/>
          </w:tcPr>
          <w:p w14:paraId="4266A817">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Enrol in accredited Health and Wellbeing Coach training</w:t>
            </w:r>
          </w:p>
        </w:tc>
        <w:tc>
          <w:tcPr>
            <w:tcW w:w="0" w:type="auto"/>
            <w:shd w:val="clear" w:color="auto" w:fill="auto"/>
            <w:vAlign w:val="center"/>
          </w:tcPr>
          <w:p w14:paraId="1D44401B">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Meet key requirements for NHS Health and Wellbeing Coach roles</w:t>
            </w:r>
          </w:p>
        </w:tc>
      </w:tr>
      <w:tr w14:paraId="79863E1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316B9197">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Build a professional network</w:t>
            </w:r>
          </w:p>
        </w:tc>
        <w:tc>
          <w:tcPr>
            <w:tcW w:w="0" w:type="auto"/>
            <w:shd w:val="clear" w:color="auto" w:fill="auto"/>
            <w:vAlign w:val="center"/>
          </w:tcPr>
          <w:p w14:paraId="60F2A389">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Ongoing</w:t>
            </w:r>
          </w:p>
        </w:tc>
        <w:tc>
          <w:tcPr>
            <w:tcW w:w="0" w:type="auto"/>
            <w:shd w:val="clear" w:color="auto" w:fill="auto"/>
            <w:vAlign w:val="center"/>
          </w:tcPr>
          <w:p w14:paraId="74377F9F">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Create a LinkedIn profile, attend CPD events and connect with healthcare professionals</w:t>
            </w:r>
          </w:p>
        </w:tc>
        <w:tc>
          <w:tcPr>
            <w:tcW w:w="0" w:type="auto"/>
            <w:shd w:val="clear" w:color="auto" w:fill="auto"/>
            <w:vAlign w:val="center"/>
          </w:tcPr>
          <w:p w14:paraId="4CC8EAED">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Increase professional visibility and networking opportunities</w:t>
            </w:r>
          </w:p>
        </w:tc>
      </w:tr>
      <w:tr w14:paraId="3917888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shd w:val="clear" w:color="auto" w:fill="auto"/>
            <w:vAlign w:val="center"/>
          </w:tcPr>
          <w:p w14:paraId="3E1BCB2F">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Apply for Health and Wellbeing Coach positions</w:t>
            </w:r>
          </w:p>
        </w:tc>
        <w:tc>
          <w:tcPr>
            <w:tcW w:w="0" w:type="auto"/>
            <w:shd w:val="clear" w:color="auto" w:fill="auto"/>
            <w:vAlign w:val="center"/>
          </w:tcPr>
          <w:p w14:paraId="77FC32E9">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After completing training and gaining experience</w:t>
            </w:r>
          </w:p>
        </w:tc>
        <w:tc>
          <w:tcPr>
            <w:tcW w:w="0" w:type="auto"/>
            <w:shd w:val="clear" w:color="auto" w:fill="auto"/>
            <w:vAlign w:val="center"/>
          </w:tcPr>
          <w:p w14:paraId="412B0351">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Apply for NHS vacancies</w:t>
            </w:r>
          </w:p>
        </w:tc>
        <w:tc>
          <w:tcPr>
            <w:tcW w:w="0" w:type="auto"/>
            <w:shd w:val="clear" w:color="auto" w:fill="auto"/>
            <w:vAlign w:val="center"/>
          </w:tcPr>
          <w:p w14:paraId="72D289A2">
            <w:pPr>
              <w:keepNext w:val="0"/>
              <w:keepLines w:val="0"/>
              <w:widowControl/>
              <w:suppressLineNumbers w:val="0"/>
              <w:jc w:val="left"/>
              <w:rPr>
                <w:rFonts w:hint="default" w:ascii="Arial" w:hAnsi="Arial" w:cs="Arial"/>
                <w:sz w:val="22"/>
                <w:szCs w:val="22"/>
              </w:rPr>
            </w:pPr>
            <w:r>
              <w:rPr>
                <w:rFonts w:hint="default" w:ascii="Arial" w:hAnsi="Arial" w:eastAsia="SimSun" w:cs="Arial"/>
                <w:kern w:val="0"/>
                <w:sz w:val="22"/>
                <w:szCs w:val="22"/>
                <w:lang w:val="en-US" w:eastAsia="zh-CN" w:bidi="ar"/>
                <w14:ligatures w14:val="standardContextual"/>
              </w:rPr>
              <w:t>Secure employment as a Health and Wellbeing Coach</w:t>
            </w:r>
          </w:p>
        </w:tc>
      </w:tr>
    </w:tbl>
    <w:p w14:paraId="7D866040">
      <w:pPr>
        <w:spacing w:line="360" w:lineRule="auto"/>
        <w:jc w:val="both"/>
        <w:rPr>
          <w:rFonts w:hint="default"/>
          <w:b w:val="0"/>
          <w:bCs w:val="0"/>
          <w:sz w:val="28"/>
          <w:szCs w:val="28"/>
          <w:lang w:val="en-GB"/>
        </w:rPr>
      </w:pPr>
    </w:p>
    <w:p w14:paraId="198EB6AA">
      <w:pPr>
        <w:spacing w:line="360" w:lineRule="auto"/>
        <w:jc w:val="both"/>
        <w:rPr>
          <w:rFonts w:hint="default"/>
          <w:b w:val="0"/>
          <w:bCs w:val="0"/>
          <w:sz w:val="28"/>
          <w:szCs w:val="28"/>
          <w:lang w:val="en-GB"/>
        </w:rPr>
      </w:pPr>
      <w:r>
        <w:rPr>
          <w:rFonts w:ascii="Arial" w:hAnsi="Arial" w:eastAsia="Arial" w:cs="Arial"/>
          <w:b/>
          <w:bCs/>
          <w:color w:val="000000"/>
          <w:sz w:val="28"/>
          <w:szCs w:val="28"/>
        </w:rPr>
        <w:t>Conclusion</w:t>
      </w:r>
    </w:p>
    <w:p w14:paraId="0FDB4A94">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This report has provided a critical evaluation of the knowledge, skills and professional qualities required for the role of a Health and Wellbeing Coach within the NHS. Analysing the job description and person specification helped me understand that this role requires much more than an interest in health promotion. It demands excellent communication, behaviour change coaching skills, teamwork, digital competence and a commitment to continuous professional development.</w:t>
      </w:r>
    </w:p>
    <w:p w14:paraId="600490AD">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Reflecting on my own abilities enabled me to identify both my strengths and the areas that require further development. While I believe that my communication skills, motivation and interest in improving people's health provide a strong foundation for this career, I also recognise the importance of gaining practical healthcare experience, completing accredited Health and Wellbeing Coach training and continuing to develop my professional knowledge. My action plan provides a realistic and structured approach to achieving these goals through education, practical experience, networking and lifelong learning.</w:t>
      </w:r>
    </w:p>
    <w:p w14:paraId="389F86BF">
      <w:pPr>
        <w:spacing w:line="360" w:lineRule="auto"/>
        <w:jc w:val="both"/>
        <w:rPr>
          <w:rFonts w:hint="default"/>
          <w:b w:val="0"/>
          <w:bCs w:val="0"/>
          <w:sz w:val="28"/>
          <w:szCs w:val="28"/>
          <w:lang w:val="en-GB"/>
        </w:rPr>
      </w:pPr>
      <w:r>
        <w:rPr>
          <w:rFonts w:hint="default" w:ascii="Arial" w:hAnsi="Arial" w:eastAsia="Arial"/>
          <w:b w:val="0"/>
          <w:bCs w:val="0"/>
          <w:sz w:val="22"/>
          <w:szCs w:val="28"/>
          <w:lang w:val="en-GB"/>
        </w:rPr>
        <w:t>Completing this report has strengthened my understanding of what is required to become a successful Health and Wellbeing Coach. It has helped me develop a clearer career direction and increased my confidence in pursuing this profession. I am committed to continuing my professional development and believe that, through consistent learning and practical experience, I will be well prepared to contribute positively to the NHS and support individuals in improving their health and wellbeing.</w:t>
      </w:r>
    </w:p>
    <w:p w14:paraId="3BD4512A">
      <w:pPr>
        <w:spacing w:line="360" w:lineRule="auto"/>
        <w:jc w:val="both"/>
        <w:rPr>
          <w:rFonts w:hint="default"/>
          <w:b w:val="0"/>
          <w:bCs w:val="0"/>
          <w:sz w:val="28"/>
          <w:szCs w:val="28"/>
          <w:lang w:val="en-GB"/>
        </w:rPr>
      </w:pPr>
    </w:p>
    <w:p w14:paraId="03FC9CBE">
      <w:pPr>
        <w:spacing w:line="360" w:lineRule="auto"/>
        <w:jc w:val="both"/>
        <w:rPr>
          <w:rFonts w:hint="default"/>
          <w:b w:val="0"/>
          <w:bCs w:val="0"/>
          <w:sz w:val="28"/>
          <w:szCs w:val="28"/>
          <w:lang w:val="en-GB"/>
        </w:rPr>
      </w:pPr>
    </w:p>
    <w:p w14:paraId="2A59BABC">
      <w:pPr>
        <w:spacing w:line="360" w:lineRule="auto"/>
        <w:jc w:val="both"/>
        <w:rPr>
          <w:rFonts w:hint="default"/>
          <w:b w:val="0"/>
          <w:bCs w:val="0"/>
          <w:sz w:val="28"/>
          <w:szCs w:val="28"/>
          <w:lang w:val="en-GB"/>
        </w:rPr>
      </w:pPr>
    </w:p>
    <w:p w14:paraId="173EA411">
      <w:pPr>
        <w:spacing w:line="360" w:lineRule="auto"/>
        <w:jc w:val="both"/>
        <w:rPr>
          <w:rFonts w:hint="default"/>
          <w:b w:val="0"/>
          <w:bCs w:val="0"/>
          <w:sz w:val="28"/>
          <w:szCs w:val="28"/>
          <w:lang w:val="en-GB"/>
        </w:rPr>
      </w:pPr>
    </w:p>
    <w:p w14:paraId="47FA6416">
      <w:pPr>
        <w:spacing w:line="360" w:lineRule="auto"/>
        <w:jc w:val="both"/>
        <w:rPr>
          <w:rFonts w:hint="default"/>
          <w:b w:val="0"/>
          <w:bCs w:val="0"/>
          <w:sz w:val="28"/>
          <w:szCs w:val="28"/>
          <w:lang w:val="en-GB"/>
        </w:rPr>
      </w:pPr>
    </w:p>
    <w:p w14:paraId="704DB0B3">
      <w:pPr>
        <w:spacing w:line="360" w:lineRule="auto"/>
        <w:jc w:val="both"/>
        <w:rPr>
          <w:rFonts w:hint="default"/>
          <w:b w:val="0"/>
          <w:bCs w:val="0"/>
          <w:sz w:val="28"/>
          <w:szCs w:val="28"/>
          <w:lang w:val="en-GB"/>
        </w:rPr>
      </w:pPr>
    </w:p>
    <w:p w14:paraId="0BC44F2A">
      <w:pPr>
        <w:spacing w:line="360" w:lineRule="auto"/>
        <w:jc w:val="both"/>
        <w:rPr>
          <w:rFonts w:hint="default"/>
          <w:b w:val="0"/>
          <w:bCs w:val="0"/>
          <w:sz w:val="28"/>
          <w:szCs w:val="28"/>
          <w:lang w:val="en-GB"/>
        </w:rPr>
      </w:pPr>
    </w:p>
    <w:p w14:paraId="22494DF4">
      <w:pPr>
        <w:spacing w:line="360" w:lineRule="auto"/>
        <w:jc w:val="both"/>
        <w:rPr>
          <w:rFonts w:hint="default"/>
          <w:b w:val="0"/>
          <w:bCs w:val="0"/>
          <w:sz w:val="28"/>
          <w:szCs w:val="28"/>
          <w:lang w:val="en-GB"/>
        </w:rPr>
      </w:pPr>
    </w:p>
    <w:p w14:paraId="209A5164">
      <w:pPr>
        <w:spacing w:line="360" w:lineRule="auto"/>
        <w:jc w:val="both"/>
        <w:rPr>
          <w:rFonts w:hint="default"/>
          <w:b w:val="0"/>
          <w:bCs w:val="0"/>
          <w:sz w:val="28"/>
          <w:szCs w:val="28"/>
          <w:lang w:val="en-GB"/>
        </w:rPr>
      </w:pPr>
    </w:p>
    <w:p w14:paraId="6C7641C3">
      <w:pPr>
        <w:spacing w:line="360" w:lineRule="auto"/>
        <w:jc w:val="both"/>
        <w:rPr>
          <w:rFonts w:hint="default"/>
          <w:b w:val="0"/>
          <w:bCs w:val="0"/>
          <w:sz w:val="28"/>
          <w:szCs w:val="28"/>
          <w:lang w:val="en-GB"/>
        </w:rPr>
      </w:pPr>
    </w:p>
    <w:p w14:paraId="2A020F28">
      <w:pPr>
        <w:spacing w:line="360" w:lineRule="auto"/>
        <w:jc w:val="both"/>
        <w:rPr>
          <w:rFonts w:hint="default"/>
          <w:b w:val="0"/>
          <w:bCs w:val="0"/>
          <w:sz w:val="28"/>
          <w:szCs w:val="28"/>
          <w:lang w:val="en-GB"/>
        </w:rPr>
      </w:pPr>
    </w:p>
    <w:p w14:paraId="5058EE8E">
      <w:pPr>
        <w:spacing w:line="360" w:lineRule="auto"/>
        <w:jc w:val="both"/>
        <w:rPr>
          <w:rFonts w:hint="default"/>
          <w:b w:val="0"/>
          <w:bCs w:val="0"/>
          <w:sz w:val="28"/>
          <w:szCs w:val="28"/>
          <w:lang w:val="en-GB"/>
        </w:rPr>
      </w:pPr>
    </w:p>
    <w:p w14:paraId="7DC4FEDF">
      <w:pPr>
        <w:spacing w:line="360" w:lineRule="auto"/>
        <w:jc w:val="both"/>
        <w:rPr>
          <w:rFonts w:hint="default"/>
          <w:b w:val="0"/>
          <w:bCs w:val="0"/>
          <w:sz w:val="28"/>
          <w:szCs w:val="28"/>
          <w:lang w:val="en-GB"/>
        </w:rPr>
      </w:pPr>
    </w:p>
    <w:p w14:paraId="03560853">
      <w:pPr>
        <w:spacing w:line="360" w:lineRule="auto"/>
        <w:jc w:val="both"/>
        <w:rPr>
          <w:b/>
          <w:bCs/>
        </w:rPr>
      </w:pPr>
    </w:p>
    <w:p w14:paraId="483DD539">
      <w:pPr>
        <w:spacing w:line="360" w:lineRule="auto"/>
        <w:jc w:val="both"/>
        <w:rPr>
          <w:b/>
          <w:bCs/>
        </w:rPr>
      </w:pPr>
    </w:p>
    <w:p w14:paraId="6EAA1129">
      <w:pPr>
        <w:spacing w:line="360" w:lineRule="auto"/>
        <w:jc w:val="both"/>
        <w:rPr>
          <w:rFonts w:hint="default"/>
          <w:b/>
          <w:bCs/>
        </w:rPr>
      </w:pPr>
      <w:r>
        <w:rPr>
          <w:rFonts w:hint="default" w:ascii="Arial" w:hAnsi="Arial" w:eastAsia="Arial"/>
          <w:b/>
          <w:bCs/>
          <w:sz w:val="22"/>
        </w:rPr>
        <w:t>References</w:t>
      </w:r>
    </w:p>
    <w:p w14:paraId="23218C6E">
      <w:pPr>
        <w:spacing w:line="360" w:lineRule="auto"/>
        <w:jc w:val="both"/>
        <w:rPr>
          <w:rFonts w:hint="default"/>
          <w:b w:val="0"/>
          <w:bCs w:val="0"/>
        </w:rPr>
      </w:pPr>
      <w:r>
        <w:rPr>
          <w:rFonts w:hint="default" w:ascii="Arial" w:hAnsi="Arial" w:eastAsia="Arial"/>
          <w:b w:val="0"/>
          <w:bCs w:val="0"/>
          <w:sz w:val="22"/>
        </w:rPr>
        <w:t>Bandura, A. (1997) Self-efficacy: The Exercise of Control. New York: W.H. Freeman.</w:t>
      </w:r>
    </w:p>
    <w:p w14:paraId="1FA81D19">
      <w:pPr>
        <w:spacing w:line="360" w:lineRule="auto"/>
        <w:jc w:val="both"/>
        <w:rPr>
          <w:rFonts w:hint="default"/>
          <w:b w:val="0"/>
          <w:bCs w:val="0"/>
        </w:rPr>
      </w:pPr>
      <w:r>
        <w:rPr>
          <w:rFonts w:hint="default" w:ascii="Arial" w:hAnsi="Arial" w:eastAsia="Arial"/>
          <w:b w:val="0"/>
          <w:bCs w:val="0"/>
          <w:sz w:val="22"/>
        </w:rPr>
        <w:t>Dacre Pool, L. and Sewell, P. (2007) ‘The key to employability: Developing a practical model of graduate employability’, Education + Training, 49(4), pp. 277–289.</w:t>
      </w:r>
    </w:p>
    <w:p w14:paraId="6B7CCB1A">
      <w:pPr>
        <w:spacing w:line="360" w:lineRule="auto"/>
        <w:jc w:val="both"/>
        <w:rPr>
          <w:rFonts w:hint="default"/>
          <w:b w:val="0"/>
          <w:bCs w:val="0"/>
        </w:rPr>
      </w:pPr>
      <w:r>
        <w:rPr>
          <w:rFonts w:hint="default" w:ascii="Arial" w:hAnsi="Arial" w:eastAsia="Arial"/>
          <w:b w:val="0"/>
          <w:bCs w:val="0"/>
          <w:sz w:val="22"/>
        </w:rPr>
        <w:t xml:space="preserve">Department of Health and Social Care (2021) The NHS Constitution for England. Available at: </w:t>
      </w:r>
      <w:r>
        <w:rPr>
          <w:rFonts w:hint="default" w:ascii="Arial" w:hAnsi="Arial" w:eastAsia="Arial"/>
          <w:b w:val="0"/>
          <w:bCs w:val="0"/>
          <w:sz w:val="22"/>
        </w:rPr>
        <w:fldChar w:fldCharType="begin"/>
      </w:r>
      <w:r>
        <w:rPr>
          <w:rFonts w:hint="default" w:ascii="Arial" w:hAnsi="Arial" w:eastAsia="Arial"/>
          <w:b w:val="0"/>
          <w:bCs w:val="0"/>
          <w:sz w:val="22"/>
        </w:rPr>
        <w:instrText xml:space="preserve"> HYPERLINK "https://www.gov.uk/government/publications/the-nhs-constitution-for-england" </w:instrText>
      </w:r>
      <w:r>
        <w:rPr>
          <w:rFonts w:hint="default" w:ascii="Arial" w:hAnsi="Arial" w:eastAsia="Arial"/>
          <w:b w:val="0"/>
          <w:bCs w:val="0"/>
          <w:sz w:val="22"/>
        </w:rPr>
        <w:fldChar w:fldCharType="separate"/>
      </w:r>
      <w:r>
        <w:rPr>
          <w:rStyle w:val="14"/>
          <w:rFonts w:hint="default" w:ascii="Arial" w:hAnsi="Arial" w:eastAsia="Arial"/>
          <w:b w:val="0"/>
          <w:bCs w:val="0"/>
          <w:sz w:val="22"/>
        </w:rPr>
        <w:t>https://www.gov.uk/government/publications/the-nhs-constitution-for-england</w:t>
      </w:r>
      <w:r>
        <w:rPr>
          <w:rFonts w:hint="default" w:ascii="Arial" w:hAnsi="Arial" w:eastAsia="Arial"/>
          <w:b w:val="0"/>
          <w:bCs w:val="0"/>
          <w:sz w:val="22"/>
        </w:rPr>
        <w:fldChar w:fldCharType="end"/>
      </w:r>
      <w:r>
        <w:rPr>
          <w:rFonts w:hint="default" w:ascii="Arial" w:hAnsi="Arial" w:eastAsia="Arial"/>
          <w:b w:val="0"/>
          <w:bCs w:val="0"/>
          <w:sz w:val="22"/>
          <w:lang w:val="ru-RU"/>
        </w:rPr>
        <w:t xml:space="preserve"> </w:t>
      </w:r>
      <w:r>
        <w:rPr>
          <w:rFonts w:hint="default" w:ascii="Arial" w:hAnsi="Arial" w:eastAsia="Arial"/>
          <w:b w:val="0"/>
          <w:bCs w:val="0"/>
          <w:sz w:val="22"/>
        </w:rPr>
        <w:t>(Accessed: 6 August 2026).</w:t>
      </w:r>
    </w:p>
    <w:p w14:paraId="7B5C6456">
      <w:pPr>
        <w:spacing w:line="360" w:lineRule="auto"/>
        <w:jc w:val="both"/>
        <w:rPr>
          <w:rFonts w:hint="default"/>
          <w:b w:val="0"/>
          <w:bCs w:val="0"/>
        </w:rPr>
      </w:pPr>
      <w:r>
        <w:rPr>
          <w:rFonts w:hint="default" w:ascii="Arial" w:hAnsi="Arial" w:eastAsia="Arial"/>
          <w:b w:val="0"/>
          <w:bCs w:val="0"/>
          <w:sz w:val="22"/>
        </w:rPr>
        <w:t>Doran, G.T. (1981) ‘There’s a S.M.A.R.T. way to write management’s goals and objectives’, Management Review, 70(11), pp. 35–36.</w:t>
      </w:r>
    </w:p>
    <w:p w14:paraId="34632764">
      <w:pPr>
        <w:spacing w:line="360" w:lineRule="auto"/>
        <w:jc w:val="both"/>
        <w:rPr>
          <w:rFonts w:hint="default"/>
          <w:b w:val="0"/>
          <w:bCs w:val="0"/>
        </w:rPr>
      </w:pPr>
      <w:r>
        <w:rPr>
          <w:rFonts w:hint="default" w:ascii="Arial" w:hAnsi="Arial" w:eastAsia="Arial"/>
          <w:b w:val="0"/>
          <w:bCs w:val="0"/>
          <w:sz w:val="22"/>
        </w:rPr>
        <w:t>Gibbs, G. (1988) Learning by Doing: A Guide to Teaching and Learning Methods. Oxford: Oxford Polytechnic.</w:t>
      </w:r>
    </w:p>
    <w:p w14:paraId="64F61790">
      <w:pPr>
        <w:spacing w:line="360" w:lineRule="auto"/>
        <w:jc w:val="both"/>
        <w:rPr>
          <w:rFonts w:hint="default"/>
          <w:b w:val="0"/>
          <w:bCs w:val="0"/>
        </w:rPr>
      </w:pPr>
      <w:r>
        <w:rPr>
          <w:rFonts w:hint="default" w:ascii="Arial" w:hAnsi="Arial" w:eastAsia="Arial"/>
          <w:b w:val="0"/>
          <w:bCs w:val="0"/>
          <w:sz w:val="22"/>
        </w:rPr>
        <w:t>Kolb, D.A. (1984) Experiential Learning: Experience as the Source of Learning and Development. Englewood Cliffs, NJ: Prentice Hall.</w:t>
      </w:r>
    </w:p>
    <w:p w14:paraId="0D13E43F">
      <w:pPr>
        <w:spacing w:line="360" w:lineRule="auto"/>
        <w:jc w:val="both"/>
        <w:rPr>
          <w:rFonts w:hint="default"/>
          <w:b w:val="0"/>
          <w:bCs w:val="0"/>
        </w:rPr>
      </w:pPr>
      <w:r>
        <w:rPr>
          <w:rFonts w:hint="default" w:ascii="Arial" w:hAnsi="Arial" w:eastAsia="Arial"/>
          <w:b w:val="0"/>
          <w:bCs w:val="0"/>
          <w:sz w:val="22"/>
        </w:rPr>
        <w:t xml:space="preserve">NHS Jobs (2026) Health and Wellbeing Coach – Barnsley Healthcare Federation. Available at: </w:t>
      </w:r>
      <w:r>
        <w:rPr>
          <w:rFonts w:hint="default" w:ascii="Arial" w:hAnsi="Arial" w:eastAsia="Arial"/>
          <w:b w:val="0"/>
          <w:bCs w:val="0"/>
          <w:sz w:val="22"/>
        </w:rPr>
        <w:fldChar w:fldCharType="begin"/>
      </w:r>
      <w:r>
        <w:rPr>
          <w:rFonts w:hint="default" w:ascii="Arial" w:hAnsi="Arial" w:eastAsia="Arial"/>
          <w:b w:val="0"/>
          <w:bCs w:val="0"/>
          <w:sz w:val="22"/>
        </w:rPr>
        <w:instrText xml:space="preserve"> HYPERLINK "https://www.jobs.nhs.uk/candidate/jobadvert/B0243-26-0045" </w:instrText>
      </w:r>
      <w:r>
        <w:rPr>
          <w:rFonts w:hint="default" w:ascii="Arial" w:hAnsi="Arial" w:eastAsia="Arial"/>
          <w:b w:val="0"/>
          <w:bCs w:val="0"/>
          <w:sz w:val="22"/>
        </w:rPr>
        <w:fldChar w:fldCharType="separate"/>
      </w:r>
      <w:r>
        <w:rPr>
          <w:rStyle w:val="14"/>
          <w:rFonts w:hint="default" w:ascii="Arial" w:hAnsi="Arial" w:eastAsia="Arial"/>
          <w:b w:val="0"/>
          <w:bCs w:val="0"/>
          <w:sz w:val="22"/>
        </w:rPr>
        <w:t>https://www.jobs.nhs.uk/candidate/jobadvert/B0243-26-0045</w:t>
      </w:r>
      <w:r>
        <w:rPr>
          <w:rFonts w:hint="default" w:ascii="Arial" w:hAnsi="Arial" w:eastAsia="Arial"/>
          <w:b w:val="0"/>
          <w:bCs w:val="0"/>
          <w:sz w:val="22"/>
        </w:rPr>
        <w:fldChar w:fldCharType="end"/>
      </w:r>
      <w:r>
        <w:rPr>
          <w:rFonts w:hint="default" w:ascii="Arial" w:hAnsi="Arial" w:eastAsia="Arial"/>
          <w:b w:val="0"/>
          <w:bCs w:val="0"/>
          <w:sz w:val="22"/>
          <w:lang w:val="ru-RU"/>
        </w:rPr>
        <w:t xml:space="preserve"> </w:t>
      </w:r>
      <w:r>
        <w:rPr>
          <w:rFonts w:hint="default" w:ascii="Arial" w:hAnsi="Arial" w:eastAsia="Arial"/>
          <w:b w:val="0"/>
          <w:bCs w:val="0"/>
          <w:sz w:val="22"/>
        </w:rPr>
        <w:t>(Accessed: 6 August 2026).</w:t>
      </w:r>
    </w:p>
    <w:p w14:paraId="5B8319B9">
      <w:pPr>
        <w:spacing w:line="360" w:lineRule="auto"/>
        <w:jc w:val="both"/>
        <w:rPr>
          <w:rFonts w:hint="default"/>
          <w:b w:val="0"/>
          <w:bCs w:val="0"/>
        </w:rPr>
      </w:pPr>
      <w:r>
        <w:rPr>
          <w:rFonts w:hint="default" w:ascii="Arial" w:hAnsi="Arial" w:eastAsia="Arial"/>
          <w:b w:val="0"/>
          <w:bCs w:val="0"/>
          <w:sz w:val="22"/>
        </w:rPr>
        <w:t xml:space="preserve">Personalised Care Institute (2023) Health and Wellbeing Coaching. Available at: </w:t>
      </w:r>
      <w:r>
        <w:rPr>
          <w:rFonts w:hint="default" w:ascii="Arial" w:hAnsi="Arial" w:eastAsia="Arial"/>
          <w:b w:val="0"/>
          <w:bCs w:val="0"/>
          <w:sz w:val="22"/>
        </w:rPr>
        <w:fldChar w:fldCharType="begin"/>
      </w:r>
      <w:r>
        <w:rPr>
          <w:rFonts w:hint="default" w:ascii="Arial" w:hAnsi="Arial" w:eastAsia="Arial"/>
          <w:b w:val="0"/>
          <w:bCs w:val="0"/>
          <w:sz w:val="22"/>
        </w:rPr>
        <w:instrText xml:space="preserve"> HYPERLINK "https://www.personalisedcareinstitute.org.uk/" </w:instrText>
      </w:r>
      <w:r>
        <w:rPr>
          <w:rFonts w:hint="default" w:ascii="Arial" w:hAnsi="Arial" w:eastAsia="Arial"/>
          <w:b w:val="0"/>
          <w:bCs w:val="0"/>
          <w:sz w:val="22"/>
        </w:rPr>
        <w:fldChar w:fldCharType="separate"/>
      </w:r>
      <w:r>
        <w:rPr>
          <w:rStyle w:val="14"/>
          <w:rFonts w:hint="default" w:ascii="Arial" w:hAnsi="Arial" w:eastAsia="Arial"/>
          <w:b w:val="0"/>
          <w:bCs w:val="0"/>
          <w:sz w:val="22"/>
        </w:rPr>
        <w:t>https://www.personalisedcareinstitute.org.uk/</w:t>
      </w:r>
      <w:r>
        <w:rPr>
          <w:rFonts w:hint="default" w:ascii="Arial" w:hAnsi="Arial" w:eastAsia="Arial"/>
          <w:b w:val="0"/>
          <w:bCs w:val="0"/>
          <w:sz w:val="22"/>
        </w:rPr>
        <w:fldChar w:fldCharType="end"/>
      </w:r>
      <w:r>
        <w:rPr>
          <w:rFonts w:hint="default" w:ascii="Arial" w:hAnsi="Arial" w:eastAsia="Arial"/>
          <w:b w:val="0"/>
          <w:bCs w:val="0"/>
          <w:sz w:val="22"/>
          <w:lang w:val="ru-RU"/>
        </w:rPr>
        <w:t xml:space="preserve"> </w:t>
      </w:r>
      <w:r>
        <w:rPr>
          <w:rFonts w:hint="default" w:ascii="Arial" w:hAnsi="Arial" w:eastAsia="Arial"/>
          <w:b w:val="0"/>
          <w:bCs w:val="0"/>
          <w:sz w:val="22"/>
        </w:rPr>
        <w:t>(Accessed: 6 August 2026).</w:t>
      </w:r>
    </w:p>
    <w:p w14:paraId="131FF57D">
      <w:pPr>
        <w:spacing w:line="360" w:lineRule="auto"/>
        <w:jc w:val="both"/>
        <w:rPr>
          <w:b w:val="0"/>
          <w:bCs w:val="0"/>
        </w:rPr>
      </w:pPr>
      <w:r>
        <w:rPr>
          <w:rFonts w:hint="default" w:ascii="Arial" w:hAnsi="Arial" w:eastAsia="Arial"/>
          <w:b w:val="0"/>
          <w:bCs w:val="0"/>
          <w:sz w:val="22"/>
        </w:rPr>
        <w:t>Skills for Care (2024) Core Skills Framework. Available at: https://www.skillsforcare.org.uk/ (Accessed: 6 August 2026).</w:t>
      </w: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20B0004020202020204"/>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Display">
    <w:altName w:val="Segoe UI Variable Display"/>
    <w:panose1 w:val="020B0004020202020204"/>
    <w:charset w:val="00"/>
    <w:family w:val="swiss"/>
    <w:pitch w:val="default"/>
    <w:sig w:usb0="00000000" w:usb1="00000000" w:usb2="00000000" w:usb3="00000000" w:csb0="0000019F" w:csb1="00000000"/>
  </w:font>
  <w:font w:name="Segoe UI Variable Display">
    <w:panose1 w:val="00000000000000000000"/>
    <w:charset w:val="00"/>
    <w:family w:val="auto"/>
    <w:pitch w:val="default"/>
    <w:sig w:usb0="A00002FF" w:usb1="0000000B" w:usb2="00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ptos">
    <w:altName w:val="Segoe UI"/>
    <w:panose1 w:val="00000000000000000000"/>
    <w:charset w:val="00"/>
    <w:family w:val="auto"/>
    <w:pitch w:val="default"/>
    <w:sig w:usb0="00000000" w:usb1="00000000" w:usb2="00000000" w:usb3="00000000" w:csb0="00000000" w:csb1="00000000"/>
  </w:font>
  <w:font w:name="Showcard Gothic">
    <w:panose1 w:val="04020904020102020604"/>
    <w:charset w:val="00"/>
    <w:family w:val="auto"/>
    <w:pitch w:val="default"/>
    <w:sig w:usb0="00000003" w:usb1="00000000" w:usb2="00000000" w:usb3="00000000" w:csb0="20000001" w:csb1="00000000"/>
  </w:font>
  <w:font w:name="Segoe UI Variable Small Semibold">
    <w:panose1 w:val="00000000000000000000"/>
    <w:charset w:val="00"/>
    <w:family w:val="auto"/>
    <w:pitch w:val="default"/>
    <w:sig w:usb0="A00002FF" w:usb1="0000000B" w:usb2="00000000" w:usb3="00000000" w:csb0="2000019F" w:csb1="00000000"/>
  </w:font>
  <w:font w:name="Segoe UI Variable Display Light">
    <w:panose1 w:val="00000000000000000000"/>
    <w:charset w:val="00"/>
    <w:family w:val="auto"/>
    <w:pitch w:val="default"/>
    <w:sig w:usb0="A00002FF" w:usb1="0000000B" w:usb2="00000000" w:usb3="00000000" w:csb0="2000019F" w:csb1="00000000"/>
  </w:font>
  <w:font w:name="Palatino Linotype">
    <w:panose1 w:val="02040502050505030304"/>
    <w:charset w:val="00"/>
    <w:family w:val="auto"/>
    <w:pitch w:val="default"/>
    <w:sig w:usb0="E0000287" w:usb1="40000013" w:usb2="00000000" w:usb3="00000000" w:csb0="2000019F" w:csb1="00000000"/>
  </w:font>
  <w:font w:name="Arial Nova">
    <w:panose1 w:val="020B0504020202020204"/>
    <w:charset w:val="00"/>
    <w:family w:val="auto"/>
    <w:pitch w:val="default"/>
    <w:sig w:usb0="0000028F" w:usb1="00000002" w:usb2="00000000" w:usb3="00000000" w:csb0="0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A73E8CB">
    <w:pPr>
      <w:jc w:val="center"/>
    </w:pPr>
    <w:r>
      <w:fldChar w:fldCharType="begin"/>
    </w:r>
    <w:r>
      <w:instrText xml:space="preserve">PAGE</w:instrText>
    </w:r>
    <w:r>
      <w:fldChar w:fldCharType="separate"/>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DE8"/>
    <w:rsid w:val="00127A91"/>
    <w:rsid w:val="00162BAD"/>
    <w:rsid w:val="00693DE8"/>
    <w:rsid w:val="00714142"/>
    <w:rsid w:val="007E3A3E"/>
    <w:rsid w:val="009D08C5"/>
    <w:rsid w:val="06603905"/>
    <w:rsid w:val="1E0C13CE"/>
    <w:rsid w:val="325F3BB1"/>
    <w:rsid w:val="376F478B"/>
    <w:rsid w:val="50580E3B"/>
    <w:rsid w:val="527E78E8"/>
    <w:rsid w:val="5C046679"/>
    <w:rsid w:val="7D0664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2"/>
      <w:szCs w:val="24"/>
      <w:lang w:val="en-GB"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character" w:styleId="14">
    <w:name w:val="FollowedHyperlink"/>
    <w:basedOn w:val="11"/>
    <w:semiHidden/>
    <w:unhideWhenUsed/>
    <w:uiPriority w:val="99"/>
    <w:rPr>
      <w:color w:val="800080"/>
      <w:u w:val="single"/>
    </w:rPr>
  </w:style>
  <w:style w:type="character" w:styleId="15">
    <w:name w:val="Hyperlink"/>
    <w:basedOn w:val="11"/>
    <w:semiHidden/>
    <w:unhideWhenUsed/>
    <w:uiPriority w:val="99"/>
    <w:rPr>
      <w:color w:val="0000FF"/>
      <w:u w:val="single"/>
    </w:rPr>
  </w:style>
  <w:style w:type="paragraph" w:styleId="16">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17">
    <w:name w:val="Strong"/>
    <w:basedOn w:val="11"/>
    <w:qFormat/>
    <w:uiPriority w:val="22"/>
    <w:rPr>
      <w:b/>
      <w:bCs/>
    </w:rPr>
  </w:style>
  <w:style w:type="paragraph" w:styleId="18">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9">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21">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uiPriority w:val="9"/>
    <w:rPr>
      <w:rFonts w:eastAsiaTheme="majorEastAsia" w:cstheme="majorBidi"/>
      <w:color w:val="104862" w:themeColor="accent1" w:themeShade="BF"/>
      <w:sz w:val="28"/>
      <w:szCs w:val="28"/>
    </w:rPr>
  </w:style>
  <w:style w:type="character" w:customStyle="1" w:styleId="24">
    <w:name w:val="Heading 4 Char"/>
    <w:basedOn w:val="11"/>
    <w:link w:val="5"/>
    <w:semiHidden/>
    <w:uiPriority w:val="9"/>
    <w:rPr>
      <w:rFonts w:eastAsiaTheme="majorEastAsia" w:cstheme="majorBidi"/>
      <w:i/>
      <w:iCs/>
      <w:color w:val="104862" w:themeColor="accent1" w:themeShade="BF"/>
    </w:rPr>
  </w:style>
  <w:style w:type="character" w:customStyle="1" w:styleId="25">
    <w:name w:val="Heading 5 Char"/>
    <w:basedOn w:val="11"/>
    <w:link w:val="6"/>
    <w:semiHidden/>
    <w:uiPriority w:val="9"/>
    <w:rPr>
      <w:rFonts w:eastAsiaTheme="majorEastAsia" w:cstheme="majorBidi"/>
      <w:color w:val="104862"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20"/>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8"/>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apple-converted-space"/>
    <w:basedOn w:val="11"/>
    <w:uiPriority w:val="0"/>
  </w:style>
  <w:style w:type="paragraph" w:styleId="40">
    <w:name w:val="No Spacing"/>
    <w:qFormat/>
    <w:uiPriority w:val="1"/>
    <w:pPr>
      <w:spacing w:after="0" w:line="240" w:lineRule="auto"/>
    </w:pPr>
    <w:rPr>
      <w:rFonts w:asciiTheme="minorHAnsi" w:hAnsiTheme="minorHAnsi" w:eastAsiaTheme="minorHAnsi" w:cstheme="minorBidi"/>
      <w:kern w:val="2"/>
      <w:sz w:val="24"/>
      <w:szCs w:val="24"/>
      <w:lang w:val="en-GB" w:eastAsia="en-US" w:bidi="ar-SA"/>
      <w14:ligatures w14:val="standardContextua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11</Pages>
  <Words>2766</Words>
  <Characters>17352</Characters>
  <Lines>28</Lines>
  <Paragraphs>7</Paragraphs>
  <TotalTime>8</TotalTime>
  <ScaleCrop>false</ScaleCrop>
  <LinksUpToDate>false</LinksUpToDate>
  <CharactersWithSpaces>20023</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2025-07-25T09:17:00Z</dcterms:created>
  <dc:creator>Caroline Salami</dc:creator>
  <cp:lastModifiedBy>Daria Vozdrahanova</cp:lastModifiedBy>
  <dcterms:modified xsi:type="dcterms:W3CDTF">2026-08-06T21:56:15Z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eyJoZGlkIjoiMDQ3M2U0OTViOTk3ZmU2YzNjMTE0NzFhOGI3MjU3ZTQiLCJ1c2VySWQiOiIzNzI4Mzg0OTk1MDczIn0=</vt:lpwstr>
  </property>
  <property fmtid="{D5CDD505-2E9C-101B-9397-08002B2CF9AE}" pid="3" name="KSOProductBuildVer">
    <vt:lpwstr>1033-12.1.0.28032</vt:lpwstr>
  </property>
  <property fmtid="{D5CDD505-2E9C-101B-9397-08002B2CF9AE}" pid="4" name="ICV">
    <vt:lpwstr>A3DACF15953E4F61A9115F490EFAF8D4_12</vt:lpwstr>
  </property>
</Properties>
</file>