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618B62A" w:rsidRDefault="5618B62A" w14:paraId="280A992E" w14:textId="1B6386C8">
      <w:r w:rsidRPr="5618B62A" w:rsidR="5618B62A">
        <w:rPr>
          <w:rFonts w:ascii="Arial" w:hAnsi="Arial" w:eastAsia="Arial" w:cs="Arial"/>
          <w:noProof w:val="0"/>
          <w:sz w:val="28"/>
          <w:szCs w:val="28"/>
          <w:lang w:val="en-GB"/>
        </w:rPr>
        <w:t>How the material world shapes us, and how we shape the material world.</w:t>
      </w:r>
    </w:p>
    <w:p w:rsidR="5618B62A" w:rsidRDefault="5618B62A" w14:paraId="14B45116" w14:textId="6CDE8485">
      <w:r>
        <w:br/>
      </w:r>
    </w:p>
    <w:p w:rsidR="5618B62A" w:rsidRDefault="5618B62A" w14:paraId="263B8F02" w14:textId="21B7712B">
      <w:r w:rsidRPr="5618B62A" w:rsidR="5618B62A">
        <w:rPr>
          <w:rFonts w:ascii="Arial" w:hAnsi="Arial" w:eastAsia="Arial" w:cs="Arial"/>
          <w:i w:val="1"/>
          <w:iCs w:val="1"/>
          <w:noProof w:val="0"/>
          <w:sz w:val="22"/>
          <w:szCs w:val="22"/>
          <w:lang w:val="en-GB"/>
        </w:rPr>
        <w:t>A discussion of the relationships we have with the world, and the world has with us</w:t>
      </w:r>
    </w:p>
    <w:p w:rsidR="5618B62A" w:rsidRDefault="5618B62A" w14:paraId="16E4BCE7" w14:textId="7ADA388C">
      <w:r w:rsidRPr="5618B62A" w:rsidR="5618B62A">
        <w:rPr>
          <w:rFonts w:ascii="Arial" w:hAnsi="Arial" w:eastAsia="Arial" w:cs="Arial"/>
          <w:i w:val="1"/>
          <w:iCs w:val="1"/>
          <w:noProof w:val="0"/>
          <w:sz w:val="22"/>
          <w:szCs w:val="22"/>
          <w:lang w:val="en-GB"/>
        </w:rPr>
        <w:t>.</w:t>
      </w:r>
    </w:p>
    <w:p w:rsidR="5618B62A" w:rsidRDefault="5618B62A" w14:paraId="55FC6033" w14:textId="3D069116">
      <w:r w:rsidRPr="5618B62A" w:rsidR="5618B62A">
        <w:rPr>
          <w:rFonts w:ascii="Arial" w:hAnsi="Arial" w:eastAsia="Arial" w:cs="Arial"/>
          <w:noProof w:val="0"/>
          <w:sz w:val="22"/>
          <w:szCs w:val="22"/>
          <w:lang w:val="en-GB"/>
        </w:rPr>
        <w:t>From the first early days, the natural world began to shape the first signs of our origin. Through the process of evolution, the material world shaping us from the first bacteria to present day. In turn, we have played an enormous role in shaping the material world, this give and take relationship, described as symbiosis. For example; we need oxygen from the material world shaping us to breathe - to survive. The natural world affording us these elements in which we rely in order to exist. Over time humans developed and adapted, i.e. once upon a time free hunter gathers, living of the earth - at one with the natural resources the material world has to offer, a kinship with the earth, trees, sea and air - symbiosis. Millions of years of steady growth became domestication and evolution that led to the 19th century industrial revolution - entering the age of Anthropocene. A term coined to the current era we find ourselves in (Stoermer, 1970s). Stoermer refers to the present epoch as ‘The Age of Anthropocene’, The Age of Humans, dating back to the beginning of the Industrial revolution in the 1800s. Coining the era - Anthropocene, having acquired data from the Geographical records Eugene Stoermer estimated this current epoch, following the Holocene as beginning at the time of the steam engines being built. As technologies developed, and fossil fuels were burned, and the enormous leap of the carbon footprint through transportation of goods and people, it seems we tipped our mutualistic symbiotic relationship, like a see-saw I believe we tipped the scales and our ‘new behaviours’ - changed the dynamic of the world and brings leading us to the current epoch and the relationship between us and the material world. Here the symbiotic relationship is no longer balanced, us beings are greedy and or uneducated and we are mis shaping the material world, which becomes problematic when we are not reciprocating this and symbiosis becomes communalistic, where we are simply taking and not giving back (Burton, 2013).</w:t>
      </w:r>
    </w:p>
    <w:p w:rsidR="5618B62A" w:rsidRDefault="5618B62A" w14:paraId="08E98CF4" w14:textId="65E9D7AF">
      <w:r w:rsidRPr="5618B62A" w:rsidR="5618B62A">
        <w:rPr>
          <w:rFonts w:ascii="Arial" w:hAnsi="Arial" w:eastAsia="Arial" w:cs="Arial"/>
          <w:noProof w:val="0"/>
          <w:sz w:val="22"/>
          <w:szCs w:val="22"/>
          <w:lang w:val="en-GB"/>
        </w:rPr>
        <w:t>Objects or things aren't primarily thought of as ‘active matter’, predominantly objects and or things are discarded unless in use and not thought to a relationship with the person ‘using it’ and rather working with it. The relationship between myself and my guitar - wooden - shiny - a beautiful part of me. A kinship with this inanimate object has transformed from the material world at the forest, to the tree it was found, to the manufacturing - the hand crafting of the instrument, to James Music, to the hands that play the instrument. A symbiotic relationship that helps me discuss our relationship with the material world, in relation to how we shape one another. The tree - wood - guitar - personal contact - music bond, oneness from the guitar - thing power, and active inanimate objects/things discussed by (Bennett, 2004). When we engage with the material world in this way and develop symbiotic relationships it is difficult to dismiss ideas that things/ objects are lacking the ‘thing power’ (Bennet, 2004). Looking at (</w:t>
      </w:r>
      <w:proofErr w:type="spellStart"/>
      <w:r w:rsidRPr="5618B62A" w:rsidR="5618B62A">
        <w:rPr>
          <w:rFonts w:ascii="Arial" w:hAnsi="Arial" w:eastAsia="Arial" w:cs="Arial"/>
          <w:noProof w:val="0"/>
          <w:sz w:val="22"/>
          <w:szCs w:val="22"/>
          <w:lang w:val="en-GB"/>
        </w:rPr>
        <w:t>Malafouris</w:t>
      </w:r>
      <w:proofErr w:type="spellEnd"/>
      <w:r w:rsidRPr="5618B62A" w:rsidR="5618B62A">
        <w:rPr>
          <w:rFonts w:ascii="Arial" w:hAnsi="Arial" w:eastAsia="Arial" w:cs="Arial"/>
          <w:noProof w:val="0"/>
          <w:sz w:val="22"/>
          <w:szCs w:val="22"/>
          <w:lang w:val="en-GB"/>
        </w:rPr>
        <w:t xml:space="preserve">, 2008) P6. The idea of the sword and the body becoming one, similarly one could wonder at which point does the wooden guitar stop ad my body begin? Does this inanimate material object/thing have a life of its own? </w:t>
      </w:r>
      <w:r w:rsidRPr="5618B62A" w:rsidR="5618B62A">
        <w:rPr>
          <w:rFonts w:ascii="Arial" w:hAnsi="Arial" w:eastAsia="Arial" w:cs="Arial"/>
          <w:noProof w:val="0"/>
          <w:sz w:val="22"/>
          <w:szCs w:val="22"/>
          <w:lang w:val="en-GB"/>
        </w:rPr>
        <w:t>Malafouris</w:t>
      </w:r>
      <w:r w:rsidRPr="5618B62A" w:rsidR="5618B62A">
        <w:rPr>
          <w:rFonts w:ascii="Arial" w:hAnsi="Arial" w:eastAsia="Arial" w:cs="Arial"/>
          <w:noProof w:val="0"/>
          <w:sz w:val="22"/>
          <w:szCs w:val="22"/>
          <w:lang w:val="en-GB"/>
        </w:rPr>
        <w:t xml:space="preserve"> quoting </w:t>
      </w:r>
      <w:proofErr w:type="spellStart"/>
      <w:r w:rsidRPr="5618B62A" w:rsidR="5618B62A">
        <w:rPr>
          <w:rFonts w:ascii="Arial" w:hAnsi="Arial" w:eastAsia="Arial" w:cs="Arial"/>
          <w:noProof w:val="0"/>
          <w:sz w:val="22"/>
          <w:szCs w:val="22"/>
          <w:lang w:val="en-GB"/>
        </w:rPr>
        <w:t>Godsen</w:t>
      </w:r>
      <w:proofErr w:type="spellEnd"/>
      <w:r w:rsidRPr="5618B62A" w:rsidR="5618B62A">
        <w:rPr>
          <w:rFonts w:ascii="Arial" w:hAnsi="Arial" w:eastAsia="Arial" w:cs="Arial"/>
          <w:noProof w:val="0"/>
          <w:sz w:val="22"/>
          <w:szCs w:val="22"/>
          <w:lang w:val="en-GB"/>
        </w:rPr>
        <w:t xml:space="preserve"> and Marshall 1999 discusses beings and things having mutual biographies, allowing us to rethink Euro-American ideas of individuality and personhood. (</w:t>
      </w:r>
      <w:proofErr w:type="spellStart"/>
      <w:r w:rsidRPr="5618B62A" w:rsidR="5618B62A">
        <w:rPr>
          <w:rFonts w:ascii="Arial" w:hAnsi="Arial" w:eastAsia="Arial" w:cs="Arial"/>
          <w:noProof w:val="0"/>
          <w:sz w:val="22"/>
          <w:szCs w:val="22"/>
          <w:lang w:val="en-GB"/>
        </w:rPr>
        <w:t>Malafouris</w:t>
      </w:r>
      <w:proofErr w:type="spellEnd"/>
      <w:r w:rsidRPr="5618B62A" w:rsidR="5618B62A">
        <w:rPr>
          <w:rFonts w:ascii="Arial" w:hAnsi="Arial" w:eastAsia="Arial" w:cs="Arial"/>
          <w:noProof w:val="0"/>
          <w:sz w:val="22"/>
          <w:szCs w:val="22"/>
          <w:lang w:val="en-GB"/>
        </w:rPr>
        <w:t>, 2008) P6.</w:t>
      </w:r>
    </w:p>
    <w:p w:rsidR="5618B62A" w:rsidRDefault="5618B62A" w14:paraId="508D86A9" w14:textId="39FA9E4D">
      <w:r>
        <w:br/>
      </w:r>
    </w:p>
    <w:p w:rsidR="5618B62A" w:rsidRDefault="5618B62A" w14:paraId="087DE505" w14:textId="38CC0566">
      <w:r w:rsidRPr="5618B62A" w:rsidR="5618B62A">
        <w:rPr>
          <w:rFonts w:ascii="Arial" w:hAnsi="Arial" w:eastAsia="Arial" w:cs="Arial"/>
          <w:noProof w:val="0"/>
          <w:sz w:val="22"/>
          <w:szCs w:val="22"/>
          <w:lang w:val="en-GB"/>
        </w:rPr>
        <w:t>Looking at the human bonds with the material world, and the impact of human action and human inaction on the material world, it is evident that the world shapes humans, and humans continue to reshape the world through unnatural ways of life; technologies that are physically shaping the world, from the cheeky snap chat of your dinner sent to Susan in Flat 3. The ‘data’ sent up into a cloud of collected data, causing the Ice caps to heat up and melt, shaping the natural world in an unnatural process (</w:t>
      </w:r>
      <w:proofErr w:type="spellStart"/>
      <w:r w:rsidRPr="5618B62A" w:rsidR="5618B62A">
        <w:rPr>
          <w:rFonts w:ascii="Arial" w:hAnsi="Arial" w:eastAsia="Arial" w:cs="Arial"/>
          <w:noProof w:val="0"/>
          <w:sz w:val="22"/>
          <w:szCs w:val="22"/>
          <w:lang w:val="en-GB"/>
        </w:rPr>
        <w:t>Attala</w:t>
      </w:r>
      <w:proofErr w:type="spellEnd"/>
      <w:r w:rsidRPr="5618B62A" w:rsidR="5618B62A">
        <w:rPr>
          <w:rFonts w:ascii="Arial" w:hAnsi="Arial" w:eastAsia="Arial" w:cs="Arial"/>
          <w:noProof w:val="0"/>
          <w:sz w:val="22"/>
          <w:szCs w:val="22"/>
          <w:lang w:val="en-GB"/>
        </w:rPr>
        <w:t xml:space="preserve">, 2019). Considering all the factors, in which we as humans at the Age of Anthropocene it is difficult to understand what exactly </w:t>
      </w:r>
      <w:proofErr w:type="gramStart"/>
      <w:r w:rsidRPr="5618B62A" w:rsidR="5618B62A">
        <w:rPr>
          <w:rFonts w:ascii="Arial" w:hAnsi="Arial" w:eastAsia="Arial" w:cs="Arial"/>
          <w:noProof w:val="0"/>
          <w:sz w:val="22"/>
          <w:szCs w:val="22"/>
          <w:lang w:val="en-GB"/>
        </w:rPr>
        <w:t>are</w:t>
      </w:r>
      <w:proofErr w:type="gramEnd"/>
      <w:r w:rsidRPr="5618B62A" w:rsidR="5618B62A">
        <w:rPr>
          <w:rFonts w:ascii="Arial" w:hAnsi="Arial" w:eastAsia="Arial" w:cs="Arial"/>
          <w:noProof w:val="0"/>
          <w:sz w:val="22"/>
          <w:szCs w:val="22"/>
          <w:lang w:val="en-GB"/>
        </w:rPr>
        <w:t xml:space="preserve"> we going do about the current state of the world, where do we start? How do we define and converse about something we cannot see or measure? Timothy Morton summarises the effects of global warming and the unnatural ‘natural disasters’ affording these repercussions of the earth with the name ‘hyper objects’, allowing people to converse on the matter of matter and the actions of the world. (Morton, 2015)</w:t>
      </w:r>
    </w:p>
    <w:p w:rsidR="5618B62A" w:rsidRDefault="5618B62A" w14:paraId="5E557DBE" w14:textId="5260DF0A">
      <w:r>
        <w:br/>
      </w:r>
    </w:p>
    <w:p w:rsidR="5618B62A" w:rsidRDefault="5618B62A" w14:paraId="06255F62" w14:textId="32CAF60B">
      <w:r w:rsidRPr="5618B62A" w:rsidR="5618B62A">
        <w:rPr>
          <w:rFonts w:ascii="Arial" w:hAnsi="Arial" w:eastAsia="Arial" w:cs="Arial"/>
          <w:noProof w:val="0"/>
          <w:sz w:val="22"/>
          <w:szCs w:val="22"/>
          <w:lang w:val="en-GB"/>
        </w:rPr>
        <w:t>Our interactions with the climate, have shaped our behaviours with the seasons, for instance the weather can order our behaviours through the year - just by being. The hot and cold temperatures can shape our ways of thinking, eating habits, social habits in order with the climate, another example of the symbiotic relationship between us and the material world. We allow the world to order our actions through the weather, our actions order the world to suit our way of life. This way of life that is harmful to the natural world, is causing the world to behave in new ways, new weather and water patterns just part of the reshaping or reordering of our existence as we know it, in this epoch of problems we must seek alternative routes, try and restore a balanced healthy relationship between the material world and us beings, before we no longer can and the material world as we know it changes forever.</w:t>
      </w:r>
    </w:p>
    <w:p w:rsidR="5618B62A" w:rsidRDefault="5618B62A" w14:paraId="74520922" w14:textId="7C9DD216"/>
    <w:p w:rsidR="5618B62A" w:rsidRDefault="5618B62A" w14:paraId="0161FAA8" w14:textId="0B55D103">
      <w:r w:rsidRPr="5618B62A" w:rsidR="5618B62A">
        <w:rPr>
          <w:rFonts w:ascii="Arial" w:hAnsi="Arial" w:eastAsia="Arial" w:cs="Arial"/>
          <w:noProof w:val="0"/>
          <w:sz w:val="22"/>
          <w:szCs w:val="22"/>
          <w:u w:val="single"/>
          <w:lang w:val="en-GB"/>
        </w:rPr>
        <w:t>Reference Index</w:t>
      </w:r>
    </w:p>
    <w:p w:rsidR="5618B62A" w:rsidRDefault="5618B62A" w14:paraId="139CED50" w14:textId="78826E5B">
      <w:r w:rsidRPr="5618B62A" w:rsidR="5618B62A">
        <w:rPr>
          <w:rFonts w:ascii="Arial" w:hAnsi="Arial" w:eastAsia="Arial" w:cs="Arial"/>
          <w:noProof w:val="0"/>
          <w:sz w:val="22"/>
          <w:szCs w:val="22"/>
          <w:lang w:val="en-GB"/>
        </w:rPr>
        <w:t>Attala, L. (2019).</w:t>
      </w:r>
    </w:p>
    <w:p w:rsidR="5618B62A" w:rsidRDefault="5618B62A" w14:paraId="39E1F5DA" w14:textId="125F991C">
      <w:r w:rsidRPr="5618B62A" w:rsidR="5618B62A">
        <w:rPr>
          <w:rFonts w:ascii="Arial" w:hAnsi="Arial" w:eastAsia="Arial" w:cs="Arial"/>
          <w:noProof w:val="0"/>
          <w:sz w:val="22"/>
          <w:szCs w:val="22"/>
          <w:lang w:val="en-GB"/>
        </w:rPr>
        <w:t xml:space="preserve">Bennett, J. (2004) Thing Power </w:t>
      </w:r>
      <w:proofErr w:type="spellStart"/>
      <w:r w:rsidRPr="5618B62A" w:rsidR="5618B62A">
        <w:rPr>
          <w:rFonts w:ascii="Arial" w:hAnsi="Arial" w:eastAsia="Arial" w:cs="Arial"/>
          <w:noProof w:val="0"/>
          <w:sz w:val="22"/>
          <w:szCs w:val="22"/>
          <w:lang w:val="en-GB"/>
        </w:rPr>
        <w:t>lll</w:t>
      </w:r>
      <w:proofErr w:type="spellEnd"/>
      <w:r w:rsidRPr="5618B62A" w:rsidR="5618B62A">
        <w:rPr>
          <w:rFonts w:ascii="Arial" w:hAnsi="Arial" w:eastAsia="Arial" w:cs="Arial"/>
          <w:noProof w:val="0"/>
          <w:sz w:val="22"/>
          <w:szCs w:val="22"/>
          <w:lang w:val="en-GB"/>
        </w:rPr>
        <w:t xml:space="preserve">, </w:t>
      </w:r>
      <w:r w:rsidRPr="5618B62A" w:rsidR="5618B62A">
        <w:rPr>
          <w:rFonts w:ascii="Arial" w:hAnsi="Arial" w:eastAsia="Arial" w:cs="Arial"/>
          <w:i w:val="1"/>
          <w:iCs w:val="1"/>
          <w:noProof w:val="0"/>
          <w:sz w:val="22"/>
          <w:szCs w:val="22"/>
          <w:lang w:val="en-GB"/>
        </w:rPr>
        <w:t xml:space="preserve">The Force of Things. </w:t>
      </w:r>
    </w:p>
    <w:p w:rsidR="5618B62A" w:rsidRDefault="5618B62A" w14:paraId="404955EA" w14:textId="010E0800">
      <w:r w:rsidRPr="5618B62A" w:rsidR="5618B62A">
        <w:rPr>
          <w:rFonts w:ascii="Arial" w:hAnsi="Arial" w:eastAsia="Arial" w:cs="Arial"/>
          <w:noProof w:val="0"/>
          <w:sz w:val="22"/>
          <w:szCs w:val="22"/>
          <w:lang w:val="en-GB"/>
        </w:rPr>
        <w:t xml:space="preserve">Burton J. Bogitsh, </w:t>
      </w:r>
      <w:proofErr w:type="spellStart"/>
      <w:r w:rsidRPr="5618B62A" w:rsidR="5618B62A">
        <w:rPr>
          <w:rFonts w:ascii="Arial" w:hAnsi="Arial" w:eastAsia="Arial" w:cs="Arial"/>
          <w:noProof w:val="0"/>
          <w:sz w:val="22"/>
          <w:szCs w:val="22"/>
          <w:lang w:val="en-GB"/>
        </w:rPr>
        <w:t>Phd</w:t>
      </w:r>
      <w:proofErr w:type="spellEnd"/>
      <w:r w:rsidRPr="5618B62A" w:rsidR="5618B62A">
        <w:rPr>
          <w:rFonts w:ascii="Arial" w:hAnsi="Arial" w:eastAsia="Arial" w:cs="Arial"/>
          <w:noProof w:val="0"/>
          <w:sz w:val="22"/>
          <w:szCs w:val="22"/>
          <w:lang w:val="en-GB"/>
        </w:rPr>
        <w:t xml:space="preserve">, Thomas N. </w:t>
      </w:r>
      <w:proofErr w:type="spellStart"/>
      <w:r w:rsidRPr="5618B62A" w:rsidR="5618B62A">
        <w:rPr>
          <w:rFonts w:ascii="Arial" w:hAnsi="Arial" w:eastAsia="Arial" w:cs="Arial"/>
          <w:noProof w:val="0"/>
          <w:sz w:val="22"/>
          <w:szCs w:val="22"/>
          <w:lang w:val="en-GB"/>
        </w:rPr>
        <w:t>Oeltmann</w:t>
      </w:r>
      <w:proofErr w:type="spellEnd"/>
      <w:r w:rsidRPr="5618B62A" w:rsidR="5618B62A">
        <w:rPr>
          <w:rFonts w:ascii="Arial" w:hAnsi="Arial" w:eastAsia="Arial" w:cs="Arial"/>
          <w:noProof w:val="0"/>
          <w:sz w:val="22"/>
          <w:szCs w:val="22"/>
          <w:lang w:val="en-GB"/>
        </w:rPr>
        <w:t xml:space="preserve">, </w:t>
      </w:r>
      <w:proofErr w:type="spellStart"/>
      <w:r w:rsidRPr="5618B62A" w:rsidR="5618B62A">
        <w:rPr>
          <w:rFonts w:ascii="Arial" w:hAnsi="Arial" w:eastAsia="Arial" w:cs="Arial"/>
          <w:noProof w:val="0"/>
          <w:sz w:val="22"/>
          <w:szCs w:val="22"/>
          <w:lang w:val="en-GB"/>
        </w:rPr>
        <w:t>Phd</w:t>
      </w:r>
      <w:proofErr w:type="spellEnd"/>
      <w:r w:rsidRPr="5618B62A" w:rsidR="5618B62A">
        <w:rPr>
          <w:rFonts w:ascii="Arial" w:hAnsi="Arial" w:eastAsia="Arial" w:cs="Arial"/>
          <w:i w:val="1"/>
          <w:iCs w:val="1"/>
          <w:noProof w:val="0"/>
          <w:sz w:val="22"/>
          <w:szCs w:val="22"/>
          <w:lang w:val="en-GB"/>
        </w:rPr>
        <w:t>. In Human Parasitology,</w:t>
      </w:r>
      <w:r w:rsidRPr="5618B62A" w:rsidR="5618B62A">
        <w:rPr>
          <w:rFonts w:ascii="Arial" w:hAnsi="Arial" w:eastAsia="Arial" w:cs="Arial"/>
          <w:i w:val="0"/>
          <w:iCs w:val="0"/>
          <w:noProof w:val="0"/>
          <w:sz w:val="22"/>
          <w:szCs w:val="22"/>
          <w:lang w:val="en-GB"/>
        </w:rPr>
        <w:t xml:space="preserve"> </w:t>
      </w:r>
      <w:proofErr w:type="gramStart"/>
      <w:r w:rsidRPr="5618B62A" w:rsidR="5618B62A">
        <w:rPr>
          <w:rFonts w:ascii="Arial" w:hAnsi="Arial" w:eastAsia="Arial" w:cs="Arial"/>
          <w:i w:val="0"/>
          <w:iCs w:val="0"/>
          <w:noProof w:val="0"/>
          <w:sz w:val="22"/>
          <w:szCs w:val="22"/>
          <w:lang w:val="en-GB"/>
        </w:rPr>
        <w:t>f</w:t>
      </w:r>
      <w:r w:rsidRPr="5618B62A" w:rsidR="5618B62A">
        <w:rPr>
          <w:rFonts w:ascii="Arial" w:hAnsi="Arial" w:eastAsia="Arial" w:cs="Arial"/>
          <w:i w:val="0"/>
          <w:iCs w:val="0"/>
          <w:noProof w:val="0"/>
          <w:sz w:val="22"/>
          <w:szCs w:val="22"/>
          <w:lang w:val="en-GB"/>
        </w:rPr>
        <w:t>orth</w:t>
      </w:r>
      <w:proofErr w:type="gramEnd"/>
      <w:r w:rsidRPr="5618B62A" w:rsidR="5618B62A">
        <w:rPr>
          <w:rFonts w:ascii="Arial" w:hAnsi="Arial" w:eastAsia="Arial" w:cs="Arial"/>
          <w:i w:val="0"/>
          <w:iCs w:val="0"/>
          <w:noProof w:val="0"/>
          <w:sz w:val="22"/>
          <w:szCs w:val="22"/>
          <w:lang w:val="en-GB"/>
        </w:rPr>
        <w:t xml:space="preserve"> </w:t>
      </w:r>
      <w:r w:rsidRPr="5618B62A" w:rsidR="5618B62A">
        <w:rPr>
          <w:rFonts w:ascii="Arial" w:hAnsi="Arial" w:eastAsia="Arial" w:cs="Arial"/>
          <w:noProof w:val="0"/>
          <w:sz w:val="22"/>
          <w:szCs w:val="22"/>
          <w:lang w:val="en-GB"/>
        </w:rPr>
        <w:t>edition, (2014) Date accessed 26/9/19.</w:t>
      </w:r>
    </w:p>
    <w:p w:rsidR="5618B62A" w:rsidRDefault="5618B62A" w14:paraId="42292E6C" w14:textId="41433962">
      <w:r w:rsidRPr="5618B62A" w:rsidR="5618B62A">
        <w:rPr>
          <w:rFonts w:ascii="Arial" w:hAnsi="Arial" w:eastAsia="Arial" w:cs="Arial"/>
          <w:noProof w:val="0"/>
          <w:sz w:val="22"/>
          <w:szCs w:val="22"/>
          <w:lang w:val="en-GB"/>
        </w:rPr>
        <w:t>Malafouris, L. (2008) I</w:t>
      </w:r>
      <w:r w:rsidRPr="5618B62A" w:rsidR="5618B62A">
        <w:rPr>
          <w:rFonts w:ascii="Arial" w:hAnsi="Arial" w:eastAsia="Arial" w:cs="Arial"/>
          <w:i w:val="1"/>
          <w:iCs w:val="1"/>
          <w:noProof w:val="0"/>
          <w:sz w:val="22"/>
          <w:szCs w:val="22"/>
          <w:lang w:val="en-GB"/>
        </w:rPr>
        <w:t>s it ‘me’? Or is it ‘mine’</w:t>
      </w:r>
      <w:r w:rsidRPr="5618B62A" w:rsidR="5618B62A">
        <w:rPr>
          <w:rFonts w:ascii="Arial" w:hAnsi="Arial" w:eastAsia="Arial" w:cs="Arial"/>
          <w:noProof w:val="0"/>
          <w:sz w:val="22"/>
          <w:szCs w:val="22"/>
          <w:lang w:val="en-GB"/>
        </w:rPr>
        <w:t xml:space="preserve">? The Mycenaean sword as a body part. In J. Robb &amp; D. Boric (eds) </w:t>
      </w:r>
      <w:r w:rsidRPr="5618B62A" w:rsidR="5618B62A">
        <w:rPr>
          <w:rFonts w:ascii="Arial" w:hAnsi="Arial" w:eastAsia="Arial" w:cs="Arial"/>
          <w:i w:val="1"/>
          <w:iCs w:val="1"/>
          <w:noProof w:val="0"/>
          <w:sz w:val="22"/>
          <w:szCs w:val="22"/>
          <w:lang w:val="en-GB"/>
        </w:rPr>
        <w:t>Past bodies.</w:t>
      </w:r>
      <w:r w:rsidRPr="5618B62A" w:rsidR="5618B62A">
        <w:rPr>
          <w:rFonts w:ascii="Arial" w:hAnsi="Arial" w:eastAsia="Arial" w:cs="Arial"/>
          <w:noProof w:val="0"/>
          <w:sz w:val="22"/>
          <w:szCs w:val="22"/>
          <w:lang w:val="en-GB"/>
        </w:rPr>
        <w:t xml:space="preserve"> Oxford: Oxbow Books, 115-23. P6. </w:t>
      </w:r>
    </w:p>
    <w:p w:rsidR="5618B62A" w:rsidRDefault="5618B62A" w14:paraId="13637C84" w14:textId="0631751D">
      <w:r w:rsidRPr="5618B62A" w:rsidR="5618B62A">
        <w:rPr>
          <w:rFonts w:ascii="Arial" w:hAnsi="Arial" w:eastAsia="Arial" w:cs="Arial"/>
          <w:noProof w:val="0"/>
          <w:sz w:val="22"/>
          <w:szCs w:val="22"/>
          <w:lang w:val="en-GB"/>
        </w:rPr>
        <w:t xml:space="preserve">Morton, T. (2015) </w:t>
      </w:r>
      <w:r w:rsidRPr="5618B62A" w:rsidR="5618B62A">
        <w:rPr>
          <w:rFonts w:ascii="Arial" w:hAnsi="Arial" w:eastAsia="Arial" w:cs="Arial"/>
          <w:i w:val="1"/>
          <w:iCs w:val="1"/>
          <w:noProof w:val="0"/>
          <w:sz w:val="22"/>
          <w:szCs w:val="22"/>
          <w:lang w:val="en-GB"/>
        </w:rPr>
        <w:t xml:space="preserve">Introducing the idea of </w:t>
      </w:r>
      <w:r w:rsidRPr="5618B62A" w:rsidR="5618B62A">
        <w:rPr>
          <w:rFonts w:ascii="Arial" w:hAnsi="Arial" w:eastAsia="Arial" w:cs="Arial"/>
          <w:i w:val="1"/>
          <w:iCs w:val="1"/>
          <w:noProof w:val="0"/>
          <w:sz w:val="22"/>
          <w:szCs w:val="22"/>
          <w:lang w:val="en-GB"/>
        </w:rPr>
        <w:t>hyper objects</w:t>
      </w:r>
      <w:r w:rsidRPr="5618B62A" w:rsidR="5618B62A">
        <w:rPr>
          <w:rFonts w:ascii="Arial" w:hAnsi="Arial" w:eastAsia="Arial" w:cs="Arial"/>
          <w:noProof w:val="0"/>
          <w:sz w:val="22"/>
          <w:szCs w:val="22"/>
          <w:lang w:val="en-GB"/>
        </w:rPr>
        <w:t>. A new way of understanding climate change and other phenomena. High country news (2015)</w:t>
      </w:r>
    </w:p>
    <w:p w:rsidR="5618B62A" w:rsidRDefault="5618B62A" w14:paraId="14F8878D" w14:textId="6B4F5A1D">
      <w:r w:rsidRPr="5618B62A" w:rsidR="5618B62A">
        <w:rPr>
          <w:rFonts w:ascii="Arial" w:hAnsi="Arial" w:eastAsia="Arial" w:cs="Arial"/>
          <w:noProof w:val="0"/>
          <w:sz w:val="22"/>
          <w:szCs w:val="22"/>
          <w:lang w:val="en-GB"/>
        </w:rPr>
        <w:t>Stoermer, E. (1970s).</w:t>
      </w:r>
    </w:p>
    <w:p w:rsidR="5618B62A" w:rsidRDefault="5618B62A" w14:paraId="42AA0D9D" w14:textId="35D835E3">
      <w:r>
        <w:br/>
      </w:r>
    </w:p>
    <w:p w:rsidR="5618B62A" w:rsidP="5618B62A" w:rsidRDefault="5618B62A" w14:paraId="2BE739CB" w14:textId="1541E3A0">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8D8D8A9"/>
  <w15:docId w15:val="{a39460f5-f076-4f10-ad08-9093871d940d}"/>
  <w:rsids>
    <w:rsidRoot w:val="28D8D8A9"/>
    <w:rsid w:val="28D8D8A9"/>
    <w:rsid w:val="5618B62A"/>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Stephanie Coverdale (1809141)</dc:creator>
  <keywords/>
  <dc:description/>
  <lastModifiedBy>Stephanie Coverdale (1809141)</lastModifiedBy>
  <revision>2</revision>
  <dcterms:created xsi:type="dcterms:W3CDTF">2019-09-27T19:20:00.0393103Z</dcterms:created>
  <dcterms:modified xsi:type="dcterms:W3CDTF">2019-09-27T19:32:50.6212459Z</dcterms:modified>
</coreProperties>
</file>