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C0D5F" w14:textId="77777777" w:rsidR="008A0F61" w:rsidRPr="00DA1B87" w:rsidRDefault="008A0F61" w:rsidP="008A0F61">
      <w:pPr>
        <w:jc w:val="center"/>
        <w:rPr>
          <w:sz w:val="60"/>
          <w:szCs w:val="60"/>
          <w:lang w:val="en-US"/>
        </w:rPr>
      </w:pPr>
      <w:r w:rsidRPr="00DA1B87">
        <w:rPr>
          <w:sz w:val="60"/>
          <w:szCs w:val="60"/>
          <w:lang w:val="en-US"/>
        </w:rPr>
        <w:t>University of Wales</w:t>
      </w:r>
    </w:p>
    <w:p w14:paraId="6229C36F" w14:textId="77777777" w:rsidR="008A0F61" w:rsidRPr="00DA1B87" w:rsidRDefault="008A0F61" w:rsidP="008A0F61">
      <w:pPr>
        <w:jc w:val="center"/>
        <w:rPr>
          <w:sz w:val="60"/>
          <w:szCs w:val="60"/>
          <w:lang w:val="en-US"/>
        </w:rPr>
      </w:pPr>
      <w:r w:rsidRPr="00DA1B87">
        <w:rPr>
          <w:sz w:val="60"/>
          <w:szCs w:val="60"/>
          <w:lang w:val="en-US"/>
        </w:rPr>
        <w:t>Trinity Saint David</w:t>
      </w:r>
    </w:p>
    <w:p w14:paraId="773B75ED" w14:textId="77777777" w:rsidR="008A0F61" w:rsidRPr="00DA1B87" w:rsidRDefault="008A0F61" w:rsidP="008A0F61">
      <w:pPr>
        <w:jc w:val="center"/>
        <w:rPr>
          <w:sz w:val="60"/>
          <w:szCs w:val="60"/>
          <w:lang w:val="en-US"/>
        </w:rPr>
      </w:pPr>
    </w:p>
    <w:p w14:paraId="3F2807EC" w14:textId="77777777" w:rsidR="008A0F61" w:rsidRPr="00DA1B87" w:rsidRDefault="008A0F61" w:rsidP="008A0F61">
      <w:pPr>
        <w:jc w:val="center"/>
        <w:rPr>
          <w:sz w:val="60"/>
          <w:szCs w:val="60"/>
          <w:lang w:val="en-US"/>
        </w:rPr>
      </w:pPr>
      <w:r w:rsidRPr="00DA1B87">
        <w:rPr>
          <w:sz w:val="60"/>
          <w:szCs w:val="60"/>
          <w:lang w:val="en-US"/>
        </w:rPr>
        <w:t>EXAM</w:t>
      </w:r>
    </w:p>
    <w:p w14:paraId="7DC4C844" w14:textId="77777777" w:rsidR="008A0F61" w:rsidRDefault="008A0F61" w:rsidP="008A0F61">
      <w:pPr>
        <w:rPr>
          <w:lang w:val="en-US"/>
        </w:rPr>
      </w:pPr>
    </w:p>
    <w:p w14:paraId="0143C940" w14:textId="77777777" w:rsidR="008A0F61" w:rsidRDefault="008A0F61" w:rsidP="008A0F61">
      <w:pPr>
        <w:jc w:val="center"/>
        <w:rPr>
          <w:sz w:val="36"/>
          <w:szCs w:val="36"/>
          <w:lang w:val="en-US"/>
        </w:rPr>
      </w:pPr>
    </w:p>
    <w:p w14:paraId="208C4922" w14:textId="77777777" w:rsidR="008A0F61" w:rsidRPr="00DA1B87" w:rsidRDefault="008A0F61" w:rsidP="008A0F61">
      <w:pPr>
        <w:jc w:val="center"/>
        <w:rPr>
          <w:sz w:val="36"/>
          <w:szCs w:val="36"/>
          <w:lang w:val="en-US"/>
        </w:rPr>
      </w:pPr>
      <w:r w:rsidRPr="00DA1B87">
        <w:rPr>
          <w:sz w:val="36"/>
          <w:szCs w:val="36"/>
          <w:lang w:val="en-US"/>
        </w:rPr>
        <w:t>Nikola Chakrakchiev 2029324</w:t>
      </w:r>
    </w:p>
    <w:p w14:paraId="40DE6FA0" w14:textId="77777777" w:rsidR="008A0F61" w:rsidRPr="00DA1B87" w:rsidRDefault="008A0F61" w:rsidP="008A0F61">
      <w:pPr>
        <w:jc w:val="center"/>
        <w:rPr>
          <w:sz w:val="36"/>
          <w:szCs w:val="36"/>
          <w:lang w:val="en-US"/>
        </w:rPr>
      </w:pPr>
      <w:r w:rsidRPr="00DA1B87">
        <w:rPr>
          <w:sz w:val="36"/>
          <w:szCs w:val="36"/>
          <w:lang w:val="en-US"/>
        </w:rPr>
        <w:t>BA Business Management</w:t>
      </w:r>
    </w:p>
    <w:p w14:paraId="306D1D0A" w14:textId="77777777" w:rsidR="008A0F61" w:rsidRPr="00DA1B87" w:rsidRDefault="008A0F61" w:rsidP="008A0F61">
      <w:pPr>
        <w:jc w:val="center"/>
        <w:rPr>
          <w:sz w:val="36"/>
          <w:szCs w:val="36"/>
          <w:lang w:val="en-US"/>
        </w:rPr>
      </w:pPr>
      <w:r w:rsidRPr="00DA1B87">
        <w:rPr>
          <w:sz w:val="36"/>
          <w:szCs w:val="36"/>
          <w:lang w:val="en-US"/>
        </w:rPr>
        <w:t>Global Business Environment (LCBB4001)</w:t>
      </w:r>
    </w:p>
    <w:p w14:paraId="64FFC493" w14:textId="77777777" w:rsidR="008A0F61" w:rsidRDefault="008A0F61" w:rsidP="008A0F61">
      <w:pPr>
        <w:rPr>
          <w:lang w:val="en-US"/>
        </w:rPr>
      </w:pPr>
    </w:p>
    <w:p w14:paraId="4325213B" w14:textId="77777777" w:rsidR="008A0F61" w:rsidRPr="00DA1B87" w:rsidRDefault="008A0F61" w:rsidP="008A0F61">
      <w:pPr>
        <w:jc w:val="center"/>
        <w:rPr>
          <w:sz w:val="36"/>
          <w:szCs w:val="36"/>
          <w:lang w:val="en-US"/>
        </w:rPr>
      </w:pPr>
      <w:r>
        <w:rPr>
          <w:sz w:val="36"/>
          <w:szCs w:val="36"/>
          <w:lang w:val="en-US"/>
        </w:rPr>
        <w:t>02</w:t>
      </w:r>
      <w:r w:rsidRPr="00DA1B87">
        <w:rPr>
          <w:sz w:val="36"/>
          <w:szCs w:val="36"/>
          <w:lang w:val="en-US"/>
        </w:rPr>
        <w:t>-1</w:t>
      </w:r>
      <w:r>
        <w:rPr>
          <w:sz w:val="36"/>
          <w:szCs w:val="36"/>
          <w:lang w:val="en-US"/>
        </w:rPr>
        <w:t>2</w:t>
      </w:r>
      <w:r w:rsidRPr="00DA1B87">
        <w:rPr>
          <w:sz w:val="36"/>
          <w:szCs w:val="36"/>
          <w:lang w:val="en-US"/>
        </w:rPr>
        <w:t>-2021</w:t>
      </w:r>
    </w:p>
    <w:p w14:paraId="0278A882" w14:textId="77777777" w:rsidR="008A0F61" w:rsidRDefault="008A0F61">
      <w:pPr>
        <w:rPr>
          <w:rFonts w:asciiTheme="majorHAnsi" w:eastAsiaTheme="majorEastAsia" w:hAnsiTheme="majorHAnsi" w:cstheme="majorBidi"/>
          <w:color w:val="365F91" w:themeColor="accent1" w:themeShade="BF"/>
          <w:sz w:val="26"/>
          <w:szCs w:val="26"/>
          <w:lang w:val="en-US"/>
        </w:rPr>
      </w:pPr>
      <w:r>
        <w:rPr>
          <w:rFonts w:asciiTheme="majorHAnsi" w:eastAsiaTheme="majorEastAsia" w:hAnsiTheme="majorHAnsi" w:cstheme="majorBidi"/>
          <w:color w:val="365F91" w:themeColor="accent1" w:themeShade="BF"/>
          <w:sz w:val="26"/>
          <w:szCs w:val="26"/>
          <w:lang w:val="en-US"/>
        </w:rPr>
        <w:br w:type="page"/>
      </w:r>
    </w:p>
    <w:p w14:paraId="69E52F0F" w14:textId="77777777" w:rsidR="00B6159B" w:rsidRDefault="00803ADB" w:rsidP="00803ADB">
      <w:pPr>
        <w:pStyle w:val="Heading2"/>
        <w:rPr>
          <w:lang w:val="en-US"/>
        </w:rPr>
      </w:pPr>
      <w:r>
        <w:rPr>
          <w:lang w:val="en-US"/>
        </w:rPr>
        <w:lastRenderedPageBreak/>
        <w:t>Importance of International Trade for PepsiCo</w:t>
      </w:r>
    </w:p>
    <w:p w14:paraId="184B3642" w14:textId="77777777" w:rsidR="00803ADB" w:rsidRDefault="00803ADB">
      <w:pPr>
        <w:rPr>
          <w:lang w:val="en-US"/>
        </w:rPr>
      </w:pPr>
      <w:r>
        <w:rPr>
          <w:lang w:val="en-US"/>
        </w:rPr>
        <w:t xml:space="preserve">Being on the international markets brings benefits to the organizations in several aspects, including higher profits, stronger brand, and international prestige. Having Coca Cola as its general rival, PepsiCo has to keep up with its expansion. The main factors for international expansion are saturation on the </w:t>
      </w:r>
      <w:r w:rsidR="00B9744D">
        <w:rPr>
          <w:lang w:val="en-US"/>
        </w:rPr>
        <w:t>home</w:t>
      </w:r>
      <w:r>
        <w:rPr>
          <w:lang w:val="en-US"/>
        </w:rPr>
        <w:t xml:space="preserve"> market, </w:t>
      </w:r>
      <w:r w:rsidR="00B9744D">
        <w:rPr>
          <w:lang w:val="en-US"/>
        </w:rPr>
        <w:t xml:space="preserve">reduced opportunities on the home market, and growing opportunities on the international markets. </w:t>
      </w:r>
    </w:p>
    <w:p w14:paraId="186D4A5C" w14:textId="77777777" w:rsidR="00B9744D" w:rsidRDefault="00B9744D" w:rsidP="00B9744D">
      <w:pPr>
        <w:pStyle w:val="Heading2"/>
      </w:pPr>
      <w:r>
        <w:rPr>
          <w:lang w:val="en-US"/>
        </w:rPr>
        <w:t>A</w:t>
      </w:r>
      <w:r>
        <w:t>n international strategy PepsiCo must adopt to expand as quickly as it can in emerging markets, considering local tastes in emerging markets</w:t>
      </w:r>
    </w:p>
    <w:p w14:paraId="33CA70BB" w14:textId="77777777" w:rsidR="00BA6D25" w:rsidRDefault="00B9744D" w:rsidP="00B9744D">
      <w:pPr>
        <w:rPr>
          <w:lang w:val="en-US"/>
        </w:rPr>
      </w:pPr>
      <w:r>
        <w:rPr>
          <w:lang w:val="en-US"/>
        </w:rPr>
        <w:t xml:space="preserve">In order to move in the new market the company has to first make their researches and analysis, like the PESTLE analysis, the SWOT analysis and the Porter’s diamond model. </w:t>
      </w:r>
    </w:p>
    <w:p w14:paraId="78539072" w14:textId="77777777" w:rsidR="00B9744D" w:rsidRDefault="00BA6D25" w:rsidP="00B9744D">
      <w:pPr>
        <w:rPr>
          <w:rStyle w:val="hgkelc"/>
          <w:lang w:val="en-US"/>
        </w:rPr>
      </w:pPr>
      <w:r>
        <w:rPr>
          <w:lang w:val="en-US"/>
        </w:rPr>
        <w:t xml:space="preserve">PESTLE stands for </w:t>
      </w:r>
      <w:r>
        <w:rPr>
          <w:rStyle w:val="hgkelc"/>
        </w:rPr>
        <w:t>Political, Economic, Social, Technological, Legal and Environmental factors</w:t>
      </w:r>
      <w:r>
        <w:rPr>
          <w:rStyle w:val="hgkelc"/>
          <w:lang w:val="en-US"/>
        </w:rPr>
        <w:t>. It is very important to have all these factors in mind before moving into a new market. For example, in their African markets, where there is no infrastructure, the Coca Cola distributors are transporting the bottles by the means of the local boats, because otherwise they have no chance to deliver the Coca Cola to their customers. It is also important to adjust the drink under the national taste, e.g. the sweetness of the beverage. And there have to be made compromises, like, for example, Coca Cola had allowed in Bulgaria during the communist times that their name be written in Cyrillic alphabet.</w:t>
      </w:r>
    </w:p>
    <w:p w14:paraId="38D94F70" w14:textId="77777777" w:rsidR="00BA6D25" w:rsidRDefault="00BA6D25" w:rsidP="00B9744D">
      <w:pPr>
        <w:rPr>
          <w:rStyle w:val="hgkelc"/>
          <w:lang w:val="en-US"/>
        </w:rPr>
      </w:pPr>
      <w:r>
        <w:rPr>
          <w:rStyle w:val="hgkelc"/>
          <w:lang w:val="en-US"/>
        </w:rPr>
        <w:t>The SWOT (</w:t>
      </w:r>
      <w:r w:rsidR="00B14A42">
        <w:rPr>
          <w:rStyle w:val="hgkelc"/>
          <w:lang w:val="en-US"/>
        </w:rPr>
        <w:t>Strengths</w:t>
      </w:r>
      <w:r>
        <w:rPr>
          <w:rStyle w:val="hgkelc"/>
          <w:lang w:val="en-US"/>
        </w:rPr>
        <w:t xml:space="preserve">, Weaknesses, Opportunities, </w:t>
      </w:r>
      <w:r w:rsidR="00B14A42">
        <w:rPr>
          <w:rStyle w:val="hgkelc"/>
          <w:lang w:val="en-US"/>
        </w:rPr>
        <w:t xml:space="preserve">and Threats) </w:t>
      </w:r>
      <w:r>
        <w:rPr>
          <w:rStyle w:val="hgkelc"/>
          <w:lang w:val="en-US"/>
        </w:rPr>
        <w:t xml:space="preserve">analysis is also an important one. It shows the company where it stands, and what </w:t>
      </w:r>
      <w:r w:rsidR="00B14A42">
        <w:rPr>
          <w:rStyle w:val="hgkelc"/>
          <w:lang w:val="en-US"/>
        </w:rPr>
        <w:t xml:space="preserve">exact opportunities and threats lie ahead. </w:t>
      </w:r>
    </w:p>
    <w:p w14:paraId="03C9566E" w14:textId="77777777" w:rsidR="00B14A42" w:rsidRDefault="00B14A42" w:rsidP="00B9744D">
      <w:pPr>
        <w:rPr>
          <w:rStyle w:val="hgkelc"/>
          <w:lang w:val="en-US"/>
        </w:rPr>
      </w:pPr>
      <w:r>
        <w:rPr>
          <w:rStyle w:val="hgkelc"/>
          <w:lang w:val="en-US"/>
        </w:rPr>
        <w:t>And Porter’s Diamond Model is the preferred tool when comparing the competitiveness of a country. It is often the case that the new market be followed by a production facility. The Porter’s Diamond model can give</w:t>
      </w:r>
      <w:r w:rsidR="009C3803">
        <w:rPr>
          <w:rStyle w:val="hgkelc"/>
          <w:lang w:val="en-US"/>
        </w:rPr>
        <w:t xml:space="preserve"> PepsiCo the idea if there are sufficient conditions for such a move.</w:t>
      </w:r>
    </w:p>
    <w:p w14:paraId="5E056C29" w14:textId="77777777" w:rsidR="009C3803" w:rsidRDefault="009C3803" w:rsidP="00B9744D">
      <w:pPr>
        <w:rPr>
          <w:rStyle w:val="hgkelc"/>
          <w:lang w:val="en-US"/>
        </w:rPr>
      </w:pPr>
      <w:r>
        <w:rPr>
          <w:rStyle w:val="hgkelc"/>
          <w:lang w:val="en-US"/>
        </w:rPr>
        <w:t xml:space="preserve">Porter’s theory takes into account four conditions: </w:t>
      </w:r>
    </w:p>
    <w:p w14:paraId="11135590" w14:textId="77777777" w:rsidR="009C3803" w:rsidRDefault="009C3803" w:rsidP="009C3803">
      <w:pPr>
        <w:pStyle w:val="ListParagraph"/>
        <w:numPr>
          <w:ilvl w:val="0"/>
          <w:numId w:val="1"/>
        </w:numPr>
        <w:rPr>
          <w:rStyle w:val="hgkelc"/>
          <w:lang w:val="en-US"/>
        </w:rPr>
      </w:pPr>
      <w:r w:rsidRPr="009C3803">
        <w:rPr>
          <w:rStyle w:val="hgkelc"/>
          <w:lang w:val="en-US"/>
        </w:rPr>
        <w:t>Factor conditions – related to the infrastructure and the capabilities of the company to perform its activities</w:t>
      </w:r>
    </w:p>
    <w:p w14:paraId="2DC621AC" w14:textId="77777777" w:rsidR="009C3803" w:rsidRDefault="009C3803" w:rsidP="009C3803">
      <w:pPr>
        <w:pStyle w:val="ListParagraph"/>
        <w:numPr>
          <w:ilvl w:val="0"/>
          <w:numId w:val="1"/>
        </w:numPr>
        <w:autoSpaceDE w:val="0"/>
        <w:autoSpaceDN w:val="0"/>
        <w:adjustRightInd w:val="0"/>
        <w:spacing w:after="0" w:line="240" w:lineRule="auto"/>
        <w:rPr>
          <w:rStyle w:val="hgkelc"/>
          <w:lang w:val="en-US"/>
        </w:rPr>
      </w:pPr>
      <w:r w:rsidRPr="009C3803">
        <w:rPr>
          <w:rStyle w:val="hgkelc"/>
          <w:lang w:val="en-US"/>
        </w:rPr>
        <w:t>Demand conditions – the demand in the international market is another factor that plays a big role in the competitiveness of a country. Porter argues that it is not only the demand size that matters, but also the sophistication of the buyers in the country (Smith, 2010).</w:t>
      </w:r>
    </w:p>
    <w:p w14:paraId="25068B58" w14:textId="77777777" w:rsidR="009C3803" w:rsidRDefault="009C3803" w:rsidP="009C3803">
      <w:pPr>
        <w:pStyle w:val="ListParagraph"/>
        <w:numPr>
          <w:ilvl w:val="0"/>
          <w:numId w:val="1"/>
        </w:numPr>
        <w:autoSpaceDE w:val="0"/>
        <w:autoSpaceDN w:val="0"/>
        <w:adjustRightInd w:val="0"/>
        <w:spacing w:after="0" w:line="240" w:lineRule="auto"/>
        <w:rPr>
          <w:rStyle w:val="hgkelc"/>
          <w:lang w:val="en-US"/>
        </w:rPr>
      </w:pPr>
      <w:r>
        <w:rPr>
          <w:rStyle w:val="hgkelc"/>
          <w:lang w:val="en-US"/>
        </w:rPr>
        <w:t xml:space="preserve">Firm strategy, structure and rivalry </w:t>
      </w:r>
      <w:r w:rsidR="00727918">
        <w:rPr>
          <w:rStyle w:val="hgkelc"/>
          <w:lang w:val="en-US"/>
        </w:rPr>
        <w:t>–</w:t>
      </w:r>
      <w:r>
        <w:rPr>
          <w:rStyle w:val="hgkelc"/>
          <w:lang w:val="en-US"/>
        </w:rPr>
        <w:t xml:space="preserve"> </w:t>
      </w:r>
      <w:r w:rsidR="00727918">
        <w:rPr>
          <w:rStyle w:val="hgkelc"/>
          <w:lang w:val="en-US"/>
        </w:rPr>
        <w:t xml:space="preserve">the company structure and strategy strongly rely on the environment in the given country, and there are systematic differences between the </w:t>
      </w:r>
      <w:proofErr w:type="gramStart"/>
      <w:r w:rsidR="00727918">
        <w:rPr>
          <w:rStyle w:val="hgkelc"/>
          <w:lang w:val="en-US"/>
        </w:rPr>
        <w:t>way</w:t>
      </w:r>
      <w:proofErr w:type="gramEnd"/>
      <w:r w:rsidR="00727918">
        <w:rPr>
          <w:rStyle w:val="hgkelc"/>
          <w:lang w:val="en-US"/>
        </w:rPr>
        <w:t xml:space="preserve"> companies compete in one and the same sector in two different countries </w:t>
      </w:r>
      <w:r w:rsidR="00727918" w:rsidRPr="009C3803">
        <w:rPr>
          <w:rStyle w:val="hgkelc"/>
          <w:lang w:val="en-US"/>
        </w:rPr>
        <w:t>(Smith, 2010).</w:t>
      </w:r>
    </w:p>
    <w:p w14:paraId="071C69DE" w14:textId="77777777" w:rsidR="00727918" w:rsidRDefault="00727918" w:rsidP="009C3803">
      <w:pPr>
        <w:pStyle w:val="ListParagraph"/>
        <w:numPr>
          <w:ilvl w:val="0"/>
          <w:numId w:val="1"/>
        </w:numPr>
        <w:autoSpaceDE w:val="0"/>
        <w:autoSpaceDN w:val="0"/>
        <w:adjustRightInd w:val="0"/>
        <w:spacing w:after="0" w:line="240" w:lineRule="auto"/>
        <w:rPr>
          <w:rStyle w:val="hgkelc"/>
          <w:lang w:val="en-US"/>
        </w:rPr>
      </w:pPr>
      <w:r>
        <w:rPr>
          <w:rStyle w:val="hgkelc"/>
          <w:lang w:val="en-US"/>
        </w:rPr>
        <w:t xml:space="preserve">Related and support industries – I will pass a straight example here – in Turkey, </w:t>
      </w:r>
      <w:proofErr w:type="spellStart"/>
      <w:r>
        <w:rPr>
          <w:rStyle w:val="hgkelc"/>
          <w:lang w:val="en-US"/>
        </w:rPr>
        <w:t>Tuborg</w:t>
      </w:r>
      <w:proofErr w:type="spellEnd"/>
      <w:r>
        <w:rPr>
          <w:rStyle w:val="hgkelc"/>
          <w:lang w:val="en-US"/>
        </w:rPr>
        <w:t xml:space="preserve">, Coca Cola, Pepsi, Stella </w:t>
      </w:r>
      <w:proofErr w:type="spellStart"/>
      <w:r>
        <w:rPr>
          <w:rStyle w:val="hgkelc"/>
          <w:lang w:val="en-US"/>
        </w:rPr>
        <w:t>Artuis</w:t>
      </w:r>
      <w:proofErr w:type="spellEnd"/>
      <w:r>
        <w:rPr>
          <w:rStyle w:val="hgkelc"/>
          <w:lang w:val="en-US"/>
        </w:rPr>
        <w:t xml:space="preserve">, </w:t>
      </w:r>
      <w:proofErr w:type="spellStart"/>
      <w:r>
        <w:rPr>
          <w:rStyle w:val="hgkelc"/>
          <w:lang w:val="en-US"/>
        </w:rPr>
        <w:t>Mirinda</w:t>
      </w:r>
      <w:proofErr w:type="spellEnd"/>
      <w:r>
        <w:rPr>
          <w:rStyle w:val="hgkelc"/>
          <w:lang w:val="en-US"/>
        </w:rPr>
        <w:t xml:space="preserve"> and many other brands are produced by one and the same company.</w:t>
      </w:r>
    </w:p>
    <w:p w14:paraId="68161448" w14:textId="77777777" w:rsidR="00727918" w:rsidRDefault="006B0CD6" w:rsidP="00727918">
      <w:pPr>
        <w:autoSpaceDE w:val="0"/>
        <w:autoSpaceDN w:val="0"/>
        <w:adjustRightInd w:val="0"/>
        <w:spacing w:after="0" w:line="240" w:lineRule="auto"/>
        <w:rPr>
          <w:rStyle w:val="hgkelc"/>
          <w:lang w:val="en-US"/>
        </w:rPr>
      </w:pPr>
      <w:r>
        <w:rPr>
          <w:rStyle w:val="hgkelc"/>
          <w:lang w:val="en-US"/>
        </w:rPr>
        <w:t>Having made all these analyses, PepsiCo can build their strategy of entering the new international markets.</w:t>
      </w:r>
    </w:p>
    <w:p w14:paraId="3214F58F" w14:textId="77777777" w:rsidR="006B0CD6" w:rsidRDefault="006B0CD6" w:rsidP="00727918">
      <w:pPr>
        <w:autoSpaceDE w:val="0"/>
        <w:autoSpaceDN w:val="0"/>
        <w:adjustRightInd w:val="0"/>
        <w:spacing w:after="0" w:line="240" w:lineRule="auto"/>
        <w:rPr>
          <w:rStyle w:val="hgkelc"/>
          <w:lang w:val="en-US"/>
        </w:rPr>
      </w:pPr>
    </w:p>
    <w:p w14:paraId="691D3BE6" w14:textId="77777777" w:rsidR="006B0CD6" w:rsidRDefault="006B0CD6" w:rsidP="006B0CD6">
      <w:pPr>
        <w:pStyle w:val="Heading2"/>
      </w:pPr>
      <w:r>
        <w:t>Using examples of two products, explain Elasticity of Demand</w:t>
      </w:r>
    </w:p>
    <w:p w14:paraId="218FD54D" w14:textId="77777777" w:rsidR="00D46D0A" w:rsidRDefault="006B0CD6" w:rsidP="006B0CD6">
      <w:pPr>
        <w:rPr>
          <w:lang w:val="en-US"/>
        </w:rPr>
      </w:pPr>
      <w:r>
        <w:rPr>
          <w:lang w:val="en-US"/>
        </w:rPr>
        <w:t>Elasticity of demand is the responsiveness of the demand to price changes</w:t>
      </w:r>
      <w:r w:rsidR="00D46D0A">
        <w:rPr>
          <w:lang w:val="en-US"/>
        </w:rPr>
        <w:t>.</w:t>
      </w:r>
    </w:p>
    <w:p w14:paraId="25F6B049" w14:textId="77777777" w:rsidR="00D46D0A" w:rsidRDefault="00D46D0A" w:rsidP="006B0CD6">
      <w:pPr>
        <w:rPr>
          <w:lang w:val="en-US"/>
        </w:rPr>
      </w:pPr>
      <w:r>
        <w:rPr>
          <w:lang w:val="en-US"/>
        </w:rPr>
        <w:t>In this sense products are elastic and inelastic,</w:t>
      </w:r>
      <w:r w:rsidR="006B0CD6">
        <w:rPr>
          <w:lang w:val="en-US"/>
        </w:rPr>
        <w:t xml:space="preserve"> i.e. if the price of a certain product drops, then the demand should grow. This defines a price-elastic product. And, when, on the contrary</w:t>
      </w:r>
      <w:r>
        <w:rPr>
          <w:lang w:val="en-US"/>
        </w:rPr>
        <w:t xml:space="preserve">, the price rises, </w:t>
      </w:r>
      <w:r>
        <w:rPr>
          <w:lang w:val="en-US"/>
        </w:rPr>
        <w:lastRenderedPageBreak/>
        <w:t>the demand drops. The price-inelastic product is defined by no change in the demand when price fluctuations.</w:t>
      </w:r>
    </w:p>
    <w:p w14:paraId="03D594AC" w14:textId="77777777" w:rsidR="00D46D0A" w:rsidRDefault="00D46D0A" w:rsidP="006B0CD6">
      <w:pPr>
        <w:rPr>
          <w:lang w:val="en-US"/>
        </w:rPr>
      </w:pPr>
      <w:r>
        <w:rPr>
          <w:lang w:val="en-US"/>
        </w:rPr>
        <w:t>A typical example of a price-inelastic product in the short term is the crude oil (Cooper, 20</w:t>
      </w:r>
      <w:r w:rsidR="008A0F61">
        <w:rPr>
          <w:lang w:val="en-US"/>
        </w:rPr>
        <w:t>0</w:t>
      </w:r>
      <w:r>
        <w:rPr>
          <w:lang w:val="en-US"/>
        </w:rPr>
        <w:t>3).</w:t>
      </w:r>
    </w:p>
    <w:p w14:paraId="33B54E25" w14:textId="77777777" w:rsidR="00D46D0A" w:rsidRDefault="00D87671" w:rsidP="006B0CD6">
      <w:pPr>
        <w:rPr>
          <w:lang w:val="en-US"/>
        </w:rPr>
      </w:pPr>
      <w:r>
        <w:rPr>
          <w:lang w:val="en-US"/>
        </w:rPr>
        <w:t xml:space="preserve">A price elastic product on the other hand is Lexus with their sports car from the end of the 2000’s. </w:t>
      </w:r>
      <w:proofErr w:type="gramStart"/>
      <w:r>
        <w:rPr>
          <w:lang w:val="en-US"/>
        </w:rPr>
        <w:t>the</w:t>
      </w:r>
      <w:proofErr w:type="gramEnd"/>
      <w:r>
        <w:rPr>
          <w:lang w:val="en-US"/>
        </w:rPr>
        <w:t xml:space="preserve"> model was initiated in 8 years before the start of production and was an absolute perfection in technical and dynamical sense, but it was at a price of £250 000 and therefore the demand was diverted to brands like </w:t>
      </w:r>
      <w:proofErr w:type="spellStart"/>
      <w:r>
        <w:rPr>
          <w:lang w:val="en-US"/>
        </w:rPr>
        <w:t>Astom</w:t>
      </w:r>
      <w:proofErr w:type="spellEnd"/>
      <w:r>
        <w:rPr>
          <w:lang w:val="en-US"/>
        </w:rPr>
        <w:t xml:space="preserve"> Martin and </w:t>
      </w:r>
      <w:proofErr w:type="spellStart"/>
      <w:r>
        <w:rPr>
          <w:lang w:val="en-US"/>
        </w:rPr>
        <w:t>Porshe</w:t>
      </w:r>
      <w:proofErr w:type="spellEnd"/>
      <w:r>
        <w:rPr>
          <w:lang w:val="en-US"/>
        </w:rPr>
        <w:t>.</w:t>
      </w:r>
    </w:p>
    <w:p w14:paraId="4D83BC1B" w14:textId="77777777" w:rsidR="008A0F61" w:rsidRDefault="008A0F61" w:rsidP="008A0F61">
      <w:pPr>
        <w:pStyle w:val="Heading2"/>
      </w:pPr>
      <w:r>
        <w:t>(b) Consider the market for a particular brand of bread which is sold in almost all the major supermarket stores in the UK. Assume that the Consumer Protection Association issues a warning that the particular brand of bread is not good for the health of the people. With all factors remaining the same, discuss what will happen to the Demand and Supply of the bread. – 20 marks [LO4]</w:t>
      </w:r>
    </w:p>
    <w:p w14:paraId="51D42968" w14:textId="77777777" w:rsidR="008A0F61" w:rsidRDefault="008A0F61" w:rsidP="006B0CD6">
      <w:pPr>
        <w:rPr>
          <w:lang w:val="en-US"/>
        </w:rPr>
      </w:pPr>
    </w:p>
    <w:p w14:paraId="53454D34" w14:textId="77777777" w:rsidR="00D46D0A" w:rsidRDefault="00D46D0A" w:rsidP="006B0CD6">
      <w:r>
        <w:t xml:space="preserve">Cooper, J.C. (2003), Price elasticity of demand for crude oil: estimates for 23 countries. OPEC Review, 27: 1-8. </w:t>
      </w:r>
      <w:hyperlink r:id="rId8" w:history="1">
        <w:r>
          <w:rPr>
            <w:rStyle w:val="Hyperlink"/>
          </w:rPr>
          <w:t>https://doi.org/10.1111/1468-0076.00121</w:t>
        </w:r>
      </w:hyperlink>
    </w:p>
    <w:p w14:paraId="24AF963D" w14:textId="77777777" w:rsidR="008A0F61" w:rsidRPr="008A0F61" w:rsidRDefault="008A0F61" w:rsidP="008A0F61">
      <w:r w:rsidRPr="008A0F61">
        <w:t>Smith, A. (2010). The competitive advantage of nations: is Porter’s Diamond Framework a new theory that explains the international competitiveness of countries?, Southern African Business Review</w:t>
      </w:r>
      <w:r>
        <w:rPr>
          <w:lang w:val="en-US"/>
        </w:rPr>
        <w:t>,</w:t>
      </w:r>
      <w:bookmarkStart w:id="0" w:name="_GoBack"/>
      <w:bookmarkEnd w:id="0"/>
      <w:r w:rsidRPr="008A0F61">
        <w:t xml:space="preserve"> Volume 14</w:t>
      </w:r>
      <w:r>
        <w:rPr>
          <w:lang w:val="en-US"/>
        </w:rPr>
        <w:t>,</w:t>
      </w:r>
      <w:r w:rsidRPr="008A0F61">
        <w:t xml:space="preserve"> Number 1</w:t>
      </w:r>
      <w:r>
        <w:rPr>
          <w:lang w:val="en-US"/>
        </w:rPr>
        <w:t>,</w:t>
      </w:r>
      <w:r w:rsidRPr="008A0F61">
        <w:t xml:space="preserve"> 2010</w:t>
      </w:r>
    </w:p>
    <w:sectPr w:rsidR="008A0F61" w:rsidRPr="008A0F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54AA"/>
    <w:multiLevelType w:val="hybridMultilevel"/>
    <w:tmpl w:val="6DE2D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A491B"/>
    <w:multiLevelType w:val="hybridMultilevel"/>
    <w:tmpl w:val="6DE2D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ADB"/>
    <w:rsid w:val="006B0CD6"/>
    <w:rsid w:val="00727918"/>
    <w:rsid w:val="00803ADB"/>
    <w:rsid w:val="008A0F61"/>
    <w:rsid w:val="009C3803"/>
    <w:rsid w:val="00B14A42"/>
    <w:rsid w:val="00B6159B"/>
    <w:rsid w:val="00B9744D"/>
    <w:rsid w:val="00BA6D25"/>
    <w:rsid w:val="00D46D0A"/>
    <w:rsid w:val="00D8767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9F2E7"/>
  <w15:chartTrackingRefBased/>
  <w15:docId w15:val="{E96C9C76-C3D9-4BB9-85DB-1D8EA2983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03A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3ADB"/>
    <w:rPr>
      <w:rFonts w:asciiTheme="majorHAnsi" w:eastAsiaTheme="majorEastAsia" w:hAnsiTheme="majorHAnsi" w:cstheme="majorBidi"/>
      <w:color w:val="365F91" w:themeColor="accent1" w:themeShade="BF"/>
      <w:sz w:val="26"/>
      <w:szCs w:val="26"/>
    </w:rPr>
  </w:style>
  <w:style w:type="character" w:customStyle="1" w:styleId="hgkelc">
    <w:name w:val="hgkelc"/>
    <w:basedOn w:val="DefaultParagraphFont"/>
    <w:rsid w:val="00BA6D25"/>
  </w:style>
  <w:style w:type="paragraph" w:styleId="ListParagraph">
    <w:name w:val="List Paragraph"/>
    <w:basedOn w:val="Normal"/>
    <w:uiPriority w:val="34"/>
    <w:qFormat/>
    <w:rsid w:val="009C3803"/>
    <w:pPr>
      <w:ind w:left="720"/>
      <w:contextualSpacing/>
    </w:pPr>
  </w:style>
  <w:style w:type="character" w:styleId="Hyperlink">
    <w:name w:val="Hyperlink"/>
    <w:basedOn w:val="DefaultParagraphFont"/>
    <w:uiPriority w:val="99"/>
    <w:semiHidden/>
    <w:unhideWhenUsed/>
    <w:rsid w:val="00D46D0A"/>
    <w:rPr>
      <w:color w:val="0000FF"/>
      <w:u w:val="single"/>
    </w:rPr>
  </w:style>
  <w:style w:type="paragraph" w:styleId="NormalWeb">
    <w:name w:val="Normal (Web)"/>
    <w:basedOn w:val="Normal"/>
    <w:uiPriority w:val="99"/>
    <w:semiHidden/>
    <w:unhideWhenUsed/>
    <w:rsid w:val="008A0F6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468-0076.00121"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79070f43ae9af9b22ca554c745ff5234">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5219607d5a5c585a68483ca5e16e6324"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9D4EFC-2AE0-4135-BE54-306E16D91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A770D0-672F-4CA1-8091-6065BC7D0E73}">
  <ds:schemaRefs>
    <ds:schemaRef ds:uri="http://schemas.microsoft.com/sharepoint/v3/contenttype/forms"/>
  </ds:schemaRefs>
</ds:datastoreItem>
</file>

<file path=customXml/itemProps3.xml><?xml version="1.0" encoding="utf-8"?>
<ds:datastoreItem xmlns:ds="http://schemas.openxmlformats.org/officeDocument/2006/customXml" ds:itemID="{8AF89D9B-D7CB-4969-8A18-72D38A3C7213}">
  <ds:schemaRefs>
    <ds:schemaRef ds:uri="http://www.w3.org/XML/1998/namespace"/>
    <ds:schemaRef ds:uri="http://schemas.microsoft.com/office/infopath/2007/PartnerControls"/>
    <ds:schemaRef ds:uri="http://purl.org/dc/elements/1.1/"/>
    <ds:schemaRef ds:uri="http://purl.org/dc/terms/"/>
    <ds:schemaRef ds:uri="http://purl.org/dc/dcmitype/"/>
    <ds:schemaRef ds:uri="6b5bd684-8631-4d35-bdcf-c9e38c7d488d"/>
    <ds:schemaRef ds:uri="http://schemas.microsoft.com/office/2006/documentManagement/types"/>
    <ds:schemaRef ds:uri="http://schemas.openxmlformats.org/package/2006/metadata/core-properties"/>
    <ds:schemaRef ds:uri="37708af0-49d6-4626-adf7-ee8f7f4cc1b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cp:lastModifiedBy>
  <cp:revision>1</cp:revision>
  <dcterms:created xsi:type="dcterms:W3CDTF">2021-12-02T10:24:00Z</dcterms:created>
  <dcterms:modified xsi:type="dcterms:W3CDTF">2021-12-02T12:33:00Z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