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1CF1D6" w14:textId="3703AD6C" w:rsidR="0080337A" w:rsidRDefault="00493E32">
      <w:r>
        <w:t>Criminal law 2</w:t>
      </w:r>
    </w:p>
    <w:p w14:paraId="3F098A86" w14:textId="24B7AA6A" w:rsidR="00493E32" w:rsidRDefault="00493E32">
      <w:r>
        <w:t>1500 words</w:t>
      </w:r>
    </w:p>
    <w:p w14:paraId="0DF42586" w14:textId="77777777" w:rsidR="00E60E79" w:rsidRDefault="00E60E79" w:rsidP="00E60E79">
      <w:r>
        <w:t>Introduction</w:t>
      </w:r>
    </w:p>
    <w:p w14:paraId="431B3962" w14:textId="77777777" w:rsidR="00145A08" w:rsidRDefault="00145A08" w:rsidP="00145A08">
      <w:r>
        <w:t>Murder in England and Wales is a common law offence. It is defined as the illegal killing of a human being with malice aforethought in the peace of the King (Coke, 1797). It is the highest tier of the larger homicide category. Homicide includes all unlawful killings. This covers voluntary manslaughter (based on loss of control and diminished responsibility under the Coroners and Justice Act 2009), involuntary manslaughter, and infanticide.</w:t>
      </w:r>
    </w:p>
    <w:p w14:paraId="06754C62" w14:textId="77777777" w:rsidR="00145A08" w:rsidRDefault="00145A08" w:rsidP="00145A08">
      <w:r>
        <w:t xml:space="preserve">A conviction of murder attracts an obligatory life term by the Murder (Abolition of Death Penalty) Act 1965. The judge fixes a minimum term (tariff) in Schedule 21 to the Sentencing Code. This essay contends that there should be massive reform in the law. The inflexible compulsory life sentence, the excessive broadness of the </w:t>
      </w:r>
      <w:proofErr w:type="spellStart"/>
      <w:r>
        <w:t>mens</w:t>
      </w:r>
      <w:proofErr w:type="spellEnd"/>
      <w:r>
        <w:t xml:space="preserve"> rea, and the strict division of murder and manslaughter do not match the different levels of blame in real cases. Recent events such as the 2024 zombie knife ban and the homicide review still in progress by the Law Commission, combined with historical trends of public worry about knife crime, suggest the need for a graduated ladder of offences. This is the only way to achieve fair labelling, fair punishment, and public trust (Law Commission, 2006; 2025).</w:t>
      </w:r>
    </w:p>
    <w:p w14:paraId="5CFFEEAB" w14:textId="77777777" w:rsidR="00145A08" w:rsidRDefault="00145A08" w:rsidP="00145A08">
      <w:r>
        <w:t>Key Elements of the Offence</w:t>
      </w:r>
    </w:p>
    <w:p w14:paraId="6173F042" w14:textId="77777777" w:rsidR="00145A08" w:rsidRDefault="00145A08" w:rsidP="00145A08">
      <w:r>
        <w:t xml:space="preserve">The actus reus must be causative of death. The defendant’s act needs to be a material and operating cause of the death (R v White [1910] 2 KB 124; R v Pagett (1983) 76 Cr App R 279). The victim must be a reasonable creature in existence – a human who was born alive and </w:t>
      </w:r>
      <w:proofErr w:type="gramStart"/>
      <w:r>
        <w:t>is in a position to</w:t>
      </w:r>
      <w:proofErr w:type="gramEnd"/>
      <w:r>
        <w:t xml:space="preserve"> exist independently.</w:t>
      </w:r>
    </w:p>
    <w:p w14:paraId="37D50186" w14:textId="77777777" w:rsidR="00145A08" w:rsidRDefault="00145A08" w:rsidP="00145A08">
      <w:proofErr w:type="spellStart"/>
      <w:r>
        <w:t>Mens</w:t>
      </w:r>
      <w:proofErr w:type="spellEnd"/>
      <w:r>
        <w:t xml:space="preserve"> rea is malice aforethought. It includes (</w:t>
      </w:r>
      <w:proofErr w:type="spellStart"/>
      <w:r>
        <w:t>i</w:t>
      </w:r>
      <w:proofErr w:type="spellEnd"/>
      <w:r>
        <w:t xml:space="preserve">) intent to kill or cause grievous bodily harm (GBH), which is virtually certain and truly recognised by the defendant (R v Vickers [1957] 2 QB 664), and (ii) oblique intention where death or GBH is virtually certain and the defendant understood this (R v </w:t>
      </w:r>
      <w:proofErr w:type="spellStart"/>
      <w:r>
        <w:t>Woollin</w:t>
      </w:r>
      <w:proofErr w:type="spellEnd"/>
      <w:r>
        <w:t xml:space="preserve"> [1999] 1 AC 82). The rule of GBH is very controversial. R v Cunningham [1982] AC 566 holds that intent to cause </w:t>
      </w:r>
      <w:proofErr w:type="gramStart"/>
      <w:r>
        <w:t>really serious</w:t>
      </w:r>
      <w:proofErr w:type="gramEnd"/>
      <w:r>
        <w:t xml:space="preserve"> harm is enough to constitute murder, even without any thought of death. Any partial defences can lower the liability to manslaughter, but the structure of the offence still treats all murders the same at the labelling stage.</w:t>
      </w:r>
    </w:p>
    <w:p w14:paraId="01A83A97" w14:textId="77777777" w:rsidR="00145A08" w:rsidRDefault="00145A08" w:rsidP="00145A08">
      <w:r>
        <w:t>Issues with the Current Law on Murder</w:t>
      </w:r>
    </w:p>
    <w:p w14:paraId="2DDC5C38" w14:textId="77777777" w:rsidR="00145A08" w:rsidRDefault="00145A08" w:rsidP="00145A08">
      <w:r>
        <w:t>The most criticised aspect is the mandatory life sentence. There is no discretion for the judges. They must give a life sentence even in low-culpability cases like mercy killings or unthought actions by young criminals. This is unlike other serious crimes. The starting points of 15, 25 or 30 years (or whole life) on aggravating factors are set out in Schedule 21. But the label of life sentence has a disproportionate effect on offenders (</w:t>
      </w:r>
      <w:proofErr w:type="gramStart"/>
      <w:r>
        <w:t>Fitz-Gibbon</w:t>
      </w:r>
      <w:proofErr w:type="gramEnd"/>
      <w:r>
        <w:t>, 2013). This rigidity disregards the individual circumstances and goes against the principles of proportionality and rehabilitation in sentencing (Sentencing Council, 2023). Critics claim it is a political response to public outrage rather than a fair response based on culpability (Prison Reform Trust, 2025).</w:t>
      </w:r>
    </w:p>
    <w:p w14:paraId="79CA8E02" w14:textId="66F0CEF8" w:rsidR="00145A08" w:rsidRDefault="00145A08" w:rsidP="00145A08">
      <w:r>
        <w:t xml:space="preserve">The second defect is the scope of the GBH rule. Murders through one punch or even a small attack can be considered murder if serious harm was intended, even though death was not well anticipated (Law Commission, </w:t>
      </w:r>
      <w:proofErr w:type="gramStart"/>
      <w:r>
        <w:t>2006</w:t>
      </w:r>
      <w:r w:rsidR="003E5673">
        <w:t>,pp</w:t>
      </w:r>
      <w:r w:rsidR="00EB6033">
        <w:t>.</w:t>
      </w:r>
      <w:proofErr w:type="gramEnd"/>
      <w:r w:rsidR="00EB6033">
        <w:t>48-65</w:t>
      </w:r>
      <w:r>
        <w:t xml:space="preserve">). It is unclear where the line is drawn between </w:t>
      </w:r>
      <w:r>
        <w:lastRenderedPageBreak/>
        <w:t>manslaughter and murder. Criminals unnecessarily face over-criminalisation, especially in knife crime cases where any chance of intention of harm can lead to uncontrollable escalation. The dichotomous nature of homicide also contributes to this. There is no in-between position between intentional killing and manslaughter despite the varying degrees of blame (for example, second-degree murders that are reckless but with knowledge of the danger). The 2009 Act partial defences are strictly interpreted and are inconsistently applied, particularly when it comes to cases dealing with domestic abuse or involving a young person (Law Commission, 2025).</w:t>
      </w:r>
    </w:p>
    <w:p w14:paraId="6AB6DADF" w14:textId="77777777" w:rsidR="00145A08" w:rsidRDefault="00145A08" w:rsidP="00145A08">
      <w:r>
        <w:t>Knife Crime and Recent Developments</w:t>
      </w:r>
    </w:p>
    <w:p w14:paraId="03F79414" w14:textId="6EA4E17E" w:rsidR="00145A08" w:rsidRDefault="00145A08" w:rsidP="00145A08">
      <w:r>
        <w:t xml:space="preserve">A modern view is through knife crime. In the year ending September 2025, although offences involving a knife or sharp instrument recorded by the police have declined 9% to 50,430 and knife homicides have also decreased 23% to 174, this is still a decline. However, people have been pushing up their perceptions of a growing epidemic. This is driven by high-profile youth violence (Office for National Statistics, </w:t>
      </w:r>
      <w:proofErr w:type="gramStart"/>
      <w:r>
        <w:t>2025</w:t>
      </w:r>
      <w:r w:rsidR="00496ADB">
        <w:t>,pp</w:t>
      </w:r>
      <w:proofErr w:type="gramEnd"/>
      <w:r w:rsidR="00496ADB">
        <w:t>,8-11</w:t>
      </w:r>
      <w:r>
        <w:t>). Blunt objects are used in about 46% of the murders (Home Office, 2025).</w:t>
      </w:r>
    </w:p>
    <w:p w14:paraId="4BF8686E" w14:textId="11F58F62" w:rsidR="00145A08" w:rsidRDefault="00145A08" w:rsidP="00145A08">
      <w:r>
        <w:t>The government reacted by the Criminal Justice Act 1988 (Offensive Weapons) (Amendment, Surrender and Compensation) Order 2024. This prohibited the possession, sale, and manufacture of so-called zombie knives and machetes from 24 September 2024. Although it is symbolic, the ban does not deal with intent, socio-economic aspects, or gang culture as root causes. It points at the fact that the reactive weapon laws urge the homicide law to fail in distinguishing between impulsive murders with knives and planned murders. This makes people lose trust in these statistics. When in the media, people are led to believe that there is a crisis (Youth Endowment Fund, 2025</w:t>
      </w:r>
      <w:r w:rsidR="00496ADB">
        <w:t>, pp</w:t>
      </w:r>
      <w:r w:rsidR="00041A43">
        <w:t>,7-14</w:t>
      </w:r>
      <w:r>
        <w:t>).</w:t>
      </w:r>
    </w:p>
    <w:p w14:paraId="13CB2166" w14:textId="77777777" w:rsidR="00145A08" w:rsidRDefault="00145A08" w:rsidP="00145A08">
      <w:r>
        <w:t xml:space="preserve">Such problems go against fair labelling. The law only legally differentiates between killings in one offence that are morally different. This is against the principles of modern criminal law (Ashworth and </w:t>
      </w:r>
      <w:proofErr w:type="spellStart"/>
      <w:r>
        <w:t>Horder</w:t>
      </w:r>
      <w:proofErr w:type="spellEnd"/>
      <w:r>
        <w:t xml:space="preserve">, 2024). The paradigm, which has remained </w:t>
      </w:r>
      <w:proofErr w:type="gramStart"/>
      <w:r>
        <w:t>more or less the</w:t>
      </w:r>
      <w:proofErr w:type="gramEnd"/>
      <w:r>
        <w:t xml:space="preserve"> same since the 17th century, seems obsolete in the wake of changing perceptions of guilt, mental illness and juvenile delinquency.</w:t>
      </w:r>
    </w:p>
    <w:p w14:paraId="72CD0CEF" w14:textId="77777777" w:rsidR="00145A08" w:rsidRDefault="00145A08" w:rsidP="00145A08">
      <w:r>
        <w:t>Key Case Law</w:t>
      </w:r>
    </w:p>
    <w:p w14:paraId="3F762695" w14:textId="27864E62" w:rsidR="00145A08" w:rsidRDefault="00145A08" w:rsidP="00145A08">
      <w:r>
        <w:t xml:space="preserve">Case law illustrates these defects. </w:t>
      </w:r>
      <w:proofErr w:type="gramStart"/>
      <w:r>
        <w:t>In</w:t>
      </w:r>
      <w:r w:rsidR="005430B0">
        <w:t>(</w:t>
      </w:r>
      <w:r>
        <w:t xml:space="preserve"> R</w:t>
      </w:r>
      <w:proofErr w:type="gramEnd"/>
      <w:r>
        <w:t xml:space="preserve"> v </w:t>
      </w:r>
      <w:proofErr w:type="spellStart"/>
      <w:r>
        <w:t>Woollin</w:t>
      </w:r>
      <w:proofErr w:type="spellEnd"/>
      <w:r>
        <w:t xml:space="preserve"> [1999] 1 AC </w:t>
      </w:r>
      <w:proofErr w:type="gramStart"/>
      <w:r>
        <w:t>82,</w:t>
      </w:r>
      <w:r w:rsidR="0008703B">
        <w:t>pp.</w:t>
      </w:r>
      <w:proofErr w:type="gramEnd"/>
      <w:r w:rsidR="00DA3B1C">
        <w:t>90-96</w:t>
      </w:r>
      <w:r w:rsidR="0008703B">
        <w:t>)</w:t>
      </w:r>
      <w:r>
        <w:t xml:space="preserve"> the House of Lords refined oblique intention. They directed juries that they may find intention where death or GBH was a virtual certainty and the defendant appreciated this. The case involved a father who threw his baby in anger. He did not want to kill the child, but the injury caused death. The House of Lords said the old “substantial risk” direction was wrong. Instead, juries should only find intention if the defendant knew death or serious harm was a virtual certainty. This decision is important because it tries to separate true intention from recklessness. However, </w:t>
      </w:r>
      <w:proofErr w:type="spellStart"/>
      <w:r>
        <w:t>Woollin</w:t>
      </w:r>
      <w:proofErr w:type="spellEnd"/>
      <w:r>
        <w:t xml:space="preserve"> still shows the problems with the wide GBH rule and the difficulties in directing juries clearly in murder cases. R v Cunningham [1982] AC 566 confirmed that intent to cause GBH alone suffices for murder. This is a rule the Law Commission (2006) condemned as “out of date and illogical” because it captures killings far removed from the paradigm of intentional homicide. Partial defence cases, such as those interpreting loss of control (R v Clinton [2012] EWCA Crim 2), further reveal narrow application, often failing vulnerable defendants in knife-related domestic or street violence contexts.</w:t>
      </w:r>
    </w:p>
    <w:p w14:paraId="32B3026A" w14:textId="77777777" w:rsidR="00145A08" w:rsidRDefault="00145A08" w:rsidP="00145A08">
      <w:r>
        <w:t>Reform Suggestions</w:t>
      </w:r>
    </w:p>
    <w:p w14:paraId="18705FA5" w14:textId="5E4F84D7" w:rsidR="00145A08" w:rsidRDefault="00145A08" w:rsidP="00145A08">
      <w:r>
        <w:lastRenderedPageBreak/>
        <w:t xml:space="preserve">The Law Commission’s 2006 recommendations (updated via its 2025 call for evidence) provide a compelling blueprint. It proposed a three-tier structure: (1) first-degree murder (intention to kill or intention to cause serious injury with awareness of serious risk of death) retaining the mandatory life sentence; (2) second-degree murder (other cases currently amounting to murder, or first-degree reduced by partial defences) with discretionary life; and (3) manslaughter (discretionary). This “ladder” would improve fair labelling and proportionality while preserving deterrence for the gravest cases (Law Commission, </w:t>
      </w:r>
      <w:proofErr w:type="gramStart"/>
      <w:r>
        <w:t>2006</w:t>
      </w:r>
      <w:r w:rsidR="003B1A06">
        <w:t>,pp.</w:t>
      </w:r>
      <w:proofErr w:type="gramEnd"/>
      <w:r w:rsidR="003B1A06">
        <w:t>48-65</w:t>
      </w:r>
      <w:r>
        <w:t xml:space="preserve">). The Prison Reform Trust endorses the model in principle but cautions against implementation risks. It urges safeguards for marginalised groups and reversal of sentence inflation (Prison Reform Trust, </w:t>
      </w:r>
      <w:proofErr w:type="gramStart"/>
      <w:r>
        <w:t>2025</w:t>
      </w:r>
      <w:r w:rsidR="003B1A06">
        <w:t xml:space="preserve"> </w:t>
      </w:r>
      <w:r w:rsidR="009F3EE6">
        <w:t>,</w:t>
      </w:r>
      <w:proofErr w:type="gramEnd"/>
      <w:r w:rsidR="009F3EE6">
        <w:t>pp.4-9</w:t>
      </w:r>
      <w:r>
        <w:t>).</w:t>
      </w:r>
    </w:p>
    <w:p w14:paraId="2A120D31" w14:textId="77777777" w:rsidR="00145A08" w:rsidRDefault="00145A08" w:rsidP="00145A08">
      <w:r>
        <w:t>Reform should also revisit the mandatory life sentence for lower-tier cases, granting judges greater discretion within guidelines. Codification of homicide offences, clearer oblique intention tests, and integration of knife crime data into charging and sentencing guidelines would address reactive measures like the zombie knife ban. The Commission’s forthcoming consultation paper (summer 2026) offers an opportunity to embed evidence-based change (Law Commission, 2025). These changes would make the law fairer for young people, victims of domestic abuse, and cases where blame is not at the highest level.</w:t>
      </w:r>
    </w:p>
    <w:p w14:paraId="1190D8E3" w14:textId="77777777" w:rsidR="00145A08" w:rsidRDefault="00145A08" w:rsidP="00145A08">
      <w:r>
        <w:t>Conclusion</w:t>
      </w:r>
    </w:p>
    <w:p w14:paraId="3C8F93CD" w14:textId="7CDD25E6" w:rsidR="00145A08" w:rsidRDefault="00145A08" w:rsidP="00145A08">
      <w:r>
        <w:t xml:space="preserve">The law of murder requires reform to a significant extent. Its mandatory sentence, expansive </w:t>
      </w:r>
      <w:proofErr w:type="spellStart"/>
      <w:r>
        <w:t>mens</w:t>
      </w:r>
      <w:proofErr w:type="spellEnd"/>
      <w:r>
        <w:t xml:space="preserve"> rea, and lack of gradation produce injustice and mismatch with modern culpability standards. These problems are amplified by knife crime debates and the 2024 zombie knife ban. While statistical declines demonstrate some progress in violence reduction, the framework’s rigidity undermines legitimacy. The Law Commission’s tiered proposals, if implemented, would deliver principled, proportionate reform aligned with fair labelling and public safety. Without urgent legislative action, the law risks remaining politically symbolic rather than substantially just.</w:t>
      </w:r>
    </w:p>
    <w:p w14:paraId="2795EC6D" w14:textId="77777777" w:rsidR="00145A08" w:rsidRDefault="00145A08" w:rsidP="00145A08">
      <w:r>
        <w:t>References</w:t>
      </w:r>
    </w:p>
    <w:p w14:paraId="3D9BCA52" w14:textId="77777777" w:rsidR="00145A08" w:rsidRDefault="00145A08" w:rsidP="00145A08">
      <w:r>
        <w:t xml:space="preserve">Ashworth, A. and </w:t>
      </w:r>
      <w:proofErr w:type="spellStart"/>
      <w:r>
        <w:t>Horder</w:t>
      </w:r>
      <w:proofErr w:type="spellEnd"/>
      <w:r>
        <w:t xml:space="preserve">, J. (2024) Principles of criminal law. 10th </w:t>
      </w:r>
      <w:proofErr w:type="spellStart"/>
      <w:r>
        <w:t>edn</w:t>
      </w:r>
      <w:proofErr w:type="spellEnd"/>
      <w:r>
        <w:t>. Oxford: Oxford University Press.</w:t>
      </w:r>
    </w:p>
    <w:p w14:paraId="1CAD7286" w14:textId="77777777" w:rsidR="00145A08" w:rsidRDefault="00145A08" w:rsidP="00145A08">
      <w:r>
        <w:t>Coke, E. (1797) Institutes of the laws of England. London: E. and R. Brookes.</w:t>
      </w:r>
    </w:p>
    <w:p w14:paraId="450F4423" w14:textId="77777777" w:rsidR="00145A08" w:rsidRDefault="00145A08" w:rsidP="00145A08">
      <w:r>
        <w:t>Coroners and Justice Act 2009, c. 25.</w:t>
      </w:r>
    </w:p>
    <w:p w14:paraId="75B5DB29" w14:textId="77777777" w:rsidR="00145A08" w:rsidRDefault="00145A08" w:rsidP="00145A08">
      <w:proofErr w:type="gramStart"/>
      <w:r>
        <w:t>Fitz-Gibbon</w:t>
      </w:r>
      <w:proofErr w:type="gramEnd"/>
      <w:r>
        <w:t>, K. (2013) ... (full details as per your list)</w:t>
      </w:r>
    </w:p>
    <w:p w14:paraId="5CA5BC0A" w14:textId="77777777" w:rsidR="00145A08" w:rsidRDefault="00145A08" w:rsidP="00145A08">
      <w:r>
        <w:t>Law Commission (2006) Murder, manslaughter and infanticide (Law Com No 304).</w:t>
      </w:r>
    </w:p>
    <w:p w14:paraId="5D2BA71E" w14:textId="77777777" w:rsidR="00145A08" w:rsidRDefault="00145A08" w:rsidP="00145A08">
      <w:r>
        <w:t>Law Commission (2025) Homicide law: call for evidence.</w:t>
      </w:r>
    </w:p>
    <w:p w14:paraId="6EB721C8" w14:textId="77777777" w:rsidR="00145A08" w:rsidRDefault="00145A08" w:rsidP="00145A08">
      <w:r>
        <w:t>Office for National Statistics (2025) Crime in England and Wales: year ending September 2025.</w:t>
      </w:r>
    </w:p>
    <w:p w14:paraId="0297E77A" w14:textId="77777777" w:rsidR="00145A08" w:rsidRDefault="00145A08" w:rsidP="00145A08">
      <w:r>
        <w:t>Prison Reform Trust (2025) Response to Law Commission’s homicide law review.</w:t>
      </w:r>
    </w:p>
    <w:p w14:paraId="1897E380" w14:textId="35404979" w:rsidR="00145A08" w:rsidRDefault="00145A08" w:rsidP="00145A08">
      <w:r>
        <w:t xml:space="preserve">Sentencing Council (2023) </w:t>
      </w:r>
    </w:p>
    <w:p w14:paraId="4B859E59" w14:textId="77777777" w:rsidR="00E73420" w:rsidRDefault="00E73420" w:rsidP="00145A08"/>
    <w:p w14:paraId="2D03481A" w14:textId="77777777" w:rsidR="00E73420" w:rsidRDefault="00E73420" w:rsidP="00145A08"/>
    <w:p w14:paraId="39ECCCF6" w14:textId="5D131E3A" w:rsidR="00145A08" w:rsidRDefault="00145A08" w:rsidP="00145A08">
      <w:r>
        <w:lastRenderedPageBreak/>
        <w:t>.</w:t>
      </w:r>
    </w:p>
    <w:p w14:paraId="7EB45814" w14:textId="77777777" w:rsidR="00E60E79" w:rsidRDefault="00E60E79" w:rsidP="00E60E79">
      <w:r>
        <w:t>References</w:t>
      </w:r>
    </w:p>
    <w:p w14:paraId="77158E5C" w14:textId="77777777" w:rsidR="00E73420" w:rsidRDefault="00E73420" w:rsidP="00E73420">
      <w:r>
        <w:t xml:space="preserve">Ashworth, A. and </w:t>
      </w:r>
      <w:proofErr w:type="spellStart"/>
      <w:r>
        <w:t>Horder</w:t>
      </w:r>
      <w:proofErr w:type="spellEnd"/>
      <w:r>
        <w:t xml:space="preserve">, J. (2024) Principles of criminal law. 10th </w:t>
      </w:r>
      <w:proofErr w:type="spellStart"/>
      <w:r>
        <w:t>edn</w:t>
      </w:r>
      <w:proofErr w:type="spellEnd"/>
      <w:r>
        <w:t>. Oxford: Oxford University Press.</w:t>
      </w:r>
    </w:p>
    <w:p w14:paraId="110360D4" w14:textId="77777777" w:rsidR="00E73420" w:rsidRDefault="00E73420" w:rsidP="00E73420">
      <w:r>
        <w:t>Coke, E. (1797) Institutes of the laws of England. London: E. and R. Brookes.</w:t>
      </w:r>
    </w:p>
    <w:p w14:paraId="49A64CCD" w14:textId="77777777" w:rsidR="00E73420" w:rsidRDefault="00E73420" w:rsidP="00E73420">
      <w:r>
        <w:t>Coroners and Justice Act 2009, c. 25.</w:t>
      </w:r>
    </w:p>
    <w:p w14:paraId="0BDD3FA0" w14:textId="77777777" w:rsidR="00E73420" w:rsidRDefault="00E73420" w:rsidP="00E73420">
      <w:proofErr w:type="gramStart"/>
      <w:r>
        <w:t>Fitz-Gibbon</w:t>
      </w:r>
      <w:proofErr w:type="gramEnd"/>
      <w:r>
        <w:t>, K. (2013) ‘The mandatory life sentence for murder: an analysis of the case for reform’, Criminal Law Review, 2013(5), pp. 345–362.</w:t>
      </w:r>
    </w:p>
    <w:p w14:paraId="41DE86DC" w14:textId="77777777" w:rsidR="00E73420" w:rsidRDefault="00E73420" w:rsidP="00E73420">
      <w:r>
        <w:t xml:space="preserve">Herring, J. (2024) Criminal law: text, cases, and materials. 11th </w:t>
      </w:r>
      <w:proofErr w:type="spellStart"/>
      <w:r>
        <w:t>edn</w:t>
      </w:r>
      <w:proofErr w:type="spellEnd"/>
      <w:r>
        <w:t>. Oxford: Oxford University Press, pp. 178–205.</w:t>
      </w:r>
    </w:p>
    <w:p w14:paraId="10E8866F" w14:textId="77777777" w:rsidR="00E73420" w:rsidRDefault="00E73420" w:rsidP="00E73420">
      <w:r>
        <w:t>Home Office (2025) Homicide in England and Wales: year ending March 2025. London: Home Office, pp. 12–18.</w:t>
      </w:r>
    </w:p>
    <w:p w14:paraId="437A0200" w14:textId="77777777" w:rsidR="00E73420" w:rsidRDefault="00E73420" w:rsidP="00E73420">
      <w:r>
        <w:t>Law Commission (2006) Murder, manslaughter and infanticide (Law Com No 304). London: The Stationery Office, pp. 1–12, 48–65.</w:t>
      </w:r>
    </w:p>
    <w:p w14:paraId="3AABA440" w14:textId="77777777" w:rsidR="00E73420" w:rsidRDefault="00E73420" w:rsidP="00E73420">
      <w:r>
        <w:t>Law Commission (2025) Homicide law: call for evidence. London: Law Commission. Available at: https://lawcom.gov.uk/project/law-of-homicide/ (Accessed: 18 April 2026).</w:t>
      </w:r>
    </w:p>
    <w:p w14:paraId="65C8F474" w14:textId="77777777" w:rsidR="00E73420" w:rsidRDefault="00E73420" w:rsidP="00E73420">
      <w:r>
        <w:t>Office for National Statistics (2025) Crime in England and Wales: year ending September 2025. Available at: https://www.ons.gov.uk/peoplepopulationandcommunity/crimeandjustice/bulletins/crimeinenglandandwales/yearendingseptember2025 (Accessed: 18 April 2026), pp. 8–11.</w:t>
      </w:r>
    </w:p>
    <w:p w14:paraId="6956F1BC" w14:textId="77777777" w:rsidR="00E73420" w:rsidRDefault="00E73420" w:rsidP="00E73420">
      <w:r>
        <w:t>Prison Reform Trust (2025) Response to the Law Commission’s homicide law review call for evidence. London: Prison Reform Trust, pp. 4–9.</w:t>
      </w:r>
    </w:p>
    <w:p w14:paraId="4784B334" w14:textId="77777777" w:rsidR="00E73420" w:rsidRDefault="00E73420" w:rsidP="00E73420">
      <w:r>
        <w:t>R v Clinton [2012] EWCA Crim 2.</w:t>
      </w:r>
    </w:p>
    <w:p w14:paraId="48DBC009" w14:textId="77777777" w:rsidR="00E73420" w:rsidRDefault="00E73420" w:rsidP="00E73420">
      <w:r>
        <w:t>R v Cunningham [1982] AC 566.</w:t>
      </w:r>
    </w:p>
    <w:p w14:paraId="3162F38F" w14:textId="77777777" w:rsidR="00E73420" w:rsidRDefault="00E73420" w:rsidP="00E73420">
      <w:r>
        <w:t>R v Pagett (1983) 76 Cr App R 279.</w:t>
      </w:r>
    </w:p>
    <w:p w14:paraId="3C268A11" w14:textId="77777777" w:rsidR="00E73420" w:rsidRDefault="00E73420" w:rsidP="00E73420">
      <w:r>
        <w:t>R v Vickers [1957] 2 QB 664.</w:t>
      </w:r>
    </w:p>
    <w:p w14:paraId="2D8B9534" w14:textId="77777777" w:rsidR="00E73420" w:rsidRDefault="00E73420" w:rsidP="00E73420">
      <w:r>
        <w:t>R v White [1910] 2 KB 124.</w:t>
      </w:r>
    </w:p>
    <w:p w14:paraId="5EE7BC5D" w14:textId="77777777" w:rsidR="00E73420" w:rsidRDefault="00E73420" w:rsidP="00E73420">
      <w:r>
        <w:t xml:space="preserve">R v </w:t>
      </w:r>
      <w:proofErr w:type="spellStart"/>
      <w:r>
        <w:t>Woollin</w:t>
      </w:r>
      <w:proofErr w:type="spellEnd"/>
      <w:r>
        <w:t xml:space="preserve"> [1999] 1 AC 82, pp. 90–96 (Lord Steyn).</w:t>
      </w:r>
    </w:p>
    <w:p w14:paraId="7B3218C5" w14:textId="77777777" w:rsidR="00E73420" w:rsidRDefault="00E73420" w:rsidP="00E73420">
      <w:r>
        <w:t>Sentencing Council (2023) Sentencing guidelines: manslaughter and homicide. London: Sentencing Council, pp. 5–15.</w:t>
      </w:r>
    </w:p>
    <w:p w14:paraId="30BA61A4" w14:textId="4BED275D" w:rsidR="00E644A9" w:rsidRDefault="00E73420" w:rsidP="00E73420">
      <w:r>
        <w:t>Youth Endowment Fund (2025) Knife crime: understanding the trends and drivers. London: Youth Endowment Fund, pp. 7–14.</w:t>
      </w:r>
    </w:p>
    <w:p w14:paraId="2531F22B" w14:textId="5F4314B9" w:rsidR="00E60E79" w:rsidRDefault="00E60E79" w:rsidP="00E60E79"/>
    <w:sectPr w:rsidR="00E60E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E32"/>
    <w:rsid w:val="00041A43"/>
    <w:rsid w:val="0008703B"/>
    <w:rsid w:val="00145A08"/>
    <w:rsid w:val="001E526A"/>
    <w:rsid w:val="0034000B"/>
    <w:rsid w:val="003B1A06"/>
    <w:rsid w:val="003E5673"/>
    <w:rsid w:val="00493E32"/>
    <w:rsid w:val="00496ADB"/>
    <w:rsid w:val="005430B0"/>
    <w:rsid w:val="00771DDA"/>
    <w:rsid w:val="0080337A"/>
    <w:rsid w:val="00886C97"/>
    <w:rsid w:val="009F3EE6"/>
    <w:rsid w:val="00C43C03"/>
    <w:rsid w:val="00CD0618"/>
    <w:rsid w:val="00DA3B1C"/>
    <w:rsid w:val="00E06B54"/>
    <w:rsid w:val="00E33B2E"/>
    <w:rsid w:val="00E60E79"/>
    <w:rsid w:val="00E644A9"/>
    <w:rsid w:val="00E73420"/>
    <w:rsid w:val="00EB6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B1434"/>
  <w15:chartTrackingRefBased/>
  <w15:docId w15:val="{0ADED315-309A-420A-83B2-444E36D17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3E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3E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3E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3E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3E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3E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3E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3E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3E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3E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3E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3E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3E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3E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3E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3E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3E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3E32"/>
    <w:rPr>
      <w:rFonts w:eastAsiaTheme="majorEastAsia" w:cstheme="majorBidi"/>
      <w:color w:val="272727" w:themeColor="text1" w:themeTint="D8"/>
    </w:rPr>
  </w:style>
  <w:style w:type="paragraph" w:styleId="Title">
    <w:name w:val="Title"/>
    <w:basedOn w:val="Normal"/>
    <w:next w:val="Normal"/>
    <w:link w:val="TitleChar"/>
    <w:uiPriority w:val="10"/>
    <w:qFormat/>
    <w:rsid w:val="00493E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3E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3E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3E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3E32"/>
    <w:pPr>
      <w:spacing w:before="160"/>
      <w:jc w:val="center"/>
    </w:pPr>
    <w:rPr>
      <w:i/>
      <w:iCs/>
      <w:color w:val="404040" w:themeColor="text1" w:themeTint="BF"/>
    </w:rPr>
  </w:style>
  <w:style w:type="character" w:customStyle="1" w:styleId="QuoteChar">
    <w:name w:val="Quote Char"/>
    <w:basedOn w:val="DefaultParagraphFont"/>
    <w:link w:val="Quote"/>
    <w:uiPriority w:val="29"/>
    <w:rsid w:val="00493E32"/>
    <w:rPr>
      <w:i/>
      <w:iCs/>
      <w:color w:val="404040" w:themeColor="text1" w:themeTint="BF"/>
    </w:rPr>
  </w:style>
  <w:style w:type="paragraph" w:styleId="ListParagraph">
    <w:name w:val="List Paragraph"/>
    <w:basedOn w:val="Normal"/>
    <w:uiPriority w:val="34"/>
    <w:qFormat/>
    <w:rsid w:val="00493E32"/>
    <w:pPr>
      <w:ind w:left="720"/>
      <w:contextualSpacing/>
    </w:pPr>
  </w:style>
  <w:style w:type="character" w:styleId="IntenseEmphasis">
    <w:name w:val="Intense Emphasis"/>
    <w:basedOn w:val="DefaultParagraphFont"/>
    <w:uiPriority w:val="21"/>
    <w:qFormat/>
    <w:rsid w:val="00493E32"/>
    <w:rPr>
      <w:i/>
      <w:iCs/>
      <w:color w:val="0F4761" w:themeColor="accent1" w:themeShade="BF"/>
    </w:rPr>
  </w:style>
  <w:style w:type="paragraph" w:styleId="IntenseQuote">
    <w:name w:val="Intense Quote"/>
    <w:basedOn w:val="Normal"/>
    <w:next w:val="Normal"/>
    <w:link w:val="IntenseQuoteChar"/>
    <w:uiPriority w:val="30"/>
    <w:qFormat/>
    <w:rsid w:val="00493E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3E32"/>
    <w:rPr>
      <w:i/>
      <w:iCs/>
      <w:color w:val="0F4761" w:themeColor="accent1" w:themeShade="BF"/>
    </w:rPr>
  </w:style>
  <w:style w:type="character" w:styleId="IntenseReference">
    <w:name w:val="Intense Reference"/>
    <w:basedOn w:val="DefaultParagraphFont"/>
    <w:uiPriority w:val="32"/>
    <w:qFormat/>
    <w:rsid w:val="00493E3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1378</TotalTime>
  <Pages>4</Pages>
  <Words>1702</Words>
  <Characters>9702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Athoul Chowdhury</dc:creator>
  <cp:keywords/>
  <dc:description/>
  <cp:lastModifiedBy>Athoul Chowdhury</cp:lastModifiedBy>
  <cp:revision>2</cp:revision>
  <dcterms:created xsi:type="dcterms:W3CDTF">2026-04-27T20:36:00Z</dcterms:created>
  <dcterms:modified xsi:type="dcterms:W3CDTF">2026-04-27T20:36:00Z</dcterms:modified>
</cp:coreProperties>
</file>