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ayout w:type="fixed"/>
        <w:tblLook w:val="0000" w:firstRow="0" w:lastRow="0" w:firstColumn="0" w:lastColumn="0" w:noHBand="0" w:noVBand="0"/>
      </w:tblPr>
      <w:tblGrid>
        <w:gridCol w:w="1368"/>
        <w:gridCol w:w="3829"/>
        <w:gridCol w:w="3829"/>
      </w:tblGrid>
      <w:tr w:rsidR="00D66FC3" w:rsidTr="00D66FC3">
        <w:tblPrEx>
          <w:tblCellMar>
            <w:top w:w="0" w:type="dxa"/>
            <w:bottom w:w="0" w:type="dxa"/>
          </w:tblCellMar>
        </w:tblPrEx>
        <w:trPr>
          <w:trHeight w:val="4000"/>
        </w:trPr>
        <w:tc>
          <w:tcPr>
            <w:tcW w:w="1368" w:type="dxa"/>
          </w:tcPr>
          <w:p w:rsidR="00D66FC3" w:rsidRDefault="00D66FC3">
            <w:bookmarkStart w:id="0" w:name="_GoBack"/>
            <w:bookmarkEnd w:id="0"/>
            <w:r>
              <w:t>Slide 1</w:t>
            </w:r>
          </w:p>
        </w:tc>
        <w:tc>
          <w:tcPr>
            <w:tcW w:w="3829" w:type="dxa"/>
          </w:tcPr>
          <w:p w:rsidR="00D66FC3" w:rsidRDefault="00D66FC3">
            <w:r>
              <w:object w:dxaOrig="9600" w:dyaOrig="540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2pt;height:108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01084531" r:id="rId5"/>
              </w:object>
            </w:r>
          </w:p>
        </w:tc>
        <w:tc>
          <w:tcPr>
            <w:tcW w:w="3829" w:type="dxa"/>
          </w:tcPr>
          <w:p w:rsidR="00D66FC3" w:rsidRDefault="00D66FC3"/>
        </w:tc>
      </w:tr>
      <w:tr w:rsidR="00D66FC3" w:rsidTr="00D66FC3">
        <w:tblPrEx>
          <w:tblCellMar>
            <w:top w:w="0" w:type="dxa"/>
            <w:bottom w:w="0" w:type="dxa"/>
          </w:tblCellMar>
        </w:tblPrEx>
        <w:trPr>
          <w:trHeight w:val="4000"/>
        </w:trPr>
        <w:tc>
          <w:tcPr>
            <w:tcW w:w="1368" w:type="dxa"/>
          </w:tcPr>
          <w:p w:rsidR="00D66FC3" w:rsidRDefault="00D66FC3">
            <w:r>
              <w:t>Slide 2</w:t>
            </w:r>
          </w:p>
        </w:tc>
        <w:tc>
          <w:tcPr>
            <w:tcW w:w="3829" w:type="dxa"/>
          </w:tcPr>
          <w:p w:rsidR="00D66FC3" w:rsidRDefault="00D66FC3">
            <w:r>
              <w:object w:dxaOrig="9600" w:dyaOrig="5401">
                <v:shape id="_x0000_i1030" type="#_x0000_t75" style="width:192pt;height:108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701084532" r:id="rId7"/>
              </w:object>
            </w:r>
          </w:p>
        </w:tc>
        <w:tc>
          <w:tcPr>
            <w:tcW w:w="3829" w:type="dxa"/>
          </w:tcPr>
          <w:p w:rsidR="00D66FC3" w:rsidRDefault="00D66FC3"/>
        </w:tc>
      </w:tr>
      <w:tr w:rsidR="00D66FC3" w:rsidTr="00D66FC3">
        <w:tblPrEx>
          <w:tblCellMar>
            <w:top w:w="0" w:type="dxa"/>
            <w:bottom w:w="0" w:type="dxa"/>
          </w:tblCellMar>
        </w:tblPrEx>
        <w:trPr>
          <w:trHeight w:val="4000"/>
        </w:trPr>
        <w:tc>
          <w:tcPr>
            <w:tcW w:w="1368" w:type="dxa"/>
          </w:tcPr>
          <w:p w:rsidR="00D66FC3" w:rsidRDefault="00D66FC3">
            <w:r>
              <w:t>Slide 3</w:t>
            </w:r>
          </w:p>
        </w:tc>
        <w:tc>
          <w:tcPr>
            <w:tcW w:w="3829" w:type="dxa"/>
          </w:tcPr>
          <w:p w:rsidR="00D66FC3" w:rsidRDefault="00D66FC3">
            <w:r>
              <w:object w:dxaOrig="9600" w:dyaOrig="5401">
                <v:shape id="_x0000_i1035" type="#_x0000_t75" style="width:192pt;height:108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5" DrawAspect="Content" ObjectID="_1701084533" r:id="rId9"/>
              </w:object>
            </w:r>
          </w:p>
        </w:tc>
        <w:tc>
          <w:tcPr>
            <w:tcW w:w="3829" w:type="dxa"/>
          </w:tcPr>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IN"/>
              </w:rPr>
              <w:t xml:space="preserve">The Starbucks company is one of the most popular retail organisations in the UK. The company operates in many countries and it also provides different beverages and foods to its customers. There are many stores operating under the Starbucks company all over the world and the company is growing rapidly. In the beginning, the company was working under another company named Pete's. The company sold the roasted coffee beans to the market roasted by Pete's company. In 1971 the company started its own business of coffee and beverages and nowadays they are one of the leading companies in the industry. The report talks about the different processes of recruitment in </w:t>
            </w:r>
            <w:r>
              <w:rPr>
                <w:rFonts w:ascii="Calibri" w:hAnsi="Calibri" w:cs="Calibri"/>
                <w:kern w:val="24"/>
                <w:sz w:val="24"/>
                <w:szCs w:val="24"/>
                <w:lang w:val="en-IN"/>
              </w:rPr>
              <w:lastRenderedPageBreak/>
              <w:t>Starbucks. It also discusses the effects of external factors on the company.</w:t>
            </w:r>
          </w:p>
          <w:p w:rsidR="00D66FC3" w:rsidRDefault="00D66FC3" w:rsidP="00D66FC3">
            <w:pPr>
              <w:autoSpaceDE w:val="0"/>
              <w:autoSpaceDN w:val="0"/>
              <w:adjustRightInd w:val="0"/>
              <w:spacing w:after="0" w:line="240" w:lineRule="auto"/>
              <w:rPr>
                <w:rFonts w:ascii="Arial" w:hAnsi="Arial" w:cs="Arial"/>
                <w:sz w:val="24"/>
                <w:szCs w:val="24"/>
              </w:rPr>
            </w:pPr>
          </w:p>
          <w:p w:rsidR="00D66FC3" w:rsidRDefault="00D66FC3"/>
        </w:tc>
      </w:tr>
      <w:tr w:rsidR="00D66FC3" w:rsidTr="00D66FC3">
        <w:tblPrEx>
          <w:tblCellMar>
            <w:top w:w="0" w:type="dxa"/>
            <w:bottom w:w="0" w:type="dxa"/>
          </w:tblCellMar>
        </w:tblPrEx>
        <w:trPr>
          <w:trHeight w:val="4000"/>
        </w:trPr>
        <w:tc>
          <w:tcPr>
            <w:tcW w:w="1368" w:type="dxa"/>
          </w:tcPr>
          <w:p w:rsidR="00D66FC3" w:rsidRDefault="00D66FC3">
            <w:r>
              <w:lastRenderedPageBreak/>
              <w:t>Slide 4</w:t>
            </w:r>
          </w:p>
        </w:tc>
        <w:tc>
          <w:tcPr>
            <w:tcW w:w="3829" w:type="dxa"/>
          </w:tcPr>
          <w:p w:rsidR="00D66FC3" w:rsidRDefault="00D66FC3">
            <w:r>
              <w:object w:dxaOrig="9600" w:dyaOrig="5401">
                <v:shape id="_x0000_i1041" type="#_x0000_t75" style="width:192pt;height:10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1" DrawAspect="Content" ObjectID="_1701084534" r:id="rId11"/>
              </w:object>
            </w:r>
          </w:p>
        </w:tc>
        <w:tc>
          <w:tcPr>
            <w:tcW w:w="3829" w:type="dxa"/>
          </w:tcPr>
          <w:p w:rsidR="00D66FC3" w:rsidRDefault="00D66FC3" w:rsidP="00D66FC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IN"/>
              </w:rPr>
              <w:t xml:space="preserve">Starbucks company is one of the leading companies in the retail industry of the UK. The organisation was founded in 1971 by Jerry Baldwin, Gordon Bowker and Zev </w:t>
            </w:r>
            <w:proofErr w:type="spellStart"/>
            <w:r>
              <w:rPr>
                <w:rFonts w:ascii="Calibri" w:hAnsi="Calibri" w:cs="Calibri"/>
                <w:kern w:val="24"/>
                <w:sz w:val="24"/>
                <w:szCs w:val="24"/>
                <w:lang w:val="en-IN"/>
              </w:rPr>
              <w:t>Seigl</w:t>
            </w:r>
            <w:proofErr w:type="spellEnd"/>
            <w:r>
              <w:rPr>
                <w:rFonts w:ascii="Calibri" w:hAnsi="Calibri" w:cs="Calibri"/>
                <w:kern w:val="24"/>
                <w:sz w:val="24"/>
                <w:szCs w:val="24"/>
                <w:lang w:val="en-IN"/>
              </w:rPr>
              <w:t xml:space="preserve">. The company is popular for its coffee business. The company is operating in over 83 countries all over the world. There are a number of over 32,000 stores running under Starbucks and the company produces other beverages also (Kramer </w:t>
            </w:r>
            <w:r>
              <w:rPr>
                <w:rFonts w:ascii="Calibri" w:hAnsi="Calibri" w:cs="Calibri"/>
                <w:i/>
                <w:iCs/>
                <w:kern w:val="24"/>
                <w:sz w:val="24"/>
                <w:szCs w:val="24"/>
                <w:lang w:val="en-IN"/>
              </w:rPr>
              <w:t xml:space="preserve">et al., </w:t>
            </w:r>
            <w:r>
              <w:rPr>
                <w:rFonts w:ascii="Calibri" w:hAnsi="Calibri" w:cs="Calibri"/>
                <w:kern w:val="24"/>
                <w:sz w:val="24"/>
                <w:szCs w:val="24"/>
                <w:lang w:val="en-IN"/>
              </w:rPr>
              <w:t>2020). The company is working in the markets of various countries and it is a grand success. The company also provides well and good services to the customers responsibly.</w:t>
            </w:r>
            <w:r>
              <w:rPr>
                <w:rFonts w:ascii="Calibri" w:hAnsi="Calibri" w:cs="Calibri"/>
                <w:kern w:val="24"/>
                <w:sz w:val="24"/>
                <w:szCs w:val="24"/>
                <w:lang w:val="en-US"/>
              </w:rPr>
              <w:br/>
            </w:r>
          </w:p>
          <w:p w:rsidR="00D66FC3" w:rsidRDefault="00D66FC3" w:rsidP="00D66FC3">
            <w:pPr>
              <w:autoSpaceDE w:val="0"/>
              <w:autoSpaceDN w:val="0"/>
              <w:adjustRightInd w:val="0"/>
              <w:spacing w:after="0" w:line="240" w:lineRule="auto"/>
              <w:rPr>
                <w:rFonts w:ascii="Arial" w:hAnsi="Arial" w:cs="Arial"/>
                <w:sz w:val="24"/>
                <w:szCs w:val="24"/>
              </w:rPr>
            </w:pPr>
          </w:p>
          <w:p w:rsidR="00D66FC3" w:rsidRDefault="00D66FC3"/>
        </w:tc>
      </w:tr>
      <w:tr w:rsidR="00D66FC3" w:rsidTr="00D66FC3">
        <w:tblPrEx>
          <w:tblCellMar>
            <w:top w:w="0" w:type="dxa"/>
            <w:bottom w:w="0" w:type="dxa"/>
          </w:tblCellMar>
        </w:tblPrEx>
        <w:trPr>
          <w:trHeight w:val="4000"/>
        </w:trPr>
        <w:tc>
          <w:tcPr>
            <w:tcW w:w="1368" w:type="dxa"/>
          </w:tcPr>
          <w:p w:rsidR="00D66FC3" w:rsidRDefault="00D66FC3">
            <w:r>
              <w:lastRenderedPageBreak/>
              <w:t>Slide 5</w:t>
            </w:r>
          </w:p>
        </w:tc>
        <w:tc>
          <w:tcPr>
            <w:tcW w:w="3829" w:type="dxa"/>
          </w:tcPr>
          <w:p w:rsidR="00D66FC3" w:rsidRDefault="00D66FC3">
            <w:r>
              <w:object w:dxaOrig="9600" w:dyaOrig="5401">
                <v:shape id="_x0000_i1047" type="#_x0000_t75" style="width:192pt;height:10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7" DrawAspect="Content" ObjectID="_1701084535" r:id="rId13"/>
              </w:object>
            </w:r>
          </w:p>
        </w:tc>
        <w:tc>
          <w:tcPr>
            <w:tcW w:w="3829" w:type="dxa"/>
          </w:tcPr>
          <w:p w:rsidR="00D66FC3" w:rsidRDefault="00D66FC3" w:rsidP="00D66FC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IN"/>
              </w:rPr>
              <w:t>Starbucks is operating in various countries producing beverages and foods and functioning as a retail shop. The company works with a mission vision and objectives like other leading companies in the world. The main objective of the company is to produce good quality products and earn profit and also provide good service to the customers. The grand success of their business is proof of this and they are continuing their services blissfully.  The company is entering the international market and its functional objective is to provide good service and products to more and more countries to earn a profit (Gupta and Jain, 2021).</w:t>
            </w:r>
          </w:p>
          <w:p w:rsidR="00D66FC3" w:rsidRDefault="00D66FC3" w:rsidP="00D66FC3">
            <w:pPr>
              <w:autoSpaceDE w:val="0"/>
              <w:autoSpaceDN w:val="0"/>
              <w:adjustRightInd w:val="0"/>
              <w:spacing w:after="0" w:line="240" w:lineRule="auto"/>
              <w:rPr>
                <w:rFonts w:ascii="Arial" w:hAnsi="Arial" w:cs="Arial"/>
                <w:sz w:val="24"/>
                <w:szCs w:val="24"/>
              </w:rPr>
            </w:pPr>
          </w:p>
          <w:p w:rsidR="00D66FC3" w:rsidRDefault="00D66FC3"/>
        </w:tc>
      </w:tr>
      <w:tr w:rsidR="00D66FC3" w:rsidTr="00D66FC3">
        <w:tblPrEx>
          <w:tblCellMar>
            <w:top w:w="0" w:type="dxa"/>
            <w:bottom w:w="0" w:type="dxa"/>
          </w:tblCellMar>
        </w:tblPrEx>
        <w:trPr>
          <w:trHeight w:val="4000"/>
        </w:trPr>
        <w:tc>
          <w:tcPr>
            <w:tcW w:w="1368" w:type="dxa"/>
          </w:tcPr>
          <w:p w:rsidR="00D66FC3" w:rsidRDefault="00D66FC3">
            <w:r>
              <w:t>Slide 6</w:t>
            </w:r>
          </w:p>
        </w:tc>
        <w:tc>
          <w:tcPr>
            <w:tcW w:w="3829" w:type="dxa"/>
          </w:tcPr>
          <w:p w:rsidR="00D66FC3" w:rsidRDefault="00D66FC3">
            <w:r>
              <w:object w:dxaOrig="9600" w:dyaOrig="5401">
                <v:shape id="_x0000_i1053" type="#_x0000_t75" style="width:192pt;height:10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3" DrawAspect="Content" ObjectID="_1701084536" r:id="rId15"/>
              </w:object>
            </w:r>
          </w:p>
        </w:tc>
        <w:tc>
          <w:tcPr>
            <w:tcW w:w="3829" w:type="dxa"/>
          </w:tcPr>
          <w:p w:rsidR="00D66FC3" w:rsidRDefault="00D66FC3" w:rsidP="00D66FC3">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IN"/>
              </w:rPr>
              <w:t xml:space="preserve">Plans and strategies of the Starbucks Human Resource Team are good for the company to gain work power as well as the productivity of the company. Making plans and strategies to achieve the desired goal and also analysing the plan is a very important job for the team. The team is also responsible to produce a 'catalogue' of the data about the employees of the company. The team also plans for the product supply and monitors the demands of customers of Starbucks. After doing this, the company plans a strategy to match the supply and demand plan to overcome the shortages. At last, the team is also responsible for planning the execution of the strategy accordingly (Fisher </w:t>
            </w:r>
            <w:r>
              <w:rPr>
                <w:rFonts w:ascii="Calibri" w:hAnsi="Calibri" w:cs="Calibri"/>
                <w:i/>
                <w:iCs/>
                <w:kern w:val="24"/>
                <w:sz w:val="24"/>
                <w:szCs w:val="24"/>
                <w:lang w:val="en-IN"/>
              </w:rPr>
              <w:t xml:space="preserve">et al., </w:t>
            </w:r>
            <w:r>
              <w:rPr>
                <w:rFonts w:ascii="Calibri" w:hAnsi="Calibri" w:cs="Calibri"/>
                <w:kern w:val="24"/>
                <w:sz w:val="24"/>
                <w:szCs w:val="24"/>
                <w:lang w:val="en-IN"/>
              </w:rPr>
              <w:t>2020).</w:t>
            </w:r>
          </w:p>
          <w:p w:rsidR="00D66FC3" w:rsidRDefault="00D66FC3" w:rsidP="00D66FC3">
            <w:pPr>
              <w:autoSpaceDE w:val="0"/>
              <w:autoSpaceDN w:val="0"/>
              <w:adjustRightInd w:val="0"/>
              <w:spacing w:after="0" w:line="240" w:lineRule="auto"/>
              <w:rPr>
                <w:rFonts w:ascii="Arial" w:hAnsi="Arial" w:cs="Arial"/>
                <w:sz w:val="24"/>
                <w:szCs w:val="24"/>
              </w:rPr>
            </w:pPr>
          </w:p>
          <w:p w:rsidR="00D66FC3" w:rsidRDefault="00D66FC3"/>
        </w:tc>
      </w:tr>
      <w:tr w:rsidR="00D66FC3" w:rsidTr="00D66FC3">
        <w:tblPrEx>
          <w:tblCellMar>
            <w:top w:w="0" w:type="dxa"/>
            <w:bottom w:w="0" w:type="dxa"/>
          </w:tblCellMar>
        </w:tblPrEx>
        <w:trPr>
          <w:trHeight w:val="4000"/>
        </w:trPr>
        <w:tc>
          <w:tcPr>
            <w:tcW w:w="1368" w:type="dxa"/>
          </w:tcPr>
          <w:p w:rsidR="00D66FC3" w:rsidRDefault="00D66FC3">
            <w:r>
              <w:lastRenderedPageBreak/>
              <w:t>Slide 7</w:t>
            </w:r>
          </w:p>
        </w:tc>
        <w:tc>
          <w:tcPr>
            <w:tcW w:w="3829" w:type="dxa"/>
          </w:tcPr>
          <w:p w:rsidR="00D66FC3" w:rsidRDefault="00D66FC3">
            <w:r>
              <w:object w:dxaOrig="9600" w:dyaOrig="5401">
                <v:shape id="_x0000_i1059" type="#_x0000_t75" style="width:192pt;height:10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59" DrawAspect="Content" ObjectID="_1701084537" r:id="rId17"/>
              </w:object>
            </w:r>
          </w:p>
        </w:tc>
        <w:tc>
          <w:tcPr>
            <w:tcW w:w="3829" w:type="dxa"/>
          </w:tcPr>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IN"/>
              </w:rPr>
              <w:t>The recruitment process of the company is one of the main jobs of the HR team of Starbucks. There are various processes present in the recruitment process and the HR team is responsible to execute the process of recruitment. The steps of the recruitment process are planning the recruitment process, developing a strategy, searching for the perfect candidate, assessment of the candidate and selecting. Although Starbucks conducts the online recruitment process and also provides an online selection of candidates. The HR team of Starbucks provides a descriptive online portal for application, then the interviews and selections are done. The eligibility of the candidates and the mandatory requirements are also discussed in the portal only (Temby, 2020).</w:t>
            </w:r>
          </w:p>
          <w:p w:rsidR="00D66FC3" w:rsidRDefault="00D66FC3" w:rsidP="00D66FC3">
            <w:pPr>
              <w:autoSpaceDE w:val="0"/>
              <w:autoSpaceDN w:val="0"/>
              <w:adjustRightInd w:val="0"/>
              <w:spacing w:after="0" w:line="240" w:lineRule="auto"/>
              <w:rPr>
                <w:rFonts w:ascii="Arial" w:hAnsi="Arial" w:cs="Arial"/>
                <w:sz w:val="24"/>
                <w:szCs w:val="24"/>
              </w:rPr>
            </w:pPr>
          </w:p>
          <w:p w:rsidR="00D66FC3" w:rsidRDefault="00D66FC3"/>
        </w:tc>
      </w:tr>
      <w:tr w:rsidR="00D66FC3" w:rsidTr="00D66FC3">
        <w:tblPrEx>
          <w:tblCellMar>
            <w:top w:w="0" w:type="dxa"/>
            <w:bottom w:w="0" w:type="dxa"/>
          </w:tblCellMar>
        </w:tblPrEx>
        <w:trPr>
          <w:trHeight w:val="4000"/>
        </w:trPr>
        <w:tc>
          <w:tcPr>
            <w:tcW w:w="1368" w:type="dxa"/>
          </w:tcPr>
          <w:p w:rsidR="00D66FC3" w:rsidRDefault="00D66FC3">
            <w:r>
              <w:t>Slide 8</w:t>
            </w:r>
          </w:p>
        </w:tc>
        <w:tc>
          <w:tcPr>
            <w:tcW w:w="3829" w:type="dxa"/>
          </w:tcPr>
          <w:p w:rsidR="00D66FC3" w:rsidRDefault="00D66FC3">
            <w:r>
              <w:object w:dxaOrig="9600" w:dyaOrig="5401">
                <v:shape id="_x0000_i1065" type="#_x0000_t75" style="width:192pt;height:10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5" DrawAspect="Content" ObjectID="_1701084538" r:id="rId19"/>
              </w:object>
            </w:r>
          </w:p>
        </w:tc>
        <w:tc>
          <w:tcPr>
            <w:tcW w:w="3829" w:type="dxa"/>
          </w:tcPr>
          <w:p w:rsidR="00D66FC3" w:rsidRDefault="00D66FC3"/>
        </w:tc>
      </w:tr>
      <w:tr w:rsidR="00D66FC3" w:rsidTr="00D66FC3">
        <w:tblPrEx>
          <w:tblCellMar>
            <w:top w:w="0" w:type="dxa"/>
            <w:bottom w:w="0" w:type="dxa"/>
          </w:tblCellMar>
        </w:tblPrEx>
        <w:trPr>
          <w:trHeight w:val="4000"/>
        </w:trPr>
        <w:tc>
          <w:tcPr>
            <w:tcW w:w="1368" w:type="dxa"/>
          </w:tcPr>
          <w:p w:rsidR="00D66FC3" w:rsidRDefault="00D66FC3">
            <w:r>
              <w:lastRenderedPageBreak/>
              <w:t>Slide 9</w:t>
            </w:r>
          </w:p>
        </w:tc>
        <w:tc>
          <w:tcPr>
            <w:tcW w:w="3829" w:type="dxa"/>
          </w:tcPr>
          <w:p w:rsidR="00D66FC3" w:rsidRDefault="00D66FC3">
            <w:r>
              <w:object w:dxaOrig="9600" w:dyaOrig="5401">
                <v:shape id="_x0000_i1070" type="#_x0000_t75" style="width:192pt;height:10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70" DrawAspect="Content" ObjectID="_1701084539" r:id="rId21"/>
              </w:object>
            </w:r>
          </w:p>
        </w:tc>
        <w:tc>
          <w:tcPr>
            <w:tcW w:w="3829" w:type="dxa"/>
          </w:tcPr>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lang w:val="en-IN"/>
              </w:rPr>
              <w:t>Application</w:t>
            </w:r>
          </w:p>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IN"/>
              </w:rPr>
              <w:t xml:space="preserve">Starbucks uses a tool called </w:t>
            </w:r>
            <w:proofErr w:type="spellStart"/>
            <w:r>
              <w:rPr>
                <w:rFonts w:ascii="Calibri" w:hAnsi="Calibri" w:cs="Calibri"/>
                <w:kern w:val="24"/>
                <w:sz w:val="24"/>
                <w:szCs w:val="24"/>
                <w:lang w:val="en-IN"/>
              </w:rPr>
              <w:t>Textio</w:t>
            </w:r>
            <w:proofErr w:type="spellEnd"/>
            <w:r>
              <w:rPr>
                <w:rFonts w:ascii="Calibri" w:hAnsi="Calibri" w:cs="Calibri"/>
                <w:kern w:val="24"/>
                <w:sz w:val="24"/>
                <w:szCs w:val="24"/>
                <w:lang w:val="en-IN"/>
              </w:rPr>
              <w:t xml:space="preserve">, which helps the company to optimise the job advertisements and text reflects their requirements for the candidates including information about the company (Torrington </w:t>
            </w:r>
            <w:r>
              <w:rPr>
                <w:rFonts w:ascii="Calibri" w:hAnsi="Calibri" w:cs="Calibri"/>
                <w:i/>
                <w:iCs/>
                <w:kern w:val="24"/>
                <w:sz w:val="24"/>
                <w:szCs w:val="24"/>
                <w:lang w:val="en-IN"/>
              </w:rPr>
              <w:t>et al</w:t>
            </w:r>
            <w:r>
              <w:rPr>
                <w:rFonts w:ascii="Calibri" w:hAnsi="Calibri" w:cs="Calibri"/>
                <w:kern w:val="24"/>
                <w:sz w:val="24"/>
                <w:szCs w:val="24"/>
                <w:lang w:val="en-IN"/>
              </w:rPr>
              <w:t xml:space="preserve">., 2014). </w:t>
            </w:r>
          </w:p>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IN"/>
              </w:rPr>
              <w:t>The application of candidates normally depends on the particular function and also the available work.</w:t>
            </w:r>
            <w:r>
              <w:rPr>
                <w:rFonts w:ascii="Calibri" w:hAnsi="Calibri" w:cs="Calibri"/>
                <w:b/>
                <w:bCs/>
                <w:kern w:val="24"/>
                <w:sz w:val="24"/>
                <w:szCs w:val="24"/>
                <w:lang w:val="en-IN"/>
              </w:rPr>
              <w:t> </w:t>
            </w:r>
          </w:p>
          <w:p w:rsidR="00D66FC3" w:rsidRDefault="00D66FC3" w:rsidP="00D66FC3">
            <w:pPr>
              <w:autoSpaceDE w:val="0"/>
              <w:autoSpaceDN w:val="0"/>
              <w:adjustRightInd w:val="0"/>
              <w:spacing w:after="0" w:line="240" w:lineRule="auto"/>
              <w:rPr>
                <w:rFonts w:ascii="Arial" w:hAnsi="Arial" w:cs="Arial"/>
                <w:sz w:val="24"/>
                <w:szCs w:val="24"/>
              </w:rPr>
            </w:pPr>
          </w:p>
          <w:p w:rsidR="00D66FC3" w:rsidRDefault="00D66FC3"/>
        </w:tc>
      </w:tr>
      <w:tr w:rsidR="00D66FC3" w:rsidTr="00D66FC3">
        <w:tblPrEx>
          <w:tblCellMar>
            <w:top w:w="0" w:type="dxa"/>
            <w:bottom w:w="0" w:type="dxa"/>
          </w:tblCellMar>
        </w:tblPrEx>
        <w:trPr>
          <w:trHeight w:val="4000"/>
        </w:trPr>
        <w:tc>
          <w:tcPr>
            <w:tcW w:w="1368" w:type="dxa"/>
          </w:tcPr>
          <w:p w:rsidR="00D66FC3" w:rsidRDefault="00D66FC3">
            <w:r>
              <w:t>Slide 10</w:t>
            </w:r>
          </w:p>
        </w:tc>
        <w:tc>
          <w:tcPr>
            <w:tcW w:w="3829" w:type="dxa"/>
          </w:tcPr>
          <w:p w:rsidR="00D66FC3" w:rsidRDefault="00D66FC3">
            <w:r>
              <w:object w:dxaOrig="9600" w:dyaOrig="5401">
                <v:shape id="_x0000_i1076" type="#_x0000_t75" style="width:192pt;height:108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6" DrawAspect="Content" ObjectID="_1701084540" r:id="rId23"/>
              </w:object>
            </w:r>
          </w:p>
        </w:tc>
        <w:tc>
          <w:tcPr>
            <w:tcW w:w="3829" w:type="dxa"/>
          </w:tcPr>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lang w:val="en-IN"/>
              </w:rPr>
              <w:t>Screening and pre-selection</w:t>
            </w:r>
          </w:p>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 screening process includes two steps:</w:t>
            </w:r>
          </w:p>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Resume screening, this method generally includes assessing the candidates if they fall under the criteria required for the job (Liu et al., 2019).</w:t>
            </w:r>
          </w:p>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Phone screening, which takes place after resume screening, in this method the expectations of the employer and the candidate are aligned.</w:t>
            </w:r>
          </w:p>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Pre-selection, in this process the potential mismatches are struck out, the candidates need to undergo a cognitive test in Starbucks.</w:t>
            </w:r>
          </w:p>
          <w:p w:rsidR="00D66FC3" w:rsidRDefault="00D66FC3" w:rsidP="00D66FC3">
            <w:pPr>
              <w:autoSpaceDE w:val="0"/>
              <w:autoSpaceDN w:val="0"/>
              <w:adjustRightInd w:val="0"/>
              <w:spacing w:after="0" w:line="240" w:lineRule="auto"/>
              <w:rPr>
                <w:rFonts w:ascii="Calibri" w:hAnsi="Calibri" w:cs="Calibri"/>
                <w:kern w:val="24"/>
                <w:sz w:val="24"/>
                <w:szCs w:val="24"/>
              </w:rPr>
            </w:pPr>
          </w:p>
          <w:p w:rsidR="00D66FC3" w:rsidRDefault="00D66FC3" w:rsidP="00D66FC3">
            <w:pPr>
              <w:autoSpaceDE w:val="0"/>
              <w:autoSpaceDN w:val="0"/>
              <w:adjustRightInd w:val="0"/>
              <w:spacing w:after="0" w:line="240" w:lineRule="auto"/>
              <w:rPr>
                <w:rFonts w:ascii="Arial" w:hAnsi="Arial" w:cs="Arial"/>
                <w:sz w:val="24"/>
                <w:szCs w:val="24"/>
              </w:rPr>
            </w:pPr>
          </w:p>
          <w:p w:rsidR="00D66FC3" w:rsidRDefault="00D66FC3"/>
        </w:tc>
      </w:tr>
      <w:tr w:rsidR="00D66FC3" w:rsidTr="00D66FC3">
        <w:tblPrEx>
          <w:tblCellMar>
            <w:top w:w="0" w:type="dxa"/>
            <w:bottom w:w="0" w:type="dxa"/>
          </w:tblCellMar>
        </w:tblPrEx>
        <w:trPr>
          <w:trHeight w:val="4000"/>
        </w:trPr>
        <w:tc>
          <w:tcPr>
            <w:tcW w:w="1368" w:type="dxa"/>
          </w:tcPr>
          <w:p w:rsidR="00D66FC3" w:rsidRDefault="00D66FC3">
            <w:r>
              <w:lastRenderedPageBreak/>
              <w:t>Slide 11</w:t>
            </w:r>
          </w:p>
        </w:tc>
        <w:tc>
          <w:tcPr>
            <w:tcW w:w="3829" w:type="dxa"/>
          </w:tcPr>
          <w:p w:rsidR="00D66FC3" w:rsidRDefault="00D66FC3">
            <w:r>
              <w:object w:dxaOrig="9600" w:dyaOrig="5401">
                <v:shape id="_x0000_i1082" type="#_x0000_t75" style="width:192pt;height:108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82" DrawAspect="Content" ObjectID="_1701084541" r:id="rId25"/>
              </w:object>
            </w:r>
          </w:p>
        </w:tc>
        <w:tc>
          <w:tcPr>
            <w:tcW w:w="3829" w:type="dxa"/>
          </w:tcPr>
          <w:p w:rsidR="00D66FC3" w:rsidRDefault="00D66FC3"/>
        </w:tc>
      </w:tr>
      <w:tr w:rsidR="00D66FC3" w:rsidTr="00D66FC3">
        <w:tblPrEx>
          <w:tblCellMar>
            <w:top w:w="0" w:type="dxa"/>
            <w:bottom w:w="0" w:type="dxa"/>
          </w:tblCellMar>
        </w:tblPrEx>
        <w:trPr>
          <w:trHeight w:val="4000"/>
        </w:trPr>
        <w:tc>
          <w:tcPr>
            <w:tcW w:w="1368" w:type="dxa"/>
          </w:tcPr>
          <w:p w:rsidR="00D66FC3" w:rsidRDefault="00D66FC3">
            <w:r>
              <w:t>Slide 12</w:t>
            </w:r>
          </w:p>
        </w:tc>
        <w:tc>
          <w:tcPr>
            <w:tcW w:w="3829" w:type="dxa"/>
          </w:tcPr>
          <w:p w:rsidR="00D66FC3" w:rsidRDefault="00D66FC3">
            <w:r>
              <w:object w:dxaOrig="9600" w:dyaOrig="5401">
                <v:shape id="_x0000_i1087" type="#_x0000_t75" style="width:192pt;height:108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87" DrawAspect="Content" ObjectID="_1701084542" r:id="rId27"/>
              </w:object>
            </w:r>
          </w:p>
        </w:tc>
        <w:tc>
          <w:tcPr>
            <w:tcW w:w="3829" w:type="dxa"/>
          </w:tcPr>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lang w:val="en-IN"/>
              </w:rPr>
              <w:t>Assessment</w:t>
            </w:r>
          </w:p>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IN"/>
              </w:rPr>
              <w:t>The process of assessment is important in Starbucks because it is highly accurate and a tool to choose the best candidate (Taylor, 2010). It generally includes "general mental ability test" or employee's personality test using "Five-factor model of personality".</w:t>
            </w:r>
          </w:p>
          <w:p w:rsidR="00D66FC3" w:rsidRDefault="00D66FC3" w:rsidP="00D66FC3">
            <w:pPr>
              <w:autoSpaceDE w:val="0"/>
              <w:autoSpaceDN w:val="0"/>
              <w:adjustRightInd w:val="0"/>
              <w:spacing w:after="0" w:line="240" w:lineRule="auto"/>
              <w:rPr>
                <w:rFonts w:ascii="Calibri" w:hAnsi="Calibri" w:cs="Calibri"/>
                <w:kern w:val="24"/>
                <w:sz w:val="24"/>
                <w:szCs w:val="24"/>
                <w:lang w:val="en-IN"/>
              </w:rPr>
            </w:pPr>
          </w:p>
          <w:p w:rsidR="00D66FC3" w:rsidRDefault="00D66FC3" w:rsidP="00D66FC3">
            <w:pPr>
              <w:autoSpaceDE w:val="0"/>
              <w:autoSpaceDN w:val="0"/>
              <w:adjustRightInd w:val="0"/>
              <w:spacing w:after="0" w:line="240" w:lineRule="auto"/>
              <w:rPr>
                <w:rFonts w:ascii="Arial" w:hAnsi="Arial" w:cs="Arial"/>
                <w:sz w:val="24"/>
                <w:szCs w:val="24"/>
              </w:rPr>
            </w:pPr>
          </w:p>
          <w:p w:rsidR="00D66FC3" w:rsidRDefault="00D66FC3"/>
        </w:tc>
      </w:tr>
      <w:tr w:rsidR="00D66FC3" w:rsidTr="00D66FC3">
        <w:tblPrEx>
          <w:tblCellMar>
            <w:top w:w="0" w:type="dxa"/>
            <w:bottom w:w="0" w:type="dxa"/>
          </w:tblCellMar>
        </w:tblPrEx>
        <w:trPr>
          <w:trHeight w:val="4000"/>
        </w:trPr>
        <w:tc>
          <w:tcPr>
            <w:tcW w:w="1368" w:type="dxa"/>
          </w:tcPr>
          <w:p w:rsidR="00D66FC3" w:rsidRDefault="00D66FC3">
            <w:r>
              <w:t>Slide 13</w:t>
            </w:r>
          </w:p>
        </w:tc>
        <w:tc>
          <w:tcPr>
            <w:tcW w:w="3829" w:type="dxa"/>
          </w:tcPr>
          <w:p w:rsidR="00D66FC3" w:rsidRDefault="00D66FC3">
            <w:r>
              <w:object w:dxaOrig="9600" w:dyaOrig="5401">
                <v:shape id="_x0000_i1093" type="#_x0000_t75" style="width:192pt;height:108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93" DrawAspect="Content" ObjectID="_1701084543" r:id="rId29"/>
              </w:object>
            </w:r>
          </w:p>
        </w:tc>
        <w:tc>
          <w:tcPr>
            <w:tcW w:w="3829" w:type="dxa"/>
          </w:tcPr>
          <w:p w:rsidR="00D66FC3" w:rsidRDefault="00D66FC3"/>
        </w:tc>
      </w:tr>
      <w:tr w:rsidR="00D66FC3" w:rsidTr="00D66FC3">
        <w:tblPrEx>
          <w:tblCellMar>
            <w:top w:w="0" w:type="dxa"/>
            <w:bottom w:w="0" w:type="dxa"/>
          </w:tblCellMar>
        </w:tblPrEx>
        <w:trPr>
          <w:trHeight w:val="4000"/>
        </w:trPr>
        <w:tc>
          <w:tcPr>
            <w:tcW w:w="1368" w:type="dxa"/>
          </w:tcPr>
          <w:p w:rsidR="00D66FC3" w:rsidRDefault="00D66FC3">
            <w:r>
              <w:lastRenderedPageBreak/>
              <w:t>Slide 14</w:t>
            </w:r>
          </w:p>
        </w:tc>
        <w:tc>
          <w:tcPr>
            <w:tcW w:w="3829" w:type="dxa"/>
          </w:tcPr>
          <w:p w:rsidR="00D66FC3" w:rsidRDefault="00D66FC3">
            <w:r>
              <w:object w:dxaOrig="9600" w:dyaOrig="5401">
                <v:shape id="_x0000_i1098" type="#_x0000_t75" style="width:192pt;height:108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98" DrawAspect="Content" ObjectID="_1701084544" r:id="rId31"/>
              </w:object>
            </w:r>
          </w:p>
        </w:tc>
        <w:tc>
          <w:tcPr>
            <w:tcW w:w="3829" w:type="dxa"/>
          </w:tcPr>
          <w:p w:rsidR="00D66FC3" w:rsidRDefault="00D66FC3"/>
        </w:tc>
      </w:tr>
      <w:tr w:rsidR="00D66FC3" w:rsidTr="00D66FC3">
        <w:tblPrEx>
          <w:tblCellMar>
            <w:top w:w="0" w:type="dxa"/>
            <w:bottom w:w="0" w:type="dxa"/>
          </w:tblCellMar>
        </w:tblPrEx>
        <w:trPr>
          <w:trHeight w:val="4000"/>
        </w:trPr>
        <w:tc>
          <w:tcPr>
            <w:tcW w:w="1368" w:type="dxa"/>
          </w:tcPr>
          <w:p w:rsidR="00D66FC3" w:rsidRDefault="00D66FC3">
            <w:r>
              <w:t>Slide 15</w:t>
            </w:r>
          </w:p>
        </w:tc>
        <w:tc>
          <w:tcPr>
            <w:tcW w:w="3829" w:type="dxa"/>
          </w:tcPr>
          <w:p w:rsidR="00D66FC3" w:rsidRDefault="00D66FC3">
            <w:r>
              <w:object w:dxaOrig="9600" w:dyaOrig="5401">
                <v:shape id="_x0000_i1103" type="#_x0000_t75" style="width:192pt;height:108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103" DrawAspect="Content" ObjectID="_1701084545" r:id="rId33"/>
              </w:object>
            </w:r>
          </w:p>
        </w:tc>
        <w:tc>
          <w:tcPr>
            <w:tcW w:w="3829" w:type="dxa"/>
          </w:tcPr>
          <w:p w:rsidR="00D66FC3" w:rsidRDefault="00D66FC3" w:rsidP="00D66FC3">
            <w:pPr>
              <w:autoSpaceDE w:val="0"/>
              <w:autoSpaceDN w:val="0"/>
              <w:adjustRightInd w:val="0"/>
              <w:spacing w:after="0" w:line="240" w:lineRule="auto"/>
              <w:rPr>
                <w:rFonts w:ascii="Calibri" w:hAnsi="Calibri" w:cs="Calibri"/>
                <w:b/>
                <w:bCs/>
                <w:kern w:val="24"/>
                <w:sz w:val="24"/>
                <w:szCs w:val="24"/>
              </w:rPr>
            </w:pPr>
            <w:r>
              <w:rPr>
                <w:rFonts w:ascii="Calibri" w:hAnsi="Calibri" w:cs="Calibri"/>
                <w:b/>
                <w:bCs/>
                <w:kern w:val="24"/>
                <w:sz w:val="24"/>
                <w:szCs w:val="24"/>
              </w:rPr>
              <w:t>Job offer and contract</w:t>
            </w:r>
          </w:p>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During this process, the company almost has all the information about the candidate and that will make them accept the offer. If the candidate accepts the offer, they are made to sign the contract. This finally completes the selection process.</w:t>
            </w:r>
          </w:p>
          <w:p w:rsidR="00D66FC3" w:rsidRDefault="00D66FC3" w:rsidP="00D66FC3">
            <w:pPr>
              <w:autoSpaceDE w:val="0"/>
              <w:autoSpaceDN w:val="0"/>
              <w:adjustRightInd w:val="0"/>
              <w:spacing w:after="0" w:line="240" w:lineRule="auto"/>
              <w:rPr>
                <w:rFonts w:ascii="Calibri" w:hAnsi="Calibri" w:cs="Calibri"/>
                <w:kern w:val="24"/>
                <w:sz w:val="24"/>
                <w:szCs w:val="24"/>
              </w:rPr>
            </w:pPr>
          </w:p>
          <w:p w:rsidR="00D66FC3" w:rsidRDefault="00D66FC3" w:rsidP="00D66FC3">
            <w:pPr>
              <w:autoSpaceDE w:val="0"/>
              <w:autoSpaceDN w:val="0"/>
              <w:adjustRightInd w:val="0"/>
              <w:spacing w:after="0" w:line="240" w:lineRule="auto"/>
              <w:rPr>
                <w:rFonts w:ascii="Arial" w:hAnsi="Arial" w:cs="Arial"/>
                <w:sz w:val="24"/>
                <w:szCs w:val="24"/>
              </w:rPr>
            </w:pPr>
          </w:p>
          <w:p w:rsidR="00D66FC3" w:rsidRDefault="00D66FC3"/>
        </w:tc>
      </w:tr>
      <w:tr w:rsidR="00D66FC3" w:rsidTr="00D66FC3">
        <w:tblPrEx>
          <w:tblCellMar>
            <w:top w:w="0" w:type="dxa"/>
            <w:bottom w:w="0" w:type="dxa"/>
          </w:tblCellMar>
        </w:tblPrEx>
        <w:trPr>
          <w:trHeight w:val="4000"/>
        </w:trPr>
        <w:tc>
          <w:tcPr>
            <w:tcW w:w="1368" w:type="dxa"/>
          </w:tcPr>
          <w:p w:rsidR="00D66FC3" w:rsidRDefault="00D66FC3">
            <w:r>
              <w:t>Slide 16</w:t>
            </w:r>
          </w:p>
        </w:tc>
        <w:tc>
          <w:tcPr>
            <w:tcW w:w="3829" w:type="dxa"/>
          </w:tcPr>
          <w:p w:rsidR="00D66FC3" w:rsidRDefault="00D66FC3">
            <w:r>
              <w:object w:dxaOrig="9600" w:dyaOrig="5401">
                <v:shape id="_x0000_i1109" type="#_x0000_t75" style="width:192pt;height:108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109" DrawAspect="Content" ObjectID="_1701084546" r:id="rId35"/>
              </w:object>
            </w:r>
          </w:p>
        </w:tc>
        <w:tc>
          <w:tcPr>
            <w:tcW w:w="3829" w:type="dxa"/>
          </w:tcPr>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lang w:val="en-IN"/>
              </w:rPr>
              <w:t xml:space="preserve">Political. </w:t>
            </w:r>
            <w:r>
              <w:rPr>
                <w:rFonts w:ascii="Calibri" w:hAnsi="Calibri" w:cs="Calibri"/>
                <w:kern w:val="24"/>
                <w:sz w:val="24"/>
                <w:szCs w:val="24"/>
                <w:lang w:val="en-IN"/>
              </w:rPr>
              <w:t>It is the local government's stability, the countries policies had a huge impact after the effect of the Covid-19, which brought major changes in regulating the competition, tax structure and consumer protection laws.</w:t>
            </w:r>
          </w:p>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lang w:val="en-IN"/>
              </w:rPr>
              <w:t>Economic</w:t>
            </w:r>
            <w:r>
              <w:rPr>
                <w:rFonts w:ascii="Calibri" w:hAnsi="Calibri" w:cs="Calibri"/>
                <w:kern w:val="24"/>
                <w:sz w:val="24"/>
                <w:szCs w:val="24"/>
                <w:lang w:val="en-IN"/>
              </w:rPr>
              <w:t>. It is all about the money, product and services, which refers to the financial state of Starbucks in the economy which was hugely hampered due to Covid-19 as the stores were completely shut during that period.</w:t>
            </w:r>
          </w:p>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lang w:val="en-IN"/>
              </w:rPr>
              <w:t>Social</w:t>
            </w:r>
            <w:r>
              <w:rPr>
                <w:rFonts w:ascii="Calibri" w:hAnsi="Calibri" w:cs="Calibri"/>
                <w:kern w:val="24"/>
                <w:sz w:val="24"/>
                <w:szCs w:val="24"/>
                <w:lang w:val="en-IN"/>
              </w:rPr>
              <w:t>. The factors related to social are the cultural expectations, growth rates of the population, distribution of age, health which helps Starbucks to plan the market strategies (</w:t>
            </w:r>
            <w:proofErr w:type="spellStart"/>
            <w:r>
              <w:rPr>
                <w:rFonts w:ascii="Calibri" w:hAnsi="Calibri" w:cs="Calibri"/>
                <w:kern w:val="24"/>
                <w:sz w:val="24"/>
                <w:szCs w:val="24"/>
                <w:lang w:val="en-IN"/>
              </w:rPr>
              <w:t>Basak</w:t>
            </w:r>
            <w:proofErr w:type="spellEnd"/>
            <w:r>
              <w:rPr>
                <w:rFonts w:ascii="Calibri" w:hAnsi="Calibri" w:cs="Calibri"/>
                <w:kern w:val="24"/>
                <w:sz w:val="24"/>
                <w:szCs w:val="24"/>
                <w:lang w:val="en-IN"/>
              </w:rPr>
              <w:t xml:space="preserve"> et al., 2020). However, during the </w:t>
            </w:r>
            <w:r>
              <w:rPr>
                <w:rFonts w:ascii="Calibri" w:hAnsi="Calibri" w:cs="Calibri"/>
                <w:kern w:val="24"/>
                <w:sz w:val="24"/>
                <w:szCs w:val="24"/>
                <w:lang w:val="en-IN"/>
              </w:rPr>
              <w:lastRenderedPageBreak/>
              <w:t>pandemic, the company's growth rate reduced abruptly from every aspect, but it's gradually recovering.</w:t>
            </w:r>
          </w:p>
          <w:p w:rsidR="00D66FC3" w:rsidRDefault="00D66FC3" w:rsidP="00D66FC3">
            <w:pPr>
              <w:autoSpaceDE w:val="0"/>
              <w:autoSpaceDN w:val="0"/>
              <w:adjustRightInd w:val="0"/>
              <w:spacing w:after="0" w:line="240" w:lineRule="auto"/>
              <w:rPr>
                <w:rFonts w:ascii="Arial" w:hAnsi="Arial" w:cs="Arial"/>
                <w:sz w:val="24"/>
                <w:szCs w:val="24"/>
              </w:rPr>
            </w:pPr>
          </w:p>
          <w:p w:rsidR="00D66FC3" w:rsidRDefault="00D66FC3"/>
        </w:tc>
      </w:tr>
      <w:tr w:rsidR="00D66FC3" w:rsidTr="00D66FC3">
        <w:tblPrEx>
          <w:tblCellMar>
            <w:top w:w="0" w:type="dxa"/>
            <w:bottom w:w="0" w:type="dxa"/>
          </w:tblCellMar>
        </w:tblPrEx>
        <w:trPr>
          <w:trHeight w:val="4000"/>
        </w:trPr>
        <w:tc>
          <w:tcPr>
            <w:tcW w:w="1368" w:type="dxa"/>
          </w:tcPr>
          <w:p w:rsidR="00D66FC3" w:rsidRDefault="00D66FC3">
            <w:r>
              <w:lastRenderedPageBreak/>
              <w:t>Slide 17</w:t>
            </w:r>
          </w:p>
        </w:tc>
        <w:tc>
          <w:tcPr>
            <w:tcW w:w="3829" w:type="dxa"/>
          </w:tcPr>
          <w:p w:rsidR="00D66FC3" w:rsidRDefault="00D66FC3">
            <w:r>
              <w:object w:dxaOrig="9600" w:dyaOrig="5401">
                <v:shape id="_x0000_i1115" type="#_x0000_t75" style="width:192pt;height:108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115" DrawAspect="Content" ObjectID="_1701084547" r:id="rId37"/>
              </w:object>
            </w:r>
          </w:p>
        </w:tc>
        <w:tc>
          <w:tcPr>
            <w:tcW w:w="3829" w:type="dxa"/>
          </w:tcPr>
          <w:p w:rsidR="00D66FC3" w:rsidRDefault="00D66FC3" w:rsidP="00D66FC3">
            <w:pPr>
              <w:autoSpaceDE w:val="0"/>
              <w:autoSpaceDN w:val="0"/>
              <w:adjustRightInd w:val="0"/>
              <w:spacing w:after="0" w:line="240" w:lineRule="auto"/>
              <w:rPr>
                <w:rFonts w:ascii="Calibri" w:hAnsi="Calibri" w:cs="Calibri"/>
                <w:kern w:val="24"/>
                <w:sz w:val="24"/>
                <w:szCs w:val="24"/>
                <w:lang w:val="en-IN"/>
              </w:rPr>
            </w:pPr>
            <w:r>
              <w:rPr>
                <w:rFonts w:ascii="Calibri" w:hAnsi="Calibri" w:cs="Calibri"/>
                <w:b/>
                <w:bCs/>
                <w:kern w:val="24"/>
                <w:sz w:val="24"/>
                <w:szCs w:val="24"/>
                <w:lang w:val="en-IN"/>
              </w:rPr>
              <w:t>Technical.</w:t>
            </w:r>
            <w:r>
              <w:rPr>
                <w:rFonts w:ascii="Calibri" w:hAnsi="Calibri" w:cs="Calibri"/>
                <w:kern w:val="24"/>
                <w:sz w:val="24"/>
                <w:szCs w:val="24"/>
                <w:lang w:val="en-IN"/>
              </w:rPr>
              <w:t xml:space="preserve"> The use of advanced technology to </w:t>
            </w:r>
            <w:proofErr w:type="spellStart"/>
            <w:r>
              <w:rPr>
                <w:rFonts w:ascii="Calibri" w:hAnsi="Calibri" w:cs="Calibri"/>
                <w:kern w:val="24"/>
                <w:sz w:val="24"/>
                <w:szCs w:val="24"/>
                <w:lang w:val="en-IN"/>
              </w:rPr>
              <w:t>analyze</w:t>
            </w:r>
            <w:proofErr w:type="spellEnd"/>
            <w:r>
              <w:rPr>
                <w:rFonts w:ascii="Calibri" w:hAnsi="Calibri" w:cs="Calibri"/>
                <w:kern w:val="24"/>
                <w:sz w:val="24"/>
                <w:szCs w:val="24"/>
                <w:lang w:val="en-IN"/>
              </w:rPr>
              <w:t xml:space="preserve"> various data has been helpful for the company to recover and work on planning future strategies.</w:t>
            </w:r>
          </w:p>
          <w:p w:rsidR="00D66FC3" w:rsidRDefault="00D66FC3" w:rsidP="00D66FC3">
            <w:pPr>
              <w:autoSpaceDE w:val="0"/>
              <w:autoSpaceDN w:val="0"/>
              <w:adjustRightInd w:val="0"/>
              <w:spacing w:after="0" w:line="240" w:lineRule="auto"/>
              <w:rPr>
                <w:rFonts w:ascii="Calibri" w:hAnsi="Calibri" w:cs="Calibri"/>
                <w:kern w:val="24"/>
                <w:sz w:val="24"/>
                <w:szCs w:val="24"/>
                <w:lang w:val="en-IN"/>
              </w:rPr>
            </w:pPr>
            <w:r>
              <w:rPr>
                <w:rFonts w:ascii="Calibri" w:hAnsi="Calibri" w:cs="Calibri"/>
                <w:b/>
                <w:bCs/>
                <w:kern w:val="24"/>
                <w:sz w:val="24"/>
                <w:szCs w:val="24"/>
                <w:lang w:val="en-IN"/>
              </w:rPr>
              <w:t>Legal.</w:t>
            </w:r>
            <w:r>
              <w:rPr>
                <w:rFonts w:ascii="Calibri" w:hAnsi="Calibri" w:cs="Calibri"/>
                <w:kern w:val="24"/>
                <w:sz w:val="24"/>
                <w:szCs w:val="24"/>
                <w:lang w:val="en-IN"/>
              </w:rPr>
              <w:t xml:space="preserve"> It comprises the impact on employment due to changes in the legislation, resources and quotas (Armstrong and Taylor, 2017). The company has never violated any "laws and regulations" be it in its home market or worldwide. </w:t>
            </w:r>
          </w:p>
          <w:p w:rsidR="00D66FC3" w:rsidRDefault="00D66FC3" w:rsidP="00D66FC3">
            <w:pPr>
              <w:autoSpaceDE w:val="0"/>
              <w:autoSpaceDN w:val="0"/>
              <w:adjustRightInd w:val="0"/>
              <w:spacing w:after="0" w:line="240" w:lineRule="auto"/>
              <w:rPr>
                <w:rFonts w:ascii="Calibri" w:hAnsi="Calibri" w:cs="Calibri"/>
                <w:kern w:val="24"/>
                <w:sz w:val="24"/>
                <w:szCs w:val="24"/>
                <w:lang w:val="en-IN"/>
              </w:rPr>
            </w:pPr>
            <w:r>
              <w:rPr>
                <w:rFonts w:ascii="Calibri" w:hAnsi="Calibri" w:cs="Calibri"/>
                <w:b/>
                <w:bCs/>
                <w:kern w:val="24"/>
                <w:sz w:val="24"/>
                <w:szCs w:val="24"/>
                <w:lang w:val="en-IN"/>
              </w:rPr>
              <w:t>Environmental.</w:t>
            </w:r>
            <w:r>
              <w:rPr>
                <w:rFonts w:ascii="Calibri" w:hAnsi="Calibri" w:cs="Calibri"/>
                <w:kern w:val="24"/>
                <w:sz w:val="24"/>
                <w:szCs w:val="24"/>
                <w:lang w:val="en-IN"/>
              </w:rPr>
              <w:t xml:space="preserve"> It is also known as ecological factors. The physical environmental factors like climate change. For that matter, the company has been using eco-friendly glass for a long period</w:t>
            </w:r>
          </w:p>
          <w:p w:rsidR="00D66FC3" w:rsidRDefault="00D66FC3" w:rsidP="00D66FC3">
            <w:pPr>
              <w:autoSpaceDE w:val="0"/>
              <w:autoSpaceDN w:val="0"/>
              <w:adjustRightInd w:val="0"/>
              <w:spacing w:after="0" w:line="240" w:lineRule="auto"/>
              <w:rPr>
                <w:rFonts w:ascii="Arial" w:hAnsi="Arial" w:cs="Arial"/>
                <w:sz w:val="24"/>
                <w:szCs w:val="24"/>
              </w:rPr>
            </w:pPr>
          </w:p>
          <w:p w:rsidR="00D66FC3" w:rsidRDefault="00D66FC3"/>
        </w:tc>
      </w:tr>
      <w:tr w:rsidR="00D66FC3" w:rsidTr="00D66FC3">
        <w:tblPrEx>
          <w:tblCellMar>
            <w:top w:w="0" w:type="dxa"/>
            <w:bottom w:w="0" w:type="dxa"/>
          </w:tblCellMar>
        </w:tblPrEx>
        <w:trPr>
          <w:trHeight w:val="4000"/>
        </w:trPr>
        <w:tc>
          <w:tcPr>
            <w:tcW w:w="1368" w:type="dxa"/>
          </w:tcPr>
          <w:p w:rsidR="00D66FC3" w:rsidRDefault="00D66FC3">
            <w:r>
              <w:lastRenderedPageBreak/>
              <w:t>Slide 18</w:t>
            </w:r>
          </w:p>
        </w:tc>
        <w:tc>
          <w:tcPr>
            <w:tcW w:w="3829" w:type="dxa"/>
          </w:tcPr>
          <w:p w:rsidR="00D66FC3" w:rsidRDefault="00D66FC3">
            <w:r>
              <w:object w:dxaOrig="9600" w:dyaOrig="5401">
                <v:shape id="_x0000_i1121" type="#_x0000_t75" style="width:192pt;height:108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121" DrawAspect="Content" ObjectID="_1701084548" r:id="rId39"/>
              </w:object>
            </w:r>
          </w:p>
        </w:tc>
        <w:tc>
          <w:tcPr>
            <w:tcW w:w="3829" w:type="dxa"/>
          </w:tcPr>
          <w:p w:rsidR="00D66FC3" w:rsidRDefault="00D66FC3"/>
        </w:tc>
      </w:tr>
      <w:tr w:rsidR="00D66FC3" w:rsidTr="00D66FC3">
        <w:tblPrEx>
          <w:tblCellMar>
            <w:top w:w="0" w:type="dxa"/>
            <w:bottom w:w="0" w:type="dxa"/>
          </w:tblCellMar>
        </w:tblPrEx>
        <w:trPr>
          <w:trHeight w:val="4000"/>
        </w:trPr>
        <w:tc>
          <w:tcPr>
            <w:tcW w:w="1368" w:type="dxa"/>
          </w:tcPr>
          <w:p w:rsidR="00D66FC3" w:rsidRDefault="00D66FC3">
            <w:r>
              <w:t>Slide 19</w:t>
            </w:r>
          </w:p>
        </w:tc>
        <w:tc>
          <w:tcPr>
            <w:tcW w:w="3829" w:type="dxa"/>
          </w:tcPr>
          <w:p w:rsidR="00D66FC3" w:rsidRDefault="00D66FC3">
            <w:r>
              <w:object w:dxaOrig="9600" w:dyaOrig="5401">
                <v:shape id="_x0000_i1126" type="#_x0000_t75" style="width:192pt;height:108pt" o:ole="" o:bordertopcolor="this" o:borderleftcolor="this" o:borderbottomcolor="this" o:borderrightcolor="this">
                  <v:imagedata r:id="rId40" o:title=""/>
                  <w10:bordertop type="single" width="4" shadow="t"/>
                  <w10:borderleft type="single" width="4" shadow="t"/>
                  <w10:borderbottom type="single" width="4" shadow="t"/>
                  <w10:borderright type="single" width="4" shadow="t"/>
                </v:shape>
                <o:OLEObject Type="Embed" ProgID="PowerPoint.Slide.12" ShapeID="_x0000_i1126" DrawAspect="Content" ObjectID="_1701084549" r:id="rId41"/>
              </w:object>
            </w:r>
          </w:p>
        </w:tc>
        <w:tc>
          <w:tcPr>
            <w:tcW w:w="3829" w:type="dxa"/>
          </w:tcPr>
          <w:p w:rsidR="00D66FC3" w:rsidRDefault="00D66FC3" w:rsidP="00D66FC3">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lang w:val="en-IN"/>
              </w:rPr>
              <w:t>References</w:t>
            </w:r>
          </w:p>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IN"/>
              </w:rPr>
              <w:t xml:space="preserve">Armstrong, M., Taylor, S., 2017. </w:t>
            </w:r>
            <w:r>
              <w:rPr>
                <w:rFonts w:ascii="Calibri" w:hAnsi="Calibri" w:cs="Calibri"/>
                <w:i/>
                <w:iCs/>
                <w:kern w:val="24"/>
                <w:sz w:val="24"/>
                <w:szCs w:val="24"/>
                <w:lang w:val="en-IN"/>
              </w:rPr>
              <w:t>Armstrong's Handbook of Human Resource Management Practice</w:t>
            </w:r>
            <w:r>
              <w:rPr>
                <w:rFonts w:ascii="Calibri" w:hAnsi="Calibri" w:cs="Calibri"/>
                <w:kern w:val="24"/>
                <w:sz w:val="24"/>
                <w:szCs w:val="24"/>
                <w:lang w:val="en-IN"/>
              </w:rPr>
              <w:t xml:space="preserve">. Kogan, 14th Edition. </w:t>
            </w:r>
          </w:p>
          <w:p w:rsidR="00D66FC3" w:rsidRDefault="00D66FC3" w:rsidP="00D66FC3">
            <w:pPr>
              <w:autoSpaceDE w:val="0"/>
              <w:autoSpaceDN w:val="0"/>
              <w:adjustRightInd w:val="0"/>
              <w:spacing w:after="0" w:line="240" w:lineRule="auto"/>
              <w:rPr>
                <w:rFonts w:ascii="Calibri" w:hAnsi="Calibri" w:cs="Calibri"/>
                <w:kern w:val="24"/>
                <w:sz w:val="24"/>
                <w:szCs w:val="24"/>
              </w:rPr>
            </w:pPr>
            <w:proofErr w:type="spellStart"/>
            <w:r>
              <w:rPr>
                <w:rFonts w:ascii="Calibri" w:hAnsi="Calibri" w:cs="Calibri"/>
                <w:kern w:val="24"/>
                <w:sz w:val="24"/>
                <w:szCs w:val="24"/>
                <w:lang w:val="en-IN"/>
              </w:rPr>
              <w:t>Basak</w:t>
            </w:r>
            <w:proofErr w:type="spellEnd"/>
            <w:r>
              <w:rPr>
                <w:rFonts w:ascii="Calibri" w:hAnsi="Calibri" w:cs="Calibri"/>
                <w:kern w:val="24"/>
                <w:sz w:val="24"/>
                <w:szCs w:val="24"/>
                <w:lang w:val="en-IN"/>
              </w:rPr>
              <w:t xml:space="preserve">, S., Ranjith, P.V., Prakash, P.A., </w:t>
            </w:r>
            <w:proofErr w:type="spellStart"/>
            <w:r>
              <w:rPr>
                <w:rFonts w:ascii="Calibri" w:hAnsi="Calibri" w:cs="Calibri"/>
                <w:kern w:val="24"/>
                <w:sz w:val="24"/>
                <w:szCs w:val="24"/>
                <w:lang w:val="en-IN"/>
              </w:rPr>
              <w:t>Albesis</w:t>
            </w:r>
            <w:proofErr w:type="spellEnd"/>
            <w:r>
              <w:rPr>
                <w:rFonts w:ascii="Calibri" w:hAnsi="Calibri" w:cs="Calibri"/>
                <w:kern w:val="24"/>
                <w:sz w:val="24"/>
                <w:szCs w:val="24"/>
                <w:lang w:val="en-IN"/>
              </w:rPr>
              <w:t xml:space="preserve">, G., </w:t>
            </w:r>
            <w:proofErr w:type="spellStart"/>
            <w:r>
              <w:rPr>
                <w:rFonts w:ascii="Calibri" w:hAnsi="Calibri" w:cs="Calibri"/>
                <w:kern w:val="24"/>
                <w:sz w:val="24"/>
                <w:szCs w:val="24"/>
                <w:lang w:val="en-IN"/>
              </w:rPr>
              <w:t>Quttainah</w:t>
            </w:r>
            <w:proofErr w:type="spellEnd"/>
            <w:r>
              <w:rPr>
                <w:rFonts w:ascii="Calibri" w:hAnsi="Calibri" w:cs="Calibri"/>
                <w:kern w:val="24"/>
                <w:sz w:val="24"/>
                <w:szCs w:val="24"/>
                <w:lang w:val="en-IN"/>
              </w:rPr>
              <w:t xml:space="preserve">, M.A., Shukla, S. and Pandey, R., 2020. </w:t>
            </w:r>
            <w:r>
              <w:rPr>
                <w:rFonts w:ascii="Calibri" w:hAnsi="Calibri" w:cs="Calibri"/>
                <w:i/>
                <w:iCs/>
                <w:kern w:val="24"/>
                <w:sz w:val="24"/>
                <w:szCs w:val="24"/>
                <w:lang w:val="en-IN"/>
              </w:rPr>
              <w:t>Business Idea for Starbucks: Organic Yerba Mate Beverages</w:t>
            </w:r>
            <w:r>
              <w:rPr>
                <w:rFonts w:ascii="Calibri" w:hAnsi="Calibri" w:cs="Calibri"/>
                <w:kern w:val="24"/>
                <w:sz w:val="24"/>
                <w:szCs w:val="24"/>
                <w:lang w:val="en-IN"/>
              </w:rPr>
              <w:t xml:space="preserve">. International journal of Tourism and hospitality in Asia Pacific (IJTHAP), 3(2), pp.89-96. </w:t>
            </w:r>
          </w:p>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IN"/>
              </w:rPr>
              <w:t xml:space="preserve">Fisher, G., Stevenson, R., Neubert, E., Burnell, D. and </w:t>
            </w:r>
            <w:proofErr w:type="spellStart"/>
            <w:r>
              <w:rPr>
                <w:rFonts w:ascii="Calibri" w:hAnsi="Calibri" w:cs="Calibri"/>
                <w:kern w:val="24"/>
                <w:sz w:val="24"/>
                <w:szCs w:val="24"/>
                <w:lang w:val="en-IN"/>
              </w:rPr>
              <w:t>Kuratko</w:t>
            </w:r>
            <w:proofErr w:type="spellEnd"/>
            <w:r>
              <w:rPr>
                <w:rFonts w:ascii="Calibri" w:hAnsi="Calibri" w:cs="Calibri"/>
                <w:kern w:val="24"/>
                <w:sz w:val="24"/>
                <w:szCs w:val="24"/>
                <w:lang w:val="en-IN"/>
              </w:rPr>
              <w:t xml:space="preserve">, D.F., 2020. </w:t>
            </w:r>
            <w:r>
              <w:rPr>
                <w:rFonts w:ascii="Calibri" w:hAnsi="Calibri" w:cs="Calibri"/>
                <w:i/>
                <w:iCs/>
                <w:kern w:val="24"/>
                <w:sz w:val="24"/>
                <w:szCs w:val="24"/>
                <w:lang w:val="en-IN"/>
              </w:rPr>
              <w:t>Entrepreneurial hustle: Navigating uncertainty and enrolling venture stakeholders through urgent and unorthodox action</w:t>
            </w:r>
            <w:r>
              <w:rPr>
                <w:rFonts w:ascii="Calibri" w:hAnsi="Calibri" w:cs="Calibri"/>
                <w:kern w:val="24"/>
                <w:sz w:val="24"/>
                <w:szCs w:val="24"/>
                <w:lang w:val="en-IN"/>
              </w:rPr>
              <w:t>. Journal of Management Studies, 57(5), pp.1002-1036.</w:t>
            </w:r>
          </w:p>
          <w:p w:rsidR="00D66FC3" w:rsidRDefault="00D66FC3" w:rsidP="00D66FC3">
            <w:pPr>
              <w:autoSpaceDE w:val="0"/>
              <w:autoSpaceDN w:val="0"/>
              <w:adjustRightInd w:val="0"/>
              <w:spacing w:after="0" w:line="240" w:lineRule="auto"/>
              <w:rPr>
                <w:rFonts w:ascii="Calibri" w:hAnsi="Calibri" w:cs="Calibri"/>
                <w:kern w:val="24"/>
                <w:sz w:val="24"/>
                <w:szCs w:val="24"/>
              </w:rPr>
            </w:pPr>
            <w:proofErr w:type="spellStart"/>
            <w:r>
              <w:rPr>
                <w:rFonts w:ascii="Calibri" w:hAnsi="Calibri" w:cs="Calibri"/>
                <w:kern w:val="24"/>
                <w:sz w:val="24"/>
                <w:szCs w:val="24"/>
                <w:lang w:val="en-IN"/>
              </w:rPr>
              <w:t>Grishko</w:t>
            </w:r>
            <w:proofErr w:type="spellEnd"/>
            <w:r>
              <w:rPr>
                <w:rFonts w:ascii="Calibri" w:hAnsi="Calibri" w:cs="Calibri"/>
                <w:kern w:val="24"/>
                <w:sz w:val="24"/>
                <w:szCs w:val="24"/>
                <w:lang w:val="en-IN"/>
              </w:rPr>
              <w:t xml:space="preserve">, V., </w:t>
            </w:r>
            <w:proofErr w:type="spellStart"/>
            <w:r>
              <w:rPr>
                <w:rFonts w:ascii="Calibri" w:hAnsi="Calibri" w:cs="Calibri"/>
                <w:kern w:val="24"/>
                <w:sz w:val="24"/>
                <w:szCs w:val="24"/>
                <w:lang w:val="en-IN"/>
              </w:rPr>
              <w:t>Kulchii</w:t>
            </w:r>
            <w:proofErr w:type="spellEnd"/>
            <w:r>
              <w:rPr>
                <w:rFonts w:ascii="Calibri" w:hAnsi="Calibri" w:cs="Calibri"/>
                <w:kern w:val="24"/>
                <w:sz w:val="24"/>
                <w:szCs w:val="24"/>
                <w:lang w:val="en-IN"/>
              </w:rPr>
              <w:t xml:space="preserve">, I., </w:t>
            </w:r>
            <w:proofErr w:type="spellStart"/>
            <w:r>
              <w:rPr>
                <w:rFonts w:ascii="Calibri" w:hAnsi="Calibri" w:cs="Calibri"/>
                <w:kern w:val="24"/>
                <w:sz w:val="24"/>
                <w:szCs w:val="24"/>
                <w:lang w:val="en-IN"/>
              </w:rPr>
              <w:t>Glebova</w:t>
            </w:r>
            <w:proofErr w:type="spellEnd"/>
            <w:r>
              <w:rPr>
                <w:rFonts w:ascii="Calibri" w:hAnsi="Calibri" w:cs="Calibri"/>
                <w:kern w:val="24"/>
                <w:sz w:val="24"/>
                <w:szCs w:val="24"/>
                <w:lang w:val="en-IN"/>
              </w:rPr>
              <w:t xml:space="preserve">, A. and </w:t>
            </w:r>
            <w:proofErr w:type="spellStart"/>
            <w:r>
              <w:rPr>
                <w:rFonts w:ascii="Calibri" w:hAnsi="Calibri" w:cs="Calibri"/>
                <w:kern w:val="24"/>
                <w:sz w:val="24"/>
                <w:szCs w:val="24"/>
                <w:lang w:val="en-IN"/>
              </w:rPr>
              <w:t>Hasanova</w:t>
            </w:r>
            <w:proofErr w:type="spellEnd"/>
            <w:r>
              <w:rPr>
                <w:rFonts w:ascii="Calibri" w:hAnsi="Calibri" w:cs="Calibri"/>
                <w:kern w:val="24"/>
                <w:sz w:val="24"/>
                <w:szCs w:val="24"/>
                <w:lang w:val="en-IN"/>
              </w:rPr>
              <w:t xml:space="preserve">, T., 2020. </w:t>
            </w:r>
            <w:r>
              <w:rPr>
                <w:rFonts w:ascii="Calibri" w:hAnsi="Calibri" w:cs="Calibri"/>
                <w:i/>
                <w:iCs/>
                <w:kern w:val="24"/>
                <w:sz w:val="24"/>
                <w:szCs w:val="24"/>
                <w:lang w:val="en-IN"/>
              </w:rPr>
              <w:t>Features of Strategic Analysis of Externals Factors of the Building Organization: Methodological Aspect</w:t>
            </w:r>
            <w:r>
              <w:rPr>
                <w:rFonts w:ascii="Calibri" w:hAnsi="Calibri" w:cs="Calibri"/>
                <w:kern w:val="24"/>
                <w:sz w:val="24"/>
                <w:szCs w:val="24"/>
                <w:lang w:val="en-IN"/>
              </w:rPr>
              <w:t xml:space="preserve">. In International Conference BUILDING INNOVATIONS (pp. 651-660). Springer, Cham. </w:t>
            </w:r>
          </w:p>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IN"/>
              </w:rPr>
              <w:t xml:space="preserve">Gupta, R.C. and Jain, N., 2021. </w:t>
            </w:r>
            <w:r>
              <w:rPr>
                <w:rFonts w:ascii="Calibri" w:hAnsi="Calibri" w:cs="Calibri"/>
                <w:i/>
                <w:iCs/>
                <w:kern w:val="24"/>
                <w:sz w:val="24"/>
                <w:szCs w:val="24"/>
                <w:lang w:val="en-IN"/>
              </w:rPr>
              <w:t>Leadership and management-theoretical perspective on the conflict.</w:t>
            </w:r>
            <w:r>
              <w:rPr>
                <w:rFonts w:ascii="Calibri" w:hAnsi="Calibri" w:cs="Calibri"/>
                <w:kern w:val="24"/>
                <w:sz w:val="24"/>
                <w:szCs w:val="24"/>
                <w:lang w:val="en-IN"/>
              </w:rPr>
              <w:t xml:space="preserve"> Journal of Organizational </w:t>
            </w:r>
            <w:r>
              <w:rPr>
                <w:rFonts w:ascii="Calibri" w:hAnsi="Calibri" w:cs="Calibri"/>
                <w:kern w:val="24"/>
                <w:sz w:val="24"/>
                <w:szCs w:val="24"/>
                <w:lang w:val="en-IN"/>
              </w:rPr>
              <w:lastRenderedPageBreak/>
              <w:t>Culture, Communications and Conflict, 25(6), pp.1-3.</w:t>
            </w:r>
          </w:p>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IN"/>
              </w:rPr>
              <w:t xml:space="preserve">Kramer, A., </w:t>
            </w:r>
            <w:proofErr w:type="spellStart"/>
            <w:r>
              <w:rPr>
                <w:rFonts w:ascii="Calibri" w:hAnsi="Calibri" w:cs="Calibri"/>
                <w:kern w:val="24"/>
                <w:sz w:val="24"/>
                <w:szCs w:val="24"/>
                <w:lang w:val="en-IN"/>
              </w:rPr>
              <w:t>Chell</w:t>
            </w:r>
            <w:proofErr w:type="spellEnd"/>
            <w:r>
              <w:rPr>
                <w:rFonts w:ascii="Calibri" w:hAnsi="Calibri" w:cs="Calibri"/>
                <w:kern w:val="24"/>
                <w:sz w:val="24"/>
                <w:szCs w:val="24"/>
                <w:lang w:val="en-IN"/>
              </w:rPr>
              <w:t xml:space="preserve">, L., Vargo, B., Williams, K.F., Wilson, S. and Bullough, A., 2020. </w:t>
            </w:r>
            <w:r>
              <w:rPr>
                <w:rFonts w:ascii="Calibri" w:hAnsi="Calibri" w:cs="Calibri"/>
                <w:i/>
                <w:iCs/>
                <w:kern w:val="24"/>
                <w:sz w:val="24"/>
                <w:szCs w:val="24"/>
                <w:lang w:val="en-IN"/>
              </w:rPr>
              <w:t>The Starbucks Joint Venture in India: Making Expansion in India as Successful as It Was in China</w:t>
            </w:r>
            <w:r>
              <w:rPr>
                <w:rFonts w:ascii="Calibri" w:hAnsi="Calibri" w:cs="Calibri"/>
                <w:kern w:val="24"/>
                <w:sz w:val="24"/>
                <w:szCs w:val="24"/>
                <w:lang w:val="en-IN"/>
              </w:rPr>
              <w:t>. SAGE Publications: SAGE Business Cases Originals.</w:t>
            </w:r>
          </w:p>
          <w:p w:rsidR="00D66FC3" w:rsidRDefault="00D66FC3" w:rsidP="00D66FC3">
            <w:pPr>
              <w:autoSpaceDE w:val="0"/>
              <w:autoSpaceDN w:val="0"/>
              <w:adjustRightInd w:val="0"/>
              <w:spacing w:after="0" w:line="240" w:lineRule="auto"/>
              <w:rPr>
                <w:rFonts w:ascii="Calibri" w:hAnsi="Calibri" w:cs="Calibri"/>
                <w:kern w:val="24"/>
                <w:sz w:val="24"/>
                <w:szCs w:val="24"/>
              </w:rPr>
            </w:pPr>
          </w:p>
          <w:p w:rsidR="00D66FC3" w:rsidRDefault="00D66FC3" w:rsidP="00D66FC3">
            <w:pPr>
              <w:autoSpaceDE w:val="0"/>
              <w:autoSpaceDN w:val="0"/>
              <w:adjustRightInd w:val="0"/>
              <w:spacing w:after="0" w:line="240" w:lineRule="auto"/>
              <w:rPr>
                <w:rFonts w:ascii="Arial" w:hAnsi="Arial" w:cs="Arial"/>
                <w:sz w:val="24"/>
                <w:szCs w:val="24"/>
              </w:rPr>
            </w:pPr>
          </w:p>
          <w:p w:rsidR="00D66FC3" w:rsidRDefault="00D66FC3"/>
        </w:tc>
      </w:tr>
      <w:tr w:rsidR="00D66FC3" w:rsidTr="00D66FC3">
        <w:tblPrEx>
          <w:tblCellMar>
            <w:top w:w="0" w:type="dxa"/>
            <w:bottom w:w="0" w:type="dxa"/>
          </w:tblCellMar>
        </w:tblPrEx>
        <w:trPr>
          <w:trHeight w:val="4000"/>
        </w:trPr>
        <w:tc>
          <w:tcPr>
            <w:tcW w:w="1368" w:type="dxa"/>
          </w:tcPr>
          <w:p w:rsidR="00D66FC3" w:rsidRDefault="00D66FC3">
            <w:r>
              <w:lastRenderedPageBreak/>
              <w:t>Slide 20</w:t>
            </w:r>
          </w:p>
        </w:tc>
        <w:tc>
          <w:tcPr>
            <w:tcW w:w="3829" w:type="dxa"/>
          </w:tcPr>
          <w:p w:rsidR="00D66FC3" w:rsidRDefault="00D66FC3">
            <w:r>
              <w:object w:dxaOrig="9600" w:dyaOrig="5401">
                <v:shape id="_x0000_i1132" type="#_x0000_t75" style="width:192pt;height:108pt" o:ole="" o:bordertopcolor="this" o:borderleftcolor="this" o:borderbottomcolor="this" o:borderrightcolor="this">
                  <v:imagedata r:id="rId42" o:title=""/>
                  <w10:bordertop type="single" width="4" shadow="t"/>
                  <w10:borderleft type="single" width="4" shadow="t"/>
                  <w10:borderbottom type="single" width="4" shadow="t"/>
                  <w10:borderright type="single" width="4" shadow="t"/>
                </v:shape>
                <o:OLEObject Type="Embed" ProgID="PowerPoint.Slide.12" ShapeID="_x0000_i1132" DrawAspect="Content" ObjectID="_1701084550" r:id="rId43"/>
              </w:object>
            </w:r>
          </w:p>
        </w:tc>
        <w:tc>
          <w:tcPr>
            <w:tcW w:w="3829" w:type="dxa"/>
          </w:tcPr>
          <w:p w:rsidR="00D66FC3" w:rsidRDefault="00D66FC3" w:rsidP="00D66FC3">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lang w:val="en-IN"/>
              </w:rPr>
              <w:t>References</w:t>
            </w:r>
          </w:p>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IN"/>
              </w:rPr>
              <w:t xml:space="preserve">Liu, F., Chen, Y.W., Yang, J.B., Xu, D.L. and Liu, W., 2019. </w:t>
            </w:r>
            <w:r>
              <w:rPr>
                <w:rFonts w:ascii="Calibri" w:hAnsi="Calibri" w:cs="Calibri"/>
                <w:i/>
                <w:iCs/>
                <w:kern w:val="24"/>
                <w:sz w:val="24"/>
                <w:szCs w:val="24"/>
                <w:lang w:val="en-IN"/>
              </w:rPr>
              <w:t>Solving multiple-criteria R&amp;D project selection problems with a data-driven evidential reasoning rule</w:t>
            </w:r>
            <w:r>
              <w:rPr>
                <w:rFonts w:ascii="Calibri" w:hAnsi="Calibri" w:cs="Calibri"/>
                <w:kern w:val="24"/>
                <w:sz w:val="24"/>
                <w:szCs w:val="24"/>
                <w:lang w:val="en-IN"/>
              </w:rPr>
              <w:t xml:space="preserve">. International Journal of Project Management, 37(1), pp.87-97. </w:t>
            </w:r>
          </w:p>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IN"/>
              </w:rPr>
              <w:t xml:space="preserve">Taylor, S., 2010. </w:t>
            </w:r>
            <w:r>
              <w:rPr>
                <w:rFonts w:ascii="Calibri" w:hAnsi="Calibri" w:cs="Calibri"/>
                <w:i/>
                <w:iCs/>
                <w:kern w:val="24"/>
                <w:sz w:val="24"/>
                <w:szCs w:val="24"/>
                <w:lang w:val="en-IN"/>
              </w:rPr>
              <w:t>Resourcing and talent management</w:t>
            </w:r>
            <w:r>
              <w:rPr>
                <w:rFonts w:ascii="Calibri" w:hAnsi="Calibri" w:cs="Calibri"/>
                <w:kern w:val="24"/>
                <w:sz w:val="24"/>
                <w:szCs w:val="24"/>
                <w:lang w:val="en-IN"/>
              </w:rPr>
              <w:t>. Chartered Institute of Personnel and Development, 5th ed., London.</w:t>
            </w:r>
          </w:p>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IN"/>
              </w:rPr>
              <w:t xml:space="preserve">Temby, Q., 2020. </w:t>
            </w:r>
            <w:r>
              <w:rPr>
                <w:rFonts w:ascii="Calibri" w:hAnsi="Calibri" w:cs="Calibri"/>
                <w:i/>
                <w:iCs/>
                <w:kern w:val="24"/>
                <w:sz w:val="24"/>
                <w:szCs w:val="24"/>
                <w:lang w:val="en-IN"/>
              </w:rPr>
              <w:t>Terrorism in Indonesia After “Islamic State”.</w:t>
            </w:r>
            <w:r>
              <w:rPr>
                <w:rFonts w:ascii="Calibri" w:hAnsi="Calibri" w:cs="Calibri"/>
                <w:kern w:val="24"/>
                <w:sz w:val="24"/>
                <w:szCs w:val="24"/>
                <w:lang w:val="en-IN"/>
              </w:rPr>
              <w:t xml:space="preserve"> ISEAS Publishing.</w:t>
            </w:r>
          </w:p>
          <w:p w:rsidR="00D66FC3" w:rsidRDefault="00D66FC3" w:rsidP="00D66FC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IN"/>
              </w:rPr>
              <w:t xml:space="preserve">Torrington, D., Hall, L., Taylor, S., Atkinson, C., 2014. </w:t>
            </w:r>
            <w:r>
              <w:rPr>
                <w:rFonts w:ascii="Calibri" w:hAnsi="Calibri" w:cs="Calibri"/>
                <w:i/>
                <w:iCs/>
                <w:kern w:val="24"/>
                <w:sz w:val="24"/>
                <w:szCs w:val="24"/>
                <w:lang w:val="en-IN"/>
              </w:rPr>
              <w:t>Human Resource Management.</w:t>
            </w:r>
            <w:r>
              <w:rPr>
                <w:rFonts w:ascii="Calibri" w:hAnsi="Calibri" w:cs="Calibri"/>
                <w:kern w:val="24"/>
                <w:sz w:val="24"/>
                <w:szCs w:val="24"/>
                <w:lang w:val="en-IN"/>
              </w:rPr>
              <w:t xml:space="preserve"> Pearson, 9th Edition. </w:t>
            </w:r>
          </w:p>
          <w:p w:rsidR="00D66FC3" w:rsidRDefault="00D66FC3" w:rsidP="00D66FC3">
            <w:pPr>
              <w:autoSpaceDE w:val="0"/>
              <w:autoSpaceDN w:val="0"/>
              <w:adjustRightInd w:val="0"/>
              <w:spacing w:after="0" w:line="240" w:lineRule="auto"/>
              <w:rPr>
                <w:rFonts w:ascii="Calibri" w:hAnsi="Calibri" w:cs="Calibri"/>
                <w:kern w:val="24"/>
                <w:sz w:val="24"/>
                <w:szCs w:val="24"/>
              </w:rPr>
            </w:pPr>
          </w:p>
          <w:p w:rsidR="00D66FC3" w:rsidRDefault="00D66FC3" w:rsidP="00D66FC3">
            <w:pPr>
              <w:autoSpaceDE w:val="0"/>
              <w:autoSpaceDN w:val="0"/>
              <w:adjustRightInd w:val="0"/>
              <w:spacing w:after="0" w:line="240" w:lineRule="auto"/>
              <w:rPr>
                <w:rFonts w:ascii="Arial" w:hAnsi="Arial" w:cs="Arial"/>
                <w:sz w:val="24"/>
                <w:szCs w:val="24"/>
              </w:rPr>
            </w:pPr>
          </w:p>
          <w:p w:rsidR="00D66FC3" w:rsidRDefault="00D66FC3"/>
        </w:tc>
      </w:tr>
      <w:tr w:rsidR="00D66FC3" w:rsidTr="00D66FC3">
        <w:tblPrEx>
          <w:tblCellMar>
            <w:top w:w="0" w:type="dxa"/>
            <w:bottom w:w="0" w:type="dxa"/>
          </w:tblCellMar>
        </w:tblPrEx>
        <w:trPr>
          <w:trHeight w:val="4000"/>
        </w:trPr>
        <w:tc>
          <w:tcPr>
            <w:tcW w:w="1368" w:type="dxa"/>
          </w:tcPr>
          <w:p w:rsidR="00D66FC3" w:rsidRDefault="00D66FC3">
            <w:r>
              <w:lastRenderedPageBreak/>
              <w:t>Slide 21</w:t>
            </w:r>
          </w:p>
        </w:tc>
        <w:tc>
          <w:tcPr>
            <w:tcW w:w="3829" w:type="dxa"/>
          </w:tcPr>
          <w:p w:rsidR="00D66FC3" w:rsidRDefault="00D66FC3">
            <w:r>
              <w:object w:dxaOrig="9600" w:dyaOrig="5401">
                <v:shape id="_x0000_i1138" type="#_x0000_t75" style="width:192pt;height:108pt" o:ole="" o:bordertopcolor="this" o:borderleftcolor="this" o:borderbottomcolor="this" o:borderrightcolor="this">
                  <v:imagedata r:id="rId44" o:title=""/>
                  <w10:bordertop type="single" width="4" shadow="t"/>
                  <w10:borderleft type="single" width="4" shadow="t"/>
                  <w10:borderbottom type="single" width="4" shadow="t"/>
                  <w10:borderright type="single" width="4" shadow="t"/>
                </v:shape>
                <o:OLEObject Type="Embed" ProgID="PowerPoint.Slide.12" ShapeID="_x0000_i1138" DrawAspect="Content" ObjectID="_1701084551" r:id="rId45"/>
              </w:object>
            </w:r>
          </w:p>
        </w:tc>
        <w:tc>
          <w:tcPr>
            <w:tcW w:w="3829" w:type="dxa"/>
          </w:tcPr>
          <w:p w:rsidR="00D66FC3" w:rsidRDefault="00D66FC3"/>
        </w:tc>
      </w:tr>
      <w:tr w:rsidR="00D66FC3" w:rsidTr="00D66FC3">
        <w:tblPrEx>
          <w:tblCellMar>
            <w:top w:w="0" w:type="dxa"/>
            <w:bottom w:w="0" w:type="dxa"/>
          </w:tblCellMar>
        </w:tblPrEx>
        <w:trPr>
          <w:trHeight w:val="4000"/>
        </w:trPr>
        <w:tc>
          <w:tcPr>
            <w:tcW w:w="1368" w:type="dxa"/>
          </w:tcPr>
          <w:p w:rsidR="00D66FC3" w:rsidRDefault="00D66FC3">
            <w:r>
              <w:t>Slide 22</w:t>
            </w:r>
          </w:p>
        </w:tc>
        <w:tc>
          <w:tcPr>
            <w:tcW w:w="3829" w:type="dxa"/>
          </w:tcPr>
          <w:p w:rsidR="00D66FC3" w:rsidRDefault="00D66FC3">
            <w:r>
              <w:object w:dxaOrig="9600" w:dyaOrig="5401">
                <v:shape id="_x0000_i1143" type="#_x0000_t75" style="width:192pt;height:108pt" o:ole="" o:bordertopcolor="this" o:borderleftcolor="this" o:borderbottomcolor="this" o:borderrightcolor="this">
                  <v:imagedata r:id="rId46" o:title=""/>
                  <w10:bordertop type="single" width="4" shadow="t"/>
                  <w10:borderleft type="single" width="4" shadow="t"/>
                  <w10:borderbottom type="single" width="4" shadow="t"/>
                  <w10:borderright type="single" width="4" shadow="t"/>
                </v:shape>
                <o:OLEObject Type="Embed" ProgID="PowerPoint.Slide.12" ShapeID="_x0000_i1143" DrawAspect="Content" ObjectID="_1701084552" r:id="rId47"/>
              </w:object>
            </w:r>
          </w:p>
        </w:tc>
        <w:tc>
          <w:tcPr>
            <w:tcW w:w="3829" w:type="dxa"/>
          </w:tcPr>
          <w:p w:rsidR="00D66FC3" w:rsidRDefault="00D66FC3"/>
        </w:tc>
      </w:tr>
    </w:tbl>
    <w:p w:rsidR="00D66FC3" w:rsidRDefault="00D66FC3"/>
    <w:sectPr w:rsidR="00D66F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FC3"/>
    <w:rsid w:val="00D66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75E315B-DC7E-4B8A-9DA5-A95129485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9" Type="http://schemas.openxmlformats.org/officeDocument/2006/relationships/package" Target="embeddings/Microsoft_PowerPoint_Slide17.sldx"/><Relationship Id="rId21" Type="http://schemas.openxmlformats.org/officeDocument/2006/relationships/package" Target="embeddings/Microsoft_PowerPoint_Slide8.sldx"/><Relationship Id="rId34" Type="http://schemas.openxmlformats.org/officeDocument/2006/relationships/image" Target="media/image16.emf"/><Relationship Id="rId42" Type="http://schemas.openxmlformats.org/officeDocument/2006/relationships/image" Target="media/image20.emf"/><Relationship Id="rId47" Type="http://schemas.openxmlformats.org/officeDocument/2006/relationships/package" Target="embeddings/Microsoft_PowerPoint_Slide21.sldx"/><Relationship Id="rId7" Type="http://schemas.openxmlformats.org/officeDocument/2006/relationships/package" Target="embeddings/Microsoft_PowerPoint_Slide1.sldx"/><Relationship Id="rId2" Type="http://schemas.openxmlformats.org/officeDocument/2006/relationships/settings" Target="settings.xml"/><Relationship Id="rId16" Type="http://schemas.openxmlformats.org/officeDocument/2006/relationships/image" Target="media/image7.emf"/><Relationship Id="rId29" Type="http://schemas.openxmlformats.org/officeDocument/2006/relationships/package" Target="embeddings/Microsoft_PowerPoint_Slide12.sldx"/><Relationship Id="rId11" Type="http://schemas.openxmlformats.org/officeDocument/2006/relationships/package" Target="embeddings/Microsoft_PowerPoint_Slide3.sldx"/><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package" Target="embeddings/Microsoft_PowerPoint_Slide16.sldx"/><Relationship Id="rId40" Type="http://schemas.openxmlformats.org/officeDocument/2006/relationships/image" Target="media/image19.emf"/><Relationship Id="rId45" Type="http://schemas.openxmlformats.org/officeDocument/2006/relationships/package" Target="embeddings/Microsoft_PowerPoint_Slide20.sldx"/><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image" Target="media/image13.emf"/><Relationship Id="rId36" Type="http://schemas.openxmlformats.org/officeDocument/2006/relationships/image" Target="media/image17.emf"/><Relationship Id="rId49" Type="http://schemas.openxmlformats.org/officeDocument/2006/relationships/theme" Target="theme/theme1.xml"/><Relationship Id="rId10" Type="http://schemas.openxmlformats.org/officeDocument/2006/relationships/image" Target="media/image4.emf"/><Relationship Id="rId19" Type="http://schemas.openxmlformats.org/officeDocument/2006/relationships/package" Target="embeddings/Microsoft_PowerPoint_Slide7.sldx"/><Relationship Id="rId31" Type="http://schemas.openxmlformats.org/officeDocument/2006/relationships/package" Target="embeddings/Microsoft_PowerPoint_Slide13.sldx"/><Relationship Id="rId44" Type="http://schemas.openxmlformats.org/officeDocument/2006/relationships/image" Target="media/image21.emf"/><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image" Target="media/image14.emf"/><Relationship Id="rId35" Type="http://schemas.openxmlformats.org/officeDocument/2006/relationships/package" Target="embeddings/Microsoft_PowerPoint_Slide15.sldx"/><Relationship Id="rId43" Type="http://schemas.openxmlformats.org/officeDocument/2006/relationships/package" Target="embeddings/Microsoft_PowerPoint_Slide19.sldx"/><Relationship Id="rId48" Type="http://schemas.openxmlformats.org/officeDocument/2006/relationships/fontTable" Target="fontTable.xml"/><Relationship Id="rId8" Type="http://schemas.openxmlformats.org/officeDocument/2006/relationships/image" Target="media/image3.emf"/><Relationship Id="rId3" Type="http://schemas.openxmlformats.org/officeDocument/2006/relationships/webSettings" Target="webSettings.xml"/><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33" Type="http://schemas.openxmlformats.org/officeDocument/2006/relationships/package" Target="embeddings/Microsoft_PowerPoint_Slide14.sldx"/><Relationship Id="rId38" Type="http://schemas.openxmlformats.org/officeDocument/2006/relationships/image" Target="media/image18.emf"/><Relationship Id="rId46" Type="http://schemas.openxmlformats.org/officeDocument/2006/relationships/image" Target="media/image22.emf"/><Relationship Id="rId20" Type="http://schemas.openxmlformats.org/officeDocument/2006/relationships/image" Target="media/image9.emf"/><Relationship Id="rId41" Type="http://schemas.openxmlformats.org/officeDocument/2006/relationships/package" Target="embeddings/Microsoft_PowerPoint_Slide18.sldx"/><Relationship Id="rId1" Type="http://schemas.openxmlformats.org/officeDocument/2006/relationships/styles" Target="styles.xml"/><Relationship Id="rId6"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1332</Words>
  <Characters>7598</Characters>
  <Application>Microsoft Office Word</Application>
  <DocSecurity>0</DocSecurity>
  <Lines>63</Lines>
  <Paragraphs>17</Paragraphs>
  <ScaleCrop>false</ScaleCrop>
  <Company/>
  <LinksUpToDate>false</LinksUpToDate>
  <CharactersWithSpaces>8913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Stoica (1921732)</dc:creator>
  <cp:keywords/>
  <dc:description/>
  <cp:lastModifiedBy>Cristian Stoica (1921732)</cp:lastModifiedBy>
  <cp:revision>1</cp:revision>
  <dcterms:created xsi:type="dcterms:W3CDTF">2021-12-15T14:38:00Z</dcterms:created>
  <dcterms:modified xsi:type="dcterms:W3CDTF">2021-12-15T14:41:00Z</dcterms:modified>
</cp:coreProperties>
</file>