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eastAsia="en-US"/>
          <w14:ligatures w14:val="standardContextual"/>
        </w:rPr>
        <w:id w:val="-1797971859"/>
        <w:docPartObj>
          <w:docPartGallery w:val="Cover Pages"/>
          <w:docPartUnique/>
        </w:docPartObj>
      </w:sdtPr>
      <w:sdtEndPr>
        <w:rPr>
          <w:rFonts w:eastAsiaTheme="minorEastAsia"/>
          <w:color w:val="156082" w:themeColor="accent1"/>
          <w:lang w:eastAsia="en-GB"/>
        </w:rPr>
      </w:sdtEndPr>
      <w:sdtContent>
        <w:p w14:paraId="645C856D" w14:textId="570D5E09" w:rsidR="008A6F9C" w:rsidRPr="00D211D9" w:rsidRDefault="00D7595A" w:rsidP="008A6F9C">
          <w:pPr>
            <w:pStyle w:val="NoSpacing"/>
            <w:rPr>
              <w:rFonts w:ascii="Arial" w:hAnsi="Arial" w:cs="Arial"/>
            </w:rPr>
          </w:pPr>
          <w:r w:rsidRPr="00D211D9">
            <w:rPr>
              <w:rFonts w:ascii="Arial" w:hAnsi="Arial" w:cs="Arial"/>
              <w:noProof/>
            </w:rPr>
            <w:drawing>
              <wp:anchor distT="0" distB="0" distL="114300" distR="114300" simplePos="0" relativeHeight="251663360" behindDoc="0" locked="0" layoutInCell="1" allowOverlap="1" wp14:anchorId="6558042B" wp14:editId="3ADE3A10">
                <wp:simplePos x="0" y="0"/>
                <wp:positionH relativeFrom="margin">
                  <wp:align>left</wp:align>
                </wp:positionH>
                <wp:positionV relativeFrom="paragraph">
                  <wp:posOffset>190500</wp:posOffset>
                </wp:positionV>
                <wp:extent cx="1809750" cy="723900"/>
                <wp:effectExtent l="0" t="0" r="0" b="0"/>
                <wp:wrapTopAndBottom/>
                <wp:docPr id="575876248" name="Picture 57587624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6F9C" w:rsidRPr="00D211D9">
            <w:rPr>
              <w:rFonts w:ascii="Arial" w:hAnsi="Arial" w:cs="Arial"/>
              <w:noProof/>
            </w:rPr>
            <mc:AlternateContent>
              <mc:Choice Requires="wpg">
                <w:drawing>
                  <wp:anchor distT="0" distB="0" distL="114300" distR="114300" simplePos="0" relativeHeight="251659264" behindDoc="1" locked="0" layoutInCell="1" allowOverlap="1" wp14:anchorId="2319313C" wp14:editId="7A3C581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652952A"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3F398C3" w14:textId="0582D8E0" w:rsidR="00CB7FF6" w:rsidRPr="00D211D9" w:rsidRDefault="0046208C" w:rsidP="00076C58">
          <w:pPr>
            <w:rPr>
              <w:rFonts w:ascii="Arial" w:hAnsi="Arial" w:cs="Arial"/>
              <w:color w:val="156082" w:themeColor="accent1"/>
              <w:kern w:val="0"/>
              <w:sz w:val="22"/>
              <w:szCs w:val="22"/>
              <w14:ligatures w14:val="none"/>
            </w:rPr>
          </w:pPr>
          <w:r w:rsidRPr="00D211D9">
            <w:rPr>
              <w:rFonts w:ascii="Arial" w:hAnsi="Arial" w:cs="Arial"/>
              <w:noProof/>
            </w:rPr>
            <mc:AlternateContent>
              <mc:Choice Requires="wps">
                <w:drawing>
                  <wp:anchor distT="0" distB="0" distL="114300" distR="114300" simplePos="0" relativeHeight="251661312" behindDoc="0" locked="0" layoutInCell="1" allowOverlap="1" wp14:anchorId="65F5DE44" wp14:editId="49F80837">
                    <wp:simplePos x="0" y="0"/>
                    <wp:positionH relativeFrom="page">
                      <wp:posOffset>3162935</wp:posOffset>
                    </wp:positionH>
                    <wp:positionV relativeFrom="page">
                      <wp:posOffset>9408795</wp:posOffset>
                    </wp:positionV>
                    <wp:extent cx="3657600" cy="365760"/>
                    <wp:effectExtent l="0" t="0" r="7620" b="508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F03C9" w14:textId="2AA33104" w:rsidR="008A6F9C" w:rsidRPr="00332312" w:rsidRDefault="00A4055A" w:rsidP="008A6F9C">
                                <w:pPr>
                                  <w:pStyle w:val="NoSpacing"/>
                                  <w:rPr>
                                    <w:rFonts w:ascii="Arial" w:hAnsi="Arial" w:cs="Arial"/>
                                    <w:color w:val="156082" w:themeColor="accent1"/>
                                    <w:sz w:val="26"/>
                                    <w:szCs w:val="26"/>
                                  </w:rPr>
                                </w:pPr>
                                <w:r w:rsidRPr="00332312">
                                  <w:rPr>
                                    <w:rFonts w:ascii="Arial" w:hAnsi="Arial" w:cs="Arial"/>
                                    <w:color w:val="156082" w:themeColor="accent1"/>
                                    <w:sz w:val="26"/>
                                    <w:szCs w:val="26"/>
                                  </w:rPr>
                                  <w:t xml:space="preserve">Student Name: </w:t>
                                </w:r>
                                <w:sdt>
                                  <w:sdtPr>
                                    <w:rPr>
                                      <w:rFonts w:ascii="Arial" w:hAnsi="Arial" w:cs="Arial"/>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6F9C" w:rsidRPr="00332312">
                                      <w:rPr>
                                        <w:rFonts w:ascii="Arial" w:hAnsi="Arial" w:cs="Arial"/>
                                        <w:color w:val="156082" w:themeColor="accent1"/>
                                        <w:sz w:val="26"/>
                                        <w:szCs w:val="26"/>
                                      </w:rPr>
                                      <w:t>Marisa Viveiros</w:t>
                                    </w:r>
                                    <w:r w:rsidR="00D7595A" w:rsidRPr="00332312">
                                      <w:rPr>
                                        <w:rFonts w:ascii="Arial" w:hAnsi="Arial" w:cs="Arial"/>
                                        <w:color w:val="156082" w:themeColor="accent1"/>
                                        <w:sz w:val="26"/>
                                        <w:szCs w:val="26"/>
                                      </w:rPr>
                                      <w:t xml:space="preserve"> (2512327)</w:t>
                                    </w:r>
                                  </w:sdtContent>
                                </w:sdt>
                              </w:p>
                              <w:p w14:paraId="620119D2" w14:textId="002889A4" w:rsidR="008A6F9C" w:rsidRPr="00332312" w:rsidRDefault="00C0733A" w:rsidP="008A6F9C">
                                <w:pPr>
                                  <w:pStyle w:val="NoSpacing"/>
                                  <w:rPr>
                                    <w:rFonts w:ascii="Arial" w:hAnsi="Arial" w:cs="Arial"/>
                                    <w:color w:val="595959" w:themeColor="text1" w:themeTint="A6"/>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32312" w:rsidRPr="00332312">
                                      <w:rPr>
                                        <w:rFonts w:ascii="Arial" w:hAnsi="Arial" w:cs="Arial"/>
                                        <w:caps/>
                                        <w:color w:val="595959" w:themeColor="text1" w:themeTint="A6"/>
                                        <w:sz w:val="20"/>
                                        <w:szCs w:val="20"/>
                                      </w:rPr>
                                      <w:t>Lecturer Name:</w:t>
                                    </w:r>
                                  </w:sdtContent>
                                </w:sdt>
                                <w:r w:rsidR="008A6F9C" w:rsidRPr="00332312">
                                  <w:rPr>
                                    <w:rFonts w:ascii="Arial" w:hAnsi="Arial" w:cs="Arial"/>
                                    <w:caps/>
                                    <w:color w:val="595959" w:themeColor="text1" w:themeTint="A6"/>
                                  </w:rPr>
                                  <w:t xml:space="preserve">Dr. Aishat Bukre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5F5DE44" id="_x0000_t202" coordsize="21600,21600" o:spt="202" path="m,l,21600r21600,l21600,xe">
                    <v:stroke joinstyle="miter"/>
                    <v:path gradientshapeok="t" o:connecttype="rect"/>
                  </v:shapetype>
                  <v:shape id="Text Box 28" o:spid="_x0000_s1026" type="#_x0000_t202" style="position:absolute;margin-left:249.05pt;margin-top:740.8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" filled="f" stroked="f" strokeweight=".5pt">
                    <v:textbox style="mso-fit-shape-to-text:t" inset="0,0,0,0">
                      <w:txbxContent>
                        <w:p w14:paraId="53BF03C9" w14:textId="2AA33104" w:rsidR="008A6F9C" w:rsidRPr="00332312" w:rsidRDefault="00A4055A" w:rsidP="008A6F9C">
                          <w:pPr>
                            <w:pStyle w:val="NoSpacing"/>
                            <w:rPr>
                              <w:rFonts w:ascii="Arial" w:hAnsi="Arial" w:cs="Arial"/>
                              <w:color w:val="156082" w:themeColor="accent1"/>
                              <w:sz w:val="26"/>
                              <w:szCs w:val="26"/>
                            </w:rPr>
                          </w:pPr>
                          <w:r w:rsidRPr="00332312">
                            <w:rPr>
                              <w:rFonts w:ascii="Arial" w:hAnsi="Arial" w:cs="Arial"/>
                              <w:color w:val="156082" w:themeColor="accent1"/>
                              <w:sz w:val="26"/>
                              <w:szCs w:val="26"/>
                            </w:rPr>
                            <w:t xml:space="preserve">Student Name: </w:t>
                          </w:r>
                          <w:sdt>
                            <w:sdtPr>
                              <w:rPr>
                                <w:rFonts w:ascii="Arial" w:hAnsi="Arial" w:cs="Arial"/>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6F9C" w:rsidRPr="00332312">
                                <w:rPr>
                                  <w:rFonts w:ascii="Arial" w:hAnsi="Arial" w:cs="Arial"/>
                                  <w:color w:val="156082" w:themeColor="accent1"/>
                                  <w:sz w:val="26"/>
                                  <w:szCs w:val="26"/>
                                </w:rPr>
                                <w:t>Marisa Viveiros</w:t>
                              </w:r>
                              <w:r w:rsidR="00D7595A" w:rsidRPr="00332312">
                                <w:rPr>
                                  <w:rFonts w:ascii="Arial" w:hAnsi="Arial" w:cs="Arial"/>
                                  <w:color w:val="156082" w:themeColor="accent1"/>
                                  <w:sz w:val="26"/>
                                  <w:szCs w:val="26"/>
                                </w:rPr>
                                <w:t xml:space="preserve"> (2512327)</w:t>
                              </w:r>
                            </w:sdtContent>
                          </w:sdt>
                        </w:p>
                        <w:p w14:paraId="620119D2" w14:textId="002889A4" w:rsidR="008A6F9C" w:rsidRPr="00332312" w:rsidRDefault="00452408" w:rsidP="008A6F9C">
                          <w:pPr>
                            <w:pStyle w:val="NoSpacing"/>
                            <w:rPr>
                              <w:rFonts w:ascii="Arial" w:hAnsi="Arial" w:cs="Arial"/>
                              <w:color w:val="595959" w:themeColor="text1" w:themeTint="A6"/>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32312" w:rsidRPr="00332312">
                                <w:rPr>
                                  <w:rFonts w:ascii="Arial" w:hAnsi="Arial" w:cs="Arial"/>
                                  <w:caps/>
                                  <w:color w:val="595959" w:themeColor="text1" w:themeTint="A6"/>
                                  <w:sz w:val="20"/>
                                  <w:szCs w:val="20"/>
                                </w:rPr>
                                <w:t>Lecturer Name:</w:t>
                              </w:r>
                            </w:sdtContent>
                          </w:sdt>
                          <w:r w:rsidR="008A6F9C" w:rsidRPr="00332312">
                            <w:rPr>
                              <w:rFonts w:ascii="Arial" w:hAnsi="Arial" w:cs="Arial"/>
                              <w:caps/>
                              <w:color w:val="595959" w:themeColor="text1" w:themeTint="A6"/>
                            </w:rPr>
                            <w:t xml:space="preserve">Dr. Aishat Bukre </w:t>
                          </w:r>
                        </w:p>
                      </w:txbxContent>
                    </v:textbox>
                    <w10:wrap anchorx="page" anchory="page"/>
                  </v:shape>
                </w:pict>
              </mc:Fallback>
            </mc:AlternateContent>
          </w:r>
          <w:r w:rsidR="000B484F" w:rsidRPr="00D211D9">
            <w:rPr>
              <w:rFonts w:ascii="Arial" w:hAnsi="Arial" w:cs="Arial"/>
              <w:noProof/>
            </w:rPr>
            <mc:AlternateContent>
              <mc:Choice Requires="wps">
                <w:drawing>
                  <wp:anchor distT="0" distB="0" distL="114300" distR="114300" simplePos="0" relativeHeight="251660288" behindDoc="0" locked="0" layoutInCell="1" allowOverlap="1" wp14:anchorId="65D91423" wp14:editId="364463EA">
                    <wp:simplePos x="0" y="0"/>
                    <wp:positionH relativeFrom="page">
                      <wp:posOffset>2306320</wp:posOffset>
                    </wp:positionH>
                    <wp:positionV relativeFrom="page">
                      <wp:posOffset>2700020</wp:posOffset>
                    </wp:positionV>
                    <wp:extent cx="4503420" cy="2293620"/>
                    <wp:effectExtent l="0" t="0" r="11430" b="11430"/>
                    <wp:wrapNone/>
                    <wp:docPr id="1" name="Text Box 30"/>
                    <wp:cNvGraphicFramePr/>
                    <a:graphic xmlns:a="http://schemas.openxmlformats.org/drawingml/2006/main">
                      <a:graphicData uri="http://schemas.microsoft.com/office/word/2010/wordprocessingShape">
                        <wps:wsp>
                          <wps:cNvSpPr txBox="1"/>
                          <wps:spPr>
                            <a:xfrm>
                              <a:off x="0" y="0"/>
                              <a:ext cx="4503420" cy="2293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D20982" w14:textId="77777777" w:rsidR="0006700F" w:rsidRPr="003526EB" w:rsidRDefault="00340C95" w:rsidP="008A6F9C">
                                <w:pPr>
                                  <w:spacing w:before="120"/>
                                  <w:jc w:val="center"/>
                                  <w:rPr>
                                    <w:rFonts w:ascii="Arial" w:hAnsi="Arial" w:cs="Arial"/>
                                    <w:b/>
                                    <w:bCs/>
                                    <w:color w:val="0F4761" w:themeColor="accent1" w:themeShade="BF"/>
                                    <w:sz w:val="48"/>
                                    <w:szCs w:val="48"/>
                                  </w:rPr>
                                </w:pPr>
                                <w:r w:rsidRPr="003526EB">
                                  <w:rPr>
                                    <w:rFonts w:ascii="Arial" w:hAnsi="Arial" w:cs="Arial"/>
                                    <w:b/>
                                    <w:bCs/>
                                    <w:color w:val="0F4761" w:themeColor="accent1" w:themeShade="BF"/>
                                    <w:sz w:val="56"/>
                                    <w:szCs w:val="56"/>
                                  </w:rPr>
                                  <w:t>Type 1 Diabetes:</w:t>
                                </w:r>
                                <w:r w:rsidRPr="003526EB">
                                  <w:rPr>
                                    <w:rFonts w:ascii="Arial" w:hAnsi="Arial" w:cs="Arial"/>
                                    <w:b/>
                                    <w:bCs/>
                                    <w:color w:val="0F4761" w:themeColor="accent1" w:themeShade="BF"/>
                                    <w:sz w:val="48"/>
                                    <w:szCs w:val="48"/>
                                  </w:rPr>
                                  <w:t xml:space="preserve"> </w:t>
                                </w:r>
                              </w:p>
                              <w:p w14:paraId="20A8D61B" w14:textId="7BC37E90" w:rsidR="008A6F9C" w:rsidRPr="003526EB" w:rsidRDefault="0006700F" w:rsidP="008A6F9C">
                                <w:pPr>
                                  <w:spacing w:before="120"/>
                                  <w:jc w:val="center"/>
                                  <w:rPr>
                                    <w:rFonts w:ascii="Arial" w:hAnsi="Arial" w:cs="Arial"/>
                                    <w:b/>
                                    <w:bCs/>
                                    <w:color w:val="0F4761" w:themeColor="accent1" w:themeShade="BF"/>
                                    <w:sz w:val="48"/>
                                    <w:szCs w:val="48"/>
                                  </w:rPr>
                                </w:pPr>
                                <w:r w:rsidRPr="003526EB">
                                  <w:rPr>
                                    <w:rFonts w:ascii="Arial" w:hAnsi="Arial" w:cs="Arial"/>
                                    <w:b/>
                                    <w:bCs/>
                                    <w:i/>
                                    <w:iCs/>
                                    <w:color w:val="0F4761" w:themeColor="accent1" w:themeShade="BF"/>
                                    <w:sz w:val="48"/>
                                    <w:szCs w:val="48"/>
                                  </w:rPr>
                                  <w:t>Measurement, Monitoring and Control in Health and Social Care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5D91423" id="Text Box 30" o:spid="_x0000_s1027" type="#_x0000_t202" style="position:absolute;margin-left:181.6pt;margin-top:212.6pt;width:354.6pt;height:180.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" filled="f" stroked="f" strokeweight=".5pt">
                    <v:textbox inset="0,0,0,0">
                      <w:txbxContent>
                        <w:p w14:paraId="13D20982" w14:textId="77777777" w:rsidR="0006700F" w:rsidRPr="003526EB" w:rsidRDefault="00340C95" w:rsidP="008A6F9C">
                          <w:pPr>
                            <w:spacing w:before="120"/>
                            <w:jc w:val="center"/>
                            <w:rPr>
                              <w:rFonts w:ascii="Arial" w:hAnsi="Arial" w:cs="Arial"/>
                              <w:b/>
                              <w:bCs/>
                              <w:color w:val="0F4761" w:themeColor="accent1" w:themeShade="BF"/>
                              <w:sz w:val="48"/>
                              <w:szCs w:val="48"/>
                            </w:rPr>
                          </w:pPr>
                          <w:r w:rsidRPr="003526EB">
                            <w:rPr>
                              <w:rFonts w:ascii="Arial" w:hAnsi="Arial" w:cs="Arial"/>
                              <w:b/>
                              <w:bCs/>
                              <w:color w:val="0F4761" w:themeColor="accent1" w:themeShade="BF"/>
                              <w:sz w:val="56"/>
                              <w:szCs w:val="56"/>
                            </w:rPr>
                            <w:t>Type 1 Diabetes:</w:t>
                          </w:r>
                          <w:r w:rsidRPr="003526EB">
                            <w:rPr>
                              <w:rFonts w:ascii="Arial" w:hAnsi="Arial" w:cs="Arial"/>
                              <w:b/>
                              <w:bCs/>
                              <w:color w:val="0F4761" w:themeColor="accent1" w:themeShade="BF"/>
                              <w:sz w:val="48"/>
                              <w:szCs w:val="48"/>
                            </w:rPr>
                            <w:t xml:space="preserve"> </w:t>
                          </w:r>
                        </w:p>
                        <w:p w14:paraId="20A8D61B" w14:textId="7BC37E90" w:rsidR="008A6F9C" w:rsidRPr="003526EB" w:rsidRDefault="0006700F" w:rsidP="008A6F9C">
                          <w:pPr>
                            <w:spacing w:before="120"/>
                            <w:jc w:val="center"/>
                            <w:rPr>
                              <w:rFonts w:ascii="Arial" w:hAnsi="Arial" w:cs="Arial"/>
                              <w:b/>
                              <w:bCs/>
                              <w:color w:val="0F4761" w:themeColor="accent1" w:themeShade="BF"/>
                              <w:sz w:val="48"/>
                              <w:szCs w:val="48"/>
                            </w:rPr>
                          </w:pPr>
                          <w:r w:rsidRPr="003526EB">
                            <w:rPr>
                              <w:rFonts w:ascii="Arial" w:hAnsi="Arial" w:cs="Arial"/>
                              <w:b/>
                              <w:bCs/>
                              <w:i/>
                              <w:iCs/>
                              <w:color w:val="0F4761" w:themeColor="accent1" w:themeShade="BF"/>
                              <w:sz w:val="48"/>
                              <w:szCs w:val="48"/>
                            </w:rPr>
                            <w:t>Measurement, Monitoring and Control in Health and Social Care</w:t>
                          </w:r>
                        </w:p>
                      </w:txbxContent>
                    </v:textbox>
                    <w10:wrap anchorx="page" anchory="page"/>
                  </v:shape>
                </w:pict>
              </mc:Fallback>
            </mc:AlternateContent>
          </w:r>
          <w:r w:rsidR="008A6F9C" w:rsidRPr="00D211D9">
            <w:rPr>
              <w:rFonts w:ascii="Arial" w:hAnsi="Arial" w:cs="Arial"/>
              <w:noProof/>
            </w:rPr>
            <mc:AlternateContent>
              <mc:Choice Requires="wps">
                <w:drawing>
                  <wp:anchor distT="0" distB="0" distL="114300" distR="114300" simplePos="0" relativeHeight="251662336" behindDoc="0" locked="0" layoutInCell="1" allowOverlap="1" wp14:anchorId="157738F1" wp14:editId="414A251A">
                    <wp:simplePos x="0" y="0"/>
                    <wp:positionH relativeFrom="column">
                      <wp:posOffset>2186940</wp:posOffset>
                    </wp:positionH>
                    <wp:positionV relativeFrom="paragraph">
                      <wp:posOffset>7799705</wp:posOffset>
                    </wp:positionV>
                    <wp:extent cx="2567940" cy="541020"/>
                    <wp:effectExtent l="0" t="0" r="22860" b="11430"/>
                    <wp:wrapNone/>
                    <wp:docPr id="572668276" name="Text Box 1"/>
                    <wp:cNvGraphicFramePr/>
                    <a:graphic xmlns:a="http://schemas.openxmlformats.org/drawingml/2006/main">
                      <a:graphicData uri="http://schemas.microsoft.com/office/word/2010/wordprocessingShape">
                        <wps:wsp>
                          <wps:cNvSpPr txBox="1"/>
                          <wps:spPr>
                            <a:xfrm>
                              <a:off x="0" y="0"/>
                              <a:ext cx="2567940" cy="541020"/>
                            </a:xfrm>
                            <a:prstGeom prst="rect">
                              <a:avLst/>
                            </a:prstGeom>
                            <a:solidFill>
                              <a:schemeClr val="lt1"/>
                            </a:solidFill>
                            <a:ln w="6350">
                              <a:solidFill>
                                <a:schemeClr val="bg1"/>
                              </a:solidFill>
                            </a:ln>
                          </wps:spPr>
                          <wps:txbx>
                            <w:txbxContent>
                              <w:p w14:paraId="7D187010" w14:textId="2ECBA7C8" w:rsidR="008A6F9C" w:rsidRPr="00A716ED" w:rsidRDefault="00F024D3" w:rsidP="008A6F9C">
                                <w:pPr>
                                  <w:pStyle w:val="NoSpacing"/>
                                  <w:rPr>
                                    <w:rFonts w:ascii="Arial" w:eastAsiaTheme="majorEastAsia" w:hAnsi="Arial" w:cs="Arial"/>
                                    <w:color w:val="808080" w:themeColor="background1" w:themeShade="80"/>
                                    <w:sz w:val="26"/>
                                    <w:szCs w:val="26"/>
                                  </w:rPr>
                                </w:pPr>
                                <w:r w:rsidRPr="00A716ED">
                                  <w:rPr>
                                    <w:rFonts w:ascii="Arial" w:eastAsiaTheme="majorEastAsia" w:hAnsi="Arial" w:cs="Arial"/>
                                    <w:color w:val="808080" w:themeColor="background1" w:themeShade="80"/>
                                    <w:sz w:val="26"/>
                                    <w:szCs w:val="26"/>
                                  </w:rPr>
                                  <w:t>MODULE NAME</w:t>
                                </w:r>
                                <w:r w:rsidR="008A6F9C" w:rsidRPr="00A716ED">
                                  <w:rPr>
                                    <w:rFonts w:ascii="Arial" w:eastAsiaTheme="majorEastAsia" w:hAnsi="Arial" w:cs="Arial"/>
                                    <w:color w:val="808080" w:themeColor="background1" w:themeShade="80"/>
                                    <w:sz w:val="26"/>
                                    <w:szCs w:val="26"/>
                                  </w:rPr>
                                  <w:t xml:space="preserve">: Introduction to Public </w:t>
                                </w:r>
                                <w:r w:rsidR="00D7595A" w:rsidRPr="00A716ED">
                                  <w:rPr>
                                    <w:rFonts w:ascii="Arial" w:eastAsiaTheme="majorEastAsia" w:hAnsi="Arial" w:cs="Arial"/>
                                    <w:color w:val="808080" w:themeColor="background1" w:themeShade="80"/>
                                    <w:sz w:val="26"/>
                                    <w:szCs w:val="26"/>
                                  </w:rPr>
                                  <w:t>Health</w:t>
                                </w:r>
                                <w:r w:rsidR="008A6F9C" w:rsidRPr="00A716ED">
                                  <w:rPr>
                                    <w:rFonts w:ascii="Arial" w:eastAsiaTheme="majorEastAsia" w:hAnsi="Arial" w:cs="Arial"/>
                                    <w:color w:val="808080" w:themeColor="background1" w:themeShade="80"/>
                                    <w:sz w:val="26"/>
                                    <w:szCs w:val="26"/>
                                  </w:rPr>
                                  <w:t xml:space="preserve"> LCHS4008</w:t>
                                </w:r>
                              </w:p>
                              <w:p w14:paraId="2D9015DE" w14:textId="77777777" w:rsidR="008A6F9C" w:rsidRPr="00A5464D" w:rsidRDefault="008A6F9C" w:rsidP="008A6F9C">
                                <w:pPr>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738F1" id="Text Box 1" o:spid="_x0000_s1028" type="#_x0000_t202" style="position:absolute;margin-left:172.2pt;margin-top:614.15pt;width:202.2pt;height:4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" fillcolor="white [3201]" strokecolor="white [3212]" strokeweight=".5pt">
                    <v:textbox>
                      <w:txbxContent>
                        <w:p w14:paraId="7D187010" w14:textId="2ECBA7C8" w:rsidR="008A6F9C" w:rsidRPr="00A716ED" w:rsidRDefault="00F024D3" w:rsidP="008A6F9C">
                          <w:pPr>
                            <w:pStyle w:val="NoSpacing"/>
                            <w:rPr>
                              <w:rFonts w:ascii="Arial" w:eastAsiaTheme="majorEastAsia" w:hAnsi="Arial" w:cs="Arial"/>
                              <w:color w:val="808080" w:themeColor="background1" w:themeShade="80"/>
                              <w:sz w:val="26"/>
                              <w:szCs w:val="26"/>
                            </w:rPr>
                          </w:pPr>
                          <w:r w:rsidRPr="00A716ED">
                            <w:rPr>
                              <w:rFonts w:ascii="Arial" w:eastAsiaTheme="majorEastAsia" w:hAnsi="Arial" w:cs="Arial"/>
                              <w:color w:val="808080" w:themeColor="background1" w:themeShade="80"/>
                              <w:sz w:val="26"/>
                              <w:szCs w:val="26"/>
                            </w:rPr>
                            <w:t>MODULE NAME</w:t>
                          </w:r>
                          <w:r w:rsidR="008A6F9C" w:rsidRPr="00A716ED">
                            <w:rPr>
                              <w:rFonts w:ascii="Arial" w:eastAsiaTheme="majorEastAsia" w:hAnsi="Arial" w:cs="Arial"/>
                              <w:color w:val="808080" w:themeColor="background1" w:themeShade="80"/>
                              <w:sz w:val="26"/>
                              <w:szCs w:val="26"/>
                            </w:rPr>
                            <w:t xml:space="preserve">: Introduction to Public </w:t>
                          </w:r>
                          <w:r w:rsidR="00D7595A" w:rsidRPr="00A716ED">
                            <w:rPr>
                              <w:rFonts w:ascii="Arial" w:eastAsiaTheme="majorEastAsia" w:hAnsi="Arial" w:cs="Arial"/>
                              <w:color w:val="808080" w:themeColor="background1" w:themeShade="80"/>
                              <w:sz w:val="26"/>
                              <w:szCs w:val="26"/>
                            </w:rPr>
                            <w:t>Health</w:t>
                          </w:r>
                          <w:r w:rsidR="008A6F9C" w:rsidRPr="00A716ED">
                            <w:rPr>
                              <w:rFonts w:ascii="Arial" w:eastAsiaTheme="majorEastAsia" w:hAnsi="Arial" w:cs="Arial"/>
                              <w:color w:val="808080" w:themeColor="background1" w:themeShade="80"/>
                              <w:sz w:val="26"/>
                              <w:szCs w:val="26"/>
                            </w:rPr>
                            <w:t xml:space="preserve"> LCHS4008</w:t>
                          </w:r>
                        </w:p>
                        <w:p w14:paraId="2D9015DE" w14:textId="77777777" w:rsidR="008A6F9C" w:rsidRPr="00A5464D" w:rsidRDefault="008A6F9C" w:rsidP="008A6F9C">
                          <w:pPr>
                            <w:rPr>
                              <w:sz w:val="26"/>
                              <w:szCs w:val="26"/>
                            </w:rPr>
                          </w:pPr>
                        </w:p>
                      </w:txbxContent>
                    </v:textbox>
                  </v:shape>
                </w:pict>
              </mc:Fallback>
            </mc:AlternateContent>
          </w:r>
        </w:p>
        <w:p w14:paraId="310CEDCD" w14:textId="537D96CF" w:rsidR="00463A75" w:rsidRPr="00D211D9" w:rsidRDefault="00CB7FF6" w:rsidP="00076C58">
          <w:pPr>
            <w:rPr>
              <w:rFonts w:ascii="Arial" w:hAnsi="Arial" w:cs="Arial"/>
              <w:color w:val="156082" w:themeColor="accent1"/>
              <w:kern w:val="0"/>
              <w:sz w:val="22"/>
              <w:szCs w:val="22"/>
              <w14:ligatures w14:val="none"/>
            </w:rPr>
          </w:pPr>
          <w:r w:rsidRPr="00D211D9">
            <w:rPr>
              <w:rFonts w:ascii="Arial" w:hAnsi="Arial" w:cs="Arial"/>
              <w:color w:val="156082" w:themeColor="accent1"/>
              <w:kern w:val="0"/>
              <w:sz w:val="22"/>
              <w:szCs w:val="22"/>
              <w14:ligatures w14:val="none"/>
            </w:rPr>
            <w:br w:type="page"/>
          </w:r>
        </w:p>
        <w:sdt>
          <w:sdtPr>
            <w:rPr>
              <w:rFonts w:ascii="Arial" w:eastAsiaTheme="minorEastAsia" w:hAnsi="Arial" w:cs="Arial"/>
              <w:color w:val="auto"/>
              <w:kern w:val="2"/>
              <w:sz w:val="24"/>
              <w:szCs w:val="24"/>
              <w14:ligatures w14:val="standardContextual"/>
            </w:rPr>
            <w:id w:val="-351423814"/>
            <w:docPartObj>
              <w:docPartGallery w:val="Table of Contents"/>
              <w:docPartUnique/>
            </w:docPartObj>
          </w:sdtPr>
          <w:sdtEndPr>
            <w:rPr>
              <w:b/>
              <w:bCs/>
            </w:rPr>
          </w:sdtEndPr>
          <w:sdtContent>
            <w:p w14:paraId="38901CD3" w14:textId="4785DD49" w:rsidR="00D211D9" w:rsidRPr="00D211D9" w:rsidRDefault="00D211D9">
              <w:pPr>
                <w:pStyle w:val="TOCHeading"/>
                <w:rPr>
                  <w:rFonts w:ascii="Arial" w:hAnsi="Arial" w:cs="Arial"/>
                  <w:sz w:val="40"/>
                  <w:szCs w:val="40"/>
                </w:rPr>
              </w:pPr>
              <w:r w:rsidRPr="00D211D9">
                <w:rPr>
                  <w:rFonts w:ascii="Arial" w:hAnsi="Arial" w:cs="Arial"/>
                  <w:b/>
                  <w:bCs/>
                  <w:sz w:val="40"/>
                  <w:szCs w:val="40"/>
                </w:rPr>
                <w:t>Contents</w:t>
              </w:r>
            </w:p>
            <w:p w14:paraId="190BEAFE" w14:textId="62FCFF0A" w:rsidR="00D211D9" w:rsidRPr="00D211D9" w:rsidRDefault="00D211D9">
              <w:pPr>
                <w:pStyle w:val="TOC1"/>
                <w:tabs>
                  <w:tab w:val="right" w:pos="9016"/>
                </w:tabs>
                <w:rPr>
                  <w:rFonts w:ascii="Arial" w:hAnsi="Arial" w:cs="Arial"/>
                  <w:b w:val="0"/>
                  <w:bCs w:val="0"/>
                  <w:caps w:val="0"/>
                  <w:noProof/>
                </w:rPr>
              </w:pPr>
              <w:r w:rsidRPr="00D211D9">
                <w:rPr>
                  <w:rFonts w:ascii="Arial" w:hAnsi="Arial" w:cs="Arial"/>
                </w:rPr>
                <w:fldChar w:fldCharType="begin"/>
              </w:r>
              <w:r w:rsidRPr="00D211D9">
                <w:rPr>
                  <w:rFonts w:ascii="Arial" w:hAnsi="Arial" w:cs="Arial"/>
                </w:rPr>
                <w:instrText xml:space="preserve"> TOC \o "1-3" \h \z \u </w:instrText>
              </w:r>
              <w:r w:rsidRPr="00D211D9">
                <w:rPr>
                  <w:rFonts w:ascii="Arial" w:hAnsi="Arial" w:cs="Arial"/>
                </w:rPr>
                <w:fldChar w:fldCharType="separate"/>
              </w:r>
              <w:hyperlink w:anchor="_Toc235490089" w:history="1">
                <w:r w:rsidRPr="00D211D9">
                  <w:rPr>
                    <w:rStyle w:val="Hyperlink"/>
                    <w:rFonts w:ascii="Arial" w:hAnsi="Arial" w:cs="Arial"/>
                    <w:noProof/>
                  </w:rPr>
                  <w:t>Introduction</w:t>
                </w:r>
                <w:r w:rsidRPr="00D211D9">
                  <w:rPr>
                    <w:rFonts w:ascii="Arial" w:hAnsi="Arial" w:cs="Arial"/>
                    <w:noProof/>
                    <w:webHidden/>
                  </w:rPr>
                  <w:tab/>
                </w:r>
                <w:r w:rsidRPr="00D211D9">
                  <w:rPr>
                    <w:rFonts w:ascii="Arial" w:hAnsi="Arial" w:cs="Arial"/>
                    <w:noProof/>
                    <w:webHidden/>
                  </w:rPr>
                  <w:fldChar w:fldCharType="begin"/>
                </w:r>
                <w:r w:rsidRPr="00D211D9">
                  <w:rPr>
                    <w:rFonts w:ascii="Arial" w:hAnsi="Arial" w:cs="Arial"/>
                    <w:noProof/>
                    <w:webHidden/>
                  </w:rPr>
                  <w:instrText xml:space="preserve"> PAGEREF _Toc235490089 \h </w:instrText>
                </w:r>
                <w:r w:rsidRPr="00D211D9">
                  <w:rPr>
                    <w:rFonts w:ascii="Arial" w:hAnsi="Arial" w:cs="Arial"/>
                    <w:noProof/>
                    <w:webHidden/>
                  </w:rPr>
                </w:r>
                <w:r w:rsidRPr="00D211D9">
                  <w:rPr>
                    <w:rFonts w:ascii="Arial" w:hAnsi="Arial" w:cs="Arial"/>
                    <w:noProof/>
                    <w:webHidden/>
                  </w:rPr>
                  <w:fldChar w:fldCharType="separate"/>
                </w:r>
                <w:r>
                  <w:rPr>
                    <w:rFonts w:ascii="Arial" w:hAnsi="Arial" w:cs="Arial"/>
                    <w:noProof/>
                    <w:webHidden/>
                  </w:rPr>
                  <w:t>2</w:t>
                </w:r>
                <w:r w:rsidRPr="00D211D9">
                  <w:rPr>
                    <w:rFonts w:ascii="Arial" w:hAnsi="Arial" w:cs="Arial"/>
                    <w:noProof/>
                    <w:webHidden/>
                  </w:rPr>
                  <w:fldChar w:fldCharType="end"/>
                </w:r>
              </w:hyperlink>
            </w:p>
            <w:p w14:paraId="7942DCE6" w14:textId="5438AB32" w:rsidR="00D211D9" w:rsidRPr="00D211D9" w:rsidRDefault="00D211D9">
              <w:pPr>
                <w:pStyle w:val="TOC1"/>
                <w:tabs>
                  <w:tab w:val="right" w:pos="9016"/>
                </w:tabs>
                <w:rPr>
                  <w:rFonts w:ascii="Arial" w:hAnsi="Arial" w:cs="Arial"/>
                  <w:b w:val="0"/>
                  <w:bCs w:val="0"/>
                  <w:caps w:val="0"/>
                  <w:noProof/>
                </w:rPr>
              </w:pPr>
              <w:hyperlink w:anchor="_Toc235490090" w:history="1">
                <w:r w:rsidRPr="00D211D9">
                  <w:rPr>
                    <w:rStyle w:val="Hyperlink"/>
                    <w:rFonts w:ascii="Arial" w:hAnsi="Arial" w:cs="Arial"/>
                    <w:noProof/>
                  </w:rPr>
                  <w:t>Approaches Used to Measure and Monitor Type 1 Diabetes</w:t>
                </w:r>
                <w:r w:rsidRPr="00D211D9">
                  <w:rPr>
                    <w:rFonts w:ascii="Arial" w:hAnsi="Arial" w:cs="Arial"/>
                    <w:noProof/>
                    <w:webHidden/>
                  </w:rPr>
                  <w:tab/>
                </w:r>
                <w:r w:rsidRPr="00D211D9">
                  <w:rPr>
                    <w:rFonts w:ascii="Arial" w:hAnsi="Arial" w:cs="Arial"/>
                    <w:noProof/>
                    <w:webHidden/>
                  </w:rPr>
                  <w:fldChar w:fldCharType="begin"/>
                </w:r>
                <w:r w:rsidRPr="00D211D9">
                  <w:rPr>
                    <w:rFonts w:ascii="Arial" w:hAnsi="Arial" w:cs="Arial"/>
                    <w:noProof/>
                    <w:webHidden/>
                  </w:rPr>
                  <w:instrText xml:space="preserve"> PAGEREF _Toc235490090 \h </w:instrText>
                </w:r>
                <w:r w:rsidRPr="00D211D9">
                  <w:rPr>
                    <w:rFonts w:ascii="Arial" w:hAnsi="Arial" w:cs="Arial"/>
                    <w:noProof/>
                    <w:webHidden/>
                  </w:rPr>
                </w:r>
                <w:r w:rsidRPr="00D211D9">
                  <w:rPr>
                    <w:rFonts w:ascii="Arial" w:hAnsi="Arial" w:cs="Arial"/>
                    <w:noProof/>
                    <w:webHidden/>
                  </w:rPr>
                  <w:fldChar w:fldCharType="separate"/>
                </w:r>
                <w:r>
                  <w:rPr>
                    <w:rFonts w:ascii="Arial" w:hAnsi="Arial" w:cs="Arial"/>
                    <w:noProof/>
                    <w:webHidden/>
                  </w:rPr>
                  <w:t>2</w:t>
                </w:r>
                <w:r w:rsidRPr="00D211D9">
                  <w:rPr>
                    <w:rFonts w:ascii="Arial" w:hAnsi="Arial" w:cs="Arial"/>
                    <w:noProof/>
                    <w:webHidden/>
                  </w:rPr>
                  <w:fldChar w:fldCharType="end"/>
                </w:r>
              </w:hyperlink>
            </w:p>
            <w:p w14:paraId="15216077" w14:textId="02553201" w:rsidR="00D211D9" w:rsidRPr="00D211D9" w:rsidRDefault="00D211D9">
              <w:pPr>
                <w:pStyle w:val="TOC1"/>
                <w:tabs>
                  <w:tab w:val="right" w:pos="9016"/>
                </w:tabs>
                <w:rPr>
                  <w:rFonts w:ascii="Arial" w:hAnsi="Arial" w:cs="Arial"/>
                  <w:b w:val="0"/>
                  <w:bCs w:val="0"/>
                  <w:caps w:val="0"/>
                  <w:noProof/>
                </w:rPr>
              </w:pPr>
              <w:hyperlink w:anchor="_Toc235490091" w:history="1">
                <w:r w:rsidRPr="00D211D9">
                  <w:rPr>
                    <w:rStyle w:val="Hyperlink"/>
                    <w:rFonts w:ascii="Arial" w:hAnsi="Arial" w:cs="Arial"/>
                    <w:noProof/>
                  </w:rPr>
                  <w:t>How Type 1 Diabetes is Controlled</w:t>
                </w:r>
                <w:r w:rsidRPr="00D211D9">
                  <w:rPr>
                    <w:rFonts w:ascii="Arial" w:hAnsi="Arial" w:cs="Arial"/>
                    <w:noProof/>
                    <w:webHidden/>
                  </w:rPr>
                  <w:tab/>
                </w:r>
                <w:r w:rsidRPr="00D211D9">
                  <w:rPr>
                    <w:rFonts w:ascii="Arial" w:hAnsi="Arial" w:cs="Arial"/>
                    <w:noProof/>
                    <w:webHidden/>
                  </w:rPr>
                  <w:fldChar w:fldCharType="begin"/>
                </w:r>
                <w:r w:rsidRPr="00D211D9">
                  <w:rPr>
                    <w:rFonts w:ascii="Arial" w:hAnsi="Arial" w:cs="Arial"/>
                    <w:noProof/>
                    <w:webHidden/>
                  </w:rPr>
                  <w:instrText xml:space="preserve"> PAGEREF _Toc235490091 \h </w:instrText>
                </w:r>
                <w:r w:rsidRPr="00D211D9">
                  <w:rPr>
                    <w:rFonts w:ascii="Arial" w:hAnsi="Arial" w:cs="Arial"/>
                    <w:noProof/>
                    <w:webHidden/>
                  </w:rPr>
                </w:r>
                <w:r w:rsidRPr="00D211D9">
                  <w:rPr>
                    <w:rFonts w:ascii="Arial" w:hAnsi="Arial" w:cs="Arial"/>
                    <w:noProof/>
                    <w:webHidden/>
                  </w:rPr>
                  <w:fldChar w:fldCharType="separate"/>
                </w:r>
                <w:r>
                  <w:rPr>
                    <w:rFonts w:ascii="Arial" w:hAnsi="Arial" w:cs="Arial"/>
                    <w:noProof/>
                    <w:webHidden/>
                  </w:rPr>
                  <w:t>3</w:t>
                </w:r>
                <w:r w:rsidRPr="00D211D9">
                  <w:rPr>
                    <w:rFonts w:ascii="Arial" w:hAnsi="Arial" w:cs="Arial"/>
                    <w:noProof/>
                    <w:webHidden/>
                  </w:rPr>
                  <w:fldChar w:fldCharType="end"/>
                </w:r>
              </w:hyperlink>
            </w:p>
            <w:p w14:paraId="3C7E60EA" w14:textId="6099D83E" w:rsidR="00D211D9" w:rsidRPr="00D211D9" w:rsidRDefault="00D211D9">
              <w:pPr>
                <w:pStyle w:val="TOC1"/>
                <w:tabs>
                  <w:tab w:val="right" w:pos="9016"/>
                </w:tabs>
                <w:rPr>
                  <w:rFonts w:ascii="Arial" w:hAnsi="Arial" w:cs="Arial"/>
                  <w:b w:val="0"/>
                  <w:bCs w:val="0"/>
                  <w:caps w:val="0"/>
                  <w:noProof/>
                </w:rPr>
              </w:pPr>
              <w:hyperlink w:anchor="_Toc235490092" w:history="1">
                <w:r w:rsidRPr="00D211D9">
                  <w:rPr>
                    <w:rStyle w:val="Hyperlink"/>
                    <w:rFonts w:ascii="Arial" w:hAnsi="Arial" w:cs="Arial"/>
                    <w:noProof/>
                  </w:rPr>
                  <w:t>Consequences of Type 1 Diabetes for People in the Community</w:t>
                </w:r>
                <w:r w:rsidRPr="00D211D9">
                  <w:rPr>
                    <w:rFonts w:ascii="Arial" w:hAnsi="Arial" w:cs="Arial"/>
                    <w:noProof/>
                    <w:webHidden/>
                  </w:rPr>
                  <w:tab/>
                </w:r>
                <w:r w:rsidRPr="00D211D9">
                  <w:rPr>
                    <w:rFonts w:ascii="Arial" w:hAnsi="Arial" w:cs="Arial"/>
                    <w:noProof/>
                    <w:webHidden/>
                  </w:rPr>
                  <w:fldChar w:fldCharType="begin"/>
                </w:r>
                <w:r w:rsidRPr="00D211D9">
                  <w:rPr>
                    <w:rFonts w:ascii="Arial" w:hAnsi="Arial" w:cs="Arial"/>
                    <w:noProof/>
                    <w:webHidden/>
                  </w:rPr>
                  <w:instrText xml:space="preserve"> PAGEREF _Toc235490092 \h </w:instrText>
                </w:r>
                <w:r w:rsidRPr="00D211D9">
                  <w:rPr>
                    <w:rFonts w:ascii="Arial" w:hAnsi="Arial" w:cs="Arial"/>
                    <w:noProof/>
                    <w:webHidden/>
                  </w:rPr>
                </w:r>
                <w:r w:rsidRPr="00D211D9">
                  <w:rPr>
                    <w:rFonts w:ascii="Arial" w:hAnsi="Arial" w:cs="Arial"/>
                    <w:noProof/>
                    <w:webHidden/>
                  </w:rPr>
                  <w:fldChar w:fldCharType="separate"/>
                </w:r>
                <w:r>
                  <w:rPr>
                    <w:rFonts w:ascii="Arial" w:hAnsi="Arial" w:cs="Arial"/>
                    <w:noProof/>
                    <w:webHidden/>
                  </w:rPr>
                  <w:t>4</w:t>
                </w:r>
                <w:r w:rsidRPr="00D211D9">
                  <w:rPr>
                    <w:rFonts w:ascii="Arial" w:hAnsi="Arial" w:cs="Arial"/>
                    <w:noProof/>
                    <w:webHidden/>
                  </w:rPr>
                  <w:fldChar w:fldCharType="end"/>
                </w:r>
              </w:hyperlink>
            </w:p>
            <w:p w14:paraId="5758C6E0" w14:textId="539D6C7A" w:rsidR="00D211D9" w:rsidRPr="00D211D9" w:rsidRDefault="00D211D9">
              <w:pPr>
                <w:pStyle w:val="TOC1"/>
                <w:tabs>
                  <w:tab w:val="right" w:pos="9016"/>
                </w:tabs>
                <w:rPr>
                  <w:rFonts w:ascii="Arial" w:hAnsi="Arial" w:cs="Arial"/>
                  <w:b w:val="0"/>
                  <w:bCs w:val="0"/>
                  <w:caps w:val="0"/>
                  <w:noProof/>
                </w:rPr>
              </w:pPr>
              <w:hyperlink w:anchor="_Toc235490093" w:history="1">
                <w:r w:rsidRPr="00D211D9">
                  <w:rPr>
                    <w:rStyle w:val="Hyperlink"/>
                    <w:rFonts w:ascii="Arial" w:hAnsi="Arial" w:cs="Arial"/>
                    <w:noProof/>
                  </w:rPr>
                  <w:t>Health and Social Care Support Services Required Within the Community</w:t>
                </w:r>
                <w:r w:rsidRPr="00D211D9">
                  <w:rPr>
                    <w:rFonts w:ascii="Arial" w:hAnsi="Arial" w:cs="Arial"/>
                    <w:noProof/>
                    <w:webHidden/>
                  </w:rPr>
                  <w:tab/>
                </w:r>
                <w:r w:rsidRPr="00D211D9">
                  <w:rPr>
                    <w:rFonts w:ascii="Arial" w:hAnsi="Arial" w:cs="Arial"/>
                    <w:noProof/>
                    <w:webHidden/>
                  </w:rPr>
                  <w:fldChar w:fldCharType="begin"/>
                </w:r>
                <w:r w:rsidRPr="00D211D9">
                  <w:rPr>
                    <w:rFonts w:ascii="Arial" w:hAnsi="Arial" w:cs="Arial"/>
                    <w:noProof/>
                    <w:webHidden/>
                  </w:rPr>
                  <w:instrText xml:space="preserve"> PAGEREF _Toc235490093 \h </w:instrText>
                </w:r>
                <w:r w:rsidRPr="00D211D9">
                  <w:rPr>
                    <w:rFonts w:ascii="Arial" w:hAnsi="Arial" w:cs="Arial"/>
                    <w:noProof/>
                    <w:webHidden/>
                  </w:rPr>
                </w:r>
                <w:r w:rsidRPr="00D211D9">
                  <w:rPr>
                    <w:rFonts w:ascii="Arial" w:hAnsi="Arial" w:cs="Arial"/>
                    <w:noProof/>
                    <w:webHidden/>
                  </w:rPr>
                  <w:fldChar w:fldCharType="separate"/>
                </w:r>
                <w:r>
                  <w:rPr>
                    <w:rFonts w:ascii="Arial" w:hAnsi="Arial" w:cs="Arial"/>
                    <w:noProof/>
                    <w:webHidden/>
                  </w:rPr>
                  <w:t>5</w:t>
                </w:r>
                <w:r w:rsidRPr="00D211D9">
                  <w:rPr>
                    <w:rFonts w:ascii="Arial" w:hAnsi="Arial" w:cs="Arial"/>
                    <w:noProof/>
                    <w:webHidden/>
                  </w:rPr>
                  <w:fldChar w:fldCharType="end"/>
                </w:r>
              </w:hyperlink>
            </w:p>
            <w:p w14:paraId="03D25F5D" w14:textId="0B30D520" w:rsidR="00D211D9" w:rsidRPr="00D211D9" w:rsidRDefault="00D211D9">
              <w:pPr>
                <w:pStyle w:val="TOC1"/>
                <w:tabs>
                  <w:tab w:val="right" w:pos="9016"/>
                </w:tabs>
                <w:rPr>
                  <w:rFonts w:ascii="Arial" w:hAnsi="Arial" w:cs="Arial"/>
                  <w:b w:val="0"/>
                  <w:bCs w:val="0"/>
                  <w:caps w:val="0"/>
                  <w:noProof/>
                </w:rPr>
              </w:pPr>
              <w:hyperlink w:anchor="_Toc235490094" w:history="1">
                <w:r w:rsidRPr="00D211D9">
                  <w:rPr>
                    <w:rStyle w:val="Hyperlink"/>
                    <w:rFonts w:ascii="Arial" w:hAnsi="Arial" w:cs="Arial"/>
                    <w:noProof/>
                  </w:rPr>
                  <w:t>Conclusion</w:t>
                </w:r>
                <w:r w:rsidRPr="00D211D9">
                  <w:rPr>
                    <w:rFonts w:ascii="Arial" w:hAnsi="Arial" w:cs="Arial"/>
                    <w:noProof/>
                    <w:webHidden/>
                  </w:rPr>
                  <w:tab/>
                </w:r>
                <w:r w:rsidRPr="00D211D9">
                  <w:rPr>
                    <w:rFonts w:ascii="Arial" w:hAnsi="Arial" w:cs="Arial"/>
                    <w:noProof/>
                    <w:webHidden/>
                  </w:rPr>
                  <w:fldChar w:fldCharType="begin"/>
                </w:r>
                <w:r w:rsidRPr="00D211D9">
                  <w:rPr>
                    <w:rFonts w:ascii="Arial" w:hAnsi="Arial" w:cs="Arial"/>
                    <w:noProof/>
                    <w:webHidden/>
                  </w:rPr>
                  <w:instrText xml:space="preserve"> PAGEREF _Toc235490094 \h </w:instrText>
                </w:r>
                <w:r w:rsidRPr="00D211D9">
                  <w:rPr>
                    <w:rFonts w:ascii="Arial" w:hAnsi="Arial" w:cs="Arial"/>
                    <w:noProof/>
                    <w:webHidden/>
                  </w:rPr>
                </w:r>
                <w:r w:rsidRPr="00D211D9">
                  <w:rPr>
                    <w:rFonts w:ascii="Arial" w:hAnsi="Arial" w:cs="Arial"/>
                    <w:noProof/>
                    <w:webHidden/>
                  </w:rPr>
                  <w:fldChar w:fldCharType="separate"/>
                </w:r>
                <w:r>
                  <w:rPr>
                    <w:rFonts w:ascii="Arial" w:hAnsi="Arial" w:cs="Arial"/>
                    <w:noProof/>
                    <w:webHidden/>
                  </w:rPr>
                  <w:t>6</w:t>
                </w:r>
                <w:r w:rsidRPr="00D211D9">
                  <w:rPr>
                    <w:rFonts w:ascii="Arial" w:hAnsi="Arial" w:cs="Arial"/>
                    <w:noProof/>
                    <w:webHidden/>
                  </w:rPr>
                  <w:fldChar w:fldCharType="end"/>
                </w:r>
              </w:hyperlink>
            </w:p>
            <w:p w14:paraId="38A11A0C" w14:textId="4C28A83F" w:rsidR="00D211D9" w:rsidRPr="00D211D9" w:rsidRDefault="00D211D9">
              <w:pPr>
                <w:pStyle w:val="TOC1"/>
                <w:tabs>
                  <w:tab w:val="right" w:pos="9016"/>
                </w:tabs>
                <w:rPr>
                  <w:rFonts w:ascii="Arial" w:hAnsi="Arial" w:cs="Arial"/>
                  <w:b w:val="0"/>
                  <w:bCs w:val="0"/>
                  <w:caps w:val="0"/>
                  <w:noProof/>
                </w:rPr>
              </w:pPr>
              <w:hyperlink w:anchor="_Toc235490095" w:history="1">
                <w:r w:rsidRPr="00D211D9">
                  <w:rPr>
                    <w:rStyle w:val="Hyperlink"/>
                    <w:rFonts w:ascii="Arial" w:hAnsi="Arial" w:cs="Arial"/>
                    <w:noProof/>
                    <w:lang w:val="pt-PT"/>
                  </w:rPr>
                  <w:t>References</w:t>
                </w:r>
                <w:r w:rsidRPr="00D211D9">
                  <w:rPr>
                    <w:rFonts w:ascii="Arial" w:hAnsi="Arial" w:cs="Arial"/>
                    <w:noProof/>
                    <w:webHidden/>
                  </w:rPr>
                  <w:tab/>
                </w:r>
                <w:r w:rsidRPr="00D211D9">
                  <w:rPr>
                    <w:rFonts w:ascii="Arial" w:hAnsi="Arial" w:cs="Arial"/>
                    <w:noProof/>
                    <w:webHidden/>
                  </w:rPr>
                  <w:fldChar w:fldCharType="begin"/>
                </w:r>
                <w:r w:rsidRPr="00D211D9">
                  <w:rPr>
                    <w:rFonts w:ascii="Arial" w:hAnsi="Arial" w:cs="Arial"/>
                    <w:noProof/>
                    <w:webHidden/>
                  </w:rPr>
                  <w:instrText xml:space="preserve"> PAGEREF _Toc235490095 \h </w:instrText>
                </w:r>
                <w:r w:rsidRPr="00D211D9">
                  <w:rPr>
                    <w:rFonts w:ascii="Arial" w:hAnsi="Arial" w:cs="Arial"/>
                    <w:noProof/>
                    <w:webHidden/>
                  </w:rPr>
                </w:r>
                <w:r w:rsidRPr="00D211D9">
                  <w:rPr>
                    <w:rFonts w:ascii="Arial" w:hAnsi="Arial" w:cs="Arial"/>
                    <w:noProof/>
                    <w:webHidden/>
                  </w:rPr>
                  <w:fldChar w:fldCharType="separate"/>
                </w:r>
                <w:r>
                  <w:rPr>
                    <w:rFonts w:ascii="Arial" w:hAnsi="Arial" w:cs="Arial"/>
                    <w:noProof/>
                    <w:webHidden/>
                  </w:rPr>
                  <w:t>7</w:t>
                </w:r>
                <w:r w:rsidRPr="00D211D9">
                  <w:rPr>
                    <w:rFonts w:ascii="Arial" w:hAnsi="Arial" w:cs="Arial"/>
                    <w:noProof/>
                    <w:webHidden/>
                  </w:rPr>
                  <w:fldChar w:fldCharType="end"/>
                </w:r>
              </w:hyperlink>
            </w:p>
            <w:p w14:paraId="0BAE8A58" w14:textId="4CAA9794" w:rsidR="00D211D9" w:rsidRPr="00D211D9" w:rsidRDefault="00D211D9">
              <w:pPr>
                <w:rPr>
                  <w:rFonts w:ascii="Arial" w:hAnsi="Arial" w:cs="Arial"/>
                </w:rPr>
              </w:pPr>
              <w:r w:rsidRPr="00D211D9">
                <w:rPr>
                  <w:rFonts w:ascii="Arial" w:hAnsi="Arial" w:cs="Arial"/>
                  <w:b/>
                  <w:bCs/>
                </w:rPr>
                <w:fldChar w:fldCharType="end"/>
              </w:r>
            </w:p>
          </w:sdtContent>
        </w:sdt>
        <w:p w14:paraId="56B53C41" w14:textId="77777777" w:rsidR="00463A75" w:rsidRPr="00D211D9" w:rsidRDefault="00463A75" w:rsidP="00076C58">
          <w:pPr>
            <w:rPr>
              <w:rFonts w:ascii="Arial" w:hAnsi="Arial" w:cs="Arial"/>
              <w:color w:val="156082" w:themeColor="accent1"/>
              <w:kern w:val="0"/>
              <w:sz w:val="22"/>
              <w:szCs w:val="22"/>
              <w14:ligatures w14:val="none"/>
            </w:rPr>
          </w:pPr>
        </w:p>
        <w:p w14:paraId="74D90DD7" w14:textId="77777777" w:rsidR="00463A75" w:rsidRPr="00D211D9" w:rsidRDefault="00463A75" w:rsidP="00076C58">
          <w:pPr>
            <w:rPr>
              <w:rFonts w:ascii="Arial" w:hAnsi="Arial" w:cs="Arial"/>
              <w:color w:val="156082" w:themeColor="accent1"/>
              <w:kern w:val="0"/>
              <w:sz w:val="22"/>
              <w:szCs w:val="22"/>
              <w14:ligatures w14:val="none"/>
            </w:rPr>
          </w:pPr>
        </w:p>
        <w:p w14:paraId="606D1149" w14:textId="77777777" w:rsidR="00463A75" w:rsidRPr="00D211D9" w:rsidRDefault="00463A75" w:rsidP="00076C58">
          <w:pPr>
            <w:rPr>
              <w:rFonts w:ascii="Arial" w:hAnsi="Arial" w:cs="Arial"/>
              <w:color w:val="156082" w:themeColor="accent1"/>
              <w:kern w:val="0"/>
              <w:sz w:val="22"/>
              <w:szCs w:val="22"/>
              <w14:ligatures w14:val="none"/>
            </w:rPr>
          </w:pPr>
        </w:p>
        <w:p w14:paraId="69B5BEDF" w14:textId="77777777" w:rsidR="00463A75" w:rsidRPr="00D211D9" w:rsidRDefault="00463A75" w:rsidP="00076C58">
          <w:pPr>
            <w:rPr>
              <w:rFonts w:ascii="Arial" w:hAnsi="Arial" w:cs="Arial"/>
              <w:color w:val="156082" w:themeColor="accent1"/>
              <w:kern w:val="0"/>
              <w:sz w:val="22"/>
              <w:szCs w:val="22"/>
              <w14:ligatures w14:val="none"/>
            </w:rPr>
          </w:pPr>
        </w:p>
        <w:p w14:paraId="48BBB6FA" w14:textId="77777777" w:rsidR="00463A75" w:rsidRPr="00D211D9" w:rsidRDefault="00463A75" w:rsidP="00076C58">
          <w:pPr>
            <w:rPr>
              <w:rFonts w:ascii="Arial" w:hAnsi="Arial" w:cs="Arial"/>
              <w:color w:val="156082" w:themeColor="accent1"/>
              <w:kern w:val="0"/>
              <w:sz w:val="22"/>
              <w:szCs w:val="22"/>
              <w14:ligatures w14:val="none"/>
            </w:rPr>
          </w:pPr>
        </w:p>
        <w:p w14:paraId="7190FE18" w14:textId="77777777" w:rsidR="00463A75" w:rsidRPr="00D211D9" w:rsidRDefault="00463A75" w:rsidP="00076C58">
          <w:pPr>
            <w:rPr>
              <w:rFonts w:ascii="Arial" w:hAnsi="Arial" w:cs="Arial"/>
              <w:color w:val="156082" w:themeColor="accent1"/>
              <w:kern w:val="0"/>
              <w:sz w:val="22"/>
              <w:szCs w:val="22"/>
              <w14:ligatures w14:val="none"/>
            </w:rPr>
          </w:pPr>
        </w:p>
        <w:p w14:paraId="1EB79A66" w14:textId="77777777" w:rsidR="00463A75" w:rsidRPr="00D211D9" w:rsidRDefault="00463A75" w:rsidP="00076C58">
          <w:pPr>
            <w:rPr>
              <w:rFonts w:ascii="Arial" w:hAnsi="Arial" w:cs="Arial"/>
              <w:color w:val="156082" w:themeColor="accent1"/>
              <w:kern w:val="0"/>
              <w:sz w:val="22"/>
              <w:szCs w:val="22"/>
              <w14:ligatures w14:val="none"/>
            </w:rPr>
          </w:pPr>
        </w:p>
        <w:p w14:paraId="2E007865" w14:textId="77777777" w:rsidR="00463A75" w:rsidRPr="00D211D9" w:rsidRDefault="00463A75" w:rsidP="00076C58">
          <w:pPr>
            <w:rPr>
              <w:rFonts w:ascii="Arial" w:hAnsi="Arial" w:cs="Arial"/>
              <w:color w:val="156082" w:themeColor="accent1"/>
              <w:kern w:val="0"/>
              <w:sz w:val="22"/>
              <w:szCs w:val="22"/>
              <w14:ligatures w14:val="none"/>
            </w:rPr>
          </w:pPr>
        </w:p>
        <w:p w14:paraId="356573F2" w14:textId="77777777" w:rsidR="00F82243" w:rsidRPr="00D211D9" w:rsidRDefault="00F82243" w:rsidP="00A716ED">
          <w:pPr>
            <w:rPr>
              <w:rFonts w:ascii="Arial" w:hAnsi="Arial" w:cs="Arial"/>
              <w:color w:val="156082" w:themeColor="accent1"/>
              <w:kern w:val="0"/>
              <w:sz w:val="22"/>
              <w:szCs w:val="22"/>
              <w14:ligatures w14:val="none"/>
            </w:rPr>
          </w:pPr>
        </w:p>
        <w:p w14:paraId="64C3DE75" w14:textId="77777777" w:rsidR="00F82243" w:rsidRPr="00D211D9" w:rsidRDefault="00F82243" w:rsidP="00A716ED">
          <w:pPr>
            <w:rPr>
              <w:rFonts w:ascii="Arial" w:hAnsi="Arial" w:cs="Arial"/>
              <w:color w:val="156082" w:themeColor="accent1"/>
              <w:kern w:val="0"/>
              <w:sz w:val="22"/>
              <w:szCs w:val="22"/>
              <w14:ligatures w14:val="none"/>
            </w:rPr>
          </w:pPr>
        </w:p>
        <w:p w14:paraId="5555C77F" w14:textId="77777777" w:rsidR="00F82243" w:rsidRPr="00D211D9" w:rsidRDefault="00F82243" w:rsidP="00A716ED">
          <w:pPr>
            <w:rPr>
              <w:rFonts w:ascii="Arial" w:hAnsi="Arial" w:cs="Arial"/>
              <w:color w:val="156082" w:themeColor="accent1"/>
              <w:kern w:val="0"/>
              <w:sz w:val="22"/>
              <w:szCs w:val="22"/>
              <w14:ligatures w14:val="none"/>
            </w:rPr>
          </w:pPr>
        </w:p>
        <w:p w14:paraId="020EDADA" w14:textId="77777777" w:rsidR="00F82243" w:rsidRPr="00D211D9" w:rsidRDefault="00F82243" w:rsidP="00A716ED">
          <w:pPr>
            <w:rPr>
              <w:rFonts w:ascii="Arial" w:hAnsi="Arial" w:cs="Arial"/>
              <w:color w:val="156082" w:themeColor="accent1"/>
              <w:kern w:val="0"/>
              <w:sz w:val="22"/>
              <w:szCs w:val="22"/>
              <w14:ligatures w14:val="none"/>
            </w:rPr>
          </w:pPr>
        </w:p>
        <w:p w14:paraId="737B4DC6" w14:textId="77777777" w:rsidR="00F82243" w:rsidRPr="00D211D9" w:rsidRDefault="00F82243" w:rsidP="00A716ED">
          <w:pPr>
            <w:rPr>
              <w:rFonts w:ascii="Arial" w:hAnsi="Arial" w:cs="Arial"/>
              <w:color w:val="156082" w:themeColor="accent1"/>
              <w:kern w:val="0"/>
              <w:sz w:val="22"/>
              <w:szCs w:val="22"/>
              <w14:ligatures w14:val="none"/>
            </w:rPr>
          </w:pPr>
        </w:p>
        <w:p w14:paraId="74CFFD94" w14:textId="0EEE9FF6" w:rsidR="00A716ED" w:rsidRPr="00D211D9" w:rsidRDefault="00C0733A" w:rsidP="00A716ED">
          <w:pPr>
            <w:rPr>
              <w:rFonts w:ascii="Arial" w:hAnsi="Arial" w:cs="Arial"/>
              <w:color w:val="156082" w:themeColor="accent1"/>
              <w:kern w:val="0"/>
              <w:sz w:val="22"/>
              <w:szCs w:val="22"/>
              <w14:ligatures w14:val="none"/>
            </w:rPr>
          </w:pPr>
        </w:p>
      </w:sdtContent>
    </w:sdt>
    <w:p w14:paraId="2672EFD7" w14:textId="77777777" w:rsidR="00070D82" w:rsidRPr="00D211D9" w:rsidRDefault="00070D82" w:rsidP="00070D82">
      <w:pPr>
        <w:rPr>
          <w:rFonts w:ascii="Arial" w:hAnsi="Arial" w:cs="Arial"/>
          <w:color w:val="156082" w:themeColor="accent1"/>
          <w:kern w:val="0"/>
          <w:sz w:val="22"/>
          <w:szCs w:val="22"/>
          <w14:ligatures w14:val="none"/>
        </w:rPr>
      </w:pPr>
    </w:p>
    <w:p w14:paraId="56B6D054" w14:textId="77777777" w:rsidR="007A49EC" w:rsidRPr="00D211D9" w:rsidRDefault="00070D82" w:rsidP="00070D82">
      <w:pPr>
        <w:tabs>
          <w:tab w:val="left" w:pos="3540"/>
        </w:tabs>
        <w:rPr>
          <w:rFonts w:ascii="Arial" w:hAnsi="Arial" w:cs="Arial"/>
          <w:sz w:val="22"/>
          <w:szCs w:val="22"/>
        </w:rPr>
        <w:sectPr w:rsidR="007A49EC" w:rsidRPr="00D211D9" w:rsidSect="00DA2C3C">
          <w:footerReference w:type="default" r:id="rId10"/>
          <w:pgSz w:w="11906" w:h="16838"/>
          <w:pgMar w:top="1440" w:right="1440" w:bottom="1440" w:left="1440" w:header="708" w:footer="708" w:gutter="0"/>
          <w:pgNumType w:start="2"/>
          <w:cols w:space="708"/>
          <w:docGrid w:linePitch="360"/>
        </w:sectPr>
      </w:pPr>
      <w:r w:rsidRPr="00D211D9">
        <w:rPr>
          <w:rFonts w:ascii="Arial" w:hAnsi="Arial" w:cs="Arial"/>
          <w:sz w:val="22"/>
          <w:szCs w:val="22"/>
        </w:rPr>
        <w:tab/>
      </w:r>
    </w:p>
    <w:p w14:paraId="02EA1614" w14:textId="7224BD66" w:rsidR="00070D82" w:rsidRPr="00D211D9" w:rsidRDefault="00070D82" w:rsidP="00070D82">
      <w:pPr>
        <w:tabs>
          <w:tab w:val="left" w:pos="3540"/>
        </w:tabs>
        <w:rPr>
          <w:rFonts w:ascii="Arial" w:hAnsi="Arial" w:cs="Arial"/>
          <w:sz w:val="22"/>
          <w:szCs w:val="22"/>
        </w:rPr>
      </w:pPr>
    </w:p>
    <w:p w14:paraId="6F0714DF" w14:textId="1E2B0E4A" w:rsidR="00076C58" w:rsidRPr="00D211D9" w:rsidRDefault="00076C58" w:rsidP="002D57DB">
      <w:pPr>
        <w:pStyle w:val="Heading1"/>
        <w:rPr>
          <w:rFonts w:ascii="Arial" w:hAnsi="Arial" w:cs="Arial"/>
          <w:color w:val="156082" w:themeColor="accent1"/>
          <w:kern w:val="0"/>
          <w:sz w:val="32"/>
          <w:szCs w:val="32"/>
          <w14:ligatures w14:val="none"/>
        </w:rPr>
      </w:pPr>
      <w:bookmarkStart w:id="0" w:name="_Toc235490089"/>
      <w:r w:rsidRPr="00D211D9">
        <w:rPr>
          <w:rFonts w:ascii="Arial" w:hAnsi="Arial" w:cs="Arial"/>
          <w:b/>
          <w:bCs/>
          <w:sz w:val="32"/>
          <w:szCs w:val="32"/>
        </w:rPr>
        <w:t>Introduction</w:t>
      </w:r>
      <w:bookmarkEnd w:id="0"/>
    </w:p>
    <w:p w14:paraId="69C0770A" w14:textId="77777777" w:rsidR="00944549" w:rsidRPr="00D211D9" w:rsidRDefault="00944549" w:rsidP="00944549">
      <w:pPr>
        <w:spacing w:line="360" w:lineRule="auto"/>
        <w:jc w:val="both"/>
        <w:rPr>
          <w:rFonts w:ascii="Arial" w:hAnsi="Arial" w:cs="Arial"/>
          <w:sz w:val="22"/>
          <w:szCs w:val="22"/>
        </w:rPr>
      </w:pPr>
      <w:r w:rsidRPr="00D211D9">
        <w:rPr>
          <w:rFonts w:ascii="Arial" w:hAnsi="Arial" w:cs="Arial"/>
          <w:sz w:val="22"/>
          <w:szCs w:val="22"/>
        </w:rPr>
        <w:t>Type 1 diabetes is a chronic autoimmune condition in which the body's immune system attacks and destroys the insulin-producing beta cells in the pancreas. According to the World Health Organization (WHO, 2024), this results in little or no insulin production, meaning individuals require lifelong insulin therapy to regulate blood glucose levels. Common signs and symptoms include increased thirst, frequent urination, unexplained weight loss, extreme tiredness, blurred vision and slow-healing wounds. Symptoms often develop rapidly and, if left untreated, can lead to diabetic ketoacidosis (DKA), a serious and potentially life-threatening complication requiring immediate medical treatment (NHS, 2024).</w:t>
      </w:r>
    </w:p>
    <w:p w14:paraId="17A39D8A" w14:textId="137176E6" w:rsidR="00944549" w:rsidRPr="00D211D9" w:rsidRDefault="00944549" w:rsidP="00944549">
      <w:pPr>
        <w:spacing w:line="360" w:lineRule="auto"/>
        <w:jc w:val="both"/>
        <w:rPr>
          <w:rFonts w:ascii="Arial" w:hAnsi="Arial" w:cs="Arial"/>
          <w:sz w:val="22"/>
          <w:szCs w:val="22"/>
        </w:rPr>
      </w:pPr>
      <w:r w:rsidRPr="00D211D9">
        <w:rPr>
          <w:rFonts w:ascii="Arial" w:hAnsi="Arial" w:cs="Arial"/>
          <w:sz w:val="22"/>
          <w:szCs w:val="22"/>
        </w:rPr>
        <w:t>Although type 1 diabetes is less common than type 2 diabetes, its prevalence remains a significant public health concern. The World Health Organization (WHO, 2024) estimates that approximately 9 million people worldwide are living with type 1 diabetes</w:t>
      </w:r>
      <w:r w:rsidR="00D54C9A" w:rsidRPr="00D211D9">
        <w:rPr>
          <w:rFonts w:ascii="Arial" w:hAnsi="Arial" w:cs="Arial"/>
          <w:sz w:val="22"/>
          <w:szCs w:val="22"/>
        </w:rPr>
        <w:t xml:space="preserve"> in 2017</w:t>
      </w:r>
      <w:r w:rsidRPr="00D211D9">
        <w:rPr>
          <w:rFonts w:ascii="Arial" w:hAnsi="Arial" w:cs="Arial"/>
          <w:sz w:val="22"/>
          <w:szCs w:val="22"/>
        </w:rPr>
        <w:t>, while it accounts for around 8% of all diagnosed diabetes cases in the UK (Diabetes UK, 2025). Furthermore, approximately 9,000–10,000 new cases of type 1 diabetes are diagnosed each year in England, demonstrating that the incidence of the condition continues to place demands on healthcare services (NHS England, 202</w:t>
      </w:r>
      <w:r w:rsidR="00DA1185" w:rsidRPr="00D211D9">
        <w:rPr>
          <w:rFonts w:ascii="Arial" w:hAnsi="Arial" w:cs="Arial"/>
          <w:sz w:val="22"/>
          <w:szCs w:val="22"/>
        </w:rPr>
        <w:t>3</w:t>
      </w:r>
      <w:r w:rsidRPr="00D211D9">
        <w:rPr>
          <w:rFonts w:ascii="Arial" w:hAnsi="Arial" w:cs="Arial"/>
          <w:sz w:val="22"/>
          <w:szCs w:val="22"/>
        </w:rPr>
        <w:t>). This report examines the approaches used to measure, monitor and control type 1 diabetes, its impact on individuals and communities, and the health and social care services available to support people living with the condition.</w:t>
      </w:r>
    </w:p>
    <w:p w14:paraId="6D3C2003" w14:textId="77777777" w:rsidR="00944549" w:rsidRPr="00D211D9" w:rsidRDefault="00944549" w:rsidP="00076C58">
      <w:pPr>
        <w:rPr>
          <w:rFonts w:ascii="Arial" w:hAnsi="Arial" w:cs="Arial"/>
          <w:b/>
          <w:bCs/>
          <w:sz w:val="28"/>
          <w:szCs w:val="28"/>
        </w:rPr>
      </w:pPr>
    </w:p>
    <w:p w14:paraId="146A5B8E" w14:textId="3C7F6686" w:rsidR="00837E48" w:rsidRPr="00D211D9" w:rsidRDefault="00076C58" w:rsidP="000C5AEB">
      <w:pPr>
        <w:pStyle w:val="Heading1"/>
        <w:rPr>
          <w:rFonts w:ascii="Arial" w:hAnsi="Arial" w:cs="Arial"/>
          <w:b/>
          <w:bCs/>
          <w:sz w:val="32"/>
          <w:szCs w:val="32"/>
        </w:rPr>
      </w:pPr>
      <w:bookmarkStart w:id="1" w:name="_Toc235490090"/>
      <w:r w:rsidRPr="00D211D9">
        <w:rPr>
          <w:rFonts w:ascii="Arial" w:hAnsi="Arial" w:cs="Arial"/>
          <w:b/>
          <w:bCs/>
          <w:sz w:val="32"/>
          <w:szCs w:val="32"/>
        </w:rPr>
        <w:t>Approaches Used to Measure and Monitor Type 1 Diabetes</w:t>
      </w:r>
      <w:bookmarkEnd w:id="1"/>
    </w:p>
    <w:p w14:paraId="2AE69036" w14:textId="77777777" w:rsidR="00273990" w:rsidRPr="00D211D9" w:rsidRDefault="00273990" w:rsidP="00D86BCD">
      <w:pPr>
        <w:spacing w:before="240" w:line="360" w:lineRule="auto"/>
        <w:jc w:val="both"/>
        <w:rPr>
          <w:rFonts w:ascii="Arial" w:hAnsi="Arial" w:cs="Arial"/>
          <w:sz w:val="22"/>
          <w:szCs w:val="22"/>
        </w:rPr>
      </w:pPr>
      <w:r w:rsidRPr="00D211D9">
        <w:rPr>
          <w:rFonts w:ascii="Arial" w:hAnsi="Arial" w:cs="Arial"/>
          <w:sz w:val="22"/>
          <w:szCs w:val="22"/>
        </w:rPr>
        <w:t>People with type 1 diabetes require lifelong monitoring because their pancreas produces little or no insulin. Without sufficient insulin, blood glucose levels rise, increasing the risk of both short- and long-term complications. Regular monitoring, alongside insulin replacement therapy, is therefore essential to maintain blood glucose levels within the target range (NICE, 2022).</w:t>
      </w:r>
    </w:p>
    <w:p w14:paraId="6A372FFF" w14:textId="4B073ADB" w:rsidR="00273990" w:rsidRPr="00D211D9" w:rsidRDefault="00273990" w:rsidP="00D86BCD">
      <w:pPr>
        <w:spacing w:before="240" w:line="360" w:lineRule="auto"/>
        <w:jc w:val="both"/>
        <w:rPr>
          <w:rFonts w:ascii="Arial" w:hAnsi="Arial" w:cs="Arial"/>
          <w:sz w:val="22"/>
          <w:szCs w:val="22"/>
        </w:rPr>
      </w:pPr>
      <w:r w:rsidRPr="00D211D9">
        <w:rPr>
          <w:rFonts w:ascii="Arial" w:hAnsi="Arial" w:cs="Arial"/>
          <w:sz w:val="22"/>
          <w:szCs w:val="22"/>
        </w:rPr>
        <w:t xml:space="preserve">Finger-prick blood glucose testing is one of the </w:t>
      </w:r>
      <w:proofErr w:type="gramStart"/>
      <w:r w:rsidRPr="00D211D9">
        <w:rPr>
          <w:rFonts w:ascii="Arial" w:hAnsi="Arial" w:cs="Arial"/>
          <w:sz w:val="22"/>
          <w:szCs w:val="22"/>
        </w:rPr>
        <w:t>most commonly used</w:t>
      </w:r>
      <w:proofErr w:type="gramEnd"/>
      <w:r w:rsidRPr="00D211D9">
        <w:rPr>
          <w:rFonts w:ascii="Arial" w:hAnsi="Arial" w:cs="Arial"/>
          <w:sz w:val="22"/>
          <w:szCs w:val="22"/>
        </w:rPr>
        <w:t xml:space="preserve"> monitoring methods. It provides an accurate reading at a specific time and is usually carried out before meals, exercise, driving, bedtime or when symptoms of hypoglycaemia or hyperglycaemia occur. Although inexpensive and widely available, it only offers a snapshot of blood glucose levels and cannot identify trends over time. Frequent testing may also become uncomfortable, </w:t>
      </w:r>
      <w:r w:rsidRPr="00D211D9">
        <w:rPr>
          <w:rFonts w:ascii="Arial" w:hAnsi="Arial" w:cs="Arial"/>
          <w:sz w:val="22"/>
          <w:szCs w:val="22"/>
        </w:rPr>
        <w:lastRenderedPageBreak/>
        <w:t>making consistent monitoring more challenging for some people</w:t>
      </w:r>
      <w:r w:rsidR="002B03E4" w:rsidRPr="00D211D9">
        <w:rPr>
          <w:rFonts w:ascii="Arial" w:hAnsi="Arial" w:cs="Arial"/>
          <w:sz w:val="22"/>
          <w:szCs w:val="22"/>
        </w:rPr>
        <w:t xml:space="preserve">, </w:t>
      </w:r>
      <w:r w:rsidR="00E14647" w:rsidRPr="00D211D9">
        <w:rPr>
          <w:rFonts w:ascii="Arial" w:hAnsi="Arial" w:cs="Arial"/>
          <w:sz w:val="22"/>
          <w:szCs w:val="22"/>
        </w:rPr>
        <w:t>which may</w:t>
      </w:r>
      <w:r w:rsidR="00EE0A7F" w:rsidRPr="00D211D9">
        <w:rPr>
          <w:rFonts w:ascii="Arial" w:hAnsi="Arial" w:cs="Arial"/>
          <w:sz w:val="22"/>
          <w:szCs w:val="22"/>
        </w:rPr>
        <w:t xml:space="preserve"> affect long-term diabetes management</w:t>
      </w:r>
      <w:r w:rsidR="002B03E4" w:rsidRPr="00D211D9">
        <w:rPr>
          <w:rFonts w:ascii="Arial" w:hAnsi="Arial" w:cs="Arial"/>
          <w:sz w:val="22"/>
          <w:szCs w:val="22"/>
        </w:rPr>
        <w:t xml:space="preserve"> (NICE,2022)</w:t>
      </w:r>
      <w:r w:rsidR="00EE0A7F" w:rsidRPr="00D211D9">
        <w:rPr>
          <w:rFonts w:ascii="Arial" w:hAnsi="Arial" w:cs="Arial"/>
          <w:sz w:val="22"/>
          <w:szCs w:val="22"/>
        </w:rPr>
        <w:t xml:space="preserve">. </w:t>
      </w:r>
    </w:p>
    <w:p w14:paraId="6239354F" w14:textId="61AF36A0" w:rsidR="00273990" w:rsidRPr="00D211D9" w:rsidRDefault="00273990" w:rsidP="00D86BCD">
      <w:pPr>
        <w:spacing w:before="240" w:line="360" w:lineRule="auto"/>
        <w:jc w:val="both"/>
        <w:rPr>
          <w:rFonts w:ascii="Arial" w:hAnsi="Arial" w:cs="Arial"/>
          <w:sz w:val="22"/>
          <w:szCs w:val="22"/>
        </w:rPr>
      </w:pPr>
      <w:r w:rsidRPr="00D211D9">
        <w:rPr>
          <w:rFonts w:ascii="Arial" w:hAnsi="Arial" w:cs="Arial"/>
          <w:sz w:val="22"/>
          <w:szCs w:val="22"/>
        </w:rPr>
        <w:t>Friedman et al. (2023) explain that continuous glucose monitoring (CGM) measures glucose levels every few minutes, enabling people to identify patterns and make informed decisions about insulin doses, food intake and physical activity</w:t>
      </w:r>
      <w:r w:rsidR="00D0115B" w:rsidRPr="00D211D9">
        <w:rPr>
          <w:rFonts w:ascii="Arial" w:hAnsi="Arial" w:cs="Arial"/>
          <w:sz w:val="22"/>
          <w:szCs w:val="22"/>
        </w:rPr>
        <w:t xml:space="preserve"> Real-time readings and alerts for high or low glucose levels can reduce episodes of hypoglycaemia while supporting better glycaemic control, enabling more informed decisions about insulin </w:t>
      </w:r>
      <w:proofErr w:type="gramStart"/>
      <w:r w:rsidR="00D0115B" w:rsidRPr="00D211D9">
        <w:rPr>
          <w:rFonts w:ascii="Arial" w:hAnsi="Arial" w:cs="Arial"/>
          <w:sz w:val="22"/>
          <w:szCs w:val="22"/>
        </w:rPr>
        <w:t>dosing.</w:t>
      </w:r>
      <w:r w:rsidRPr="00D211D9">
        <w:rPr>
          <w:rFonts w:ascii="Arial" w:hAnsi="Arial" w:cs="Arial"/>
          <w:sz w:val="22"/>
          <w:szCs w:val="22"/>
        </w:rPr>
        <w:t>.</w:t>
      </w:r>
      <w:proofErr w:type="gramEnd"/>
      <w:r w:rsidRPr="00D211D9">
        <w:rPr>
          <w:rFonts w:ascii="Arial" w:hAnsi="Arial" w:cs="Arial"/>
          <w:sz w:val="22"/>
          <w:szCs w:val="22"/>
        </w:rPr>
        <w:t xml:space="preserve"> Flash glucose monitoring (FGM) works in a similar way but requires users to scan the sensor to obtain a reading. These technologies allow diabetes management to be tailored more closely to an individual's needs</w:t>
      </w:r>
      <w:r w:rsidR="00405021" w:rsidRPr="00D211D9">
        <w:rPr>
          <w:rFonts w:ascii="Arial" w:hAnsi="Arial" w:cs="Arial"/>
          <w:sz w:val="22"/>
          <w:szCs w:val="22"/>
        </w:rPr>
        <w:t xml:space="preserve">. </w:t>
      </w:r>
      <w:r w:rsidR="003F2A81" w:rsidRPr="00D211D9">
        <w:rPr>
          <w:rFonts w:ascii="Arial" w:hAnsi="Arial" w:cs="Arial"/>
          <w:sz w:val="22"/>
          <w:szCs w:val="22"/>
        </w:rPr>
        <w:t>Friedman et al. (2023)</w:t>
      </w:r>
      <w:r w:rsidRPr="00D211D9">
        <w:rPr>
          <w:rFonts w:ascii="Arial" w:hAnsi="Arial" w:cs="Arial"/>
          <w:sz w:val="22"/>
          <w:szCs w:val="22"/>
        </w:rPr>
        <w:t xml:space="preserve"> also suggest that easier access to glucose information can increase confidence when managing diabetes </w:t>
      </w:r>
      <w:proofErr w:type="gramStart"/>
      <w:r w:rsidRPr="00D211D9">
        <w:rPr>
          <w:rFonts w:ascii="Arial" w:hAnsi="Arial" w:cs="Arial"/>
          <w:sz w:val="22"/>
          <w:szCs w:val="22"/>
        </w:rPr>
        <w:t>on a daily basis</w:t>
      </w:r>
      <w:proofErr w:type="gramEnd"/>
      <w:r w:rsidRPr="00D211D9">
        <w:rPr>
          <w:rFonts w:ascii="Arial" w:hAnsi="Arial" w:cs="Arial"/>
          <w:sz w:val="22"/>
          <w:szCs w:val="22"/>
        </w:rPr>
        <w:t>. However, access to these devices may still depend on NHS funding, local prescribing policies and an individual's confidence in using digital technology (NICE, 2022).</w:t>
      </w:r>
    </w:p>
    <w:p w14:paraId="47BEF236" w14:textId="77777777" w:rsidR="00273990" w:rsidRPr="00D211D9" w:rsidRDefault="00273990" w:rsidP="00D86BCD">
      <w:pPr>
        <w:spacing w:before="240" w:line="360" w:lineRule="auto"/>
        <w:jc w:val="both"/>
        <w:rPr>
          <w:rFonts w:ascii="Arial" w:hAnsi="Arial" w:cs="Arial"/>
          <w:sz w:val="22"/>
          <w:szCs w:val="22"/>
        </w:rPr>
      </w:pPr>
      <w:r w:rsidRPr="00D211D9">
        <w:rPr>
          <w:rFonts w:ascii="Arial" w:hAnsi="Arial" w:cs="Arial"/>
          <w:sz w:val="22"/>
          <w:szCs w:val="22"/>
        </w:rPr>
        <w:t>HbA1c testing reflects average blood glucose levels over the previous two to three months and should be used alongside daily glucose monitoring. As it cannot identify sudden fluctuations or episodes of hypoglycaemia, relying on HbA1c alone would not provide a complete picture of glucose control (NICE, 2022).</w:t>
      </w:r>
    </w:p>
    <w:p w14:paraId="035EEBA5" w14:textId="77777777" w:rsidR="00273990" w:rsidRPr="00D211D9" w:rsidRDefault="00273990" w:rsidP="00D86BCD">
      <w:pPr>
        <w:spacing w:before="240" w:line="360" w:lineRule="auto"/>
        <w:jc w:val="both"/>
        <w:rPr>
          <w:rFonts w:ascii="Arial" w:hAnsi="Arial" w:cs="Arial"/>
        </w:rPr>
      </w:pPr>
      <w:r w:rsidRPr="00D211D9">
        <w:rPr>
          <w:rFonts w:ascii="Arial" w:hAnsi="Arial" w:cs="Arial"/>
          <w:sz w:val="22"/>
          <w:szCs w:val="22"/>
        </w:rPr>
        <w:t>Monitoring also includes ketone testing during illness or persistent hyperglycaemia, together with retinal screening, kidney function tests, foot examinations, blood pressure and cholesterol checks. Collectively, these assessments support the early identification of complications, allowing timely intervention before more serious health problems develop (NICE, 2022</w:t>
      </w:r>
      <w:r w:rsidRPr="00D211D9">
        <w:rPr>
          <w:rFonts w:ascii="Arial" w:hAnsi="Arial" w:cs="Arial"/>
        </w:rPr>
        <w:t>).</w:t>
      </w:r>
    </w:p>
    <w:p w14:paraId="25CF6D66" w14:textId="77777777" w:rsidR="00273990" w:rsidRPr="00D211D9" w:rsidRDefault="00273990" w:rsidP="00076C58">
      <w:pPr>
        <w:rPr>
          <w:rFonts w:ascii="Arial" w:hAnsi="Arial" w:cs="Arial"/>
        </w:rPr>
      </w:pPr>
    </w:p>
    <w:p w14:paraId="761A30CD" w14:textId="4F22E8B4" w:rsidR="00837E48" w:rsidRPr="00D211D9" w:rsidRDefault="00EA31A6" w:rsidP="000C5AEB">
      <w:pPr>
        <w:pStyle w:val="Heading1"/>
        <w:rPr>
          <w:rFonts w:ascii="Arial" w:hAnsi="Arial" w:cs="Arial"/>
          <w:b/>
          <w:bCs/>
          <w:sz w:val="32"/>
          <w:szCs w:val="32"/>
        </w:rPr>
      </w:pPr>
      <w:bookmarkStart w:id="2" w:name="_Toc235490091"/>
      <w:r w:rsidRPr="00D211D9">
        <w:rPr>
          <w:rFonts w:ascii="Arial" w:hAnsi="Arial" w:cs="Arial"/>
          <w:b/>
          <w:bCs/>
          <w:sz w:val="32"/>
          <w:szCs w:val="32"/>
        </w:rPr>
        <w:t>How Type 1 Diabetes is Controlled</w:t>
      </w:r>
      <w:bookmarkEnd w:id="2"/>
    </w:p>
    <w:p w14:paraId="3049A283" w14:textId="77777777" w:rsidR="00273990" w:rsidRPr="00D211D9" w:rsidRDefault="00273990" w:rsidP="00D86BCD">
      <w:pPr>
        <w:spacing w:line="360" w:lineRule="auto"/>
        <w:jc w:val="both"/>
        <w:rPr>
          <w:rFonts w:ascii="Arial" w:hAnsi="Arial" w:cs="Arial"/>
          <w:sz w:val="22"/>
          <w:szCs w:val="22"/>
        </w:rPr>
      </w:pPr>
      <w:r w:rsidRPr="00D211D9">
        <w:rPr>
          <w:rFonts w:ascii="Arial" w:hAnsi="Arial" w:cs="Arial"/>
          <w:sz w:val="22"/>
          <w:szCs w:val="22"/>
        </w:rPr>
        <w:t>Type 1 diabetes cannot currently be cured, so treatment focuses on maintaining blood glucose levels within the target range and preventing complications. Lifelong insulin replacement therapy is essential because the pancreas no longer produces enough insulin. Most people manage the condition using multiple daily insulin injections or an insulin pump. Insulin doses are adjusted according to blood glucose readings, carbohydrate intake, physical activity, illness and daily routines, allowing treatment to reflect individual needs (NICE, 2022).</w:t>
      </w:r>
    </w:p>
    <w:p w14:paraId="13EC4DCA" w14:textId="39447EA1" w:rsidR="00273990" w:rsidRPr="00D211D9" w:rsidRDefault="00273990" w:rsidP="00D86BCD">
      <w:pPr>
        <w:spacing w:line="360" w:lineRule="auto"/>
        <w:jc w:val="both"/>
        <w:rPr>
          <w:rFonts w:ascii="Arial" w:hAnsi="Arial" w:cs="Arial"/>
          <w:sz w:val="22"/>
          <w:szCs w:val="22"/>
        </w:rPr>
      </w:pPr>
      <w:r w:rsidRPr="00D211D9">
        <w:rPr>
          <w:rFonts w:ascii="Arial" w:hAnsi="Arial" w:cs="Arial"/>
          <w:sz w:val="22"/>
          <w:szCs w:val="22"/>
        </w:rPr>
        <w:t xml:space="preserve">Carbohydrate counting helps people match insulin doses to the amount of carbohydrate they eat, reducing the risk of hypoglycaemia and hyperglycaemia. Regular physical activity also supports overall health, although insulin doses may need adjusting before and after exercise. </w:t>
      </w:r>
      <w:r w:rsidR="005040F7" w:rsidRPr="00D211D9">
        <w:rPr>
          <w:rFonts w:ascii="Arial" w:hAnsi="Arial" w:cs="Arial"/>
          <w:sz w:val="22"/>
          <w:szCs w:val="22"/>
        </w:rPr>
        <w:lastRenderedPageBreak/>
        <w:t xml:space="preserve">NICE (2022), </w:t>
      </w:r>
      <w:r w:rsidRPr="00D211D9">
        <w:rPr>
          <w:rFonts w:ascii="Arial" w:hAnsi="Arial" w:cs="Arial"/>
          <w:sz w:val="22"/>
          <w:szCs w:val="22"/>
        </w:rPr>
        <w:t>highlight that combining these strategies supports more stable blood glucose control and reduces the risk of long-term complications.</w:t>
      </w:r>
    </w:p>
    <w:p w14:paraId="6B70FBD2" w14:textId="075A32C6" w:rsidR="00273990" w:rsidRPr="00D211D9" w:rsidRDefault="00273990" w:rsidP="00D86BCD">
      <w:pPr>
        <w:spacing w:line="360" w:lineRule="auto"/>
        <w:jc w:val="both"/>
        <w:rPr>
          <w:rFonts w:ascii="Arial" w:hAnsi="Arial" w:cs="Arial"/>
          <w:sz w:val="22"/>
          <w:szCs w:val="22"/>
        </w:rPr>
      </w:pPr>
      <w:r w:rsidRPr="00D211D9">
        <w:rPr>
          <w:rFonts w:ascii="Arial" w:hAnsi="Arial" w:cs="Arial"/>
          <w:sz w:val="22"/>
          <w:szCs w:val="22"/>
        </w:rPr>
        <w:t xml:space="preserve">A healthy, balanced diet also contributes to effective diabetes management. People are encouraged to eat a varied diet while limiting foods high in sugar, saturated fat and salt. </w:t>
      </w:r>
    </w:p>
    <w:p w14:paraId="64D73AF2" w14:textId="790A6894" w:rsidR="00837E48" w:rsidRPr="00D211D9" w:rsidRDefault="00273990" w:rsidP="00BE590A">
      <w:pPr>
        <w:spacing w:line="360" w:lineRule="auto"/>
        <w:jc w:val="both"/>
        <w:rPr>
          <w:rFonts w:ascii="Arial" w:hAnsi="Arial" w:cs="Arial"/>
        </w:rPr>
      </w:pPr>
      <w:r w:rsidRPr="00D211D9">
        <w:rPr>
          <w:rFonts w:ascii="Arial" w:hAnsi="Arial" w:cs="Arial"/>
          <w:sz w:val="22"/>
          <w:szCs w:val="22"/>
        </w:rPr>
        <w:t>Structured diabetes education equips people with the practical skills needed to manage their condition confidently. Programmes cover carbohydrate counting, insulin dose adjustment, sick-day rules, ketone testing, and recognising hypoglycaemia and hyperglycaemia</w:t>
      </w:r>
      <w:r w:rsidR="00BE590A" w:rsidRPr="00D211D9">
        <w:rPr>
          <w:rFonts w:ascii="Arial" w:hAnsi="Arial" w:cs="Arial"/>
          <w:sz w:val="22"/>
          <w:szCs w:val="22"/>
        </w:rPr>
        <w:t xml:space="preserve"> Routine reviews with healthcare professionals provide opportunities to adapt treatment, address concerns and reinforce effective self-management, reducing the likelihood of preventable complications (Diabetes UK, 2024)</w:t>
      </w:r>
    </w:p>
    <w:p w14:paraId="7DF5DC4C" w14:textId="4B20CB2D" w:rsidR="00FF366B" w:rsidRPr="00D211D9" w:rsidRDefault="00EA31A6" w:rsidP="003526EB">
      <w:pPr>
        <w:pStyle w:val="Heading1"/>
        <w:rPr>
          <w:rFonts w:ascii="Arial" w:hAnsi="Arial" w:cs="Arial"/>
          <w:b/>
          <w:bCs/>
          <w:sz w:val="32"/>
          <w:szCs w:val="32"/>
        </w:rPr>
      </w:pPr>
      <w:bookmarkStart w:id="3" w:name="_Toc235490092"/>
      <w:r w:rsidRPr="00D211D9">
        <w:rPr>
          <w:rFonts w:ascii="Arial" w:hAnsi="Arial" w:cs="Arial"/>
          <w:b/>
          <w:bCs/>
          <w:sz w:val="32"/>
          <w:szCs w:val="32"/>
        </w:rPr>
        <w:t>Consequences of Type 1 Diabetes for People in the Community</w:t>
      </w:r>
      <w:bookmarkEnd w:id="3"/>
    </w:p>
    <w:p w14:paraId="3CA52000" w14:textId="77777777" w:rsidR="00272384" w:rsidRPr="00D211D9" w:rsidRDefault="00272384" w:rsidP="00D86BCD">
      <w:pPr>
        <w:spacing w:line="360" w:lineRule="auto"/>
        <w:jc w:val="both"/>
        <w:rPr>
          <w:rFonts w:ascii="Arial" w:hAnsi="Arial" w:cs="Arial"/>
          <w:sz w:val="22"/>
          <w:szCs w:val="22"/>
        </w:rPr>
      </w:pPr>
      <w:r w:rsidRPr="00D211D9">
        <w:rPr>
          <w:rFonts w:ascii="Arial" w:hAnsi="Arial" w:cs="Arial"/>
          <w:sz w:val="22"/>
          <w:szCs w:val="22"/>
        </w:rPr>
        <w:t>Type 1 diabetes can have significant physical, psychological, social and financial effects on individuals and the wider community. If not well controlled, it increases the risk of hypoglycaemia, hyperglycaemia and diabetic ketoacidosis (DKA), which may require emergency treatment. Over time, it can also lead to diabetic retinopathy, kidney disease, neuropathy and cardiovascular disease. These complications reduce quality of life, may lead to disability and increase demand for healthcare services (NICE, 2022).</w:t>
      </w:r>
    </w:p>
    <w:p w14:paraId="25C96E4D" w14:textId="57D63114" w:rsidR="00272384" w:rsidRPr="00D211D9" w:rsidRDefault="00272384" w:rsidP="00D86BCD">
      <w:pPr>
        <w:spacing w:line="360" w:lineRule="auto"/>
        <w:jc w:val="both"/>
        <w:rPr>
          <w:rFonts w:ascii="Arial" w:hAnsi="Arial" w:cs="Arial"/>
          <w:sz w:val="22"/>
          <w:szCs w:val="22"/>
        </w:rPr>
      </w:pPr>
      <w:r w:rsidRPr="00D211D9">
        <w:rPr>
          <w:rFonts w:ascii="Arial" w:hAnsi="Arial" w:cs="Arial"/>
          <w:sz w:val="22"/>
          <w:szCs w:val="22"/>
        </w:rPr>
        <w:t xml:space="preserve">Living with type 1 diabetes can also affect emotional wellbeing. Many people experience stress, anxiety or diabetes-related distress because they must constantly monitor blood glucose levels, calculate insulin doses and make daily decisions about food and physical </w:t>
      </w:r>
      <w:r w:rsidR="00D17F80" w:rsidRPr="00D211D9">
        <w:rPr>
          <w:rFonts w:ascii="Arial" w:hAnsi="Arial" w:cs="Arial"/>
          <w:sz w:val="22"/>
          <w:szCs w:val="22"/>
        </w:rPr>
        <w:t>activity</w:t>
      </w:r>
      <w:r w:rsidRPr="00D211D9">
        <w:rPr>
          <w:rFonts w:ascii="Arial" w:hAnsi="Arial" w:cs="Arial"/>
          <w:sz w:val="22"/>
          <w:szCs w:val="22"/>
        </w:rPr>
        <w:t>. Some may develop depression or diabetes burnout, making day-to-day diabetes management more challenging. Hermanns et al. (2022) highlight that diabetes-related distress can significantly affect quality of life, reinforcing the need for psychological support alongside physical care.</w:t>
      </w:r>
    </w:p>
    <w:p w14:paraId="3B9952B2" w14:textId="77777777" w:rsidR="00272384" w:rsidRPr="00D211D9" w:rsidRDefault="00272384" w:rsidP="00D86BCD">
      <w:pPr>
        <w:spacing w:line="360" w:lineRule="auto"/>
        <w:jc w:val="both"/>
        <w:rPr>
          <w:rFonts w:ascii="Arial" w:hAnsi="Arial" w:cs="Arial"/>
          <w:sz w:val="22"/>
          <w:szCs w:val="22"/>
        </w:rPr>
      </w:pPr>
      <w:r w:rsidRPr="00D211D9">
        <w:rPr>
          <w:rFonts w:ascii="Arial" w:hAnsi="Arial" w:cs="Arial"/>
          <w:sz w:val="22"/>
          <w:szCs w:val="22"/>
        </w:rPr>
        <w:t>The condition can also affect education and employment. Children may need support at school to monitor blood glucose levels and administer insulin safely, while adults may require reasonable workplace adjustments, such as regular meal breaks or time to check glucose levels. Families may also experience emotional and financial pressures while supporting a relative with type 1 diabetes (NHS, 2024).</w:t>
      </w:r>
    </w:p>
    <w:p w14:paraId="04063E86" w14:textId="77777777" w:rsidR="00272384" w:rsidRPr="00D211D9" w:rsidRDefault="00272384" w:rsidP="00D86BCD">
      <w:pPr>
        <w:spacing w:line="360" w:lineRule="auto"/>
        <w:jc w:val="both"/>
        <w:rPr>
          <w:rFonts w:ascii="Arial" w:hAnsi="Arial" w:cs="Arial"/>
          <w:sz w:val="22"/>
          <w:szCs w:val="22"/>
        </w:rPr>
      </w:pPr>
      <w:r w:rsidRPr="00D211D9">
        <w:rPr>
          <w:rFonts w:ascii="Arial" w:hAnsi="Arial" w:cs="Arial"/>
          <w:sz w:val="22"/>
          <w:szCs w:val="22"/>
        </w:rPr>
        <w:t xml:space="preserve">The wider community is also affected because diabetes increases healthcare costs through routine monitoring, specialist appointments, emergency admissions and treatment for long-term complications. Poor diabetes control places additional pressure on NHS services, </w:t>
      </w:r>
      <w:r w:rsidRPr="00D211D9">
        <w:rPr>
          <w:rFonts w:ascii="Arial" w:hAnsi="Arial" w:cs="Arial"/>
          <w:sz w:val="22"/>
          <w:szCs w:val="22"/>
        </w:rPr>
        <w:lastRenderedPageBreak/>
        <w:t>whereas effective management can reduce hospital admissions and associated healthcare costs. This demonstrates the value of early intervention, education and ongoing support (NICE, 2022).</w:t>
      </w:r>
    </w:p>
    <w:p w14:paraId="3DBC546D" w14:textId="77777777" w:rsidR="00272384" w:rsidRPr="00D211D9" w:rsidRDefault="00272384" w:rsidP="00EA31A6">
      <w:pPr>
        <w:rPr>
          <w:rFonts w:ascii="Arial" w:hAnsi="Arial" w:cs="Arial"/>
          <w:b/>
          <w:bCs/>
        </w:rPr>
      </w:pPr>
    </w:p>
    <w:p w14:paraId="312C9B87" w14:textId="1D6EF3D3" w:rsidR="003526EB" w:rsidRPr="00D211D9" w:rsidRDefault="009E0365" w:rsidP="003526EB">
      <w:pPr>
        <w:pStyle w:val="Heading1"/>
        <w:rPr>
          <w:rFonts w:ascii="Arial" w:hAnsi="Arial" w:cs="Arial"/>
          <w:b/>
          <w:bCs/>
          <w:sz w:val="32"/>
          <w:szCs w:val="32"/>
        </w:rPr>
      </w:pPr>
      <w:bookmarkStart w:id="4" w:name="_Toc235490093"/>
      <w:r w:rsidRPr="00D211D9">
        <w:rPr>
          <w:rFonts w:ascii="Arial" w:hAnsi="Arial" w:cs="Arial"/>
          <w:b/>
          <w:bCs/>
          <w:sz w:val="32"/>
          <w:szCs w:val="32"/>
        </w:rPr>
        <w:t>Health and Social Care Support Services Required Within the Community</w:t>
      </w:r>
      <w:bookmarkEnd w:id="4"/>
    </w:p>
    <w:p w14:paraId="539525B5" w14:textId="055BE353" w:rsidR="00A23587" w:rsidRPr="00D211D9" w:rsidRDefault="00A23587" w:rsidP="00D86BCD">
      <w:pPr>
        <w:spacing w:line="360" w:lineRule="auto"/>
        <w:jc w:val="both"/>
        <w:rPr>
          <w:rFonts w:ascii="Arial" w:hAnsi="Arial" w:cs="Arial"/>
          <w:sz w:val="22"/>
          <w:szCs w:val="22"/>
        </w:rPr>
      </w:pPr>
      <w:r w:rsidRPr="00D211D9">
        <w:rPr>
          <w:rFonts w:ascii="Arial" w:hAnsi="Arial" w:cs="Arial"/>
          <w:sz w:val="22"/>
          <w:szCs w:val="22"/>
        </w:rPr>
        <w:t>People living with type 1 diabetes require support from a multidisciplinary team throughout their lives. General practitioners (GPs) provide regular reviews, prescribe medication and refer people to specialist diabetes services when needed. Diabetes specialist nurses teach insulin administration, blood glucose monitoring, carbohydrate counting and healthy lifestyle choices, helping people manage their condition more confidently (NICE, 2022).</w:t>
      </w:r>
    </w:p>
    <w:p w14:paraId="1BD4821F" w14:textId="2CFA1BA1" w:rsidR="00A23587" w:rsidRPr="00D211D9" w:rsidRDefault="00A23587" w:rsidP="00D86BCD">
      <w:pPr>
        <w:spacing w:line="360" w:lineRule="auto"/>
        <w:jc w:val="both"/>
        <w:rPr>
          <w:rFonts w:ascii="Arial" w:hAnsi="Arial" w:cs="Arial"/>
          <w:sz w:val="22"/>
          <w:szCs w:val="22"/>
        </w:rPr>
      </w:pPr>
      <w:r w:rsidRPr="00D211D9">
        <w:rPr>
          <w:rFonts w:ascii="Arial" w:hAnsi="Arial" w:cs="Arial"/>
          <w:sz w:val="22"/>
          <w:szCs w:val="22"/>
        </w:rPr>
        <w:t xml:space="preserve">People with more complex needs may be referred to an endocrinologist for specialist care. Registered dietitians provide advice on healthy eating and carbohydrate counting, while community pharmacists explain how to use medication and monitoring equipment correctly. Podiatrists carry out regular foot assessments to reduce the risk of ulcers and amputations, and ophthalmology services provide retinal screening to detect diabetic eye disease early. </w:t>
      </w:r>
      <w:r w:rsidR="00DA45B7" w:rsidRPr="00D211D9">
        <w:rPr>
          <w:rFonts w:ascii="Arial" w:hAnsi="Arial" w:cs="Arial"/>
          <w:sz w:val="22"/>
          <w:szCs w:val="22"/>
        </w:rPr>
        <w:t>Coordinated multidisciplinary care supports more effective diabetes management by addressing each person's individual needs (NICE, 2022</w:t>
      </w:r>
      <w:r w:rsidR="00C90B75" w:rsidRPr="00D211D9">
        <w:rPr>
          <w:rFonts w:ascii="Arial" w:hAnsi="Arial" w:cs="Arial"/>
          <w:sz w:val="22"/>
          <w:szCs w:val="22"/>
        </w:rPr>
        <w:t>).</w:t>
      </w:r>
    </w:p>
    <w:p w14:paraId="4290B248" w14:textId="1BBE6425" w:rsidR="00A23587" w:rsidRPr="00D211D9" w:rsidRDefault="00A23587" w:rsidP="00D86BCD">
      <w:pPr>
        <w:spacing w:line="360" w:lineRule="auto"/>
        <w:jc w:val="both"/>
        <w:rPr>
          <w:rFonts w:ascii="Arial" w:hAnsi="Arial" w:cs="Arial"/>
          <w:sz w:val="22"/>
          <w:szCs w:val="22"/>
        </w:rPr>
      </w:pPr>
      <w:r w:rsidRPr="00D211D9">
        <w:rPr>
          <w:rFonts w:ascii="Arial" w:hAnsi="Arial" w:cs="Arial"/>
          <w:sz w:val="22"/>
          <w:szCs w:val="22"/>
        </w:rPr>
        <w:t xml:space="preserve">Psychological support is equally important because living with a lifelong condition can affect emotional wellbeing. Clinical psychologists, counselling services and structured education programmes, such as DAFNE (Dose Adjustment </w:t>
      </w:r>
      <w:r w:rsidR="007C5935" w:rsidRPr="00D211D9">
        <w:rPr>
          <w:rFonts w:ascii="Arial" w:hAnsi="Arial" w:cs="Arial"/>
          <w:sz w:val="22"/>
          <w:szCs w:val="22"/>
        </w:rPr>
        <w:t>for</w:t>
      </w:r>
      <w:r w:rsidRPr="00D211D9">
        <w:rPr>
          <w:rFonts w:ascii="Arial" w:hAnsi="Arial" w:cs="Arial"/>
          <w:sz w:val="22"/>
          <w:szCs w:val="22"/>
        </w:rPr>
        <w:t xml:space="preserve"> Normal Eating), help people cope with diabetes-related stress while developing the skills needed to manage their condition. Diabetes UK (2024) also provides reliable information, educational resources and peer support for individuals and their families.</w:t>
      </w:r>
    </w:p>
    <w:p w14:paraId="4F43683A" w14:textId="77777777" w:rsidR="00E57374" w:rsidRPr="00D211D9" w:rsidRDefault="00E57374" w:rsidP="003526EB">
      <w:pPr>
        <w:spacing w:line="360" w:lineRule="auto"/>
        <w:jc w:val="both"/>
        <w:rPr>
          <w:rFonts w:ascii="Arial" w:hAnsi="Arial" w:cs="Arial"/>
          <w:sz w:val="22"/>
          <w:szCs w:val="22"/>
        </w:rPr>
      </w:pPr>
      <w:r w:rsidRPr="00D211D9">
        <w:rPr>
          <w:rFonts w:ascii="Arial" w:hAnsi="Arial" w:cs="Arial"/>
          <w:sz w:val="22"/>
          <w:szCs w:val="22"/>
        </w:rPr>
        <w:t>People with type 1 diabetes also benefit from regular annual diabetes reviews, where healthcare professionals assess HbA1c levels, blood pressure, cholesterol, kidney function and foot health to identify complications at an early stage. These reviews also allow healthcare professionals to discuss treatment goals, review glucose monitoring data and make any necessary adjustments to insulin therapy. Ongoing communication between professionals and individuals supports person-centred care and encourages people to take an active role in managing their condition (NICE, 2022).</w:t>
      </w:r>
    </w:p>
    <w:p w14:paraId="1E103D3F" w14:textId="300BC9A4" w:rsidR="00FF366B" w:rsidRPr="00D211D9" w:rsidRDefault="00A23587" w:rsidP="003526EB">
      <w:pPr>
        <w:spacing w:line="360" w:lineRule="auto"/>
        <w:jc w:val="both"/>
        <w:rPr>
          <w:rFonts w:ascii="Arial" w:hAnsi="Arial" w:cs="Arial"/>
          <w:sz w:val="22"/>
          <w:szCs w:val="22"/>
        </w:rPr>
      </w:pPr>
      <w:r w:rsidRPr="00D211D9">
        <w:rPr>
          <w:rFonts w:ascii="Arial" w:hAnsi="Arial" w:cs="Arial"/>
          <w:sz w:val="22"/>
          <w:szCs w:val="22"/>
        </w:rPr>
        <w:t xml:space="preserve">Although diabetes technology has improved blood glucose management, it does not remove the need for ongoing professional support. Some people continue to face barriers, including </w:t>
      </w:r>
      <w:r w:rsidRPr="00D211D9">
        <w:rPr>
          <w:rFonts w:ascii="Arial" w:hAnsi="Arial" w:cs="Arial"/>
          <w:sz w:val="22"/>
          <w:szCs w:val="22"/>
        </w:rPr>
        <w:lastRenderedPageBreak/>
        <w:t>limited access to devices or difficulty using them. Long-term diabetes management therefore depends on person-centred care, regular reviews and education, alongside support from the multidisciplinary team to reduce complications and promote independence (NICE, 2022).</w:t>
      </w:r>
    </w:p>
    <w:p w14:paraId="1CE3BC35" w14:textId="77777777" w:rsidR="003526EB" w:rsidRPr="00D211D9" w:rsidRDefault="003526EB" w:rsidP="003526EB">
      <w:pPr>
        <w:spacing w:line="360" w:lineRule="auto"/>
        <w:jc w:val="both"/>
        <w:rPr>
          <w:rFonts w:ascii="Arial" w:hAnsi="Arial" w:cs="Arial"/>
          <w:sz w:val="22"/>
          <w:szCs w:val="22"/>
        </w:rPr>
      </w:pPr>
    </w:p>
    <w:p w14:paraId="00FCBD37" w14:textId="77777777" w:rsidR="009E0365" w:rsidRPr="00D211D9" w:rsidRDefault="009E0365" w:rsidP="000C5AEB">
      <w:pPr>
        <w:pStyle w:val="Heading1"/>
        <w:rPr>
          <w:rFonts w:ascii="Arial" w:hAnsi="Arial" w:cs="Arial"/>
          <w:b/>
          <w:bCs/>
          <w:sz w:val="32"/>
          <w:szCs w:val="32"/>
        </w:rPr>
      </w:pPr>
      <w:bookmarkStart w:id="5" w:name="_Toc235490094"/>
      <w:r w:rsidRPr="00D211D9">
        <w:rPr>
          <w:rFonts w:ascii="Arial" w:hAnsi="Arial" w:cs="Arial"/>
          <w:b/>
          <w:bCs/>
          <w:sz w:val="32"/>
          <w:szCs w:val="32"/>
        </w:rPr>
        <w:t>Conclusion</w:t>
      </w:r>
      <w:bookmarkEnd w:id="5"/>
    </w:p>
    <w:p w14:paraId="7D4D1D22" w14:textId="77777777" w:rsidR="00DC5F39" w:rsidRPr="00D211D9" w:rsidRDefault="00DC5F39" w:rsidP="00D86BCD">
      <w:pPr>
        <w:spacing w:line="360" w:lineRule="auto"/>
        <w:jc w:val="both"/>
        <w:rPr>
          <w:rFonts w:ascii="Arial" w:hAnsi="Arial" w:cs="Arial"/>
          <w:sz w:val="22"/>
          <w:szCs w:val="22"/>
        </w:rPr>
      </w:pPr>
      <w:r w:rsidRPr="00D211D9">
        <w:rPr>
          <w:rFonts w:ascii="Arial" w:hAnsi="Arial" w:cs="Arial"/>
          <w:sz w:val="22"/>
          <w:szCs w:val="22"/>
        </w:rPr>
        <w:t>Type 1 diabetes is a lifelong condition that requires regular monitoring, effective treatment and ongoing support to reduce the risk of complications. Although there is currently no cure, advances such as continuous glucose monitoring (CGM) and insulin pumps have improved blood glucose management for many people. However, technology alone cannot meet everyone's needs, particularly where access or confidence in using these devices is limited.</w:t>
      </w:r>
    </w:p>
    <w:p w14:paraId="126397AB" w14:textId="77777777" w:rsidR="00DC5F39" w:rsidRPr="00D211D9" w:rsidRDefault="00DC5F39" w:rsidP="00D86BCD">
      <w:pPr>
        <w:spacing w:line="360" w:lineRule="auto"/>
        <w:jc w:val="both"/>
        <w:rPr>
          <w:rFonts w:ascii="Arial" w:hAnsi="Arial" w:cs="Arial"/>
          <w:sz w:val="22"/>
          <w:szCs w:val="22"/>
        </w:rPr>
      </w:pPr>
      <w:r w:rsidRPr="00D211D9">
        <w:rPr>
          <w:rFonts w:ascii="Arial" w:hAnsi="Arial" w:cs="Arial"/>
          <w:sz w:val="22"/>
          <w:szCs w:val="22"/>
        </w:rPr>
        <w:t>This report has shown that effective management depends on more than insulin therapy. Regular monitoring, healthy lifestyle choices, structured education and multidisciplinary support all contribute to safer day-to-day diabetes management. Early intervention and routine reviews are equally important in identifying complications before they progress and improving long-term outcomes.</w:t>
      </w:r>
    </w:p>
    <w:p w14:paraId="11BE2768" w14:textId="77777777" w:rsidR="00DC5F39" w:rsidRPr="00D211D9" w:rsidRDefault="00DC5F39" w:rsidP="00D86BCD">
      <w:pPr>
        <w:spacing w:line="360" w:lineRule="auto"/>
        <w:jc w:val="both"/>
        <w:rPr>
          <w:rFonts w:ascii="Arial" w:hAnsi="Arial" w:cs="Arial"/>
          <w:sz w:val="22"/>
          <w:szCs w:val="22"/>
        </w:rPr>
      </w:pPr>
      <w:r w:rsidRPr="00D211D9">
        <w:rPr>
          <w:rFonts w:ascii="Arial" w:hAnsi="Arial" w:cs="Arial"/>
          <w:sz w:val="22"/>
          <w:szCs w:val="22"/>
        </w:rPr>
        <w:t>Overall, managing type 1 diabetes requires a person-centred approach that combines medical treatment with education, psychological support and ongoing access to healthcare professionals. By working in partnership with individuals, health and social care services can support people to manage their condition effectively while maintaining their independence and wellbeing.</w:t>
      </w:r>
    </w:p>
    <w:p w14:paraId="27D3EE13" w14:textId="77777777" w:rsidR="003526EB" w:rsidRPr="00D211D9" w:rsidRDefault="003526EB">
      <w:pPr>
        <w:rPr>
          <w:rFonts w:ascii="Arial" w:hAnsi="Arial" w:cs="Arial"/>
        </w:rPr>
      </w:pPr>
    </w:p>
    <w:p w14:paraId="73E2D09E" w14:textId="77777777" w:rsidR="00F82243" w:rsidRPr="00D211D9" w:rsidRDefault="00F82243">
      <w:pPr>
        <w:rPr>
          <w:rFonts w:ascii="Arial" w:hAnsi="Arial" w:cs="Arial"/>
        </w:rPr>
      </w:pPr>
    </w:p>
    <w:p w14:paraId="095FB38E" w14:textId="77777777" w:rsidR="00F82243" w:rsidRPr="00D211D9" w:rsidRDefault="00F82243">
      <w:pPr>
        <w:rPr>
          <w:rFonts w:ascii="Arial" w:hAnsi="Arial" w:cs="Arial"/>
        </w:rPr>
      </w:pPr>
    </w:p>
    <w:p w14:paraId="13D3FBE4" w14:textId="77777777" w:rsidR="00F82243" w:rsidRPr="00D211D9" w:rsidRDefault="00F82243">
      <w:pPr>
        <w:rPr>
          <w:rFonts w:ascii="Arial" w:hAnsi="Arial" w:cs="Arial"/>
        </w:rPr>
      </w:pPr>
    </w:p>
    <w:p w14:paraId="471A17C6" w14:textId="77777777" w:rsidR="00F82243" w:rsidRPr="00D211D9" w:rsidRDefault="00F82243">
      <w:pPr>
        <w:rPr>
          <w:rFonts w:ascii="Arial" w:hAnsi="Arial" w:cs="Arial"/>
        </w:rPr>
      </w:pPr>
    </w:p>
    <w:p w14:paraId="0A8F4332" w14:textId="77777777" w:rsidR="00F82243" w:rsidRPr="00D211D9" w:rsidRDefault="00F82243">
      <w:pPr>
        <w:rPr>
          <w:rFonts w:ascii="Arial" w:hAnsi="Arial" w:cs="Arial"/>
        </w:rPr>
      </w:pPr>
    </w:p>
    <w:p w14:paraId="7EA516E0" w14:textId="77777777" w:rsidR="00F82243" w:rsidRPr="00D211D9" w:rsidRDefault="00F82243">
      <w:pPr>
        <w:rPr>
          <w:rFonts w:ascii="Arial" w:hAnsi="Arial" w:cs="Arial"/>
        </w:rPr>
      </w:pPr>
    </w:p>
    <w:p w14:paraId="1C033A09" w14:textId="77777777" w:rsidR="00F82243" w:rsidRPr="00D211D9" w:rsidRDefault="00F82243">
      <w:pPr>
        <w:rPr>
          <w:rFonts w:ascii="Arial" w:hAnsi="Arial" w:cs="Arial"/>
        </w:rPr>
      </w:pPr>
    </w:p>
    <w:p w14:paraId="2C0FEF6E" w14:textId="77777777" w:rsidR="00F82243" w:rsidRPr="00D211D9" w:rsidRDefault="00F82243">
      <w:pPr>
        <w:rPr>
          <w:rFonts w:ascii="Arial" w:hAnsi="Arial" w:cs="Arial"/>
        </w:rPr>
      </w:pPr>
    </w:p>
    <w:p w14:paraId="0B8AD47C" w14:textId="77777777" w:rsidR="002C3CAF" w:rsidRPr="00D211D9" w:rsidRDefault="002C3CAF">
      <w:pPr>
        <w:rPr>
          <w:rFonts w:ascii="Arial" w:hAnsi="Arial" w:cs="Arial"/>
        </w:rPr>
      </w:pPr>
    </w:p>
    <w:p w14:paraId="543AB01C" w14:textId="00879246" w:rsidR="002F6B63" w:rsidRPr="00D211D9" w:rsidRDefault="00686BFC" w:rsidP="000C5AEB">
      <w:pPr>
        <w:pStyle w:val="Heading1"/>
        <w:rPr>
          <w:rFonts w:ascii="Arial" w:hAnsi="Arial" w:cs="Arial"/>
          <w:b/>
          <w:bCs/>
          <w:sz w:val="32"/>
          <w:szCs w:val="32"/>
          <w:lang w:val="pt-PT"/>
        </w:rPr>
      </w:pPr>
      <w:bookmarkStart w:id="6" w:name="_Toc235490095"/>
      <w:r w:rsidRPr="00D211D9">
        <w:rPr>
          <w:rFonts w:ascii="Arial" w:hAnsi="Arial" w:cs="Arial"/>
          <w:b/>
          <w:bCs/>
          <w:sz w:val="32"/>
          <w:szCs w:val="32"/>
          <w:lang w:val="pt-PT"/>
        </w:rPr>
        <w:lastRenderedPageBreak/>
        <w:t>References</w:t>
      </w:r>
      <w:bookmarkEnd w:id="6"/>
      <w:r w:rsidRPr="00D211D9">
        <w:rPr>
          <w:rFonts w:ascii="Arial" w:hAnsi="Arial" w:cs="Arial"/>
          <w:b/>
          <w:bCs/>
          <w:sz w:val="32"/>
          <w:szCs w:val="32"/>
          <w:lang w:val="pt-PT"/>
        </w:rPr>
        <w:t xml:space="preserve"> </w:t>
      </w:r>
    </w:p>
    <w:p w14:paraId="51C8702C" w14:textId="77777777" w:rsidR="00B41787" w:rsidRPr="00D211D9" w:rsidRDefault="00B41787" w:rsidP="002F6B63">
      <w:pPr>
        <w:rPr>
          <w:rFonts w:ascii="Arial" w:hAnsi="Arial" w:cs="Arial"/>
          <w:b/>
          <w:bCs/>
          <w:lang w:val="pt-PT"/>
        </w:rPr>
      </w:pPr>
    </w:p>
    <w:p w14:paraId="564201B6" w14:textId="77777777" w:rsidR="000424D8" w:rsidRPr="00D211D9" w:rsidRDefault="000424D8" w:rsidP="00D86BCD">
      <w:pPr>
        <w:spacing w:line="360" w:lineRule="auto"/>
        <w:rPr>
          <w:rFonts w:ascii="Arial" w:hAnsi="Arial" w:cs="Arial"/>
          <w:sz w:val="22"/>
          <w:szCs w:val="22"/>
        </w:rPr>
      </w:pPr>
      <w:r w:rsidRPr="000424D8">
        <w:rPr>
          <w:rFonts w:ascii="Arial" w:hAnsi="Arial" w:cs="Arial"/>
          <w:sz w:val="22"/>
          <w:szCs w:val="22"/>
        </w:rPr>
        <w:t xml:space="preserve">Diabetes UK (2024) </w:t>
      </w:r>
      <w:r w:rsidRPr="000424D8">
        <w:rPr>
          <w:rFonts w:ascii="Arial" w:hAnsi="Arial" w:cs="Arial"/>
          <w:i/>
          <w:iCs/>
          <w:sz w:val="22"/>
          <w:szCs w:val="22"/>
        </w:rPr>
        <w:t>Type 1 diabetes</w:t>
      </w:r>
      <w:r w:rsidRPr="000424D8">
        <w:rPr>
          <w:rFonts w:ascii="Arial" w:hAnsi="Arial" w:cs="Arial"/>
          <w:sz w:val="22"/>
          <w:szCs w:val="22"/>
        </w:rPr>
        <w:t xml:space="preserve">. </w:t>
      </w:r>
      <w:r w:rsidRPr="00D211D9">
        <w:rPr>
          <w:rFonts w:ascii="Arial" w:hAnsi="Arial" w:cs="Arial"/>
          <w:sz w:val="22"/>
          <w:szCs w:val="22"/>
        </w:rPr>
        <w:t xml:space="preserve">Available at: </w:t>
      </w:r>
      <w:hyperlink r:id="rId11" w:history="1">
        <w:r w:rsidRPr="00D211D9">
          <w:rPr>
            <w:rStyle w:val="Hyperlink"/>
            <w:rFonts w:ascii="Arial" w:hAnsi="Arial" w:cs="Arial"/>
            <w:sz w:val="22"/>
            <w:szCs w:val="22"/>
          </w:rPr>
          <w:t>https://www.diabetes.org.uk/about-diabetes/type-1-diabetes</w:t>
        </w:r>
      </w:hyperlink>
      <w:r w:rsidRPr="00D211D9">
        <w:rPr>
          <w:rFonts w:ascii="Arial" w:hAnsi="Arial" w:cs="Arial"/>
          <w:sz w:val="22"/>
          <w:szCs w:val="22"/>
        </w:rPr>
        <w:t xml:space="preserve"> (Accessed: 17 July 2026).</w:t>
      </w:r>
    </w:p>
    <w:p w14:paraId="3D488739" w14:textId="77777777" w:rsidR="000424D8" w:rsidRPr="00D211D9" w:rsidRDefault="000424D8" w:rsidP="00D86BCD">
      <w:pPr>
        <w:spacing w:line="360" w:lineRule="auto"/>
        <w:rPr>
          <w:rFonts w:ascii="Arial" w:hAnsi="Arial" w:cs="Arial"/>
          <w:sz w:val="22"/>
          <w:szCs w:val="22"/>
        </w:rPr>
      </w:pPr>
      <w:r w:rsidRPr="00D211D9">
        <w:rPr>
          <w:rFonts w:ascii="Arial" w:hAnsi="Arial" w:cs="Arial"/>
          <w:sz w:val="22"/>
          <w:szCs w:val="22"/>
        </w:rPr>
        <w:t xml:space="preserve">Diabetes UK (2025) </w:t>
      </w:r>
      <w:r w:rsidRPr="00D211D9">
        <w:rPr>
          <w:rFonts w:ascii="Arial" w:hAnsi="Arial" w:cs="Arial"/>
          <w:i/>
          <w:iCs/>
          <w:sz w:val="22"/>
          <w:szCs w:val="22"/>
        </w:rPr>
        <w:t>Diabetes statistics</w:t>
      </w:r>
      <w:r w:rsidRPr="00D211D9">
        <w:rPr>
          <w:rFonts w:ascii="Arial" w:hAnsi="Arial" w:cs="Arial"/>
          <w:sz w:val="22"/>
          <w:szCs w:val="22"/>
        </w:rPr>
        <w:t>. Available at:</w:t>
      </w:r>
      <w:r w:rsidRPr="00D211D9">
        <w:rPr>
          <w:rFonts w:ascii="Arial" w:hAnsi="Arial" w:cs="Arial"/>
        </w:rPr>
        <w:t xml:space="preserve"> </w:t>
      </w:r>
      <w:hyperlink r:id="rId12" w:history="1">
        <w:r w:rsidRPr="00D211D9">
          <w:rPr>
            <w:rStyle w:val="Hyperlink"/>
            <w:rFonts w:ascii="Arial" w:hAnsi="Arial" w:cs="Arial"/>
            <w:sz w:val="22"/>
            <w:szCs w:val="22"/>
          </w:rPr>
          <w:t>https://www.diabetes.org.uk/about-us/about-the-charity/our-strategy/statistics</w:t>
        </w:r>
      </w:hyperlink>
      <w:r w:rsidRPr="00D211D9">
        <w:rPr>
          <w:rFonts w:ascii="Arial" w:hAnsi="Arial" w:cs="Arial"/>
          <w:sz w:val="22"/>
          <w:szCs w:val="22"/>
        </w:rPr>
        <w:t xml:space="preserve"> (Accessed: 18 July 2026).</w:t>
      </w:r>
    </w:p>
    <w:p w14:paraId="227862F6" w14:textId="77777777" w:rsidR="000424D8" w:rsidRPr="00D211D9" w:rsidRDefault="000424D8" w:rsidP="00D86BCD">
      <w:pPr>
        <w:spacing w:line="360" w:lineRule="auto"/>
        <w:rPr>
          <w:rFonts w:ascii="Arial" w:hAnsi="Arial" w:cs="Arial"/>
          <w:sz w:val="22"/>
          <w:szCs w:val="22"/>
        </w:rPr>
      </w:pPr>
      <w:r w:rsidRPr="00D211D9">
        <w:rPr>
          <w:rFonts w:ascii="Arial" w:hAnsi="Arial" w:cs="Arial"/>
          <w:sz w:val="22"/>
          <w:szCs w:val="22"/>
        </w:rPr>
        <w:t xml:space="preserve">Friedman, J.G., Cardona Matos, Z., Szmuilowicz, E.D. and Aleppo, G. (2023) </w:t>
      </w:r>
      <w:r w:rsidRPr="00D211D9">
        <w:rPr>
          <w:rFonts w:ascii="Arial" w:hAnsi="Arial" w:cs="Arial"/>
          <w:i/>
          <w:iCs/>
          <w:sz w:val="22"/>
          <w:szCs w:val="22"/>
        </w:rPr>
        <w:t>Use of Continuous Glucose Monitors to Manage Type 1 Diabetes Mellitus: Progress, Challenges, and Recommendations</w:t>
      </w:r>
      <w:r w:rsidRPr="00D211D9">
        <w:rPr>
          <w:rFonts w:ascii="Arial" w:hAnsi="Arial" w:cs="Arial"/>
          <w:sz w:val="22"/>
          <w:szCs w:val="22"/>
        </w:rPr>
        <w:t xml:space="preserve">. </w:t>
      </w:r>
      <w:r w:rsidRPr="00D211D9">
        <w:rPr>
          <w:rFonts w:ascii="Arial" w:hAnsi="Arial" w:cs="Arial"/>
          <w:i/>
          <w:iCs/>
          <w:sz w:val="22"/>
          <w:szCs w:val="22"/>
        </w:rPr>
        <w:t>Pharmacogenomics and Personalized Medicine</w:t>
      </w:r>
      <w:r w:rsidRPr="00D211D9">
        <w:rPr>
          <w:rFonts w:ascii="Arial" w:hAnsi="Arial" w:cs="Arial"/>
          <w:sz w:val="22"/>
          <w:szCs w:val="22"/>
        </w:rPr>
        <w:t xml:space="preserve">, 16, pp.263–276. </w:t>
      </w:r>
    </w:p>
    <w:p w14:paraId="7F793541" w14:textId="77777777" w:rsidR="000424D8" w:rsidRPr="00D211D9" w:rsidRDefault="000424D8" w:rsidP="00D86BCD">
      <w:pPr>
        <w:spacing w:line="360" w:lineRule="auto"/>
        <w:rPr>
          <w:rFonts w:ascii="Arial" w:hAnsi="Arial" w:cs="Arial"/>
          <w:sz w:val="22"/>
          <w:szCs w:val="22"/>
        </w:rPr>
      </w:pPr>
      <w:r w:rsidRPr="00D211D9">
        <w:rPr>
          <w:rFonts w:ascii="Arial" w:hAnsi="Arial" w:cs="Arial"/>
          <w:sz w:val="22"/>
          <w:szCs w:val="22"/>
        </w:rPr>
        <w:t xml:space="preserve">Hermanns, N., Ehrmann, D., Shapira, A., Kulzer, B., Schmitt, A. and Laffel, L. (2022) ‘Coordination of glucose monitoring, self-care behaviour and mental health: achieving precision monitoring in diabetes’, </w:t>
      </w:r>
      <w:r w:rsidRPr="00D211D9">
        <w:rPr>
          <w:rFonts w:ascii="Arial" w:hAnsi="Arial" w:cs="Arial"/>
          <w:i/>
          <w:iCs/>
          <w:sz w:val="22"/>
          <w:szCs w:val="22"/>
        </w:rPr>
        <w:t>Diabetologia</w:t>
      </w:r>
      <w:r w:rsidRPr="00D211D9">
        <w:rPr>
          <w:rFonts w:ascii="Arial" w:hAnsi="Arial" w:cs="Arial"/>
          <w:sz w:val="22"/>
          <w:szCs w:val="22"/>
        </w:rPr>
        <w:t>, 65, pp. 1883–1894</w:t>
      </w:r>
    </w:p>
    <w:p w14:paraId="67FD002A" w14:textId="77777777" w:rsidR="000424D8" w:rsidRPr="00D211D9" w:rsidRDefault="000424D8" w:rsidP="00D86BCD">
      <w:pPr>
        <w:spacing w:line="360" w:lineRule="auto"/>
        <w:rPr>
          <w:rFonts w:ascii="Arial" w:hAnsi="Arial" w:cs="Arial"/>
          <w:sz w:val="22"/>
          <w:szCs w:val="22"/>
        </w:rPr>
      </w:pPr>
      <w:r w:rsidRPr="00D211D9">
        <w:rPr>
          <w:rFonts w:ascii="Arial" w:hAnsi="Arial" w:cs="Arial"/>
          <w:sz w:val="22"/>
          <w:szCs w:val="22"/>
        </w:rPr>
        <w:t xml:space="preserve">National Institute for Health and Care Excellence (NICE) (2022) </w:t>
      </w:r>
      <w:r w:rsidRPr="00D211D9">
        <w:rPr>
          <w:rFonts w:ascii="Arial" w:hAnsi="Arial" w:cs="Arial"/>
          <w:i/>
          <w:iCs/>
          <w:sz w:val="22"/>
          <w:szCs w:val="22"/>
        </w:rPr>
        <w:t>Type 1 diabetes in adults: diagnosis and management (NG17).</w:t>
      </w:r>
      <w:r w:rsidRPr="00D211D9">
        <w:rPr>
          <w:rFonts w:ascii="Arial" w:hAnsi="Arial" w:cs="Arial"/>
          <w:sz w:val="22"/>
          <w:szCs w:val="22"/>
        </w:rPr>
        <w:t xml:space="preserve"> Available at: </w:t>
      </w:r>
      <w:hyperlink r:id="rId13" w:tgtFrame="_new" w:history="1">
        <w:r w:rsidRPr="00D211D9">
          <w:rPr>
            <w:rStyle w:val="Hyperlink"/>
            <w:rFonts w:ascii="Arial" w:hAnsi="Arial" w:cs="Arial"/>
            <w:sz w:val="22"/>
            <w:szCs w:val="22"/>
          </w:rPr>
          <w:t>https://www.nice.org.uk/guidance/ng17</w:t>
        </w:r>
      </w:hyperlink>
      <w:r w:rsidRPr="00D211D9">
        <w:rPr>
          <w:rFonts w:ascii="Arial" w:hAnsi="Arial" w:cs="Arial"/>
          <w:sz w:val="22"/>
          <w:szCs w:val="22"/>
        </w:rPr>
        <w:t xml:space="preserve"> (Accessed: 16 July 2026).</w:t>
      </w:r>
    </w:p>
    <w:p w14:paraId="6FFC2758" w14:textId="77777777" w:rsidR="000424D8" w:rsidRPr="00D211D9" w:rsidRDefault="000424D8" w:rsidP="00D86BCD">
      <w:pPr>
        <w:spacing w:line="360" w:lineRule="auto"/>
        <w:rPr>
          <w:rFonts w:ascii="Arial" w:hAnsi="Arial" w:cs="Arial"/>
          <w:sz w:val="22"/>
          <w:szCs w:val="22"/>
        </w:rPr>
      </w:pPr>
      <w:r w:rsidRPr="00D211D9">
        <w:rPr>
          <w:rFonts w:ascii="Arial" w:hAnsi="Arial" w:cs="Arial"/>
          <w:sz w:val="22"/>
          <w:szCs w:val="22"/>
        </w:rPr>
        <w:t xml:space="preserve">NHS (2024) </w:t>
      </w:r>
      <w:r w:rsidRPr="00D211D9">
        <w:rPr>
          <w:rFonts w:ascii="Arial" w:hAnsi="Arial" w:cs="Arial"/>
          <w:i/>
          <w:iCs/>
          <w:sz w:val="22"/>
          <w:szCs w:val="22"/>
        </w:rPr>
        <w:t>Type 1 diabetes</w:t>
      </w:r>
      <w:r w:rsidRPr="00D211D9">
        <w:rPr>
          <w:rFonts w:ascii="Arial" w:hAnsi="Arial" w:cs="Arial"/>
          <w:sz w:val="22"/>
          <w:szCs w:val="22"/>
        </w:rPr>
        <w:t xml:space="preserve">. Available at: </w:t>
      </w:r>
      <w:hyperlink r:id="rId14" w:tgtFrame="_new" w:history="1">
        <w:r w:rsidRPr="00D211D9">
          <w:rPr>
            <w:rStyle w:val="Hyperlink"/>
            <w:rFonts w:ascii="Arial" w:hAnsi="Arial" w:cs="Arial"/>
            <w:sz w:val="22"/>
            <w:szCs w:val="22"/>
          </w:rPr>
          <w:t>https://www.nhs.uk/conditions/type-1-diabetes/</w:t>
        </w:r>
      </w:hyperlink>
      <w:r w:rsidRPr="00D211D9">
        <w:rPr>
          <w:rFonts w:ascii="Arial" w:hAnsi="Arial" w:cs="Arial"/>
          <w:sz w:val="22"/>
          <w:szCs w:val="22"/>
        </w:rPr>
        <w:t xml:space="preserve"> (Accessed: 15 July 2026).</w:t>
      </w:r>
    </w:p>
    <w:p w14:paraId="377E3DE0" w14:textId="77777777" w:rsidR="000424D8" w:rsidRPr="00D211D9" w:rsidRDefault="000424D8" w:rsidP="00D86BCD">
      <w:pPr>
        <w:spacing w:line="360" w:lineRule="auto"/>
        <w:rPr>
          <w:rFonts w:ascii="Arial" w:hAnsi="Arial" w:cs="Arial"/>
          <w:sz w:val="22"/>
          <w:szCs w:val="22"/>
        </w:rPr>
      </w:pPr>
      <w:r w:rsidRPr="00D211D9">
        <w:rPr>
          <w:rFonts w:ascii="Arial" w:hAnsi="Arial" w:cs="Arial"/>
          <w:sz w:val="22"/>
          <w:szCs w:val="22"/>
        </w:rPr>
        <w:t xml:space="preserve">NHS England (2023) </w:t>
      </w:r>
      <w:r w:rsidRPr="00D211D9">
        <w:rPr>
          <w:rFonts w:ascii="Arial" w:hAnsi="Arial" w:cs="Arial"/>
          <w:i/>
          <w:iCs/>
          <w:sz w:val="22"/>
          <w:szCs w:val="22"/>
        </w:rPr>
        <w:t>National Diabetes Audit 2021–22, Report 1: Care Processes and Treatment Targets, Detailed Analysis Report</w:t>
      </w:r>
      <w:r w:rsidRPr="00D211D9">
        <w:rPr>
          <w:rFonts w:ascii="Arial" w:hAnsi="Arial" w:cs="Arial"/>
          <w:sz w:val="22"/>
          <w:szCs w:val="22"/>
        </w:rPr>
        <w:t xml:space="preserve">. Available at: </w:t>
      </w:r>
      <w:hyperlink r:id="rId15" w:tgtFrame="_new" w:history="1">
        <w:r w:rsidRPr="00D211D9">
          <w:rPr>
            <w:rStyle w:val="Hyperlink"/>
            <w:rFonts w:ascii="Arial" w:hAnsi="Arial" w:cs="Arial"/>
            <w:sz w:val="22"/>
            <w:szCs w:val="22"/>
          </w:rPr>
          <w:t>https://digital.nhs.uk/data-and-information/publications/statistical/national-diabetes-audit/report-1-care-processes-and-treatment-targets-2021-22-full-report</w:t>
        </w:r>
      </w:hyperlink>
      <w:r w:rsidRPr="00D211D9">
        <w:rPr>
          <w:rFonts w:ascii="Arial" w:hAnsi="Arial" w:cs="Arial"/>
          <w:sz w:val="22"/>
          <w:szCs w:val="22"/>
        </w:rPr>
        <w:t xml:space="preserve"> (Accessed: 19 July 2026).</w:t>
      </w:r>
    </w:p>
    <w:p w14:paraId="01188B3A" w14:textId="77777777" w:rsidR="000424D8" w:rsidRPr="00D211D9" w:rsidRDefault="000424D8" w:rsidP="00D86BCD">
      <w:pPr>
        <w:spacing w:line="360" w:lineRule="auto"/>
        <w:rPr>
          <w:rFonts w:ascii="Arial" w:hAnsi="Arial" w:cs="Arial"/>
          <w:sz w:val="22"/>
          <w:szCs w:val="22"/>
        </w:rPr>
      </w:pPr>
      <w:r w:rsidRPr="00D211D9">
        <w:rPr>
          <w:rFonts w:ascii="Arial" w:hAnsi="Arial" w:cs="Arial"/>
          <w:sz w:val="22"/>
          <w:szCs w:val="22"/>
        </w:rPr>
        <w:t xml:space="preserve">World Health Organization (WHO) (2024) </w:t>
      </w:r>
      <w:r w:rsidRPr="00D211D9">
        <w:rPr>
          <w:rFonts w:ascii="Arial" w:hAnsi="Arial" w:cs="Arial"/>
          <w:i/>
          <w:iCs/>
          <w:sz w:val="22"/>
          <w:szCs w:val="22"/>
        </w:rPr>
        <w:t>Diabetes</w:t>
      </w:r>
      <w:r w:rsidRPr="00D211D9">
        <w:rPr>
          <w:rFonts w:ascii="Arial" w:hAnsi="Arial" w:cs="Arial"/>
          <w:sz w:val="22"/>
          <w:szCs w:val="22"/>
        </w:rPr>
        <w:t xml:space="preserve">. Available at: </w:t>
      </w:r>
      <w:hyperlink r:id="rId16" w:tgtFrame="_new" w:history="1">
        <w:r w:rsidRPr="00D211D9">
          <w:rPr>
            <w:rStyle w:val="Hyperlink"/>
            <w:rFonts w:ascii="Arial" w:hAnsi="Arial" w:cs="Arial"/>
            <w:sz w:val="22"/>
            <w:szCs w:val="22"/>
          </w:rPr>
          <w:t>https://www.who.int/news-room/fact-sheets/detail/diabetes</w:t>
        </w:r>
      </w:hyperlink>
      <w:r w:rsidRPr="00D211D9">
        <w:rPr>
          <w:rFonts w:ascii="Arial" w:hAnsi="Arial" w:cs="Arial"/>
          <w:sz w:val="22"/>
          <w:szCs w:val="22"/>
        </w:rPr>
        <w:t xml:space="preserve"> (Accessed: 14 July 2026)</w:t>
      </w:r>
    </w:p>
    <w:p w14:paraId="1CAF9346" w14:textId="77777777" w:rsidR="00B41787" w:rsidRPr="00D211D9" w:rsidRDefault="00B41787" w:rsidP="002F6B63">
      <w:pPr>
        <w:rPr>
          <w:rFonts w:ascii="Arial" w:hAnsi="Arial" w:cs="Arial"/>
          <w:b/>
          <w:bCs/>
        </w:rPr>
      </w:pPr>
    </w:p>
    <w:p w14:paraId="162940C8" w14:textId="77777777" w:rsidR="00B41787" w:rsidRPr="00D211D9" w:rsidRDefault="00B41787" w:rsidP="002F6B63">
      <w:pPr>
        <w:rPr>
          <w:rFonts w:ascii="Arial" w:hAnsi="Arial" w:cs="Arial"/>
          <w:b/>
          <w:bCs/>
        </w:rPr>
      </w:pPr>
    </w:p>
    <w:p w14:paraId="33A7B8AB" w14:textId="77777777" w:rsidR="00B41787" w:rsidRPr="00D211D9" w:rsidRDefault="00B41787" w:rsidP="002F6B63">
      <w:pPr>
        <w:rPr>
          <w:rFonts w:ascii="Arial" w:hAnsi="Arial" w:cs="Arial"/>
          <w:b/>
          <w:bCs/>
        </w:rPr>
      </w:pPr>
    </w:p>
    <w:p w14:paraId="53EBE71B" w14:textId="77777777" w:rsidR="00B41787" w:rsidRPr="00D211D9" w:rsidRDefault="00B41787" w:rsidP="002F6B63">
      <w:pPr>
        <w:rPr>
          <w:rFonts w:ascii="Arial" w:hAnsi="Arial" w:cs="Arial"/>
          <w:b/>
          <w:bCs/>
        </w:rPr>
      </w:pPr>
    </w:p>
    <w:p w14:paraId="28B2BBA1" w14:textId="77777777" w:rsidR="002843E9" w:rsidRPr="00D211D9" w:rsidRDefault="002843E9" w:rsidP="003526EB">
      <w:pPr>
        <w:rPr>
          <w:rFonts w:ascii="Arial" w:hAnsi="Arial" w:cs="Arial"/>
        </w:rPr>
      </w:pPr>
    </w:p>
    <w:sectPr w:rsidR="002843E9" w:rsidRPr="00D211D9" w:rsidSect="00DA2C3C">
      <w:footerReference w:type="default" r:id="rId17"/>
      <w:pgSz w:w="11906" w:h="16838"/>
      <w:pgMar w:top="1440" w:right="1440" w:bottom="1440" w:left="144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732E2" w14:textId="77777777" w:rsidR="00C0733A" w:rsidRDefault="00C0733A" w:rsidP="00DA2C3C">
      <w:pPr>
        <w:spacing w:after="0" w:line="240" w:lineRule="auto"/>
      </w:pPr>
      <w:r>
        <w:separator/>
      </w:r>
    </w:p>
  </w:endnote>
  <w:endnote w:type="continuationSeparator" w:id="0">
    <w:p w14:paraId="68E51D1B" w14:textId="77777777" w:rsidR="00C0733A" w:rsidRDefault="00C0733A" w:rsidP="00DA2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F8613" w14:textId="298CB9E9" w:rsidR="003A3D89" w:rsidRDefault="003A3D89" w:rsidP="002C3CAF">
    <w:pPr>
      <w:pStyle w:val="Footer"/>
      <w:spacing w:before="240" w:line="360" w:lineRule="auto"/>
      <w:jc w:val="center"/>
      <w:rPr>
        <w:caps/>
        <w:color w:val="156082" w:themeColor="accent1"/>
      </w:rPr>
    </w:pPr>
  </w:p>
  <w:p w14:paraId="61C3689B" w14:textId="77777777" w:rsidR="00303BB2" w:rsidRDefault="00303B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32BCF" w14:textId="77777777" w:rsidR="002D57DB" w:rsidRDefault="002D57DB">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3D881B51" w14:textId="77777777" w:rsidR="007A49EC" w:rsidRDefault="007A4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BCBE4" w14:textId="77777777" w:rsidR="00C0733A" w:rsidRDefault="00C0733A" w:rsidP="00DA2C3C">
      <w:pPr>
        <w:spacing w:after="0" w:line="240" w:lineRule="auto"/>
      </w:pPr>
      <w:r>
        <w:separator/>
      </w:r>
    </w:p>
  </w:footnote>
  <w:footnote w:type="continuationSeparator" w:id="0">
    <w:p w14:paraId="49B614F3" w14:textId="77777777" w:rsidR="00C0733A" w:rsidRDefault="00C0733A" w:rsidP="00DA2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D49D7"/>
    <w:multiLevelType w:val="multilevel"/>
    <w:tmpl w:val="F998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582D92"/>
    <w:multiLevelType w:val="multilevel"/>
    <w:tmpl w:val="CFFC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173BA0"/>
    <w:multiLevelType w:val="multilevel"/>
    <w:tmpl w:val="72E6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A31F60"/>
    <w:multiLevelType w:val="multilevel"/>
    <w:tmpl w:val="97E0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825508"/>
    <w:multiLevelType w:val="multilevel"/>
    <w:tmpl w:val="BDBC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D1108A"/>
    <w:multiLevelType w:val="multilevel"/>
    <w:tmpl w:val="7CDC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414445">
    <w:abstractNumId w:val="3"/>
  </w:num>
  <w:num w:numId="2" w16cid:durableId="1114667230">
    <w:abstractNumId w:val="1"/>
  </w:num>
  <w:num w:numId="3" w16cid:durableId="1673751130">
    <w:abstractNumId w:val="0"/>
  </w:num>
  <w:num w:numId="4" w16cid:durableId="1803646883">
    <w:abstractNumId w:val="4"/>
  </w:num>
  <w:num w:numId="5" w16cid:durableId="848758093">
    <w:abstractNumId w:val="5"/>
  </w:num>
  <w:num w:numId="6" w16cid:durableId="19299985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38B"/>
    <w:rsid w:val="000059BF"/>
    <w:rsid w:val="00007581"/>
    <w:rsid w:val="000226AB"/>
    <w:rsid w:val="000230BE"/>
    <w:rsid w:val="000424D8"/>
    <w:rsid w:val="0006700F"/>
    <w:rsid w:val="00070D82"/>
    <w:rsid w:val="00076C58"/>
    <w:rsid w:val="000951AA"/>
    <w:rsid w:val="00097F10"/>
    <w:rsid w:val="000B484F"/>
    <w:rsid w:val="000C5AEB"/>
    <w:rsid w:val="00114236"/>
    <w:rsid w:val="00114AC8"/>
    <w:rsid w:val="0012238B"/>
    <w:rsid w:val="00131FDB"/>
    <w:rsid w:val="00133B9E"/>
    <w:rsid w:val="00142183"/>
    <w:rsid w:val="001833C8"/>
    <w:rsid w:val="001847D0"/>
    <w:rsid w:val="00190E75"/>
    <w:rsid w:val="001A563B"/>
    <w:rsid w:val="001F3CC3"/>
    <w:rsid w:val="001F781F"/>
    <w:rsid w:val="001F7A06"/>
    <w:rsid w:val="0020701A"/>
    <w:rsid w:val="00244331"/>
    <w:rsid w:val="00272384"/>
    <w:rsid w:val="00273990"/>
    <w:rsid w:val="002837DA"/>
    <w:rsid w:val="002843E9"/>
    <w:rsid w:val="002A2EB2"/>
    <w:rsid w:val="002B03E4"/>
    <w:rsid w:val="002C3CAF"/>
    <w:rsid w:val="002D233A"/>
    <w:rsid w:val="002D57DB"/>
    <w:rsid w:val="002E10F2"/>
    <w:rsid w:val="002F6B63"/>
    <w:rsid w:val="00303BB2"/>
    <w:rsid w:val="003145FE"/>
    <w:rsid w:val="0032412F"/>
    <w:rsid w:val="00332312"/>
    <w:rsid w:val="00335CA9"/>
    <w:rsid w:val="00340C95"/>
    <w:rsid w:val="00343C2F"/>
    <w:rsid w:val="003526EB"/>
    <w:rsid w:val="00362096"/>
    <w:rsid w:val="003671FD"/>
    <w:rsid w:val="00382F9A"/>
    <w:rsid w:val="003A0F8D"/>
    <w:rsid w:val="003A328E"/>
    <w:rsid w:val="003A3D89"/>
    <w:rsid w:val="003C6A8F"/>
    <w:rsid w:val="003E11AD"/>
    <w:rsid w:val="003F2A81"/>
    <w:rsid w:val="0040373D"/>
    <w:rsid w:val="00405021"/>
    <w:rsid w:val="0041595A"/>
    <w:rsid w:val="004343E8"/>
    <w:rsid w:val="004462F5"/>
    <w:rsid w:val="00452408"/>
    <w:rsid w:val="0046208C"/>
    <w:rsid w:val="004631EF"/>
    <w:rsid w:val="00463A75"/>
    <w:rsid w:val="00475B08"/>
    <w:rsid w:val="00490C49"/>
    <w:rsid w:val="00491333"/>
    <w:rsid w:val="004C3721"/>
    <w:rsid w:val="004E095E"/>
    <w:rsid w:val="004E233D"/>
    <w:rsid w:val="004E5A77"/>
    <w:rsid w:val="004F3E12"/>
    <w:rsid w:val="005040F7"/>
    <w:rsid w:val="00576C00"/>
    <w:rsid w:val="00592734"/>
    <w:rsid w:val="005967C5"/>
    <w:rsid w:val="00597F82"/>
    <w:rsid w:val="005D1DDE"/>
    <w:rsid w:val="005E0F0C"/>
    <w:rsid w:val="00600ECF"/>
    <w:rsid w:val="0060655A"/>
    <w:rsid w:val="006702BA"/>
    <w:rsid w:val="00686BFC"/>
    <w:rsid w:val="00690747"/>
    <w:rsid w:val="006947F2"/>
    <w:rsid w:val="006B071C"/>
    <w:rsid w:val="006C79AE"/>
    <w:rsid w:val="0076629E"/>
    <w:rsid w:val="007768A3"/>
    <w:rsid w:val="007A0C4F"/>
    <w:rsid w:val="007A49EC"/>
    <w:rsid w:val="007B11A9"/>
    <w:rsid w:val="007B2A70"/>
    <w:rsid w:val="007C5935"/>
    <w:rsid w:val="008023D3"/>
    <w:rsid w:val="0083105F"/>
    <w:rsid w:val="00837E48"/>
    <w:rsid w:val="00842037"/>
    <w:rsid w:val="00855C39"/>
    <w:rsid w:val="00867D13"/>
    <w:rsid w:val="008A6313"/>
    <w:rsid w:val="008A6F9C"/>
    <w:rsid w:val="008C1BBC"/>
    <w:rsid w:val="00915FC5"/>
    <w:rsid w:val="00940FFC"/>
    <w:rsid w:val="00944549"/>
    <w:rsid w:val="009532E0"/>
    <w:rsid w:val="00957972"/>
    <w:rsid w:val="00971EC9"/>
    <w:rsid w:val="0097777F"/>
    <w:rsid w:val="00984238"/>
    <w:rsid w:val="009C2555"/>
    <w:rsid w:val="009D5861"/>
    <w:rsid w:val="009E0365"/>
    <w:rsid w:val="009F028A"/>
    <w:rsid w:val="009F641D"/>
    <w:rsid w:val="00A20D18"/>
    <w:rsid w:val="00A23587"/>
    <w:rsid w:val="00A338E6"/>
    <w:rsid w:val="00A4055A"/>
    <w:rsid w:val="00A449F2"/>
    <w:rsid w:val="00A53587"/>
    <w:rsid w:val="00A716ED"/>
    <w:rsid w:val="00A71FED"/>
    <w:rsid w:val="00A82BCD"/>
    <w:rsid w:val="00B105D7"/>
    <w:rsid w:val="00B17BC0"/>
    <w:rsid w:val="00B257C0"/>
    <w:rsid w:val="00B34DB7"/>
    <w:rsid w:val="00B40EAD"/>
    <w:rsid w:val="00B41787"/>
    <w:rsid w:val="00B470CC"/>
    <w:rsid w:val="00B92ED3"/>
    <w:rsid w:val="00BC1F01"/>
    <w:rsid w:val="00BC26B2"/>
    <w:rsid w:val="00BC3A8D"/>
    <w:rsid w:val="00BD275B"/>
    <w:rsid w:val="00BE590A"/>
    <w:rsid w:val="00C0733A"/>
    <w:rsid w:val="00C14F66"/>
    <w:rsid w:val="00C33E20"/>
    <w:rsid w:val="00C447F3"/>
    <w:rsid w:val="00C613FB"/>
    <w:rsid w:val="00C770F9"/>
    <w:rsid w:val="00C90B75"/>
    <w:rsid w:val="00CA0957"/>
    <w:rsid w:val="00CA7CFC"/>
    <w:rsid w:val="00CB7FF6"/>
    <w:rsid w:val="00CC7CBC"/>
    <w:rsid w:val="00D010E3"/>
    <w:rsid w:val="00D0115B"/>
    <w:rsid w:val="00D070CA"/>
    <w:rsid w:val="00D17F80"/>
    <w:rsid w:val="00D211D9"/>
    <w:rsid w:val="00D34394"/>
    <w:rsid w:val="00D362E4"/>
    <w:rsid w:val="00D54C9A"/>
    <w:rsid w:val="00D569EB"/>
    <w:rsid w:val="00D7595A"/>
    <w:rsid w:val="00D86BCD"/>
    <w:rsid w:val="00DA1185"/>
    <w:rsid w:val="00DA2C3C"/>
    <w:rsid w:val="00DA45B7"/>
    <w:rsid w:val="00DA4EEE"/>
    <w:rsid w:val="00DB3AED"/>
    <w:rsid w:val="00DC5F39"/>
    <w:rsid w:val="00E14647"/>
    <w:rsid w:val="00E21712"/>
    <w:rsid w:val="00E46848"/>
    <w:rsid w:val="00E57374"/>
    <w:rsid w:val="00E65190"/>
    <w:rsid w:val="00E7645A"/>
    <w:rsid w:val="00E83E0D"/>
    <w:rsid w:val="00EA1F37"/>
    <w:rsid w:val="00EA31A6"/>
    <w:rsid w:val="00EB4DF9"/>
    <w:rsid w:val="00ED29CC"/>
    <w:rsid w:val="00ED3258"/>
    <w:rsid w:val="00EE0794"/>
    <w:rsid w:val="00EE0A7F"/>
    <w:rsid w:val="00EE79D0"/>
    <w:rsid w:val="00F024D3"/>
    <w:rsid w:val="00F03C65"/>
    <w:rsid w:val="00F321CC"/>
    <w:rsid w:val="00F418A9"/>
    <w:rsid w:val="00F558BE"/>
    <w:rsid w:val="00F65B99"/>
    <w:rsid w:val="00F670DF"/>
    <w:rsid w:val="00F67AD1"/>
    <w:rsid w:val="00F74074"/>
    <w:rsid w:val="00F74253"/>
    <w:rsid w:val="00F82243"/>
    <w:rsid w:val="00FB2578"/>
    <w:rsid w:val="00FD14A9"/>
    <w:rsid w:val="00FD5EF3"/>
    <w:rsid w:val="00FF0973"/>
    <w:rsid w:val="00FF366B"/>
    <w:rsid w:val="00FF5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2869E"/>
  <w15:chartTrackingRefBased/>
  <w15:docId w15:val="{6E97D58A-6024-A843-A7B8-43363D3DB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3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23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23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23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23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23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3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3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3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3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23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23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23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3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3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3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3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38B"/>
    <w:rPr>
      <w:rFonts w:eastAsiaTheme="majorEastAsia" w:cstheme="majorBidi"/>
      <w:color w:val="272727" w:themeColor="text1" w:themeTint="D8"/>
    </w:rPr>
  </w:style>
  <w:style w:type="paragraph" w:styleId="Title">
    <w:name w:val="Title"/>
    <w:basedOn w:val="Normal"/>
    <w:next w:val="Normal"/>
    <w:link w:val="TitleChar"/>
    <w:uiPriority w:val="10"/>
    <w:qFormat/>
    <w:rsid w:val="001223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3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3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3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38B"/>
    <w:pPr>
      <w:spacing w:before="160"/>
      <w:jc w:val="center"/>
    </w:pPr>
    <w:rPr>
      <w:i/>
      <w:iCs/>
      <w:color w:val="404040" w:themeColor="text1" w:themeTint="BF"/>
    </w:rPr>
  </w:style>
  <w:style w:type="character" w:customStyle="1" w:styleId="QuoteChar">
    <w:name w:val="Quote Char"/>
    <w:basedOn w:val="DefaultParagraphFont"/>
    <w:link w:val="Quote"/>
    <w:uiPriority w:val="29"/>
    <w:rsid w:val="0012238B"/>
    <w:rPr>
      <w:i/>
      <w:iCs/>
      <w:color w:val="404040" w:themeColor="text1" w:themeTint="BF"/>
    </w:rPr>
  </w:style>
  <w:style w:type="paragraph" w:styleId="ListParagraph">
    <w:name w:val="List Paragraph"/>
    <w:basedOn w:val="Normal"/>
    <w:uiPriority w:val="34"/>
    <w:qFormat/>
    <w:rsid w:val="0012238B"/>
    <w:pPr>
      <w:ind w:left="720"/>
      <w:contextualSpacing/>
    </w:pPr>
  </w:style>
  <w:style w:type="character" w:styleId="IntenseEmphasis">
    <w:name w:val="Intense Emphasis"/>
    <w:basedOn w:val="DefaultParagraphFont"/>
    <w:uiPriority w:val="21"/>
    <w:qFormat/>
    <w:rsid w:val="0012238B"/>
    <w:rPr>
      <w:i/>
      <w:iCs/>
      <w:color w:val="0F4761" w:themeColor="accent1" w:themeShade="BF"/>
    </w:rPr>
  </w:style>
  <w:style w:type="paragraph" w:styleId="IntenseQuote">
    <w:name w:val="Intense Quote"/>
    <w:basedOn w:val="Normal"/>
    <w:next w:val="Normal"/>
    <w:link w:val="IntenseQuoteChar"/>
    <w:uiPriority w:val="30"/>
    <w:qFormat/>
    <w:rsid w:val="001223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238B"/>
    <w:rPr>
      <w:i/>
      <w:iCs/>
      <w:color w:val="0F4761" w:themeColor="accent1" w:themeShade="BF"/>
    </w:rPr>
  </w:style>
  <w:style w:type="character" w:styleId="IntenseReference">
    <w:name w:val="Intense Reference"/>
    <w:basedOn w:val="DefaultParagraphFont"/>
    <w:uiPriority w:val="32"/>
    <w:qFormat/>
    <w:rsid w:val="0012238B"/>
    <w:rPr>
      <w:b/>
      <w:bCs/>
      <w:smallCaps/>
      <w:color w:val="0F4761" w:themeColor="accent1" w:themeShade="BF"/>
      <w:spacing w:val="5"/>
    </w:rPr>
  </w:style>
  <w:style w:type="character" w:styleId="Hyperlink">
    <w:name w:val="Hyperlink"/>
    <w:basedOn w:val="DefaultParagraphFont"/>
    <w:uiPriority w:val="99"/>
    <w:unhideWhenUsed/>
    <w:rsid w:val="001847D0"/>
    <w:rPr>
      <w:color w:val="467886" w:themeColor="hyperlink"/>
      <w:u w:val="single"/>
    </w:rPr>
  </w:style>
  <w:style w:type="character" w:styleId="UnresolvedMention">
    <w:name w:val="Unresolved Mention"/>
    <w:basedOn w:val="DefaultParagraphFont"/>
    <w:uiPriority w:val="99"/>
    <w:semiHidden/>
    <w:unhideWhenUsed/>
    <w:rsid w:val="001847D0"/>
    <w:rPr>
      <w:color w:val="605E5C"/>
      <w:shd w:val="clear" w:color="auto" w:fill="E1DFDD"/>
    </w:rPr>
  </w:style>
  <w:style w:type="character" w:styleId="FollowedHyperlink">
    <w:name w:val="FollowedHyperlink"/>
    <w:basedOn w:val="DefaultParagraphFont"/>
    <w:uiPriority w:val="99"/>
    <w:semiHidden/>
    <w:unhideWhenUsed/>
    <w:rsid w:val="00867D13"/>
    <w:rPr>
      <w:color w:val="96607D" w:themeColor="followedHyperlink"/>
      <w:u w:val="single"/>
    </w:rPr>
  </w:style>
  <w:style w:type="paragraph" w:styleId="NoSpacing">
    <w:name w:val="No Spacing"/>
    <w:link w:val="NoSpacingChar"/>
    <w:uiPriority w:val="1"/>
    <w:qFormat/>
    <w:rsid w:val="008A6F9C"/>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8A6F9C"/>
    <w:rPr>
      <w:kern w:val="0"/>
      <w:sz w:val="22"/>
      <w:szCs w:val="22"/>
      <w14:ligatures w14:val="none"/>
    </w:rPr>
  </w:style>
  <w:style w:type="paragraph" w:styleId="TOC1">
    <w:name w:val="toc 1"/>
    <w:basedOn w:val="Normal"/>
    <w:next w:val="Normal"/>
    <w:autoRedefine/>
    <w:uiPriority w:val="39"/>
    <w:unhideWhenUsed/>
    <w:rsid w:val="00A71FED"/>
    <w:pPr>
      <w:spacing w:before="360" w:after="0"/>
    </w:pPr>
    <w:rPr>
      <w:rFonts w:asciiTheme="majorHAnsi" w:hAnsiTheme="majorHAnsi"/>
      <w:b/>
      <w:bCs/>
      <w:caps/>
    </w:rPr>
  </w:style>
  <w:style w:type="paragraph" w:styleId="TOC2">
    <w:name w:val="toc 2"/>
    <w:basedOn w:val="Normal"/>
    <w:next w:val="Normal"/>
    <w:autoRedefine/>
    <w:uiPriority w:val="39"/>
    <w:unhideWhenUsed/>
    <w:rsid w:val="00A71FED"/>
    <w:pPr>
      <w:spacing w:before="240" w:after="0"/>
    </w:pPr>
    <w:rPr>
      <w:b/>
      <w:bCs/>
      <w:sz w:val="20"/>
      <w:szCs w:val="20"/>
    </w:rPr>
  </w:style>
  <w:style w:type="paragraph" w:styleId="TOC3">
    <w:name w:val="toc 3"/>
    <w:basedOn w:val="Normal"/>
    <w:next w:val="Normal"/>
    <w:autoRedefine/>
    <w:uiPriority w:val="39"/>
    <w:unhideWhenUsed/>
    <w:rsid w:val="00A71FED"/>
    <w:pPr>
      <w:spacing w:after="0"/>
      <w:ind w:left="240"/>
    </w:pPr>
    <w:rPr>
      <w:sz w:val="20"/>
      <w:szCs w:val="20"/>
    </w:rPr>
  </w:style>
  <w:style w:type="paragraph" w:styleId="TOC4">
    <w:name w:val="toc 4"/>
    <w:basedOn w:val="Normal"/>
    <w:next w:val="Normal"/>
    <w:autoRedefine/>
    <w:uiPriority w:val="39"/>
    <w:unhideWhenUsed/>
    <w:rsid w:val="00A71FED"/>
    <w:pPr>
      <w:spacing w:after="0"/>
      <w:ind w:left="480"/>
    </w:pPr>
    <w:rPr>
      <w:sz w:val="20"/>
      <w:szCs w:val="20"/>
    </w:rPr>
  </w:style>
  <w:style w:type="paragraph" w:styleId="TOC5">
    <w:name w:val="toc 5"/>
    <w:basedOn w:val="Normal"/>
    <w:next w:val="Normal"/>
    <w:autoRedefine/>
    <w:uiPriority w:val="39"/>
    <w:unhideWhenUsed/>
    <w:rsid w:val="00A71FED"/>
    <w:pPr>
      <w:spacing w:after="0"/>
      <w:ind w:left="720"/>
    </w:pPr>
    <w:rPr>
      <w:sz w:val="20"/>
      <w:szCs w:val="20"/>
    </w:rPr>
  </w:style>
  <w:style w:type="paragraph" w:styleId="TOC6">
    <w:name w:val="toc 6"/>
    <w:basedOn w:val="Normal"/>
    <w:next w:val="Normal"/>
    <w:autoRedefine/>
    <w:uiPriority w:val="39"/>
    <w:unhideWhenUsed/>
    <w:rsid w:val="00A71FED"/>
    <w:pPr>
      <w:spacing w:after="0"/>
      <w:ind w:left="960"/>
    </w:pPr>
    <w:rPr>
      <w:sz w:val="20"/>
      <w:szCs w:val="20"/>
    </w:rPr>
  </w:style>
  <w:style w:type="paragraph" w:styleId="TOC7">
    <w:name w:val="toc 7"/>
    <w:basedOn w:val="Normal"/>
    <w:next w:val="Normal"/>
    <w:autoRedefine/>
    <w:uiPriority w:val="39"/>
    <w:unhideWhenUsed/>
    <w:rsid w:val="00A71FED"/>
    <w:pPr>
      <w:spacing w:after="0"/>
      <w:ind w:left="1200"/>
    </w:pPr>
    <w:rPr>
      <w:sz w:val="20"/>
      <w:szCs w:val="20"/>
    </w:rPr>
  </w:style>
  <w:style w:type="paragraph" w:styleId="TOC8">
    <w:name w:val="toc 8"/>
    <w:basedOn w:val="Normal"/>
    <w:next w:val="Normal"/>
    <w:autoRedefine/>
    <w:uiPriority w:val="39"/>
    <w:unhideWhenUsed/>
    <w:rsid w:val="00A71FED"/>
    <w:pPr>
      <w:spacing w:after="0"/>
      <w:ind w:left="1440"/>
    </w:pPr>
    <w:rPr>
      <w:sz w:val="20"/>
      <w:szCs w:val="20"/>
    </w:rPr>
  </w:style>
  <w:style w:type="paragraph" w:styleId="TOC9">
    <w:name w:val="toc 9"/>
    <w:basedOn w:val="Normal"/>
    <w:next w:val="Normal"/>
    <w:autoRedefine/>
    <w:uiPriority w:val="39"/>
    <w:unhideWhenUsed/>
    <w:rsid w:val="00A71FED"/>
    <w:pPr>
      <w:spacing w:after="0"/>
      <w:ind w:left="1680"/>
    </w:pPr>
    <w:rPr>
      <w:sz w:val="20"/>
      <w:szCs w:val="20"/>
    </w:rPr>
  </w:style>
  <w:style w:type="paragraph" w:styleId="TOCHeading">
    <w:name w:val="TOC Heading"/>
    <w:basedOn w:val="Heading1"/>
    <w:next w:val="Normal"/>
    <w:uiPriority w:val="39"/>
    <w:unhideWhenUsed/>
    <w:qFormat/>
    <w:rsid w:val="00A71FED"/>
    <w:pPr>
      <w:spacing w:before="240" w:after="0" w:line="259" w:lineRule="auto"/>
      <w:outlineLvl w:val="9"/>
    </w:pPr>
    <w:rPr>
      <w:kern w:val="0"/>
      <w:sz w:val="32"/>
      <w:szCs w:val="32"/>
      <w14:ligatures w14:val="none"/>
    </w:rPr>
  </w:style>
  <w:style w:type="paragraph" w:styleId="TableofFigures">
    <w:name w:val="table of figures"/>
    <w:basedOn w:val="Normal"/>
    <w:next w:val="Normal"/>
    <w:uiPriority w:val="99"/>
    <w:semiHidden/>
    <w:unhideWhenUsed/>
    <w:rsid w:val="004F3E12"/>
    <w:pPr>
      <w:spacing w:after="0"/>
    </w:pPr>
  </w:style>
  <w:style w:type="paragraph" w:customStyle="1" w:styleId="pdq2pgselectionanchorcontainer">
    <w:name w:val="pdq2pg_selectionanchorcontainer"/>
    <w:basedOn w:val="Normal"/>
    <w:rsid w:val="004F3E1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F3E12"/>
    <w:rPr>
      <w:b/>
      <w:bCs/>
    </w:rPr>
  </w:style>
  <w:style w:type="paragraph" w:styleId="NormalWeb">
    <w:name w:val="Normal (Web)"/>
    <w:basedOn w:val="Normal"/>
    <w:uiPriority w:val="99"/>
    <w:semiHidden/>
    <w:unhideWhenUsed/>
    <w:rsid w:val="004F3E1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DA2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C3C"/>
  </w:style>
  <w:style w:type="paragraph" w:styleId="Footer">
    <w:name w:val="footer"/>
    <w:basedOn w:val="Normal"/>
    <w:link w:val="FooterChar"/>
    <w:uiPriority w:val="99"/>
    <w:unhideWhenUsed/>
    <w:rsid w:val="00DA2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ce.org.uk/guidance/ng1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abetes.org.uk/about-us/about-the-charity/our-strategy/statistic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who.int/news-room/fact-sheets/detail/diabe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abetes.org.uk/about-diabetes/type-1-diabetes" TargetMode="External"/><Relationship Id="rId5" Type="http://schemas.openxmlformats.org/officeDocument/2006/relationships/webSettings" Target="webSettings.xml"/><Relationship Id="rId15" Type="http://schemas.openxmlformats.org/officeDocument/2006/relationships/hyperlink" Target="https://digital.nhs.uk/data-and-information/publications/statistical/national-diabetes-audit/report-1-care-processes-and-treatment-targets-2021-22-full-report"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hs.uk/conditions/type-1-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01D61-FC3E-4B7F-8708-EE9021252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8</Pages>
  <Words>2177</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Lecturer Name:</Company>
  <LinksUpToDate>false</LinksUpToDate>
  <CharactersWithSpaces>14557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Viveiros (2512327)</dc:creator>
  <cp:keywords/>
  <dc:description/>
  <cp:lastModifiedBy>Marisa Marote Viveiros (2512327)</cp:lastModifiedBy>
  <cp:revision>194</cp:revision>
  <dcterms:created xsi:type="dcterms:W3CDTF">2026-07-16T19:02:00Z</dcterms:created>
  <dcterms:modified xsi:type="dcterms:W3CDTF">2026-07-21T00:41:00Z</dcterms:modified>
</cp:coreProperties>
</file>