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AF96D" w14:textId="77777777" w:rsidR="009E53A2" w:rsidRPr="009E53A2" w:rsidRDefault="009E53A2" w:rsidP="00DE5B1B">
      <w:pPr>
        <w:spacing w:line="360" w:lineRule="auto"/>
        <w:jc w:val="left"/>
        <w:rPr>
          <w:rFonts w:ascii="Arial" w:hAnsi="Arial" w:cs="Arial"/>
        </w:rPr>
      </w:pPr>
    </w:p>
    <w:p w14:paraId="7D92B38C" w14:textId="6673B4C6" w:rsidR="00DE5B1B" w:rsidRPr="009E53A2" w:rsidRDefault="009E53A2" w:rsidP="00DE5B1B">
      <w:pPr>
        <w:spacing w:line="360" w:lineRule="auto"/>
        <w:jc w:val="left"/>
        <w:rPr>
          <w:rFonts w:ascii="Arial" w:hAnsi="Arial" w:cs="Arial"/>
        </w:rPr>
      </w:pPr>
      <w:r w:rsidRPr="009E53A2">
        <w:rPr>
          <w:rFonts w:ascii="Arial" w:hAnsi="Arial" w:cs="Arial"/>
          <w:noProof/>
        </w:rPr>
        <w:drawing>
          <wp:inline distT="0" distB="0" distL="0" distR="0" wp14:anchorId="77588CDB" wp14:editId="47ACE58D">
            <wp:extent cx="3340735" cy="1341120"/>
            <wp:effectExtent l="0" t="0" r="0" b="0"/>
            <wp:docPr id="213824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0735" cy="1341120"/>
                    </a:xfrm>
                    <a:prstGeom prst="rect">
                      <a:avLst/>
                    </a:prstGeom>
                    <a:noFill/>
                  </pic:spPr>
                </pic:pic>
              </a:graphicData>
            </a:graphic>
          </wp:inline>
        </w:drawing>
      </w:r>
    </w:p>
    <w:p w14:paraId="7FFEFB17" w14:textId="77777777" w:rsidR="00DE5B1B" w:rsidRPr="009E53A2" w:rsidRDefault="00DE5B1B" w:rsidP="00DE5B1B">
      <w:pPr>
        <w:spacing w:line="360" w:lineRule="auto"/>
        <w:jc w:val="left"/>
        <w:rPr>
          <w:rFonts w:ascii="Arial" w:hAnsi="Arial" w:cs="Arial"/>
        </w:rPr>
      </w:pPr>
    </w:p>
    <w:p w14:paraId="73F39DA9" w14:textId="5289C776" w:rsidR="00DE5B1B" w:rsidRPr="00A719DD" w:rsidRDefault="009E53A2" w:rsidP="009E53A2">
      <w:pPr>
        <w:spacing w:line="360" w:lineRule="auto"/>
        <w:jc w:val="center"/>
        <w:rPr>
          <w:rFonts w:ascii="Arial" w:hAnsi="Arial" w:cs="Arial"/>
          <w:b/>
          <w:bCs/>
          <w:sz w:val="28"/>
          <w:szCs w:val="28"/>
        </w:rPr>
      </w:pPr>
      <w:r w:rsidRPr="00A719DD">
        <w:rPr>
          <w:rFonts w:ascii="Arial" w:hAnsi="Arial" w:cs="Arial"/>
          <w:b/>
          <w:bCs/>
          <w:sz w:val="28"/>
          <w:szCs w:val="28"/>
        </w:rPr>
        <w:t>Digital Transformation in the Health and Care Professions</w:t>
      </w:r>
    </w:p>
    <w:p w14:paraId="2CCB56C9" w14:textId="1EDC25E6" w:rsidR="00DE5B1B" w:rsidRPr="00A719DD" w:rsidRDefault="009E53A2" w:rsidP="009E53A2">
      <w:pPr>
        <w:spacing w:line="360" w:lineRule="auto"/>
        <w:jc w:val="center"/>
        <w:rPr>
          <w:rFonts w:ascii="Arial" w:hAnsi="Arial" w:cs="Arial"/>
          <w:b/>
          <w:bCs/>
          <w:sz w:val="28"/>
          <w:szCs w:val="28"/>
        </w:rPr>
      </w:pPr>
      <w:r w:rsidRPr="00A719DD">
        <w:rPr>
          <w:rFonts w:ascii="Arial" w:hAnsi="Arial" w:cs="Arial"/>
          <w:b/>
          <w:bCs/>
          <w:sz w:val="28"/>
          <w:szCs w:val="28"/>
        </w:rPr>
        <w:t>(BMHP6026)</w:t>
      </w:r>
    </w:p>
    <w:p w14:paraId="62F55968" w14:textId="7D021F17" w:rsidR="009E53A2" w:rsidRPr="00A719DD" w:rsidRDefault="009E53A2" w:rsidP="009E53A2">
      <w:pPr>
        <w:spacing w:line="360" w:lineRule="auto"/>
        <w:jc w:val="left"/>
        <w:rPr>
          <w:rFonts w:ascii="Arial" w:hAnsi="Arial" w:cs="Arial"/>
          <w:b/>
          <w:bCs/>
          <w:sz w:val="28"/>
          <w:szCs w:val="28"/>
        </w:rPr>
      </w:pPr>
      <w:r w:rsidRPr="00A719DD">
        <w:rPr>
          <w:rFonts w:ascii="Arial" w:hAnsi="Arial" w:cs="Arial"/>
          <w:b/>
          <w:bCs/>
          <w:sz w:val="28"/>
          <w:szCs w:val="28"/>
        </w:rPr>
        <w:t xml:space="preserve">Component 1: Kardia Mobile </w:t>
      </w:r>
    </w:p>
    <w:p w14:paraId="3A55981B" w14:textId="023E0C88" w:rsidR="009E53A2" w:rsidRPr="00A719DD" w:rsidRDefault="009E53A2" w:rsidP="009E53A2">
      <w:pPr>
        <w:spacing w:line="360" w:lineRule="auto"/>
        <w:jc w:val="left"/>
        <w:rPr>
          <w:rFonts w:ascii="Arial" w:hAnsi="Arial" w:cs="Arial"/>
          <w:b/>
          <w:bCs/>
          <w:sz w:val="28"/>
          <w:szCs w:val="28"/>
        </w:rPr>
      </w:pPr>
      <w:r w:rsidRPr="00A719DD">
        <w:rPr>
          <w:rFonts w:ascii="Arial" w:hAnsi="Arial" w:cs="Arial"/>
          <w:b/>
          <w:bCs/>
          <w:sz w:val="28"/>
          <w:szCs w:val="28"/>
        </w:rPr>
        <w:t>Name: Antonio De Jesus Soares</w:t>
      </w:r>
    </w:p>
    <w:p w14:paraId="6598D5F2" w14:textId="0818E6CF" w:rsidR="009E53A2" w:rsidRPr="00A719DD" w:rsidRDefault="009E53A2" w:rsidP="009E53A2">
      <w:pPr>
        <w:spacing w:line="360" w:lineRule="auto"/>
        <w:jc w:val="left"/>
        <w:rPr>
          <w:rFonts w:ascii="Arial" w:hAnsi="Arial" w:cs="Arial"/>
          <w:b/>
          <w:bCs/>
          <w:sz w:val="28"/>
          <w:szCs w:val="28"/>
        </w:rPr>
      </w:pPr>
      <w:r w:rsidRPr="00A719DD">
        <w:rPr>
          <w:rFonts w:ascii="Arial" w:hAnsi="Arial" w:cs="Arial"/>
          <w:b/>
          <w:bCs/>
          <w:sz w:val="28"/>
          <w:szCs w:val="28"/>
        </w:rPr>
        <w:t>ID: 2335800</w:t>
      </w:r>
    </w:p>
    <w:p w14:paraId="508A974F" w14:textId="0E98A0BD" w:rsidR="009E53A2" w:rsidRPr="00A719DD" w:rsidRDefault="009E53A2" w:rsidP="009E53A2">
      <w:pPr>
        <w:spacing w:line="360" w:lineRule="auto"/>
        <w:jc w:val="left"/>
        <w:rPr>
          <w:rFonts w:ascii="Arial" w:hAnsi="Arial" w:cs="Arial"/>
          <w:b/>
          <w:bCs/>
          <w:sz w:val="28"/>
          <w:szCs w:val="28"/>
        </w:rPr>
      </w:pPr>
      <w:r w:rsidRPr="00A719DD">
        <w:rPr>
          <w:rFonts w:ascii="Arial" w:hAnsi="Arial" w:cs="Arial"/>
          <w:b/>
          <w:bCs/>
          <w:sz w:val="28"/>
          <w:szCs w:val="28"/>
        </w:rPr>
        <w:t>Lecture:</w:t>
      </w:r>
      <w:r w:rsidR="00F25074">
        <w:rPr>
          <w:rFonts w:ascii="Arial" w:hAnsi="Arial" w:cs="Arial"/>
          <w:b/>
          <w:bCs/>
          <w:sz w:val="28"/>
          <w:szCs w:val="28"/>
        </w:rPr>
        <w:t>Dr</w:t>
      </w:r>
      <w:r w:rsidRPr="00A719DD">
        <w:rPr>
          <w:rFonts w:ascii="Arial" w:hAnsi="Arial" w:cs="Arial"/>
          <w:b/>
          <w:bCs/>
          <w:sz w:val="28"/>
          <w:szCs w:val="28"/>
        </w:rPr>
        <w:t xml:space="preserve"> Laila Surani</w:t>
      </w:r>
    </w:p>
    <w:p w14:paraId="0FCD1A9D" w14:textId="77777777" w:rsidR="00DE5B1B" w:rsidRPr="009E53A2" w:rsidRDefault="00DE5B1B" w:rsidP="00DE5B1B">
      <w:pPr>
        <w:spacing w:line="360" w:lineRule="auto"/>
        <w:jc w:val="left"/>
        <w:rPr>
          <w:rFonts w:ascii="Arial" w:hAnsi="Arial" w:cs="Arial"/>
        </w:rPr>
      </w:pPr>
    </w:p>
    <w:p w14:paraId="4A82B859" w14:textId="77777777" w:rsidR="00DE5B1B" w:rsidRPr="009E53A2" w:rsidRDefault="00DE5B1B" w:rsidP="00DE5B1B">
      <w:pPr>
        <w:spacing w:line="360" w:lineRule="auto"/>
        <w:jc w:val="left"/>
        <w:rPr>
          <w:rFonts w:ascii="Arial" w:hAnsi="Arial" w:cs="Arial"/>
        </w:rPr>
      </w:pPr>
    </w:p>
    <w:p w14:paraId="13E71AD5" w14:textId="77777777" w:rsidR="00DE5B1B" w:rsidRPr="009E53A2" w:rsidRDefault="00DE5B1B" w:rsidP="00DE5B1B">
      <w:pPr>
        <w:spacing w:line="360" w:lineRule="auto"/>
        <w:jc w:val="left"/>
        <w:rPr>
          <w:rFonts w:ascii="Arial" w:hAnsi="Arial" w:cs="Arial"/>
        </w:rPr>
      </w:pPr>
    </w:p>
    <w:p w14:paraId="23FD1175" w14:textId="77777777" w:rsidR="00DE5B1B" w:rsidRPr="009E53A2" w:rsidRDefault="00DE5B1B" w:rsidP="00DE5B1B">
      <w:pPr>
        <w:spacing w:line="360" w:lineRule="auto"/>
        <w:jc w:val="left"/>
        <w:rPr>
          <w:rFonts w:ascii="Arial" w:hAnsi="Arial" w:cs="Arial"/>
        </w:rPr>
      </w:pPr>
    </w:p>
    <w:p w14:paraId="3E937232" w14:textId="77777777" w:rsidR="00DE5B1B" w:rsidRPr="009E53A2" w:rsidRDefault="00DE5B1B" w:rsidP="00DE5B1B">
      <w:pPr>
        <w:spacing w:line="360" w:lineRule="auto"/>
        <w:jc w:val="left"/>
        <w:rPr>
          <w:rFonts w:ascii="Arial" w:hAnsi="Arial" w:cs="Arial"/>
        </w:rPr>
      </w:pPr>
    </w:p>
    <w:p w14:paraId="3990C6F3" w14:textId="67492B2D" w:rsidR="00FD72E7" w:rsidRPr="009E53A2" w:rsidRDefault="00FD72E7" w:rsidP="00DE5B1B">
      <w:pPr>
        <w:spacing w:line="360" w:lineRule="auto"/>
        <w:jc w:val="center"/>
        <w:rPr>
          <w:rFonts w:ascii="Arial" w:hAnsi="Arial" w:cs="Arial"/>
          <w:b/>
        </w:rPr>
      </w:pPr>
      <w:r w:rsidRPr="009E53A2">
        <w:rPr>
          <w:rFonts w:ascii="Arial" w:hAnsi="Arial" w:cs="Arial"/>
          <w:b/>
        </w:rPr>
        <w:br w:type="page"/>
      </w:r>
    </w:p>
    <w:sdt>
      <w:sdtPr>
        <w:rPr>
          <w:rFonts w:ascii="Arial" w:eastAsiaTheme="minorHAnsi" w:hAnsi="Arial" w:cs="Arial"/>
          <w:b/>
          <w:color w:val="auto"/>
          <w:sz w:val="44"/>
          <w:szCs w:val="22"/>
        </w:rPr>
        <w:id w:val="136228413"/>
        <w:docPartObj>
          <w:docPartGallery w:val="Table of Contents"/>
          <w:docPartUnique/>
        </w:docPartObj>
      </w:sdtPr>
      <w:sdtEndPr>
        <w:rPr>
          <w:bCs/>
          <w:noProof/>
          <w:sz w:val="24"/>
        </w:rPr>
      </w:sdtEndPr>
      <w:sdtContent>
        <w:p w14:paraId="022D2981" w14:textId="77777777" w:rsidR="00DE5B1B" w:rsidRPr="009E53A2" w:rsidRDefault="00DE5B1B" w:rsidP="00DE5B1B">
          <w:pPr>
            <w:pStyle w:val="TOCHeading"/>
            <w:spacing w:line="360" w:lineRule="auto"/>
            <w:jc w:val="center"/>
            <w:rPr>
              <w:rFonts w:ascii="Arial" w:hAnsi="Arial" w:cs="Arial"/>
              <w:b/>
              <w:color w:val="auto"/>
              <w:sz w:val="44"/>
            </w:rPr>
          </w:pPr>
          <w:r w:rsidRPr="009E53A2">
            <w:rPr>
              <w:rFonts w:ascii="Arial" w:hAnsi="Arial" w:cs="Arial"/>
              <w:b/>
              <w:color w:val="auto"/>
              <w:sz w:val="44"/>
            </w:rPr>
            <w:t>Table of Contents</w:t>
          </w:r>
        </w:p>
        <w:p w14:paraId="199DE972" w14:textId="77777777" w:rsidR="00DE5B1B" w:rsidRPr="009E53A2" w:rsidRDefault="00DE5B1B" w:rsidP="00DE5B1B">
          <w:pPr>
            <w:pStyle w:val="TOC1"/>
            <w:tabs>
              <w:tab w:val="right" w:leader="dot" w:pos="9350"/>
            </w:tabs>
            <w:spacing w:line="360" w:lineRule="auto"/>
            <w:rPr>
              <w:rFonts w:ascii="Arial" w:hAnsi="Arial" w:cs="Arial"/>
              <w:noProof/>
            </w:rPr>
          </w:pPr>
          <w:r w:rsidRPr="009E53A2">
            <w:rPr>
              <w:rFonts w:ascii="Arial" w:hAnsi="Arial" w:cs="Arial"/>
            </w:rPr>
            <w:fldChar w:fldCharType="begin"/>
          </w:r>
          <w:r w:rsidRPr="009E53A2">
            <w:rPr>
              <w:rFonts w:ascii="Arial" w:hAnsi="Arial" w:cs="Arial"/>
            </w:rPr>
            <w:instrText xml:space="preserve"> TOC \o "1-3" \h \z \u </w:instrText>
          </w:r>
          <w:r w:rsidRPr="009E53A2">
            <w:rPr>
              <w:rFonts w:ascii="Arial" w:hAnsi="Arial" w:cs="Arial"/>
            </w:rPr>
            <w:fldChar w:fldCharType="separate"/>
          </w:r>
          <w:hyperlink w:anchor="_Toc234679571" w:history="1">
            <w:r w:rsidRPr="009E53A2">
              <w:rPr>
                <w:rStyle w:val="Hyperlink"/>
                <w:rFonts w:ascii="Arial" w:hAnsi="Arial" w:cs="Arial"/>
                <w:noProof/>
                <w:color w:val="auto"/>
              </w:rPr>
              <w:t>Introduction</w:t>
            </w:r>
            <w:r w:rsidRPr="009E53A2">
              <w:rPr>
                <w:rFonts w:ascii="Arial" w:hAnsi="Arial" w:cs="Arial"/>
                <w:noProof/>
                <w:webHidden/>
              </w:rPr>
              <w:tab/>
            </w:r>
            <w:r w:rsidRPr="009E53A2">
              <w:rPr>
                <w:rFonts w:ascii="Arial" w:hAnsi="Arial" w:cs="Arial"/>
                <w:noProof/>
                <w:webHidden/>
              </w:rPr>
              <w:fldChar w:fldCharType="begin"/>
            </w:r>
            <w:r w:rsidRPr="009E53A2">
              <w:rPr>
                <w:rFonts w:ascii="Arial" w:hAnsi="Arial" w:cs="Arial"/>
                <w:noProof/>
                <w:webHidden/>
              </w:rPr>
              <w:instrText xml:space="preserve"> PAGEREF _Toc234679571 \h </w:instrText>
            </w:r>
            <w:r w:rsidRPr="009E53A2">
              <w:rPr>
                <w:rFonts w:ascii="Arial" w:hAnsi="Arial" w:cs="Arial"/>
                <w:noProof/>
                <w:webHidden/>
              </w:rPr>
            </w:r>
            <w:r w:rsidRPr="009E53A2">
              <w:rPr>
                <w:rFonts w:ascii="Arial" w:hAnsi="Arial" w:cs="Arial"/>
                <w:noProof/>
                <w:webHidden/>
              </w:rPr>
              <w:fldChar w:fldCharType="separate"/>
            </w:r>
            <w:r w:rsidRPr="009E53A2">
              <w:rPr>
                <w:rFonts w:ascii="Arial" w:hAnsi="Arial" w:cs="Arial"/>
                <w:noProof/>
                <w:webHidden/>
              </w:rPr>
              <w:t>3</w:t>
            </w:r>
            <w:r w:rsidRPr="009E53A2">
              <w:rPr>
                <w:rFonts w:ascii="Arial" w:hAnsi="Arial" w:cs="Arial"/>
                <w:noProof/>
                <w:webHidden/>
              </w:rPr>
              <w:fldChar w:fldCharType="end"/>
            </w:r>
          </w:hyperlink>
        </w:p>
        <w:p w14:paraId="5A117B01" w14:textId="77777777" w:rsidR="00DE5B1B" w:rsidRPr="009E53A2" w:rsidRDefault="00DE5B1B" w:rsidP="00DE5B1B">
          <w:pPr>
            <w:pStyle w:val="TOC1"/>
            <w:tabs>
              <w:tab w:val="right" w:leader="dot" w:pos="9350"/>
            </w:tabs>
            <w:spacing w:line="360" w:lineRule="auto"/>
            <w:rPr>
              <w:rFonts w:ascii="Arial" w:hAnsi="Arial" w:cs="Arial"/>
              <w:noProof/>
            </w:rPr>
          </w:pPr>
          <w:hyperlink w:anchor="_Toc234679572" w:history="1">
            <w:r w:rsidRPr="009E53A2">
              <w:rPr>
                <w:rStyle w:val="Hyperlink"/>
                <w:rFonts w:ascii="Arial" w:hAnsi="Arial" w:cs="Arial"/>
                <w:noProof/>
                <w:color w:val="auto"/>
              </w:rPr>
              <w:t>Impact on the Workforce</w:t>
            </w:r>
            <w:r w:rsidRPr="009E53A2">
              <w:rPr>
                <w:rFonts w:ascii="Arial" w:hAnsi="Arial" w:cs="Arial"/>
                <w:noProof/>
                <w:webHidden/>
              </w:rPr>
              <w:tab/>
            </w:r>
            <w:r w:rsidRPr="009E53A2">
              <w:rPr>
                <w:rFonts w:ascii="Arial" w:hAnsi="Arial" w:cs="Arial"/>
                <w:noProof/>
                <w:webHidden/>
              </w:rPr>
              <w:fldChar w:fldCharType="begin"/>
            </w:r>
            <w:r w:rsidRPr="009E53A2">
              <w:rPr>
                <w:rFonts w:ascii="Arial" w:hAnsi="Arial" w:cs="Arial"/>
                <w:noProof/>
                <w:webHidden/>
              </w:rPr>
              <w:instrText xml:space="preserve"> PAGEREF _Toc234679572 \h </w:instrText>
            </w:r>
            <w:r w:rsidRPr="009E53A2">
              <w:rPr>
                <w:rFonts w:ascii="Arial" w:hAnsi="Arial" w:cs="Arial"/>
                <w:noProof/>
                <w:webHidden/>
              </w:rPr>
            </w:r>
            <w:r w:rsidRPr="009E53A2">
              <w:rPr>
                <w:rFonts w:ascii="Arial" w:hAnsi="Arial" w:cs="Arial"/>
                <w:noProof/>
                <w:webHidden/>
              </w:rPr>
              <w:fldChar w:fldCharType="separate"/>
            </w:r>
            <w:r w:rsidRPr="009E53A2">
              <w:rPr>
                <w:rFonts w:ascii="Arial" w:hAnsi="Arial" w:cs="Arial"/>
                <w:noProof/>
                <w:webHidden/>
              </w:rPr>
              <w:t>3</w:t>
            </w:r>
            <w:r w:rsidRPr="009E53A2">
              <w:rPr>
                <w:rFonts w:ascii="Arial" w:hAnsi="Arial" w:cs="Arial"/>
                <w:noProof/>
                <w:webHidden/>
              </w:rPr>
              <w:fldChar w:fldCharType="end"/>
            </w:r>
          </w:hyperlink>
        </w:p>
        <w:p w14:paraId="6BA8B5DE" w14:textId="77777777" w:rsidR="00DE5B1B" w:rsidRPr="009E53A2" w:rsidRDefault="00DE5B1B" w:rsidP="00DE5B1B">
          <w:pPr>
            <w:pStyle w:val="TOC1"/>
            <w:tabs>
              <w:tab w:val="right" w:leader="dot" w:pos="9350"/>
            </w:tabs>
            <w:spacing w:line="360" w:lineRule="auto"/>
            <w:rPr>
              <w:rFonts w:ascii="Arial" w:hAnsi="Arial" w:cs="Arial"/>
              <w:noProof/>
            </w:rPr>
          </w:pPr>
          <w:hyperlink w:anchor="_Toc234679573" w:history="1">
            <w:r w:rsidRPr="009E53A2">
              <w:rPr>
                <w:rStyle w:val="Hyperlink"/>
                <w:rFonts w:ascii="Arial" w:hAnsi="Arial" w:cs="Arial"/>
                <w:noProof/>
                <w:color w:val="auto"/>
              </w:rPr>
              <w:t>Impact on Service Delivery</w:t>
            </w:r>
            <w:r w:rsidRPr="009E53A2">
              <w:rPr>
                <w:rFonts w:ascii="Arial" w:hAnsi="Arial" w:cs="Arial"/>
                <w:noProof/>
                <w:webHidden/>
              </w:rPr>
              <w:tab/>
            </w:r>
            <w:r w:rsidRPr="009E53A2">
              <w:rPr>
                <w:rFonts w:ascii="Arial" w:hAnsi="Arial" w:cs="Arial"/>
                <w:noProof/>
                <w:webHidden/>
              </w:rPr>
              <w:fldChar w:fldCharType="begin"/>
            </w:r>
            <w:r w:rsidRPr="009E53A2">
              <w:rPr>
                <w:rFonts w:ascii="Arial" w:hAnsi="Arial" w:cs="Arial"/>
                <w:noProof/>
                <w:webHidden/>
              </w:rPr>
              <w:instrText xml:space="preserve"> PAGEREF _Toc234679573 \h </w:instrText>
            </w:r>
            <w:r w:rsidRPr="009E53A2">
              <w:rPr>
                <w:rFonts w:ascii="Arial" w:hAnsi="Arial" w:cs="Arial"/>
                <w:noProof/>
                <w:webHidden/>
              </w:rPr>
            </w:r>
            <w:r w:rsidRPr="009E53A2">
              <w:rPr>
                <w:rFonts w:ascii="Arial" w:hAnsi="Arial" w:cs="Arial"/>
                <w:noProof/>
                <w:webHidden/>
              </w:rPr>
              <w:fldChar w:fldCharType="separate"/>
            </w:r>
            <w:r w:rsidRPr="009E53A2">
              <w:rPr>
                <w:rFonts w:ascii="Arial" w:hAnsi="Arial" w:cs="Arial"/>
                <w:noProof/>
                <w:webHidden/>
              </w:rPr>
              <w:t>4</w:t>
            </w:r>
            <w:r w:rsidRPr="009E53A2">
              <w:rPr>
                <w:rFonts w:ascii="Arial" w:hAnsi="Arial" w:cs="Arial"/>
                <w:noProof/>
                <w:webHidden/>
              </w:rPr>
              <w:fldChar w:fldCharType="end"/>
            </w:r>
          </w:hyperlink>
        </w:p>
        <w:p w14:paraId="4256040D" w14:textId="77777777" w:rsidR="00DE5B1B" w:rsidRPr="009E53A2" w:rsidRDefault="00DE5B1B" w:rsidP="00DE5B1B">
          <w:pPr>
            <w:pStyle w:val="TOC1"/>
            <w:tabs>
              <w:tab w:val="right" w:leader="dot" w:pos="9350"/>
            </w:tabs>
            <w:spacing w:line="360" w:lineRule="auto"/>
            <w:rPr>
              <w:rFonts w:ascii="Arial" w:hAnsi="Arial" w:cs="Arial"/>
              <w:noProof/>
            </w:rPr>
          </w:pPr>
          <w:hyperlink w:anchor="_Toc234679574" w:history="1">
            <w:r w:rsidRPr="009E53A2">
              <w:rPr>
                <w:rStyle w:val="Hyperlink"/>
                <w:rFonts w:ascii="Arial" w:hAnsi="Arial" w:cs="Arial"/>
                <w:noProof/>
                <w:color w:val="auto"/>
              </w:rPr>
              <w:t>Impact on Patients and Service Users</w:t>
            </w:r>
            <w:r w:rsidRPr="009E53A2">
              <w:rPr>
                <w:rFonts w:ascii="Arial" w:hAnsi="Arial" w:cs="Arial"/>
                <w:noProof/>
                <w:webHidden/>
              </w:rPr>
              <w:tab/>
            </w:r>
            <w:r w:rsidRPr="009E53A2">
              <w:rPr>
                <w:rFonts w:ascii="Arial" w:hAnsi="Arial" w:cs="Arial"/>
                <w:noProof/>
                <w:webHidden/>
              </w:rPr>
              <w:fldChar w:fldCharType="begin"/>
            </w:r>
            <w:r w:rsidRPr="009E53A2">
              <w:rPr>
                <w:rFonts w:ascii="Arial" w:hAnsi="Arial" w:cs="Arial"/>
                <w:noProof/>
                <w:webHidden/>
              </w:rPr>
              <w:instrText xml:space="preserve"> PAGEREF _Toc234679574 \h </w:instrText>
            </w:r>
            <w:r w:rsidRPr="009E53A2">
              <w:rPr>
                <w:rFonts w:ascii="Arial" w:hAnsi="Arial" w:cs="Arial"/>
                <w:noProof/>
                <w:webHidden/>
              </w:rPr>
            </w:r>
            <w:r w:rsidRPr="009E53A2">
              <w:rPr>
                <w:rFonts w:ascii="Arial" w:hAnsi="Arial" w:cs="Arial"/>
                <w:noProof/>
                <w:webHidden/>
              </w:rPr>
              <w:fldChar w:fldCharType="separate"/>
            </w:r>
            <w:r w:rsidRPr="009E53A2">
              <w:rPr>
                <w:rFonts w:ascii="Arial" w:hAnsi="Arial" w:cs="Arial"/>
                <w:noProof/>
                <w:webHidden/>
              </w:rPr>
              <w:t>5</w:t>
            </w:r>
            <w:r w:rsidRPr="009E53A2">
              <w:rPr>
                <w:rFonts w:ascii="Arial" w:hAnsi="Arial" w:cs="Arial"/>
                <w:noProof/>
                <w:webHidden/>
              </w:rPr>
              <w:fldChar w:fldCharType="end"/>
            </w:r>
          </w:hyperlink>
        </w:p>
        <w:p w14:paraId="78E6510B" w14:textId="77777777" w:rsidR="00DE5B1B" w:rsidRPr="009E53A2" w:rsidRDefault="00DE5B1B" w:rsidP="00DE5B1B">
          <w:pPr>
            <w:pStyle w:val="TOC1"/>
            <w:tabs>
              <w:tab w:val="right" w:leader="dot" w:pos="9350"/>
            </w:tabs>
            <w:spacing w:line="360" w:lineRule="auto"/>
            <w:rPr>
              <w:rFonts w:ascii="Arial" w:hAnsi="Arial" w:cs="Arial"/>
              <w:noProof/>
            </w:rPr>
          </w:pPr>
          <w:hyperlink w:anchor="_Toc234679575" w:history="1">
            <w:r w:rsidRPr="009E53A2">
              <w:rPr>
                <w:rStyle w:val="Hyperlink"/>
                <w:rFonts w:ascii="Arial" w:hAnsi="Arial" w:cs="Arial"/>
                <w:noProof/>
                <w:color w:val="auto"/>
              </w:rPr>
              <w:t>Impact on the Community</w:t>
            </w:r>
            <w:r w:rsidRPr="009E53A2">
              <w:rPr>
                <w:rFonts w:ascii="Arial" w:hAnsi="Arial" w:cs="Arial"/>
                <w:noProof/>
                <w:webHidden/>
              </w:rPr>
              <w:tab/>
            </w:r>
            <w:r w:rsidRPr="009E53A2">
              <w:rPr>
                <w:rFonts w:ascii="Arial" w:hAnsi="Arial" w:cs="Arial"/>
                <w:noProof/>
                <w:webHidden/>
              </w:rPr>
              <w:fldChar w:fldCharType="begin"/>
            </w:r>
            <w:r w:rsidRPr="009E53A2">
              <w:rPr>
                <w:rFonts w:ascii="Arial" w:hAnsi="Arial" w:cs="Arial"/>
                <w:noProof/>
                <w:webHidden/>
              </w:rPr>
              <w:instrText xml:space="preserve"> PAGEREF _Toc234679575 \h </w:instrText>
            </w:r>
            <w:r w:rsidRPr="009E53A2">
              <w:rPr>
                <w:rFonts w:ascii="Arial" w:hAnsi="Arial" w:cs="Arial"/>
                <w:noProof/>
                <w:webHidden/>
              </w:rPr>
            </w:r>
            <w:r w:rsidRPr="009E53A2">
              <w:rPr>
                <w:rFonts w:ascii="Arial" w:hAnsi="Arial" w:cs="Arial"/>
                <w:noProof/>
                <w:webHidden/>
              </w:rPr>
              <w:fldChar w:fldCharType="separate"/>
            </w:r>
            <w:r w:rsidRPr="009E53A2">
              <w:rPr>
                <w:rFonts w:ascii="Arial" w:hAnsi="Arial" w:cs="Arial"/>
                <w:noProof/>
                <w:webHidden/>
              </w:rPr>
              <w:t>6</w:t>
            </w:r>
            <w:r w:rsidRPr="009E53A2">
              <w:rPr>
                <w:rFonts w:ascii="Arial" w:hAnsi="Arial" w:cs="Arial"/>
                <w:noProof/>
                <w:webHidden/>
              </w:rPr>
              <w:fldChar w:fldCharType="end"/>
            </w:r>
          </w:hyperlink>
        </w:p>
        <w:p w14:paraId="36C00989" w14:textId="77777777" w:rsidR="00DE5B1B" w:rsidRPr="009E53A2" w:rsidRDefault="00DE5B1B" w:rsidP="00DE5B1B">
          <w:pPr>
            <w:pStyle w:val="TOC1"/>
            <w:tabs>
              <w:tab w:val="right" w:leader="dot" w:pos="9350"/>
            </w:tabs>
            <w:spacing w:line="360" w:lineRule="auto"/>
            <w:rPr>
              <w:rFonts w:ascii="Arial" w:hAnsi="Arial" w:cs="Arial"/>
              <w:noProof/>
            </w:rPr>
          </w:pPr>
          <w:hyperlink w:anchor="_Toc234679576" w:history="1">
            <w:r w:rsidRPr="009E53A2">
              <w:rPr>
                <w:rStyle w:val="Hyperlink"/>
                <w:rFonts w:ascii="Arial" w:hAnsi="Arial" w:cs="Arial"/>
                <w:noProof/>
                <w:color w:val="auto"/>
              </w:rPr>
              <w:t>Conclusion and Recommendations</w:t>
            </w:r>
            <w:r w:rsidRPr="009E53A2">
              <w:rPr>
                <w:rFonts w:ascii="Arial" w:hAnsi="Arial" w:cs="Arial"/>
                <w:noProof/>
                <w:webHidden/>
              </w:rPr>
              <w:tab/>
            </w:r>
            <w:r w:rsidRPr="009E53A2">
              <w:rPr>
                <w:rFonts w:ascii="Arial" w:hAnsi="Arial" w:cs="Arial"/>
                <w:noProof/>
                <w:webHidden/>
              </w:rPr>
              <w:fldChar w:fldCharType="begin"/>
            </w:r>
            <w:r w:rsidRPr="009E53A2">
              <w:rPr>
                <w:rFonts w:ascii="Arial" w:hAnsi="Arial" w:cs="Arial"/>
                <w:noProof/>
                <w:webHidden/>
              </w:rPr>
              <w:instrText xml:space="preserve"> PAGEREF _Toc234679576 \h </w:instrText>
            </w:r>
            <w:r w:rsidRPr="009E53A2">
              <w:rPr>
                <w:rFonts w:ascii="Arial" w:hAnsi="Arial" w:cs="Arial"/>
                <w:noProof/>
                <w:webHidden/>
              </w:rPr>
            </w:r>
            <w:r w:rsidRPr="009E53A2">
              <w:rPr>
                <w:rFonts w:ascii="Arial" w:hAnsi="Arial" w:cs="Arial"/>
                <w:noProof/>
                <w:webHidden/>
              </w:rPr>
              <w:fldChar w:fldCharType="separate"/>
            </w:r>
            <w:r w:rsidRPr="009E53A2">
              <w:rPr>
                <w:rFonts w:ascii="Arial" w:hAnsi="Arial" w:cs="Arial"/>
                <w:noProof/>
                <w:webHidden/>
              </w:rPr>
              <w:t>7</w:t>
            </w:r>
            <w:r w:rsidRPr="009E53A2">
              <w:rPr>
                <w:rFonts w:ascii="Arial" w:hAnsi="Arial" w:cs="Arial"/>
                <w:noProof/>
                <w:webHidden/>
              </w:rPr>
              <w:fldChar w:fldCharType="end"/>
            </w:r>
          </w:hyperlink>
        </w:p>
        <w:p w14:paraId="003A8E09" w14:textId="77777777" w:rsidR="00DE5B1B" w:rsidRPr="009E53A2" w:rsidRDefault="00DE5B1B" w:rsidP="00DE5B1B">
          <w:pPr>
            <w:pStyle w:val="TOC1"/>
            <w:tabs>
              <w:tab w:val="right" w:leader="dot" w:pos="9350"/>
            </w:tabs>
            <w:spacing w:line="360" w:lineRule="auto"/>
            <w:rPr>
              <w:rFonts w:ascii="Arial" w:hAnsi="Arial" w:cs="Arial"/>
              <w:noProof/>
            </w:rPr>
          </w:pPr>
          <w:hyperlink w:anchor="_Toc234679577" w:history="1">
            <w:r w:rsidRPr="009E53A2">
              <w:rPr>
                <w:rStyle w:val="Hyperlink"/>
                <w:rFonts w:ascii="Arial" w:hAnsi="Arial" w:cs="Arial"/>
                <w:noProof/>
                <w:color w:val="auto"/>
              </w:rPr>
              <w:t>References</w:t>
            </w:r>
            <w:r w:rsidRPr="009E53A2">
              <w:rPr>
                <w:rFonts w:ascii="Arial" w:hAnsi="Arial" w:cs="Arial"/>
                <w:noProof/>
                <w:webHidden/>
              </w:rPr>
              <w:tab/>
            </w:r>
            <w:r w:rsidRPr="009E53A2">
              <w:rPr>
                <w:rFonts w:ascii="Arial" w:hAnsi="Arial" w:cs="Arial"/>
                <w:noProof/>
                <w:webHidden/>
              </w:rPr>
              <w:fldChar w:fldCharType="begin"/>
            </w:r>
            <w:r w:rsidRPr="009E53A2">
              <w:rPr>
                <w:rFonts w:ascii="Arial" w:hAnsi="Arial" w:cs="Arial"/>
                <w:noProof/>
                <w:webHidden/>
              </w:rPr>
              <w:instrText xml:space="preserve"> PAGEREF _Toc234679577 \h </w:instrText>
            </w:r>
            <w:r w:rsidRPr="009E53A2">
              <w:rPr>
                <w:rFonts w:ascii="Arial" w:hAnsi="Arial" w:cs="Arial"/>
                <w:noProof/>
                <w:webHidden/>
              </w:rPr>
            </w:r>
            <w:r w:rsidRPr="009E53A2">
              <w:rPr>
                <w:rFonts w:ascii="Arial" w:hAnsi="Arial" w:cs="Arial"/>
                <w:noProof/>
                <w:webHidden/>
              </w:rPr>
              <w:fldChar w:fldCharType="separate"/>
            </w:r>
            <w:r w:rsidRPr="009E53A2">
              <w:rPr>
                <w:rFonts w:ascii="Arial" w:hAnsi="Arial" w:cs="Arial"/>
                <w:noProof/>
                <w:webHidden/>
              </w:rPr>
              <w:t>8</w:t>
            </w:r>
            <w:r w:rsidRPr="009E53A2">
              <w:rPr>
                <w:rFonts w:ascii="Arial" w:hAnsi="Arial" w:cs="Arial"/>
                <w:noProof/>
                <w:webHidden/>
              </w:rPr>
              <w:fldChar w:fldCharType="end"/>
            </w:r>
          </w:hyperlink>
        </w:p>
        <w:p w14:paraId="6167AAC3" w14:textId="77777777" w:rsidR="00DE5B1B" w:rsidRPr="009E53A2" w:rsidRDefault="00DE5B1B" w:rsidP="00DE5B1B">
          <w:pPr>
            <w:spacing w:line="360" w:lineRule="auto"/>
            <w:rPr>
              <w:rFonts w:ascii="Arial" w:hAnsi="Arial" w:cs="Arial"/>
            </w:rPr>
          </w:pPr>
          <w:r w:rsidRPr="009E53A2">
            <w:rPr>
              <w:rFonts w:ascii="Arial" w:hAnsi="Arial" w:cs="Arial"/>
              <w:b/>
              <w:bCs/>
              <w:noProof/>
            </w:rPr>
            <w:fldChar w:fldCharType="end"/>
          </w:r>
        </w:p>
      </w:sdtContent>
    </w:sdt>
    <w:p w14:paraId="610EDD38" w14:textId="77777777" w:rsidR="00FD72E7" w:rsidRPr="009E53A2" w:rsidRDefault="00FD72E7" w:rsidP="00DE5B1B">
      <w:pPr>
        <w:spacing w:line="360" w:lineRule="auto"/>
        <w:jc w:val="left"/>
        <w:rPr>
          <w:rFonts w:ascii="Arial" w:hAnsi="Arial" w:cs="Arial"/>
        </w:rPr>
      </w:pPr>
      <w:r w:rsidRPr="009E53A2">
        <w:rPr>
          <w:rFonts w:ascii="Arial" w:hAnsi="Arial" w:cs="Arial"/>
        </w:rPr>
        <w:br w:type="page"/>
      </w:r>
    </w:p>
    <w:p w14:paraId="1249A887" w14:textId="77777777" w:rsidR="002D30E9" w:rsidRPr="009E53A2" w:rsidRDefault="002D30E9" w:rsidP="00DE5B1B">
      <w:pPr>
        <w:pStyle w:val="Heading1"/>
        <w:spacing w:line="360" w:lineRule="auto"/>
        <w:rPr>
          <w:rFonts w:ascii="Arial" w:hAnsi="Arial" w:cs="Arial"/>
        </w:rPr>
      </w:pPr>
      <w:bookmarkStart w:id="0" w:name="_Toc234679571"/>
      <w:r w:rsidRPr="009E53A2">
        <w:rPr>
          <w:rFonts w:ascii="Arial" w:hAnsi="Arial" w:cs="Arial"/>
        </w:rPr>
        <w:lastRenderedPageBreak/>
        <w:t>Introduction</w:t>
      </w:r>
      <w:bookmarkEnd w:id="0"/>
    </w:p>
    <w:p w14:paraId="2ED30E33" w14:textId="2BAFD6B0" w:rsidR="00F82419" w:rsidRPr="009E53A2" w:rsidRDefault="002F7040" w:rsidP="002F7040">
      <w:pPr>
        <w:spacing w:line="360" w:lineRule="auto"/>
        <w:ind w:firstLine="720"/>
        <w:rPr>
          <w:rFonts w:ascii="Arial" w:hAnsi="Arial" w:cs="Arial"/>
        </w:rPr>
      </w:pPr>
      <w:r w:rsidRPr="009E53A2">
        <w:rPr>
          <w:rFonts w:ascii="Arial" w:hAnsi="Arial" w:cs="Arial"/>
        </w:rPr>
        <w:t xml:space="preserve">Atrial fibrillation is a rhythm disorder that may present intermittently which can delay diagnosis and consequently result in avoidable complications such as stroke (Belani et al. 2021). Early detection is important because earlier recognition can assist in the assessment, treatment and risk reduction. </w:t>
      </w:r>
      <w:r w:rsidR="00A719DD" w:rsidRPr="009E53A2">
        <w:rPr>
          <w:rFonts w:ascii="Arial" w:hAnsi="Arial" w:cs="Arial"/>
        </w:rPr>
        <w:t>Kardia Mobile</w:t>
      </w:r>
      <w:r w:rsidRPr="009E53A2">
        <w:rPr>
          <w:rFonts w:ascii="Arial" w:hAnsi="Arial" w:cs="Arial"/>
        </w:rPr>
        <w:t xml:space="preserve"> is an electrocardiogram device equipped with a single lead that includes a smartphone for heart rhythm data to be recorded and sent for clinical evaluation and review within seconds of being put on the wrist (Koltowski et al., 2021). It has been utilized in the UK for community and primary care pathways for the detection of suspected atrial fibrillation outside hospital. Some evidence from East Staffordshire suggests the device can enable viable and sustainable case-finding, but the success will depend on the inclusion of this device in clinical workflows and follow-up (Mathew and Chambers, 2021). This report critically assesses its implementation in four areas: workforce, service delivery, patient experience and community impact. It takes into account the advantages, such as convenience and the ability to capture the rhythm earlier, and disadvantages, such as false readings, digital exclusion and higher expectations of professional interpretation (Bray et al., 2021). Overall, KardiaMobile signifies a movement towards patient generated, portable cardiac data, yet it has to be governed, the staff have to be competent, and patients should be educated and equally accessible.</w:t>
      </w:r>
    </w:p>
    <w:p w14:paraId="71D4751E" w14:textId="77777777" w:rsidR="00F82419" w:rsidRPr="009E53A2" w:rsidRDefault="00F82419" w:rsidP="00DE5B1B">
      <w:pPr>
        <w:pStyle w:val="Heading1"/>
        <w:spacing w:line="360" w:lineRule="auto"/>
        <w:rPr>
          <w:rFonts w:ascii="Arial" w:hAnsi="Arial" w:cs="Arial"/>
        </w:rPr>
      </w:pPr>
      <w:bookmarkStart w:id="1" w:name="_Toc234679572"/>
      <w:r w:rsidRPr="009E53A2">
        <w:rPr>
          <w:rFonts w:ascii="Arial" w:hAnsi="Arial" w:cs="Arial"/>
        </w:rPr>
        <w:t>Impact on the Workforce</w:t>
      </w:r>
      <w:bookmarkEnd w:id="1"/>
    </w:p>
    <w:p w14:paraId="7E9E01BF" w14:textId="77777777" w:rsidR="002F7040" w:rsidRPr="009E53A2" w:rsidRDefault="002F7040" w:rsidP="002F7040">
      <w:pPr>
        <w:spacing w:line="360" w:lineRule="auto"/>
        <w:ind w:firstLine="720"/>
        <w:rPr>
          <w:rFonts w:ascii="Arial" w:hAnsi="Arial" w:cs="Arial"/>
        </w:rPr>
      </w:pPr>
      <w:r w:rsidRPr="009E53A2">
        <w:rPr>
          <w:rFonts w:ascii="Arial" w:hAnsi="Arial" w:cs="Arial"/>
        </w:rPr>
        <w:t>Given the benefits of single-lead ECG devices like KardiaMobile, which can be used to assess rhythm in community settings rapidly, Bray et al. (2021) propose that such devices could be considered an economic alternative to routine 12-lead ECG, in selected cases. This offers a new way of providing professional practice, enabling GPs, nurses and pharmacists to gather clinically relevant data near patients' homes that would otherwise rely only on hospital visits. Mathew and Chambers (2021) concluded that introducing screening for atrial fibrillation (AF) at primary care, using KardiaMobile, could be made sustainable with strong leadership and well-developed clinical pathways. Healthcare workers can then take a larger role in the early detection and management, as well as referral to cardiology services.</w:t>
      </w:r>
    </w:p>
    <w:p w14:paraId="0EB5F45A" w14:textId="77777777" w:rsidR="002F7040" w:rsidRPr="009E53A2" w:rsidRDefault="002F7040" w:rsidP="002F7040">
      <w:pPr>
        <w:spacing w:line="360" w:lineRule="auto"/>
        <w:ind w:firstLine="720"/>
        <w:rPr>
          <w:rFonts w:ascii="Arial" w:hAnsi="Arial" w:cs="Arial"/>
        </w:rPr>
      </w:pPr>
      <w:r w:rsidRPr="009E53A2">
        <w:rPr>
          <w:rFonts w:ascii="Arial" w:hAnsi="Arial" w:cs="Arial"/>
        </w:rPr>
        <w:lastRenderedPageBreak/>
        <w:t>Himmelreich et al. (2019) show that single-lead ECG signals can be captured via the smartphone and used to identify several arrhythmias, but their accurate interpretation is still dependent on clinical experience. Staff duties are not limited to ensuring the device is in working order, but also cover educating patients, ensuring recordings are of good quality, identifying artefacts, documenting and escalating concerns. While automated classifications might be useful, they cannot be a substitute for medical interpretation of the ECG, as cautioned by Klier et al. (2023). Care must be taken to explain this limitation as it could result in patients thinking they have a diagnosis or that they do not need any further tests.</w:t>
      </w:r>
    </w:p>
    <w:p w14:paraId="756BCCD3" w14:textId="77777777" w:rsidR="002F7040" w:rsidRPr="009E53A2" w:rsidRDefault="002F7040" w:rsidP="002F7040">
      <w:pPr>
        <w:spacing w:line="360" w:lineRule="auto"/>
        <w:ind w:firstLine="720"/>
        <w:rPr>
          <w:rFonts w:ascii="Arial" w:hAnsi="Arial" w:cs="Arial"/>
        </w:rPr>
      </w:pPr>
      <w:r w:rsidRPr="009E53A2">
        <w:rPr>
          <w:rFonts w:ascii="Arial" w:hAnsi="Arial" w:cs="Arial"/>
        </w:rPr>
        <w:t>Callanan et al. (2024) demonstrate the need for trained staff and reliable follow-up and consistent referral processes for opportunistic screening. Digital competency therefore needs to be incorporated into the workforce, as does the ability to interpret ECG, consent, risk communication and to navigate information governance and support for patients with limited technological confidence. Koltowski et al. (2021) reported notable agreement with traditional ECGs, with single-lead recordings offering less diagnostic information and requiring further testing for confirmation.</w:t>
      </w:r>
    </w:p>
    <w:p w14:paraId="439DBA55" w14:textId="77777777" w:rsidR="00F82419" w:rsidRPr="009E53A2" w:rsidRDefault="002F7040" w:rsidP="002F7040">
      <w:pPr>
        <w:spacing w:line="360" w:lineRule="auto"/>
        <w:ind w:firstLine="720"/>
        <w:rPr>
          <w:rFonts w:ascii="Arial" w:hAnsi="Arial" w:cs="Arial"/>
        </w:rPr>
      </w:pPr>
      <w:r w:rsidRPr="009E53A2">
        <w:rPr>
          <w:rFonts w:ascii="Arial" w:hAnsi="Arial" w:cs="Arial"/>
        </w:rPr>
        <w:t>Belani et al. (2021) caution that variable accuracy can result in false warnings and lead to reliance on automated outputs. Administrative pressure and uncertainty of responsibility for reviewing results could also be a problem if more of these recordings were patient generated. Giebel and Gissel (2019) thus propose that workforce benefits will rely on successful training, governance, and integration into the system. While KardiaMobile can speed up rhythm recording, it also adds other responsibilities for interpretation, reassurance, documentation and referral.</w:t>
      </w:r>
    </w:p>
    <w:p w14:paraId="15021623" w14:textId="77777777" w:rsidR="00F82419" w:rsidRPr="009E53A2" w:rsidRDefault="00F82419" w:rsidP="00DE5B1B">
      <w:pPr>
        <w:pStyle w:val="Heading1"/>
        <w:spacing w:line="360" w:lineRule="auto"/>
        <w:rPr>
          <w:rFonts w:ascii="Arial" w:hAnsi="Arial" w:cs="Arial"/>
        </w:rPr>
      </w:pPr>
      <w:bookmarkStart w:id="2" w:name="_Toc234679573"/>
      <w:r w:rsidRPr="009E53A2">
        <w:rPr>
          <w:rFonts w:ascii="Arial" w:hAnsi="Arial" w:cs="Arial"/>
        </w:rPr>
        <w:t>Impact on Service Delivery</w:t>
      </w:r>
      <w:bookmarkEnd w:id="2"/>
    </w:p>
    <w:p w14:paraId="0C180C98" w14:textId="77777777" w:rsidR="002F7040" w:rsidRPr="009E53A2" w:rsidRDefault="002F7040" w:rsidP="002F7040">
      <w:pPr>
        <w:spacing w:line="360" w:lineRule="auto"/>
        <w:ind w:firstLine="720"/>
        <w:rPr>
          <w:rFonts w:ascii="Arial" w:hAnsi="Arial" w:cs="Arial"/>
        </w:rPr>
      </w:pPr>
      <w:r w:rsidRPr="009E53A2">
        <w:rPr>
          <w:rFonts w:ascii="Arial" w:hAnsi="Arial" w:cs="Arial"/>
        </w:rPr>
        <w:t xml:space="preserve">Bray et al. (2021) demonstrate that single-lead ECG technology is able to capture the rhythm quicker than traditional testing methods would allow. In reality, this is a change in the focus of care from appointment-driven assessment and a pathway where symptoms can be documented when they happen. Smartphone-based ECGs have been shown to aid rhythm abnormality identification for primary-care referral, with earlier detection of rhythm abnormalities (Himmelreich et al., 2019). This can decrease the need for multiple </w:t>
      </w:r>
      <w:r w:rsidRPr="009E53A2">
        <w:rPr>
          <w:rFonts w:ascii="Arial" w:hAnsi="Arial" w:cs="Arial"/>
        </w:rPr>
        <w:lastRenderedPageBreak/>
        <w:t>visits and trips, especially for those who have intermittent palpitations that are hard to capture. Nevertheless, Mathew and Chambers (2021) show that sustainability is more reliant on integration than the device itself. The lack of clearly established pathways for referrals, trained personnel and agreed protocols for reviewing the recordings can lead to additional workload. Opportunistic screening could be integrated within primary care, thereby enhancing prevention and access beyond hospitals, as per Callanan et al. (2024). However this flexibility can be uneven when organisations do not have the same equipment, funding, technical support or confidence of digital systems.</w:t>
      </w:r>
    </w:p>
    <w:p w14:paraId="11A7C876" w14:textId="77777777" w:rsidR="00F82419" w:rsidRPr="009E53A2" w:rsidRDefault="002F7040" w:rsidP="002F7040">
      <w:pPr>
        <w:spacing w:line="360" w:lineRule="auto"/>
        <w:ind w:firstLine="720"/>
        <w:rPr>
          <w:rFonts w:ascii="Arial" w:hAnsi="Arial" w:cs="Arial"/>
        </w:rPr>
      </w:pPr>
      <w:r w:rsidRPr="009E53A2">
        <w:rPr>
          <w:rFonts w:ascii="Arial" w:hAnsi="Arial" w:cs="Arial"/>
        </w:rPr>
        <w:t xml:space="preserve"> While diagnostic performance is reported by Klier et al. (2023), automated classifications, as well as single-lead traces, do not negate the need for a professional interpretation and confirmation. Poorly recorded or incorrect, or not classified, recordings can therefore lead to anxiety and unnecessary referrals and strain already overstretched services. While not as comprehensive as a traditional 12-lead ECG, Koltowski et al. (2021) point out that KardiaMobile is still useful. Patients can also postpone urgent care when they think that the device is a replacement for clinical evaluation instead of being an aid to clinical evaluation. Callanan et al. (2022) highlight the need for staff training, patient education, governance, data protection and carefully designed pathways for implementation. Integration is another crucial component: If systems are not integrated, there is a risk of losing continuity and missing out on checks by clinicians on results. Coxon et al. (2024) demonstrate the use of mobile ECG to aid monitoring until specialist review, which is dependent on timely follow-up. In summary, KardiaMobile has shown a positive impact on service delivery where there is strong technical capacity, effective governance, fair distribution and a traceable accountability process.</w:t>
      </w:r>
    </w:p>
    <w:p w14:paraId="6CC214E8" w14:textId="77777777" w:rsidR="001D1377" w:rsidRPr="009E53A2" w:rsidRDefault="001D1377" w:rsidP="00DE5B1B">
      <w:pPr>
        <w:pStyle w:val="Heading1"/>
        <w:spacing w:line="360" w:lineRule="auto"/>
        <w:rPr>
          <w:rFonts w:ascii="Arial" w:hAnsi="Arial" w:cs="Arial"/>
        </w:rPr>
      </w:pPr>
      <w:bookmarkStart w:id="3" w:name="_Toc234679574"/>
      <w:r w:rsidRPr="009E53A2">
        <w:rPr>
          <w:rFonts w:ascii="Arial" w:hAnsi="Arial" w:cs="Arial"/>
        </w:rPr>
        <w:t>Impact on Patients and Service Users</w:t>
      </w:r>
      <w:bookmarkEnd w:id="3"/>
    </w:p>
    <w:p w14:paraId="6CA8F167" w14:textId="77777777" w:rsidR="002F7040" w:rsidRPr="009E53A2" w:rsidRDefault="002F7040" w:rsidP="002F7040">
      <w:pPr>
        <w:spacing w:line="360" w:lineRule="auto"/>
        <w:ind w:firstLine="720"/>
        <w:rPr>
          <w:rFonts w:ascii="Arial" w:hAnsi="Arial" w:cs="Arial"/>
        </w:rPr>
      </w:pPr>
      <w:r w:rsidRPr="009E53A2">
        <w:rPr>
          <w:rFonts w:ascii="Arial" w:hAnsi="Arial" w:cs="Arial"/>
        </w:rPr>
        <w:t xml:space="preserve">Himmelreich et al. (2019) discovered that using a single-lead ECG with a smartphone is able to detect the rhythm abnormalities that appear in primary care, and enable patients to document their symptoms when they occur. This may be comforting to those who experience intermittent palpitations as it's less likely that this will resolve before assessment. Bray et al. (2021) propose AliveCor devices can be utilized in community diagnosis, decrease travel and enhance purchasers feeling heard. Convenience is not a </w:t>
      </w:r>
      <w:r w:rsidRPr="009E53A2">
        <w:rPr>
          <w:rFonts w:ascii="Arial" w:hAnsi="Arial" w:cs="Arial"/>
        </w:rPr>
        <w:lastRenderedPageBreak/>
        <w:t>guarantee of certainty, however, because recordings must be professionally interpreted and followed up.</w:t>
      </w:r>
    </w:p>
    <w:p w14:paraId="2841F6A1" w14:textId="77777777" w:rsidR="001D1377" w:rsidRPr="009E53A2" w:rsidRDefault="002F7040" w:rsidP="002F7040">
      <w:pPr>
        <w:spacing w:line="360" w:lineRule="auto"/>
        <w:ind w:firstLine="720"/>
        <w:rPr>
          <w:rFonts w:ascii="Arial" w:hAnsi="Arial" w:cs="Arial"/>
        </w:rPr>
      </w:pPr>
      <w:r w:rsidRPr="009E53A2">
        <w:rPr>
          <w:rFonts w:ascii="Arial" w:hAnsi="Arial" w:cs="Arial"/>
        </w:rPr>
        <w:t>Mathew and Chambers (2021) demonstrate that incorporating KardiaMobile into a well-defined clinical pathway can enhance participation and communication. Patients can then be more engaged in care as they can create and share their health data. Giebel and Gissel (2019), however, warn that the screening devices used in mobile settings are not necessarily reliable in terms of accuracy, and that automated classification can lead to false reassurance, false alarm or false confusion. For some users it can also be a burden to determine when to record and how seriously to take an abnormal result, whether urgent help is needed.</w:t>
      </w:r>
    </w:p>
    <w:p w14:paraId="059F3BDC" w14:textId="77777777" w:rsidR="002F7040" w:rsidRPr="009E53A2" w:rsidRDefault="002F7040" w:rsidP="002F7040">
      <w:pPr>
        <w:spacing w:line="360" w:lineRule="auto"/>
        <w:ind w:firstLine="720"/>
        <w:rPr>
          <w:rFonts w:ascii="Arial" w:hAnsi="Arial" w:cs="Arial"/>
        </w:rPr>
      </w:pPr>
      <w:r w:rsidRPr="009E53A2">
        <w:rPr>
          <w:rFonts w:ascii="Arial" w:hAnsi="Arial" w:cs="Arial"/>
        </w:rPr>
        <w:t>Klier et al. (2023) describe good but imperfect performance, especially with regards to low quality or unrecognised traces. If the result is negative or inconclusive, this may stall the process of seeking help; if the result is positive, this may raise anxiety and result in consultation. Koltowski et al. (2021) suggest that the information of a single-lead trace is not as comprehensive as that of a standard 12-lead ECG. Patients are thus required to be provided with clear directions regarding emergency symptoms, privacy, data sharing and the extent to which self-interpretation can be made.</w:t>
      </w:r>
    </w:p>
    <w:p w14:paraId="48C81155" w14:textId="77777777" w:rsidR="001D1377" w:rsidRPr="009E53A2" w:rsidRDefault="002F7040" w:rsidP="002F7040">
      <w:pPr>
        <w:spacing w:line="360" w:lineRule="auto"/>
        <w:ind w:firstLine="720"/>
        <w:rPr>
          <w:rFonts w:ascii="Arial" w:hAnsi="Arial" w:cs="Arial"/>
        </w:rPr>
      </w:pPr>
      <w:r w:rsidRPr="009E53A2">
        <w:rPr>
          <w:rFonts w:ascii="Arial" w:hAnsi="Arial" w:cs="Arial"/>
        </w:rPr>
        <w:t>While Daniels et al. (2024) illustrate the benefits of mobile ECG screening for older adults, this may not be consistent for those with visual impairment, limited dexterity, cognitive impairment or low digital confidence. Smartphone ownership, Internet connectivity, cost, and the language and trust in digital systems can influence participation. The mobile ECG technology can expand the scope of the assessment and bring it beyond the traditional environment, while accessibility will still rely on local support, as demonstrated by Pitman et al. (2021). In this way, KardiaMobile could help to expand access for digitally engaged patients, but also create inequities for those who need in-person support.</w:t>
      </w:r>
    </w:p>
    <w:p w14:paraId="3E4DBC60" w14:textId="77777777" w:rsidR="001D1377" w:rsidRPr="009E53A2" w:rsidRDefault="001D1377" w:rsidP="00DE5B1B">
      <w:pPr>
        <w:pStyle w:val="Heading1"/>
        <w:spacing w:line="360" w:lineRule="auto"/>
        <w:rPr>
          <w:rFonts w:ascii="Arial" w:hAnsi="Arial" w:cs="Arial"/>
        </w:rPr>
      </w:pPr>
      <w:bookmarkStart w:id="4" w:name="_Toc234679575"/>
      <w:r w:rsidRPr="009E53A2">
        <w:rPr>
          <w:rFonts w:ascii="Arial" w:hAnsi="Arial" w:cs="Arial"/>
        </w:rPr>
        <w:t>Impact on the Community</w:t>
      </w:r>
      <w:bookmarkEnd w:id="4"/>
    </w:p>
    <w:p w14:paraId="47408830" w14:textId="77777777" w:rsidR="002F7040" w:rsidRPr="009E53A2" w:rsidRDefault="002F7040" w:rsidP="002F7040">
      <w:pPr>
        <w:spacing w:line="360" w:lineRule="auto"/>
        <w:ind w:firstLine="720"/>
        <w:rPr>
          <w:rFonts w:ascii="Arial" w:hAnsi="Arial" w:cs="Arial"/>
        </w:rPr>
      </w:pPr>
      <w:r w:rsidRPr="009E53A2">
        <w:rPr>
          <w:rFonts w:ascii="Arial" w:hAnsi="Arial" w:cs="Arial"/>
        </w:rPr>
        <w:t xml:space="preserve">Bray et al (2021) demonstrate that using a single-lead ECG device provides a pathway to carry out AF assessments beyond the hospital, into GP practices, pharmacies </w:t>
      </w:r>
      <w:r w:rsidRPr="009E53A2">
        <w:rPr>
          <w:rFonts w:ascii="Arial" w:hAnsi="Arial" w:cs="Arial"/>
        </w:rPr>
        <w:lastRenderedPageBreak/>
        <w:t>and communities, potentially making earlier rhythm capture possible. This has been useful for rural residents, those in a residential facility or those who have limited access to hospital services due to mobility issues, however, it still relies on local pathways and digital infrastructure. When clinical leadership, staff engagement and referral arrangements were put in place, community screening with KardiaMobile was found to be sustainable (Mathew and Chambers 2021). If these are not in place, the device can be an isolated technology that captures recordings without ensuring timely review or treatment.</w:t>
      </w:r>
    </w:p>
    <w:p w14:paraId="11B58710" w14:textId="77777777" w:rsidR="002F7040" w:rsidRPr="009E53A2" w:rsidRDefault="002F7040" w:rsidP="002F7040">
      <w:pPr>
        <w:spacing w:line="360" w:lineRule="auto"/>
        <w:ind w:firstLine="720"/>
        <w:rPr>
          <w:rFonts w:ascii="Arial" w:hAnsi="Arial" w:cs="Arial"/>
        </w:rPr>
      </w:pPr>
      <w:r w:rsidRPr="009E53A2">
        <w:rPr>
          <w:rFonts w:ascii="Arial" w:hAnsi="Arial" w:cs="Arial"/>
        </w:rPr>
        <w:t>Daniels et al (2024) suggest mobile ECG screening could help uncover undiagnosed AF in older adults, potentially providing public health advantages by improving early detection of AF risk and stroke prevention decisions. More screening could, however, generate more unclear results, further burdening primary care and cardiology without necessarily alleviating the burden. Callanan et al. (2024) show how opportunistic screening in primary care can enhance case finding, but only when confirmed and followed up and when not to overdiagnose. Individuals within the household can support the use of the smartphone at home, such as recording the symptoms and sending the results, but this might increase the monitoring burden and anxiety for informal carers.</w:t>
      </w:r>
    </w:p>
    <w:p w14:paraId="7C0B1A52" w14:textId="77777777" w:rsidR="001D1377" w:rsidRPr="009E53A2" w:rsidRDefault="002F7040" w:rsidP="002F7040">
      <w:pPr>
        <w:spacing w:line="360" w:lineRule="auto"/>
        <w:ind w:firstLine="720"/>
        <w:rPr>
          <w:rFonts w:ascii="Arial" w:hAnsi="Arial" w:cs="Arial"/>
        </w:rPr>
      </w:pPr>
      <w:r w:rsidRPr="009E53A2">
        <w:rPr>
          <w:rFonts w:ascii="Arial" w:hAnsi="Arial" w:cs="Arial"/>
        </w:rPr>
        <w:t>The authors of Himmelreich et al. (2019) propose that PGR can be used to assist the co-production process as the patients provide the data that links to the symptoms, and clinicians are the ones who interpret the data and make decisions. However, true co-production needs to be informed and based on accessible information, informed consent, agreed responsibilities and non-digital alternatives to exclude those with limited confidence, dexterity or connectivity.</w:t>
      </w:r>
    </w:p>
    <w:p w14:paraId="50FDADC1" w14:textId="77777777" w:rsidR="001D1377" w:rsidRPr="009E53A2" w:rsidRDefault="001D1377" w:rsidP="00DE5B1B">
      <w:pPr>
        <w:pStyle w:val="Heading1"/>
        <w:spacing w:line="360" w:lineRule="auto"/>
        <w:rPr>
          <w:rFonts w:ascii="Arial" w:hAnsi="Arial" w:cs="Arial"/>
        </w:rPr>
      </w:pPr>
      <w:bookmarkStart w:id="5" w:name="_Toc234679576"/>
      <w:r w:rsidRPr="009E53A2">
        <w:rPr>
          <w:rFonts w:ascii="Arial" w:hAnsi="Arial" w:cs="Arial"/>
        </w:rPr>
        <w:t>Conclusion and Recommendations</w:t>
      </w:r>
      <w:bookmarkEnd w:id="5"/>
    </w:p>
    <w:p w14:paraId="2EFFA998" w14:textId="77777777" w:rsidR="002F7040" w:rsidRPr="009E53A2" w:rsidRDefault="002F7040" w:rsidP="002F7040">
      <w:pPr>
        <w:spacing w:line="360" w:lineRule="auto"/>
        <w:ind w:firstLine="720"/>
        <w:rPr>
          <w:rFonts w:ascii="Arial" w:hAnsi="Arial" w:cs="Arial"/>
        </w:rPr>
      </w:pPr>
      <w:r w:rsidRPr="009E53A2">
        <w:rPr>
          <w:rFonts w:ascii="Arial" w:hAnsi="Arial" w:cs="Arial"/>
        </w:rPr>
        <w:t xml:space="preserve">Overall, KardiaMobile has made a positive impact on aspects of AF identification, allowing for faster, more portable and more widespread recording of atrials away from the confines of a hospital. It has opened up professional roles and new competences such as having to combine clinical judgement with new digital competences, patient education and appropriate escalation. The recording of the service delivery has improved, allowing </w:t>
      </w:r>
      <w:r w:rsidRPr="009E53A2">
        <w:rPr>
          <w:rFonts w:ascii="Arial" w:hAnsi="Arial" w:cs="Arial"/>
        </w:rPr>
        <w:lastRenderedPageBreak/>
        <w:t>the recording to be taken nearer the time of symptoms, but this only is beneficial if there are clear review pathways and timely follow-up. Patients can benefit from the device as it may make tasks more convenient, more engaging, and more reassuring, but these automated results could also leave patients feeling confused, anxious, and/or overly confident. In the community, KardiaMobile can help in home environments, pharmacies and primary care, and benefit those who have travel or mobility challenges. However, the unequal access to digital materials and the lack of data integration, as well as unclear accountability and the risk of referral, continue to be significant constraints.</w:t>
      </w:r>
    </w:p>
    <w:p w14:paraId="2119F5F3" w14:textId="77777777" w:rsidR="00FD72E7" w:rsidRPr="009E53A2" w:rsidRDefault="002F7040" w:rsidP="002F7040">
      <w:pPr>
        <w:spacing w:line="360" w:lineRule="auto"/>
        <w:ind w:firstLine="720"/>
        <w:rPr>
          <w:rFonts w:ascii="Arial" w:hAnsi="Arial" w:cs="Arial"/>
        </w:rPr>
      </w:pPr>
      <w:r w:rsidRPr="009E53A2">
        <w:rPr>
          <w:rFonts w:ascii="Arial" w:hAnsi="Arial" w:cs="Arial"/>
        </w:rPr>
        <w:t>It's important to use KardiaMobile as a clinically informed tool, not as a replacement for medical evaluation. Services should begin to recognise the need for staff training to be standardised and for there to be clear accountability for reviewing and documenting recordings. There should also be greater integration with EHRs to minimise fragmentation and duplication. Lastly, patients should be given easy-to-access information about the limitations of the device; and for those who are at risk of digital exclusion, there should be an alternative way to receive information and support that is not digital.</w:t>
      </w:r>
      <w:r w:rsidR="00FD72E7" w:rsidRPr="009E53A2">
        <w:rPr>
          <w:rFonts w:ascii="Arial" w:hAnsi="Arial" w:cs="Arial"/>
        </w:rPr>
        <w:br w:type="page"/>
      </w:r>
    </w:p>
    <w:p w14:paraId="7BFD3AEC" w14:textId="77777777" w:rsidR="00F9775F" w:rsidRPr="009E53A2" w:rsidRDefault="00FD72E7" w:rsidP="00DE5B1B">
      <w:pPr>
        <w:pStyle w:val="Heading1"/>
        <w:spacing w:line="360" w:lineRule="auto"/>
        <w:rPr>
          <w:rFonts w:ascii="Arial" w:hAnsi="Arial" w:cs="Arial"/>
        </w:rPr>
      </w:pPr>
      <w:bookmarkStart w:id="6" w:name="_Toc234679577"/>
      <w:r w:rsidRPr="009E53A2">
        <w:rPr>
          <w:rFonts w:ascii="Arial" w:hAnsi="Arial" w:cs="Arial"/>
        </w:rPr>
        <w:lastRenderedPageBreak/>
        <w:t>References</w:t>
      </w:r>
      <w:bookmarkEnd w:id="6"/>
      <w:r w:rsidRPr="009E53A2">
        <w:rPr>
          <w:rFonts w:ascii="Arial" w:hAnsi="Arial" w:cs="Arial"/>
        </w:rPr>
        <w:t xml:space="preserve"> </w:t>
      </w:r>
    </w:p>
    <w:p w14:paraId="3CCA7329"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Belani, S., Wahood, W., Hardigan, P., Placzek, A.N. and Ely, S., 2021. Accuracy of detecting atrial fibrillation: a systematic review and meta-analysis of wrist-worn wearable technology. </w:t>
      </w:r>
      <w:r w:rsidRPr="009E53A2">
        <w:rPr>
          <w:rFonts w:ascii="Arial" w:hAnsi="Arial" w:cs="Arial"/>
          <w:i/>
        </w:rPr>
        <w:t>Cureus</w:t>
      </w:r>
      <w:r w:rsidRPr="009E53A2">
        <w:rPr>
          <w:rFonts w:ascii="Arial" w:hAnsi="Arial" w:cs="Arial"/>
        </w:rPr>
        <w:t>, 13(12).</w:t>
      </w:r>
    </w:p>
    <w:p w14:paraId="3DB0B673"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Bray, J.J.H., Lloyd, E.F., Adenwalla, F., Kelly, S., Wareham, K. and Halcox, J.P., 2021. Single-lead ECGs (AliveCor) are a feasible, cost-effective and safer alternative to 12-lead ECGs in community diagnosis and monitoring of atrial fibrillation. </w:t>
      </w:r>
      <w:r w:rsidRPr="009E53A2">
        <w:rPr>
          <w:rFonts w:ascii="Arial" w:hAnsi="Arial" w:cs="Arial"/>
          <w:i/>
        </w:rPr>
        <w:t>BMJ open quality</w:t>
      </w:r>
      <w:r w:rsidRPr="009E53A2">
        <w:rPr>
          <w:rFonts w:ascii="Arial" w:hAnsi="Arial" w:cs="Arial"/>
        </w:rPr>
        <w:t>, 10(1).</w:t>
      </w:r>
    </w:p>
    <w:p w14:paraId="3F54295A"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Callanan, A., Quinlan, D., Kearney, P.M., O’Sullivan, S., Zhi, G.T.Y., Crichton, A., Howell, M.W., Bradley, C. and Buckley, C., 2024. Opportunistic atrial fibrillation screening in primary care in Ireland: results of a pilot screening programme. </w:t>
      </w:r>
      <w:r w:rsidRPr="009E53A2">
        <w:rPr>
          <w:rFonts w:ascii="Arial" w:hAnsi="Arial" w:cs="Arial"/>
          <w:i/>
        </w:rPr>
        <w:t>Open Heart</w:t>
      </w:r>
      <w:r w:rsidRPr="009E53A2">
        <w:rPr>
          <w:rFonts w:ascii="Arial" w:hAnsi="Arial" w:cs="Arial"/>
        </w:rPr>
        <w:t>, 11(1).</w:t>
      </w:r>
    </w:p>
    <w:p w14:paraId="1AC337CA"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Callanan, A., Quinlan, D., O'Sullivan, S., Bradley, C.P., Kearney, P.M., Murphy, A. and Buckley, C.M., 2022. Atrial fibrillation (AF) pilot screening programme in primary care in Ireland: an implementation study protocol. </w:t>
      </w:r>
      <w:r w:rsidRPr="009E53A2">
        <w:rPr>
          <w:rFonts w:ascii="Arial" w:hAnsi="Arial" w:cs="Arial"/>
          <w:i/>
        </w:rPr>
        <w:t>BMJ open</w:t>
      </w:r>
      <w:r w:rsidRPr="009E53A2">
        <w:rPr>
          <w:rFonts w:ascii="Arial" w:hAnsi="Arial" w:cs="Arial"/>
        </w:rPr>
        <w:t>, 12(2), p.e054324.</w:t>
      </w:r>
    </w:p>
    <w:p w14:paraId="4E400EE8"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Coxon, M.W., Hoskin, K., van Zyl, M., Thibert, M. and Sikkel, M., 2024. Catch-AF—Early Diagnosis of Symptomatic Arrythmias in the Waiting Period Prior to Seeing a Cardiologist in Victoria, British Columbia. </w:t>
      </w:r>
      <w:r w:rsidRPr="009E53A2">
        <w:rPr>
          <w:rFonts w:ascii="Arial" w:hAnsi="Arial" w:cs="Arial"/>
          <w:i/>
        </w:rPr>
        <w:t>CJC open</w:t>
      </w:r>
      <w:r w:rsidRPr="009E53A2">
        <w:rPr>
          <w:rFonts w:ascii="Arial" w:hAnsi="Arial" w:cs="Arial"/>
        </w:rPr>
        <w:t>, 6(12), pp.1476-1483.</w:t>
      </w:r>
    </w:p>
    <w:p w14:paraId="0A88C1E9"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Daniels, F., Ramdjan, T.T., Manfai, B., Adiyaman, A., Smit, J.J.J., Delnoy, P.P.H. and Elvan, A., 2024. Detection of atrial fibrillation in persons aged 65 years and above using a mobile electrocardiogram device. </w:t>
      </w:r>
      <w:r w:rsidRPr="009E53A2">
        <w:rPr>
          <w:rFonts w:ascii="Arial" w:hAnsi="Arial" w:cs="Arial"/>
          <w:i/>
        </w:rPr>
        <w:t>Netherlands Heart Journal</w:t>
      </w:r>
      <w:r w:rsidRPr="009E53A2">
        <w:rPr>
          <w:rFonts w:ascii="Arial" w:hAnsi="Arial" w:cs="Arial"/>
        </w:rPr>
        <w:t>, 32(4), pp.160-166.</w:t>
      </w:r>
    </w:p>
    <w:p w14:paraId="3B83C323"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Giebel, G.D. and Gissel, C., 2019. Accuracy of mHealth devices for atrial fibrillation screening: systematic review. </w:t>
      </w:r>
      <w:r w:rsidRPr="009E53A2">
        <w:rPr>
          <w:rFonts w:ascii="Arial" w:hAnsi="Arial" w:cs="Arial"/>
          <w:i/>
        </w:rPr>
        <w:t>JMIR mHealth and uHealth</w:t>
      </w:r>
      <w:r w:rsidRPr="009E53A2">
        <w:rPr>
          <w:rFonts w:ascii="Arial" w:hAnsi="Arial" w:cs="Arial"/>
        </w:rPr>
        <w:t>, 7(6), p.e13641.</w:t>
      </w:r>
    </w:p>
    <w:p w14:paraId="48E1F818"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Himmelreich, J.C., Karregat, E.P., Lucassen, W.A., van Weert, H.C., de Groot, J.R., Handoko, M.L., Nijveldt, R. and Harskamp, R.E., 2019. Diagnostic accuracy of a smartphone-operated, single-lead electrocardiography device for detection of </w:t>
      </w:r>
      <w:r w:rsidRPr="009E53A2">
        <w:rPr>
          <w:rFonts w:ascii="Arial" w:hAnsi="Arial" w:cs="Arial"/>
        </w:rPr>
        <w:lastRenderedPageBreak/>
        <w:t xml:space="preserve">rhythm and conduction abnormalities in primary care. </w:t>
      </w:r>
      <w:r w:rsidRPr="009E53A2">
        <w:rPr>
          <w:rFonts w:ascii="Arial" w:hAnsi="Arial" w:cs="Arial"/>
          <w:i/>
        </w:rPr>
        <w:t>The Annals of Family Medicine</w:t>
      </w:r>
      <w:r w:rsidRPr="009E53A2">
        <w:rPr>
          <w:rFonts w:ascii="Arial" w:hAnsi="Arial" w:cs="Arial"/>
        </w:rPr>
        <w:t>, 17(5), pp.403-411.</w:t>
      </w:r>
    </w:p>
    <w:p w14:paraId="1FF79D84"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Klier, K., Koch, L., Graf, L., Schinköthe, T. and Schmidt, A., 2023. Diagnostic accuracy of single-lead electrocardiograms using the Kardia Mobile App and the Apple Watch 4: validation study. </w:t>
      </w:r>
      <w:r w:rsidRPr="009E53A2">
        <w:rPr>
          <w:rFonts w:ascii="Arial" w:hAnsi="Arial" w:cs="Arial"/>
          <w:i/>
        </w:rPr>
        <w:t>JMIR cardio</w:t>
      </w:r>
      <w:r w:rsidRPr="009E53A2">
        <w:rPr>
          <w:rFonts w:ascii="Arial" w:hAnsi="Arial" w:cs="Arial"/>
        </w:rPr>
        <w:t>, 7, p.e50701.</w:t>
      </w:r>
    </w:p>
    <w:p w14:paraId="7962A0E6"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Koltowski, L., Balsam, P., Glowczynska, R., Rokicki, J.K., Peller, M., Maksym, J., Blicharz, L., Maciejewski, K., Niedziela, M., Opolski, G. and Grabowski, M., 2021. Kardia Mobile applicability in clinical practice: A comparison of Kardia Mobile and standard 12-lead electrocardiogram records in 100 consecutive patients of a tertiary cardiovascular care center. </w:t>
      </w:r>
      <w:r w:rsidRPr="009E53A2">
        <w:rPr>
          <w:rFonts w:ascii="Arial" w:hAnsi="Arial" w:cs="Arial"/>
          <w:i/>
        </w:rPr>
        <w:t>Cardiology journal</w:t>
      </w:r>
      <w:r w:rsidRPr="009E53A2">
        <w:rPr>
          <w:rFonts w:ascii="Arial" w:hAnsi="Arial" w:cs="Arial"/>
        </w:rPr>
        <w:t>, 28(4), pp.543-548.</w:t>
      </w:r>
    </w:p>
    <w:p w14:paraId="57C3907D"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Mathew, S. and Chambers, R., 2021. Improving the utility and sustainability of novel health technology to improve clinical outcomes for patients: an East Staffordshire experience of screening for atrial fibrillation with the AliveCor KardiaMobile. </w:t>
      </w:r>
      <w:r w:rsidRPr="009E53A2">
        <w:rPr>
          <w:rFonts w:ascii="Arial" w:hAnsi="Arial" w:cs="Arial"/>
          <w:i/>
        </w:rPr>
        <w:t>BJGP open</w:t>
      </w:r>
      <w:r w:rsidRPr="009E53A2">
        <w:rPr>
          <w:rFonts w:ascii="Arial" w:hAnsi="Arial" w:cs="Arial"/>
        </w:rPr>
        <w:t>, 5(2).</w:t>
      </w:r>
    </w:p>
    <w:p w14:paraId="048AEBD9" w14:textId="77777777" w:rsidR="00AC2598" w:rsidRPr="009E53A2" w:rsidRDefault="00AC2598" w:rsidP="00DE5B1B">
      <w:pPr>
        <w:spacing w:line="360" w:lineRule="auto"/>
        <w:ind w:left="720" w:hanging="720"/>
        <w:rPr>
          <w:rFonts w:ascii="Arial" w:hAnsi="Arial" w:cs="Arial"/>
        </w:rPr>
      </w:pPr>
      <w:r w:rsidRPr="009E53A2">
        <w:rPr>
          <w:rFonts w:ascii="Arial" w:hAnsi="Arial" w:cs="Arial"/>
        </w:rPr>
        <w:t xml:space="preserve">Pitman, B.M., Chew, S.H., Wong, C.X., Jaghoori, A., Iwai, S., Thomas, G., Chew, A., Sanders, P. and Lau, D.H., 2021. Performance of a mobile single-lead electrocardiogram technology for atrial fibrillation screening in a semirural African population: Insights from “The heart of Ethiopia: Focus on atrial fibrillation”(TEFF-AF) study. </w:t>
      </w:r>
      <w:r w:rsidRPr="009E53A2">
        <w:rPr>
          <w:rFonts w:ascii="Arial" w:hAnsi="Arial" w:cs="Arial"/>
          <w:i/>
        </w:rPr>
        <w:t>JMIR mHealth and uHealth</w:t>
      </w:r>
      <w:r w:rsidRPr="009E53A2">
        <w:rPr>
          <w:rFonts w:ascii="Arial" w:hAnsi="Arial" w:cs="Arial"/>
        </w:rPr>
        <w:t>, 9(5), p.e24470.</w:t>
      </w:r>
    </w:p>
    <w:sectPr w:rsidR="00AC2598" w:rsidRPr="009E53A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028609" w14:textId="77777777" w:rsidR="00B6722E" w:rsidRDefault="00B6722E" w:rsidP="009E53A2">
      <w:pPr>
        <w:spacing w:after="0" w:line="240" w:lineRule="auto"/>
      </w:pPr>
      <w:r>
        <w:separator/>
      </w:r>
    </w:p>
  </w:endnote>
  <w:endnote w:type="continuationSeparator" w:id="0">
    <w:p w14:paraId="7D597305" w14:textId="77777777" w:rsidR="00B6722E" w:rsidRDefault="00B6722E" w:rsidP="009E5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5FCC5" w14:textId="77777777" w:rsidR="00B6722E" w:rsidRDefault="00B6722E" w:rsidP="009E53A2">
      <w:pPr>
        <w:spacing w:after="0" w:line="240" w:lineRule="auto"/>
      </w:pPr>
      <w:r>
        <w:separator/>
      </w:r>
    </w:p>
  </w:footnote>
  <w:footnote w:type="continuationSeparator" w:id="0">
    <w:p w14:paraId="09FACFC5" w14:textId="77777777" w:rsidR="00B6722E" w:rsidRDefault="00B6722E" w:rsidP="009E53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2E7"/>
    <w:rsid w:val="001D1377"/>
    <w:rsid w:val="002D30E9"/>
    <w:rsid w:val="002F6AE6"/>
    <w:rsid w:val="002F7040"/>
    <w:rsid w:val="004D5C8C"/>
    <w:rsid w:val="0074514C"/>
    <w:rsid w:val="009E53A2"/>
    <w:rsid w:val="00A719DD"/>
    <w:rsid w:val="00AC2598"/>
    <w:rsid w:val="00B6722E"/>
    <w:rsid w:val="00CE03CC"/>
    <w:rsid w:val="00DE5B1B"/>
    <w:rsid w:val="00F25074"/>
    <w:rsid w:val="00F82419"/>
    <w:rsid w:val="00F9775F"/>
    <w:rsid w:val="00FD72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0406B"/>
  <w15:chartTrackingRefBased/>
  <w15:docId w15:val="{D595D54F-2A2E-4ACD-9B93-1BCBB3C73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AE6"/>
    <w:pPr>
      <w:jc w:val="both"/>
    </w:pPr>
    <w:rPr>
      <w:rFonts w:ascii="Times New Roman" w:hAnsi="Times New Roman"/>
      <w:sz w:val="24"/>
    </w:rPr>
  </w:style>
  <w:style w:type="paragraph" w:styleId="Heading1">
    <w:name w:val="heading 1"/>
    <w:basedOn w:val="Normal"/>
    <w:next w:val="Normal"/>
    <w:link w:val="Heading1Char"/>
    <w:autoRedefine/>
    <w:uiPriority w:val="9"/>
    <w:qFormat/>
    <w:rsid w:val="004D5C8C"/>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autoRedefine/>
    <w:uiPriority w:val="9"/>
    <w:semiHidden/>
    <w:unhideWhenUsed/>
    <w:rsid w:val="004D5C8C"/>
    <w:pPr>
      <w:keepNext/>
      <w:keepLines/>
      <w:spacing w:before="40" w:after="0"/>
      <w:outlineLvl w:val="1"/>
    </w:pPr>
    <w:rPr>
      <w:rFonts w:eastAsiaTheme="majorEastAsia" w:cstheme="majorBidi"/>
      <w:i/>
      <w:szCs w:val="26"/>
    </w:rPr>
  </w:style>
  <w:style w:type="paragraph" w:styleId="Heading3">
    <w:name w:val="heading 3"/>
    <w:basedOn w:val="Normal"/>
    <w:link w:val="Heading3Char"/>
    <w:autoRedefine/>
    <w:uiPriority w:val="9"/>
    <w:qFormat/>
    <w:rsid w:val="004D5C8C"/>
    <w:pPr>
      <w:spacing w:before="100" w:beforeAutospacing="1" w:after="100" w:afterAutospacing="1" w:line="240" w:lineRule="auto"/>
      <w:jc w:val="center"/>
      <w:outlineLvl w:val="2"/>
    </w:pPr>
    <w:rPr>
      <w:rFonts w:eastAsia="Times New Roman" w:cs="Times New Roman"/>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C8C"/>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semiHidden/>
    <w:rsid w:val="004D5C8C"/>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4D5C8C"/>
    <w:rPr>
      <w:rFonts w:ascii="Times New Roman" w:eastAsia="Times New Roman" w:hAnsi="Times New Roman" w:cs="Times New Roman"/>
      <w:bCs/>
      <w:sz w:val="24"/>
      <w:szCs w:val="27"/>
    </w:rPr>
  </w:style>
  <w:style w:type="paragraph" w:styleId="TOCHeading">
    <w:name w:val="TOC Heading"/>
    <w:basedOn w:val="Heading1"/>
    <w:next w:val="Normal"/>
    <w:uiPriority w:val="39"/>
    <w:unhideWhenUsed/>
    <w:qFormat/>
    <w:rsid w:val="00DE5B1B"/>
    <w:pPr>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DE5B1B"/>
    <w:pPr>
      <w:spacing w:after="100"/>
    </w:pPr>
  </w:style>
  <w:style w:type="character" w:styleId="Hyperlink">
    <w:name w:val="Hyperlink"/>
    <w:basedOn w:val="DefaultParagraphFont"/>
    <w:uiPriority w:val="99"/>
    <w:unhideWhenUsed/>
    <w:rsid w:val="00DE5B1B"/>
    <w:rPr>
      <w:color w:val="0563C1" w:themeColor="hyperlink"/>
      <w:u w:val="single"/>
    </w:rPr>
  </w:style>
  <w:style w:type="paragraph" w:styleId="Header">
    <w:name w:val="header"/>
    <w:basedOn w:val="Normal"/>
    <w:link w:val="HeaderChar"/>
    <w:uiPriority w:val="99"/>
    <w:unhideWhenUsed/>
    <w:rsid w:val="009E5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3A2"/>
    <w:rPr>
      <w:rFonts w:ascii="Times New Roman" w:hAnsi="Times New Roman"/>
      <w:sz w:val="24"/>
    </w:rPr>
  </w:style>
  <w:style w:type="paragraph" w:styleId="Footer">
    <w:name w:val="footer"/>
    <w:basedOn w:val="Normal"/>
    <w:link w:val="FooterChar"/>
    <w:uiPriority w:val="99"/>
    <w:unhideWhenUsed/>
    <w:rsid w:val="009E5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3A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118103">
      <w:bodyDiv w:val="1"/>
      <w:marLeft w:val="0"/>
      <w:marRight w:val="0"/>
      <w:marTop w:val="0"/>
      <w:marBottom w:val="0"/>
      <w:divBdr>
        <w:top w:val="none" w:sz="0" w:space="0" w:color="auto"/>
        <w:left w:val="none" w:sz="0" w:space="0" w:color="auto"/>
        <w:bottom w:val="none" w:sz="0" w:space="0" w:color="auto"/>
        <w:right w:val="none" w:sz="0" w:space="0" w:color="auto"/>
      </w:divBdr>
    </w:div>
    <w:div w:id="226260094">
      <w:bodyDiv w:val="1"/>
      <w:marLeft w:val="0"/>
      <w:marRight w:val="0"/>
      <w:marTop w:val="0"/>
      <w:marBottom w:val="0"/>
      <w:divBdr>
        <w:top w:val="none" w:sz="0" w:space="0" w:color="auto"/>
        <w:left w:val="none" w:sz="0" w:space="0" w:color="auto"/>
        <w:bottom w:val="none" w:sz="0" w:space="0" w:color="auto"/>
        <w:right w:val="none" w:sz="0" w:space="0" w:color="auto"/>
      </w:divBdr>
    </w:div>
    <w:div w:id="464280047">
      <w:bodyDiv w:val="1"/>
      <w:marLeft w:val="0"/>
      <w:marRight w:val="0"/>
      <w:marTop w:val="0"/>
      <w:marBottom w:val="0"/>
      <w:divBdr>
        <w:top w:val="none" w:sz="0" w:space="0" w:color="auto"/>
        <w:left w:val="none" w:sz="0" w:space="0" w:color="auto"/>
        <w:bottom w:val="none" w:sz="0" w:space="0" w:color="auto"/>
        <w:right w:val="none" w:sz="0" w:space="0" w:color="auto"/>
      </w:divBdr>
    </w:div>
    <w:div w:id="714474043">
      <w:bodyDiv w:val="1"/>
      <w:marLeft w:val="0"/>
      <w:marRight w:val="0"/>
      <w:marTop w:val="0"/>
      <w:marBottom w:val="0"/>
      <w:divBdr>
        <w:top w:val="none" w:sz="0" w:space="0" w:color="auto"/>
        <w:left w:val="none" w:sz="0" w:space="0" w:color="auto"/>
        <w:bottom w:val="none" w:sz="0" w:space="0" w:color="auto"/>
        <w:right w:val="none" w:sz="0" w:space="0" w:color="auto"/>
      </w:divBdr>
      <w:divsChild>
        <w:div w:id="986739604">
          <w:marLeft w:val="0"/>
          <w:marRight w:val="0"/>
          <w:marTop w:val="0"/>
          <w:marBottom w:val="0"/>
          <w:divBdr>
            <w:top w:val="none" w:sz="0" w:space="0" w:color="auto"/>
            <w:left w:val="none" w:sz="0" w:space="0" w:color="auto"/>
            <w:bottom w:val="none" w:sz="0" w:space="0" w:color="auto"/>
            <w:right w:val="none" w:sz="0" w:space="0" w:color="auto"/>
          </w:divBdr>
          <w:divsChild>
            <w:div w:id="1507134877">
              <w:marLeft w:val="0"/>
              <w:marRight w:val="0"/>
              <w:marTop w:val="0"/>
              <w:marBottom w:val="0"/>
              <w:divBdr>
                <w:top w:val="none" w:sz="0" w:space="0" w:color="auto"/>
                <w:left w:val="none" w:sz="0" w:space="0" w:color="auto"/>
                <w:bottom w:val="none" w:sz="0" w:space="0" w:color="auto"/>
                <w:right w:val="none" w:sz="0" w:space="0" w:color="auto"/>
              </w:divBdr>
              <w:divsChild>
                <w:div w:id="1808626912">
                  <w:marLeft w:val="0"/>
                  <w:marRight w:val="0"/>
                  <w:marTop w:val="0"/>
                  <w:marBottom w:val="0"/>
                  <w:divBdr>
                    <w:top w:val="none" w:sz="0" w:space="0" w:color="auto"/>
                    <w:left w:val="none" w:sz="0" w:space="0" w:color="auto"/>
                    <w:bottom w:val="none" w:sz="0" w:space="0" w:color="auto"/>
                    <w:right w:val="none" w:sz="0" w:space="0" w:color="auto"/>
                  </w:divBdr>
                  <w:divsChild>
                    <w:div w:id="1607229696">
                      <w:marLeft w:val="0"/>
                      <w:marRight w:val="0"/>
                      <w:marTop w:val="0"/>
                      <w:marBottom w:val="0"/>
                      <w:divBdr>
                        <w:top w:val="none" w:sz="0" w:space="0" w:color="auto"/>
                        <w:left w:val="none" w:sz="0" w:space="0" w:color="auto"/>
                        <w:bottom w:val="none" w:sz="0" w:space="0" w:color="auto"/>
                        <w:right w:val="none" w:sz="0" w:space="0" w:color="auto"/>
                      </w:divBdr>
                      <w:divsChild>
                        <w:div w:id="2045400669">
                          <w:marLeft w:val="0"/>
                          <w:marRight w:val="0"/>
                          <w:marTop w:val="0"/>
                          <w:marBottom w:val="0"/>
                          <w:divBdr>
                            <w:top w:val="none" w:sz="0" w:space="0" w:color="auto"/>
                            <w:left w:val="none" w:sz="0" w:space="0" w:color="auto"/>
                            <w:bottom w:val="none" w:sz="0" w:space="0" w:color="auto"/>
                            <w:right w:val="none" w:sz="0" w:space="0" w:color="auto"/>
                          </w:divBdr>
                          <w:divsChild>
                            <w:div w:id="1925724354">
                              <w:marLeft w:val="0"/>
                              <w:marRight w:val="0"/>
                              <w:marTop w:val="0"/>
                              <w:marBottom w:val="0"/>
                              <w:divBdr>
                                <w:top w:val="none" w:sz="0" w:space="0" w:color="auto"/>
                                <w:left w:val="none" w:sz="0" w:space="0" w:color="auto"/>
                                <w:bottom w:val="none" w:sz="0" w:space="0" w:color="auto"/>
                                <w:right w:val="none" w:sz="0" w:space="0" w:color="auto"/>
                              </w:divBdr>
                              <w:divsChild>
                                <w:div w:id="797650890">
                                  <w:marLeft w:val="0"/>
                                  <w:marRight w:val="0"/>
                                  <w:marTop w:val="0"/>
                                  <w:marBottom w:val="0"/>
                                  <w:divBdr>
                                    <w:top w:val="none" w:sz="0" w:space="0" w:color="auto"/>
                                    <w:left w:val="none" w:sz="0" w:space="0" w:color="auto"/>
                                    <w:bottom w:val="none" w:sz="0" w:space="0" w:color="auto"/>
                                    <w:right w:val="none" w:sz="0" w:space="0" w:color="auto"/>
                                  </w:divBdr>
                                  <w:divsChild>
                                    <w:div w:id="146048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6158212">
      <w:bodyDiv w:val="1"/>
      <w:marLeft w:val="0"/>
      <w:marRight w:val="0"/>
      <w:marTop w:val="0"/>
      <w:marBottom w:val="0"/>
      <w:divBdr>
        <w:top w:val="none" w:sz="0" w:space="0" w:color="auto"/>
        <w:left w:val="none" w:sz="0" w:space="0" w:color="auto"/>
        <w:bottom w:val="none" w:sz="0" w:space="0" w:color="auto"/>
        <w:right w:val="none" w:sz="0" w:space="0" w:color="auto"/>
      </w:divBdr>
      <w:divsChild>
        <w:div w:id="942615350">
          <w:marLeft w:val="0"/>
          <w:marRight w:val="0"/>
          <w:marTop w:val="0"/>
          <w:marBottom w:val="0"/>
          <w:divBdr>
            <w:top w:val="none" w:sz="0" w:space="0" w:color="auto"/>
            <w:left w:val="none" w:sz="0" w:space="0" w:color="auto"/>
            <w:bottom w:val="none" w:sz="0" w:space="0" w:color="auto"/>
            <w:right w:val="none" w:sz="0" w:space="0" w:color="auto"/>
          </w:divBdr>
          <w:divsChild>
            <w:div w:id="1700816885">
              <w:marLeft w:val="0"/>
              <w:marRight w:val="0"/>
              <w:marTop w:val="0"/>
              <w:marBottom w:val="0"/>
              <w:divBdr>
                <w:top w:val="none" w:sz="0" w:space="0" w:color="auto"/>
                <w:left w:val="none" w:sz="0" w:space="0" w:color="auto"/>
                <w:bottom w:val="none" w:sz="0" w:space="0" w:color="auto"/>
                <w:right w:val="none" w:sz="0" w:space="0" w:color="auto"/>
              </w:divBdr>
              <w:divsChild>
                <w:div w:id="1974797465">
                  <w:marLeft w:val="0"/>
                  <w:marRight w:val="0"/>
                  <w:marTop w:val="0"/>
                  <w:marBottom w:val="0"/>
                  <w:divBdr>
                    <w:top w:val="none" w:sz="0" w:space="0" w:color="auto"/>
                    <w:left w:val="none" w:sz="0" w:space="0" w:color="auto"/>
                    <w:bottom w:val="none" w:sz="0" w:space="0" w:color="auto"/>
                    <w:right w:val="none" w:sz="0" w:space="0" w:color="auto"/>
                  </w:divBdr>
                  <w:divsChild>
                    <w:div w:id="666634003">
                      <w:marLeft w:val="0"/>
                      <w:marRight w:val="0"/>
                      <w:marTop w:val="0"/>
                      <w:marBottom w:val="0"/>
                      <w:divBdr>
                        <w:top w:val="none" w:sz="0" w:space="0" w:color="auto"/>
                        <w:left w:val="none" w:sz="0" w:space="0" w:color="auto"/>
                        <w:bottom w:val="none" w:sz="0" w:space="0" w:color="auto"/>
                        <w:right w:val="none" w:sz="0" w:space="0" w:color="auto"/>
                      </w:divBdr>
                      <w:divsChild>
                        <w:div w:id="1813936961">
                          <w:marLeft w:val="0"/>
                          <w:marRight w:val="0"/>
                          <w:marTop w:val="0"/>
                          <w:marBottom w:val="0"/>
                          <w:divBdr>
                            <w:top w:val="none" w:sz="0" w:space="0" w:color="auto"/>
                            <w:left w:val="none" w:sz="0" w:space="0" w:color="auto"/>
                            <w:bottom w:val="none" w:sz="0" w:space="0" w:color="auto"/>
                            <w:right w:val="none" w:sz="0" w:space="0" w:color="auto"/>
                          </w:divBdr>
                          <w:divsChild>
                            <w:div w:id="1945574201">
                              <w:marLeft w:val="0"/>
                              <w:marRight w:val="0"/>
                              <w:marTop w:val="0"/>
                              <w:marBottom w:val="0"/>
                              <w:divBdr>
                                <w:top w:val="none" w:sz="0" w:space="0" w:color="auto"/>
                                <w:left w:val="none" w:sz="0" w:space="0" w:color="auto"/>
                                <w:bottom w:val="none" w:sz="0" w:space="0" w:color="auto"/>
                                <w:right w:val="none" w:sz="0" w:space="0" w:color="auto"/>
                              </w:divBdr>
                              <w:divsChild>
                                <w:div w:id="23597110">
                                  <w:marLeft w:val="0"/>
                                  <w:marRight w:val="0"/>
                                  <w:marTop w:val="0"/>
                                  <w:marBottom w:val="0"/>
                                  <w:divBdr>
                                    <w:top w:val="none" w:sz="0" w:space="0" w:color="auto"/>
                                    <w:left w:val="none" w:sz="0" w:space="0" w:color="auto"/>
                                    <w:bottom w:val="none" w:sz="0" w:space="0" w:color="auto"/>
                                    <w:right w:val="none" w:sz="0" w:space="0" w:color="auto"/>
                                  </w:divBdr>
                                  <w:divsChild>
                                    <w:div w:id="178010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7127539">
      <w:bodyDiv w:val="1"/>
      <w:marLeft w:val="0"/>
      <w:marRight w:val="0"/>
      <w:marTop w:val="0"/>
      <w:marBottom w:val="0"/>
      <w:divBdr>
        <w:top w:val="none" w:sz="0" w:space="0" w:color="auto"/>
        <w:left w:val="none" w:sz="0" w:space="0" w:color="auto"/>
        <w:bottom w:val="none" w:sz="0" w:space="0" w:color="auto"/>
        <w:right w:val="none" w:sz="0" w:space="0" w:color="auto"/>
      </w:divBdr>
      <w:divsChild>
        <w:div w:id="113796222">
          <w:marLeft w:val="0"/>
          <w:marRight w:val="0"/>
          <w:marTop w:val="0"/>
          <w:marBottom w:val="0"/>
          <w:divBdr>
            <w:top w:val="none" w:sz="0" w:space="0" w:color="auto"/>
            <w:left w:val="none" w:sz="0" w:space="0" w:color="auto"/>
            <w:bottom w:val="none" w:sz="0" w:space="0" w:color="auto"/>
            <w:right w:val="none" w:sz="0" w:space="0" w:color="auto"/>
          </w:divBdr>
          <w:divsChild>
            <w:div w:id="193468004">
              <w:marLeft w:val="0"/>
              <w:marRight w:val="0"/>
              <w:marTop w:val="0"/>
              <w:marBottom w:val="0"/>
              <w:divBdr>
                <w:top w:val="none" w:sz="0" w:space="0" w:color="auto"/>
                <w:left w:val="none" w:sz="0" w:space="0" w:color="auto"/>
                <w:bottom w:val="none" w:sz="0" w:space="0" w:color="auto"/>
                <w:right w:val="none" w:sz="0" w:space="0" w:color="auto"/>
              </w:divBdr>
              <w:divsChild>
                <w:div w:id="721367324">
                  <w:marLeft w:val="0"/>
                  <w:marRight w:val="0"/>
                  <w:marTop w:val="0"/>
                  <w:marBottom w:val="0"/>
                  <w:divBdr>
                    <w:top w:val="none" w:sz="0" w:space="0" w:color="auto"/>
                    <w:left w:val="none" w:sz="0" w:space="0" w:color="auto"/>
                    <w:bottom w:val="none" w:sz="0" w:space="0" w:color="auto"/>
                    <w:right w:val="none" w:sz="0" w:space="0" w:color="auto"/>
                  </w:divBdr>
                  <w:divsChild>
                    <w:div w:id="294412980">
                      <w:marLeft w:val="0"/>
                      <w:marRight w:val="0"/>
                      <w:marTop w:val="0"/>
                      <w:marBottom w:val="0"/>
                      <w:divBdr>
                        <w:top w:val="none" w:sz="0" w:space="0" w:color="auto"/>
                        <w:left w:val="none" w:sz="0" w:space="0" w:color="auto"/>
                        <w:bottom w:val="none" w:sz="0" w:space="0" w:color="auto"/>
                        <w:right w:val="none" w:sz="0" w:space="0" w:color="auto"/>
                      </w:divBdr>
                      <w:divsChild>
                        <w:div w:id="790517583">
                          <w:marLeft w:val="0"/>
                          <w:marRight w:val="0"/>
                          <w:marTop w:val="0"/>
                          <w:marBottom w:val="0"/>
                          <w:divBdr>
                            <w:top w:val="none" w:sz="0" w:space="0" w:color="auto"/>
                            <w:left w:val="none" w:sz="0" w:space="0" w:color="auto"/>
                            <w:bottom w:val="none" w:sz="0" w:space="0" w:color="auto"/>
                            <w:right w:val="none" w:sz="0" w:space="0" w:color="auto"/>
                          </w:divBdr>
                          <w:divsChild>
                            <w:div w:id="488447356">
                              <w:marLeft w:val="0"/>
                              <w:marRight w:val="0"/>
                              <w:marTop w:val="0"/>
                              <w:marBottom w:val="0"/>
                              <w:divBdr>
                                <w:top w:val="none" w:sz="0" w:space="0" w:color="auto"/>
                                <w:left w:val="none" w:sz="0" w:space="0" w:color="auto"/>
                                <w:bottom w:val="none" w:sz="0" w:space="0" w:color="auto"/>
                                <w:right w:val="none" w:sz="0" w:space="0" w:color="auto"/>
                              </w:divBdr>
                              <w:divsChild>
                                <w:div w:id="1425998886">
                                  <w:marLeft w:val="0"/>
                                  <w:marRight w:val="0"/>
                                  <w:marTop w:val="0"/>
                                  <w:marBottom w:val="0"/>
                                  <w:divBdr>
                                    <w:top w:val="none" w:sz="0" w:space="0" w:color="auto"/>
                                    <w:left w:val="none" w:sz="0" w:space="0" w:color="auto"/>
                                    <w:bottom w:val="none" w:sz="0" w:space="0" w:color="auto"/>
                                    <w:right w:val="none" w:sz="0" w:space="0" w:color="auto"/>
                                  </w:divBdr>
                                  <w:divsChild>
                                    <w:div w:id="187053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9335238">
      <w:bodyDiv w:val="1"/>
      <w:marLeft w:val="0"/>
      <w:marRight w:val="0"/>
      <w:marTop w:val="0"/>
      <w:marBottom w:val="0"/>
      <w:divBdr>
        <w:top w:val="none" w:sz="0" w:space="0" w:color="auto"/>
        <w:left w:val="none" w:sz="0" w:space="0" w:color="auto"/>
        <w:bottom w:val="none" w:sz="0" w:space="0" w:color="auto"/>
        <w:right w:val="none" w:sz="0" w:space="0" w:color="auto"/>
      </w:divBdr>
      <w:divsChild>
        <w:div w:id="610750196">
          <w:marLeft w:val="0"/>
          <w:marRight w:val="0"/>
          <w:marTop w:val="0"/>
          <w:marBottom w:val="0"/>
          <w:divBdr>
            <w:top w:val="none" w:sz="0" w:space="0" w:color="auto"/>
            <w:left w:val="none" w:sz="0" w:space="0" w:color="auto"/>
            <w:bottom w:val="none" w:sz="0" w:space="0" w:color="auto"/>
            <w:right w:val="none" w:sz="0" w:space="0" w:color="auto"/>
          </w:divBdr>
          <w:divsChild>
            <w:div w:id="115221928">
              <w:marLeft w:val="0"/>
              <w:marRight w:val="0"/>
              <w:marTop w:val="0"/>
              <w:marBottom w:val="0"/>
              <w:divBdr>
                <w:top w:val="none" w:sz="0" w:space="0" w:color="auto"/>
                <w:left w:val="none" w:sz="0" w:space="0" w:color="auto"/>
                <w:bottom w:val="none" w:sz="0" w:space="0" w:color="auto"/>
                <w:right w:val="none" w:sz="0" w:space="0" w:color="auto"/>
              </w:divBdr>
              <w:divsChild>
                <w:div w:id="1699575199">
                  <w:marLeft w:val="0"/>
                  <w:marRight w:val="0"/>
                  <w:marTop w:val="0"/>
                  <w:marBottom w:val="0"/>
                  <w:divBdr>
                    <w:top w:val="none" w:sz="0" w:space="0" w:color="auto"/>
                    <w:left w:val="none" w:sz="0" w:space="0" w:color="auto"/>
                    <w:bottom w:val="none" w:sz="0" w:space="0" w:color="auto"/>
                    <w:right w:val="none" w:sz="0" w:space="0" w:color="auto"/>
                  </w:divBdr>
                  <w:divsChild>
                    <w:div w:id="925845795">
                      <w:marLeft w:val="0"/>
                      <w:marRight w:val="0"/>
                      <w:marTop w:val="0"/>
                      <w:marBottom w:val="0"/>
                      <w:divBdr>
                        <w:top w:val="none" w:sz="0" w:space="0" w:color="auto"/>
                        <w:left w:val="none" w:sz="0" w:space="0" w:color="auto"/>
                        <w:bottom w:val="none" w:sz="0" w:space="0" w:color="auto"/>
                        <w:right w:val="none" w:sz="0" w:space="0" w:color="auto"/>
                      </w:divBdr>
                      <w:divsChild>
                        <w:div w:id="1922371596">
                          <w:marLeft w:val="0"/>
                          <w:marRight w:val="0"/>
                          <w:marTop w:val="0"/>
                          <w:marBottom w:val="0"/>
                          <w:divBdr>
                            <w:top w:val="none" w:sz="0" w:space="0" w:color="auto"/>
                            <w:left w:val="none" w:sz="0" w:space="0" w:color="auto"/>
                            <w:bottom w:val="none" w:sz="0" w:space="0" w:color="auto"/>
                            <w:right w:val="none" w:sz="0" w:space="0" w:color="auto"/>
                          </w:divBdr>
                          <w:divsChild>
                            <w:div w:id="298153758">
                              <w:marLeft w:val="0"/>
                              <w:marRight w:val="0"/>
                              <w:marTop w:val="0"/>
                              <w:marBottom w:val="0"/>
                              <w:divBdr>
                                <w:top w:val="none" w:sz="0" w:space="0" w:color="auto"/>
                                <w:left w:val="none" w:sz="0" w:space="0" w:color="auto"/>
                                <w:bottom w:val="none" w:sz="0" w:space="0" w:color="auto"/>
                                <w:right w:val="none" w:sz="0" w:space="0" w:color="auto"/>
                              </w:divBdr>
                              <w:divsChild>
                                <w:div w:id="41445454">
                                  <w:marLeft w:val="0"/>
                                  <w:marRight w:val="0"/>
                                  <w:marTop w:val="0"/>
                                  <w:marBottom w:val="0"/>
                                  <w:divBdr>
                                    <w:top w:val="none" w:sz="0" w:space="0" w:color="auto"/>
                                    <w:left w:val="none" w:sz="0" w:space="0" w:color="auto"/>
                                    <w:bottom w:val="none" w:sz="0" w:space="0" w:color="auto"/>
                                    <w:right w:val="none" w:sz="0" w:space="0" w:color="auto"/>
                                  </w:divBdr>
                                  <w:divsChild>
                                    <w:div w:id="169680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00DCC-2A0E-44B4-82A6-629916394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2571</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Antonio De Jesus Soares (2335800)</cp:lastModifiedBy>
  <cp:revision>3</cp:revision>
  <dcterms:created xsi:type="dcterms:W3CDTF">2026-07-14T06:28:00Z</dcterms:created>
  <dcterms:modified xsi:type="dcterms:W3CDTF">2026-07-14T06:42:00Z</dcterms:modified>
</cp:coreProperties>
</file>