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22"/>
          <w:szCs w:val="22"/>
        </w:rPr>
      </w:pPr>
      <w:bookmarkStart w:id="39" w:name="_GoBack"/>
      <w:bookmarkEnd w:id="39"/>
      <w:r>
        <w:drawing>
          <wp:inline distT="0" distB="0" distL="114300" distR="114300">
            <wp:extent cx="5728335" cy="7945120"/>
            <wp:effectExtent l="0" t="0" r="12065"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pic:cNvPicPr>
                  </pic:nvPicPr>
                  <pic:blipFill>
                    <a:blip r:embed="rId7"/>
                    <a:stretch>
                      <a:fillRect/>
                    </a:stretch>
                  </pic:blipFill>
                  <pic:spPr>
                    <a:xfrm>
                      <a:off x="0" y="0"/>
                      <a:ext cx="5728335" cy="7945120"/>
                    </a:xfrm>
                    <a:prstGeom prst="rect">
                      <a:avLst/>
                    </a:prstGeom>
                    <a:noFill/>
                    <a:ln>
                      <a:noFill/>
                    </a:ln>
                  </pic:spPr>
                </pic:pic>
              </a:graphicData>
            </a:graphic>
          </wp:inline>
        </w:drawing>
      </w:r>
    </w:p>
    <w:p>
      <w:pPr>
        <w:widowControl/>
        <w:jc w:val="left"/>
        <w:rPr>
          <w:rFonts w:ascii="Times New Roman" w:hAnsi="Times New Roman" w:cs="Times New Roman"/>
          <w:sz w:val="22"/>
          <w:szCs w:val="22"/>
        </w:rPr>
      </w:pPr>
    </w:p>
    <w:p>
      <w:pPr>
        <w:widowControl/>
        <w:jc w:val="left"/>
        <w:rPr>
          <w:rFonts w:ascii="Times New Roman" w:hAnsi="Times New Roman" w:cs="Times New Roman"/>
          <w:sz w:val="22"/>
          <w:szCs w:val="22"/>
        </w:rPr>
      </w:pPr>
      <w:r>
        <w:rPr>
          <w:rFonts w:ascii="Times New Roman" w:hAnsi="Times New Roman" w:cs="Times New Roman"/>
          <w:sz w:val="22"/>
          <w:szCs w:val="22"/>
        </w:rPr>
        <w:br w:type="page"/>
      </w:r>
    </w:p>
    <w:sdt>
      <w:sdtPr>
        <w:rPr>
          <w:rFonts w:asciiTheme="minorHAnsi" w:hAnsiTheme="minorHAnsi" w:eastAsiaTheme="minorEastAsia" w:cstheme="minorBidi"/>
          <w:b w:val="0"/>
          <w:color w:val="auto"/>
          <w:kern w:val="2"/>
          <w:sz w:val="21"/>
          <w:szCs w:val="24"/>
          <w:lang w:eastAsia="zh-CN"/>
        </w:rPr>
        <w:id w:val="591197276"/>
        <w:docPartObj>
          <w:docPartGallery w:val="Table of Contents"/>
          <w:docPartUnique/>
        </w:docPartObj>
      </w:sdtPr>
      <w:sdtEndPr>
        <w:rPr>
          <w:rFonts w:asciiTheme="minorHAnsi" w:hAnsiTheme="minorHAnsi" w:eastAsiaTheme="minorEastAsia" w:cstheme="minorBidi"/>
          <w:b w:val="0"/>
          <w:bCs/>
          <w:color w:val="auto"/>
          <w:kern w:val="2"/>
          <w:sz w:val="21"/>
          <w:szCs w:val="24"/>
          <w:lang w:eastAsia="zh-CN"/>
        </w:rPr>
      </w:sdtEndPr>
      <w:sdtContent>
        <w:p>
          <w:pPr>
            <w:pStyle w:val="20"/>
            <w:spacing w:line="360" w:lineRule="auto"/>
          </w:pPr>
          <w:r>
            <w:t>Contents</w:t>
          </w:r>
        </w:p>
        <w:p>
          <w:pPr>
            <w:pStyle w:val="9"/>
            <w:tabs>
              <w:tab w:val="left" w:pos="480"/>
              <w:tab w:val="right" w:leader="dot" w:pos="9016"/>
            </w:tabs>
            <w:rPr>
              <w:sz w:val="24"/>
              <w:lang w:eastAsia="zh-TW"/>
              <w14:ligatures w14:val="standardContextual"/>
            </w:rPr>
          </w:pPr>
          <w:r>
            <w:fldChar w:fldCharType="begin"/>
          </w:r>
          <w:r>
            <w:instrText xml:space="preserve"> TOC \o "1-3" \h \z \u </w:instrText>
          </w:r>
          <w:r>
            <w:fldChar w:fldCharType="separate"/>
          </w:r>
          <w:r>
            <w:fldChar w:fldCharType="begin"/>
          </w:r>
          <w:r>
            <w:instrText xml:space="preserve"> HYPERLINK \l "_Toc176557933" </w:instrText>
          </w:r>
          <w:r>
            <w:fldChar w:fldCharType="separate"/>
          </w:r>
          <w:r>
            <w:rPr>
              <w:rStyle w:val="6"/>
              <w:rFonts w:ascii="Times New Roman Regular" w:hAnsi="Times New Roman Regular" w:cs="Times New Roman Regular"/>
            </w:rPr>
            <w:t>1.</w:t>
          </w:r>
          <w:r>
            <w:rPr>
              <w:sz w:val="24"/>
              <w:lang w:eastAsia="zh-TW"/>
              <w14:ligatures w14:val="standardContextual"/>
            </w:rPr>
            <w:tab/>
          </w:r>
          <w:r>
            <w:rPr>
              <w:rStyle w:val="6"/>
              <w:rFonts w:ascii="Times New Roman Regular" w:hAnsi="Times New Roman Regular" w:cs="Times New Roman Regular"/>
            </w:rPr>
            <w:t>Introduction</w:t>
          </w:r>
          <w:r>
            <w:tab/>
          </w:r>
          <w:r>
            <w:fldChar w:fldCharType="begin"/>
          </w:r>
          <w:r>
            <w:instrText xml:space="preserve"> PAGEREF _Toc176557933 \h </w:instrText>
          </w:r>
          <w:r>
            <w:fldChar w:fldCharType="separate"/>
          </w:r>
          <w:r>
            <w:t>1</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"_Toc176557934" </w:instrText>
          </w:r>
          <w:r>
            <w:fldChar w:fldCharType="separate"/>
          </w:r>
          <w:r>
            <w:rPr>
              <w:rStyle w:val="6"/>
              <w:rFonts w:ascii="Times New Roman Regular" w:hAnsi="Times New Roman Regular" w:cs="Times New Roman Regular"/>
            </w:rPr>
            <w:t>1.1 Company Background</w:t>
          </w:r>
          <w:r>
            <w:tab/>
          </w:r>
          <w:r>
            <w:fldChar w:fldCharType="begin"/>
          </w:r>
          <w:r>
            <w:instrText xml:space="preserve"> PAGEREF _Toc176557934 \h </w:instrText>
          </w:r>
          <w:r>
            <w:fldChar w:fldCharType="separate"/>
          </w:r>
          <w:r>
            <w:t>1</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"_Toc176557935" </w:instrText>
          </w:r>
          <w:r>
            <w:fldChar w:fldCharType="separate"/>
          </w:r>
          <w:r>
            <w:rPr>
              <w:rStyle w:val="6"/>
              <w:rFonts w:ascii="Times New Roman Regular" w:hAnsi="Times New Roman Regular" w:cs="Times New Roman Regular"/>
            </w:rPr>
            <w:t>1.2 Operating business overview (products and services and the sales market)</w:t>
          </w:r>
          <w:r>
            <w:tab/>
          </w:r>
          <w:r>
            <w:fldChar w:fldCharType="begin"/>
          </w:r>
          <w:r>
            <w:instrText xml:space="preserve"> PAGEREF _Toc176557935 \h </w:instrText>
          </w:r>
          <w:r>
            <w:fldChar w:fldCharType="separate"/>
          </w:r>
          <w:r>
            <w:t>1</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"_Toc176557936" </w:instrText>
          </w:r>
          <w:r>
            <w:fldChar w:fldCharType="separate"/>
          </w:r>
          <w:r>
            <w:rPr>
              <w:rStyle w:val="6"/>
              <w:rFonts w:ascii="Times New Roman Regular" w:hAnsi="Times New Roman Regular" w:cs="Times New Roman Regular"/>
            </w:rPr>
            <w:t>1.3 Today’s business environment</w:t>
          </w:r>
          <w:r>
            <w:tab/>
          </w:r>
          <w:r>
            <w:fldChar w:fldCharType="begin"/>
          </w:r>
          <w:r>
            <w:instrText xml:space="preserve"> PAGEREF _Toc176557936 \h </w:instrText>
          </w:r>
          <w:r>
            <w:fldChar w:fldCharType="separate"/>
          </w:r>
          <w:r>
            <w:t>2</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"_Toc176557937" </w:instrText>
          </w:r>
          <w:r>
            <w:fldChar w:fldCharType="separate"/>
          </w:r>
          <w:r>
            <w:rPr>
              <w:rStyle w:val="6"/>
              <w:rFonts w:ascii="Times New Roman Regular" w:hAnsi="Times New Roman Regular" w:cs="Times New Roman Regular"/>
            </w:rPr>
            <w:t>1.4 Company structure</w:t>
          </w:r>
          <w:r>
            <w:tab/>
          </w:r>
          <w:r>
            <w:fldChar w:fldCharType="begin"/>
          </w:r>
          <w:r>
            <w:instrText xml:space="preserve"> PAGEREF _Toc176557937 \h </w:instrText>
          </w:r>
          <w:r>
            <w:fldChar w:fldCharType="separate"/>
          </w:r>
          <w:r>
            <w:t>2</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"_Toc176557938" </w:instrText>
          </w:r>
          <w:r>
            <w:fldChar w:fldCharType="separate"/>
          </w:r>
          <w:r>
            <w:rPr>
              <w:rStyle w:val="6"/>
              <w:rFonts w:ascii="Times New Roman Regular" w:hAnsi="Times New Roman Regular" w:cs="Times New Roman Regular"/>
            </w:rPr>
            <w:t>1.5 Research comparison company information</w:t>
          </w:r>
          <w:r>
            <w:tab/>
          </w:r>
          <w:r>
            <w:fldChar w:fldCharType="begin"/>
          </w:r>
          <w:r>
            <w:instrText xml:space="preserve"> PAGEREF _Toc176557938 \h </w:instrText>
          </w:r>
          <w:r>
            <w:fldChar w:fldCharType="separate"/>
          </w:r>
          <w:r>
            <w:t>3</w:t>
          </w:r>
          <w:r>
            <w:fldChar w:fldCharType="end"/>
          </w:r>
          <w:r>
            <w:fldChar w:fldCharType="end"/>
          </w:r>
        </w:p>
        <w:p>
          <w:pPr>
            <w:pStyle w:val="9"/>
            <w:tabs>
              <w:tab w:val="left" w:pos="480"/>
              <w:tab w:val="right" w:leader="dot" w:pos="9016"/>
            </w:tabs>
            <w:rPr>
              <w:sz w:val="24"/>
              <w:lang w:eastAsia="zh-TW"/>
              <w14:ligatures w14:val="standardContextual"/>
            </w:rPr>
          </w:pPr>
          <w:r>
            <w:fldChar w:fldCharType="begin"/>
          </w:r>
          <w:r>
            <w:instrText xml:space="preserve"> HYPERLINK \l "_Toc176557939" </w:instrText>
          </w:r>
          <w:r>
            <w:fldChar w:fldCharType="separate"/>
          </w:r>
          <w:r>
            <w:rPr>
              <w:rStyle w:val="6"/>
              <w:rFonts w:ascii="Times New Roman Regular" w:hAnsi="Times New Roman Regular" w:cs="Times New Roman Regular"/>
            </w:rPr>
            <w:t>2.</w:t>
          </w:r>
          <w:r>
            <w:rPr>
              <w:sz w:val="24"/>
              <w:lang w:eastAsia="zh-TW"/>
              <w14:ligatures w14:val="standardContextual"/>
            </w:rPr>
            <w:tab/>
          </w:r>
          <w:r>
            <w:rPr>
              <w:rStyle w:val="6"/>
              <w:rFonts w:ascii="Times New Roman Regular" w:hAnsi="Times New Roman Regular" w:cs="Times New Roman Regular"/>
            </w:rPr>
            <w:t>Carlsberg financial analysis</w:t>
          </w:r>
          <w:r>
            <w:tab/>
          </w:r>
          <w:r>
            <w:fldChar w:fldCharType="begin"/>
          </w:r>
          <w:r>
            <w:instrText xml:space="preserve"> PAGEREF _Toc176557939 \h </w:instrText>
          </w:r>
          <w:r>
            <w:fldChar w:fldCharType="separate"/>
          </w:r>
          <w:r>
            <w:t>4</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"_Toc176557940" </w:instrText>
          </w:r>
          <w:r>
            <w:fldChar w:fldCharType="separate"/>
          </w:r>
          <w:r>
            <w:rPr>
              <w:rStyle w:val="6"/>
              <w:rFonts w:ascii="Times New Roman Regular" w:hAnsi="Times New Roman Regular" w:cs="Times New Roman Regular"/>
            </w:rPr>
            <w:t>2.1 Listed companies of bankruptcy index Z-score analysis</w:t>
          </w:r>
          <w:r>
            <w:tab/>
          </w:r>
          <w:r>
            <w:fldChar w:fldCharType="begin"/>
          </w:r>
          <w:r>
            <w:instrText xml:space="preserve"> PAGEREF _Toc176557940 \h </w:instrText>
          </w:r>
          <w:r>
            <w:fldChar w:fldCharType="separate"/>
          </w:r>
          <w:r>
            <w:t>4</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"_Toc176557941" </w:instrText>
          </w:r>
          <w:r>
            <w:fldChar w:fldCharType="separate"/>
          </w:r>
          <w:r>
            <w:rPr>
              <w:rStyle w:val="6"/>
              <w:rFonts w:ascii="Times New Roman Regular" w:hAnsi="Times New Roman Regular" w:cs="Times New Roman Regular"/>
            </w:rPr>
            <w:t>2.2 Financial structure</w:t>
          </w:r>
          <w:r>
            <w:tab/>
          </w:r>
          <w:r>
            <w:fldChar w:fldCharType="begin"/>
          </w:r>
          <w:r>
            <w:instrText xml:space="preserve"> PAGEREF _Toc176557941 \h </w:instrText>
          </w:r>
          <w:r>
            <w:fldChar w:fldCharType="separate"/>
          </w:r>
          <w:r>
            <w:t>5</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"_Toc176557942" </w:instrText>
          </w:r>
          <w:r>
            <w:fldChar w:fldCharType="separate"/>
          </w:r>
          <w:r>
            <w:rPr>
              <w:rStyle w:val="6"/>
              <w:rFonts w:ascii="Times New Roman Bold" w:hAnsi="Times New Roman Bold" w:cs="Times New Roman Bold"/>
            </w:rPr>
            <w:t>2.3 Paying debt ability</w:t>
          </w:r>
          <w:r>
            <w:tab/>
          </w:r>
          <w:r>
            <w:fldChar w:fldCharType="begin"/>
          </w:r>
          <w:r>
            <w:instrText xml:space="preserve"> PAGEREF _Toc176557942 \h </w:instrText>
          </w:r>
          <w:r>
            <w:fldChar w:fldCharType="separate"/>
          </w:r>
          <w:r>
            <w:t>8</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"_Toc176557943" </w:instrText>
          </w:r>
          <w:r>
            <w:fldChar w:fldCharType="separate"/>
          </w:r>
          <w:r>
            <w:rPr>
              <w:rStyle w:val="6"/>
              <w:rFonts w:ascii="Times New Roman Regular" w:hAnsi="Times New Roman Regular" w:cs="Times New Roman Regular"/>
            </w:rPr>
            <w:t>2.4 Operational ability</w:t>
          </w:r>
          <w:r>
            <w:tab/>
          </w:r>
          <w:r>
            <w:fldChar w:fldCharType="begin"/>
          </w:r>
          <w:r>
            <w:instrText xml:space="preserve"> PAGEREF _Toc176557943 \h </w:instrText>
          </w:r>
          <w:r>
            <w:fldChar w:fldCharType="separate"/>
          </w:r>
          <w:r>
            <w:t>10</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"_Toc176557944" </w:instrText>
          </w:r>
          <w:r>
            <w:fldChar w:fldCharType="separate"/>
          </w:r>
          <w:r>
            <w:rPr>
              <w:rStyle w:val="6"/>
              <w:rFonts w:ascii="Times New Roman Regular" w:hAnsi="Times New Roman Regular" w:cs="Times New Roman Regular"/>
            </w:rPr>
            <w:t>2.5 Profitability</w:t>
          </w:r>
          <w:r>
            <w:tab/>
          </w:r>
          <w:r>
            <w:fldChar w:fldCharType="begin"/>
          </w:r>
          <w:r>
            <w:instrText xml:space="preserve"> PAGEREF _Toc176557944 \h </w:instrText>
          </w:r>
          <w:r>
            <w:fldChar w:fldCharType="separate"/>
          </w:r>
          <w:r>
            <w:t>13</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"_Toc176557945" </w:instrText>
          </w:r>
          <w:r>
            <w:fldChar w:fldCharType="separate"/>
          </w:r>
          <w:r>
            <w:rPr>
              <w:rStyle w:val="6"/>
              <w:rFonts w:ascii="Times New Roman Regular" w:hAnsi="Times New Roman Regular" w:cs="Times New Roman Regular"/>
            </w:rPr>
            <w:t>2.6 Growth ability</w:t>
          </w:r>
          <w:r>
            <w:tab/>
          </w:r>
          <w:r>
            <w:fldChar w:fldCharType="begin"/>
          </w:r>
          <w:r>
            <w:instrText xml:space="preserve"> PAGEREF _Toc176557945 \h </w:instrText>
          </w:r>
          <w:r>
            <w:fldChar w:fldCharType="separate"/>
          </w:r>
          <w:r>
            <w:t>15</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"_Toc176557946" </w:instrText>
          </w:r>
          <w:r>
            <w:fldChar w:fldCharType="separate"/>
          </w:r>
          <w:r>
            <w:rPr>
              <w:rStyle w:val="6"/>
              <w:rFonts w:ascii="Times New Roman Regular" w:hAnsi="Times New Roman Regular" w:cs="Times New Roman Regular"/>
            </w:rPr>
            <w:t>2.7 Stock Market Prospects Analysis</w:t>
          </w:r>
          <w:r>
            <w:tab/>
          </w:r>
          <w:r>
            <w:fldChar w:fldCharType="begin"/>
          </w:r>
          <w:r>
            <w:instrText xml:space="preserve"> PAGEREF _Toc176557946 \h </w:instrText>
          </w:r>
          <w:r>
            <w:fldChar w:fldCharType="separate"/>
          </w:r>
          <w:r>
            <w:t>16</w:t>
          </w:r>
          <w:r>
            <w:fldChar w:fldCharType="end"/>
          </w:r>
          <w:r>
            <w:fldChar w:fldCharType="end"/>
          </w:r>
        </w:p>
        <w:p>
          <w:pPr>
            <w:pStyle w:val="9"/>
            <w:tabs>
              <w:tab w:val="left" w:pos="480"/>
              <w:tab w:val="right" w:leader="dot" w:pos="9016"/>
            </w:tabs>
            <w:rPr>
              <w:sz w:val="24"/>
              <w:lang w:eastAsia="zh-TW"/>
              <w14:ligatures w14:val="standardContextual"/>
            </w:rPr>
          </w:pPr>
          <w:r>
            <w:fldChar w:fldCharType="begin"/>
          </w:r>
          <w:r>
            <w:instrText xml:space="preserve"> HYPERLINK \l "_Toc176557947" </w:instrText>
          </w:r>
          <w:r>
            <w:fldChar w:fldCharType="separate"/>
          </w:r>
          <w:r>
            <w:rPr>
              <w:rStyle w:val="6"/>
              <w:rFonts w:ascii="Times New Roman Regular" w:hAnsi="Times New Roman Regular" w:cs="Times New Roman Regular"/>
            </w:rPr>
            <w:t>3.</w:t>
          </w:r>
          <w:r>
            <w:rPr>
              <w:sz w:val="24"/>
              <w:lang w:eastAsia="zh-TW"/>
              <w14:ligatures w14:val="standardContextual"/>
            </w:rPr>
            <w:tab/>
          </w:r>
          <w:r>
            <w:rPr>
              <w:rStyle w:val="6"/>
              <w:rFonts w:ascii="Times New Roman Regular" w:hAnsi="Times New Roman Regular" w:cs="Times New Roman Regular"/>
              <w:lang w:eastAsia="zh-TW"/>
            </w:rPr>
            <w:t>Carlsberg</w:t>
          </w:r>
          <w:r>
            <w:rPr>
              <w:rStyle w:val="6"/>
              <w:rFonts w:ascii="Times New Roman Regular" w:hAnsi="Times New Roman Regular" w:cs="Times New Roman Regular"/>
            </w:rPr>
            <w:t>’s Corporate Governance assessment</w:t>
          </w:r>
          <w:r>
            <w:tab/>
          </w:r>
          <w:r>
            <w:fldChar w:fldCharType="begin"/>
          </w:r>
          <w:r>
            <w:instrText xml:space="preserve"> PAGEREF _Toc176557947 \h </w:instrText>
          </w:r>
          <w:r>
            <w:fldChar w:fldCharType="separate"/>
          </w:r>
          <w:r>
            <w:t>16</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"_Toc176557948" </w:instrText>
          </w:r>
          <w:r>
            <w:fldChar w:fldCharType="separate"/>
          </w:r>
          <w:r>
            <w:rPr>
              <w:rStyle w:val="6"/>
              <w:rFonts w:ascii="Times New Roman Regular" w:hAnsi="Times New Roman Regular" w:cs="Times New Roman Regular"/>
            </w:rPr>
            <w:t>3.1 Corporate Governance of business organization and its impact and importance</w:t>
          </w:r>
          <w:r>
            <w:tab/>
          </w:r>
          <w:r>
            <w:fldChar w:fldCharType="begin"/>
          </w:r>
          <w:r>
            <w:instrText xml:space="preserve"> PAGEREF _Toc176557948 \h </w:instrText>
          </w:r>
          <w:r>
            <w:fldChar w:fldCharType="separate"/>
          </w:r>
          <w:r>
            <w:t>16</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"_Toc176557949" </w:instrText>
          </w:r>
          <w:r>
            <w:fldChar w:fldCharType="separate"/>
          </w:r>
          <w:r>
            <w:rPr>
              <w:rStyle w:val="6"/>
              <w:rFonts w:ascii="Times New Roman Regular" w:hAnsi="Times New Roman Regular" w:cs="Times New Roman Regular"/>
              <w:lang w:eastAsia="zh-TW"/>
            </w:rPr>
            <w:t>3.2 Carlsberg’s existing Corporate Governance</w:t>
          </w:r>
          <w:r>
            <w:tab/>
          </w:r>
          <w:r>
            <w:fldChar w:fldCharType="begin"/>
          </w:r>
          <w:r>
            <w:instrText xml:space="preserve"> PAGEREF _Toc176557949 \h </w:instrText>
          </w:r>
          <w:r>
            <w:fldChar w:fldCharType="separate"/>
          </w:r>
          <w:r>
            <w:t>17</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"_Toc176557950" </w:instrText>
          </w:r>
          <w:r>
            <w:fldChar w:fldCharType="separate"/>
          </w:r>
          <w:r>
            <w:rPr>
              <w:rStyle w:val="6"/>
              <w:rFonts w:ascii="Times New Roman Regular" w:hAnsi="Times New Roman Regular" w:cs="Times New Roman Regular"/>
            </w:rPr>
            <w:t>3.3 Suggestions for improvement</w:t>
          </w:r>
          <w:r>
            <w:tab/>
          </w:r>
          <w:r>
            <w:fldChar w:fldCharType="begin"/>
          </w:r>
          <w:r>
            <w:instrText xml:space="preserve"> PAGEREF _Toc176557950 \h </w:instrText>
          </w:r>
          <w:r>
            <w:fldChar w:fldCharType="separate"/>
          </w:r>
          <w:r>
            <w:t>19</w:t>
          </w:r>
          <w:r>
            <w:fldChar w:fldCharType="end"/>
          </w:r>
          <w:r>
            <w:fldChar w:fldCharType="end"/>
          </w:r>
        </w:p>
        <w:p>
          <w:pPr>
            <w:pStyle w:val="9"/>
            <w:tabs>
              <w:tab w:val="left" w:pos="480"/>
              <w:tab w:val="right" w:leader="dot" w:pos="9016"/>
            </w:tabs>
            <w:rPr>
              <w:sz w:val="24"/>
              <w:lang w:eastAsia="zh-TW"/>
              <w14:ligatures w14:val="standardContextual"/>
            </w:rPr>
          </w:pPr>
          <w:r>
            <w:fldChar w:fldCharType="begin"/>
          </w:r>
          <w:r>
            <w:instrText xml:space="preserve"> HYPERLINK \l "_Toc176557951" </w:instrText>
          </w:r>
          <w:r>
            <w:fldChar w:fldCharType="separate"/>
          </w:r>
          <w:r>
            <w:rPr>
              <w:rStyle w:val="6"/>
              <w:rFonts w:ascii="Times New Roman Regular" w:hAnsi="Times New Roman Regular" w:cs="Times New Roman Regular"/>
              <w:lang w:eastAsia="zh-TW"/>
            </w:rPr>
            <w:t>4.</w:t>
          </w:r>
          <w:r>
            <w:rPr>
              <w:sz w:val="24"/>
              <w:lang w:eastAsia="zh-TW"/>
              <w14:ligatures w14:val="standardContextual"/>
            </w:rPr>
            <w:tab/>
          </w:r>
          <w:r>
            <w:rPr>
              <w:rStyle w:val="6"/>
              <w:rFonts w:ascii="Times New Roman Regular" w:hAnsi="Times New Roman Regular" w:cs="Times New Roman Regular"/>
            </w:rPr>
            <w:t>Investment Project Appraisal</w:t>
          </w:r>
          <w:r>
            <w:tab/>
          </w:r>
          <w:r>
            <w:fldChar w:fldCharType="begin"/>
          </w:r>
          <w:r>
            <w:instrText xml:space="preserve"> PAGEREF _Toc176557951 \h </w:instrText>
          </w:r>
          <w:r>
            <w:fldChar w:fldCharType="separate"/>
          </w:r>
          <w:r>
            <w:t>20</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"_Toc176557952" </w:instrText>
          </w:r>
          <w:r>
            <w:fldChar w:fldCharType="separate"/>
          </w:r>
          <w:r>
            <w:rPr>
              <w:rStyle w:val="6"/>
              <w:rFonts w:ascii="Times New Roman Regular" w:hAnsi="Times New Roman Regular" w:cs="Times New Roman Regular"/>
              <w:lang w:eastAsia="zh-TW"/>
            </w:rPr>
            <w:t>4.1 Investment Project description</w:t>
          </w:r>
          <w:r>
            <w:tab/>
          </w:r>
          <w:r>
            <w:fldChar w:fldCharType="begin"/>
          </w:r>
          <w:r>
            <w:instrText xml:space="preserve"> PAGEREF _Toc176557952 \h </w:instrText>
          </w:r>
          <w:r>
            <w:fldChar w:fldCharType="separate"/>
          </w:r>
          <w:r>
            <w:t>20</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"_Toc176557953" </w:instrText>
          </w:r>
          <w:r>
            <w:fldChar w:fldCharType="separate"/>
          </w:r>
          <w:r>
            <w:rPr>
              <w:rStyle w:val="6"/>
              <w:rFonts w:ascii="Times New Roman Regular" w:hAnsi="Times New Roman Regular" w:cs="Times New Roman Regular"/>
            </w:rPr>
            <w:t>4.2 Project items basic information</w:t>
          </w:r>
          <w:r>
            <w:tab/>
          </w:r>
          <w:r>
            <w:fldChar w:fldCharType="begin"/>
          </w:r>
          <w:r>
            <w:instrText xml:space="preserve"> PAGEREF _Toc176557953 \h </w:instrText>
          </w:r>
          <w:r>
            <w:fldChar w:fldCharType="separate"/>
          </w:r>
          <w:r>
            <w:t>22</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"_Toc176557954" </w:instrText>
          </w:r>
          <w:r>
            <w:fldChar w:fldCharType="separate"/>
          </w:r>
          <w:r>
            <w:rPr>
              <w:rStyle w:val="6"/>
              <w:rFonts w:ascii="Times New Roman Regular" w:hAnsi="Times New Roman Regular" w:cs="Times New Roman Regular"/>
            </w:rPr>
            <w:t>4.3 The first-year calculation of sales</w:t>
          </w:r>
          <w:r>
            <w:tab/>
          </w:r>
          <w:r>
            <w:fldChar w:fldCharType="begin"/>
          </w:r>
          <w:r>
            <w:instrText xml:space="preserve"> PAGEREF _Toc176557954 \h </w:instrText>
          </w:r>
          <w:r>
            <w:fldChar w:fldCharType="separate"/>
          </w:r>
          <w:r>
            <w:t>23</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"_Toc176557955" </w:instrText>
          </w:r>
          <w:r>
            <w:fldChar w:fldCharType="separate"/>
          </w:r>
          <w:r>
            <w:rPr>
              <w:rStyle w:val="6"/>
              <w:rFonts w:ascii="Times New Roman Regular" w:hAnsi="Times New Roman Regular" w:cs="Times New Roman Regular"/>
            </w:rPr>
            <w:t>4.4 Computing Tax Cost</w:t>
          </w:r>
          <w:r>
            <w:tab/>
          </w:r>
          <w:r>
            <w:fldChar w:fldCharType="begin"/>
          </w:r>
          <w:r>
            <w:instrText xml:space="preserve"> PAGEREF _Toc176557955 \h </w:instrText>
          </w:r>
          <w:r>
            <w:fldChar w:fldCharType="separate"/>
          </w:r>
          <w:r>
            <w:t>23</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"_Toc176557956" </w:instrText>
          </w:r>
          <w:r>
            <w:fldChar w:fldCharType="separate"/>
          </w:r>
          <w:r>
            <w:rPr>
              <w:rStyle w:val="6"/>
              <w:rFonts w:ascii="Times New Roman Regular" w:hAnsi="Times New Roman Regular" w:cs="Times New Roman Regular"/>
            </w:rPr>
            <w:t>4.5 Cashflow calculation</w:t>
          </w:r>
          <w:r>
            <w:tab/>
          </w:r>
          <w:r>
            <w:fldChar w:fldCharType="begin"/>
          </w:r>
          <w:r>
            <w:instrText xml:space="preserve"> PAGEREF _Toc176557956 \h </w:instrText>
          </w:r>
          <w:r>
            <w:fldChar w:fldCharType="separate"/>
          </w:r>
          <w:r>
            <w:t>23</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"_Toc176557957" </w:instrText>
          </w:r>
          <w:r>
            <w:fldChar w:fldCharType="separate"/>
          </w:r>
          <w:r>
            <w:rPr>
              <w:rStyle w:val="6"/>
              <w:rFonts w:ascii="Times New Roman Regular" w:hAnsi="Times New Roman Regular" w:cs="Times New Roman Regular"/>
            </w:rPr>
            <w:t>4.6 ARR and NPV calculation</w:t>
          </w:r>
          <w:r>
            <w:tab/>
          </w:r>
          <w:r>
            <w:fldChar w:fldCharType="begin"/>
          </w:r>
          <w:r>
            <w:instrText xml:space="preserve"> PAGEREF _Toc176557957 \h </w:instrText>
          </w:r>
          <w:r>
            <w:fldChar w:fldCharType="separate"/>
          </w:r>
          <w:r>
            <w:t>24</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"_Toc176557958" </w:instrText>
          </w:r>
          <w:r>
            <w:fldChar w:fldCharType="separate"/>
          </w:r>
          <w:r>
            <w:rPr>
              <w:rStyle w:val="6"/>
              <w:rFonts w:ascii="Times New Roman Regular" w:hAnsi="Times New Roman Regular" w:cs="Times New Roman Regular"/>
            </w:rPr>
            <w:t>4.7 Payback period and IRR</w:t>
          </w:r>
          <w:r>
            <w:tab/>
          </w:r>
          <w:r>
            <w:fldChar w:fldCharType="begin"/>
          </w:r>
          <w:r>
            <w:instrText xml:space="preserve"> PAGEREF _Toc176557958 \h </w:instrText>
          </w:r>
          <w:r>
            <w:fldChar w:fldCharType="separate"/>
          </w:r>
          <w:r>
            <w:t>24</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"_Toc176557959" </w:instrText>
          </w:r>
          <w:r>
            <w:fldChar w:fldCharType="separate"/>
          </w:r>
          <w:r>
            <w:rPr>
              <w:rStyle w:val="6"/>
              <w:rFonts w:ascii="Times New Roman Regular" w:hAnsi="Times New Roman Regular" w:cs="Times New Roman Regular"/>
            </w:rPr>
            <w:t>4.8 Investment Appraisal</w:t>
          </w:r>
          <w:r>
            <w:tab/>
          </w:r>
          <w:r>
            <w:fldChar w:fldCharType="begin"/>
          </w:r>
          <w:r>
            <w:instrText xml:space="preserve"> PAGEREF _Toc176557959 \h </w:instrText>
          </w:r>
          <w:r>
            <w:fldChar w:fldCharType="separate"/>
          </w:r>
          <w:r>
            <w:t>24</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"_Toc176557960" </w:instrText>
          </w:r>
          <w:r>
            <w:fldChar w:fldCharType="separate"/>
          </w:r>
          <w:r>
            <w:rPr>
              <w:rStyle w:val="6"/>
              <w:rFonts w:ascii="Times New Roman Regular" w:hAnsi="Times New Roman Regular" w:cs="Times New Roman Regular"/>
            </w:rPr>
            <w:t>4.9 New project appraisal methods for analysis</w:t>
          </w:r>
          <w:r>
            <w:tab/>
          </w:r>
          <w:r>
            <w:fldChar w:fldCharType="begin"/>
          </w:r>
          <w:r>
            <w:instrText xml:space="preserve"> PAGEREF _Toc176557960 \h </w:instrText>
          </w:r>
          <w:r>
            <w:fldChar w:fldCharType="separate"/>
          </w:r>
          <w:r>
            <w:t>25</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"_Toc176557961" </w:instrText>
          </w:r>
          <w:r>
            <w:fldChar w:fldCharType="separate"/>
          </w:r>
          <w:r>
            <w:rPr>
              <w:rStyle w:val="6"/>
              <w:rFonts w:ascii="Times New Roman Regular" w:hAnsi="Times New Roman Regular" w:cs="Times New Roman Regular"/>
            </w:rPr>
            <w:t>4.10 Suggestion for cashflow of new project</w:t>
          </w:r>
          <w:r>
            <w:tab/>
          </w:r>
          <w:r>
            <w:fldChar w:fldCharType="begin"/>
          </w:r>
          <w:r>
            <w:instrText xml:space="preserve"> PAGEREF _Toc176557961 \h </w:instrText>
          </w:r>
          <w:r>
            <w:fldChar w:fldCharType="separate"/>
          </w:r>
          <w:r>
            <w:t>26</w:t>
          </w:r>
          <w:r>
            <w:fldChar w:fldCharType="end"/>
          </w:r>
          <w:r>
            <w:fldChar w:fldCharType="end"/>
          </w:r>
        </w:p>
        <w:p>
          <w:pPr>
            <w:pStyle w:val="9"/>
            <w:tabs>
              <w:tab w:val="right" w:leader="dot" w:pos="9016"/>
            </w:tabs>
            <w:rPr>
              <w:sz w:val="24"/>
              <w:lang w:eastAsia="zh-TW"/>
              <w14:ligatures w14:val="standardContextual"/>
            </w:rPr>
          </w:pPr>
          <w:r>
            <w:fldChar w:fldCharType="begin"/>
          </w:r>
          <w:r>
            <w:instrText xml:space="preserve"> HYPERLINK \l "_Toc176557962" </w:instrText>
          </w:r>
          <w:r>
            <w:fldChar w:fldCharType="separate"/>
          </w:r>
          <w:r>
            <w:rPr>
              <w:rStyle w:val="6"/>
              <w:rFonts w:ascii="Times New Roman Regular" w:hAnsi="Times New Roman Regular" w:cs="Times New Roman Regular"/>
            </w:rPr>
            <w:t>5. Financing and capital management</w:t>
          </w:r>
          <w:r>
            <w:tab/>
          </w:r>
          <w:r>
            <w:fldChar w:fldCharType="begin"/>
          </w:r>
          <w:r>
            <w:instrText xml:space="preserve"> PAGEREF _Toc176557962 \h </w:instrText>
          </w:r>
          <w:r>
            <w:fldChar w:fldCharType="separate"/>
          </w:r>
          <w:r>
            <w:t>26</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"_Toc176557963" </w:instrText>
          </w:r>
          <w:r>
            <w:fldChar w:fldCharType="separate"/>
          </w:r>
          <w:r>
            <w:rPr>
              <w:rStyle w:val="6"/>
              <w:rFonts w:ascii="Times New Roman Regular" w:hAnsi="Times New Roman Regular" w:cs="Times New Roman Regular"/>
            </w:rPr>
            <w:t>5.1 Financing Methods for analyzing</w:t>
          </w:r>
          <w:r>
            <w:tab/>
          </w:r>
          <w:r>
            <w:fldChar w:fldCharType="begin"/>
          </w:r>
          <w:r>
            <w:instrText xml:space="preserve"> PAGEREF _Toc176557963 \h </w:instrText>
          </w:r>
          <w:r>
            <w:fldChar w:fldCharType="separate"/>
          </w:r>
          <w:r>
            <w:t>26</w:t>
          </w:r>
          <w:r>
            <w:fldChar w:fldCharType="end"/>
          </w:r>
          <w:r>
            <w:fldChar w:fldCharType="end"/>
          </w:r>
        </w:p>
        <w:p>
          <w:pPr>
            <w:pStyle w:val="8"/>
            <w:tabs>
              <w:tab w:val="right" w:leader="dot" w:pos="9016"/>
            </w:tabs>
            <w:rPr>
              <w:sz w:val="24"/>
              <w:lang w:eastAsia="zh-TW"/>
              <w14:ligatures w14:val="standardContextual"/>
            </w:rPr>
          </w:pPr>
          <w:r>
            <w:fldChar w:fldCharType="begin"/>
          </w:r>
          <w:r>
            <w:instrText xml:space="preserve"> HYPERLINK \l "_Toc176557964" </w:instrText>
          </w:r>
          <w:r>
            <w:fldChar w:fldCharType="separate"/>
          </w:r>
          <w:r>
            <w:rPr>
              <w:rStyle w:val="6"/>
              <w:rFonts w:ascii="Times New Roman Regular" w:hAnsi="Times New Roman Regular" w:cs="Times New Roman Regular"/>
            </w:rPr>
            <w:t>5.2 Financing method proposed</w:t>
          </w:r>
          <w:r>
            <w:tab/>
          </w:r>
          <w:r>
            <w:fldChar w:fldCharType="begin"/>
          </w:r>
          <w:r>
            <w:instrText xml:space="preserve"> PAGEREF _Toc176557964 \h </w:instrText>
          </w:r>
          <w:r>
            <w:fldChar w:fldCharType="separate"/>
          </w:r>
          <w:r>
            <w:t>28</w:t>
          </w:r>
          <w:r>
            <w:fldChar w:fldCharType="end"/>
          </w:r>
          <w:r>
            <w:fldChar w:fldCharType="end"/>
          </w:r>
        </w:p>
        <w:p>
          <w:pPr>
            <w:pStyle w:val="9"/>
            <w:tabs>
              <w:tab w:val="left" w:pos="480"/>
              <w:tab w:val="right" w:leader="dot" w:pos="9016"/>
            </w:tabs>
            <w:rPr>
              <w:sz w:val="24"/>
              <w:lang w:eastAsia="zh-TW"/>
              <w14:ligatures w14:val="standardContextual"/>
            </w:rPr>
          </w:pPr>
          <w:r>
            <w:fldChar w:fldCharType="begin"/>
          </w:r>
          <w:r>
            <w:instrText xml:space="preserve"> HYPERLINK \l "_Toc176557965" </w:instrText>
          </w:r>
          <w:r>
            <w:fldChar w:fldCharType="separate"/>
          </w:r>
          <w:r>
            <w:rPr>
              <w:rStyle w:val="6"/>
              <w:rFonts w:ascii="Times New Roman Regular" w:hAnsi="Times New Roman Regular" w:cs="Times New Roman Regular"/>
            </w:rPr>
            <w:t>6.</w:t>
          </w:r>
          <w:r>
            <w:rPr>
              <w:sz w:val="24"/>
              <w:lang w:eastAsia="zh-TW"/>
              <w14:ligatures w14:val="standardContextual"/>
            </w:rPr>
            <w:tab/>
          </w:r>
          <w:r>
            <w:rPr>
              <w:rStyle w:val="6"/>
              <w:rFonts w:ascii="Times New Roman Regular" w:hAnsi="Times New Roman Regular" w:cs="Times New Roman Regular"/>
            </w:rPr>
            <w:t>Recommendations and audit program</w:t>
          </w:r>
          <w:r>
            <w:tab/>
          </w:r>
          <w:r>
            <w:fldChar w:fldCharType="begin"/>
          </w:r>
          <w:r>
            <w:instrText xml:space="preserve"> PAGEREF _Toc176557965 \h </w:instrText>
          </w:r>
          <w:r>
            <w:fldChar w:fldCharType="separate"/>
          </w:r>
          <w:r>
            <w:t>28</w:t>
          </w:r>
          <w:r>
            <w:fldChar w:fldCharType="end"/>
          </w:r>
          <w:r>
            <w:fldChar w:fldCharType="end"/>
          </w:r>
        </w:p>
        <w:p>
          <w:pPr>
            <w:pStyle w:val="9"/>
            <w:tabs>
              <w:tab w:val="left" w:pos="480"/>
              <w:tab w:val="right" w:leader="dot" w:pos="9016"/>
            </w:tabs>
            <w:rPr>
              <w:sz w:val="24"/>
              <w:lang w:eastAsia="zh-TW"/>
              <w14:ligatures w14:val="standardContextual"/>
            </w:rPr>
          </w:pPr>
          <w:r>
            <w:fldChar w:fldCharType="begin"/>
          </w:r>
          <w:r>
            <w:instrText xml:space="preserve"> HYPERLINK \l "_Toc176557966" </w:instrText>
          </w:r>
          <w:r>
            <w:fldChar w:fldCharType="separate"/>
          </w:r>
          <w:r>
            <w:rPr>
              <w:rStyle w:val="6"/>
              <w:rFonts w:ascii="Times New Roman Regular" w:hAnsi="Times New Roman Regular" w:cs="Times New Roman Regular"/>
            </w:rPr>
            <w:t>7.</w:t>
          </w:r>
          <w:r>
            <w:rPr>
              <w:sz w:val="24"/>
              <w:lang w:eastAsia="zh-TW"/>
              <w14:ligatures w14:val="standardContextual"/>
            </w:rPr>
            <w:tab/>
          </w:r>
          <w:r>
            <w:rPr>
              <w:rStyle w:val="6"/>
              <w:rFonts w:ascii="Times New Roman Regular" w:hAnsi="Times New Roman Regular" w:cs="Times New Roman Regular"/>
            </w:rPr>
            <w:t>Conclusion and Recommendations</w:t>
          </w:r>
          <w:r>
            <w:tab/>
          </w:r>
          <w:r>
            <w:fldChar w:fldCharType="begin"/>
          </w:r>
          <w:r>
            <w:instrText xml:space="preserve"> PAGEREF _Toc176557966 \h </w:instrText>
          </w:r>
          <w:r>
            <w:fldChar w:fldCharType="separate"/>
          </w:r>
          <w:r>
            <w:t>29</w:t>
          </w:r>
          <w:r>
            <w:fldChar w:fldCharType="end"/>
          </w:r>
          <w:r>
            <w:fldChar w:fldCharType="end"/>
          </w:r>
        </w:p>
        <w:p>
          <w:pPr>
            <w:pStyle w:val="9"/>
            <w:tabs>
              <w:tab w:val="right" w:leader="dot" w:pos="9016"/>
            </w:tabs>
            <w:rPr>
              <w:sz w:val="24"/>
              <w:lang w:eastAsia="zh-TW"/>
              <w14:ligatures w14:val="standardContextual"/>
            </w:rPr>
          </w:pPr>
          <w:r>
            <w:fldChar w:fldCharType="begin"/>
          </w:r>
          <w:r>
            <w:instrText xml:space="preserve"> HYPERLINK \l "_Toc176557967" </w:instrText>
          </w:r>
          <w:r>
            <w:fldChar w:fldCharType="separate"/>
          </w:r>
          <w:r>
            <w:rPr>
              <w:rStyle w:val="6"/>
              <w:rFonts w:ascii="Times New Roman Regular" w:hAnsi="Times New Roman Regular" w:cs="Times New Roman Regular"/>
            </w:rPr>
            <w:t>References</w:t>
          </w:r>
          <w:r>
            <w:tab/>
          </w:r>
          <w:r>
            <w:fldChar w:fldCharType="begin"/>
          </w:r>
          <w:r>
            <w:instrText xml:space="preserve"> PAGEREF _Toc176557967 \h </w:instrText>
          </w:r>
          <w:r>
            <w:fldChar w:fldCharType="separate"/>
          </w:r>
          <w:r>
            <w:t>30</w:t>
          </w:r>
          <w:r>
            <w:fldChar w:fldCharType="end"/>
          </w:r>
          <w:r>
            <w:fldChar w:fldCharType="end"/>
          </w:r>
        </w:p>
        <w:p>
          <w:pPr>
            <w:pStyle w:val="9"/>
            <w:tabs>
              <w:tab w:val="right" w:leader="dot" w:pos="9016"/>
            </w:tabs>
            <w:rPr>
              <w:sz w:val="24"/>
              <w:lang w:eastAsia="zh-TW"/>
              <w14:ligatures w14:val="standardContextual"/>
            </w:rPr>
          </w:pPr>
          <w:r>
            <w:fldChar w:fldCharType="begin"/>
          </w:r>
          <w:r>
            <w:instrText xml:space="preserve"> HYPERLINK \l "_Toc176557968" </w:instrText>
          </w:r>
          <w:r>
            <w:fldChar w:fldCharType="separate"/>
          </w:r>
          <w:r>
            <w:rPr>
              <w:rStyle w:val="6"/>
              <w:rFonts w:ascii="Times New Roman Regular" w:hAnsi="Times New Roman Regular" w:cs="Times New Roman Regular"/>
            </w:rPr>
            <w:t>Appendix 1</w:t>
          </w:r>
          <w:r>
            <w:tab/>
          </w:r>
          <w:r>
            <w:fldChar w:fldCharType="begin"/>
          </w:r>
          <w:r>
            <w:instrText xml:space="preserve"> PAGEREF _Toc176557968 \h </w:instrText>
          </w:r>
          <w:r>
            <w:fldChar w:fldCharType="separate"/>
          </w:r>
          <w:r>
            <w:t>34</w:t>
          </w:r>
          <w:r>
            <w:fldChar w:fldCharType="end"/>
          </w:r>
          <w:r>
            <w:fldChar w:fldCharType="end"/>
          </w:r>
        </w:p>
        <w:p>
          <w:pPr>
            <w:spacing w:line="360" w:lineRule="auto"/>
          </w:pPr>
          <w:r>
            <w:rPr>
              <w:b/>
              <w:bCs/>
            </w:rPr>
            <w:fldChar w:fldCharType="end"/>
          </w:r>
        </w:p>
      </w:sdtContent>
    </w:sdt>
    <w:p>
      <w:pPr>
        <w:widowControl/>
        <w:jc w:val="left"/>
        <w:rPr>
          <w:rFonts w:ascii="Times New Roman" w:hAnsi="Times New Roman" w:cs="Times New Roman"/>
          <w:sz w:val="22"/>
          <w:szCs w:val="22"/>
        </w:rPr>
      </w:pPr>
      <w:r>
        <w:rPr>
          <w:rFonts w:ascii="Times New Roman" w:hAnsi="Times New Roman" w:cs="Times New Roman"/>
          <w:sz w:val="22"/>
          <w:szCs w:val="22"/>
        </w:rPr>
        <w:br w:type="page"/>
      </w:r>
    </w:p>
    <w:p>
      <w:pPr>
        <w:pStyle w:val="2"/>
        <w:numPr>
          <w:ilvl w:val="0"/>
          <w:numId w:val="1"/>
        </w:numPr>
        <w:jc w:val="left"/>
        <w:rPr>
          <w:sz w:val="56"/>
          <w:szCs w:val="56"/>
        </w:rPr>
        <w:sectPr>
          <w:footerReference r:id="rId3" w:type="first"/>
          <w:pgSz w:w="11906" w:h="16838"/>
          <w:pgMar w:top="1440" w:right="1440" w:bottom="1440" w:left="1440" w:header="850" w:footer="994" w:gutter="0"/>
          <w:pgNumType w:start="0" w:chapStyle="1"/>
          <w:cols w:space="425" w:num="1"/>
          <w:titlePg/>
          <w:docGrid w:type="lines" w:linePitch="312" w:charSpace="0"/>
        </w:sectPr>
      </w:pPr>
    </w:p>
    <w:p>
      <w:pPr>
        <w:pStyle w:val="2"/>
        <w:numPr>
          <w:ilvl w:val="0"/>
          <w:numId w:val="1"/>
        </w:numPr>
        <w:spacing w:line="360" w:lineRule="auto"/>
        <w:jc w:val="left"/>
        <w:rPr>
          <w:rFonts w:ascii="Times New Roman Regular" w:hAnsi="Times New Roman Regular" w:cs="Times New Roman Regular"/>
          <w:b w:val="0"/>
          <w:color w:val="auto"/>
          <w:sz w:val="24"/>
          <w:szCs w:val="24"/>
        </w:rPr>
      </w:pPr>
      <w:bookmarkStart w:id="0" w:name="_Toc176557933"/>
      <w:r>
        <w:rPr>
          <w:rFonts w:ascii="Times New Roman Regular" w:hAnsi="Times New Roman Regular" w:cs="Times New Roman Regular"/>
          <w:color w:val="auto"/>
          <w:sz w:val="24"/>
          <w:szCs w:val="24"/>
        </w:rPr>
        <w:t>Introduction</w:t>
      </w:r>
      <w:bookmarkEnd w:id="0"/>
    </w:p>
    <w:p>
      <w:pPr>
        <w:pStyle w:val="3"/>
        <w:numPr>
          <w:ilvl w:val="1"/>
          <w:numId w:val="2"/>
        </w:numPr>
        <w:spacing w:line="360" w:lineRule="auto"/>
        <w:rPr>
          <w:rFonts w:ascii="Times New Roman Regular" w:hAnsi="Times New Roman Regular" w:cs="Times New Roman Regular"/>
          <w:color w:val="auto"/>
          <w:sz w:val="24"/>
          <w:szCs w:val="24"/>
        </w:rPr>
      </w:pPr>
      <w:bookmarkStart w:id="1" w:name="_Toc176557934"/>
      <w:r>
        <w:rPr>
          <w:rFonts w:ascii="Times New Roman Regular" w:hAnsi="Times New Roman Regular" w:cs="Times New Roman Regular"/>
          <w:color w:val="auto"/>
          <w:sz w:val="24"/>
          <w:szCs w:val="24"/>
        </w:rPr>
        <w:t>Company Background</w:t>
      </w:r>
      <w:bookmarkEnd w:id="1"/>
    </w:p>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Group (Carlsberg) is a Danish multinational brew, engaged in drink industry. Carlsberg was established at Copenhagen in 1847 by J.C. Jacobsen(Carlsberg Group, 2024).  Carlsberg is currently listed on Nasdaq Copenhagen, CARL-B.CO. Carlsberg is now the 6</w:t>
      </w:r>
      <w:r>
        <w:rPr>
          <w:rFonts w:ascii="Times New Roman Regular" w:hAnsi="Times New Roman Regular" w:cs="Times New Roman Regular"/>
          <w:sz w:val="24"/>
          <w:vertAlign w:val="superscript"/>
        </w:rPr>
        <w:t>th</w:t>
      </w:r>
      <w:r>
        <w:rPr>
          <w:rFonts w:ascii="Times New Roman Regular" w:hAnsi="Times New Roman Regular" w:cs="Times New Roman Regular"/>
          <w:sz w:val="24"/>
        </w:rPr>
        <w:t xml:space="preserve"> largest brewery in the world in terms of the revenues. In 2008, Scottish &amp; Newcastle, the largest brewer in the UK was bought by Carlsberg and Heineken for EUR7.8B. </w:t>
      </w:r>
      <w:bookmarkStart w:id="2" w:name="OLE_LINK20"/>
      <w:r>
        <w:rPr>
          <w:rFonts w:ascii="Times New Roman Regular" w:hAnsi="Times New Roman Regular" w:cs="Times New Roman Regular"/>
          <w:sz w:val="24"/>
        </w:rPr>
        <w:t>In 2014, the Olympic brewery, Greece’s third largest brewery was taken over by Carlsberg(Reuters, 2024).</w:t>
      </w:r>
      <w:bookmarkEnd w:id="2"/>
      <w:r>
        <w:rPr>
          <w:rFonts w:ascii="Times New Roman Regular" w:hAnsi="Times New Roman Regular" w:cs="Times New Roman Regular"/>
          <w:sz w:val="24"/>
        </w:rPr>
        <w:t xml:space="preserve"> Jacob Aarup-Andersen is a CEO for Carlsberg Group since fall of 2022. Western Europe, Easten Europe and Asia are main markets for Carlsberg. </w:t>
      </w:r>
    </w:p>
    <w:p>
      <w:pPr>
        <w:spacing w:line="360" w:lineRule="auto"/>
        <w:rPr>
          <w:rFonts w:ascii="Times New Roman Regular" w:hAnsi="Times New Roman Regular" w:cs="Times New Roman Regular"/>
          <w:sz w:val="24"/>
        </w:rPr>
      </w:pPr>
    </w:p>
    <w:p>
      <w:pPr>
        <w:pStyle w:val="3"/>
        <w:spacing w:line="360" w:lineRule="auto"/>
        <w:rPr>
          <w:rFonts w:ascii="Times New Roman Regular" w:hAnsi="Times New Roman Regular" w:cs="Times New Roman Regular"/>
          <w:color w:val="auto"/>
          <w:sz w:val="24"/>
          <w:szCs w:val="24"/>
        </w:rPr>
      </w:pPr>
      <w:bookmarkStart w:id="3" w:name="_Toc176557935"/>
      <w:r>
        <w:rPr>
          <w:rFonts w:ascii="Times New Roman Regular" w:hAnsi="Times New Roman Regular" w:cs="Times New Roman Regular"/>
          <w:color w:val="auto"/>
          <w:sz w:val="24"/>
          <w:szCs w:val="24"/>
        </w:rPr>
        <w:t>1.2 Operating business overview (products and services and the sales market)</w:t>
      </w:r>
      <w:bookmarkEnd w:id="3"/>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Developing for more than 200 years, Carlsberg currently has 140 brands, such as 1664, Somersby, Chongqing, etc. And there are different types of beer with different strength can fulfill different people’s preference (Carlsberg Group ,2024).</w:t>
      </w:r>
    </w:p>
    <w:p>
      <w:pPr>
        <w:spacing w:line="360" w:lineRule="auto"/>
        <w:rPr>
          <w:rFonts w:ascii="Times New Roman Regular" w:hAnsi="Times New Roman Regular" w:cs="Times New Roman Regular"/>
          <w:color w:val="FF0000"/>
          <w:sz w:val="24"/>
        </w:rPr>
      </w:pP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Carlsberg divided three geographical regions for sales take place, including West Europe, Asia, Central &amp; Eastern Europe and other countries. </w:t>
      </w:r>
    </w:p>
    <w:p>
      <w:pPr>
        <w:spacing w:line="360" w:lineRule="auto"/>
        <w:rPr>
          <w:rFonts w:ascii="Times New Roman Regular" w:hAnsi="Times New Roman Regular" w:cs="Times New Roman Regular"/>
          <w:sz w:val="24"/>
        </w:rPr>
      </w:pP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business operating has various advantages among the drink industry.</w:t>
      </w:r>
    </w:p>
    <w:p>
      <w:pPr>
        <w:pStyle w:val="15"/>
        <w:numPr>
          <w:ilvl w:val="0"/>
          <w:numId w:val="3"/>
        </w:numPr>
        <w:spacing w:line="360" w:lineRule="auto"/>
        <w:ind w:left="630" w:hanging="270"/>
        <w:rPr>
          <w:rFonts w:ascii="Times New Roman Regular" w:hAnsi="Times New Roman Regular" w:cs="Times New Roman Regular"/>
          <w:sz w:val="24"/>
        </w:rPr>
      </w:pPr>
      <w:r>
        <w:rPr>
          <w:rFonts w:ascii="Times New Roman Regular" w:hAnsi="Times New Roman Regular" w:cs="Times New Roman Regular"/>
          <w:sz w:val="24"/>
        </w:rPr>
        <w:t xml:space="preserve">Being a No.1 or No.2 position in drink industry due to its profession in multinational brewer for over 200 years. Strong market position can be a key driver for Carlsberg operating revenue. </w:t>
      </w:r>
    </w:p>
    <w:p>
      <w:pPr>
        <w:pStyle w:val="15"/>
        <w:numPr>
          <w:ilvl w:val="0"/>
          <w:numId w:val="3"/>
        </w:numPr>
        <w:spacing w:line="360" w:lineRule="auto"/>
        <w:ind w:left="630" w:hanging="270"/>
        <w:rPr>
          <w:rFonts w:ascii="Times New Roman Regular" w:hAnsi="Times New Roman Regular" w:cs="Times New Roman Regular"/>
          <w:sz w:val="24"/>
        </w:rPr>
      </w:pPr>
      <w:r>
        <w:rPr>
          <w:rFonts w:ascii="Times New Roman Regular" w:hAnsi="Times New Roman Regular" w:cs="Times New Roman Regular"/>
          <w:sz w:val="24"/>
        </w:rPr>
        <w:t xml:space="preserve">Carlsberg’s brands offered different products for all consumers’ occasions. Carlsberg also enhanced the variety of low and alcohol-free brews. </w:t>
      </w:r>
    </w:p>
    <w:p>
      <w:pPr>
        <w:pStyle w:val="15"/>
        <w:numPr>
          <w:ilvl w:val="0"/>
          <w:numId w:val="3"/>
        </w:numPr>
        <w:spacing w:line="360" w:lineRule="auto"/>
        <w:ind w:left="630" w:hanging="270"/>
        <w:rPr>
          <w:rFonts w:ascii="Times New Roman Regular" w:hAnsi="Times New Roman Regular" w:cs="Times New Roman Regular"/>
          <w:sz w:val="24"/>
        </w:rPr>
      </w:pPr>
      <w:r>
        <w:rPr>
          <w:rFonts w:ascii="Times New Roman Regular" w:hAnsi="Times New Roman Regular" w:cs="Times New Roman Regular"/>
          <w:sz w:val="24"/>
        </w:rPr>
        <w:t xml:space="preserve">Carlsberg developed digital solutions and services to help their customers deal with the change of environment and achieve business growth. In order to deal with the global environmental concerns, Carlsberg’s has been developing sustainable packaging solutions for enhancing collections and recycling rates. </w:t>
      </w:r>
    </w:p>
    <w:p>
      <w:pPr>
        <w:pStyle w:val="15"/>
        <w:numPr>
          <w:ilvl w:val="0"/>
          <w:numId w:val="3"/>
        </w:numPr>
        <w:spacing w:line="360" w:lineRule="auto"/>
        <w:ind w:left="630" w:hanging="270"/>
        <w:rPr>
          <w:rFonts w:ascii="Times New Roman Regular" w:hAnsi="Times New Roman Regular" w:cs="Times New Roman Regular"/>
          <w:sz w:val="24"/>
        </w:rPr>
      </w:pPr>
      <w:r>
        <w:rPr>
          <w:rFonts w:ascii="Times New Roman Regular" w:hAnsi="Times New Roman Regular" w:cs="Times New Roman Regular"/>
          <w:sz w:val="24"/>
        </w:rPr>
        <w:t xml:space="preserve">In order to optimize the supply chain and process, Carlsberg also has an ambition for minimizing the carbon emissions for supporting their growth agenda. </w:t>
      </w:r>
    </w:p>
    <w:p>
      <w:pPr>
        <w:pStyle w:val="15"/>
        <w:spacing w:line="360" w:lineRule="auto"/>
        <w:ind w:left="360"/>
        <w:rPr>
          <w:rFonts w:ascii="Times New Roman Regular" w:hAnsi="Times New Roman Regular" w:cs="Times New Roman Regular"/>
          <w:sz w:val="24"/>
        </w:rPr>
      </w:pPr>
    </w:p>
    <w:p>
      <w:pPr>
        <w:pStyle w:val="3"/>
        <w:spacing w:line="360" w:lineRule="auto"/>
        <w:rPr>
          <w:rFonts w:ascii="Times New Roman Regular" w:hAnsi="Times New Roman Regular" w:cs="Times New Roman Regular"/>
          <w:color w:val="auto"/>
          <w:sz w:val="24"/>
          <w:szCs w:val="24"/>
        </w:rPr>
      </w:pPr>
      <w:bookmarkStart w:id="4" w:name="_Toc176557936"/>
      <w:r>
        <w:rPr>
          <w:rFonts w:ascii="Times New Roman Regular" w:hAnsi="Times New Roman Regular" w:cs="Times New Roman Regular"/>
          <w:color w:val="auto"/>
          <w:sz w:val="24"/>
          <w:szCs w:val="24"/>
        </w:rPr>
        <w:t>1.3 Today’s business environment</w:t>
      </w:r>
      <w:bookmarkEnd w:id="4"/>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There are several issues that Carlsberg needs to address, </w:t>
      </w:r>
    </w:p>
    <w:p>
      <w:pPr>
        <w:pStyle w:val="15"/>
        <w:numPr>
          <w:ilvl w:val="0"/>
          <w:numId w:val="4"/>
        </w:num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Conflict between Ukraine and Russia</w:t>
      </w:r>
    </w:p>
    <w:p>
      <w:pPr>
        <w:pStyle w:val="15"/>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business was still being impacted by the war of Ukraine and Russia. In order to deal with the conflict, Carlsberg announced to sell Baltika Breweries conditionally in Russia.</w:t>
      </w:r>
    </w:p>
    <w:p>
      <w:pPr>
        <w:pStyle w:val="15"/>
        <w:spacing w:line="360" w:lineRule="auto"/>
        <w:rPr>
          <w:rFonts w:ascii="Times New Roman Regular" w:hAnsi="Times New Roman Regular" w:cs="Times New Roman Regular"/>
          <w:sz w:val="24"/>
        </w:rPr>
      </w:pPr>
    </w:p>
    <w:p>
      <w:pPr>
        <w:pStyle w:val="15"/>
        <w:numPr>
          <w:ilvl w:val="0"/>
          <w:numId w:val="4"/>
        </w:num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Geographical priorities</w:t>
      </w:r>
    </w:p>
    <w:p>
      <w:pPr>
        <w:pStyle w:val="15"/>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Facing with the conflicts with different countries, Asia is still a key volume and value growth driver for Carlsberg, especially China. The largest market is China for Carlsberg’s Asia segment. China will be a huge volume and value engine in the coming years. </w:t>
      </w:r>
    </w:p>
    <w:p>
      <w:pPr>
        <w:pStyle w:val="15"/>
        <w:spacing w:line="360" w:lineRule="auto"/>
        <w:rPr>
          <w:rFonts w:ascii="Times New Roman Regular" w:hAnsi="Times New Roman Regular" w:cs="Times New Roman Regular"/>
          <w:sz w:val="24"/>
        </w:rPr>
      </w:pPr>
    </w:p>
    <w:p>
      <w:pPr>
        <w:pStyle w:val="15"/>
        <w:numPr>
          <w:ilvl w:val="0"/>
          <w:numId w:val="4"/>
        </w:numPr>
        <w:spacing w:line="360" w:lineRule="auto"/>
        <w:rPr>
          <w:rFonts w:ascii="Times New Roman Regular" w:hAnsi="Times New Roman Regular" w:cs="Times New Roman Regular"/>
          <w:b/>
          <w:bCs/>
          <w:sz w:val="24"/>
        </w:rPr>
      </w:pPr>
      <w:r>
        <w:rPr>
          <w:rFonts w:ascii="Times New Roman Regular" w:hAnsi="Times New Roman Regular" w:cs="Times New Roman Regular"/>
          <w:b/>
          <w:bCs/>
          <w:sz w:val="24"/>
        </w:rPr>
        <w:t>Environmental concern and zero carbon emission</w:t>
      </w:r>
    </w:p>
    <w:p>
      <w:pPr>
        <w:spacing w:line="360" w:lineRule="auto"/>
        <w:ind w:left="720"/>
        <w:rPr>
          <w:rFonts w:ascii="Times New Roman Regular" w:hAnsi="Times New Roman Regular" w:cs="Times New Roman Regular"/>
          <w:sz w:val="24"/>
        </w:rPr>
      </w:pPr>
      <w:r>
        <w:rPr>
          <w:rFonts w:ascii="Times New Roman Regular" w:hAnsi="Times New Roman Regular" w:cs="Times New Roman Regular"/>
          <w:sz w:val="24"/>
        </w:rPr>
        <w:t xml:space="preserve">A lot of companies are facing different global challenges, such as climate changes, water scarcity and inequality. Carlsberg aimed toward zero carbon footprint, farming footprint, packaging waste, water waste, irresponsible drinking and accident culture. Carlsberg implemented different tools for achieving their goal, such as using renewable electricity, extraction of biogas, reducing business travel, etc. </w:t>
      </w:r>
    </w:p>
    <w:p>
      <w:pPr>
        <w:spacing w:line="360" w:lineRule="auto"/>
        <w:rPr>
          <w:rFonts w:ascii="Times New Roman Regular" w:hAnsi="Times New Roman Regular" w:cs="Times New Roman Regular"/>
          <w:sz w:val="24"/>
        </w:rPr>
      </w:pPr>
    </w:p>
    <w:p>
      <w:pPr>
        <w:pStyle w:val="3"/>
        <w:spacing w:line="360" w:lineRule="auto"/>
        <w:rPr>
          <w:rFonts w:ascii="Times New Roman Regular" w:hAnsi="Times New Roman Regular" w:cs="Times New Roman Regular"/>
          <w:color w:val="auto"/>
          <w:sz w:val="24"/>
          <w:szCs w:val="24"/>
        </w:rPr>
      </w:pPr>
      <w:bookmarkStart w:id="5" w:name="_Toc176557937"/>
      <w:r>
        <w:rPr>
          <w:rFonts w:ascii="Times New Roman Regular" w:hAnsi="Times New Roman Regular" w:cs="Times New Roman Regular"/>
          <w:color w:val="auto"/>
          <w:sz w:val="24"/>
          <w:szCs w:val="24"/>
        </w:rPr>
        <w:t>1.4 Company structure</w:t>
      </w:r>
      <w:bookmarkEnd w:id="5"/>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A/S is currently listed on Nasdaq Copenhagen with 2 share classes, Carlsberg A and Carlsberg B. An A share carries 20 votes, meanwhile a B share carries 2 votes and is eligible for preferential dividend. As of 31 Dec 2023, the largest shareholder of Carlsberg was the Carlsberg Foundation, accounting for 29% of the capital and 77% of the votes. Free float in the market is about 24% and 71% of capital. Shareholder mainly located in US, accounting for 48%. Nowadays, Carlsberg has 30,000 employee, mainly in Europe and Asia (Carlsberg Group, 2024).</w:t>
      </w:r>
    </w:p>
    <w:p>
      <w:pPr>
        <w:spacing w:line="360" w:lineRule="auto"/>
        <w:rPr>
          <w:rFonts w:ascii="Times New Roman Regular" w:hAnsi="Times New Roman Regular" w:cs="Times New Roman Regular"/>
          <w:sz w:val="24"/>
        </w:rPr>
      </w:pP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0" distR="0">
            <wp:extent cx="5447030" cy="2590165"/>
            <wp:effectExtent l="0" t="0" r="1270" b="635"/>
            <wp:docPr id="1747787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87827" name="Picture 1" descr="A screenshot of a computer&#10;&#10;Description automatically generated"/>
                    <pic:cNvPicPr>
                      <a:picLocks noChangeAspect="1"/>
                    </pic:cNvPicPr>
                  </pic:nvPicPr>
                  <pic:blipFill>
                    <a:blip r:embed="rId8"/>
                    <a:srcRect l="14592" t="11287" r="19749" b="60969"/>
                    <a:stretch>
                      <a:fillRect/>
                    </a:stretch>
                  </pic:blipFill>
                  <pic:spPr>
                    <a:xfrm>
                      <a:off x="0" y="0"/>
                      <a:ext cx="5458288" cy="2595340"/>
                    </a:xfrm>
                    <a:prstGeom prst="rect">
                      <a:avLst/>
                    </a:prstGeom>
                    <a:ln>
                      <a:noFill/>
                    </a:ln>
                  </pic:spPr>
                </pic:pic>
              </a:graphicData>
            </a:graphic>
          </wp:inline>
        </w:drawing>
      </w: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Figure 1 Shareholders of Carlsberg Group </w:t>
      </w:r>
    </w:p>
    <w:p>
      <w:pPr>
        <w:pStyle w:val="3"/>
        <w:spacing w:line="360" w:lineRule="auto"/>
        <w:rPr>
          <w:rFonts w:ascii="Times New Roman Regular" w:hAnsi="Times New Roman Regular" w:cs="Times New Roman Regular"/>
          <w:color w:val="auto"/>
          <w:sz w:val="24"/>
          <w:szCs w:val="24"/>
        </w:rPr>
      </w:pPr>
      <w:bookmarkStart w:id="6" w:name="_Toc176557938"/>
      <w:r>
        <w:rPr>
          <w:rFonts w:ascii="Times New Roman Regular" w:hAnsi="Times New Roman Regular" w:cs="Times New Roman Regular"/>
          <w:color w:val="auto"/>
          <w:sz w:val="24"/>
          <w:szCs w:val="24"/>
        </w:rPr>
        <w:t>1.5 Research comparison company information</w:t>
      </w:r>
      <w:bookmarkEnd w:id="6"/>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Tsingtao Brewery Company Ltd (Tsing Tao) and San Miguel Brewery Hong Kong Limited (San Miguel) would be used for peer comparison in this research. Both companies have the same business nature with Carlsberg. Tsing Tao and San Miguel are currently listed in HKEX, and Carlsberg is listed in Nasdaq Copenhagen. </w:t>
      </w: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The following is the features for those 3 companies:</w:t>
      </w:r>
    </w:p>
    <w:p>
      <w:pPr>
        <w:spacing w:line="360" w:lineRule="auto"/>
        <w:rPr>
          <w:rFonts w:ascii="Times New Roman Regular" w:hAnsi="Times New Roman Regular" w:cs="Times New Roman Regular"/>
          <w:sz w:val="24"/>
        </w:rPr>
      </w:pPr>
      <w:r>
        <w:drawing>
          <wp:inline distT="0" distB="0" distL="114300" distR="114300">
            <wp:extent cx="5729605" cy="2277110"/>
            <wp:effectExtent l="0" t="0" r="10795" b="889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1"/>
                    <pic:cNvPicPr>
                      <a:picLocks noChangeAspect="1"/>
                    </pic:cNvPicPr>
                  </pic:nvPicPr>
                  <pic:blipFill>
                    <a:blip r:embed="rId9"/>
                    <a:stretch>
                      <a:fillRect/>
                    </a:stretch>
                  </pic:blipFill>
                  <pic:spPr>
                    <a:xfrm>
                      <a:off x="0" y="0"/>
                      <a:ext cx="5729605" cy="2277110"/>
                    </a:xfrm>
                    <a:prstGeom prst="rect">
                      <a:avLst/>
                    </a:prstGeom>
                    <a:noFill/>
                    <a:ln>
                      <a:noFill/>
                    </a:ln>
                  </pic:spPr>
                </pic:pic>
              </a:graphicData>
            </a:graphic>
          </wp:inline>
        </w:drawing>
      </w: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(HKD: DKK=1.16; HKD:CNY= 1.1)</w:t>
      </w:r>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Figure 2 Yahoo Finance, 2024</w:t>
      </w:r>
    </w:p>
    <w:p>
      <w:pPr>
        <w:pStyle w:val="2"/>
        <w:numPr>
          <w:ilvl w:val="0"/>
          <w:numId w:val="1"/>
        </w:numPr>
        <w:spacing w:line="360" w:lineRule="auto"/>
        <w:rPr>
          <w:rFonts w:ascii="Times New Roman Regular" w:hAnsi="Times New Roman Regular" w:cs="Times New Roman Regular"/>
          <w:color w:val="auto"/>
          <w:sz w:val="24"/>
          <w:szCs w:val="24"/>
        </w:rPr>
      </w:pPr>
      <w:bookmarkStart w:id="7" w:name="_Toc176557939"/>
      <w:r>
        <w:rPr>
          <w:rFonts w:ascii="Times New Roman Regular" w:hAnsi="Times New Roman Regular" w:cs="Times New Roman Regular"/>
          <w:color w:val="auto"/>
          <w:sz w:val="24"/>
          <w:szCs w:val="24"/>
        </w:rPr>
        <w:t>Carlsberg financial analysis</w:t>
      </w:r>
      <w:bookmarkEnd w:id="7"/>
    </w:p>
    <w:p>
      <w:pPr>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The following part will show the financial analysis for Carlsberg in terms of financial structure. Tsing Tao and San Miguel will be used for peer comparison in order to reflect the financial performance clearly for Carlsberg. </w:t>
      </w:r>
    </w:p>
    <w:p>
      <w:pPr>
        <w:spacing w:line="360" w:lineRule="auto"/>
        <w:rPr>
          <w:rFonts w:ascii="Times New Roman Regular" w:hAnsi="Times New Roman Regular" w:cs="Times New Roman Regular"/>
          <w:sz w:val="24"/>
        </w:rPr>
      </w:pPr>
    </w:p>
    <w:p>
      <w:pPr>
        <w:pStyle w:val="3"/>
        <w:spacing w:line="360" w:lineRule="auto"/>
        <w:jc w:val="left"/>
        <w:rPr>
          <w:rFonts w:ascii="Times New Roman Regular" w:hAnsi="Times New Roman Regular" w:cs="Times New Roman Regular"/>
          <w:color w:val="auto"/>
          <w:sz w:val="24"/>
          <w:szCs w:val="24"/>
        </w:rPr>
      </w:pPr>
      <w:bookmarkStart w:id="8" w:name="_Toc176557940"/>
      <w:r>
        <w:rPr>
          <w:rFonts w:ascii="Times New Roman Regular" w:hAnsi="Times New Roman Regular" w:cs="Times New Roman Regular"/>
          <w:color w:val="auto"/>
          <w:sz w:val="24"/>
          <w:szCs w:val="24"/>
        </w:rPr>
        <w:t>2.1 Listed companies of bankruptcy index Z-score analysis</w:t>
      </w:r>
      <w:bookmarkEnd w:id="8"/>
    </w:p>
    <w:p>
      <w:pPr>
        <w:spacing w:line="360" w:lineRule="auto"/>
        <w:rPr>
          <w:rFonts w:ascii="Times New Roman Regular" w:hAnsi="Times New Roman Regular" w:cs="Times New Roman Regular"/>
          <w:sz w:val="24"/>
        </w:rPr>
      </w:pPr>
      <w:r>
        <w:drawing>
          <wp:inline distT="0" distB="0" distL="114300" distR="114300">
            <wp:extent cx="5724525" cy="3256280"/>
            <wp:effectExtent l="0" t="0" r="15875" b="20320"/>
            <wp:docPr id="3"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2"/>
                    <pic:cNvPicPr>
                      <a:picLocks noChangeAspect="1"/>
                    </pic:cNvPicPr>
                  </pic:nvPicPr>
                  <pic:blipFill>
                    <a:blip r:embed="rId10"/>
                    <a:stretch>
                      <a:fillRect/>
                    </a:stretch>
                  </pic:blipFill>
                  <pic:spPr>
                    <a:xfrm>
                      <a:off x="0" y="0"/>
                      <a:ext cx="5724525" cy="3256280"/>
                    </a:xfrm>
                    <a:prstGeom prst="rect">
                      <a:avLst/>
                    </a:prstGeom>
                    <a:noFill/>
                    <a:ln>
                      <a:noFill/>
                    </a:ln>
                  </pic:spPr>
                </pic:pic>
              </a:graphicData>
            </a:graphic>
          </wp:inline>
        </w:drawing>
      </w:r>
    </w:p>
    <w:p>
      <w:pPr>
        <w:spacing w:line="360" w:lineRule="auto"/>
        <w:jc w:val="left"/>
        <w:rPr>
          <w:rFonts w:ascii="Times New Roman Regular" w:hAnsi="Times New Roman Regular" w:cs="Times New Roman Regular"/>
          <w:sz w:val="24"/>
        </w:rPr>
      </w:pPr>
    </w:p>
    <w:p>
      <w:pPr>
        <w:spacing w:line="360" w:lineRule="auto"/>
        <w:jc w:val="left"/>
        <w:rPr>
          <w:rFonts w:ascii="Times New Roman Regular" w:hAnsi="Times New Roman Regular" w:cs="Times New Roman Regular"/>
          <w:sz w:val="24"/>
        </w:rPr>
      </w:pPr>
      <w:r>
        <w:rPr>
          <w:rFonts w:ascii="Times New Roman Regular" w:hAnsi="Times New Roman Regular" w:cs="Times New Roman Regular"/>
          <w:sz w:val="24"/>
        </w:rPr>
        <w:t>Z-score is an indicator for determining if a company is going to bankruptcy. The Z-score is below 1.8, the company is likely to be bankrupt (Will Kenton,2024)</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Z score: Z=1.2A+1.4B+3.3C+0.6D+0.999E</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A=Working Capital/Total Assets; B=Retained Earnings/Total Assets; C=EBIT/Total Assets; D=[(Stock value X Total number of stocks)/ HKD ex rate]/Total Liabilities; E=Sales/ Total Assets</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drawing>
          <wp:inline distT="0" distB="0" distL="114300" distR="114300">
            <wp:extent cx="5730875" cy="2788920"/>
            <wp:effectExtent l="0" t="0" r="9525" b="5080"/>
            <wp:docPr id="4"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3"/>
                    <pic:cNvPicPr>
                      <a:picLocks noChangeAspect="1"/>
                    </pic:cNvPicPr>
                  </pic:nvPicPr>
                  <pic:blipFill>
                    <a:blip r:embed="rId11"/>
                    <a:stretch>
                      <a:fillRect/>
                    </a:stretch>
                  </pic:blipFill>
                  <pic:spPr>
                    <a:xfrm>
                      <a:off x="0" y="0"/>
                      <a:ext cx="5730875" cy="278892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Carlsberg’s Z score is the highest among those peers, recorded as more than 800 in 3 consecutive years. Thus, the possibility of default for Carlsberg is very low due to its strong equity, business scale and profitability. </w:t>
      </w:r>
    </w:p>
    <w:p>
      <w:pPr>
        <w:tabs>
          <w:tab w:val="left" w:pos="2206"/>
        </w:tabs>
        <w:spacing w:line="360" w:lineRule="auto"/>
        <w:rPr>
          <w:rFonts w:ascii="Times New Roman Regular" w:hAnsi="Times New Roman Regular" w:cs="Times New Roman Regular"/>
          <w:sz w:val="24"/>
        </w:rPr>
      </w:pPr>
    </w:p>
    <w:p>
      <w:pPr>
        <w:pStyle w:val="3"/>
        <w:spacing w:line="360" w:lineRule="auto"/>
        <w:rPr>
          <w:rFonts w:ascii="Times New Roman Regular" w:hAnsi="Times New Roman Regular" w:cs="Times New Roman Regular"/>
          <w:color w:val="auto"/>
          <w:sz w:val="24"/>
          <w:szCs w:val="24"/>
        </w:rPr>
      </w:pPr>
      <w:bookmarkStart w:id="9" w:name="_Toc176557941"/>
      <w:r>
        <w:rPr>
          <w:rFonts w:ascii="Times New Roman Regular" w:hAnsi="Times New Roman Regular" w:cs="Times New Roman Regular"/>
          <w:color w:val="auto"/>
          <w:sz w:val="24"/>
          <w:szCs w:val="24"/>
        </w:rPr>
        <w:t>2.2 Financial structure</w:t>
      </w:r>
      <w:bookmarkEnd w:id="9"/>
    </w:p>
    <w:p>
      <w:pPr>
        <w:tabs>
          <w:tab w:val="left" w:pos="2206"/>
        </w:tabs>
        <w:spacing w:line="360" w:lineRule="auto"/>
      </w:pPr>
      <w:r>
        <w:drawing>
          <wp:inline distT="0" distB="0" distL="114300" distR="114300">
            <wp:extent cx="5730240" cy="3895725"/>
            <wp:effectExtent l="0" t="0" r="10160" b="15875"/>
            <wp:docPr id="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4"/>
                    <pic:cNvPicPr>
                      <a:picLocks noChangeAspect="1"/>
                    </pic:cNvPicPr>
                  </pic:nvPicPr>
                  <pic:blipFill>
                    <a:blip r:embed="rId12"/>
                    <a:stretch>
                      <a:fillRect/>
                    </a:stretch>
                  </pic:blipFill>
                  <pic:spPr>
                    <a:xfrm>
                      <a:off x="0" y="0"/>
                      <a:ext cx="5730240" cy="3895725"/>
                    </a:xfrm>
                    <a:prstGeom prst="rect">
                      <a:avLst/>
                    </a:prstGeom>
                    <a:noFill/>
                    <a:ln>
                      <a:noFill/>
                    </a:ln>
                  </pic:spPr>
                </pic:pic>
              </a:graphicData>
            </a:graphic>
          </wp:inline>
        </w:drawing>
      </w:r>
    </w:p>
    <w:p>
      <w:pPr>
        <w:tabs>
          <w:tab w:val="left" w:pos="2206"/>
        </w:tabs>
        <w:spacing w:line="360" w:lineRule="auto"/>
      </w:pPr>
    </w:p>
    <w:p>
      <w:pPr>
        <w:tabs>
          <w:tab w:val="left" w:pos="2206"/>
        </w:tabs>
        <w:spacing w:line="360" w:lineRule="auto"/>
        <w:jc w:val="left"/>
        <w:rPr>
          <w:rFonts w:ascii="Times New Roman Regular" w:hAnsi="Times New Roman Regular" w:cs="Times New Roman Regular"/>
          <w:sz w:val="24"/>
          <w:lang w:eastAsia="zh-TW"/>
        </w:rPr>
      </w:pPr>
      <w:r>
        <w:rPr>
          <w:rFonts w:ascii="Times New Roman Regular" w:hAnsi="Times New Roman Regular" w:cs="Times New Roman Regular"/>
          <w:sz w:val="24"/>
        </w:rPr>
        <w:t>Though the total asset slightly dropped by DKK3.5B, Carlsberg’s total asset remained stable at DKK111.8B in FY2023 which was attributed to non-current asset at 87% of total assets. The drop of total asset is due to the deconsolidation of the Russian business which offset by higher current assets. Intangible asset is the key component of the non-current asset, while</w:t>
      </w:r>
      <w:r>
        <w:rPr>
          <w:rFonts w:ascii="Times New Roman Regular" w:hAnsi="Times New Roman Regular" w:cs="Times New Roman Regular"/>
          <w:sz w:val="24"/>
          <w:lang w:eastAsia="zh-TW"/>
        </w:rPr>
        <w:t xml:space="preserve"> goodwill is the key component of the intangible asset. Goodwill is the difference between the purchase price of the business and the market value of its assets, net of liabilities (CFI Team,2024).</w:t>
      </w:r>
    </w:p>
    <w:p>
      <w:pPr>
        <w:tabs>
          <w:tab w:val="left" w:pos="2206"/>
        </w:tabs>
        <w:spacing w:line="360" w:lineRule="auto"/>
        <w:jc w:val="left"/>
        <w:rPr>
          <w:rFonts w:ascii="Times New Roman Regular" w:hAnsi="Times New Roman Regular" w:cs="Times New Roman Regular"/>
          <w:sz w:val="24"/>
          <w:lang w:eastAsia="zh-TW"/>
        </w:rPr>
      </w:pPr>
    </w:p>
    <w:p>
      <w:pPr>
        <w:tabs>
          <w:tab w:val="left" w:pos="2206"/>
        </w:tabs>
        <w:spacing w:line="360" w:lineRule="auto"/>
        <w:jc w:val="left"/>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Cash is the key component of the Current assets, increased by 63% in FY2023. The increase was due to the issuance of bonds which were co-managed with cash and cash equivalents. </w:t>
      </w:r>
    </w:p>
    <w:p>
      <w:pPr>
        <w:tabs>
          <w:tab w:val="left" w:pos="2206"/>
        </w:tabs>
        <w:spacing w:line="360" w:lineRule="auto"/>
        <w:jc w:val="left"/>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Total liabilities recorded at DKK86.08B, consisting of 45.1% non-current liabilities and 54.9% current liabilities. 46.9% of trade payable represent the key component of the current liabilities.</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Carlsberg’s borrowings were mainly comprised by long term loan, standing at DKK30.76B. It also provided the liquidity to the Group. Due to its business scale, issuing bond is common to get the fund with the purpose for working capital.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color w:val="0070C0"/>
          <w:sz w:val="24"/>
          <w:lang w:eastAsia="zh-TW"/>
        </w:rPr>
      </w:pPr>
      <w:r>
        <w:rPr>
          <w:rFonts w:ascii="Times New Roman Regular" w:hAnsi="Times New Roman Regular" w:cs="Times New Roman Regular"/>
          <w:sz w:val="24"/>
          <w:lang w:eastAsia="zh-TW"/>
        </w:rPr>
        <w:t>According to Fitch on 9 Jun 2022, Carlsberg’s rating stood at BBB+ with outlook stable. Furthermore, Carlsberg can be believed that its financial performance was very stable and developing steadily (Fitch Ratings,2022).</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rPr>
      </w:pPr>
      <w:r>
        <w:rPr>
          <w:rFonts w:ascii="Times New Roman Bold" w:hAnsi="Times New Roman Bold" w:cs="Times New Roman Bold"/>
          <w:b/>
          <w:bCs/>
          <w:sz w:val="24"/>
          <w:u w:val="single"/>
        </w:rPr>
        <w:t>Fixed Assets to Long term liability ratio</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The fixed assets for Carlsberg was mainly consisted by goodwill which was intangible asset. Fixed assets to long term liability reduced in 3 consecutive years, standing as 1.19 in FY2023 due to the increased long term liability. Nevertheless, its ratio was still in satisfactory as the fixed asset can cover the long term liability.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Current liabilities to Net asset ratio</w:t>
      </w:r>
    </w:p>
    <w:p>
      <w:pPr>
        <w:widowControl/>
        <w:jc w:val="left"/>
        <w:rPr>
          <w:rFonts w:ascii="Times New Roman Regular" w:hAnsi="Times New Roman Regular" w:cs="Times New Roman Regular"/>
          <w:sz w:val="24"/>
          <w:u w:val="single"/>
        </w:rPr>
      </w:pPr>
      <w:r>
        <w:rPr>
          <w:rFonts w:ascii="Times New Roman Regular" w:hAnsi="Times New Roman Regular" w:cs="Times New Roman Regular"/>
          <w:sz w:val="24"/>
          <w:lang w:eastAsia="zh-TW"/>
        </w:rPr>
        <w:t>Current liabilities to Net asset ratio also known as the current liabilities to shareholders’ equity ratio (Heerken Gary,2006)</w:t>
      </w:r>
      <w:r>
        <w:rPr>
          <w:rFonts w:ascii="Helvetica" w:hAnsi="Helvetica" w:eastAsia="Helvetica" w:cs="Helvetica"/>
          <w:kern w:val="0"/>
          <w:sz w:val="28"/>
          <w:szCs w:val="28"/>
          <w:shd w:val="clear" w:color="auto" w:fill="FFFFFF"/>
          <w:lang w:bidi="ar"/>
        </w:rPr>
        <w:t>.</w:t>
      </w:r>
      <w:r>
        <w:rPr>
          <w:rFonts w:ascii="Times New Roman Regular" w:hAnsi="Times New Roman Regular" w:cs="Times New Roman Regular"/>
          <w:sz w:val="24"/>
          <w:lang w:eastAsia="zh-TW"/>
        </w:rPr>
        <w:t xml:space="preserve"> It can measure the proportion of the company’s net assets that are financed by its current liabilities. Greater ratio suggests that the company is relying more on short term financing for supporting its operation which is riskier. In FY2023, Carlsberg’s current liabilities to net asset ratio accounted for 0.64 which sounds satisfactory.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Current Liabilities to Stock ratio</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Current liabilities to inventory ratio is indicating the company’s payment ability for covering its short term obligations. This ratio also suggests how much of a company’s stock is supported by short term borrowings or payment terms (Bekaert GJ al,2014). Hence, lower ratio means the company has stronger ability to pay its short-term debt by using its stock. Due to the business nature, Carlsberg and its peers also had the Current liabilities to inventory ratio as above par, but those ratio were healthy. Carlsberg’s inventory level stayed satisfactory that it was keeping to develop the supply chain capabilities by launching a new generation of supply chain system-OnePlan, which is almost real time integrated system for connected sales and operation planning (Carlsberg Group, 2024).</w:t>
      </w:r>
      <w:r>
        <w:rPr>
          <w:rFonts w:ascii="Times New Roman Regular" w:hAnsi="Times New Roman Regular" w:cs="Times New Roman Regular"/>
          <w:color w:val="0070C0"/>
          <w:sz w:val="24"/>
          <w:lang w:eastAsia="zh-TW"/>
        </w:rPr>
        <w:t xml:space="preserve"> </w:t>
      </w:r>
      <w:r>
        <w:rPr>
          <w:rFonts w:ascii="Times New Roman Regular" w:hAnsi="Times New Roman Regular" w:cs="Times New Roman Regular"/>
          <w:sz w:val="24"/>
          <w:lang w:eastAsia="zh-TW"/>
        </w:rPr>
        <w:t xml:space="preserve">Thus, current liabilities to stock ratio of Carlsberg stayed as fair among the competitors.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pStyle w:val="3"/>
        <w:spacing w:line="360" w:lineRule="auto"/>
        <w:rPr>
          <w:rFonts w:ascii="Times New Roman Bold" w:hAnsi="Times New Roman Bold" w:cs="Times New Roman Bold"/>
          <w:color w:val="auto"/>
          <w:sz w:val="24"/>
          <w:szCs w:val="24"/>
        </w:rPr>
      </w:pPr>
      <w:bookmarkStart w:id="10" w:name="_Toc176557942"/>
      <w:r>
        <w:rPr>
          <w:rFonts w:ascii="Times New Roman Bold" w:hAnsi="Times New Roman Bold" w:cs="Times New Roman Bold"/>
          <w:color w:val="auto"/>
          <w:sz w:val="24"/>
          <w:szCs w:val="24"/>
        </w:rPr>
        <w:t>2.3 Paying debt ability</w:t>
      </w:r>
      <w:bookmarkEnd w:id="10"/>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730240" cy="6733540"/>
            <wp:effectExtent l="0" t="0" r="10160" b="22860"/>
            <wp:docPr id="6"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圖片 5"/>
                    <pic:cNvPicPr>
                      <a:picLocks noChangeAspect="1"/>
                    </pic:cNvPicPr>
                  </pic:nvPicPr>
                  <pic:blipFill>
                    <a:blip r:embed="rId13"/>
                    <a:stretch>
                      <a:fillRect/>
                    </a:stretch>
                  </pic:blipFill>
                  <pic:spPr>
                    <a:xfrm>
                      <a:off x="0" y="0"/>
                      <a:ext cx="5730240" cy="673354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Current Ratio/ Quick Ratio</w:t>
      </w:r>
    </w:p>
    <w:p>
      <w:pPr>
        <w:tabs>
          <w:tab w:val="left" w:pos="2206"/>
        </w:tabs>
        <w:spacing w:line="360" w:lineRule="auto"/>
        <w:rPr>
          <w:rFonts w:ascii="Times New Roman Regular" w:hAnsi="Times New Roman Regular" w:cs="Times New Roman Regular"/>
          <w:color w:val="0070C0"/>
          <w:sz w:val="24"/>
          <w:lang w:eastAsia="zh-TW"/>
        </w:rPr>
      </w:pPr>
      <w:r>
        <w:rPr>
          <w:rFonts w:ascii="Times New Roman Regular" w:hAnsi="Times New Roman Regular" w:cs="Times New Roman Regular"/>
          <w:sz w:val="24"/>
          <w:lang w:eastAsia="zh-TW"/>
        </w:rPr>
        <w:t>Current ratio shows the company’s ability to maximize the liquidity of its current assets to settle the current liabilities (Tim Vipond, 2024 ).</w:t>
      </w:r>
    </w:p>
    <w:p>
      <w:pPr>
        <w:tabs>
          <w:tab w:val="left" w:pos="2206"/>
        </w:tabs>
        <w:spacing w:line="360" w:lineRule="auto"/>
        <w:rPr>
          <w:rFonts w:ascii="Times New Roman Regular" w:hAnsi="Times New Roman Regular" w:cs="Times New Roman Regular"/>
          <w:color w:val="0070C0"/>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Carlsberg’s current ratio and quick ratio remained weak as the current ratio and quick ratio were below par for the latest 3 years, as well as the lowest current ratio and quick ratio among its peers. Weak current ratio and quick ratio were attributable to granting the on-trade loans for the customers by Carlsberg, instead of providing conventional credit terms. On-trade loan is providing the liquidity for its buyers and helping Carlsberg to generate interest income. Those on-trade loan fell due for more than 1 year, hence, booked in the non-current assets (Carlsberg Group, 2023). Meanwhile, weak current ratio also was attributable to the larger trade payable. Nonetheless, Carlsberg still complied with those payment terms with its suppliers, reflecting its liquidity staying healthy and strong bargaining power in the market.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Stock Credit Index</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Stock Credit Index is reflecting the overall credit situations and availability of stock-based borrowing. Carlsberg’s stock credit index had been improved for 3 consecutive years. The index improved to 3.93, showing its credit conditions was improving. Due to the days of inventory turnover is normally short, this index is not very significant.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Cash Ratio</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Cash ratio can indicate a company’s capacity to repaid the short term debt by its cash ( CFI, 2024). Cash and cash equivalents also involved short-term marketable securities with the term of less than 3 months which were subject to an unimportant impact on fair value and short term cash planning (Carlsberg Group,2023). Carlsberg’s cash ratio enhanced to 0.28, as cash and cash equivalents increased to DKK13.38B. The increase was due to the rise of borrowing and deposit. It reflected its stronger payment ability for the short-term debt can help to support with its trade payable in current portion and short term debt. However, among the competitors, Carlsberg’s cash ratio also in a relatively weak position due to providing the on-trade loan for its buyers.</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Equity and Debt Ratio</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Carlsberg’s total borrowing stood at DKK39.1B in FY2023 (FY2022: DKK28.65B) due to the increase of bond. Carlsberg’s debt/equity ratio increased to 1.52, as well as higher than its competitors. However, considering with its Fitch rating stood at BBB+ with outlook stable, Carlsberg should have enough payment ability to deal with its debt.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rPr>
      </w:pPr>
      <w:r>
        <w:rPr>
          <w:rFonts w:ascii="Times New Roman Bold" w:hAnsi="Times New Roman Bold" w:cs="Times New Roman Bold"/>
          <w:b/>
          <w:bCs/>
          <w:sz w:val="24"/>
          <w:u w:val="single"/>
        </w:rPr>
        <w:t>Total Debt/ Fixed Asset Ratio</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Total Borrowings of Carlsberg consisting of 78.7% non-current financial debt and 21.3% of current financial debt. Total issued bonds stood at DKK36.72B (FY2022 : DKK25.18B), amounting to 94% (FY2022: 87.9%) of total borrowings. </w:t>
      </w:r>
      <w:r>
        <w:rPr>
          <w:rFonts w:ascii="Times New Roman Regular" w:hAnsi="Times New Roman Regular" w:cs="Times New Roman Regular"/>
          <w:sz w:val="24"/>
        </w:rPr>
        <w:t>Total Debt/ Fixed Asset Ratio</w:t>
      </w:r>
      <w:r>
        <w:rPr>
          <w:rFonts w:ascii="Times New Roman Regular" w:hAnsi="Times New Roman Regular" w:cs="Times New Roman Regular"/>
          <w:sz w:val="24"/>
          <w:lang w:eastAsia="zh-TW"/>
        </w:rPr>
        <w:t xml:space="preserve"> reflected the ability of a company to cover its total debt by utilizing it fixed asset. For the past 3 years, the ratio was above par, due to its majority of bond issuing. Furthermore, the increase of bond issuing could be believed for investing the brewery in China and Vietnam in order to expand Asia market. Thus, high </w:t>
      </w:r>
      <w:r>
        <w:rPr>
          <w:rFonts w:ascii="Times New Roman Regular" w:hAnsi="Times New Roman Regular" w:cs="Times New Roman Regular"/>
          <w:sz w:val="24"/>
        </w:rPr>
        <w:t>Total Debt/ Fixed Asset Ratio</w:t>
      </w:r>
      <w:r>
        <w:rPr>
          <w:rFonts w:ascii="Times New Roman Regular" w:hAnsi="Times New Roman Regular" w:cs="Times New Roman Regular"/>
          <w:sz w:val="24"/>
          <w:lang w:eastAsia="zh-TW"/>
        </w:rPr>
        <w:t xml:space="preserve"> cannot truly reflected its repayment ability as Carlsberg still had the liquidity provided by the borrowings and cash on hand.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Time Interest cover ratio</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Time </w:t>
      </w:r>
      <w:r>
        <w:rPr>
          <w:rFonts w:ascii="Times New Roman Regular" w:hAnsi="Times New Roman Regular" w:cs="Times New Roman Regular"/>
          <w:sz w:val="24"/>
        </w:rPr>
        <w:t>Interest cover ratio</w:t>
      </w:r>
      <w:r>
        <w:rPr>
          <w:rFonts w:ascii="Times New Roman Regular" w:hAnsi="Times New Roman Regular" w:cs="Times New Roman Regular"/>
          <w:sz w:val="24"/>
          <w:lang w:eastAsia="zh-TW"/>
        </w:rPr>
        <w:t xml:space="preserve"> indicated how much times the EBIT can cover the interest expense (Adam Hayes, 2024).</w:t>
      </w:r>
      <w:r>
        <w:rPr>
          <w:rFonts w:ascii="Times New Roman Regular" w:hAnsi="Times New Roman Regular" w:cs="Times New Roman Regular"/>
          <w:color w:val="0070C0"/>
          <w:sz w:val="24"/>
          <w:lang w:eastAsia="zh-TW"/>
        </w:rPr>
        <w:t xml:space="preserve"> </w:t>
      </w:r>
      <w:r>
        <w:rPr>
          <w:rFonts w:ascii="Times New Roman Regular" w:hAnsi="Times New Roman Regular" w:cs="Times New Roman Regular"/>
          <w:sz w:val="24"/>
          <w:lang w:eastAsia="zh-TW"/>
        </w:rPr>
        <w:t xml:space="preserve">Time interest cover ratio of Carlsberg was decreased to 17.28, reflecting higher interest expense in FY2023. Lower times interest cover ratio was obviously attributable to the rise of interest rate, accounting for average effective interest rate for the issued bonds stood at 2.7% (FY2022: 1.7%) (Carlsberg Group, 2023).Meanwhile, the interest expense of Tsing Tao and San Miguel were staying higher times due to different financial structure with Carlsberg.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rPr>
      </w:pPr>
      <w:bookmarkStart w:id="11" w:name="_Toc176557943"/>
      <w:r>
        <w:rPr>
          <w:rStyle w:val="21"/>
          <w:rFonts w:ascii="Times New Roman Regular" w:hAnsi="Times New Roman Regular" w:cs="Times New Roman Regular"/>
          <w:color w:val="auto"/>
          <w:sz w:val="24"/>
          <w:szCs w:val="24"/>
        </w:rPr>
        <w:t>2.4 Operational ability</w:t>
      </w:r>
      <w:bookmarkEnd w:id="11"/>
    </w:p>
    <w:p>
      <w:pPr>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rPr>
        <w:t xml:space="preserve">According to the Annual Report </w:t>
      </w:r>
      <w:r>
        <w:rPr>
          <w:rFonts w:ascii="Times New Roman Regular" w:hAnsi="Times New Roman Regular" w:cs="Times New Roman Regular"/>
          <w:sz w:val="24"/>
          <w:lang w:eastAsia="zh-TW"/>
        </w:rPr>
        <w:t>FY</w:t>
      </w:r>
      <w:r>
        <w:rPr>
          <w:rFonts w:ascii="Times New Roman Regular" w:hAnsi="Times New Roman Regular" w:cs="Times New Roman Regular"/>
          <w:sz w:val="24"/>
        </w:rPr>
        <w:t xml:space="preserve">2023, Carlsberg’s sales revenue are mainly come from </w:t>
      </w:r>
      <w:r>
        <w:rPr>
          <w:rFonts w:ascii="Times New Roman Regular" w:hAnsi="Times New Roman Regular" w:cs="Times New Roman Regular"/>
          <w:sz w:val="24"/>
          <w:lang w:eastAsia="zh-TW"/>
        </w:rPr>
        <w:t xml:space="preserve">sale of </w:t>
      </w:r>
      <w:r>
        <w:rPr>
          <w:rFonts w:ascii="Times New Roman Regular" w:hAnsi="Times New Roman Regular" w:cs="Times New Roman Regular"/>
          <w:sz w:val="24"/>
        </w:rPr>
        <w:t xml:space="preserve">Beer (73%), other beverages (including energy drinks, juice and soft drinks) (25%)and other revenue(2%). Carlsberg divided three geographical regions for sales take place, including West Europe, Asia, Central &amp; Eastern Europe and other countries. The proportion of sales for West Europe, Asia, Central &amp; Eastern Europe and other countries were 50.7%, 31.6%, 17.6% and 0.1% respectively. </w:t>
      </w:r>
      <w:r>
        <w:rPr>
          <w:rFonts w:ascii="Times New Roman Regular" w:hAnsi="Times New Roman Regular" w:cs="Times New Roman Regular"/>
          <w:sz w:val="24"/>
          <w:lang w:eastAsia="zh-TW"/>
        </w:rPr>
        <w:t xml:space="preserve">Carlsberg’s revenue increased to DKK73.6B in FY2023 from DKK70.3B in FY2022 due to price increase across all markets for tackling the significant cost increases. Furthermore, Carlsberg acquired Waterloo Brewing in Canada for enhancing the operational ability, lowering logistics costs and the market expansion. </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 </w:t>
      </w:r>
      <w:r>
        <w:drawing>
          <wp:inline distT="0" distB="0" distL="114300" distR="114300">
            <wp:extent cx="5725160" cy="4745990"/>
            <wp:effectExtent l="0" t="0" r="15240" b="3810"/>
            <wp:docPr id="7"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圖片 6"/>
                    <pic:cNvPicPr>
                      <a:picLocks noChangeAspect="1"/>
                    </pic:cNvPicPr>
                  </pic:nvPicPr>
                  <pic:blipFill>
                    <a:blip r:embed="rId14"/>
                    <a:stretch>
                      <a:fillRect/>
                    </a:stretch>
                  </pic:blipFill>
                  <pic:spPr>
                    <a:xfrm>
                      <a:off x="0" y="0"/>
                      <a:ext cx="5725160" cy="474599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Bold" w:hAnsi="Times New Roman Bold" w:cs="Times New Roman Bold"/>
          <w:b/>
          <w:bCs/>
          <w:sz w:val="24"/>
        </w:rPr>
      </w:pPr>
    </w:p>
    <w:p>
      <w:pPr>
        <w:tabs>
          <w:tab w:val="left" w:pos="2206"/>
        </w:tabs>
        <w:spacing w:line="360" w:lineRule="auto"/>
        <w:rPr>
          <w:rFonts w:ascii="Times New Roman Bold" w:hAnsi="Times New Roman Bold" w:cs="Times New Roman Bold"/>
          <w:b/>
          <w:bCs/>
          <w:sz w:val="24"/>
        </w:rPr>
      </w:pPr>
    </w:p>
    <w:p>
      <w:pPr>
        <w:tabs>
          <w:tab w:val="left" w:pos="2206"/>
        </w:tabs>
        <w:spacing w:line="360" w:lineRule="auto"/>
        <w:rPr>
          <w:rFonts w:ascii="Times New Roman Regular" w:hAnsi="Times New Roman Regular" w:cs="Times New Roman Regular"/>
          <w:sz w:val="24"/>
        </w:rPr>
      </w:pPr>
      <w:r>
        <w:rPr>
          <w:rFonts w:ascii="Times New Roman Bold" w:hAnsi="Times New Roman Bold" w:cs="Times New Roman Bold"/>
          <w:b/>
          <w:bCs/>
          <w:sz w:val="24"/>
        </w:rPr>
        <w:t>Operating expenses</w:t>
      </w:r>
    </w:p>
    <w:p>
      <w:pPr>
        <w:tabs>
          <w:tab w:val="left" w:pos="2206"/>
        </w:tabs>
        <w:spacing w:line="360" w:lineRule="auto"/>
        <w:rPr>
          <w:rFonts w:ascii="Times New Roman Regular" w:hAnsi="Times New Roman Regular" w:cs="Times New Roman Regular"/>
          <w:sz w:val="24"/>
        </w:rPr>
      </w:pPr>
      <w:r>
        <w:drawing>
          <wp:inline distT="0" distB="0" distL="114300" distR="114300">
            <wp:extent cx="5728335" cy="1853565"/>
            <wp:effectExtent l="0" t="0" r="12065" b="635"/>
            <wp:docPr id="8"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圖片 7"/>
                    <pic:cNvPicPr>
                      <a:picLocks noChangeAspect="1"/>
                    </pic:cNvPicPr>
                  </pic:nvPicPr>
                  <pic:blipFill>
                    <a:blip r:embed="rId15"/>
                    <a:stretch>
                      <a:fillRect/>
                    </a:stretch>
                  </pic:blipFill>
                  <pic:spPr>
                    <a:xfrm>
                      <a:off x="0" y="0"/>
                      <a:ext cx="5728335" cy="1853565"/>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Carlsberg’s operating expense included sales and distribution expenses and administrative expenses. In which, sales and distribution expenses consisted of 34% marketing expenses, 29% sales expense and 37% distribution expenses. Distribution expenses increased by 6% per hl (100Liters) due to the rise of energy prices. </w:t>
      </w:r>
    </w:p>
    <w:p>
      <w:pPr>
        <w:tabs>
          <w:tab w:val="left" w:pos="2206"/>
        </w:tabs>
        <w:spacing w:line="360" w:lineRule="auto"/>
        <w:rPr>
          <w:rFonts w:ascii="Times New Roman Regular" w:hAnsi="Times New Roman Regular" w:cs="Times New Roman Regular"/>
          <w:sz w:val="24"/>
          <w:lang w:eastAsia="zh-TW"/>
        </w:rPr>
      </w:pPr>
      <w:r>
        <w:drawing>
          <wp:inline distT="0" distB="0" distL="114300" distR="114300">
            <wp:extent cx="5728335" cy="3400425"/>
            <wp:effectExtent l="0" t="0" r="12065" b="3175"/>
            <wp:docPr id="9"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圖片 8"/>
                    <pic:cNvPicPr>
                      <a:picLocks noChangeAspect="1"/>
                    </pic:cNvPicPr>
                  </pic:nvPicPr>
                  <pic:blipFill>
                    <a:blip r:embed="rId16"/>
                    <a:stretch>
                      <a:fillRect/>
                    </a:stretch>
                  </pic:blipFill>
                  <pic:spPr>
                    <a:xfrm>
                      <a:off x="0" y="0"/>
                      <a:ext cx="5728335" cy="3400425"/>
                    </a:xfrm>
                    <a:prstGeom prst="rect">
                      <a:avLst/>
                    </a:prstGeom>
                    <a:noFill/>
                    <a:ln>
                      <a:noFill/>
                    </a:ln>
                  </pic:spPr>
                </pic:pic>
              </a:graphicData>
            </a:graphic>
          </wp:inline>
        </w:drawing>
      </w:r>
    </w:p>
    <w:p>
      <w:pPr>
        <w:tabs>
          <w:tab w:val="left" w:pos="2206"/>
        </w:tabs>
        <w:spacing w:line="360" w:lineRule="auto"/>
        <w:rPr>
          <w:rFonts w:ascii="Times New Roman Bold" w:hAnsi="Times New Roman Bold" w:cs="Times New Roman Bold"/>
          <w:b/>
          <w:bCs/>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Total Assets Turnover</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The ratio is measuring the efficiency of a company for using its assets to generate sales. In FY2023, Carlsberg’s total assets turnover rose to 0.66 , indicating its operating efficiency was improving. Nevertheless, Carlsberg’s total assets turnover was weaker than its competitors. </w:t>
      </w:r>
    </w:p>
    <w:p>
      <w:pPr>
        <w:tabs>
          <w:tab w:val="left" w:pos="2206"/>
        </w:tabs>
        <w:spacing w:line="360" w:lineRule="auto"/>
        <w:rPr>
          <w:rFonts w:ascii="Times New Roman Bold" w:hAnsi="Times New Roman Bold" w:cs="Times New Roman Bold"/>
          <w:b/>
          <w:bCs/>
          <w:sz w:val="24"/>
          <w:lang w:eastAsia="zh-TW"/>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lang w:eastAsia="zh-TW"/>
        </w:rPr>
        <w:t>A</w:t>
      </w:r>
      <w:r>
        <w:rPr>
          <w:rFonts w:ascii="Times New Roman Bold" w:hAnsi="Times New Roman Bold" w:cs="Times New Roman Bold"/>
          <w:b/>
          <w:bCs/>
          <w:sz w:val="24"/>
          <w:u w:val="single"/>
        </w:rPr>
        <w:t>ccounts Payable Turnover days</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Accounts Payable Turnover days refer to the average number of days that the payable stays unpaid (CFI, 2024). The turnover is mainly impacted by the trade payable and COGS. Trade payable stood at DKK22.16B in FY2023 (FY2022: DKK21.92B). The payment terms were mostly less than 180 days, and a number of suppliers engaged in the supplier finance arrangements, with a supply chain finance provider and some fund partners for having the choice to receive the payment earlier (Carlsberg Group, 2023). Therefore, the fund partners which were the financial institutions can help to provide the liquidity to Carlsberg because of the support from number of supply chain finance providers.</w:t>
      </w:r>
    </w:p>
    <w:p>
      <w:pPr>
        <w:tabs>
          <w:tab w:val="left" w:pos="2206"/>
        </w:tabs>
        <w:spacing w:line="360" w:lineRule="auto"/>
        <w:rPr>
          <w:rFonts w:ascii="Times New Roman Regular" w:hAnsi="Times New Roman Regular" w:cs="Times New Roman Regular"/>
          <w:color w:val="FF0000"/>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Inverntor</w:t>
      </w:r>
      <w:r>
        <w:rPr>
          <w:rFonts w:ascii="Times New Roman Bold" w:hAnsi="Times New Roman Bold" w:cs="Times New Roman Bold"/>
          <w:b/>
          <w:bCs/>
          <w:sz w:val="24"/>
          <w:u w:val="single"/>
          <w:lang w:eastAsia="zh-TW"/>
        </w:rPr>
        <w:t>y</w:t>
      </w:r>
      <w:r>
        <w:rPr>
          <w:rFonts w:ascii="Times New Roman Bold" w:hAnsi="Times New Roman Bold" w:cs="Times New Roman Bold"/>
          <w:b/>
          <w:bCs/>
          <w:sz w:val="24"/>
          <w:u w:val="single"/>
        </w:rPr>
        <w:t xml:space="preserve"> Turnover days</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Inventory turnover days refer to the average number of days a company sells its stock of goods during a given period (CFI, 2024). Inventory Turnover days of Carlsberg reduced to 52 days from 54 days, which also shorter than its competitors as Carlsberg invested significantly in the supply chain system. The investment of the supply chain helped to increase the efficiency of sales process. It also can reduce the deteriorate of the goods. Furthermore, Carlsberg also acted as a market leader for drink industry, as well as the selling area.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u w:val="single"/>
        </w:rPr>
      </w:pPr>
      <w:bookmarkStart w:id="12" w:name="_Toc176557944"/>
      <w:r>
        <w:rPr>
          <w:rStyle w:val="21"/>
          <w:rFonts w:ascii="Times New Roman Regular" w:hAnsi="Times New Roman Regular" w:cs="Times New Roman Regular"/>
          <w:color w:val="auto"/>
          <w:sz w:val="24"/>
          <w:szCs w:val="24"/>
        </w:rPr>
        <w:t>2.5 Profitability</w:t>
      </w:r>
      <w:bookmarkEnd w:id="12"/>
    </w:p>
    <w:p>
      <w:pPr>
        <w:tabs>
          <w:tab w:val="left" w:pos="2206"/>
        </w:tabs>
        <w:spacing w:line="360" w:lineRule="auto"/>
      </w:pPr>
      <w:r>
        <w:drawing>
          <wp:inline distT="0" distB="0" distL="114300" distR="114300">
            <wp:extent cx="5193665" cy="2696210"/>
            <wp:effectExtent l="0" t="0" r="13335" b="21590"/>
            <wp:docPr id="10"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圖片 9"/>
                    <pic:cNvPicPr>
                      <a:picLocks noChangeAspect="1"/>
                    </pic:cNvPicPr>
                  </pic:nvPicPr>
                  <pic:blipFill>
                    <a:blip r:embed="rId17"/>
                    <a:stretch>
                      <a:fillRect/>
                    </a:stretch>
                  </pic:blipFill>
                  <pic:spPr>
                    <a:xfrm>
                      <a:off x="0" y="0"/>
                      <a:ext cx="5193665" cy="2696210"/>
                    </a:xfrm>
                    <a:prstGeom prst="rect">
                      <a:avLst/>
                    </a:prstGeom>
                    <a:noFill/>
                    <a:ln>
                      <a:noFill/>
                    </a:ln>
                  </pic:spPr>
                </pic:pic>
              </a:graphicData>
            </a:graphic>
          </wp:inline>
        </w:drawing>
      </w:r>
    </w:p>
    <w:p>
      <w:pPr>
        <w:tabs>
          <w:tab w:val="left" w:pos="2206"/>
        </w:tabs>
        <w:spacing w:line="360" w:lineRule="auto"/>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Gross profit Margin</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Gross profit Margin dropped slightly to 0.45 in FY2023 due to the increase of COGS, mainly from cost of material, such as aluminum (Raw material for Can) and barley. The cost of material stood at DKK 23.62B in FY2023 (FY2022: DKK21.66B). Its Gross profit margin also stood at satisfactory.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Net Proft Margin</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 xml:space="preserve">Net profit margin recorded at -0.54 which was in deficit (FY2023 : -DKK39.78B; FY2022: DKK108M) . The net profit was including the continue and discontinue business. However, Carlsberg’s profit from continuing operations slightly decreased to DKK7.97B (FY2022: DKK8.18B) due to higher logistic cost and interest expenses. Due to the deconsolidation of the Russian business, the currency translation and hedging reserves within equity regarding to the Russian business were reinstated from equity to the income statement and involved in the loss from discontinued business. Thus, Carlsberg’s profitability was believed to be recovered in the coming financial year due to excluding the extraordinary event.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3992880" cy="3061335"/>
            <wp:effectExtent l="0" t="0" r="20320" b="12065"/>
            <wp:docPr id="11"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圖片 10"/>
                    <pic:cNvPicPr>
                      <a:picLocks noChangeAspect="1"/>
                    </pic:cNvPicPr>
                  </pic:nvPicPr>
                  <pic:blipFill>
                    <a:blip r:embed="rId18"/>
                    <a:stretch>
                      <a:fillRect/>
                    </a:stretch>
                  </pic:blipFill>
                  <pic:spPr>
                    <a:xfrm>
                      <a:off x="0" y="0"/>
                      <a:ext cx="3992880" cy="3061335"/>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u w:val="single"/>
        </w:rPr>
        <w:t>Total assets turnover</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 xml:space="preserve">Carlsberg’s total assets turnover remained steady at 0.6, showing its standard in line with market compared to its competitor.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Leverage ratio/ Return on equity(after tax)</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 xml:space="preserve">Leverage ratio is one of the indicator to show the debt level incurred by a business against balance sheet, income statement or cash flow statement (CFI, 2024). Carlsberg’s leverage ratio increased to 4.8 and it was continuously increasing. The reason was mainly due to the increase of the debt. Meanwhile, return on equity was deteriorated to -1.71 because of the negative net profit. Furthermore, the equity also reduced to DKK25.45B due to the drop of retained earnings.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u w:val="single"/>
        </w:rPr>
      </w:pPr>
      <w:bookmarkStart w:id="13" w:name="_Toc176557945"/>
      <w:r>
        <w:rPr>
          <w:rFonts w:ascii="Times New Roman Regular" w:hAnsi="Times New Roman Regular" w:cs="Times New Roman Regular"/>
          <w:color w:val="auto"/>
          <w:sz w:val="24"/>
          <w:szCs w:val="24"/>
        </w:rPr>
        <w:t>2.6 Growth ability</w:t>
      </w:r>
      <w:bookmarkEnd w:id="13"/>
    </w:p>
    <w:p>
      <w:pPr>
        <w:tabs>
          <w:tab w:val="left" w:pos="2206"/>
        </w:tabs>
        <w:spacing w:line="360" w:lineRule="auto"/>
        <w:rPr>
          <w:rFonts w:ascii="Times New Roman Bold" w:hAnsi="Times New Roman Bold" w:cs="Times New Roman Bold"/>
          <w:b/>
          <w:bCs/>
          <w:sz w:val="24"/>
          <w:u w:val="single"/>
        </w:rPr>
      </w:pPr>
      <w:r>
        <w:drawing>
          <wp:inline distT="0" distB="0" distL="114300" distR="114300">
            <wp:extent cx="5730875" cy="2081530"/>
            <wp:effectExtent l="0" t="0" r="9525" b="1270"/>
            <wp:docPr id="12"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圖片 11"/>
                    <pic:cNvPicPr>
                      <a:picLocks noChangeAspect="1"/>
                    </pic:cNvPicPr>
                  </pic:nvPicPr>
                  <pic:blipFill>
                    <a:blip r:embed="rId19"/>
                    <a:stretch>
                      <a:fillRect/>
                    </a:stretch>
                  </pic:blipFill>
                  <pic:spPr>
                    <a:xfrm>
                      <a:off x="0" y="0"/>
                      <a:ext cx="5730875" cy="2081530"/>
                    </a:xfrm>
                    <a:prstGeom prst="rect">
                      <a:avLst/>
                    </a:prstGeom>
                    <a:noFill/>
                    <a:ln>
                      <a:noFill/>
                    </a:ln>
                  </pic:spPr>
                </pic:pic>
              </a:graphicData>
            </a:graphic>
          </wp:inline>
        </w:drawing>
      </w: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Retained yield</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The retained yield of Carlsberg reduced to 1.26 times due to the profit loss recorded in FY2023. Without considering with FY2023, the retained yield was following with the industry standard as about 4-5 times. Even the retained yield was dropped significantly, its retained earnings stood at DKK23.31B which was also sufficient for its future development. </w:t>
      </w:r>
    </w:p>
    <w:p>
      <w:pPr>
        <w:tabs>
          <w:tab w:val="left" w:pos="2206"/>
        </w:tabs>
        <w:spacing w:line="360" w:lineRule="auto"/>
        <w:rPr>
          <w:rFonts w:ascii="Times New Roman Bold" w:hAnsi="Times New Roman Bold" w:cs="Times New Roman Bold"/>
          <w:b/>
          <w:bCs/>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 xml:space="preserve">Self-sustaining growth </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rPr>
        <w:t>Self-sustainable Growth ratio</w:t>
      </w:r>
      <w:r>
        <w:rPr>
          <w:rFonts w:ascii="Times New Roman Regular" w:hAnsi="Times New Roman Regular" w:cs="Times New Roman Regular"/>
          <w:sz w:val="24"/>
          <w:lang w:eastAsia="zh-TW"/>
        </w:rPr>
        <w:t xml:space="preserve"> is showing the maximum rate of growth that a company can maintain without having to finance growth with extra equity or borrowings (Chris B. Murphy,2024). Carlsberg’s growth ratio was decreasing for the past 3 years, indicating that its business growth would be slow due to its market position. As said before, its business covered for more than 140 countries which was almost the market leader of the industry. Nevertheless, it was also developing the business in China and Vietnam by establish new breweries in order to maintain the sustainable growth rate.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u w:val="single"/>
        </w:rPr>
      </w:pPr>
      <w:bookmarkStart w:id="14" w:name="_Toc176557946"/>
      <w:r>
        <w:rPr>
          <w:rFonts w:ascii="Times New Roman Regular" w:hAnsi="Times New Roman Regular" w:cs="Times New Roman Regular"/>
          <w:color w:val="auto"/>
          <w:sz w:val="24"/>
          <w:szCs w:val="24"/>
        </w:rPr>
        <w:t>2.7 Stock Market Prospects Analysis</w:t>
      </w:r>
      <w:bookmarkEnd w:id="14"/>
    </w:p>
    <w:p>
      <w:pPr>
        <w:tabs>
          <w:tab w:val="left" w:pos="2206"/>
        </w:tabs>
        <w:spacing w:line="360" w:lineRule="auto"/>
      </w:pPr>
      <w:r>
        <w:drawing>
          <wp:inline distT="0" distB="0" distL="114300" distR="114300">
            <wp:extent cx="5730875" cy="2643505"/>
            <wp:effectExtent l="0" t="0" r="9525" b="23495"/>
            <wp:docPr id="13"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圖片 12"/>
                    <pic:cNvPicPr>
                      <a:picLocks noChangeAspect="1"/>
                    </pic:cNvPicPr>
                  </pic:nvPicPr>
                  <pic:blipFill>
                    <a:blip r:embed="rId20"/>
                    <a:stretch>
                      <a:fillRect/>
                    </a:stretch>
                  </pic:blipFill>
                  <pic:spPr>
                    <a:xfrm>
                      <a:off x="0" y="0"/>
                      <a:ext cx="5730875" cy="2643505"/>
                    </a:xfrm>
                    <a:prstGeom prst="rect">
                      <a:avLst/>
                    </a:prstGeom>
                    <a:noFill/>
                    <a:ln>
                      <a:noFill/>
                    </a:ln>
                  </pic:spPr>
                </pic:pic>
              </a:graphicData>
            </a:graphic>
          </wp:inline>
        </w:drawing>
      </w:r>
    </w:p>
    <w:p>
      <w:pPr>
        <w:tabs>
          <w:tab w:val="left" w:pos="2206"/>
        </w:tabs>
        <w:spacing w:line="360" w:lineRule="auto"/>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Carlsberg’s earning per share stood at negative amount due to its negative profit recorded in FY2023 due to deconsolidation of Russian business. P/E ratio stood steady at 4.77 which was lower than the competitors, but its stock price was truly reflected to its company’s value without overestimated. In addition, Dividend yield increased to 3.2, the stock was still at reasonable level due to the stable dividend yield. </w:t>
      </w:r>
    </w:p>
    <w:p>
      <w:pPr>
        <w:tabs>
          <w:tab w:val="left" w:pos="2206"/>
        </w:tabs>
        <w:spacing w:line="360" w:lineRule="auto"/>
        <w:rPr>
          <w:rFonts w:ascii="Times New Roman Regular" w:hAnsi="Times New Roman Regular" w:cs="Times New Roman Regular"/>
          <w:sz w:val="24"/>
          <w:lang w:eastAsia="zh-TW"/>
        </w:rPr>
      </w:pPr>
    </w:p>
    <w:p>
      <w:pPr>
        <w:pStyle w:val="2"/>
        <w:numPr>
          <w:ilvl w:val="0"/>
          <w:numId w:val="1"/>
        </w:numPr>
        <w:spacing w:line="360" w:lineRule="auto"/>
        <w:jc w:val="left"/>
        <w:rPr>
          <w:rFonts w:ascii="Times New Roman Regular" w:hAnsi="Times New Roman Regular" w:cs="Times New Roman Regular"/>
          <w:color w:val="auto"/>
          <w:sz w:val="24"/>
          <w:szCs w:val="24"/>
          <w:u w:val="single"/>
        </w:rPr>
      </w:pPr>
      <w:bookmarkStart w:id="15" w:name="_Toc176557947"/>
      <w:r>
        <w:rPr>
          <w:rFonts w:ascii="Times New Roman Regular" w:hAnsi="Times New Roman Regular" w:cs="Times New Roman Regular"/>
          <w:color w:val="auto"/>
          <w:sz w:val="24"/>
          <w:szCs w:val="24"/>
          <w:lang w:eastAsia="zh-TW"/>
        </w:rPr>
        <w:t>Carlsberg</w:t>
      </w:r>
      <w:r>
        <w:rPr>
          <w:rFonts w:ascii="Times New Roman Regular" w:hAnsi="Times New Roman Regular" w:cs="Times New Roman Regular"/>
          <w:color w:val="auto"/>
          <w:sz w:val="24"/>
          <w:szCs w:val="24"/>
        </w:rPr>
        <w:t>’s Corporate Governance assessment</w:t>
      </w:r>
      <w:bookmarkEnd w:id="15"/>
    </w:p>
    <w:p>
      <w:pPr>
        <w:pStyle w:val="3"/>
        <w:spacing w:line="360" w:lineRule="auto"/>
        <w:rPr>
          <w:rFonts w:ascii="Times New Roman Regular" w:hAnsi="Times New Roman Regular" w:cs="Times New Roman Regular"/>
          <w:color w:val="auto"/>
          <w:sz w:val="24"/>
          <w:szCs w:val="24"/>
        </w:rPr>
      </w:pPr>
      <w:bookmarkStart w:id="16" w:name="_Toc176557948"/>
      <w:r>
        <w:rPr>
          <w:rFonts w:ascii="Times New Roman Regular" w:hAnsi="Times New Roman Regular" w:cs="Times New Roman Regular"/>
          <w:color w:val="auto"/>
          <w:sz w:val="24"/>
          <w:szCs w:val="24"/>
        </w:rPr>
        <w:t>3.1 Corporate Governance of business organization and its impact and importance</w:t>
      </w:r>
      <w:bookmarkEnd w:id="16"/>
      <w:r>
        <w:rPr>
          <w:rFonts w:ascii="Times New Roman Regular" w:hAnsi="Times New Roman Regular" w:cs="Times New Roman Regular"/>
          <w:color w:val="auto"/>
          <w:sz w:val="24"/>
          <w:szCs w:val="24"/>
          <w:lang w:eastAsia="zh-TW"/>
        </w:rPr>
        <w:t xml:space="preserve"> </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Corporate governance is the system of rules, practices, and process directed and controlled by a company, in order to balance the interest of the company’s stakeholders. There are a lot of benefits of good corporate governance.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First of all, good corporate governance can reduce the potential for financial loss and hence increase the share price and easier to raise capital. For instance, HSBC was fined for EUR64M in 2021 due to the failure of anti-money laundering (BBC, 2021). Because of the inadequate corporate governance, HSBC failed to prevent the money laundering in Mexican drug cartels in 2012, lacking of monitoring on money laundering and terrorist financing scenarios from 2008 to 2014 and poor risk assessment in 2016. Those series circumstances reflected that HSBC had to focus on its corporate governance in order to protect its stakeholders by appropriate risk management.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lang w:eastAsia="zh-TW"/>
        </w:rPr>
      </w:pPr>
      <w:bookmarkStart w:id="17" w:name="_Toc176557949"/>
      <w:r>
        <w:rPr>
          <w:rFonts w:ascii="Times New Roman Regular" w:hAnsi="Times New Roman Regular" w:cs="Times New Roman Regular"/>
          <w:color w:val="auto"/>
          <w:sz w:val="24"/>
          <w:szCs w:val="24"/>
          <w:lang w:eastAsia="zh-TW"/>
        </w:rPr>
        <w:t>3.2 Carlsberg’s existing Corporate Governance</w:t>
      </w:r>
      <w:bookmarkEnd w:id="17"/>
    </w:p>
    <w:p>
      <w:pPr>
        <w:pStyle w:val="15"/>
        <w:tabs>
          <w:tab w:val="left" w:pos="2206"/>
        </w:tabs>
        <w:spacing w:line="360" w:lineRule="auto"/>
        <w:ind w:left="0"/>
        <w:rPr>
          <w:rFonts w:ascii="Times New Roman Bold" w:hAnsi="Times New Roman Bold" w:cs="Times New Roman Bold"/>
          <w:b/>
          <w:bCs/>
          <w:sz w:val="24"/>
          <w:lang w:eastAsia="zh-TW"/>
        </w:rPr>
      </w:pPr>
      <w:r>
        <w:rPr>
          <w:rFonts w:ascii="Times New Roman Bold" w:hAnsi="Times New Roman Bold" w:cs="Times New Roman Bold"/>
          <w:b/>
          <w:bCs/>
          <w:sz w:val="24"/>
          <w:lang w:eastAsia="zh-TW"/>
        </w:rPr>
        <w:t>Diversity, Equity and Inclusion</w:t>
      </w:r>
    </w:p>
    <w:p>
      <w:pPr>
        <w:pStyle w:val="15"/>
        <w:tabs>
          <w:tab w:val="left" w:pos="2206"/>
        </w:tabs>
        <w:spacing w:line="360" w:lineRule="auto"/>
        <w:ind w:left="426"/>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Carlsberg committed to gender equality and have composited gender equality and women’s empowerment into its business directions. Getting the gender balance right will pave the way with more representation in different dimensions. Carlsberg target is to meet a share of 30% women in senior management level by the end of 2024</w:t>
      </w:r>
    </w:p>
    <w:p>
      <w:pPr>
        <w:pStyle w:val="15"/>
        <w:tabs>
          <w:tab w:val="left" w:pos="2206"/>
        </w:tabs>
        <w:spacing w:line="360" w:lineRule="auto"/>
        <w:ind w:left="426"/>
        <w:rPr>
          <w:rFonts w:ascii="Times New Roman Regular" w:hAnsi="Times New Roman Regular" w:cs="Times New Roman Regular"/>
          <w:sz w:val="24"/>
          <w:lang w:eastAsia="zh-TW"/>
        </w:rPr>
      </w:pPr>
    </w:p>
    <w:p>
      <w:pPr>
        <w:pStyle w:val="15"/>
        <w:tabs>
          <w:tab w:val="left" w:pos="2206"/>
        </w:tabs>
        <w:spacing w:line="360" w:lineRule="auto"/>
        <w:ind w:left="426"/>
        <w:rPr>
          <w:rFonts w:ascii="Times New Roman Regular" w:hAnsi="Times New Roman Regular" w:cs="Times New Roman Regular"/>
          <w:sz w:val="24"/>
          <w:lang w:eastAsia="zh-TW"/>
        </w:rPr>
      </w:pPr>
      <w:r>
        <w:rPr>
          <w:rFonts w:ascii="Times New Roman Regular" w:hAnsi="Times New Roman Regular" w:cs="Times New Roman Regular"/>
          <w:sz w:val="24"/>
        </w:rPr>
        <w:drawing>
          <wp:inline distT="0" distB="0" distL="0" distR="0">
            <wp:extent cx="4919980" cy="1504315"/>
            <wp:effectExtent l="0" t="0" r="0" b="0"/>
            <wp:docPr id="1453528009" name="Picture 3" descr="Sustainability » Our ESG programme » Diversity, Equity and Inclu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28009" name="Picture 3" descr="Sustainability » Our ESG programme » Diversity, Equity and Inclusion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4985652" cy="1524915"/>
                    </a:xfrm>
                    <a:prstGeom prst="rect">
                      <a:avLst/>
                    </a:prstGeom>
                    <a:noFill/>
                    <a:ln>
                      <a:noFill/>
                    </a:ln>
                  </pic:spPr>
                </pic:pic>
              </a:graphicData>
            </a:graphic>
          </wp:inline>
        </w:drawing>
      </w:r>
    </w:p>
    <w:p>
      <w:pPr>
        <w:pStyle w:val="15"/>
        <w:tabs>
          <w:tab w:val="left" w:pos="2206"/>
        </w:tabs>
        <w:spacing w:line="360" w:lineRule="auto"/>
        <w:ind w:left="426"/>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Figure 3 Diversity, Equity &amp; Inclusion of Carlsberg Group </w:t>
      </w:r>
    </w:p>
    <w:p>
      <w:pPr>
        <w:pStyle w:val="15"/>
        <w:tabs>
          <w:tab w:val="left" w:pos="2206"/>
        </w:tabs>
        <w:spacing w:line="360" w:lineRule="auto"/>
        <w:ind w:left="426"/>
        <w:rPr>
          <w:rFonts w:ascii="Times New Roman Bold" w:hAnsi="Times New Roman Bold" w:cs="Times New Roman Bold"/>
          <w:b/>
          <w:bCs/>
          <w:sz w:val="24"/>
          <w:lang w:eastAsia="zh-TW"/>
        </w:rPr>
      </w:pPr>
    </w:p>
    <w:p>
      <w:pPr>
        <w:pStyle w:val="15"/>
        <w:tabs>
          <w:tab w:val="left" w:pos="2206"/>
        </w:tabs>
        <w:spacing w:line="360" w:lineRule="auto"/>
        <w:ind w:left="66"/>
        <w:rPr>
          <w:rFonts w:ascii="Times New Roman Bold" w:hAnsi="Times New Roman Bold" w:cs="Times New Roman Bold"/>
          <w:b/>
          <w:bCs/>
          <w:sz w:val="24"/>
          <w:lang w:eastAsia="zh-TW"/>
        </w:rPr>
      </w:pPr>
      <w:r>
        <w:rPr>
          <w:rFonts w:ascii="Times New Roman Bold" w:hAnsi="Times New Roman Bold" w:cs="Times New Roman Bold"/>
          <w:b/>
          <w:bCs/>
          <w:sz w:val="24"/>
          <w:lang w:eastAsia="zh-TW"/>
        </w:rPr>
        <w:t>Business ethics and conduct</w:t>
      </w:r>
    </w:p>
    <w:p>
      <w:pPr>
        <w:pStyle w:val="15"/>
        <w:tabs>
          <w:tab w:val="left" w:pos="2206"/>
        </w:tabs>
        <w:spacing w:line="360" w:lineRule="auto"/>
        <w:ind w:left="426"/>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Honest, sense of responsibility, compliant and showing people respect are Carlsberg’s ethical values. Carlsberg also encouraged the employees to speak up in compliance with their ethics.</w:t>
      </w:r>
    </w:p>
    <w:p>
      <w:pPr>
        <w:pStyle w:val="15"/>
        <w:tabs>
          <w:tab w:val="left" w:pos="2206"/>
        </w:tabs>
        <w:spacing w:line="360" w:lineRule="auto"/>
        <w:ind w:left="426"/>
        <w:rPr>
          <w:rFonts w:ascii="Times New Roman Bold" w:hAnsi="Times New Roman Bold" w:cs="Times New Roman Bold"/>
          <w:b/>
          <w:bCs/>
          <w:sz w:val="24"/>
          <w:lang w:eastAsia="zh-TW"/>
        </w:rPr>
      </w:pPr>
    </w:p>
    <w:p>
      <w:pPr>
        <w:pStyle w:val="15"/>
        <w:tabs>
          <w:tab w:val="left" w:pos="2206"/>
        </w:tabs>
        <w:spacing w:line="360" w:lineRule="auto"/>
        <w:ind w:left="66"/>
        <w:rPr>
          <w:rFonts w:ascii="Times New Roman Bold" w:hAnsi="Times New Roman Bold" w:cs="Times New Roman Bold"/>
          <w:b/>
          <w:bCs/>
          <w:sz w:val="24"/>
          <w:lang w:eastAsia="zh-TW"/>
        </w:rPr>
      </w:pPr>
      <w:r>
        <w:rPr>
          <w:rFonts w:ascii="Times New Roman Bold" w:hAnsi="Times New Roman Bold" w:cs="Times New Roman Bold"/>
          <w:b/>
          <w:bCs/>
          <w:sz w:val="24"/>
          <w:lang w:eastAsia="zh-TW"/>
        </w:rPr>
        <w:t xml:space="preserve">Internal control and risk management </w:t>
      </w:r>
    </w:p>
    <w:p>
      <w:pPr>
        <w:pStyle w:val="15"/>
        <w:tabs>
          <w:tab w:val="left" w:pos="2206"/>
        </w:tabs>
        <w:spacing w:line="360" w:lineRule="auto"/>
        <w:ind w:left="426"/>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There is a supervisory board and ExCom for controlling Carlsberg’s control environment. The Audit Committee is accountable for monitoring the effectiveness for the internal control and risk management. Carlsberg has a number of policies and procedure in financial reporting. And it also formalized the financial reporting process for the strategy process, budget process, estimates and monthly reporting on actual performance ( Carlsberg Group, 2023).</w:t>
      </w:r>
    </w:p>
    <w:p>
      <w:pPr>
        <w:tabs>
          <w:tab w:val="left" w:pos="2206"/>
        </w:tabs>
        <w:spacing w:line="360" w:lineRule="auto"/>
        <w:rPr>
          <w:rFonts w:ascii="Times New Roman Regular" w:hAnsi="Times New Roman Regular" w:cs="Times New Roman Regular"/>
          <w:sz w:val="24"/>
          <w:u w:val="single"/>
          <w:lang w:eastAsia="zh-TW"/>
        </w:rPr>
      </w:pPr>
      <w:r>
        <w:drawing>
          <wp:inline distT="0" distB="0" distL="114300" distR="114300">
            <wp:extent cx="5241290" cy="2308860"/>
            <wp:effectExtent l="0" t="0" r="16510" b="2540"/>
            <wp:docPr id="14"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圖片 13"/>
                    <pic:cNvPicPr>
                      <a:picLocks noChangeAspect="1"/>
                    </pic:cNvPicPr>
                  </pic:nvPicPr>
                  <pic:blipFill>
                    <a:blip r:embed="rId22"/>
                    <a:stretch>
                      <a:fillRect/>
                    </a:stretch>
                  </pic:blipFill>
                  <pic:spPr>
                    <a:xfrm>
                      <a:off x="0" y="0"/>
                      <a:ext cx="5241290" cy="230886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Good corporate governance can help to build up good reputation. Good reputation can help to raise fund by various channel, such as bond, equity and borrowings. Though the above table showing negative ROA and ROE of Carlsberg, good corporate governance can mitigate different kind of risk, such as reputation risk, credit risk, political risk, etc.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lang w:eastAsia="zh-TW"/>
        </w:rPr>
        <w:t>Connected Transaction through the minority shareholders’ interests</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 Foundation which is the parent company of Carlsberg received the dividend of DKK 27 per share from Carlsberg. </w:t>
      </w:r>
    </w:p>
    <w:p>
      <w:pPr>
        <w:tabs>
          <w:tab w:val="left" w:pos="2206"/>
        </w:tabs>
        <w:spacing w:line="360" w:lineRule="auto"/>
        <w:rPr>
          <w:rFonts w:ascii="Times New Roman Bold" w:hAnsi="Times New Roman Bold" w:cs="Times New Roman Bold"/>
          <w:b/>
          <w:bCs/>
          <w:sz w:val="24"/>
          <w:lang w:eastAsia="zh-TW"/>
        </w:rPr>
      </w:pP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lang w:eastAsia="zh-TW"/>
        </w:rPr>
        <w:t>Monitor Board of Director Failure</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 supervisory Board has 13 members of whom 8 members were elected by the General Meeting and 5 members were elected by the employees. Furthermore, the supervisory board had assigned an Audit Committee for monitoring the financial reporting process, the internal control and risk management, internal audit , external audit of financial reporting and its independency, ESG process, etc. </w:t>
      </w: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lang w:eastAsia="zh-TW"/>
        </w:rPr>
        <w:t>Credit Risk</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Cash and cash equivalents (including deposits), and derivatives financial instruments with a positive fair value exposed some credit risks for Carlsberg. Carlsberg had credit policy for monitoring its credit risk on cash and cash equivalents and derivatives. First, Carlsberg only entered into financial institutions with credit rating BBB. Second, Carlsberg only entered into FX and aluminum derivatives with existing related bank. The risk was also mitigated by signing ISDA. ISDA is a standardized contract for over-the-counter (OTC) derivatives transactions ( James Chen, 2024).</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Furthermore, the credit risk for on trade receivables, which was granted to the buyer by Carlsberg, was assessed locally and monitored by Group level in order to mitigate the credit risk.</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Thus, the credit risk associated by the cash and cash equivalents, derivatives and trade receivables were assessed and monitored by the Group and its subsidiaries. Carlsberg was believed having appropriate policy and procedures to mitigate the credit risk. </w:t>
      </w:r>
    </w:p>
    <w:p>
      <w:pPr>
        <w:tabs>
          <w:tab w:val="left" w:pos="2206"/>
        </w:tabs>
        <w:spacing w:line="360" w:lineRule="auto"/>
        <w:rPr>
          <w:rFonts w:ascii="Times New Roman Regular" w:hAnsi="Times New Roman Regular" w:cs="Times New Roman Regular"/>
          <w:sz w:val="24"/>
          <w:lang w:eastAsia="zh-TW"/>
        </w:rPr>
      </w:pPr>
    </w:p>
    <w:p>
      <w:pPr>
        <w:pStyle w:val="3"/>
        <w:spacing w:line="360" w:lineRule="auto"/>
        <w:rPr>
          <w:rFonts w:ascii="Times New Roman Regular" w:hAnsi="Times New Roman Regular" w:cs="Times New Roman Regular"/>
          <w:sz w:val="24"/>
          <w:szCs w:val="24"/>
        </w:rPr>
      </w:pPr>
      <w:bookmarkStart w:id="18" w:name="_Toc176557950"/>
      <w:r>
        <w:rPr>
          <w:rFonts w:ascii="Times New Roman Regular" w:hAnsi="Times New Roman Regular" w:cs="Times New Roman Regular"/>
          <w:color w:val="auto"/>
          <w:sz w:val="24"/>
          <w:szCs w:val="24"/>
        </w:rPr>
        <w:t>3.3 Suggestions for improvement</w:t>
      </w:r>
      <w:bookmarkEnd w:id="18"/>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First of all, Carlsberg’s net profit margin was only break-even for the past 3 years due to its high sales and distribution expenses. In which, the marketing expenses and distribution expense were the majority of sales and distribution expenses for Carlsberg.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Therefore, there are some suggestions for enhancing the net profit margin. Carlsberg can consider to open sales store in order to sell the product directly to its end user. Firstly, the energy price had been risen significantly in recent years, the distribution cost was expected to increase in the future, so distribution cost could be reduced. Secondly, setting up sales store also can help to reduce the marketing expenses. Carlsberg’s marketing expenses was mainly attributable to advertising through various channels. Setting up sales store also can have the effect on reminding its brands to the end-users.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Besides, the public has more focus on health and well-being. Carlsberg is well-known as a market leader in brewer, so there is a concern that the sales of beer and alcohol will be reduced because the health concern of public is greater than before. Carlsberg may consider to shift some focus on selling the non-alcohol or sport drinks. More and more people would prefer to spend more money on health products, rather than beers. Thus, the net profit can be risen due to higher gross profit and lower marketing expenses.</w:t>
      </w:r>
    </w:p>
    <w:p>
      <w:pPr>
        <w:widowControl/>
        <w:spacing w:line="360" w:lineRule="auto"/>
        <w:jc w:val="left"/>
        <w:rPr>
          <w:rFonts w:ascii="Times New Roman Regular" w:hAnsi="Times New Roman Regular" w:cs="Times New Roman Regular"/>
          <w:sz w:val="24"/>
          <w:lang w:eastAsia="zh-TW"/>
        </w:rPr>
      </w:pPr>
    </w:p>
    <w:p>
      <w:pPr>
        <w:pStyle w:val="2"/>
        <w:numPr>
          <w:ilvl w:val="0"/>
          <w:numId w:val="1"/>
        </w:numPr>
        <w:spacing w:line="360" w:lineRule="auto"/>
        <w:rPr>
          <w:rFonts w:ascii="Times New Roman Regular" w:hAnsi="Times New Roman Regular" w:cs="Times New Roman Regular"/>
          <w:sz w:val="24"/>
          <w:szCs w:val="24"/>
          <w:lang w:eastAsia="zh-TW"/>
        </w:rPr>
      </w:pPr>
      <w:bookmarkStart w:id="19" w:name="_Toc176557951"/>
      <w:r>
        <w:rPr>
          <w:rFonts w:ascii="Times New Roman Regular" w:hAnsi="Times New Roman Regular" w:cs="Times New Roman Regular"/>
          <w:color w:val="auto"/>
          <w:sz w:val="24"/>
          <w:szCs w:val="24"/>
        </w:rPr>
        <w:t>Investment Project Appraisal</w:t>
      </w:r>
      <w:bookmarkEnd w:id="19"/>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By viewing various dimensions of Carlsberg, the pain point for Carlsberg was having low net profit margin. The problem was mainly attributable to the high sales and distribution expenses. We suggest that Carlsberg could set up a sales and marketing store in order to sell various products directly to the end users and promote the alcohol and non-alcohol drinks to the public. Thus, it could help to reduce the distribution expense and marketing expenses.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Moreover, facing with the new market trend of more focusing on health lifestyle, people prefer to spend more money on the healthy products and may quit alcohol. Carlsberg is better to deploy more resources on non-alcohol and sport drinks. Thus, setting up a sales and marketing store can help Carlsberg to promote its non-alcohol and sport drinks. As people prefer to spend more money on healthy products, Carlsberg’s gross profit is believed to increase because of selling higher gross profit drinks.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color w:val="auto"/>
          <w:sz w:val="24"/>
          <w:szCs w:val="24"/>
        </w:rPr>
      </w:pPr>
      <w:bookmarkStart w:id="20" w:name="_Toc176557952"/>
      <w:r>
        <w:rPr>
          <w:rFonts w:ascii="Times New Roman Regular" w:hAnsi="Times New Roman Regular" w:cs="Times New Roman Regular"/>
          <w:color w:val="auto"/>
          <w:sz w:val="24"/>
          <w:szCs w:val="24"/>
          <w:lang w:eastAsia="zh-TW"/>
        </w:rPr>
        <w:t>4.1 Investment Project description</w:t>
      </w:r>
      <w:bookmarkEnd w:id="20"/>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We would like to suggest Carlsberg to open marketing and selling store in order to improve the pain point of its business.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The store is not only a sales store, but also acting as a marketing store, like beverage tasting, exhibition about Carlsberg and holding different kind of marketing activities. There are about 140 brands under Carlsberg, including alcohol and non alcohol drinks. A lot of people may not recognize all of the products or brands under Carlsberg. The sales and marketing store can help to drive the attentions and provide the information to the public. The exhibition is free entry for attracting more people to visit. Thus, the sales and marketing store can also help to promote its brand, the market share is expected to grow. Furthermore, the living style of the public has been changed for a long time as less time is spent on the television for the people, especially for generation Z. The advertising style is different nowadays. Beverage tasting can provide the new experience for the young people and let them know various Carlsberg’s products in a single visit. Carlsberg’s image can be believed to enhance with lower marketing cost, it can help to improve the net profit margin.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Moreover, the sales and marketing store is a direct sales point for the end user. The sales point can help to decrease the distribution expense as the products are directly delivered to the end users. Hence, the gross profit margin is expected to increase due to those sales in sales and marketing selling without intermediate involved. Larger gross profit can help to generate higher net profit margin as well.</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As Carlsberg is now developing China and Vietnam market for business expansion, the sales and marketing store is suggested to be opened in Denmark, UK, Vietnam, Hong Kong and China firstly as a testing point, and then Carlsberg can further develop the market in China by opening more sales and marketing stores. Hong Kong is an international and modern city with western and Chinese culture and well-developed legislation system. The store can deliver the marketing effect to the travelers from China in order to expand the China market indirectly. Beijing, Shanghai, Tianjin are also suggested for setting up the sales and marketing stores. We suggested to open around 220 stores all over the world.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color w:val="auto"/>
          <w:sz w:val="24"/>
          <w:szCs w:val="24"/>
        </w:rPr>
      </w:pPr>
      <w:bookmarkStart w:id="21" w:name="_Toc176557953"/>
      <w:r>
        <w:rPr>
          <w:rFonts w:ascii="Times New Roman Regular" w:hAnsi="Times New Roman Regular" w:cs="Times New Roman Regular"/>
          <w:color w:val="auto"/>
          <w:sz w:val="24"/>
          <w:szCs w:val="24"/>
        </w:rPr>
        <w:t>4.2 Project items basic information</w:t>
      </w:r>
      <w:bookmarkEnd w:id="21"/>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730875" cy="5619750"/>
            <wp:effectExtent l="0" t="0" r="9525" b="19050"/>
            <wp:docPr id="15"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圖片 14"/>
                    <pic:cNvPicPr>
                      <a:picLocks noChangeAspect="1"/>
                    </pic:cNvPicPr>
                  </pic:nvPicPr>
                  <pic:blipFill>
                    <a:blip r:embed="rId23"/>
                    <a:stretch>
                      <a:fillRect/>
                    </a:stretch>
                  </pic:blipFill>
                  <pic:spPr>
                    <a:xfrm>
                      <a:off x="0" y="0"/>
                      <a:ext cx="5730875" cy="561975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rPr>
        <w:t>Carlsberg’s cash an</w:t>
      </w:r>
      <w:r>
        <w:rPr>
          <w:rFonts w:ascii="Times New Roman Regular" w:hAnsi="Times New Roman Regular" w:cs="Times New Roman Regular"/>
          <w:sz w:val="24"/>
          <w:lang w:eastAsia="zh-TW"/>
        </w:rPr>
        <w:t>d</w:t>
      </w:r>
      <w:r>
        <w:rPr>
          <w:rFonts w:ascii="Times New Roman Regular" w:hAnsi="Times New Roman Regular" w:cs="Times New Roman Regular"/>
          <w:sz w:val="24"/>
        </w:rPr>
        <w:t xml:space="preserve"> cash equivalent stayed affluent as stood at DKK13,382M (HKD 15,523M). We suggest Carlsberg to utilize </w:t>
      </w:r>
      <w:r>
        <w:rPr>
          <w:rFonts w:ascii="Times New Roman Regular" w:hAnsi="Times New Roman Regular" w:cs="Times New Roman Regular"/>
          <w:sz w:val="24"/>
          <w:lang w:eastAsia="zh-TW"/>
        </w:rPr>
        <w:t xml:space="preserve">its retained earnings for initiating this project. Retained earning stood at DKK23,306M (Approximately HKD27,035M). 31.5% of the retained earnings, HKD 8,538M will be used for purchasing the store, land, equipment, furniture and decoration.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pStyle w:val="3"/>
        <w:spacing w:line="360" w:lineRule="auto"/>
        <w:rPr>
          <w:rFonts w:ascii="Times New Roman Regular" w:hAnsi="Times New Roman Regular" w:cs="Times New Roman Regular"/>
          <w:sz w:val="24"/>
          <w:szCs w:val="24"/>
        </w:rPr>
      </w:pPr>
      <w:bookmarkStart w:id="22" w:name="_Toc176557954"/>
      <w:r>
        <w:rPr>
          <w:rFonts w:ascii="Times New Roman Regular" w:hAnsi="Times New Roman Regular" w:cs="Times New Roman Regular"/>
          <w:color w:val="auto"/>
          <w:sz w:val="24"/>
          <w:szCs w:val="24"/>
        </w:rPr>
        <w:t>4.3 The first-year calculation of sales</w:t>
      </w:r>
      <w:bookmarkEnd w:id="22"/>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730875" cy="1947545"/>
            <wp:effectExtent l="0" t="0" r="9525" b="8255"/>
            <wp:docPr id="16"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圖片 15"/>
                    <pic:cNvPicPr>
                      <a:picLocks noChangeAspect="1"/>
                    </pic:cNvPicPr>
                  </pic:nvPicPr>
                  <pic:blipFill>
                    <a:blip r:embed="rId24"/>
                    <a:stretch>
                      <a:fillRect/>
                    </a:stretch>
                  </pic:blipFill>
                  <pic:spPr>
                    <a:xfrm>
                      <a:off x="0" y="0"/>
                      <a:ext cx="5730875" cy="1947545"/>
                    </a:xfrm>
                    <a:prstGeom prst="rect">
                      <a:avLst/>
                    </a:prstGeom>
                    <a:noFill/>
                    <a:ln>
                      <a:noFill/>
                    </a:ln>
                  </pic:spPr>
                </pic:pic>
              </a:graphicData>
            </a:graphic>
          </wp:inline>
        </w:drawing>
      </w:r>
    </w:p>
    <w:p>
      <w:pPr>
        <w:pStyle w:val="3"/>
        <w:spacing w:line="360" w:lineRule="auto"/>
        <w:rPr>
          <w:rFonts w:ascii="Times New Roman Regular" w:hAnsi="Times New Roman Regular" w:cs="Times New Roman Regular"/>
          <w:sz w:val="24"/>
          <w:szCs w:val="24"/>
          <w:u w:val="single"/>
        </w:rPr>
      </w:pPr>
      <w:bookmarkStart w:id="23" w:name="_Toc176557955"/>
      <w:r>
        <w:rPr>
          <w:rFonts w:ascii="Times New Roman Regular" w:hAnsi="Times New Roman Regular" w:cs="Times New Roman Regular"/>
          <w:color w:val="auto"/>
          <w:sz w:val="24"/>
          <w:szCs w:val="24"/>
        </w:rPr>
        <w:t>4.4 Computing Tax Cost</w:t>
      </w:r>
      <w:bookmarkEnd w:id="23"/>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730875" cy="2753995"/>
            <wp:effectExtent l="0" t="0" r="9525" b="14605"/>
            <wp:docPr id="17"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圖片 16"/>
                    <pic:cNvPicPr>
                      <a:picLocks noChangeAspect="1"/>
                    </pic:cNvPicPr>
                  </pic:nvPicPr>
                  <pic:blipFill>
                    <a:blip r:embed="rId25"/>
                    <a:stretch>
                      <a:fillRect/>
                    </a:stretch>
                  </pic:blipFill>
                  <pic:spPr>
                    <a:xfrm>
                      <a:off x="0" y="0"/>
                      <a:ext cx="5730875" cy="2753995"/>
                    </a:xfrm>
                    <a:prstGeom prst="rect">
                      <a:avLst/>
                    </a:prstGeom>
                    <a:noFill/>
                    <a:ln>
                      <a:noFill/>
                    </a:ln>
                  </pic:spPr>
                </pic:pic>
              </a:graphicData>
            </a:graphic>
          </wp:inline>
        </w:drawing>
      </w:r>
    </w:p>
    <w:p>
      <w:pPr>
        <w:pStyle w:val="3"/>
        <w:spacing w:line="360" w:lineRule="auto"/>
        <w:rPr>
          <w:rFonts w:ascii="Times New Roman Regular" w:hAnsi="Times New Roman Regular" w:cs="Times New Roman Regular"/>
          <w:sz w:val="24"/>
          <w:szCs w:val="24"/>
          <w:u w:val="single"/>
        </w:rPr>
      </w:pPr>
      <w:bookmarkStart w:id="24" w:name="_Toc176557956"/>
      <w:r>
        <w:rPr>
          <w:rFonts w:ascii="Times New Roman Regular" w:hAnsi="Times New Roman Regular" w:cs="Times New Roman Regular"/>
          <w:color w:val="auto"/>
          <w:sz w:val="24"/>
          <w:szCs w:val="24"/>
        </w:rPr>
        <w:t>4.5 Cashflow calculation</w:t>
      </w:r>
      <w:bookmarkEnd w:id="24"/>
    </w:p>
    <w:p>
      <w:pPr>
        <w:tabs>
          <w:tab w:val="left" w:pos="2206"/>
        </w:tabs>
        <w:spacing w:line="360" w:lineRule="auto"/>
        <w:rPr>
          <w:rFonts w:ascii="Times New Roman Regular" w:hAnsi="Times New Roman Regular" w:cs="Times New Roman Regular"/>
          <w:sz w:val="24"/>
        </w:rPr>
      </w:pPr>
      <w:r>
        <w:drawing>
          <wp:inline distT="0" distB="0" distL="114300" distR="114300">
            <wp:extent cx="5730875" cy="1828165"/>
            <wp:effectExtent l="0" t="0" r="9525" b="635"/>
            <wp:docPr id="18"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圖片 17"/>
                    <pic:cNvPicPr>
                      <a:picLocks noChangeAspect="1"/>
                    </pic:cNvPicPr>
                  </pic:nvPicPr>
                  <pic:blipFill>
                    <a:blip r:embed="rId26"/>
                    <a:stretch>
                      <a:fillRect/>
                    </a:stretch>
                  </pic:blipFill>
                  <pic:spPr>
                    <a:xfrm>
                      <a:off x="0" y="0"/>
                      <a:ext cx="5730875" cy="1828165"/>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Assumption :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After the 5</w:t>
      </w:r>
      <w:r>
        <w:rPr>
          <w:rFonts w:ascii="Times New Roman Regular" w:hAnsi="Times New Roman Regular" w:cs="Times New Roman Regular"/>
          <w:sz w:val="24"/>
          <w:vertAlign w:val="superscript"/>
        </w:rPr>
        <w:t>th</w:t>
      </w:r>
      <w:r>
        <w:rPr>
          <w:rFonts w:ascii="Times New Roman Regular" w:hAnsi="Times New Roman Regular" w:cs="Times New Roman Regular"/>
          <w:sz w:val="24"/>
        </w:rPr>
        <w:t xml:space="preserve"> year , the financial performance will be steady for the following </w:t>
      </w:r>
      <w:r>
        <w:rPr>
          <w:rFonts w:ascii="Times New Roman Regular" w:hAnsi="Times New Roman Regular" w:cs="Times New Roman Regular"/>
          <w:sz w:val="24"/>
          <w:lang w:eastAsia="zh-TW"/>
        </w:rPr>
        <w:t>20</w:t>
      </w:r>
      <w:r>
        <w:rPr>
          <w:rFonts w:ascii="Times New Roman Regular" w:hAnsi="Times New Roman Regular" w:cs="Times New Roman Regular"/>
          <w:sz w:val="24"/>
        </w:rPr>
        <w:t xml:space="preserve"> years. Due to its business risk is mitigated by diversifying the operation area.</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u w:val="single"/>
        </w:rPr>
      </w:pPr>
      <w:bookmarkStart w:id="25" w:name="_Toc176557957"/>
      <w:r>
        <w:rPr>
          <w:rFonts w:ascii="Times New Roman Regular" w:hAnsi="Times New Roman Regular" w:cs="Times New Roman Regular"/>
          <w:color w:val="auto"/>
          <w:sz w:val="24"/>
          <w:szCs w:val="24"/>
        </w:rPr>
        <w:t>4.6 ARR and NPV calculation</w:t>
      </w:r>
      <w:bookmarkEnd w:id="25"/>
    </w:p>
    <w:p>
      <w:pPr>
        <w:tabs>
          <w:tab w:val="left" w:pos="2206"/>
        </w:tabs>
        <w:spacing w:line="360" w:lineRule="auto"/>
        <w:rPr>
          <w:rFonts w:ascii="Times New Roman Regular" w:hAnsi="Times New Roman Regular" w:cs="Times New Roman Regular"/>
          <w:sz w:val="24"/>
        </w:rPr>
      </w:pPr>
      <w:r>
        <w:drawing>
          <wp:inline distT="0" distB="0" distL="114300" distR="114300">
            <wp:extent cx="5730875" cy="4086860"/>
            <wp:effectExtent l="0" t="0" r="9525" b="2540"/>
            <wp:docPr id="19"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圖片 18"/>
                    <pic:cNvPicPr>
                      <a:picLocks noChangeAspect="1"/>
                    </pic:cNvPicPr>
                  </pic:nvPicPr>
                  <pic:blipFill>
                    <a:blip r:embed="rId27"/>
                    <a:stretch>
                      <a:fillRect/>
                    </a:stretch>
                  </pic:blipFill>
                  <pic:spPr>
                    <a:xfrm>
                      <a:off x="0" y="0"/>
                      <a:ext cx="5730875" cy="408686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rPr>
      </w:pPr>
      <w:bookmarkStart w:id="26" w:name="_Toc176557958"/>
      <w:r>
        <w:rPr>
          <w:rFonts w:ascii="Times New Roman Regular" w:hAnsi="Times New Roman Regular" w:cs="Times New Roman Regular"/>
          <w:color w:val="auto"/>
          <w:sz w:val="24"/>
          <w:szCs w:val="24"/>
        </w:rPr>
        <w:t>4.7 Payback period and IRR</w:t>
      </w:r>
      <w:bookmarkEnd w:id="26"/>
      <w:r>
        <w:rPr>
          <w:rFonts w:ascii="Times New Roman Regular" w:hAnsi="Times New Roman Regular" w:cs="Times New Roman Regular"/>
          <w:color w:val="auto"/>
          <w:sz w:val="24"/>
          <w:szCs w:val="24"/>
        </w:rPr>
        <w:t xml:space="preserve"> </w:t>
      </w:r>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729605" cy="1443990"/>
            <wp:effectExtent l="0" t="0" r="10795" b="3810"/>
            <wp:docPr id="20"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圖片 19"/>
                    <pic:cNvPicPr>
                      <a:picLocks noChangeAspect="1"/>
                    </pic:cNvPicPr>
                  </pic:nvPicPr>
                  <pic:blipFill>
                    <a:blip r:embed="rId28"/>
                    <a:stretch>
                      <a:fillRect/>
                    </a:stretch>
                  </pic:blipFill>
                  <pic:spPr>
                    <a:xfrm>
                      <a:off x="0" y="0"/>
                      <a:ext cx="5729605" cy="1443990"/>
                    </a:xfrm>
                    <a:prstGeom prst="rect">
                      <a:avLst/>
                    </a:prstGeom>
                    <a:noFill/>
                    <a:ln>
                      <a:noFill/>
                    </a:ln>
                  </pic:spPr>
                </pic:pic>
              </a:graphicData>
            </a:graphic>
          </wp:inline>
        </w:drawing>
      </w:r>
    </w:p>
    <w:p>
      <w:pPr>
        <w:pStyle w:val="3"/>
        <w:spacing w:line="360" w:lineRule="auto"/>
        <w:rPr>
          <w:rFonts w:ascii="Times New Roman Regular" w:hAnsi="Times New Roman Regular" w:cs="Times New Roman Regular"/>
          <w:color w:val="auto"/>
          <w:sz w:val="24"/>
          <w:szCs w:val="24"/>
        </w:rPr>
      </w:pPr>
      <w:bookmarkStart w:id="27" w:name="_Toc176557959"/>
      <w:r>
        <w:rPr>
          <w:rFonts w:ascii="Times New Roman Regular" w:hAnsi="Times New Roman Regular" w:cs="Times New Roman Regular"/>
          <w:color w:val="auto"/>
          <w:sz w:val="24"/>
          <w:szCs w:val="24"/>
        </w:rPr>
        <w:t>4.8 Investment Appraisal</w:t>
      </w:r>
      <w:bookmarkEnd w:id="27"/>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From the above projection methods, the new projects for the payback period is expected as 11 years and NPV stand at positive value. Thus, the project investment appraisal would bring a positive return. It could help to increase the GPM and net profit for the group. The project is suggested to initiate.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sz w:val="24"/>
          <w:szCs w:val="24"/>
          <w:lang w:eastAsia="zh-TW"/>
        </w:rPr>
      </w:pPr>
      <w:bookmarkStart w:id="28" w:name="_Toc176557960"/>
      <w:r>
        <w:rPr>
          <w:rFonts w:ascii="Times New Roman Regular" w:hAnsi="Times New Roman Regular" w:cs="Times New Roman Regular"/>
          <w:color w:val="auto"/>
          <w:sz w:val="24"/>
          <w:szCs w:val="24"/>
        </w:rPr>
        <w:t>4.9 New project appraisal methods for analysis</w:t>
      </w:r>
      <w:bookmarkEnd w:id="28"/>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From the above methods and the appendix 1, the following is the analysis of different methods.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-Investment returns:</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The investment return indicated that this 25-years- project has almost 26% return (the sum of 25years profit/initial cost). This method is the simplest, but it neglects the calculation of the future money value.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-ARR:</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 xml:space="preserve">ARR stood at 5.04% which is higher than ROE and ROA of Carlsberg in FY 2023. ARR (Average rate of return) is indicating the investment return of long-term project. And ARR is also a simple calculation method for examining the return of a long-term project. But this method is lacking of the consideration of time value of money.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-NPV:</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The NPV of the project stood at HKD2.309.6M per the above calculation, </w:t>
      </w:r>
    </w:p>
    <w:p>
      <w:pPr>
        <w:tabs>
          <w:tab w:val="left" w:pos="2206"/>
        </w:tabs>
        <w:spacing w:line="360" w:lineRule="auto"/>
        <w:rPr>
          <w:rFonts w:ascii="Times New Roman Regular" w:hAnsi="Times New Roman Regular" w:cs="Times New Roman Regular"/>
          <w:sz w:val="24"/>
          <w:lang w:val="en-GB" w:eastAsia="zh-TW"/>
        </w:rPr>
      </w:pPr>
      <w:r>
        <w:rPr>
          <w:rFonts w:ascii="Times New Roman Regular" w:hAnsi="Times New Roman Regular" w:cs="Times New Roman Regular"/>
          <w:sz w:val="24"/>
          <w:lang w:val="en-GB" w:eastAsia="zh-TW"/>
        </w:rPr>
        <w:t xml:space="preserve">NPV =all cashflow for (25) years-initial cost=HKD2.309.6M. </w:t>
      </w:r>
    </w:p>
    <w:p>
      <w:pPr>
        <w:tabs>
          <w:tab w:val="left" w:pos="2206"/>
        </w:tabs>
        <w:spacing w:line="360" w:lineRule="auto"/>
        <w:rPr>
          <w:rFonts w:ascii="Times New Roman Regular" w:hAnsi="Times New Roman Regular" w:cs="Times New Roman Regular"/>
          <w:sz w:val="24"/>
          <w:lang w:val="en-GB"/>
        </w:rPr>
      </w:pPr>
      <w:r>
        <w:rPr>
          <w:rFonts w:ascii="Times New Roman Regular" w:hAnsi="Times New Roman Regular" w:cs="Times New Roman Regular"/>
          <w:sz w:val="24"/>
          <w:lang w:val="en-GB"/>
        </w:rPr>
        <w:t xml:space="preserve">This 25-years project’s NPV accounts for positive value, the project is worth to invest. </w:t>
      </w:r>
    </w:p>
    <w:p>
      <w:pPr>
        <w:tabs>
          <w:tab w:val="left" w:pos="2206"/>
        </w:tabs>
        <w:spacing w:line="360" w:lineRule="auto"/>
        <w:rPr>
          <w:rFonts w:ascii="Times New Roman Regular" w:hAnsi="Times New Roman Regular" w:cs="Times New Roman Regular"/>
          <w:sz w:val="24"/>
          <w:lang w:val="en-GB"/>
        </w:rPr>
      </w:pPr>
    </w:p>
    <w:p>
      <w:pPr>
        <w:tabs>
          <w:tab w:val="left" w:pos="2206"/>
        </w:tabs>
        <w:spacing w:line="360" w:lineRule="auto"/>
        <w:rPr>
          <w:rFonts w:ascii="Times New Roman Bold" w:hAnsi="Times New Roman Bold" w:cs="Times New Roman Bold"/>
          <w:b/>
          <w:bCs/>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-IRR:</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rPr>
        <w:t xml:space="preserve">IRR is to estimate the profitability of potential investments with the consideration of the time value of money. The proposed project’s IRR accounts for 9%, which is higher than the net income margin of Carlsberg in FY2023. IRR is a comprehensive measure with considering the time value of money, cash flow and risk free factor for long-term and short-term projects. However, an actual project must be impacted by various factors and those factors are obtained via very complicated calculations. And IRR has to assume the intermediate cash flows are reinvested at the same rate which mostly is not in line with reality. </w:t>
      </w:r>
    </w:p>
    <w:p>
      <w:pPr>
        <w:tabs>
          <w:tab w:val="left" w:pos="2206"/>
        </w:tabs>
        <w:spacing w:line="360" w:lineRule="auto"/>
        <w:rPr>
          <w:rFonts w:ascii="Times New Roman Regular" w:hAnsi="Times New Roman Regular" w:cs="Times New Roman Regular"/>
          <w:sz w:val="24"/>
          <w:u w:val="single"/>
        </w:rPr>
      </w:pPr>
    </w:p>
    <w:p>
      <w:pPr>
        <w:pStyle w:val="3"/>
        <w:spacing w:line="360" w:lineRule="auto"/>
        <w:rPr>
          <w:rFonts w:ascii="Times New Roman Regular" w:hAnsi="Times New Roman Regular" w:cs="Times New Roman Regular"/>
          <w:color w:val="auto"/>
          <w:sz w:val="24"/>
          <w:szCs w:val="24"/>
        </w:rPr>
      </w:pPr>
      <w:bookmarkStart w:id="29" w:name="_Toc176557961"/>
      <w:r>
        <w:rPr>
          <w:rFonts w:ascii="Times New Roman Regular" w:hAnsi="Times New Roman Regular" w:cs="Times New Roman Regular"/>
          <w:color w:val="auto"/>
          <w:sz w:val="24"/>
          <w:szCs w:val="24"/>
        </w:rPr>
        <w:t>4.10 Suggestion for cashflow of new project</w:t>
      </w:r>
      <w:bookmarkEnd w:id="29"/>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Carlsberg could invest to the new project via its cash injection in the first year due to its cash and cash equivalents is sufficient to support this new project. Cash and cash equivalents of Carlsberg stood at DKK13,382M (HKD15,523M). </w:t>
      </w:r>
    </w:p>
    <w:p>
      <w:pPr>
        <w:tabs>
          <w:tab w:val="left" w:pos="2206"/>
        </w:tabs>
        <w:spacing w:line="360" w:lineRule="auto"/>
        <w:rPr>
          <w:rFonts w:ascii="Times New Roman Regular" w:hAnsi="Times New Roman Regular" w:cs="Times New Roman Regular" w:eastAsiaTheme="majorEastAsia"/>
          <w:b/>
          <w:color w:val="2E54A1" w:themeColor="accent1" w:themeShade="BF"/>
          <w:sz w:val="24"/>
        </w:rPr>
      </w:pPr>
      <w:r>
        <w:rPr>
          <w:rFonts w:ascii="Times New Roman Regular" w:hAnsi="Times New Roman Regular" w:cs="Times New Roman Regular"/>
          <w:sz w:val="24"/>
        </w:rPr>
        <w:t xml:space="preserve">Afterwards, Carlsberg can reinvest by using this new project’s revenue. Those profitable stores could complement the unprofitable stores. Carlsberg can assess the profitability of each store annually, and take appropriate improvements in terms of strategy, location, decoration and etc. The purpose is to optimize the operating efficiency for the new project. </w:t>
      </w:r>
    </w:p>
    <w:p>
      <w:pPr>
        <w:pStyle w:val="2"/>
        <w:spacing w:line="360" w:lineRule="auto"/>
        <w:jc w:val="left"/>
        <w:rPr>
          <w:rFonts w:ascii="Times New Roman Regular" w:hAnsi="Times New Roman Regular" w:cs="Times New Roman Regular"/>
          <w:color w:val="auto"/>
          <w:sz w:val="24"/>
          <w:szCs w:val="24"/>
        </w:rPr>
      </w:pPr>
      <w:bookmarkStart w:id="30" w:name="_Toc176557962"/>
      <w:r>
        <w:rPr>
          <w:rFonts w:ascii="Times New Roman Regular" w:hAnsi="Times New Roman Regular" w:cs="Times New Roman Regular"/>
          <w:color w:val="auto"/>
          <w:sz w:val="24"/>
          <w:szCs w:val="24"/>
        </w:rPr>
        <w:t>5. Financing and capital management</w:t>
      </w:r>
      <w:bookmarkEnd w:id="30"/>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 can utilize various financing methods for initiating the new project. Below is showing the pros and cons of different methods. </w:t>
      </w:r>
    </w:p>
    <w:p>
      <w:pPr>
        <w:tabs>
          <w:tab w:val="left" w:pos="2206"/>
        </w:tabs>
        <w:spacing w:line="360" w:lineRule="auto"/>
        <w:rPr>
          <w:rFonts w:ascii="Times New Roman Regular" w:hAnsi="Times New Roman Regular" w:cs="Times New Roman Regular"/>
          <w:sz w:val="24"/>
          <w:lang w:eastAsia="zh-TW"/>
        </w:rPr>
      </w:pPr>
    </w:p>
    <w:p>
      <w:pPr>
        <w:pStyle w:val="3"/>
        <w:spacing w:line="360" w:lineRule="auto"/>
        <w:rPr>
          <w:rFonts w:ascii="Times New Roman Regular" w:hAnsi="Times New Roman Regular" w:cs="Times New Roman Regular"/>
          <w:sz w:val="24"/>
          <w:szCs w:val="24"/>
          <w:u w:val="single"/>
        </w:rPr>
      </w:pPr>
      <w:bookmarkStart w:id="31" w:name="_Toc176557963"/>
      <w:r>
        <w:rPr>
          <w:rFonts w:ascii="Times New Roman Regular" w:hAnsi="Times New Roman Regular" w:cs="Times New Roman Regular"/>
          <w:color w:val="auto"/>
          <w:sz w:val="24"/>
          <w:szCs w:val="24"/>
        </w:rPr>
        <w:t>5.1 Financing Methods for analyzing</w:t>
      </w:r>
      <w:bookmarkEnd w:id="31"/>
    </w:p>
    <w:p>
      <w:pPr>
        <w:tabs>
          <w:tab w:val="left" w:pos="2206"/>
        </w:tabs>
        <w:spacing w:line="360" w:lineRule="auto"/>
        <w:rPr>
          <w:rFonts w:ascii="Times New Roman Regular" w:hAnsi="Times New Roman Regular" w:cs="Times New Roman Regular"/>
          <w:sz w:val="24"/>
          <w:u w:val="single"/>
        </w:rPr>
      </w:pPr>
      <w:r>
        <w:drawing>
          <wp:inline distT="0" distB="0" distL="114300" distR="114300">
            <wp:extent cx="5162550" cy="4152900"/>
            <wp:effectExtent l="0" t="0" r="19050" b="12700"/>
            <wp:docPr id="21"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圖片 20"/>
                    <pic:cNvPicPr>
                      <a:picLocks noChangeAspect="1"/>
                    </pic:cNvPicPr>
                  </pic:nvPicPr>
                  <pic:blipFill>
                    <a:blip r:embed="rId29"/>
                    <a:stretch>
                      <a:fillRect/>
                    </a:stretch>
                  </pic:blipFill>
                  <pic:spPr>
                    <a:xfrm>
                      <a:off x="0" y="0"/>
                      <a:ext cx="5162550" cy="4152900"/>
                    </a:xfrm>
                    <a:prstGeom prst="rect">
                      <a:avLst/>
                    </a:prstGeom>
                    <a:noFill/>
                    <a:ln>
                      <a:noFill/>
                    </a:ln>
                  </pic:spPr>
                </pic:pic>
              </a:graphicData>
            </a:graphic>
          </wp:inline>
        </w:drawing>
      </w:r>
    </w:p>
    <w:p>
      <w:pPr>
        <w:tabs>
          <w:tab w:val="left" w:pos="2206"/>
        </w:tabs>
        <w:spacing w:line="360" w:lineRule="auto"/>
        <w:rPr>
          <w:rFonts w:ascii="Times New Roman Bold" w:hAnsi="Times New Roman Bold" w:cs="Times New Roman Bold"/>
          <w:b/>
          <w:bCs/>
          <w:sz w:val="24"/>
          <w:u w:val="single"/>
        </w:rPr>
      </w:pP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rPr>
        <w:t xml:space="preserve">- </w:t>
      </w:r>
      <w:bookmarkStart w:id="32" w:name="OLE_LINK16"/>
      <w:r>
        <w:rPr>
          <w:rFonts w:ascii="Times New Roman Bold" w:hAnsi="Times New Roman Bold" w:cs="Times New Roman Bold"/>
          <w:b/>
          <w:bCs/>
          <w:sz w:val="24"/>
          <w:u w:val="single"/>
        </w:rPr>
        <w:t>Cash payments</w:t>
      </w:r>
      <w:bookmarkEnd w:id="32"/>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lang w:eastAsia="zh-TW"/>
        </w:rPr>
        <w:t xml:space="preserve">Carlsberg can invest into the new project by utilizing its cash and cash equivalents or retained profit. Though retained profit reduced to DKK23.3B, retained profit was still sufficient to support the new project. Retained profit is come from a certain percentage of profit and can be used for the company’s development. The advantage for using this method won’t increase the interest expense and the debt level. However, using cash payment would weaken the liquidity of the company, especially Carlsberg having low current ratio.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rPr>
      </w:pPr>
      <w:r>
        <w:rPr>
          <w:rFonts w:ascii="Times New Roman Bold" w:hAnsi="Times New Roman Bold" w:cs="Times New Roman Bold"/>
          <w:b/>
          <w:bCs/>
          <w:sz w:val="24"/>
          <w:u w:val="single"/>
        </w:rPr>
        <w:t>-Bank loan financing</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rPr>
        <w:t xml:space="preserve">As of 31 Dec 2023, Carlsberg has unutilized credit facility of EUR2B (approximately HKD 17.42B). </w:t>
      </w:r>
      <w:r>
        <w:rPr>
          <w:rFonts w:ascii="Times New Roman Regular" w:hAnsi="Times New Roman Regular" w:cs="Times New Roman Regular"/>
          <w:sz w:val="24"/>
          <w:lang w:eastAsia="zh-TW"/>
        </w:rPr>
        <w:t xml:space="preserve">The average floating rate and fixed rate for the bank borrowings are 4.1% and 4.5% respectively. Using this method would increase the interest expense, especially during this high interest rate moment. Also, due to the majority of bank loan in EUR, Carlsberg also exposed to exchange risk. However, as Carlsberg was a multinational company and the business was diversified in different area, the exchange risk could be mitigated by its diversified business. Utilizing the available facility can help to increase the liquidity.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rPr>
        <w:t>-</w:t>
      </w:r>
      <w:r>
        <w:rPr>
          <w:rFonts w:ascii="Times New Roman Bold" w:hAnsi="Times New Roman Bold" w:cs="Times New Roman Bold"/>
          <w:b/>
          <w:bCs/>
          <w:sz w:val="24"/>
          <w:u w:val="single"/>
          <w:lang w:eastAsia="zh-TW"/>
        </w:rPr>
        <w:t>Bond issuing</w:t>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Carlsberg issued bonds with carrying amount of DKK29.27B in FY2023. Issuing bonds is another way to finance its new project by debt financing. Bond issuing also would increase the interest expense and debt level. However, its issued bonds always had longer payment period, like 3-5 years, Carlsberg only needed to repay the principal on maturity. And Carlsberg can choose to refinance when the bond is mature, it could ensure to sustain a good liquidity for the company. It is crucial that Carlsberg need to maintain a good credit rating as the bond investors and banks would base on this factor to determine if they should finance the company or not. </w:t>
      </w: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Regular" w:hAnsi="Times New Roman Regular" w:cs="Times New Roman Regular"/>
          <w:sz w:val="24"/>
          <w:lang w:eastAsia="zh-TW"/>
        </w:rPr>
      </w:pPr>
    </w:p>
    <w:p>
      <w:pPr>
        <w:tabs>
          <w:tab w:val="left" w:pos="2206"/>
        </w:tabs>
        <w:spacing w:line="360" w:lineRule="auto"/>
        <w:rPr>
          <w:rFonts w:ascii="Times New Roman Bold" w:hAnsi="Times New Roman Bold" w:cs="Times New Roman Bold"/>
          <w:b/>
          <w:bCs/>
          <w:sz w:val="24"/>
          <w:u w:val="single"/>
          <w:lang w:eastAsia="zh-TW"/>
        </w:rPr>
      </w:pPr>
      <w:r>
        <w:rPr>
          <w:rFonts w:ascii="Times New Roman Bold" w:hAnsi="Times New Roman Bold" w:cs="Times New Roman Bold"/>
          <w:b/>
          <w:bCs/>
          <w:sz w:val="24"/>
          <w:u w:val="single"/>
          <w:lang w:eastAsia="zh-TW"/>
        </w:rPr>
        <w:t>Time to maturity for non-current borrowings</w:t>
      </w:r>
    </w:p>
    <w:p>
      <w:pPr>
        <w:tabs>
          <w:tab w:val="left" w:pos="2206"/>
        </w:tabs>
        <w:spacing w:line="360" w:lineRule="auto"/>
        <w:rPr>
          <w:rFonts w:ascii="Times New Roman Regular" w:hAnsi="Times New Roman Regular" w:cs="Times New Roman Regular"/>
          <w:sz w:val="24"/>
          <w:u w:val="single"/>
        </w:rPr>
      </w:pPr>
      <w:r>
        <w:rPr>
          <w:rFonts w:ascii="Times New Roman Regular" w:hAnsi="Times New Roman Regular" w:cs="Times New Roman Regular"/>
          <w:sz w:val="24"/>
          <w:u w:val="single"/>
        </w:rPr>
        <w:drawing>
          <wp:inline distT="0" distB="0" distL="0" distR="0">
            <wp:extent cx="5290185" cy="1637665"/>
            <wp:effectExtent l="0" t="0" r="5715" b="635"/>
            <wp:docPr id="11334077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07719" name="Picture 1" descr="A screenshot of a graph&#10;&#10;Description automatically generated"/>
                    <pic:cNvPicPr>
                      <a:picLocks noChangeAspect="1"/>
                    </pic:cNvPicPr>
                  </pic:nvPicPr>
                  <pic:blipFill>
                    <a:blip r:embed="rId30"/>
                    <a:srcRect l="-301" t="20464" r="-1"/>
                    <a:stretch>
                      <a:fillRect/>
                    </a:stretch>
                  </pic:blipFill>
                  <pic:spPr>
                    <a:xfrm>
                      <a:off x="0" y="0"/>
                      <a:ext cx="5290213" cy="1637886"/>
                    </a:xfrm>
                    <a:prstGeom prst="rect">
                      <a:avLst/>
                    </a:prstGeom>
                    <a:ln>
                      <a:noFill/>
                    </a:ln>
                  </pic:spPr>
                </pic:pic>
              </a:graphicData>
            </a:graphic>
          </wp:inline>
        </w:drawing>
      </w:r>
    </w:p>
    <w:p>
      <w:pPr>
        <w:tabs>
          <w:tab w:val="left" w:pos="2206"/>
        </w:tabs>
        <w:spacing w:line="36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Source: Carlsberg annual report FY2023</w:t>
      </w:r>
    </w:p>
    <w:p>
      <w:pPr>
        <w:tabs>
          <w:tab w:val="left" w:pos="2206"/>
        </w:tabs>
        <w:spacing w:line="360" w:lineRule="auto"/>
        <w:rPr>
          <w:rFonts w:ascii="Times New Roman Regular" w:hAnsi="Times New Roman Regular" w:cs="Times New Roman Regular"/>
          <w:sz w:val="24"/>
          <w:lang w:eastAsia="zh-TW"/>
        </w:rPr>
      </w:pPr>
    </w:p>
    <w:p>
      <w:pPr>
        <w:pStyle w:val="3"/>
        <w:spacing w:line="360" w:lineRule="auto"/>
        <w:rPr>
          <w:rFonts w:ascii="Times New Roman Regular" w:hAnsi="Times New Roman Regular" w:cs="Times New Roman Regular"/>
          <w:color w:val="auto"/>
          <w:sz w:val="24"/>
          <w:szCs w:val="24"/>
        </w:rPr>
      </w:pPr>
      <w:bookmarkStart w:id="33" w:name="_Toc176557964"/>
      <w:r>
        <w:rPr>
          <w:rFonts w:ascii="Times New Roman Regular" w:hAnsi="Times New Roman Regular" w:cs="Times New Roman Regular"/>
          <w:color w:val="auto"/>
          <w:sz w:val="24"/>
          <w:szCs w:val="24"/>
        </w:rPr>
        <w:t>5.2 Financing method proposed</w:t>
      </w:r>
      <w:bookmarkEnd w:id="33"/>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With the above analysis, Carlsberg should use Cash payments for initiate the new project. </w:t>
      </w:r>
    </w:p>
    <w:p>
      <w:pPr>
        <w:tabs>
          <w:tab w:val="left" w:pos="2206"/>
        </w:tabs>
        <w:spacing w:line="360" w:lineRule="auto"/>
        <w:rPr>
          <w:rFonts w:ascii="Times New Roman Regular" w:hAnsi="Times New Roman Regular" w:cs="Times New Roman Regular"/>
          <w:sz w:val="24"/>
        </w:rPr>
      </w:pPr>
      <w:r>
        <w:drawing>
          <wp:inline distT="0" distB="0" distL="114300" distR="114300">
            <wp:extent cx="5962650" cy="2801620"/>
            <wp:effectExtent l="0" t="0" r="6350" b="17780"/>
            <wp:docPr id="22"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圖片 21"/>
                    <pic:cNvPicPr>
                      <a:picLocks noChangeAspect="1"/>
                    </pic:cNvPicPr>
                  </pic:nvPicPr>
                  <pic:blipFill>
                    <a:blip r:embed="rId31"/>
                    <a:stretch>
                      <a:fillRect/>
                    </a:stretch>
                  </pic:blipFill>
                  <pic:spPr>
                    <a:xfrm>
                      <a:off x="0" y="0"/>
                      <a:ext cx="5962650" cy="2801620"/>
                    </a:xfrm>
                    <a:prstGeom prst="rect">
                      <a:avLst/>
                    </a:prstGeom>
                    <a:noFill/>
                    <a:ln>
                      <a:noFill/>
                    </a:ln>
                  </pic:spPr>
                </pic:pic>
              </a:graphicData>
            </a:graphic>
          </wp:inline>
        </w:drawing>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Considering the above actual ratio, Fixed assets to LTL ratio and Debt/Equity ratio stood marginal, bank loan financing and bond issuing were not suggested to apply. Thus, investing by cash or retained profit is suggested to use due to its affluent level.</w:t>
      </w:r>
    </w:p>
    <w:p>
      <w:pPr>
        <w:tabs>
          <w:tab w:val="left" w:pos="2206"/>
        </w:tabs>
        <w:spacing w:line="360" w:lineRule="auto"/>
        <w:rPr>
          <w:rFonts w:ascii="Times New Roman Regular" w:hAnsi="Times New Roman Regular" w:cs="Times New Roman Regular"/>
          <w:sz w:val="24"/>
        </w:rPr>
      </w:pPr>
    </w:p>
    <w:p>
      <w:pPr>
        <w:pStyle w:val="2"/>
        <w:numPr>
          <w:ilvl w:val="0"/>
          <w:numId w:val="5"/>
        </w:numPr>
        <w:spacing w:line="360" w:lineRule="auto"/>
        <w:jc w:val="left"/>
        <w:rPr>
          <w:rFonts w:ascii="Times New Roman Regular" w:hAnsi="Times New Roman Regular" w:cs="Times New Roman Regular"/>
          <w:color w:val="auto"/>
          <w:sz w:val="24"/>
          <w:szCs w:val="24"/>
        </w:rPr>
      </w:pPr>
      <w:bookmarkStart w:id="34" w:name="_Toc176557965"/>
      <w:r>
        <w:rPr>
          <w:rFonts w:ascii="Times New Roman Regular" w:hAnsi="Times New Roman Regular" w:cs="Times New Roman Regular"/>
          <w:color w:val="auto"/>
          <w:sz w:val="24"/>
          <w:szCs w:val="24"/>
        </w:rPr>
        <w:t>Recommendations and audit program</w:t>
      </w:r>
      <w:bookmarkEnd w:id="34"/>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Based on the above analysis, we propose the audit program to concern following points, </w:t>
      </w:r>
    </w:p>
    <w:p>
      <w:pPr>
        <w:pStyle w:val="15"/>
        <w:tabs>
          <w:tab w:val="left" w:pos="2206"/>
        </w:tabs>
        <w:spacing w:line="360" w:lineRule="auto"/>
        <w:ind w:left="0"/>
        <w:rPr>
          <w:rFonts w:ascii="Times New Roman Regular" w:hAnsi="Times New Roman Regular" w:cs="Times New Roman Regular"/>
          <w:b/>
          <w:bCs/>
          <w:sz w:val="24"/>
        </w:rPr>
      </w:pPr>
    </w:p>
    <w:p>
      <w:pPr>
        <w:pStyle w:val="15"/>
        <w:tabs>
          <w:tab w:val="left" w:pos="2206"/>
        </w:tabs>
        <w:spacing w:line="360" w:lineRule="auto"/>
        <w:ind w:left="0"/>
        <w:rPr>
          <w:rFonts w:ascii="Times New Roman Regular" w:hAnsi="Times New Roman Regular" w:cs="Times New Roman Regular"/>
          <w:b/>
          <w:bCs/>
          <w:sz w:val="24"/>
        </w:rPr>
      </w:pPr>
      <w:r>
        <w:rPr>
          <w:rFonts w:ascii="Times New Roman Regular" w:hAnsi="Times New Roman Regular" w:cs="Times New Roman Regular"/>
          <w:b/>
          <w:bCs/>
          <w:sz w:val="24"/>
        </w:rPr>
        <w:t>-Liquidity and Cash level below the market benchmark</w:t>
      </w:r>
    </w:p>
    <w:p>
      <w:pPr>
        <w:pStyle w:val="15"/>
        <w:tabs>
          <w:tab w:val="left" w:pos="2206"/>
        </w:tabs>
        <w:spacing w:line="360" w:lineRule="auto"/>
        <w:ind w:left="360"/>
        <w:rPr>
          <w:rFonts w:ascii="Times New Roman Regular" w:hAnsi="Times New Roman Regular" w:cs="Times New Roman Regular"/>
          <w:sz w:val="24"/>
        </w:rPr>
      </w:pPr>
      <w:r>
        <w:rPr>
          <w:rFonts w:ascii="Times New Roman Regular" w:hAnsi="Times New Roman Regular" w:cs="Times New Roman Regular"/>
          <w:sz w:val="24"/>
        </w:rPr>
        <w:t xml:space="preserve">Current ratio and Quick ratio stayed below par and cash ratio was lower than its peers for 3 consecutive years. In order to improve this potential problem, Carlsberg should diversify its business for shortening the debtors payment period. </w:t>
      </w:r>
    </w:p>
    <w:p>
      <w:pPr>
        <w:pStyle w:val="15"/>
        <w:tabs>
          <w:tab w:val="left" w:pos="2206"/>
        </w:tabs>
        <w:spacing w:line="360" w:lineRule="auto"/>
        <w:ind w:left="0"/>
        <w:rPr>
          <w:rFonts w:ascii="Times New Roman Regular" w:hAnsi="Times New Roman Regular" w:cs="Times New Roman Regular"/>
          <w:b/>
          <w:bCs/>
          <w:sz w:val="24"/>
        </w:rPr>
      </w:pPr>
      <w:r>
        <w:rPr>
          <w:rFonts w:ascii="Times New Roman Regular" w:hAnsi="Times New Roman Regular" w:cs="Times New Roman Regular"/>
          <w:b/>
          <w:bCs/>
          <w:sz w:val="24"/>
        </w:rPr>
        <w:t>-Credit Risk for granting On-trade loan for the number of buyers</w:t>
      </w:r>
    </w:p>
    <w:p>
      <w:pPr>
        <w:pStyle w:val="15"/>
        <w:tabs>
          <w:tab w:val="left" w:pos="2206"/>
        </w:tabs>
        <w:spacing w:line="360" w:lineRule="auto"/>
        <w:ind w:left="360"/>
        <w:rPr>
          <w:rFonts w:ascii="Times New Roman Regular" w:hAnsi="Times New Roman Regular" w:cs="Times New Roman Regular"/>
          <w:sz w:val="24"/>
        </w:rPr>
      </w:pPr>
      <w:r>
        <w:rPr>
          <w:rFonts w:ascii="Times New Roman Regular" w:hAnsi="Times New Roman Regular" w:cs="Times New Roman Regular"/>
          <w:sz w:val="24"/>
        </w:rPr>
        <w:t xml:space="preserve">Granting the on-trade loan to buyers has potential credit risk for Carlsberg. Carlsberg should have a comprehensive monitoring policy and procedure for those buyers in order to ensure the repayment. </w:t>
      </w:r>
    </w:p>
    <w:p>
      <w:pPr>
        <w:pStyle w:val="15"/>
        <w:tabs>
          <w:tab w:val="left" w:pos="2206"/>
        </w:tabs>
        <w:spacing w:line="360" w:lineRule="auto"/>
        <w:ind w:left="0"/>
        <w:rPr>
          <w:rFonts w:ascii="Times New Roman Regular" w:hAnsi="Times New Roman Regular" w:cs="Times New Roman Regular"/>
          <w:b/>
          <w:bCs/>
          <w:sz w:val="24"/>
        </w:rPr>
      </w:pPr>
      <w:r>
        <w:rPr>
          <w:rFonts w:ascii="Times New Roman Regular" w:hAnsi="Times New Roman Regular" w:cs="Times New Roman Regular"/>
          <w:b/>
          <w:bCs/>
          <w:sz w:val="24"/>
        </w:rPr>
        <w:t>-Exposed to the economic instability and Geopolitical Tension</w:t>
      </w:r>
    </w:p>
    <w:p>
      <w:pPr>
        <w:pStyle w:val="15"/>
        <w:tabs>
          <w:tab w:val="left" w:pos="2206"/>
        </w:tabs>
        <w:spacing w:line="360" w:lineRule="auto"/>
        <w:ind w:left="360"/>
        <w:rPr>
          <w:rFonts w:ascii="Times New Roman Regular" w:hAnsi="Times New Roman Regular" w:cs="Times New Roman Regular"/>
          <w:sz w:val="24"/>
        </w:rPr>
      </w:pPr>
      <w:r>
        <w:rPr>
          <w:rFonts w:ascii="Times New Roman Regular" w:hAnsi="Times New Roman Regular" w:cs="Times New Roman Regular"/>
          <w:sz w:val="24"/>
        </w:rPr>
        <w:t xml:space="preserve">Carlsberg was impacted by macroeconomic challenge associated by war and geopolitical conflicts. The geopolitical conflicts may also ultimately force Carlsberg to exit or restructure. Carlsberg should continue to diversify its products and closely monitor the global geopolitical situations. </w:t>
      </w:r>
    </w:p>
    <w:p>
      <w:pPr>
        <w:widowControl/>
        <w:spacing w:line="360" w:lineRule="auto"/>
        <w:jc w:val="left"/>
        <w:rPr>
          <w:rFonts w:ascii="Times New Roman Regular" w:hAnsi="Times New Roman Regular" w:cs="Times New Roman Regular" w:eastAsiaTheme="majorEastAsia"/>
          <w:b/>
          <w:color w:val="2E54A1" w:themeColor="accent1" w:themeShade="BF"/>
          <w:sz w:val="24"/>
        </w:rPr>
      </w:pPr>
    </w:p>
    <w:p>
      <w:pPr>
        <w:pStyle w:val="2"/>
        <w:numPr>
          <w:ilvl w:val="0"/>
          <w:numId w:val="5"/>
        </w:numPr>
        <w:spacing w:line="360" w:lineRule="auto"/>
        <w:rPr>
          <w:rFonts w:ascii="Times New Roman Regular" w:hAnsi="Times New Roman Regular" w:cs="Times New Roman Regular"/>
          <w:sz w:val="24"/>
          <w:szCs w:val="24"/>
        </w:rPr>
      </w:pPr>
      <w:bookmarkStart w:id="35" w:name="_Toc176557966"/>
      <w:r>
        <w:rPr>
          <w:rFonts w:ascii="Times New Roman Regular" w:hAnsi="Times New Roman Regular" w:cs="Times New Roman Regular"/>
          <w:color w:val="auto"/>
          <w:sz w:val="24"/>
          <w:szCs w:val="24"/>
        </w:rPr>
        <w:t>Conclusion and Recommendations</w:t>
      </w:r>
      <w:bookmarkEnd w:id="35"/>
    </w:p>
    <w:p>
      <w:pPr>
        <w:tabs>
          <w:tab w:val="left" w:pos="2206"/>
        </w:tabs>
        <w:spacing w:line="360" w:lineRule="auto"/>
        <w:ind w:right="180"/>
        <w:rPr>
          <w:rFonts w:ascii="Times New Roman Regular" w:hAnsi="Times New Roman Regular" w:cs="Times New Roman Regular"/>
          <w:sz w:val="24"/>
        </w:rPr>
      </w:pPr>
      <w:r>
        <w:rPr>
          <w:rFonts w:ascii="Times New Roman Regular" w:hAnsi="Times New Roman Regular" w:cs="Times New Roman Regular"/>
          <w:sz w:val="24"/>
        </w:rPr>
        <w:t xml:space="preserve">Although Carlsberg’s liquidity and debt level stayed in fair level only, and the profitability was weakened by the deconsolidation of the business in Russia, its overall financial performance stayed satisfactory due to various financing channel, reputation and strong credit rating. Adapting with the trend of increasing environmental and health concern, we suggest Carlsberg to set up sales and marketing stores by cash payment for promoting its diversified products, including the non-alcohol and sport drinks. The proposed investment is believed to effectively increase the gross profit margin and decrease the distribution cost. </w:t>
      </w: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u w:val="single"/>
        </w:rPr>
      </w:pPr>
    </w:p>
    <w:p>
      <w:pPr>
        <w:widowControl/>
        <w:spacing w:line="360" w:lineRule="auto"/>
        <w:jc w:val="left"/>
        <w:rPr>
          <w:rFonts w:ascii="Times New Roman Regular" w:hAnsi="Times New Roman Regular" w:cs="Times New Roman Regular" w:eastAsiaTheme="majorEastAsia"/>
          <w:b/>
          <w:color w:val="2E54A1" w:themeColor="accent1" w:themeShade="BF"/>
          <w:sz w:val="24"/>
        </w:rPr>
      </w:pPr>
      <w:r>
        <w:rPr>
          <w:rFonts w:ascii="Times New Roman Regular" w:hAnsi="Times New Roman Regular" w:cs="Times New Roman Regular"/>
          <w:sz w:val="24"/>
        </w:rPr>
        <w:br w:type="page"/>
      </w:r>
    </w:p>
    <w:p>
      <w:pPr>
        <w:pStyle w:val="2"/>
        <w:spacing w:line="360" w:lineRule="auto"/>
        <w:rPr>
          <w:rFonts w:ascii="Times New Roman Regular" w:hAnsi="Times New Roman Regular" w:cs="Times New Roman Regular"/>
          <w:color w:val="auto"/>
          <w:sz w:val="24"/>
          <w:szCs w:val="24"/>
        </w:rPr>
      </w:pPr>
      <w:bookmarkStart w:id="36" w:name="_Toc176557967"/>
      <w:r>
        <w:rPr>
          <w:rFonts w:ascii="Times New Roman Regular" w:hAnsi="Times New Roman Regular" w:cs="Times New Roman Regular"/>
          <w:color w:val="auto"/>
          <w:sz w:val="24"/>
          <w:szCs w:val="24"/>
        </w:rPr>
        <w:t>References</w:t>
      </w:r>
      <w:bookmarkEnd w:id="36"/>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Heerkens, G. (2006) The business-savvy project manager: Indispensable knowledge and skills for success. New York: McGraw-Hill. </w:t>
      </w:r>
    </w:p>
    <w:p>
      <w:pPr>
        <w:pStyle w:val="11"/>
        <w:rPr>
          <w:color w:val="000000"/>
          <w:sz w:val="24"/>
          <w:szCs w:val="24"/>
        </w:rPr>
      </w:pPr>
      <w:r>
        <w:rPr>
          <w:color w:val="000000"/>
          <w:sz w:val="24"/>
          <w:szCs w:val="24"/>
        </w:rPr>
        <w:t>Bekaert, G.J. and Hodrick, R.J. (2014a) </w:t>
      </w:r>
      <w:r>
        <w:rPr>
          <w:i/>
          <w:iCs/>
          <w:color w:val="000000"/>
          <w:sz w:val="24"/>
          <w:szCs w:val="24"/>
        </w:rPr>
        <w:t>International Financial Management Geert J. Bekaert; Robert J. Hodrick</w:t>
      </w:r>
      <w:r>
        <w:rPr>
          <w:color w:val="000000"/>
          <w:sz w:val="24"/>
          <w:szCs w:val="24"/>
        </w:rPr>
        <w:t>. Harlow: Pearson. </w:t>
      </w:r>
    </w:p>
    <w:p>
      <w:pPr>
        <w:pStyle w:val="11"/>
        <w:rPr>
          <w:color w:val="000000"/>
          <w:sz w:val="24"/>
          <w:szCs w:val="24"/>
        </w:rPr>
      </w:pPr>
      <w:r>
        <w:rPr>
          <w:rFonts w:hint="eastAsia"/>
          <w:color w:val="000000"/>
          <w:sz w:val="24"/>
          <w:szCs w:val="24"/>
        </w:rPr>
        <w:t xml:space="preserve">International Jurnal of Islamic Business Ethics </w:t>
      </w:r>
      <w:r>
        <w:rPr>
          <w:color w:val="000000"/>
          <w:sz w:val="24"/>
          <w:szCs w:val="24"/>
        </w:rPr>
        <w:t xml:space="preserve">(2017) </w:t>
      </w:r>
      <w:r>
        <w:rPr>
          <w:rFonts w:hint="eastAsia"/>
          <w:color w:val="000000"/>
          <w:sz w:val="24"/>
          <w:szCs w:val="24"/>
        </w:rPr>
        <w:t>ANALYSIS ON THE EFFECT OF CURRENT</w:t>
      </w:r>
      <w:r>
        <w:rPr>
          <w:color w:val="000000"/>
          <w:sz w:val="24"/>
          <w:szCs w:val="24"/>
        </w:rPr>
        <w:t xml:space="preserve"> </w:t>
      </w:r>
      <w:r>
        <w:rPr>
          <w:rFonts w:hint="eastAsia"/>
          <w:color w:val="000000"/>
          <w:sz w:val="24"/>
          <w:szCs w:val="24"/>
        </w:rPr>
        <w:t>RATIO, CASHFLOW FROM OPERATION TO</w:t>
      </w:r>
      <w:r>
        <w:rPr>
          <w:color w:val="000000"/>
          <w:sz w:val="24"/>
          <w:szCs w:val="24"/>
        </w:rPr>
        <w:t xml:space="preserve"> </w:t>
      </w:r>
      <w:r>
        <w:rPr>
          <w:rFonts w:hint="eastAsia"/>
          <w:color w:val="000000"/>
          <w:sz w:val="24"/>
          <w:szCs w:val="24"/>
        </w:rPr>
        <w:t>DEBT, FIRM SIZE AND RETURN ON EQUITY</w:t>
      </w:r>
      <w:r>
        <w:rPr>
          <w:color w:val="000000"/>
          <w:sz w:val="24"/>
          <w:szCs w:val="24"/>
        </w:rPr>
        <w:t xml:space="preserve"> </w:t>
      </w:r>
      <w:r>
        <w:rPr>
          <w:rFonts w:hint="eastAsia"/>
          <w:color w:val="000000"/>
          <w:sz w:val="24"/>
          <w:szCs w:val="24"/>
        </w:rPr>
        <w:t>ON STOCK RETURN</w:t>
      </w:r>
    </w:p>
    <w:p>
      <w:pPr>
        <w:pStyle w:val="11"/>
        <w:rPr>
          <w:rFonts w:ascii="Times New Roman Regular" w:hAnsi="Times New Roman Regular" w:cs="Times New Roman Regular"/>
          <w:sz w:val="24"/>
          <w:szCs w:val="24"/>
        </w:rPr>
      </w:pPr>
      <w:r>
        <w:rPr>
          <w:rFonts w:hint="eastAsia"/>
          <w:color w:val="000000"/>
          <w:sz w:val="24"/>
          <w:szCs w:val="24"/>
        </w:rPr>
        <w:t>Available at:</w:t>
      </w:r>
      <w:r>
        <w:rPr>
          <w:color w:val="000000"/>
          <w:sz w:val="24"/>
          <w:szCs w:val="24"/>
        </w:rPr>
        <w:t xml:space="preserve"> </w:t>
      </w:r>
      <w:r>
        <w:fldChar w:fldCharType="begin"/>
      </w:r>
      <w:r>
        <w:instrText xml:space="preserve"> HYPERLINK "https://core.ac.uk/download/pdf/236375957.pdf" </w:instrText>
      </w:r>
      <w:r>
        <w:fldChar w:fldCharType="separate"/>
      </w:r>
      <w:r>
        <w:rPr>
          <w:rStyle w:val="6"/>
          <w:rFonts w:hint="eastAsia"/>
          <w:sz w:val="24"/>
          <w:szCs w:val="24"/>
        </w:rPr>
        <w:t>https://core.ac.uk/download/pdf/236375957.pdf</w:t>
      </w:r>
      <w:r>
        <w:rPr>
          <w:rStyle w:val="6"/>
          <w:rFonts w:hint="eastAsia"/>
          <w:sz w:val="24"/>
          <w:szCs w:val="24"/>
        </w:rPr>
        <w:fldChar w:fldCharType="end"/>
      </w:r>
      <w:r>
        <w:rPr>
          <w:color w:val="000000"/>
          <w:sz w:val="24"/>
          <w:szCs w:val="24"/>
        </w:rPr>
        <w:t xml:space="preserve"> (Accessed: 22 Aug 2024)</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Group (2024) About Us</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"https://www.carlsberggroup.com/who-we-are/about-the-carlsberg-group/" </w:instrText>
      </w:r>
      <w:r>
        <w:fldChar w:fldCharType="separate"/>
      </w:r>
      <w:r>
        <w:rPr>
          <w:rStyle w:val="6"/>
          <w:rFonts w:ascii="Times New Roman Regular" w:hAnsi="Times New Roman Regular" w:cs="Times New Roman Regular"/>
          <w:sz w:val="24"/>
        </w:rPr>
        <w:t>https://www.carlsberggroup.com/who-we-are/about-the-carlsberg-group/</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Reuters (2024) Carlsberg becomes no.2 in Greece with Olympic Brewery takeover</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"https://www.reuters.com/article/business/carlsberg-becomes-no2-in-greece-with-olympic-brewery-takeover-idUSKCN0J20KX/" </w:instrText>
      </w:r>
      <w:r>
        <w:fldChar w:fldCharType="separate"/>
      </w:r>
      <w:r>
        <w:rPr>
          <w:rStyle w:val="6"/>
          <w:rFonts w:ascii="Times New Roman Regular" w:hAnsi="Times New Roman Regular" w:cs="Times New Roman Regular"/>
          <w:sz w:val="24"/>
        </w:rPr>
        <w:t>https://www.reuters.com/article/business/carlsberg-becomes-no2-in-greece-with-olympic-brewery-takeover-idUSKCN0J20KX/</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Group (2024) Beers you love</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"https://www.carlsberggroup.com/beers-you-love/?p=3" </w:instrText>
      </w:r>
      <w:r>
        <w:fldChar w:fldCharType="separate"/>
      </w:r>
      <w:r>
        <w:rPr>
          <w:rStyle w:val="6"/>
          <w:rFonts w:ascii="Times New Roman Regular" w:hAnsi="Times New Roman Regular" w:cs="Times New Roman Regular"/>
          <w:sz w:val="24"/>
        </w:rPr>
        <w:t>https://www.carlsberggroup.com/beers-you-love/?p=3</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Carlsberg Group (2024) Who we are</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"https://www.carlsberggroup.com/who-we-are/about-the-carlsberg-group/" </w:instrText>
      </w:r>
      <w:r>
        <w:fldChar w:fldCharType="separate"/>
      </w:r>
      <w:r>
        <w:rPr>
          <w:rStyle w:val="6"/>
          <w:rFonts w:ascii="Times New Roman Regular" w:hAnsi="Times New Roman Regular" w:cs="Times New Roman Regular"/>
          <w:sz w:val="24"/>
        </w:rPr>
        <w:t>https://www.carlsberggroup.com/who-we-are/about-the-carlsberg-group/</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Inverstopedia (2024) What is the Altman Z-score</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"https://www.investopedia.com/terms/a/altman.asp#:~:text=A%20score%20below%201.8%20signals%20the%20company%20is,stock%20if%20the%20value%20is%20closer%20to%201.8" </w:instrText>
      </w:r>
      <w:r>
        <w:fldChar w:fldCharType="separate"/>
      </w:r>
      <w:r>
        <w:rPr>
          <w:rStyle w:val="6"/>
          <w:rFonts w:ascii="Times New Roman Regular" w:hAnsi="Times New Roman Regular" w:cs="Times New Roman Regular"/>
          <w:sz w:val="24"/>
        </w:rPr>
        <w:t>https://www.investopedia.com/terms/a/altman.asp#:~:text=A%20score%20below%201.8%20signals%20the%20company%20is,stock%20if%20the%20value%20is%20closer%20to%201.8</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CFI (2024) Intangible Assets</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"https://corporatefinanceinstitute.com/resources/accounting/intangible-assets/" </w:instrText>
      </w:r>
      <w:r>
        <w:fldChar w:fldCharType="separate"/>
      </w:r>
      <w:r>
        <w:rPr>
          <w:rStyle w:val="6"/>
          <w:rFonts w:ascii="Times New Roman Regular" w:hAnsi="Times New Roman Regular" w:cs="Times New Roman Regular"/>
          <w:sz w:val="24"/>
        </w:rPr>
        <w:t>https://corporatefinanceinstitute.com/resources/accounting/intangible-assets/</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Fitch Ratings (2022) Fitch Affirms Carlsberg at BBB+ Outlook Stable</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"https://www.fitchratings.com/research/corporate-finance/fitch-affirms-carlsberg-at-bbb-outlook-stable-09-06-2022" </w:instrText>
      </w:r>
      <w:r>
        <w:fldChar w:fldCharType="separate"/>
      </w:r>
      <w:r>
        <w:rPr>
          <w:rStyle w:val="6"/>
          <w:rFonts w:ascii="Times New Roman Regular" w:hAnsi="Times New Roman Regular" w:cs="Times New Roman Regular"/>
          <w:sz w:val="24"/>
        </w:rPr>
        <w:t>https://www.fitchratings.com/research/corporate-finance/fitch-affirms-carlsberg-at-bbb-outlook-stable-09-06-2022</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22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CFI (2022) Current Ratio Formula</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"https://corporatefinanceinstitute.com/resources/accounting/current-ratio-formula/" </w:instrText>
      </w:r>
      <w:r>
        <w:fldChar w:fldCharType="separate"/>
      </w:r>
      <w:r>
        <w:rPr>
          <w:rStyle w:val="6"/>
          <w:rFonts w:ascii="Times New Roman Regular" w:hAnsi="Times New Roman Regular" w:cs="Times New Roman Regular"/>
          <w:sz w:val="24"/>
        </w:rPr>
        <w:t>https://corporatefinanceinstitute.com/resources/accounting/current-ratio-formula/</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CFI (2022) Cash Ratio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"https://corporatefinanceinstitute.com/resources/accounting/cash-ratio-formula/" </w:instrText>
      </w:r>
      <w:r>
        <w:fldChar w:fldCharType="separate"/>
      </w:r>
      <w:r>
        <w:rPr>
          <w:rStyle w:val="6"/>
          <w:rFonts w:ascii="Times New Roman Regular" w:hAnsi="Times New Roman Regular" w:cs="Times New Roman Regular"/>
          <w:sz w:val="24"/>
        </w:rPr>
        <w:t>https://corporatefinanceinstitute.com/resources/accounting/cash-ratio-formula/</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Inverstopedia (2024) What is the Interest Coverage Ratio</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"https://corporatefinanceinstitute.com/resources/accounting/cash-ratio-formula/" </w:instrText>
      </w:r>
      <w:r>
        <w:fldChar w:fldCharType="separate"/>
      </w:r>
      <w:r>
        <w:rPr>
          <w:rStyle w:val="6"/>
          <w:rFonts w:ascii="Times New Roman Regular" w:hAnsi="Times New Roman Regular" w:cs="Times New Roman Regular"/>
          <w:sz w:val="24"/>
        </w:rPr>
        <w:t>https://corporatefinanceinstitute.com/resources/accounting/cash-ratio-formula/</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CFI (2024) Accounts Payable Turnover Ratio</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"https://corporatefinanceinstitute.com/resources/accounting/accounts-payable-turnover-ratio/#:~:text=Accounts%20Payable%20Turnover%20in%20Days%20The%20accounts%20payable,divide%20365%20days%20by%20the%20payable%20turnover%20ratio" </w:instrText>
      </w:r>
      <w:r>
        <w:fldChar w:fldCharType="separate"/>
      </w:r>
      <w:r>
        <w:rPr>
          <w:rStyle w:val="6"/>
          <w:rFonts w:ascii="Times New Roman Regular" w:hAnsi="Times New Roman Regular" w:cs="Times New Roman Regular"/>
          <w:sz w:val="24"/>
        </w:rPr>
        <w:t>https://corporatefinanceinstitute.com/resources/accounting/accounts-payable-turnover-ratio/#:~:text=Accounts%20Payable%20Turnover%20in%20Days%20The%20accounts%20payable,divide%20365%20days%20by%20the%20payable%20turnover%20ratio</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CFI (2024) Inventory-turnover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"https://corporatefinanceinstitute.com/resources/accounting/inventory-turnover/" </w:instrText>
      </w:r>
      <w:r>
        <w:fldChar w:fldCharType="separate"/>
      </w:r>
      <w:r>
        <w:rPr>
          <w:rStyle w:val="6"/>
          <w:rFonts w:ascii="Times New Roman Regular" w:hAnsi="Times New Roman Regular" w:cs="Times New Roman Regular"/>
          <w:sz w:val="24"/>
        </w:rPr>
        <w:t>https://corporatefinanceinstitute.com/resources/accounting/inventory-turnover/</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CFI (2024) leverage-ratios</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"https://corporatefinanceinstitute.com/resources/accounting/leverage-ratios/" </w:instrText>
      </w:r>
      <w:r>
        <w:fldChar w:fldCharType="separate"/>
      </w:r>
      <w:r>
        <w:rPr>
          <w:rStyle w:val="6"/>
          <w:rFonts w:ascii="Times New Roman Regular" w:hAnsi="Times New Roman Regular" w:cs="Times New Roman Regular"/>
          <w:sz w:val="24"/>
        </w:rPr>
        <w:t>https://corporatefinanceinstitute.com/resources/accounting/leverage-ratios/</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Inverstopedia (2024) Sustainable Growth Rate (SGR): Definition, Meaning, and Limitations Available at: </w:t>
      </w:r>
      <w:r>
        <w:fldChar w:fldCharType="begin"/>
      </w:r>
      <w:r>
        <w:instrText xml:space="preserve"> HYPERLINK "https://www.investopedia.com/terms/s/sustainablegrowthrate.asp" </w:instrText>
      </w:r>
      <w:r>
        <w:fldChar w:fldCharType="separate"/>
      </w:r>
      <w:r>
        <w:rPr>
          <w:rStyle w:val="6"/>
          <w:rFonts w:ascii="Times New Roman Regular" w:hAnsi="Times New Roman Regular" w:cs="Times New Roman Regular"/>
          <w:sz w:val="24"/>
        </w:rPr>
        <w:t>https://www.investopedia.com/terms/s/sustainablegrowthrate.asp</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BBC (2021) HSBC fined £64m for anti-money laundering failings</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"https://www.bbc.com/news/business-59689581" </w:instrText>
      </w:r>
      <w:r>
        <w:fldChar w:fldCharType="separate"/>
      </w:r>
      <w:r>
        <w:rPr>
          <w:rStyle w:val="6"/>
          <w:rFonts w:ascii="Times New Roman Regular" w:hAnsi="Times New Roman Regular" w:cs="Times New Roman Regular"/>
          <w:sz w:val="24"/>
        </w:rPr>
        <w:t>https://www.bbc.com/news/business-59689581</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Carlsberg (2024) Internal Control &amp; Risk Management</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"https://www.carlsberggroup.com/who-we-are/corporate-governance/internal-control-risk-management/" </w:instrText>
      </w:r>
      <w:r>
        <w:fldChar w:fldCharType="separate"/>
      </w:r>
      <w:r>
        <w:rPr>
          <w:rStyle w:val="6"/>
          <w:rFonts w:ascii="Times New Roman Regular" w:hAnsi="Times New Roman Regular" w:cs="Times New Roman Regular"/>
          <w:sz w:val="24"/>
        </w:rPr>
        <w:t>https://www.carlsberggroup.com/who-we-are/corporate-governance/internal-control-risk-management/</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Inverstopedia (2024) ISDA Master Agreement: Definition, What It Does, and Requirements Available at: </w:t>
      </w:r>
      <w:r>
        <w:fldChar w:fldCharType="begin"/>
      </w:r>
      <w:r>
        <w:instrText xml:space="preserve"> HYPERLINK "https://www.investopedia.com/terms/i/isda-master-agreement.asp" </w:instrText>
      </w:r>
      <w:r>
        <w:fldChar w:fldCharType="separate"/>
      </w:r>
      <w:r>
        <w:rPr>
          <w:rStyle w:val="6"/>
          <w:rFonts w:ascii="Times New Roman Regular" w:hAnsi="Times New Roman Regular" w:cs="Times New Roman Regular"/>
          <w:sz w:val="24"/>
        </w:rPr>
        <w:t>https://www.investopedia.com/terms/i/isda-master-agreement.asp</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Macrotrends (2024) Carlsberg AS Financial Ratios for Analysis 2010-2024 </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 </w:t>
      </w:r>
      <w:r>
        <w:fldChar w:fldCharType="begin"/>
      </w:r>
      <w:r>
        <w:instrText xml:space="preserve"> HYPERLINK "https://www.macrotrends.net/stocks/charts/CABGY/carlsberg-as/financial-ratios" </w:instrText>
      </w:r>
      <w:r>
        <w:fldChar w:fldCharType="separate"/>
      </w:r>
      <w:r>
        <w:rPr>
          <w:rStyle w:val="6"/>
          <w:rFonts w:ascii="Times New Roman Regular" w:hAnsi="Times New Roman Regular" w:cs="Times New Roman Regular"/>
          <w:sz w:val="24"/>
        </w:rPr>
        <w:t>https://www.macrotrends.net/stocks/charts/CABGY/carlsberg-as/financial-ratios</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:22 Aug 2024)</w:t>
      </w:r>
    </w:p>
    <w:p>
      <w:pPr>
        <w:tabs>
          <w:tab w:val="left" w:pos="2206"/>
        </w:tabs>
        <w:spacing w:line="360" w:lineRule="auto"/>
        <w:ind w:left="120" w:hanging="120" w:hangingChars="50"/>
        <w:rPr>
          <w:rFonts w:ascii="Times New Roman Regular" w:hAnsi="Times New Roman Regular" w:cs="Times New Roman Regular"/>
          <w:sz w:val="24"/>
        </w:rPr>
      </w:pP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Wisesheets (2024) Carlsberg A/S</w:t>
      </w:r>
    </w:p>
    <w:p>
      <w:pPr>
        <w:tabs>
          <w:tab w:val="left" w:pos="2206"/>
        </w:tabs>
        <w:spacing w:line="360" w:lineRule="auto"/>
        <w:ind w:left="120" w:hanging="120" w:hangingChars="50"/>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"https://www.wisesheets.io/pe-ratio/CABGY" </w:instrText>
      </w:r>
      <w:r>
        <w:fldChar w:fldCharType="separate"/>
      </w:r>
      <w:r>
        <w:rPr>
          <w:rStyle w:val="6"/>
          <w:rFonts w:ascii="Times New Roman Regular" w:hAnsi="Times New Roman Regular" w:cs="Times New Roman Regular"/>
          <w:sz w:val="24"/>
        </w:rPr>
        <w:t>https://www.wisesheets.io/pe-ratio/CABGY</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(Accessed:22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Figure 1</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Carlsberg Group (2024) Shareholders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Available at: https://www.carlsberggroup.com/investor-relations/shareholders/(Accessed:20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Figure 2</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Yahoo Finance (2024) Summary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finance.yahoo.com/quote/DKKHKD=X/?guccounter=1&amp;guce_referrer=aHR0cHM6Ly93d3cuYmluZy5jb20v&amp;guce_referrer_sig=AQAAAMvk__1ofX2u_fNoWxvQaQKdJGbtkYLtUWcSRqiXvVIEdiYu31Ir-schGclBOSET74boq9P-JC8bjotahYI3u5pNYd63CNAhaIi2IggFf_vjlcsYg-XJ5O_yEthR1-o6k0CA1llCs_7MFMFItTXOVDCfLdXn1Qz1u2JX13wktH-u" </w:instrText>
      </w:r>
      <w:r>
        <w:fldChar w:fldCharType="separate"/>
      </w:r>
      <w:r>
        <w:rPr>
          <w:rStyle w:val="6"/>
          <w:rFonts w:ascii="Times New Roman Regular" w:hAnsi="Times New Roman Regular" w:cs="Times New Roman Regular"/>
          <w:sz w:val="24"/>
        </w:rPr>
        <w:t>https://finance.yahoo.com/quote/DKKHKD=X/?guccounter=1&amp;guce_referrer=aHR0cHM6Ly93d3cuYmluZy5jb20v&amp;guce_referrer_sig=AQAAAMvk__1ofX2u_fNoWxvQaQKdJGbtkYLtUWcSRqiXvVIEdiYu31Ir-schGclBOSET74boq9P-JC8bjotahYI3u5pNYd63CNAhaIi2IggFf_vjlcsYg-XJ5O_yEthR1-o6k0CA1llCs_7MFMFItTXOVDCfLdXn1Qz1u2JX13wktH-u</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Figure 3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Diversity, Equity &amp; Inclusion of Carlsberg Group</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"https://www.carlsberggroup.com/who-we-are/corporate-governance/diversity/" </w:instrText>
      </w:r>
      <w:r>
        <w:fldChar w:fldCharType="separate"/>
      </w:r>
      <w:r>
        <w:rPr>
          <w:rStyle w:val="6"/>
          <w:rFonts w:ascii="Times New Roman Regular" w:hAnsi="Times New Roman Regular" w:cs="Times New Roman Regular"/>
          <w:sz w:val="24"/>
        </w:rPr>
        <w:t>https://www.carlsberggroup.com/who-we-are/corporate-governance/diversity/</w:t>
      </w:r>
      <w:r>
        <w:rPr>
          <w:rStyle w:val="6"/>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tabs>
          <w:tab w:val="left" w:pos="2206"/>
        </w:tabs>
        <w:spacing w:line="360" w:lineRule="auto"/>
        <w:rPr>
          <w:rFonts w:ascii="Times New Roman Regular" w:hAnsi="Times New Roman Regular" w:cs="Times New Roman Regular"/>
          <w:sz w:val="24"/>
        </w:rPr>
      </w:pPr>
      <w:r>
        <w:rPr>
          <w:rFonts w:ascii="Times New Roman Regular" w:hAnsi="Times New Roman Regular" w:cs="Times New Roman Regular"/>
          <w:sz w:val="24"/>
        </w:rPr>
        <w:t>(Accessed:20 Aug 2024)</w:t>
      </w: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rPr>
      </w:pPr>
    </w:p>
    <w:p>
      <w:pPr>
        <w:tabs>
          <w:tab w:val="left" w:pos="2206"/>
        </w:tabs>
        <w:spacing w:line="360" w:lineRule="auto"/>
        <w:rPr>
          <w:rFonts w:ascii="Times New Roman Regular" w:hAnsi="Times New Roman Regular" w:cs="Times New Roman Regular"/>
          <w:sz w:val="24"/>
          <w:u w:val="single"/>
        </w:rPr>
      </w:pPr>
    </w:p>
    <w:p>
      <w:pPr>
        <w:tabs>
          <w:tab w:val="left" w:pos="2206"/>
        </w:tabs>
        <w:spacing w:line="360" w:lineRule="auto"/>
        <w:rPr>
          <w:rFonts w:ascii="Times New Roman Regular" w:hAnsi="Times New Roman Regular" w:cs="Times New Roman Regular"/>
          <w:sz w:val="24"/>
          <w:u w:val="single"/>
        </w:rPr>
      </w:pPr>
    </w:p>
    <w:p>
      <w:pPr>
        <w:widowControl/>
        <w:spacing w:line="360" w:lineRule="auto"/>
        <w:jc w:val="left"/>
        <w:rPr>
          <w:rFonts w:ascii="Times New Roman Regular" w:hAnsi="Times New Roman Regular" w:cs="Times New Roman Regular" w:eastAsiaTheme="majorEastAsia"/>
          <w:b/>
          <w:color w:val="2E54A1" w:themeColor="accent1" w:themeShade="BF"/>
          <w:sz w:val="24"/>
        </w:rPr>
      </w:pPr>
      <w:r>
        <w:rPr>
          <w:rFonts w:ascii="Times New Roman Regular" w:hAnsi="Times New Roman Regular" w:cs="Times New Roman Regular"/>
          <w:sz w:val="24"/>
        </w:rPr>
        <w:br w:type="page"/>
      </w:r>
    </w:p>
    <w:p>
      <w:pPr>
        <w:pStyle w:val="2"/>
        <w:spacing w:line="360" w:lineRule="auto"/>
        <w:rPr>
          <w:rFonts w:ascii="Times New Roman Regular" w:hAnsi="Times New Roman Regular" w:cs="Times New Roman Regular"/>
          <w:sz w:val="24"/>
          <w:szCs w:val="24"/>
        </w:rPr>
      </w:pPr>
      <w:bookmarkStart w:id="37" w:name="_Toc176557968"/>
      <w:r>
        <w:rPr>
          <w:rFonts w:ascii="Times New Roman Regular" w:hAnsi="Times New Roman Regular" w:cs="Times New Roman Regular"/>
          <w:sz w:val="24"/>
          <w:szCs w:val="24"/>
        </w:rPr>
        <w:t>Appendix 1</w:t>
      </w:r>
      <w:bookmarkEnd w:id="37"/>
    </w:p>
    <w:p>
      <w:pPr>
        <w:tabs>
          <w:tab w:val="left" w:pos="2206"/>
        </w:tabs>
        <w:spacing w:line="360" w:lineRule="auto"/>
        <w:rPr>
          <w:rFonts w:ascii="Times New Roman Regular" w:hAnsi="Times New Roman Regular" w:cs="Times New Roman Regular"/>
          <w:sz w:val="24"/>
          <w:u w:val="single"/>
        </w:rPr>
      </w:pPr>
    </w:p>
    <w:tbl>
      <w:tblPr>
        <w:tblStyle w:val="5"/>
        <w:tblW w:w="1028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5"/>
        <w:gridCol w:w="1034"/>
        <w:gridCol w:w="2132"/>
        <w:gridCol w:w="2132"/>
        <w:gridCol w:w="2132"/>
        <w:gridCol w:w="2132"/>
      </w:tblGrid>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Yr</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微軟正黑體" w:cs="Times New Roman"/>
                <w:color w:val="000000"/>
                <w:kern w:val="0"/>
                <w:sz w:val="22"/>
                <w:szCs w:val="22"/>
              </w:rPr>
              <w:t>現金流</w:t>
            </w:r>
            <w:r>
              <w:rPr>
                <w:rFonts w:ascii="Times New Roman" w:hAnsi="Times New Roman" w:eastAsia="Times New Roman" w:cs="Times New Roman"/>
                <w:color w:val="000000"/>
                <w:kern w:val="0"/>
                <w:sz w:val="22"/>
                <w:szCs w:val="22"/>
              </w:rPr>
              <w:t xml:space="preserve"> CASHFLOW in/(out)</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CUM CASHFLOW </w:t>
            </w:r>
            <w:r>
              <w:rPr>
                <w:rFonts w:ascii="Times New Roman" w:hAnsi="Times New Roman" w:eastAsia="微軟正黑體" w:cs="Times New Roman"/>
                <w:color w:val="000000"/>
                <w:kern w:val="0"/>
                <w:sz w:val="22"/>
                <w:szCs w:val="22"/>
              </w:rPr>
              <w:t>現金流</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微軟正黑體" w:cs="Times New Roman"/>
                <w:color w:val="000000"/>
                <w:kern w:val="0"/>
                <w:sz w:val="22"/>
                <w:szCs w:val="22"/>
              </w:rPr>
              <w:t>現值現金流</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微軟正黑體" w:cs="Times New Roman"/>
                <w:color w:val="000000"/>
                <w:kern w:val="0"/>
                <w:sz w:val="22"/>
                <w:szCs w:val="22"/>
              </w:rPr>
              <w:t>淨利潤值</w:t>
            </w:r>
            <w:r>
              <w:rPr>
                <w:rFonts w:ascii="Times New Roman" w:hAnsi="Times New Roman" w:eastAsia="Times New Roman" w:cs="Times New Roman"/>
                <w:color w:val="000000"/>
                <w:kern w:val="0"/>
                <w:sz w:val="22"/>
                <w:szCs w:val="22"/>
              </w:rPr>
              <w:t xml:space="preserve"> PROFIT</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605.4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(8,238)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577.6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164</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651.9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(7,586)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593.5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210</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702.5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(6,883)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610.2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261</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757.5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(6,126)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627.7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316</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817.2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(5,308)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646.2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375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837.7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(4,471)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631.9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384.7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858.6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(3,612)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618.0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394.3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880.1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(2,732)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604.4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404.2</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902.1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(1,830)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591.0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414.3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924.6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(905)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578.0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424.7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947.7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565.3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435.3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971.4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552.8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446.2</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995.7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2,010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540.6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457.3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1,020.6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3,030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528.7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468.7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1,046.1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4,076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517.1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480.5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1,072.3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5,149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505.7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492.5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1,099.1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6,248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494.5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504.8</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1,126.6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7,374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483.6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517.4</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1,154.7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8,529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473.0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530.3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bookmarkStart w:id="38" w:name="_Hlk175676662"/>
            <w:r>
              <w:rPr>
                <w:rFonts w:ascii="Times New Roman" w:hAnsi="Times New Roman" w:eastAsia="Times New Roman" w:cs="Times New Roman"/>
                <w:color w:val="000000"/>
                <w:kern w:val="0"/>
                <w:sz w:val="22"/>
                <w:szCs w:val="22"/>
              </w:rPr>
              <w:t>20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1,183.6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9,713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462.5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543.6</w:t>
            </w:r>
          </w:p>
        </w:tc>
      </w:tr>
      <w:bookmarkEnd w:id="38"/>
      <w:tr>
        <w:trPr>
          <w:gridBefore w:val="1"/>
          <w:wBefore w:w="725" w:type="dxa"/>
          <w:trHeight w:val="109"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1,213.2</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10,926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452.3</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557.2</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22</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1,243.5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12,169</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442.4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571.1</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23</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1,274.6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13,444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432.6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585.4</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1,306.5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14,750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423.1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600.0</w:t>
            </w:r>
          </w:p>
        </w:tc>
      </w:tr>
      <w:tr>
        <w:trPr>
          <w:gridBefore w:val="1"/>
          <w:wBefore w:w="725" w:type="dxa"/>
          <w:trHeight w:val="79"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1,339.1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16,090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413.8</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615.0</w:t>
            </w:r>
          </w:p>
        </w:tc>
      </w:tr>
      <w:tr>
        <w:trPr>
          <w:trHeight w:val="79" w:hRule="atLeast"/>
          <w:jc w:val="center"/>
        </w:trPr>
        <w:tc>
          <w:tcPr>
            <w:tcW w:w="1759" w:type="dxa"/>
            <w:gridSpan w:val="2"/>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Total (From Year 0 to Year 20)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16,089.5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58,029.1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4,523.5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2,309.6 </w:t>
            </w:r>
          </w:p>
        </w:tc>
      </w:tr>
      <w:tr>
        <w:trPr>
          <w:trHeight w:val="79" w:hRule="atLeast"/>
          <w:jc w:val="center"/>
        </w:trPr>
        <w:tc>
          <w:tcPr>
            <w:tcW w:w="1759" w:type="dxa"/>
            <w:gridSpan w:val="2"/>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Total (From Year 1 to Year 20)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24,932.5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66,872.1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13,366.5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11,152.6 </w:t>
            </w:r>
          </w:p>
        </w:tc>
      </w:tr>
    </w:tbl>
    <w:p>
      <w:pPr>
        <w:tabs>
          <w:tab w:val="left" w:pos="2206"/>
        </w:tabs>
        <w:rPr>
          <w:rFonts w:ascii="Times New Roman" w:hAnsi="Times New Roman" w:cs="Times New Roman"/>
          <w:sz w:val="22"/>
          <w:szCs w:val="22"/>
          <w:u w:val="single"/>
        </w:rPr>
      </w:pPr>
    </w:p>
    <w:sectPr>
      <w:footerReference r:id="rId5" w:type="first"/>
      <w:footerReference r:id="rId4" w:type="default"/>
      <w:pgSz w:w="11906" w:h="16838"/>
      <w:pgMar w:top="1440" w:right="1440" w:bottom="1440" w:left="1440" w:header="850" w:footer="994" w:gutter="0"/>
      <w:pgNumType w:start="1"/>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00"/>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新細明體">
    <w:altName w:val="宋体-繁"/>
    <w:panose1 w:val="02020500000000000000"/>
    <w:charset w:val="88"/>
    <w:family w:val="roman"/>
    <w:pitch w:val="default"/>
    <w:sig w:usb0="00000000" w:usb1="00000000" w:usb2="00000016" w:usb3="00000000" w:csb0="00100001" w:csb1="00000000"/>
  </w:font>
  <w:font w:name="Calibri Light">
    <w:altName w:val="Helvetica Neue"/>
    <w:panose1 w:val="020F0302020204030204"/>
    <w:charset w:val="00"/>
    <w:family w:val="swiss"/>
    <w:pitch w:val="default"/>
    <w:sig w:usb0="00000000" w:usb1="00000000" w:usb2="00000009" w:usb3="00000000" w:csb0="000001FF" w:csb1="00000000"/>
  </w:font>
  <w:font w:name="Carlsberg Sans">
    <w:altName w:val="苹方-简"/>
    <w:panose1 w:val="00000000000000000000"/>
    <w:charset w:val="00"/>
    <w:family w:val="swiss"/>
    <w:pitch w:val="default"/>
    <w:sig w:usb0="00000000" w:usb1="0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Helvetica">
    <w:panose1 w:val="00000000000000000000"/>
    <w:charset w:val="00"/>
    <w:family w:val="auto"/>
    <w:pitch w:val="default"/>
    <w:sig w:usb0="E00002FF" w:usb1="5000785B" w:usb2="00000000" w:usb3="00000000" w:csb0="2000019F" w:csb1="4F010000"/>
  </w:font>
  <w:font w:name="微軟正黑體">
    <w:altName w:val="汉仪中黑KW"/>
    <w:panose1 w:val="020B0604030504040204"/>
    <w:charset w:val="88"/>
    <w:family w:val="swiss"/>
    <w:pitch w:val="default"/>
    <w:sig w:usb0="00000000" w:usb1="00000000" w:usb2="00000016" w:usb3="00000000" w:csb0="00100009"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體簡體中文">
    <w:panose1 w:val="020B0300000000000000"/>
    <w:charset w:val="86"/>
    <w:family w:val="auto"/>
    <w:pitch w:val="default"/>
    <w:sig w:usb0="A00002BF" w:usb1="1ACF7CFA" w:usb2="00000016" w:usb3="00000000" w:csb0="00060007" w:csb1="00000000"/>
  </w:font>
  <w:font w:name="宋体-繁">
    <w:panose1 w:val="02010600040101010101"/>
    <w:charset w:val="86"/>
    <w:family w:val="auto"/>
    <w:pitch w:val="default"/>
    <w:sig w:usb0="00000287" w:usb1="080F0000" w:usb2="00000000" w:usb3="00000000" w:csb0="0004009F" w:csb1="DFD7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新細明體">
    <w:altName w:val="宋体-繁"/>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p>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34693802"/>
    </w:sdtPr>
    <w:sdtContent>
      <w:p>
        <w:pPr>
          <w:pStyle w:val="10"/>
          <w:jc w:val="right"/>
        </w:pPr>
        <w:r>
          <w:fldChar w:fldCharType="begin"/>
        </w:r>
        <w:r>
          <w:instrText xml:space="preserve"> PAGE   \* MERGEFORMAT </w:instrText>
        </w:r>
        <w:r>
          <w:fldChar w:fldCharType="separate"/>
        </w:r>
        <w:r>
          <w:t>2</w:t>
        </w:r>
        <w:r>
          <w:fldChar w:fldCharType="end"/>
        </w:r>
      </w:p>
    </w:sdtContent>
  </w:sdt>
  <w:p>
    <w:pPr>
      <w:pStyle w:val="10"/>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05429296"/>
    </w:sdtPr>
    <w:sdtContent>
      <w:p>
        <w:pPr>
          <w:pStyle w:val="10"/>
          <w:jc w:val="right"/>
        </w:pPr>
        <w:r>
          <w:fldChar w:fldCharType="begin"/>
        </w:r>
        <w:r>
          <w:instrText xml:space="preserve"> PAGE   \* MERGEFORMAT </w:instrText>
        </w:r>
        <w:r>
          <w:fldChar w:fldCharType="separate"/>
        </w:r>
        <w:r>
          <w:t>2</w:t>
        </w:r>
        <w:r>
          <w:fldChar w:fldCharType="end"/>
        </w:r>
      </w:p>
    </w:sdtContent>
  </w:sdt>
  <w:p>
    <w:pPr>
      <w:pStyle w:val="1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FB74E86"/>
    <w:multiLevelType w:val="multilevel"/>
    <w:tmpl w:val="DFB74E86"/>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50AE6A40"/>
    <w:multiLevelType w:val="multilevel"/>
    <w:tmpl w:val="50AE6A40"/>
    <w:lvl w:ilvl="0" w:tentative="0">
      <w:start w:val="1"/>
      <w:numFmt w:val="decimal"/>
      <w:lvlText w:val="%1."/>
      <w:lvlJc w:val="left"/>
      <w:pPr>
        <w:ind w:left="720" w:hanging="720"/>
      </w:pPr>
      <w:rPr>
        <w:rFonts w:hint="default"/>
        <w:b/>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bullet"/>
      <w:lvlText w:val=""/>
      <w:lvlJc w:val="left"/>
      <w:pPr>
        <w:ind w:left="360" w:hanging="360"/>
      </w:pPr>
      <w:rPr>
        <w:rFonts w:hint="default" w:ascii="Symbol" w:hAnsi="Symbol"/>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440" w:hanging="1440"/>
      </w:pPr>
      <w:rPr>
        <w:rFonts w:hint="default"/>
      </w:rPr>
    </w:lvl>
  </w:abstractNum>
  <w:abstractNum w:abstractNumId="2">
    <w:nsid w:val="5CF32092"/>
    <w:multiLevelType w:val="multilevel"/>
    <w:tmpl w:val="5CF32092"/>
    <w:lvl w:ilvl="0" w:tentative="0">
      <w:start w:val="1"/>
      <w:numFmt w:val="upp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36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70830F3C"/>
    <w:multiLevelType w:val="multilevel"/>
    <w:tmpl w:val="70830F3C"/>
    <w:lvl w:ilvl="0" w:tentative="0">
      <w:start w:val="6"/>
      <w:numFmt w:val="decimal"/>
      <w:lvlText w:val="%1."/>
      <w:lvlJc w:val="left"/>
      <w:pPr>
        <w:ind w:left="720" w:hanging="72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4">
    <w:nsid w:val="7298726B"/>
    <w:multiLevelType w:val="multilevel"/>
    <w:tmpl w:val="7298726B"/>
    <w:lvl w:ilvl="0" w:tentative="0">
      <w:start w:val="1"/>
      <w:numFmt w:val="upp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embedSystemFonts/>
  <w:documentProtection w:enforcement="0"/>
  <w:defaultTabStop w:val="420"/>
  <w:drawingGridHorizontalSpacing w:val="105"/>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F31A5"/>
    <w:rsid w:val="00004977"/>
    <w:rsid w:val="000076E7"/>
    <w:rsid w:val="0000788F"/>
    <w:rsid w:val="00014506"/>
    <w:rsid w:val="000201F0"/>
    <w:rsid w:val="00032C49"/>
    <w:rsid w:val="00036C6F"/>
    <w:rsid w:val="000439E5"/>
    <w:rsid w:val="00043ECD"/>
    <w:rsid w:val="00056B9B"/>
    <w:rsid w:val="00065299"/>
    <w:rsid w:val="00065CE9"/>
    <w:rsid w:val="000673C7"/>
    <w:rsid w:val="00076C19"/>
    <w:rsid w:val="00084A94"/>
    <w:rsid w:val="00085A46"/>
    <w:rsid w:val="00085AF1"/>
    <w:rsid w:val="00087890"/>
    <w:rsid w:val="000933DB"/>
    <w:rsid w:val="000934A4"/>
    <w:rsid w:val="000939D5"/>
    <w:rsid w:val="00097EA5"/>
    <w:rsid w:val="000A08A7"/>
    <w:rsid w:val="000A2652"/>
    <w:rsid w:val="000A2AB2"/>
    <w:rsid w:val="000A4E2F"/>
    <w:rsid w:val="000B2EC4"/>
    <w:rsid w:val="000C08DA"/>
    <w:rsid w:val="000C179A"/>
    <w:rsid w:val="000C21BD"/>
    <w:rsid w:val="000C34F2"/>
    <w:rsid w:val="000C4BD6"/>
    <w:rsid w:val="000C6318"/>
    <w:rsid w:val="000D2BE4"/>
    <w:rsid w:val="000E702E"/>
    <w:rsid w:val="00100995"/>
    <w:rsid w:val="00105B7A"/>
    <w:rsid w:val="00110560"/>
    <w:rsid w:val="001201B9"/>
    <w:rsid w:val="00126E14"/>
    <w:rsid w:val="001275C8"/>
    <w:rsid w:val="0013738C"/>
    <w:rsid w:val="00140E6B"/>
    <w:rsid w:val="00154613"/>
    <w:rsid w:val="00157696"/>
    <w:rsid w:val="00160A77"/>
    <w:rsid w:val="001618CF"/>
    <w:rsid w:val="00162CD6"/>
    <w:rsid w:val="001737B6"/>
    <w:rsid w:val="00183AD4"/>
    <w:rsid w:val="00190815"/>
    <w:rsid w:val="00193D19"/>
    <w:rsid w:val="00197BBF"/>
    <w:rsid w:val="001A3039"/>
    <w:rsid w:val="001A443E"/>
    <w:rsid w:val="001A49C1"/>
    <w:rsid w:val="001A7A2F"/>
    <w:rsid w:val="001B45DF"/>
    <w:rsid w:val="001B5046"/>
    <w:rsid w:val="001C1452"/>
    <w:rsid w:val="001C28C6"/>
    <w:rsid w:val="001C56F8"/>
    <w:rsid w:val="001C6B29"/>
    <w:rsid w:val="001C7A24"/>
    <w:rsid w:val="001D07E7"/>
    <w:rsid w:val="001D2E31"/>
    <w:rsid w:val="001E69CF"/>
    <w:rsid w:val="001F28F6"/>
    <w:rsid w:val="001F2A0D"/>
    <w:rsid w:val="001F4057"/>
    <w:rsid w:val="00207B1D"/>
    <w:rsid w:val="002127D0"/>
    <w:rsid w:val="00213802"/>
    <w:rsid w:val="00220A36"/>
    <w:rsid w:val="00227A3F"/>
    <w:rsid w:val="00236D4B"/>
    <w:rsid w:val="00236D6C"/>
    <w:rsid w:val="00237AB1"/>
    <w:rsid w:val="00237AF9"/>
    <w:rsid w:val="00251303"/>
    <w:rsid w:val="00252B38"/>
    <w:rsid w:val="0025359E"/>
    <w:rsid w:val="002561ED"/>
    <w:rsid w:val="00256CE5"/>
    <w:rsid w:val="00256FBA"/>
    <w:rsid w:val="00262FF7"/>
    <w:rsid w:val="0027063B"/>
    <w:rsid w:val="00274E5F"/>
    <w:rsid w:val="0027566C"/>
    <w:rsid w:val="00276CCB"/>
    <w:rsid w:val="00277C8D"/>
    <w:rsid w:val="002856DB"/>
    <w:rsid w:val="002903DE"/>
    <w:rsid w:val="002927CB"/>
    <w:rsid w:val="002930C1"/>
    <w:rsid w:val="002A1EB2"/>
    <w:rsid w:val="002A2B66"/>
    <w:rsid w:val="002A4913"/>
    <w:rsid w:val="002A587C"/>
    <w:rsid w:val="002A7454"/>
    <w:rsid w:val="002B2992"/>
    <w:rsid w:val="002B3E5D"/>
    <w:rsid w:val="002B5A54"/>
    <w:rsid w:val="002B763C"/>
    <w:rsid w:val="002C3572"/>
    <w:rsid w:val="002C595E"/>
    <w:rsid w:val="002E23E1"/>
    <w:rsid w:val="002E41EF"/>
    <w:rsid w:val="002E6C33"/>
    <w:rsid w:val="002F4239"/>
    <w:rsid w:val="002F51C6"/>
    <w:rsid w:val="0030305D"/>
    <w:rsid w:val="00303BB7"/>
    <w:rsid w:val="00312866"/>
    <w:rsid w:val="003218FC"/>
    <w:rsid w:val="00331021"/>
    <w:rsid w:val="00333197"/>
    <w:rsid w:val="00340EEF"/>
    <w:rsid w:val="00346906"/>
    <w:rsid w:val="00350058"/>
    <w:rsid w:val="00354333"/>
    <w:rsid w:val="003561B5"/>
    <w:rsid w:val="00356F36"/>
    <w:rsid w:val="00363D85"/>
    <w:rsid w:val="00364483"/>
    <w:rsid w:val="003711C5"/>
    <w:rsid w:val="00375A95"/>
    <w:rsid w:val="00390170"/>
    <w:rsid w:val="003943F9"/>
    <w:rsid w:val="00395413"/>
    <w:rsid w:val="003A05C2"/>
    <w:rsid w:val="003A0AD9"/>
    <w:rsid w:val="003A2B4A"/>
    <w:rsid w:val="003A4ACA"/>
    <w:rsid w:val="003A5193"/>
    <w:rsid w:val="003A6FAE"/>
    <w:rsid w:val="003B3971"/>
    <w:rsid w:val="003B422A"/>
    <w:rsid w:val="003B4653"/>
    <w:rsid w:val="003B6325"/>
    <w:rsid w:val="003C6AD6"/>
    <w:rsid w:val="003D0C04"/>
    <w:rsid w:val="003E3999"/>
    <w:rsid w:val="003F3D5B"/>
    <w:rsid w:val="003F5BB3"/>
    <w:rsid w:val="003F6656"/>
    <w:rsid w:val="00410A62"/>
    <w:rsid w:val="00411356"/>
    <w:rsid w:val="0041649B"/>
    <w:rsid w:val="004240F1"/>
    <w:rsid w:val="004268B4"/>
    <w:rsid w:val="00442692"/>
    <w:rsid w:val="004441BE"/>
    <w:rsid w:val="00444FF5"/>
    <w:rsid w:val="0044623F"/>
    <w:rsid w:val="00450C54"/>
    <w:rsid w:val="0046297D"/>
    <w:rsid w:val="00463354"/>
    <w:rsid w:val="00464202"/>
    <w:rsid w:val="00465CD3"/>
    <w:rsid w:val="004677A1"/>
    <w:rsid w:val="004740CD"/>
    <w:rsid w:val="00477A80"/>
    <w:rsid w:val="00491C56"/>
    <w:rsid w:val="004A0755"/>
    <w:rsid w:val="004A2138"/>
    <w:rsid w:val="004A24B2"/>
    <w:rsid w:val="004A4631"/>
    <w:rsid w:val="004B0D16"/>
    <w:rsid w:val="004B6C77"/>
    <w:rsid w:val="004C52C9"/>
    <w:rsid w:val="004C52CD"/>
    <w:rsid w:val="004D0EBA"/>
    <w:rsid w:val="004D2055"/>
    <w:rsid w:val="004E10B9"/>
    <w:rsid w:val="004E38DC"/>
    <w:rsid w:val="004E4412"/>
    <w:rsid w:val="004F57D5"/>
    <w:rsid w:val="00503FE6"/>
    <w:rsid w:val="005154C0"/>
    <w:rsid w:val="00517447"/>
    <w:rsid w:val="0051767A"/>
    <w:rsid w:val="0052158C"/>
    <w:rsid w:val="00522BED"/>
    <w:rsid w:val="005251FD"/>
    <w:rsid w:val="00527A89"/>
    <w:rsid w:val="00532F4E"/>
    <w:rsid w:val="005350C1"/>
    <w:rsid w:val="00535ADE"/>
    <w:rsid w:val="00541393"/>
    <w:rsid w:val="00543C7E"/>
    <w:rsid w:val="00552E0B"/>
    <w:rsid w:val="00564638"/>
    <w:rsid w:val="00565070"/>
    <w:rsid w:val="00572DC3"/>
    <w:rsid w:val="00573C2F"/>
    <w:rsid w:val="0057438B"/>
    <w:rsid w:val="00577763"/>
    <w:rsid w:val="0058753E"/>
    <w:rsid w:val="00593AE5"/>
    <w:rsid w:val="00596884"/>
    <w:rsid w:val="00597C5A"/>
    <w:rsid w:val="005A25D1"/>
    <w:rsid w:val="005B1448"/>
    <w:rsid w:val="005B4AA4"/>
    <w:rsid w:val="005B6B0B"/>
    <w:rsid w:val="005C7A9A"/>
    <w:rsid w:val="005C7F9A"/>
    <w:rsid w:val="005D02CA"/>
    <w:rsid w:val="005D7C7A"/>
    <w:rsid w:val="005E2BFF"/>
    <w:rsid w:val="005E4231"/>
    <w:rsid w:val="005E6829"/>
    <w:rsid w:val="005E6DCF"/>
    <w:rsid w:val="005F109E"/>
    <w:rsid w:val="005F143D"/>
    <w:rsid w:val="00603C5A"/>
    <w:rsid w:val="006044B1"/>
    <w:rsid w:val="0060668B"/>
    <w:rsid w:val="00610914"/>
    <w:rsid w:val="00612253"/>
    <w:rsid w:val="00613636"/>
    <w:rsid w:val="0061495F"/>
    <w:rsid w:val="00622309"/>
    <w:rsid w:val="0063649C"/>
    <w:rsid w:val="0064058D"/>
    <w:rsid w:val="00642201"/>
    <w:rsid w:val="00642A67"/>
    <w:rsid w:val="00643713"/>
    <w:rsid w:val="00647E90"/>
    <w:rsid w:val="0065384B"/>
    <w:rsid w:val="006659AF"/>
    <w:rsid w:val="0067421E"/>
    <w:rsid w:val="00682F0F"/>
    <w:rsid w:val="006870CE"/>
    <w:rsid w:val="006937E8"/>
    <w:rsid w:val="00693C16"/>
    <w:rsid w:val="00696EB6"/>
    <w:rsid w:val="006A1EAD"/>
    <w:rsid w:val="006B428E"/>
    <w:rsid w:val="006C5AAD"/>
    <w:rsid w:val="006C64DD"/>
    <w:rsid w:val="006D280A"/>
    <w:rsid w:val="006D2F66"/>
    <w:rsid w:val="006E2949"/>
    <w:rsid w:val="006E6477"/>
    <w:rsid w:val="006F7878"/>
    <w:rsid w:val="00700132"/>
    <w:rsid w:val="0070253F"/>
    <w:rsid w:val="007034B6"/>
    <w:rsid w:val="007056F1"/>
    <w:rsid w:val="00721418"/>
    <w:rsid w:val="0072375C"/>
    <w:rsid w:val="0074036D"/>
    <w:rsid w:val="007429CE"/>
    <w:rsid w:val="007443EF"/>
    <w:rsid w:val="00753A79"/>
    <w:rsid w:val="00753A93"/>
    <w:rsid w:val="007541DD"/>
    <w:rsid w:val="00754621"/>
    <w:rsid w:val="0075676A"/>
    <w:rsid w:val="00757D6E"/>
    <w:rsid w:val="007609F6"/>
    <w:rsid w:val="007639E4"/>
    <w:rsid w:val="00771AC1"/>
    <w:rsid w:val="00773259"/>
    <w:rsid w:val="00785B04"/>
    <w:rsid w:val="00793A8E"/>
    <w:rsid w:val="007B0C16"/>
    <w:rsid w:val="007B1B8A"/>
    <w:rsid w:val="007B39FC"/>
    <w:rsid w:val="007B3DF3"/>
    <w:rsid w:val="007C4191"/>
    <w:rsid w:val="007D1BCD"/>
    <w:rsid w:val="007D3DD8"/>
    <w:rsid w:val="007E38B0"/>
    <w:rsid w:val="008006F6"/>
    <w:rsid w:val="00802A0E"/>
    <w:rsid w:val="008140D4"/>
    <w:rsid w:val="0081786F"/>
    <w:rsid w:val="0082186C"/>
    <w:rsid w:val="00824712"/>
    <w:rsid w:val="008319F7"/>
    <w:rsid w:val="008348DC"/>
    <w:rsid w:val="00841559"/>
    <w:rsid w:val="008417C2"/>
    <w:rsid w:val="00846605"/>
    <w:rsid w:val="008563E7"/>
    <w:rsid w:val="008653EC"/>
    <w:rsid w:val="00874B50"/>
    <w:rsid w:val="00884DE8"/>
    <w:rsid w:val="00885271"/>
    <w:rsid w:val="00885A8F"/>
    <w:rsid w:val="008866A2"/>
    <w:rsid w:val="00887AB9"/>
    <w:rsid w:val="008918CD"/>
    <w:rsid w:val="00893ADF"/>
    <w:rsid w:val="00897CCE"/>
    <w:rsid w:val="008A5FAF"/>
    <w:rsid w:val="008B09B4"/>
    <w:rsid w:val="008B28D0"/>
    <w:rsid w:val="008B55EB"/>
    <w:rsid w:val="008C067A"/>
    <w:rsid w:val="008D0555"/>
    <w:rsid w:val="008D4715"/>
    <w:rsid w:val="008D5F3C"/>
    <w:rsid w:val="008D73C2"/>
    <w:rsid w:val="008E3153"/>
    <w:rsid w:val="008F4F04"/>
    <w:rsid w:val="008F57EE"/>
    <w:rsid w:val="00900769"/>
    <w:rsid w:val="00912A19"/>
    <w:rsid w:val="0092561E"/>
    <w:rsid w:val="00925FBF"/>
    <w:rsid w:val="009264B9"/>
    <w:rsid w:val="00926E76"/>
    <w:rsid w:val="0093181A"/>
    <w:rsid w:val="0093288C"/>
    <w:rsid w:val="00933BED"/>
    <w:rsid w:val="009420B3"/>
    <w:rsid w:val="00942281"/>
    <w:rsid w:val="00944C89"/>
    <w:rsid w:val="00951C3A"/>
    <w:rsid w:val="009622DA"/>
    <w:rsid w:val="009624B8"/>
    <w:rsid w:val="009705C3"/>
    <w:rsid w:val="00970BCF"/>
    <w:rsid w:val="00973972"/>
    <w:rsid w:val="00974F28"/>
    <w:rsid w:val="00975141"/>
    <w:rsid w:val="00976078"/>
    <w:rsid w:val="00982A8A"/>
    <w:rsid w:val="00985C26"/>
    <w:rsid w:val="0099295D"/>
    <w:rsid w:val="00995175"/>
    <w:rsid w:val="00995F66"/>
    <w:rsid w:val="00996484"/>
    <w:rsid w:val="0099690C"/>
    <w:rsid w:val="009A2436"/>
    <w:rsid w:val="009A402B"/>
    <w:rsid w:val="009A4D78"/>
    <w:rsid w:val="009A5B08"/>
    <w:rsid w:val="009A70A5"/>
    <w:rsid w:val="009A70C0"/>
    <w:rsid w:val="009B245A"/>
    <w:rsid w:val="009B3335"/>
    <w:rsid w:val="009B4E52"/>
    <w:rsid w:val="009B6451"/>
    <w:rsid w:val="009B6B2C"/>
    <w:rsid w:val="009B737B"/>
    <w:rsid w:val="009C1088"/>
    <w:rsid w:val="009C3647"/>
    <w:rsid w:val="009D30A5"/>
    <w:rsid w:val="009D568C"/>
    <w:rsid w:val="009E03CB"/>
    <w:rsid w:val="009E4CF3"/>
    <w:rsid w:val="009E58AE"/>
    <w:rsid w:val="009E6165"/>
    <w:rsid w:val="009F113D"/>
    <w:rsid w:val="009F2116"/>
    <w:rsid w:val="009F2189"/>
    <w:rsid w:val="00A0155A"/>
    <w:rsid w:val="00A11675"/>
    <w:rsid w:val="00A13CB7"/>
    <w:rsid w:val="00A25D02"/>
    <w:rsid w:val="00A27764"/>
    <w:rsid w:val="00A27BED"/>
    <w:rsid w:val="00A3364E"/>
    <w:rsid w:val="00A37DA0"/>
    <w:rsid w:val="00A400A2"/>
    <w:rsid w:val="00A41BBA"/>
    <w:rsid w:val="00A428EB"/>
    <w:rsid w:val="00A43896"/>
    <w:rsid w:val="00A535CA"/>
    <w:rsid w:val="00A54043"/>
    <w:rsid w:val="00A55350"/>
    <w:rsid w:val="00A55651"/>
    <w:rsid w:val="00A55A43"/>
    <w:rsid w:val="00A61883"/>
    <w:rsid w:val="00A65B23"/>
    <w:rsid w:val="00A737A3"/>
    <w:rsid w:val="00A7795E"/>
    <w:rsid w:val="00A97461"/>
    <w:rsid w:val="00AA3369"/>
    <w:rsid w:val="00AB71F0"/>
    <w:rsid w:val="00AC243D"/>
    <w:rsid w:val="00AC3C02"/>
    <w:rsid w:val="00AC42A4"/>
    <w:rsid w:val="00AC44D2"/>
    <w:rsid w:val="00AC46CD"/>
    <w:rsid w:val="00AD180F"/>
    <w:rsid w:val="00AD318C"/>
    <w:rsid w:val="00AD3EE5"/>
    <w:rsid w:val="00AD4AA8"/>
    <w:rsid w:val="00AD722F"/>
    <w:rsid w:val="00AE37D3"/>
    <w:rsid w:val="00AE55FF"/>
    <w:rsid w:val="00AE5964"/>
    <w:rsid w:val="00AE5E91"/>
    <w:rsid w:val="00AE603B"/>
    <w:rsid w:val="00AF4ABF"/>
    <w:rsid w:val="00AF6D95"/>
    <w:rsid w:val="00B05F0C"/>
    <w:rsid w:val="00B11F9F"/>
    <w:rsid w:val="00B24C64"/>
    <w:rsid w:val="00B24F02"/>
    <w:rsid w:val="00B3199E"/>
    <w:rsid w:val="00B3707D"/>
    <w:rsid w:val="00B40FC3"/>
    <w:rsid w:val="00B53DB6"/>
    <w:rsid w:val="00B54AF2"/>
    <w:rsid w:val="00B61D3C"/>
    <w:rsid w:val="00B62357"/>
    <w:rsid w:val="00B7109F"/>
    <w:rsid w:val="00B7150B"/>
    <w:rsid w:val="00B808DC"/>
    <w:rsid w:val="00B83645"/>
    <w:rsid w:val="00B93588"/>
    <w:rsid w:val="00B93F06"/>
    <w:rsid w:val="00BA081E"/>
    <w:rsid w:val="00BA0EC9"/>
    <w:rsid w:val="00BA404F"/>
    <w:rsid w:val="00BA6F7A"/>
    <w:rsid w:val="00BB0340"/>
    <w:rsid w:val="00BB4916"/>
    <w:rsid w:val="00BB6836"/>
    <w:rsid w:val="00BC0482"/>
    <w:rsid w:val="00BC499D"/>
    <w:rsid w:val="00BC5902"/>
    <w:rsid w:val="00BC73D6"/>
    <w:rsid w:val="00BE1B0F"/>
    <w:rsid w:val="00BE4581"/>
    <w:rsid w:val="00BF02DE"/>
    <w:rsid w:val="00C05604"/>
    <w:rsid w:val="00C11964"/>
    <w:rsid w:val="00C152D9"/>
    <w:rsid w:val="00C3042D"/>
    <w:rsid w:val="00C32A26"/>
    <w:rsid w:val="00C32B58"/>
    <w:rsid w:val="00C3379A"/>
    <w:rsid w:val="00C42087"/>
    <w:rsid w:val="00C4608A"/>
    <w:rsid w:val="00C47289"/>
    <w:rsid w:val="00C5343C"/>
    <w:rsid w:val="00C60193"/>
    <w:rsid w:val="00C7142D"/>
    <w:rsid w:val="00C801CF"/>
    <w:rsid w:val="00C8467B"/>
    <w:rsid w:val="00C925E5"/>
    <w:rsid w:val="00CA01CC"/>
    <w:rsid w:val="00CA6721"/>
    <w:rsid w:val="00CB1C98"/>
    <w:rsid w:val="00CB2408"/>
    <w:rsid w:val="00CB3782"/>
    <w:rsid w:val="00CB427F"/>
    <w:rsid w:val="00CB43DA"/>
    <w:rsid w:val="00CC0D76"/>
    <w:rsid w:val="00CC6ADF"/>
    <w:rsid w:val="00CD245D"/>
    <w:rsid w:val="00CD3BFD"/>
    <w:rsid w:val="00CE0C9B"/>
    <w:rsid w:val="00CE3517"/>
    <w:rsid w:val="00CE5D4C"/>
    <w:rsid w:val="00CF7DC3"/>
    <w:rsid w:val="00D21C44"/>
    <w:rsid w:val="00D2385A"/>
    <w:rsid w:val="00D25E00"/>
    <w:rsid w:val="00D330EB"/>
    <w:rsid w:val="00D405BD"/>
    <w:rsid w:val="00D41D05"/>
    <w:rsid w:val="00D42A96"/>
    <w:rsid w:val="00D44C23"/>
    <w:rsid w:val="00D47E4A"/>
    <w:rsid w:val="00D54BB6"/>
    <w:rsid w:val="00D563E4"/>
    <w:rsid w:val="00D70638"/>
    <w:rsid w:val="00D80BD5"/>
    <w:rsid w:val="00D87A7A"/>
    <w:rsid w:val="00D927D8"/>
    <w:rsid w:val="00D93648"/>
    <w:rsid w:val="00D939CE"/>
    <w:rsid w:val="00D93E4B"/>
    <w:rsid w:val="00D94BD7"/>
    <w:rsid w:val="00DA03AE"/>
    <w:rsid w:val="00DA31E0"/>
    <w:rsid w:val="00DC3C98"/>
    <w:rsid w:val="00DC5006"/>
    <w:rsid w:val="00DC6C81"/>
    <w:rsid w:val="00DD0E91"/>
    <w:rsid w:val="00DD4A34"/>
    <w:rsid w:val="00DD59E7"/>
    <w:rsid w:val="00DE2462"/>
    <w:rsid w:val="00DE5F95"/>
    <w:rsid w:val="00DE6FF8"/>
    <w:rsid w:val="00DE78F3"/>
    <w:rsid w:val="00DF4836"/>
    <w:rsid w:val="00E00FF1"/>
    <w:rsid w:val="00E016F5"/>
    <w:rsid w:val="00E06537"/>
    <w:rsid w:val="00E10FB3"/>
    <w:rsid w:val="00E13534"/>
    <w:rsid w:val="00E15DFB"/>
    <w:rsid w:val="00E22816"/>
    <w:rsid w:val="00E23EF2"/>
    <w:rsid w:val="00E26E0C"/>
    <w:rsid w:val="00E34098"/>
    <w:rsid w:val="00E4550F"/>
    <w:rsid w:val="00E479A2"/>
    <w:rsid w:val="00E5367A"/>
    <w:rsid w:val="00E5428D"/>
    <w:rsid w:val="00E542B7"/>
    <w:rsid w:val="00E62848"/>
    <w:rsid w:val="00E64D26"/>
    <w:rsid w:val="00E83B0C"/>
    <w:rsid w:val="00E845D5"/>
    <w:rsid w:val="00E856FE"/>
    <w:rsid w:val="00E867B0"/>
    <w:rsid w:val="00E91099"/>
    <w:rsid w:val="00E910B1"/>
    <w:rsid w:val="00E912CC"/>
    <w:rsid w:val="00E9721E"/>
    <w:rsid w:val="00E97F85"/>
    <w:rsid w:val="00EA1ACA"/>
    <w:rsid w:val="00EA227D"/>
    <w:rsid w:val="00EA4791"/>
    <w:rsid w:val="00EA6624"/>
    <w:rsid w:val="00EB13C1"/>
    <w:rsid w:val="00EB5A1C"/>
    <w:rsid w:val="00EB6D62"/>
    <w:rsid w:val="00EB7455"/>
    <w:rsid w:val="00EC26CC"/>
    <w:rsid w:val="00EC3967"/>
    <w:rsid w:val="00EC3AD3"/>
    <w:rsid w:val="00ED2CF1"/>
    <w:rsid w:val="00ED2E6B"/>
    <w:rsid w:val="00EE00E8"/>
    <w:rsid w:val="00EE60AD"/>
    <w:rsid w:val="00EF00C1"/>
    <w:rsid w:val="00F00972"/>
    <w:rsid w:val="00F0290E"/>
    <w:rsid w:val="00F03A12"/>
    <w:rsid w:val="00F12057"/>
    <w:rsid w:val="00F12E26"/>
    <w:rsid w:val="00F13B91"/>
    <w:rsid w:val="00F169B9"/>
    <w:rsid w:val="00F2149E"/>
    <w:rsid w:val="00F2714F"/>
    <w:rsid w:val="00F363C1"/>
    <w:rsid w:val="00F47041"/>
    <w:rsid w:val="00F50045"/>
    <w:rsid w:val="00F51E2C"/>
    <w:rsid w:val="00F65472"/>
    <w:rsid w:val="00F71FE7"/>
    <w:rsid w:val="00F7200F"/>
    <w:rsid w:val="00F720E9"/>
    <w:rsid w:val="00F7282E"/>
    <w:rsid w:val="00F85F4B"/>
    <w:rsid w:val="00F86734"/>
    <w:rsid w:val="00F91EFA"/>
    <w:rsid w:val="00FA277E"/>
    <w:rsid w:val="00FB5DB9"/>
    <w:rsid w:val="00FC1009"/>
    <w:rsid w:val="00FC5234"/>
    <w:rsid w:val="00FC581E"/>
    <w:rsid w:val="00FD1619"/>
    <w:rsid w:val="00FD1AA6"/>
    <w:rsid w:val="00FE02F3"/>
    <w:rsid w:val="00FE1319"/>
    <w:rsid w:val="00FE2A3F"/>
    <w:rsid w:val="00FE2AE6"/>
    <w:rsid w:val="00FE71C0"/>
    <w:rsid w:val="00FF5086"/>
    <w:rsid w:val="00FF60C5"/>
    <w:rsid w:val="09972AFA"/>
    <w:rsid w:val="11D95855"/>
    <w:rsid w:val="13FB4770"/>
    <w:rsid w:val="14717A98"/>
    <w:rsid w:val="15BF21C1"/>
    <w:rsid w:val="1DD41B28"/>
    <w:rsid w:val="20BA2989"/>
    <w:rsid w:val="21FDE1B4"/>
    <w:rsid w:val="2853026D"/>
    <w:rsid w:val="2FEF110B"/>
    <w:rsid w:val="33A3EDC1"/>
    <w:rsid w:val="37D9B780"/>
    <w:rsid w:val="3935D91D"/>
    <w:rsid w:val="3DE523FB"/>
    <w:rsid w:val="3F7FAF90"/>
    <w:rsid w:val="434C171D"/>
    <w:rsid w:val="43966372"/>
    <w:rsid w:val="441D1023"/>
    <w:rsid w:val="44F1FBB1"/>
    <w:rsid w:val="46FB746F"/>
    <w:rsid w:val="47DE176B"/>
    <w:rsid w:val="4FBF31A5"/>
    <w:rsid w:val="52DF4132"/>
    <w:rsid w:val="5869275E"/>
    <w:rsid w:val="5DF31941"/>
    <w:rsid w:val="5DF72B16"/>
    <w:rsid w:val="5EA60265"/>
    <w:rsid w:val="67805B2A"/>
    <w:rsid w:val="6B5F4828"/>
    <w:rsid w:val="6FEB1B50"/>
    <w:rsid w:val="71CFDE7D"/>
    <w:rsid w:val="73D0517B"/>
    <w:rsid w:val="753EE691"/>
    <w:rsid w:val="758A54A3"/>
    <w:rsid w:val="75AF4691"/>
    <w:rsid w:val="77D225A7"/>
    <w:rsid w:val="77D7CD1A"/>
    <w:rsid w:val="77FF7B7C"/>
    <w:rsid w:val="7B0E5FF1"/>
    <w:rsid w:val="7BBE9644"/>
    <w:rsid w:val="7CFE739C"/>
    <w:rsid w:val="7EFF9E08"/>
    <w:rsid w:val="7FFE7947"/>
    <w:rsid w:val="7FFFEA05"/>
    <w:rsid w:val="9AFFD93E"/>
    <w:rsid w:val="9FFFC497"/>
    <w:rsid w:val="BBA384D0"/>
    <w:rsid w:val="BBE18A0E"/>
    <w:rsid w:val="BDF154E1"/>
    <w:rsid w:val="BFF7E5CC"/>
    <w:rsid w:val="D5E7DE0E"/>
    <w:rsid w:val="D8F782C3"/>
    <w:rsid w:val="E3CFA769"/>
    <w:rsid w:val="EAE59CDA"/>
    <w:rsid w:val="EFFA1CC4"/>
    <w:rsid w:val="F5D6F712"/>
    <w:rsid w:val="F7EFBC1E"/>
    <w:rsid w:val="FB5D1CF6"/>
    <w:rsid w:val="FB7B0F33"/>
    <w:rsid w:val="FB7FAEF2"/>
    <w:rsid w:val="FDBFA654"/>
    <w:rsid w:val="FE6E592E"/>
    <w:rsid w:val="FECF40A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9"/>
    <w:qFormat/>
    <w:uiPriority w:val="0"/>
    <w:pPr>
      <w:keepNext/>
      <w:keepLines/>
      <w:spacing w:before="240"/>
      <w:outlineLvl w:val="0"/>
    </w:pPr>
    <w:rPr>
      <w:rFonts w:asciiTheme="majorHAnsi" w:hAnsiTheme="majorHAnsi" w:eastAsiaTheme="majorEastAsia" w:cstheme="majorBidi"/>
      <w:b/>
      <w:color w:val="2E54A1" w:themeColor="accent1" w:themeShade="BF"/>
      <w:sz w:val="60"/>
      <w:szCs w:val="32"/>
    </w:rPr>
  </w:style>
  <w:style w:type="paragraph" w:styleId="3">
    <w:name w:val="heading 2"/>
    <w:basedOn w:val="1"/>
    <w:next w:val="1"/>
    <w:link w:val="21"/>
    <w:unhideWhenUsed/>
    <w:qFormat/>
    <w:uiPriority w:val="0"/>
    <w:pPr>
      <w:keepNext/>
      <w:keepLines/>
      <w:spacing w:before="40"/>
      <w:outlineLvl w:val="1"/>
    </w:pPr>
    <w:rPr>
      <w:rFonts w:asciiTheme="majorHAnsi" w:hAnsiTheme="majorHAnsi" w:eastAsiaTheme="majorEastAsia" w:cstheme="majorBidi"/>
      <w:b/>
      <w:color w:val="2E54A1" w:themeColor="accent1" w:themeShade="BF"/>
      <w:sz w:val="40"/>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iPriority w:val="99"/>
    <w:rPr>
      <w:color w:val="0026E5" w:themeColor="hyperlink"/>
      <w:u w:val="single"/>
      <w14:textFill>
        <w14:solidFill>
          <w14:schemeClr w14:val="hlink"/>
        </w14:solidFill>
      </w14:textFill>
    </w:rPr>
  </w:style>
  <w:style w:type="paragraph" w:styleId="7">
    <w:name w:val="header"/>
    <w:basedOn w:val="1"/>
    <w:link w:val="16"/>
    <w:qFormat/>
    <w:uiPriority w:val="0"/>
    <w:pPr>
      <w:tabs>
        <w:tab w:val="center" w:pos="4680"/>
        <w:tab w:val="right" w:pos="9360"/>
      </w:tabs>
    </w:pPr>
  </w:style>
  <w:style w:type="paragraph" w:styleId="8">
    <w:name w:val="toc 2"/>
    <w:basedOn w:val="1"/>
    <w:next w:val="1"/>
    <w:autoRedefine/>
    <w:uiPriority w:val="39"/>
    <w:pPr>
      <w:spacing w:after="100"/>
      <w:ind w:left="210"/>
    </w:pPr>
  </w:style>
  <w:style w:type="paragraph" w:styleId="9">
    <w:name w:val="toc 1"/>
    <w:basedOn w:val="1"/>
    <w:next w:val="1"/>
    <w:autoRedefine/>
    <w:uiPriority w:val="39"/>
    <w:pPr>
      <w:spacing w:after="100"/>
    </w:pPr>
  </w:style>
  <w:style w:type="paragraph" w:styleId="10">
    <w:name w:val="footer"/>
    <w:basedOn w:val="1"/>
    <w:link w:val="17"/>
    <w:uiPriority w:val="99"/>
    <w:pPr>
      <w:tabs>
        <w:tab w:val="center" w:pos="4680"/>
        <w:tab w:val="right" w:pos="9360"/>
      </w:tabs>
    </w:pPr>
  </w:style>
  <w:style w:type="paragraph" w:styleId="11">
    <w:name w:val="Normal (Web)"/>
    <w:uiPriority w:val="0"/>
    <w:pPr>
      <w:spacing w:beforeAutospacing="1" w:afterAutospacing="1"/>
    </w:pPr>
    <w:rPr>
      <w:rFonts w:ascii="Times New Roman" w:hAnsi="Times New Roman" w:eastAsia="SimSun" w:cs="Times New Roman"/>
      <w:lang w:val="en-US" w:eastAsia="zh-CN" w:bidi="ar-SA"/>
    </w:rPr>
  </w:style>
  <w:style w:type="table" w:styleId="12">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3">
    <w:name w:val="Unresolved Mention1"/>
    <w:basedOn w:val="4"/>
    <w:semiHidden/>
    <w:unhideWhenUsed/>
    <w:uiPriority w:val="99"/>
    <w:rPr>
      <w:color w:val="605E5C"/>
      <w:shd w:val="clear" w:color="auto" w:fill="E1DFDD"/>
    </w:rPr>
  </w:style>
  <w:style w:type="paragraph" w:customStyle="1" w:styleId="14">
    <w:name w:val="Default"/>
    <w:uiPriority w:val="0"/>
    <w:pPr>
      <w:autoSpaceDE w:val="0"/>
      <w:autoSpaceDN w:val="0"/>
      <w:adjustRightInd w:val="0"/>
    </w:pPr>
    <w:rPr>
      <w:rFonts w:ascii="Carlsberg Sans" w:hAnsi="Carlsberg Sans" w:eastAsia="SimSun" w:cs="Carlsberg Sans"/>
      <w:color w:val="000000"/>
      <w:sz w:val="24"/>
      <w:szCs w:val="24"/>
      <w:lang w:val="en-US" w:eastAsia="zh-CN" w:bidi="ar-SA"/>
    </w:rPr>
  </w:style>
  <w:style w:type="paragraph" w:styleId="15">
    <w:name w:val="List Paragraph"/>
    <w:basedOn w:val="1"/>
    <w:unhideWhenUsed/>
    <w:uiPriority w:val="99"/>
    <w:pPr>
      <w:ind w:left="720"/>
      <w:contextualSpacing/>
    </w:pPr>
  </w:style>
  <w:style w:type="character" w:customStyle="1" w:styleId="16">
    <w:name w:val="Header Char"/>
    <w:basedOn w:val="4"/>
    <w:link w:val="7"/>
    <w:uiPriority w:val="0"/>
    <w:rPr>
      <w:rFonts w:asciiTheme="minorHAnsi" w:hAnsiTheme="minorHAnsi" w:eastAsiaTheme="minorEastAsia" w:cstheme="minorBidi"/>
      <w:kern w:val="2"/>
      <w:sz w:val="21"/>
      <w:szCs w:val="24"/>
    </w:rPr>
  </w:style>
  <w:style w:type="character" w:customStyle="1" w:styleId="17">
    <w:name w:val="Footer Char"/>
    <w:basedOn w:val="4"/>
    <w:link w:val="10"/>
    <w:qFormat/>
    <w:uiPriority w:val="99"/>
    <w:rPr>
      <w:rFonts w:asciiTheme="minorHAnsi" w:hAnsiTheme="minorHAnsi" w:eastAsiaTheme="minorEastAsia" w:cstheme="minorBidi"/>
      <w:kern w:val="2"/>
      <w:sz w:val="21"/>
      <w:szCs w:val="24"/>
    </w:rPr>
  </w:style>
  <w:style w:type="character" w:customStyle="1" w:styleId="18">
    <w:name w:val="Unresolved Mention2"/>
    <w:basedOn w:val="4"/>
    <w:semiHidden/>
    <w:unhideWhenUsed/>
    <w:uiPriority w:val="99"/>
    <w:rPr>
      <w:color w:val="605E5C"/>
      <w:shd w:val="clear" w:color="auto" w:fill="E1DFDD"/>
    </w:rPr>
  </w:style>
  <w:style w:type="character" w:customStyle="1" w:styleId="19">
    <w:name w:val="Heading 1 Char"/>
    <w:basedOn w:val="4"/>
    <w:link w:val="2"/>
    <w:uiPriority w:val="0"/>
    <w:rPr>
      <w:rFonts w:asciiTheme="majorHAnsi" w:hAnsiTheme="majorHAnsi" w:eastAsiaTheme="majorEastAsia" w:cstheme="majorBidi"/>
      <w:b/>
      <w:color w:val="2E54A1" w:themeColor="accent1" w:themeShade="BF"/>
      <w:kern w:val="2"/>
      <w:sz w:val="60"/>
      <w:szCs w:val="32"/>
      <w:lang w:val="en-US" w:eastAsia="zh-CN"/>
    </w:rPr>
  </w:style>
  <w:style w:type="paragraph" w:customStyle="1" w:styleId="20">
    <w:name w:val="TOC Heading1"/>
    <w:basedOn w:val="2"/>
    <w:next w:val="1"/>
    <w:unhideWhenUsed/>
    <w:qFormat/>
    <w:uiPriority w:val="39"/>
    <w:pPr>
      <w:widowControl/>
      <w:spacing w:line="259" w:lineRule="auto"/>
      <w:jc w:val="left"/>
      <w:outlineLvl w:val="9"/>
    </w:pPr>
    <w:rPr>
      <w:kern w:val="0"/>
      <w:lang w:eastAsia="en-US"/>
    </w:rPr>
  </w:style>
  <w:style w:type="character" w:customStyle="1" w:styleId="21">
    <w:name w:val="Heading 2 Char"/>
    <w:basedOn w:val="4"/>
    <w:link w:val="3"/>
    <w:uiPriority w:val="0"/>
    <w:rPr>
      <w:rFonts w:asciiTheme="majorHAnsi" w:hAnsiTheme="majorHAnsi" w:eastAsiaTheme="majorEastAsia" w:cstheme="majorBidi"/>
      <w:b/>
      <w:color w:val="2E54A1" w:themeColor="accent1" w:themeShade="BF"/>
      <w:kern w:val="2"/>
      <w:sz w:val="40"/>
      <w:szCs w:val="26"/>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er" Target="footer1.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38</Pages>
  <Words>6959</Words>
  <Characters>39669</Characters>
  <Lines>330</Lines>
  <Paragraphs>93</Paragraphs>
  <TotalTime>50</TotalTime>
  <ScaleCrop>false</ScaleCrop>
  <LinksUpToDate>false</LinksUpToDate>
  <CharactersWithSpaces>46535</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2024-08-28T17:20:00Z</dcterms:created>
  <dc:creator>WPS_1713497042</dc:creator>
  <cp:lastModifiedBy>WPS_1713497042</cp:lastModifiedBy>
  <cp:lastPrinted>2024-09-05T22:03:00Z</cp:lastPrinted>
  <dcterms:modified xsi:type="dcterms:W3CDTF">2024-09-06T23:38:02Z</dcterms:modified>
  <cp:revision>141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A3C00640D465100ADA21DB668DD41893_43</vt:lpwstr>
  </property>
</Properties>
</file>