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xmlns:w="http://schemas.openxmlformats.org/wordprocessingml/2006/main" w:initials="PA" w:author="Parese Ahmed" w:date="2026-07-09T15:00:46" w:id="1124863798">
    <w:p xmlns:w14="http://schemas.microsoft.com/office/word/2010/wordml" xmlns:w="http://schemas.openxmlformats.org/wordprocessingml/2006/main" w:rsidR="234C23C3" w:rsidRDefault="754B88BE" w14:paraId="4DC83B5F" w14:textId="0D5027CC">
      <w:pPr>
        <w:pStyle w:val="CommentText"/>
      </w:pPr>
      <w:r>
        <w:rPr>
          <w:rStyle w:val="CommentReference"/>
        </w:rPr>
        <w:annotationRef/>
      </w:r>
      <w:r w:rsidRPr="25FE6BA3" w:rsidR="68DBD92D">
        <w:t>clear introduction</w:t>
      </w:r>
    </w:p>
  </w:comment>
</w:comments>
</file>

<file path=word/commentsExtended.xml><?xml version="1.0" encoding="utf-8"?>
<w15:commentsEx xmlns:mc="http://schemas.openxmlformats.org/markup-compatibility/2006" xmlns:w15="http://schemas.microsoft.com/office/word/2012/wordml" mc:Ignorable="w15">
  <w15:commentEx w15:done="0" w15:paraId="4DC83B5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869ABE6" w16cex:dateUtc="2026-07-09T14:00:46.288Z"/>
</w16cex:commentsExtensible>
</file>

<file path=word/commentsIds.xml><?xml version="1.0" encoding="utf-8"?>
<w16cid:commentsIds xmlns:mc="http://schemas.openxmlformats.org/markup-compatibility/2006" xmlns:w16cid="http://schemas.microsoft.com/office/word/2016/wordml/cid" mc:Ignorable="w16cid">
  <w16cid:commentId w16cid:paraId="4DC83B5F" w16cid:durableId="0869ABE6"/>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8E26CD4" w:rsidP="6B75847A" w:rsidRDefault="38E26CD4" w14:paraId="08812903" w14:textId="519CA8AE">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38E26CD4" w:rsidP="6B75847A" w:rsidRDefault="38E26CD4" w14:paraId="5C971380" w14:textId="07414A4A">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0D085C59" w:rsidP="6B75847A" w:rsidRDefault="0D085C59" w14:paraId="5F79367E" w14:textId="771DA724">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FULL NAME:</w:t>
      </w: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 xml:space="preserve"> Febechukwu Miriam Iwuala  </w:t>
      </w:r>
    </w:p>
    <w:p w:rsidR="0D085C59" w:rsidP="6B75847A" w:rsidRDefault="0D085C59" w14:paraId="37120B40" w14:textId="677AA2AF">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STUDENT ID NUMBER:</w:t>
      </w: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 xml:space="preserve"> 2409092  </w:t>
      </w:r>
    </w:p>
    <w:p w:rsidR="0D085C59" w:rsidP="6B75847A" w:rsidRDefault="0D085C59" w14:paraId="790B9384" w14:textId="64EED317">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PROGRAMME:</w:t>
      </w: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 xml:space="preserve"> Certificate of higher education skills for the workplace (Health &amp; Social Care).   </w:t>
      </w:r>
    </w:p>
    <w:p w:rsidR="0D085C59" w:rsidP="6B75847A" w:rsidRDefault="0D085C59" w14:paraId="454C9B91" w14:textId="56A839B8">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MODULE:</w:t>
      </w: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GB"/>
        </w:rPr>
        <w:t>Principles of Health and Social Care Practice (BMHP5016)</w:t>
      </w:r>
    </w:p>
    <w:p w:rsidR="614A1D0E" w:rsidP="38E26CD4" w:rsidRDefault="614A1D0E" w14:paraId="2EA43422" w14:textId="339EBA80">
      <w:pPr>
        <w:pStyle w:val="Normal"/>
        <w:spacing w:line="360" w:lineRule="auto"/>
        <w:jc w:val="center"/>
        <w:rPr>
          <w:rFonts w:ascii="Arial" w:hAnsi="Arial" w:eastAsia="Arial" w:cs="Arial"/>
          <w:b w:val="0"/>
          <w:bCs w:val="0"/>
          <w:noProof w:val="0"/>
          <w:color w:val="000000" w:themeColor="text1" w:themeTint="FF" w:themeShade="FF"/>
          <w:sz w:val="22"/>
          <w:szCs w:val="22"/>
          <w:lang w:val="en-GB"/>
        </w:rPr>
      </w:pPr>
      <w:r w:rsidRPr="6B75847A" w:rsidR="28C240EA">
        <w:rPr>
          <w:rFonts w:ascii="Arial" w:hAnsi="Arial" w:eastAsia="Arial" w:cs="Arial"/>
          <w:b w:val="0"/>
          <w:bCs w:val="0"/>
          <w:noProof w:val="0"/>
          <w:color w:val="000000" w:themeColor="text1" w:themeTint="FF" w:themeShade="FF"/>
          <w:sz w:val="22"/>
          <w:szCs w:val="22"/>
          <w:lang w:val="en-GB"/>
        </w:rPr>
        <w:t>ASSIGNMENT TITLE:</w:t>
      </w:r>
      <w:r w:rsidRPr="6B75847A" w:rsidR="28C240EA">
        <w:rPr>
          <w:rFonts w:ascii="Arial" w:hAnsi="Arial" w:eastAsia="Arial" w:cs="Arial"/>
          <w:b w:val="0"/>
          <w:bCs w:val="0"/>
          <w:noProof w:val="0"/>
          <w:color w:val="000000" w:themeColor="text1" w:themeTint="FF" w:themeShade="FF"/>
          <w:sz w:val="22"/>
          <w:szCs w:val="22"/>
          <w:lang w:val="en-GB"/>
        </w:rPr>
        <w:t xml:space="preserve"> A Critical Evaluation of Person-Centred Care and Partnership Working in Hospital Settings</w:t>
      </w:r>
    </w:p>
    <w:p w:rsidR="0D085C59" w:rsidP="6B75847A" w:rsidRDefault="0D085C59" w14:paraId="028AFB91" w14:textId="77396337">
      <w:pPr>
        <w:pStyle w:val="Normal"/>
        <w:spacing w:before="24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GB"/>
        </w:rPr>
        <w:t xml:space="preserve"> 2</w:t>
      </w:r>
      <w:r w:rsidRPr="6B75847A" w:rsidR="4EC8B506">
        <w:rPr>
          <w:rFonts w:ascii="Arial" w:hAnsi="Arial" w:eastAsia="Arial" w:cs="Arial"/>
          <w:b w:val="0"/>
          <w:bCs w:val="0"/>
          <w:i w:val="0"/>
          <w:iCs w:val="0"/>
          <w:caps w:val="0"/>
          <w:smallCaps w:val="0"/>
          <w:noProof w:val="0"/>
          <w:color w:val="000000" w:themeColor="text1" w:themeTint="FF" w:themeShade="FF"/>
          <w:sz w:val="22"/>
          <w:szCs w:val="22"/>
          <w:lang w:val="en-GB"/>
        </w:rPr>
        <w:t>:</w:t>
      </w:r>
      <w:r w:rsidRPr="6B75847A" w:rsidR="3ABAC3F8">
        <w:rPr>
          <w:rFonts w:ascii="Arial" w:hAnsi="Arial" w:eastAsia="Arial" w:cs="Arial"/>
          <w:b w:val="0"/>
          <w:bCs w:val="0"/>
          <w:i w:val="0"/>
          <w:iCs w:val="0"/>
          <w:caps w:val="0"/>
          <w:smallCaps w:val="0"/>
          <w:noProof w:val="0"/>
          <w:color w:val="000000" w:themeColor="text1" w:themeTint="FF" w:themeShade="FF"/>
          <w:sz w:val="22"/>
          <w:szCs w:val="22"/>
          <w:lang w:val="en-GB"/>
        </w:rPr>
        <w:t xml:space="preserve"> Written</w:t>
      </w:r>
      <w:r w:rsidRPr="6B75847A" w:rsidR="3ABAC3F8">
        <w:rPr>
          <w:rFonts w:ascii="Arial" w:hAnsi="Arial" w:eastAsia="Arial" w:cs="Arial"/>
          <w:b w:val="0"/>
          <w:bCs w:val="0"/>
          <w:noProof w:val="0"/>
          <w:color w:val="000000" w:themeColor="text1" w:themeTint="FF" w:themeShade="FF"/>
          <w:sz w:val="22"/>
          <w:szCs w:val="22"/>
          <w:lang w:val="en-GB"/>
        </w:rPr>
        <w:t xml:space="preserve"> Assignment (Report)</w:t>
      </w: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D085C59" w:rsidP="6B75847A" w:rsidRDefault="0D085C59" w14:paraId="311E16D7" w14:textId="1853097D">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MODULE CODE:</w:t>
      </w:r>
      <w:r w:rsidRPr="6B75847A" w:rsidR="660B6E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B75847A" w:rsidR="41C1A714">
        <w:rPr>
          <w:rFonts w:ascii="Arial" w:hAnsi="Arial" w:eastAsia="Arial" w:cs="Arial"/>
          <w:b w:val="0"/>
          <w:bCs w:val="0"/>
          <w:i w:val="0"/>
          <w:iCs w:val="0"/>
          <w:caps w:val="0"/>
          <w:smallCaps w:val="0"/>
          <w:noProof w:val="0"/>
          <w:color w:val="000000" w:themeColor="text1" w:themeTint="FF" w:themeShade="FF"/>
          <w:sz w:val="22"/>
          <w:szCs w:val="22"/>
          <w:lang w:val="en-GB"/>
        </w:rPr>
        <w:t>BMHP5016</w:t>
      </w:r>
    </w:p>
    <w:p w:rsidR="0D085C59" w:rsidP="6B75847A" w:rsidRDefault="0D085C59" w14:paraId="47D1B9F1" w14:textId="77A7AF52">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B75847A" w:rsidR="60160DC4">
        <w:rPr>
          <w:rFonts w:ascii="Arial" w:hAnsi="Arial" w:eastAsia="Arial" w:cs="Arial"/>
          <w:b w:val="0"/>
          <w:bCs w:val="0"/>
          <w:i w:val="0"/>
          <w:iCs w:val="0"/>
          <w:caps w:val="0"/>
          <w:smallCaps w:val="0"/>
          <w:noProof w:val="0"/>
          <w:color w:val="000000" w:themeColor="text1" w:themeTint="FF" w:themeShade="FF"/>
          <w:sz w:val="22"/>
          <w:szCs w:val="22"/>
          <w:lang w:val="en-US"/>
        </w:rPr>
        <w:t>LECTURER:</w:t>
      </w:r>
      <w:r w:rsidRPr="6B75847A" w:rsidR="60160D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B75847A" w:rsidR="1077CE95">
        <w:rPr>
          <w:rFonts w:ascii="Arial" w:hAnsi="Arial" w:eastAsia="Arial" w:cs="Arial"/>
          <w:b w:val="0"/>
          <w:bCs w:val="0"/>
          <w:i w:val="0"/>
          <w:iCs w:val="0"/>
          <w:caps w:val="0"/>
          <w:smallCaps w:val="0"/>
          <w:noProof w:val="0"/>
          <w:color w:val="000000" w:themeColor="text1" w:themeTint="FF" w:themeShade="FF"/>
          <w:sz w:val="22"/>
          <w:szCs w:val="22"/>
          <w:lang w:val="en-US"/>
        </w:rPr>
        <w:t>Parese Ahmed</w:t>
      </w:r>
    </w:p>
    <w:p w:rsidR="7CF87444" w:rsidP="38E26CD4" w:rsidRDefault="7CF87444" w14:paraId="6037994B" w14:textId="1A5426FE">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773136E5" w14:textId="0DFB8CF5">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1E8A7122" w14:textId="66F90BBB">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61C3EF04" w14:textId="44661176">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38E85555" w14:textId="6BB80619">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079D991C" w14:textId="2D83C337">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1DA5168C" w14:textId="4B899417">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798B73F4" w14:textId="23BC095D">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46CC57EB" w14:textId="27AD99A0">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262C7BF6" w14:textId="6E8D8C8C">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53D2E300" w14:textId="087EB460">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4E45838B" w14:textId="69481400">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6D36DB89" w14:textId="2B4CC137">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01C41B5C" w14:textId="23A9FF60">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1BF741F9" w:rsidP="38E26CD4" w:rsidRDefault="1BF741F9" w14:paraId="2D5F0D7D" w14:textId="380936A0">
      <w:pPr>
        <w:pStyle w:val="Normal"/>
        <w:spacing w:line="360" w:lineRule="auto"/>
        <w:jc w:val="both"/>
        <w:rPr>
          <w:rFonts w:ascii="Arial" w:hAnsi="Arial" w:eastAsia="Arial" w:cs="Arial"/>
          <w:b w:val="1"/>
          <w:bCs w:val="1"/>
          <w:noProof w:val="0"/>
          <w:color w:val="000000" w:themeColor="text1" w:themeTint="FF" w:themeShade="FF"/>
          <w:sz w:val="22"/>
          <w:szCs w:val="22"/>
          <w:lang w:val="en-GB"/>
        </w:rPr>
      </w:pPr>
      <w:r w:rsidRPr="6B75847A" w:rsidR="45CC5383">
        <w:rPr>
          <w:rFonts w:ascii="Arial" w:hAnsi="Arial" w:eastAsia="Arial" w:cs="Arial"/>
          <w:b w:val="1"/>
          <w:bCs w:val="1"/>
          <w:noProof w:val="0"/>
          <w:color w:val="000000" w:themeColor="text1" w:themeTint="FF" w:themeShade="FF"/>
          <w:sz w:val="22"/>
          <w:szCs w:val="22"/>
          <w:lang w:val="en-GB"/>
        </w:rPr>
        <w:t>ABSTRACT</w:t>
      </w:r>
    </w:p>
    <w:p w:rsidR="17F3D453" w:rsidP="6B75847A" w:rsidRDefault="17F3D453" w14:paraId="58B636F1" w14:textId="43354155">
      <w:pPr>
        <w:pStyle w:val="Normal"/>
        <w:spacing w:before="140" w:beforeAutospacing="off" w:after="140" w:afterAutospacing="off" w:line="360" w:lineRule="auto"/>
        <w:jc w:val="left"/>
        <w:rPr>
          <w:rFonts w:ascii="Arial" w:hAnsi="Arial" w:eastAsia="Arial" w:cs="Arial"/>
          <w:noProof w:val="0"/>
          <w:color w:val="000000" w:themeColor="text1" w:themeTint="FF" w:themeShade="FF"/>
          <w:sz w:val="22"/>
          <w:szCs w:val="22"/>
          <w:lang w:val="en-GB"/>
        </w:rPr>
      </w:pPr>
      <w:r w:rsidRPr="6B75847A" w:rsidR="17F3D453">
        <w:rPr>
          <w:rFonts w:ascii="Arial" w:hAnsi="Arial" w:eastAsia="Arial" w:cs="Arial"/>
          <w:noProof w:val="0"/>
          <w:color w:val="000000" w:themeColor="text1" w:themeTint="FF" w:themeShade="FF"/>
          <w:sz w:val="22"/>
          <w:szCs w:val="22"/>
          <w:lang w:val="en-GB"/>
        </w:rPr>
        <w:t xml:space="preserve">Person-Centred Care (PCC) and Partnership Working (PW) are fundamental to delivering safe, effective, and high-quality healthcare in the United Kingdom. This report critically examines the implementation of PCC and PW in hospital settings by analysing the theoretical, ethical, legislative, and practical factors that influence healthcare delivery. PCC promotes respect for patients’ values, preferences, and autonomy through shared decision-making, while PW encourages collaboration between multidisciplinary teams, patients, carers, and external organisations to improve continuity of care and health outcomes. The report evaluates Maslow’s Hierarchy of Needs and McCormack and McCance’s Person-Centred Practice Framework, </w:t>
      </w:r>
      <w:r w:rsidRPr="6B75847A" w:rsidR="17F3D453">
        <w:rPr>
          <w:rFonts w:ascii="Arial" w:hAnsi="Arial" w:eastAsia="Arial" w:cs="Arial"/>
          <w:noProof w:val="0"/>
          <w:color w:val="000000" w:themeColor="text1" w:themeTint="FF" w:themeShade="FF"/>
          <w:sz w:val="22"/>
          <w:szCs w:val="22"/>
          <w:lang w:val="en-GB"/>
        </w:rPr>
        <w:t>demonstrating</w:t>
      </w:r>
      <w:r w:rsidRPr="6B75847A" w:rsidR="17F3D453">
        <w:rPr>
          <w:rFonts w:ascii="Arial" w:hAnsi="Arial" w:eastAsia="Arial" w:cs="Arial"/>
          <w:noProof w:val="0"/>
          <w:color w:val="000000" w:themeColor="text1" w:themeTint="FF" w:themeShade="FF"/>
          <w:sz w:val="22"/>
          <w:szCs w:val="22"/>
          <w:lang w:val="en-GB"/>
        </w:rPr>
        <w:t xml:space="preserve"> their contribution to holistic healthcare delivery. It also examines the ethical principles of autonomy, beneficence, non-maleficence, and justice alongside key UK legislation, including the Health and Care Act 2022, the Care Act 2014, the Human Rights Act 1998, and the Equality Act 2010. Although PCC and PW improve patient satisfaction, safety, and service integration, their implementation is challenged by workforce shortages, communication barriers, fragmented services, and organisational constraints. The report recommends expanding interoperable digital health technologies, strengthening interprofessional education, increasing patient and family involvement in shared decision-making, and further developing Integrated Care Systems to improve communication, continuity of care, patient outcomes, and the sustainability of integrated NHS services.</w:t>
      </w:r>
    </w:p>
    <w:p w:rsidR="6B75847A" w:rsidP="6B75847A" w:rsidRDefault="6B75847A" w14:paraId="1B2ED08C" w14:textId="780B7E64">
      <w:pPr>
        <w:pStyle w:val="Normal"/>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p>
    <w:p w:rsidR="6B75847A" w:rsidP="6B75847A" w:rsidRDefault="6B75847A" w14:paraId="7D5387E2" w14:textId="0B4F3C3B">
      <w:pPr>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p>
    <w:p w:rsidR="38E26CD4" w:rsidP="38E26CD4" w:rsidRDefault="38E26CD4" w14:paraId="674E3E93" w14:textId="67BA16F2">
      <w:pPr>
        <w:spacing w:before="120" w:beforeAutospacing="off" w:after="120" w:afterAutospacing="off" w:line="360" w:lineRule="auto"/>
        <w:jc w:val="left"/>
        <w:rPr>
          <w:rFonts w:ascii="Arial" w:hAnsi="Arial" w:eastAsia="Arial" w:cs="Arial"/>
          <w:b w:val="0"/>
          <w:bCs w:val="0"/>
          <w:color w:val="000000" w:themeColor="text1" w:themeTint="FF" w:themeShade="FF"/>
          <w:sz w:val="22"/>
          <w:szCs w:val="22"/>
        </w:rPr>
      </w:pPr>
    </w:p>
    <w:p w:rsidR="38E26CD4" w:rsidP="38E26CD4" w:rsidRDefault="38E26CD4" w14:paraId="339D7875" w14:textId="44737D36">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7A9DD356" w14:textId="76A5D4AE">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575D4E29" w14:textId="51B8C2B7">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354FF589" w14:textId="454D7FE4">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6B75847A" w:rsidP="6B75847A" w:rsidRDefault="6B75847A" w14:paraId="1EA17AE1" w14:textId="0E617798">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6B75847A" w:rsidP="6B75847A" w:rsidRDefault="6B75847A" w14:paraId="0963E22B" w14:textId="0BE74436">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6B75847A" w:rsidP="6B75847A" w:rsidRDefault="6B75847A" w14:paraId="03946931" w14:textId="19450219">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6B75847A" w:rsidP="6B75847A" w:rsidRDefault="6B75847A" w14:paraId="7C223BEB" w14:textId="21B8820F">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6B75847A" w:rsidP="6B75847A" w:rsidRDefault="6B75847A" w14:paraId="3A2A6237" w14:textId="7CE26436">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46A3463A" w:rsidP="38E26CD4" w:rsidRDefault="46A3463A" w14:paraId="1E549E69" w14:textId="61A322CD">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6B75847A" w:rsidR="4453985C">
        <w:rPr>
          <w:rFonts w:ascii="Arial" w:hAnsi="Arial" w:eastAsia="Arial" w:cs="Arial"/>
          <w:b w:val="1"/>
          <w:bCs w:val="1"/>
          <w:noProof w:val="0"/>
          <w:color w:val="000000" w:themeColor="text1" w:themeTint="FF" w:themeShade="FF"/>
          <w:sz w:val="22"/>
          <w:szCs w:val="22"/>
          <w:lang w:val="en-GB"/>
        </w:rPr>
        <w:t xml:space="preserve">INTRODUCTION </w:t>
      </w:r>
    </w:p>
    <w:p w:rsidR="46A3463A" w:rsidP="38E26CD4" w:rsidRDefault="46A3463A" w14:paraId="045EA494" w14:textId="1AE022DF">
      <w:pPr>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r w:rsidRPr="6B75847A" w:rsidR="189FE468">
        <w:rPr>
          <w:rFonts w:ascii="Arial" w:hAnsi="Arial" w:eastAsia="Arial" w:cs="Arial"/>
          <w:b w:val="0"/>
          <w:bCs w:val="0"/>
          <w:noProof w:val="0"/>
          <w:color w:val="000000" w:themeColor="text1" w:themeTint="FF" w:themeShade="FF"/>
          <w:sz w:val="22"/>
          <w:szCs w:val="22"/>
          <w:lang w:val="en-GB"/>
        </w:rPr>
        <w:t xml:space="preserve">Person-Centred Care (PCC) and Partnership Working (PW) are fundamental principles that underpin quality and effectiveness in health and social care delivery across the United Kingdom. In hospital settings, PCC emphasises treating individuals as active participants in their own care, ensuring that treatment aligns with their preferences, values, and needs (Health Foundation, 2016). It seeks to provide holistic and individualised care that respects dignity and autonomy, thereby improving patient outcomes and satisfaction (Santana et al., 2018). PW complements this approach by fostering collaboration between healthcare professionals, service users, and other stakeholders to achieve common goals and integrated service delivery (Glasby and Dickinson, 2018). In practice, effective PW in hospitals supports coordinated multidisciplinary care, reduces duplication, and helps PCC achieve patient-centred outcomes (NHS England, 2023). </w:t>
      </w:r>
    </w:p>
    <w:p w:rsidR="46A3463A" w:rsidP="38E26CD4" w:rsidRDefault="46A3463A" w14:paraId="62D1BCD7" w14:textId="2733038A">
      <w:pPr>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r w:rsidRPr="6B75847A" w:rsidR="189FE468">
        <w:rPr>
          <w:rFonts w:ascii="Arial" w:hAnsi="Arial" w:eastAsia="Arial" w:cs="Arial"/>
          <w:b w:val="0"/>
          <w:bCs w:val="0"/>
          <w:noProof w:val="0"/>
          <w:color w:val="000000" w:themeColor="text1" w:themeTint="FF" w:themeShade="FF"/>
          <w:sz w:val="22"/>
          <w:szCs w:val="22"/>
          <w:lang w:val="en-GB"/>
        </w:rPr>
        <w:t>This report critically examines the theoretical foundations, ethical principles, and legislative frameworks that guide PCC and PW in hospital settings, arguing that Maslow’s Hierarchy of Needs helps explain how human motivation and well-being shape patient care and recovery (McLeod, 2023). It concludes with evidence-based recommendations to strengthen the implementation of PCC and PW in the UK health sector, particularly within hospitals</w:t>
      </w:r>
      <w:commentRangeStart w:id="1124863798"/>
      <w:r w:rsidRPr="6B75847A" w:rsidR="189FE468">
        <w:rPr>
          <w:rFonts w:ascii="Arial" w:hAnsi="Arial" w:eastAsia="Arial" w:cs="Arial"/>
          <w:b w:val="0"/>
          <w:bCs w:val="0"/>
          <w:noProof w:val="0"/>
          <w:color w:val="000000" w:themeColor="text1" w:themeTint="FF" w:themeShade="FF"/>
          <w:sz w:val="22"/>
          <w:szCs w:val="22"/>
          <w:lang w:val="en-GB"/>
        </w:rPr>
        <w:t>.</w:t>
      </w:r>
      <w:commentRangeEnd w:id="1124863798"/>
      <w:r>
        <w:rPr>
          <w:rStyle w:val="CommentReference"/>
        </w:rPr>
        <w:commentReference w:id="1124863798"/>
      </w:r>
    </w:p>
    <w:p w:rsidR="46A3463A" w:rsidP="38E26CD4" w:rsidRDefault="46A3463A" w14:paraId="58ADF7A3" w14:textId="209EA32C">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6B75847A" w:rsidR="06C37160">
        <w:rPr>
          <w:rFonts w:ascii="Arial" w:hAnsi="Arial" w:eastAsia="Arial" w:cs="Arial"/>
          <w:b w:val="0"/>
          <w:bCs w:val="0"/>
          <w:noProof w:val="0"/>
          <w:color w:val="000000" w:themeColor="text1" w:themeTint="FF" w:themeShade="FF"/>
          <w:sz w:val="22"/>
          <w:szCs w:val="22"/>
          <w:lang w:val="en-GB"/>
        </w:rPr>
        <w:t>.</w:t>
      </w:r>
    </w:p>
    <w:p w:rsidR="7CF87444" w:rsidP="38E26CD4" w:rsidRDefault="7CF87444" w14:paraId="4F191BD9" w14:textId="2FCDAE20">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70A5F347" w14:textId="5619AADC">
      <w:pPr>
        <w:spacing w:line="360" w:lineRule="auto"/>
        <w:jc w:val="both"/>
        <w:rPr>
          <w:rFonts w:ascii="Arial" w:hAnsi="Arial" w:eastAsia="Arial" w:cs="Arial"/>
          <w:b w:val="0"/>
          <w:bCs w:val="0"/>
          <w:color w:val="000000" w:themeColor="text1" w:themeTint="FF" w:themeShade="FF"/>
          <w:sz w:val="22"/>
          <w:szCs w:val="22"/>
        </w:rPr>
      </w:pPr>
    </w:p>
    <w:p w:rsidR="3722023C" w:rsidP="38E26CD4" w:rsidRDefault="3722023C" w14:paraId="54F1FC6C" w14:textId="797BAE6C">
      <w:pPr>
        <w:spacing w:line="360" w:lineRule="auto"/>
        <w:jc w:val="both"/>
        <w:rPr>
          <w:rFonts w:ascii="Arial" w:hAnsi="Arial" w:eastAsia="Arial" w:cs="Arial"/>
          <w:b w:val="0"/>
          <w:bCs w:val="0"/>
          <w:color w:val="000000" w:themeColor="text1" w:themeTint="FF" w:themeShade="FF"/>
          <w:sz w:val="22"/>
          <w:szCs w:val="22"/>
        </w:rPr>
      </w:pPr>
    </w:p>
    <w:p w:rsidR="3722023C" w:rsidP="38E26CD4" w:rsidRDefault="3722023C" w14:paraId="3878C95D" w14:textId="34A521C7">
      <w:pPr>
        <w:spacing w:line="360" w:lineRule="auto"/>
        <w:jc w:val="both"/>
        <w:rPr>
          <w:rFonts w:ascii="Arial" w:hAnsi="Arial" w:eastAsia="Arial" w:cs="Arial"/>
          <w:b w:val="0"/>
          <w:bCs w:val="0"/>
          <w:color w:val="000000" w:themeColor="text1" w:themeTint="FF" w:themeShade="FF"/>
          <w:sz w:val="22"/>
          <w:szCs w:val="22"/>
        </w:rPr>
      </w:pPr>
    </w:p>
    <w:p w:rsidR="3722023C" w:rsidP="38E26CD4" w:rsidRDefault="3722023C" w14:paraId="46745DDF" w14:textId="22B37486">
      <w:pPr>
        <w:spacing w:line="360" w:lineRule="auto"/>
        <w:jc w:val="both"/>
        <w:rPr>
          <w:rFonts w:ascii="Arial" w:hAnsi="Arial" w:eastAsia="Arial" w:cs="Arial"/>
          <w:b w:val="0"/>
          <w:bCs w:val="0"/>
          <w:color w:val="000000" w:themeColor="text1" w:themeTint="FF" w:themeShade="FF"/>
          <w:sz w:val="22"/>
          <w:szCs w:val="22"/>
        </w:rPr>
      </w:pPr>
    </w:p>
    <w:p w:rsidR="3722023C" w:rsidP="38E26CD4" w:rsidRDefault="3722023C" w14:paraId="45565848" w14:textId="2668F388">
      <w:pPr>
        <w:spacing w:line="360" w:lineRule="auto"/>
        <w:jc w:val="both"/>
        <w:rPr>
          <w:rFonts w:ascii="Arial" w:hAnsi="Arial" w:eastAsia="Arial" w:cs="Arial"/>
          <w:b w:val="0"/>
          <w:bCs w:val="0"/>
          <w:color w:val="000000" w:themeColor="text1" w:themeTint="FF" w:themeShade="FF"/>
          <w:sz w:val="22"/>
          <w:szCs w:val="22"/>
        </w:rPr>
      </w:pPr>
    </w:p>
    <w:p w:rsidR="3722023C" w:rsidP="38E26CD4" w:rsidRDefault="3722023C" w14:paraId="07291377" w14:textId="3EAC103E">
      <w:pPr>
        <w:spacing w:line="360" w:lineRule="auto"/>
        <w:jc w:val="both"/>
        <w:rPr>
          <w:rFonts w:ascii="Arial" w:hAnsi="Arial" w:eastAsia="Arial" w:cs="Arial"/>
          <w:b w:val="0"/>
          <w:bCs w:val="0"/>
          <w:color w:val="000000" w:themeColor="text1" w:themeTint="FF" w:themeShade="FF"/>
          <w:sz w:val="22"/>
          <w:szCs w:val="22"/>
        </w:rPr>
      </w:pPr>
    </w:p>
    <w:p w:rsidR="3722023C" w:rsidP="6B75847A" w:rsidRDefault="3722023C" w14:paraId="5E919D3B" w14:textId="76175949">
      <w:pPr>
        <w:pStyle w:val="Normal"/>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1D126675" w14:textId="7E8A5D60">
      <w:pPr>
        <w:spacing w:line="360" w:lineRule="auto"/>
        <w:jc w:val="both"/>
        <w:rPr>
          <w:rFonts w:ascii="Arial" w:hAnsi="Arial" w:eastAsia="Arial" w:cs="Arial"/>
          <w:b w:val="0"/>
          <w:bCs w:val="0"/>
          <w:color w:val="000000" w:themeColor="text1" w:themeTint="FF" w:themeShade="FF"/>
          <w:sz w:val="22"/>
          <w:szCs w:val="22"/>
        </w:rPr>
      </w:pPr>
    </w:p>
    <w:p w:rsidR="32DB4F4F" w:rsidP="38E26CD4" w:rsidRDefault="32DB4F4F" w14:paraId="2CEEB065" w14:textId="0BC5E53C">
      <w:pPr>
        <w:spacing w:before="120" w:beforeAutospacing="off" w:after="120" w:afterAutospacing="off" w:line="360" w:lineRule="auto"/>
        <w:jc w:val="left"/>
        <w:rPr>
          <w:rFonts w:ascii="Arial" w:hAnsi="Arial" w:eastAsia="Arial" w:cs="Arial"/>
          <w:b w:val="1"/>
          <w:bCs w:val="1"/>
          <w:noProof w:val="0"/>
          <w:color w:val="000000" w:themeColor="text1" w:themeTint="FF" w:themeShade="FF"/>
          <w:sz w:val="22"/>
          <w:szCs w:val="22"/>
          <w:lang w:val="en-GB"/>
        </w:rPr>
      </w:pPr>
      <w:r w:rsidRPr="6B75847A" w:rsidR="6578809D">
        <w:rPr>
          <w:rFonts w:ascii="Arial" w:hAnsi="Arial" w:eastAsia="Arial" w:cs="Arial"/>
          <w:b w:val="1"/>
          <w:bCs w:val="1"/>
          <w:noProof w:val="0"/>
          <w:color w:val="000000" w:themeColor="text1" w:themeTint="FF" w:themeShade="FF"/>
          <w:sz w:val="22"/>
          <w:szCs w:val="22"/>
          <w:lang w:val="en-GB"/>
        </w:rPr>
        <w:t>DEFINITION OF PERSON-CENTRED CARE (PCC)</w:t>
      </w:r>
      <w:r w:rsidRPr="6B75847A" w:rsidR="6578809D">
        <w:rPr>
          <w:rFonts w:ascii="Arial" w:hAnsi="Arial" w:eastAsia="Arial" w:cs="Arial"/>
          <w:b w:val="1"/>
          <w:bCs w:val="1"/>
          <w:noProof w:val="0"/>
          <w:color w:val="000000" w:themeColor="text1" w:themeTint="FF" w:themeShade="FF"/>
          <w:sz w:val="22"/>
          <w:szCs w:val="22"/>
          <w:lang w:val="en-GB"/>
        </w:rPr>
        <w:t xml:space="preserve"> </w:t>
      </w:r>
    </w:p>
    <w:p w:rsidR="59931E0D" w:rsidP="6B75847A" w:rsidRDefault="59931E0D" w14:paraId="3069CF55" w14:textId="50131FBE">
      <w:pPr>
        <w:pStyle w:val="Heading3"/>
        <w:spacing w:before="140" w:beforeAutospacing="off" w:after="140" w:afterAutospacing="off" w:line="360" w:lineRule="auto"/>
        <w:jc w:val="left"/>
        <w:rPr>
          <w:rFonts w:ascii="Arial" w:hAnsi="Arial" w:eastAsia="Arial" w:cs="Arial"/>
          <w:b w:val="0"/>
          <w:bCs w:val="0"/>
          <w:noProof w:val="0"/>
          <w:color w:val="000000" w:themeColor="text1" w:themeTint="FF" w:themeShade="FF"/>
          <w:sz w:val="22"/>
          <w:szCs w:val="22"/>
          <w:lang w:val="en-GB"/>
        </w:rPr>
      </w:pPr>
      <w:r w:rsidRPr="6B75847A" w:rsidR="59931E0D">
        <w:rPr>
          <w:rFonts w:ascii="Arial" w:hAnsi="Arial" w:eastAsia="Arial" w:cs="Arial"/>
          <w:b w:val="0"/>
          <w:bCs w:val="0"/>
          <w:noProof w:val="0"/>
          <w:color w:val="000000" w:themeColor="text1" w:themeTint="FF" w:themeShade="FF"/>
          <w:sz w:val="22"/>
          <w:szCs w:val="22"/>
          <w:lang w:val="en-GB"/>
        </w:rPr>
        <w:t>Person-Centred Care (PCC) places patients at the centre of healthcare by recognising their individual values, preferences, and needs throughout care planning and delivery. The Health Foundation (2016) defines PCC as care that respects what matters most to individuals and uses these preferences to guide clinical decisions. Similarly, McCormack and McCance (2021) describe person-centred practice as building therapeutic relationships based on respect, empathy, and shared decision-making. In hospital settings, PCC treats patients as active partners rather than passive recipients of care.</w:t>
      </w:r>
    </w:p>
    <w:p w:rsidR="59931E0D" w:rsidP="6B75847A" w:rsidRDefault="59931E0D" w14:paraId="51ACE908" w14:textId="722BC58F">
      <w:pPr>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r w:rsidRPr="6B75847A" w:rsidR="59931E0D">
        <w:rPr>
          <w:rFonts w:ascii="Arial" w:hAnsi="Arial" w:eastAsia="Arial" w:cs="Arial"/>
          <w:b w:val="0"/>
          <w:bCs w:val="0"/>
          <w:noProof w:val="0"/>
          <w:color w:val="000000" w:themeColor="text1" w:themeTint="FF" w:themeShade="FF"/>
          <w:sz w:val="22"/>
          <w:szCs w:val="22"/>
          <w:lang w:val="en-GB"/>
        </w:rPr>
        <w:t>A key benefit of PCC is improved patient satisfaction and health outcomes. Patients involved in treatment decisions are more likely to understand their condition, adhere to treatment, and feel confident in their care (Santana et al., 2018). Effective communication also builds trust, reduces anxiety, and enhances patient safety. For example, involving patients and families in discharge planning improves continuity of care and reduces unnecessary hospital readmissions (Glasby and Dickinson, 2018).</w:t>
      </w:r>
    </w:p>
    <w:p w:rsidR="59931E0D" w:rsidP="6B75847A" w:rsidRDefault="59931E0D" w14:paraId="22C870AB" w14:textId="7808E5C5">
      <w:pPr>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r w:rsidRPr="6B75847A" w:rsidR="59931E0D">
        <w:rPr>
          <w:rFonts w:ascii="Arial" w:hAnsi="Arial" w:eastAsia="Arial" w:cs="Arial"/>
          <w:b w:val="0"/>
          <w:bCs w:val="0"/>
          <w:noProof w:val="0"/>
          <w:color w:val="000000" w:themeColor="text1" w:themeTint="FF" w:themeShade="FF"/>
          <w:sz w:val="22"/>
          <w:szCs w:val="22"/>
          <w:lang w:val="en-GB"/>
        </w:rPr>
        <w:t xml:space="preserve">PCC promotes holistic care by addressing emotional, social, cultural, psychological, and physical needs, supporting dignity, independence, and shared decision-making (Department of Health, 2012). Delivering equitable care requires cultural competence, which enables healthcare professionals to respect diverse cultural, religious, and linguistic needs and reduce health inequalities (NHS England, 2023). These principles align with the NHS </w:t>
      </w:r>
      <w:r w:rsidRPr="6B75847A" w:rsidR="59931E0D">
        <w:rPr>
          <w:rFonts w:ascii="Arial" w:hAnsi="Arial" w:eastAsia="Arial" w:cs="Arial"/>
          <w:b w:val="0"/>
          <w:bCs w:val="0"/>
          <w:noProof w:val="0"/>
          <w:color w:val="000000" w:themeColor="text1" w:themeTint="FF" w:themeShade="FF"/>
          <w:sz w:val="22"/>
          <w:szCs w:val="22"/>
          <w:lang w:val="en-GB"/>
        </w:rPr>
        <w:t>6Cs</w:t>
      </w:r>
      <w:r w:rsidRPr="6B75847A" w:rsidR="59931E0D">
        <w:rPr>
          <w:rFonts w:ascii="Arial" w:hAnsi="Arial" w:eastAsia="Arial" w:cs="Arial"/>
          <w:b w:val="0"/>
          <w:bCs w:val="0"/>
          <w:noProof w:val="0"/>
          <w:color w:val="000000" w:themeColor="text1" w:themeTint="FF" w:themeShade="FF"/>
          <w:sz w:val="22"/>
          <w:szCs w:val="22"/>
          <w:lang w:val="en-GB"/>
        </w:rPr>
        <w:t>—Care, Compassion, Competence, Communication, Courage, and Commitment—which underpin compassionate, person-centred practice (NHS England, 2017).</w:t>
      </w:r>
    </w:p>
    <w:p w:rsidR="59931E0D" w:rsidP="6B75847A" w:rsidRDefault="59931E0D" w14:paraId="411EA04F" w14:textId="52DA34AC">
      <w:pPr>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r w:rsidRPr="6B75847A" w:rsidR="59931E0D">
        <w:rPr>
          <w:rFonts w:ascii="Arial" w:hAnsi="Arial" w:eastAsia="Arial" w:cs="Arial"/>
          <w:b w:val="0"/>
          <w:bCs w:val="0"/>
          <w:noProof w:val="0"/>
          <w:color w:val="000000" w:themeColor="text1" w:themeTint="FF" w:themeShade="FF"/>
          <w:sz w:val="22"/>
          <w:szCs w:val="22"/>
          <w:lang w:val="en-GB"/>
        </w:rPr>
        <w:t xml:space="preserve">Despite its benefits, implementing PCC remains challenging. Workforce shortages, increasing patient demand, and limited consultation time can reduce opportunities for meaningful patient involvement (Robertson et al., 2020). NHS England (2024) reports over </w:t>
      </w:r>
      <w:r w:rsidRPr="6B75847A" w:rsidR="59931E0D">
        <w:rPr>
          <w:rFonts w:ascii="Arial" w:hAnsi="Arial" w:eastAsia="Arial" w:cs="Arial"/>
          <w:b w:val="0"/>
          <w:bCs w:val="0"/>
          <w:noProof w:val="0"/>
          <w:color w:val="000000" w:themeColor="text1" w:themeTint="FF" w:themeShade="FF"/>
          <w:sz w:val="22"/>
          <w:szCs w:val="22"/>
          <w:lang w:val="en-GB"/>
        </w:rPr>
        <w:t>100,000 vacancies</w:t>
      </w:r>
      <w:r w:rsidRPr="6B75847A" w:rsidR="59931E0D">
        <w:rPr>
          <w:rFonts w:ascii="Arial" w:hAnsi="Arial" w:eastAsia="Arial" w:cs="Arial"/>
          <w:b w:val="0"/>
          <w:bCs w:val="0"/>
          <w:noProof w:val="0"/>
          <w:color w:val="000000" w:themeColor="text1" w:themeTint="FF" w:themeShade="FF"/>
          <w:sz w:val="22"/>
          <w:szCs w:val="22"/>
          <w:lang w:val="en-GB"/>
        </w:rPr>
        <w:t xml:space="preserve"> across the NHS, while an ageing population and rising numbers of long-term conditions continue to drive demand. Consequently, healthcare professionals may prioritise urgent clinical tasks over personalised communication and shared decision-making. Resource limitations, including restricted access to interpreters and specialist support, may further hinder equitable care for diverse patient groups.</w:t>
      </w:r>
    </w:p>
    <w:p w:rsidR="59931E0D" w:rsidP="6B75847A" w:rsidRDefault="59931E0D" w14:paraId="090395C2" w14:textId="3E042F4A">
      <w:pPr>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r w:rsidRPr="6B75847A" w:rsidR="59931E0D">
        <w:rPr>
          <w:rFonts w:ascii="Arial" w:hAnsi="Arial" w:eastAsia="Arial" w:cs="Arial"/>
          <w:b w:val="0"/>
          <w:bCs w:val="0"/>
          <w:noProof w:val="0"/>
          <w:color w:val="000000" w:themeColor="text1" w:themeTint="FF" w:themeShade="FF"/>
          <w:sz w:val="22"/>
          <w:szCs w:val="22"/>
          <w:lang w:val="en-GB"/>
        </w:rPr>
        <w:t>Balancing patient autonomy with professional responsibility also presents ethical challenges. While patients have the right to make informed decisions, healthcare professionals must also prevent harm. For example, refusing recommended treatment may require practitioners to balance autonomy with beneficence and non-maleficence (Beauchamp and Childress, 2019).</w:t>
      </w:r>
    </w:p>
    <w:p w:rsidR="59931E0D" w:rsidP="6B75847A" w:rsidRDefault="59931E0D" w14:paraId="6106C9B0" w14:textId="5F880097">
      <w:pPr>
        <w:spacing w:before="120" w:beforeAutospacing="off" w:after="120" w:afterAutospacing="off" w:line="360" w:lineRule="auto"/>
        <w:jc w:val="left"/>
        <w:rPr>
          <w:rFonts w:ascii="Arial" w:hAnsi="Arial" w:eastAsia="Arial" w:cs="Arial"/>
          <w:b w:val="0"/>
          <w:bCs w:val="0"/>
          <w:noProof w:val="0"/>
          <w:color w:val="000000" w:themeColor="text1" w:themeTint="FF" w:themeShade="FF"/>
          <w:sz w:val="22"/>
          <w:szCs w:val="22"/>
          <w:lang w:val="en-GB"/>
        </w:rPr>
      </w:pPr>
      <w:r w:rsidRPr="6B75847A" w:rsidR="59931E0D">
        <w:rPr>
          <w:rFonts w:ascii="Arial" w:hAnsi="Arial" w:eastAsia="Arial" w:cs="Arial"/>
          <w:b w:val="0"/>
          <w:bCs w:val="0"/>
          <w:noProof w:val="0"/>
          <w:color w:val="000000" w:themeColor="text1" w:themeTint="FF" w:themeShade="FF"/>
          <w:sz w:val="22"/>
          <w:szCs w:val="22"/>
          <w:lang w:val="en-GB"/>
        </w:rPr>
        <w:t>Overall, PCC is fundamental to delivering high-quality hospital care by promoting dignity, shared decision-making, and improved patient experiences. However, its consistent implementation depends on adequate staffing, organisational support, effective communication, and sufficient resources, making it an ongoing challenge across NHS hospitals.</w:t>
      </w:r>
    </w:p>
    <w:p w:rsidR="6B75847A" w:rsidP="6B75847A" w:rsidRDefault="6B75847A" w14:paraId="738E66BC" w14:textId="7A4FFED9">
      <w:pPr>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GB"/>
        </w:rPr>
      </w:pPr>
    </w:p>
    <w:p w:rsidR="38E26CD4" w:rsidP="38E26CD4" w:rsidRDefault="38E26CD4" w14:paraId="5ECA3A57" w14:textId="360CAF3F">
      <w:pPr>
        <w:spacing w:before="220" w:beforeAutospacing="off" w:after="200" w:afterAutospacing="off"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4EB8612B" w14:textId="3ADADC70">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24284E37" w14:textId="226B95F4">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455C6C04" w14:textId="78BB7D70">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762F7FC7" w14:textId="7EA89F6D">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48C5ADE5" w14:textId="622A253B">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36E5074B" w14:textId="3717DC6D">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58A22571" w14:textId="1EB78E17">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2AEED906" w14:textId="42769D18">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32F5FD9F" w14:textId="3AE4F967">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3050946B" w14:textId="2036DA68">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66260A34" w14:textId="07687101">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43329405" w14:textId="07B77DA2">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2BC8418D" w14:textId="05CC5858">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79122AD0" w14:textId="61D453AE">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426A63A1" w14:textId="1C24B16A">
      <w:pPr>
        <w:spacing w:line="360" w:lineRule="auto"/>
        <w:jc w:val="both"/>
        <w:rPr>
          <w:rFonts w:ascii="Arial" w:hAnsi="Arial" w:eastAsia="Arial" w:cs="Arial"/>
          <w:b w:val="0"/>
          <w:bCs w:val="0"/>
          <w:color w:val="000000" w:themeColor="text1" w:themeTint="FF" w:themeShade="FF"/>
          <w:sz w:val="22"/>
          <w:szCs w:val="22"/>
        </w:rPr>
      </w:pPr>
    </w:p>
    <w:p w:rsidR="33CA81DD" w:rsidP="6B75847A" w:rsidRDefault="33CA81DD" w14:paraId="2C92EA51" w14:textId="595795FC">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r w:rsidRPr="6B75847A" w:rsidR="33CA81DD">
        <w:rPr>
          <w:rFonts w:ascii="Arial" w:hAnsi="Arial" w:eastAsia="Arial" w:cs="Arial"/>
          <w:b w:val="1"/>
          <w:bCs w:val="1"/>
          <w:noProof w:val="0"/>
          <w:color w:val="000000" w:themeColor="text1" w:themeTint="FF" w:themeShade="FF"/>
          <w:sz w:val="22"/>
          <w:szCs w:val="22"/>
          <w:lang w:val="en-GB"/>
        </w:rPr>
        <w:t>MASLOW'S HIERARCHY OF NEEDS AND MCCORMACK AND MCCANCE'S PERSON-CENTRED PRACTICE FRAMEWORK IN HOSPITAL SETTINGS</w:t>
      </w:r>
    </w:p>
    <w:p w:rsidR="33CA81DD" w:rsidP="6B75847A" w:rsidRDefault="33CA81DD" w14:paraId="10E7DFE2" w14:textId="6D2B01E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3CA81DD">
        <w:rPr>
          <w:rFonts w:ascii="Arial" w:hAnsi="Arial" w:eastAsia="Arial" w:cs="Arial"/>
          <w:noProof w:val="0"/>
          <w:color w:val="000000" w:themeColor="text1" w:themeTint="FF" w:themeShade="FF"/>
          <w:sz w:val="22"/>
          <w:szCs w:val="22"/>
          <w:lang w:val="en-GB"/>
        </w:rPr>
        <w:t>Person-Centred Care (PCC) is supported by several theoretical frameworks, including Maslow's Hierarchy of Needs and McCormack and McCance's Person-Centred Practice Framework, both of which emphasise the importance of delivering holistic, individualised care.</w:t>
      </w:r>
    </w:p>
    <w:p w:rsidR="33CA81DD" w:rsidP="6B75847A" w:rsidRDefault="33CA81DD" w14:paraId="7A89F32B" w14:textId="7C5CD6B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3CA81DD">
        <w:rPr>
          <w:rFonts w:ascii="Arial" w:hAnsi="Arial" w:eastAsia="Arial" w:cs="Arial"/>
          <w:noProof w:val="0"/>
          <w:color w:val="000000" w:themeColor="text1" w:themeTint="FF" w:themeShade="FF"/>
          <w:sz w:val="22"/>
          <w:szCs w:val="22"/>
          <w:lang w:val="en-GB"/>
        </w:rPr>
        <w:t>Maslow's Hierarchy of Needs (Maslow, 1943) explains that individuals must have their basic physiological and safety needs met before higher psychological needs can be achieved. In hospital settings, this means healthcare professionals should address pain management, nutrition, comfort, and safety before encouraging patients to participate in decisions about their care. This holistic approach supports PCC by recognising patients' physical, emotional, social, and psychological needs, enabling healthcare professionals to tailor care to the individual (McLeod, 2023).</w:t>
      </w:r>
    </w:p>
    <w:p w:rsidR="33CA81DD" w:rsidP="6B75847A" w:rsidRDefault="33CA81DD" w14:paraId="6E16EE47" w14:textId="6674CA5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3CA81DD">
        <w:rPr>
          <w:rFonts w:ascii="Arial" w:hAnsi="Arial" w:eastAsia="Arial" w:cs="Arial"/>
          <w:noProof w:val="0"/>
          <w:color w:val="000000" w:themeColor="text1" w:themeTint="FF" w:themeShade="FF"/>
          <w:sz w:val="22"/>
          <w:szCs w:val="22"/>
          <w:lang w:val="en-GB"/>
        </w:rPr>
        <w:t>McCormack and McCance's Person-Centred Practice Framework (2021) focuses specifically on delivering person-centred healthcare. The framework highlights the importance of effective communication, shared decision-making, professional competence, and supportive care environments. In hospitals, it encourages healthcare professionals to build therapeutic relationships and actively involve patients and their families in care planning, resulting in improved patient experiences, greater satisfaction, and better health outcomes.</w:t>
      </w:r>
    </w:p>
    <w:p w:rsidR="33CA81DD" w:rsidP="6B75847A" w:rsidRDefault="33CA81DD" w14:paraId="37AF2294" w14:textId="5A43838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3CA81DD">
        <w:rPr>
          <w:rFonts w:ascii="Arial" w:hAnsi="Arial" w:eastAsia="Arial" w:cs="Arial"/>
          <w:noProof w:val="0"/>
          <w:color w:val="000000" w:themeColor="text1" w:themeTint="FF" w:themeShade="FF"/>
          <w:sz w:val="22"/>
          <w:szCs w:val="22"/>
          <w:lang w:val="en-GB"/>
        </w:rPr>
        <w:t xml:space="preserve">Both theories reinforce the principles of PCC by promoting holistic care and patient involvement. However, translating these frameworks into everyday clinical practice can be challenging, particularly in high-pressure hospital environments. For example, staff working in busy emergency departments or acute medical wards may need to prioritise patients with life-threatening conditions, leaving limited time for detailed conversations and shared decision-making with every patient. This challenge is reflected in NHS workforce data, which show that the NHS in England continues to experience over </w:t>
      </w:r>
      <w:r w:rsidRPr="6B75847A" w:rsidR="33CA81DD">
        <w:rPr>
          <w:rFonts w:ascii="Arial" w:hAnsi="Arial" w:eastAsia="Arial" w:cs="Arial"/>
          <w:b w:val="0"/>
          <w:bCs w:val="0"/>
          <w:noProof w:val="0"/>
          <w:color w:val="000000" w:themeColor="text1" w:themeTint="FF" w:themeShade="FF"/>
          <w:sz w:val="22"/>
          <w:szCs w:val="22"/>
          <w:lang w:val="en-GB"/>
        </w:rPr>
        <w:t>100,000 staff vacancies</w:t>
      </w:r>
      <w:r w:rsidRPr="6B75847A" w:rsidR="33CA81DD">
        <w:rPr>
          <w:rFonts w:ascii="Arial" w:hAnsi="Arial" w:eastAsia="Arial" w:cs="Arial"/>
          <w:b w:val="0"/>
          <w:bCs w:val="0"/>
          <w:noProof w:val="0"/>
          <w:color w:val="000000" w:themeColor="text1" w:themeTint="FF" w:themeShade="FF"/>
          <w:sz w:val="22"/>
          <w:szCs w:val="22"/>
          <w:lang w:val="en-GB"/>
        </w:rPr>
        <w:t>,</w:t>
      </w:r>
      <w:r w:rsidRPr="6B75847A" w:rsidR="33CA81DD">
        <w:rPr>
          <w:rFonts w:ascii="Arial" w:hAnsi="Arial" w:eastAsia="Arial" w:cs="Arial"/>
          <w:noProof w:val="0"/>
          <w:color w:val="000000" w:themeColor="text1" w:themeTint="FF" w:themeShade="FF"/>
          <w:sz w:val="22"/>
          <w:szCs w:val="22"/>
          <w:lang w:val="en-GB"/>
        </w:rPr>
        <w:t xml:space="preserve"> increasing workloads and reducing the time available for personalised care (NHS England, 2024). Such pressures can make it difficult to consistently apply the principles of Maslow's and McCormack and McCance's theories, despite healthcare professionals recognising their importance.</w:t>
      </w:r>
    </w:p>
    <w:p w:rsidR="33CA81DD" w:rsidP="6B75847A" w:rsidRDefault="33CA81DD" w14:paraId="08224F52" w14:textId="5AB1351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3CA81DD">
        <w:rPr>
          <w:rFonts w:ascii="Arial" w:hAnsi="Arial" w:eastAsia="Arial" w:cs="Arial"/>
          <w:noProof w:val="0"/>
          <w:color w:val="000000" w:themeColor="text1" w:themeTint="FF" w:themeShade="FF"/>
          <w:sz w:val="22"/>
          <w:szCs w:val="22"/>
          <w:lang w:val="en-GB"/>
        </w:rPr>
        <w:t>Overall, these theories provide a strong foundation for Person-Centred Care by encouraging healthcare professionals to treat patients as active partners in their care and deliver compassionate, holistic, and individualised healthcare. Their successful implementation, however, depends not only on professional knowledge and skills but also on sufficient staffing, supportive leadership, and organisational systems that enable person-centred practice.</w:t>
      </w:r>
    </w:p>
    <w:p w:rsidR="6B75847A" w:rsidP="6B75847A" w:rsidRDefault="6B75847A" w14:paraId="0E31071A" w14:textId="3A49573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44CCC593" w:rsidP="38E26CD4" w:rsidRDefault="44CCC593" w14:paraId="1D560DDD" w14:textId="7F2E3A39">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366DEC08" w14:textId="5673B589">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6636821C" w14:textId="248A8F80">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16C3EF92" w14:textId="50FFABC7">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55B2C789" w14:textId="308450FA">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131FD0ED" w14:textId="240C6F0D">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5B3C511C" w14:textId="40255538">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4ABBD630" w14:textId="0860A5A1">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761FDEE8" w14:textId="30BD96D8">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60F454B1" w14:textId="5174083C">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3261C1F5" w14:textId="7230564C">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53E52B01" w14:textId="630EFE71">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717B1D6A" w14:textId="29385FD8">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3444BBDE" w14:textId="6C4A1C10">
      <w:pPr>
        <w:pStyle w:val="Normal"/>
        <w:spacing w:line="360" w:lineRule="auto"/>
        <w:rPr>
          <w:rFonts w:ascii="Arial" w:hAnsi="Arial" w:eastAsia="Arial" w:cs="Arial"/>
          <w:noProof w:val="0"/>
          <w:color w:val="000000" w:themeColor="text1" w:themeTint="FF" w:themeShade="FF"/>
          <w:sz w:val="22"/>
          <w:szCs w:val="22"/>
          <w:lang w:val="en-GB"/>
        </w:rPr>
      </w:pPr>
    </w:p>
    <w:p w:rsidR="17960BF2" w:rsidP="6B75847A" w:rsidRDefault="17960BF2" w14:paraId="73E53DB5" w14:textId="20F98D15">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r w:rsidRPr="6B75847A" w:rsidR="17960BF2">
        <w:rPr>
          <w:rFonts w:ascii="Arial" w:hAnsi="Arial" w:eastAsia="Arial" w:cs="Arial"/>
          <w:b w:val="1"/>
          <w:bCs w:val="1"/>
          <w:noProof w:val="0"/>
          <w:color w:val="000000" w:themeColor="text1" w:themeTint="FF" w:themeShade="FF"/>
          <w:sz w:val="22"/>
          <w:szCs w:val="22"/>
          <w:lang w:val="en-GB"/>
        </w:rPr>
        <w:t>ETHICAL FUNDAMENTALS IN HEALTH AND SOCIAL CARE</w:t>
      </w:r>
    </w:p>
    <w:p w:rsidR="0C9AC423" w:rsidP="6B75847A" w:rsidRDefault="0C9AC423" w14:paraId="0CBBBC1A" w14:textId="49766C1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0C9AC423">
        <w:rPr>
          <w:rFonts w:ascii="Arial" w:hAnsi="Arial" w:eastAsia="Arial" w:cs="Arial"/>
          <w:noProof w:val="0"/>
          <w:color w:val="000000" w:themeColor="text1" w:themeTint="FF" w:themeShade="FF"/>
          <w:sz w:val="22"/>
          <w:szCs w:val="22"/>
          <w:lang w:val="en-GB"/>
        </w:rPr>
        <w:t>Ethical principles guide professional practice in health and social care and underpin Person-Centred Care (PCC) and Partnership Working (PW). The four key principles—autonomy, beneficence, non-maleficence, and justice (Beauchamp and Childress, 2019)—are reinforced through the professional codes of the Nursing and Midwifery Council (NMC) and the General Medical Council (GMC). These regulatory bodies promote ethical practice and ensure practitioners maintain the knowledge, skills, and behaviours required to deliver safe, effective, and person-centred care.</w:t>
      </w:r>
    </w:p>
    <w:p w:rsidR="0C9AC423" w:rsidP="6B75847A" w:rsidRDefault="0C9AC423" w14:paraId="5C37AE91" w14:textId="1E03E33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0C9AC423">
        <w:rPr>
          <w:rFonts w:ascii="Arial" w:hAnsi="Arial" w:eastAsia="Arial" w:cs="Arial"/>
          <w:noProof w:val="0"/>
          <w:color w:val="000000" w:themeColor="text1" w:themeTint="FF" w:themeShade="FF"/>
          <w:sz w:val="22"/>
          <w:szCs w:val="22"/>
          <w:lang w:val="en-GB"/>
        </w:rPr>
        <w:t xml:space="preserve">Autonomy involves respecting a person's right to make informed decisions about their care. Within PCC, patients actively participate in decision-making, while PW promotes collaboration between patients, families, and healthcare professionals. For example, a competent patient may refuse life-sustaining treatment based on personal beliefs. Although professionals may disagree, respecting an informed refusal upholds autonomy. </w:t>
      </w:r>
      <w:r w:rsidRPr="6B75847A" w:rsidR="0C9AC423">
        <w:rPr>
          <w:rFonts w:ascii="Arial" w:hAnsi="Arial" w:eastAsia="Arial" w:cs="Arial"/>
          <w:b w:val="0"/>
          <w:bCs w:val="0"/>
          <w:noProof w:val="0"/>
          <w:color w:val="000000" w:themeColor="text1" w:themeTint="FF" w:themeShade="FF"/>
          <w:sz w:val="22"/>
          <w:szCs w:val="22"/>
          <w:lang w:val="en-GB"/>
        </w:rPr>
        <w:t xml:space="preserve">The </w:t>
      </w:r>
      <w:r w:rsidRPr="6B75847A" w:rsidR="0C9AC423">
        <w:rPr>
          <w:rFonts w:ascii="Arial" w:hAnsi="Arial" w:eastAsia="Arial" w:cs="Arial"/>
          <w:b w:val="0"/>
          <w:bCs w:val="0"/>
          <w:noProof w:val="0"/>
          <w:color w:val="000000" w:themeColor="text1" w:themeTint="FF" w:themeShade="FF"/>
          <w:sz w:val="22"/>
          <w:szCs w:val="22"/>
          <w:lang w:val="en-GB"/>
        </w:rPr>
        <w:t>NMC Code</w:t>
      </w:r>
      <w:r w:rsidRPr="6B75847A" w:rsidR="0C9AC423">
        <w:rPr>
          <w:rFonts w:ascii="Arial" w:hAnsi="Arial" w:eastAsia="Arial" w:cs="Arial"/>
          <w:b w:val="0"/>
          <w:bCs w:val="0"/>
          <w:noProof w:val="0"/>
          <w:color w:val="000000" w:themeColor="text1" w:themeTint="FF" w:themeShade="FF"/>
          <w:sz w:val="22"/>
          <w:szCs w:val="22"/>
          <w:lang w:val="en-GB"/>
        </w:rPr>
        <w:t xml:space="preserve"> (2018) and the </w:t>
      </w:r>
      <w:r w:rsidRPr="6B75847A" w:rsidR="0C9AC423">
        <w:rPr>
          <w:rFonts w:ascii="Arial" w:hAnsi="Arial" w:eastAsia="Arial" w:cs="Arial"/>
          <w:b w:val="0"/>
          <w:bCs w:val="0"/>
          <w:noProof w:val="0"/>
          <w:color w:val="000000" w:themeColor="text1" w:themeTint="FF" w:themeShade="FF"/>
          <w:sz w:val="22"/>
          <w:szCs w:val="22"/>
          <w:lang w:val="en-GB"/>
        </w:rPr>
        <w:t>GMC's Good Medical Practice</w:t>
      </w:r>
      <w:r w:rsidRPr="6B75847A" w:rsidR="0C9AC423">
        <w:rPr>
          <w:rFonts w:ascii="Arial" w:hAnsi="Arial" w:eastAsia="Arial" w:cs="Arial"/>
          <w:b w:val="0"/>
          <w:bCs w:val="0"/>
          <w:noProof w:val="0"/>
          <w:color w:val="000000" w:themeColor="text1" w:themeTint="FF" w:themeShade="FF"/>
          <w:sz w:val="22"/>
          <w:szCs w:val="22"/>
          <w:lang w:val="en-GB"/>
        </w:rPr>
        <w:t xml:space="preserve"> require practitioners to provide</w:t>
      </w:r>
      <w:r w:rsidRPr="6B75847A" w:rsidR="0C9AC423">
        <w:rPr>
          <w:rFonts w:ascii="Arial" w:hAnsi="Arial" w:eastAsia="Arial" w:cs="Arial"/>
          <w:noProof w:val="0"/>
          <w:color w:val="000000" w:themeColor="text1" w:themeTint="FF" w:themeShade="FF"/>
          <w:sz w:val="22"/>
          <w:szCs w:val="22"/>
          <w:lang w:val="en-GB"/>
        </w:rPr>
        <w:t xml:space="preserve"> sufficient information to support informed decisions while respecting patients' legal rights.</w:t>
      </w:r>
    </w:p>
    <w:p w:rsidR="0C9AC423" w:rsidP="6B75847A" w:rsidRDefault="0C9AC423" w14:paraId="5D2188B3" w14:textId="019C973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0C9AC423">
        <w:rPr>
          <w:rFonts w:ascii="Arial" w:hAnsi="Arial" w:eastAsia="Arial" w:cs="Arial"/>
          <w:noProof w:val="0"/>
          <w:color w:val="000000" w:themeColor="text1" w:themeTint="FF" w:themeShade="FF"/>
          <w:sz w:val="22"/>
          <w:szCs w:val="22"/>
          <w:lang w:val="en-GB"/>
        </w:rPr>
        <w:t>Beneficence requires acting in patients' best interests, while non-maleficence focuses on preventing harm (NMC, 2018). In hospitals, multidisciplinary teams collaborate to develop safe care plans, reduce risks such as medication errors, and resolve disagreements through clinical judgement and shared decision-making. The NMC and GMC also require practitioners to work collaboratively and minimise avoidable harm.</w:t>
      </w:r>
    </w:p>
    <w:p w:rsidR="0C9AC423" w:rsidP="6B75847A" w:rsidRDefault="0C9AC423" w14:paraId="1B53A773" w14:textId="68952A1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0C9AC423">
        <w:rPr>
          <w:rFonts w:ascii="Arial" w:hAnsi="Arial" w:eastAsia="Arial" w:cs="Arial"/>
          <w:noProof w:val="0"/>
          <w:color w:val="000000" w:themeColor="text1" w:themeTint="FF" w:themeShade="FF"/>
          <w:sz w:val="22"/>
          <w:szCs w:val="22"/>
          <w:lang w:val="en-GB"/>
        </w:rPr>
        <w:t xml:space="preserve">Justice promotes fairness and </w:t>
      </w:r>
      <w:r w:rsidRPr="6B75847A" w:rsidR="0C9AC423">
        <w:rPr>
          <w:rFonts w:ascii="Arial" w:hAnsi="Arial" w:eastAsia="Arial" w:cs="Arial"/>
          <w:noProof w:val="0"/>
          <w:color w:val="000000" w:themeColor="text1" w:themeTint="FF" w:themeShade="FF"/>
          <w:sz w:val="22"/>
          <w:szCs w:val="22"/>
          <w:lang w:val="en-GB"/>
        </w:rPr>
        <w:t>equitable</w:t>
      </w:r>
      <w:r w:rsidRPr="6B75847A" w:rsidR="0C9AC423">
        <w:rPr>
          <w:rFonts w:ascii="Arial" w:hAnsi="Arial" w:eastAsia="Arial" w:cs="Arial"/>
          <w:noProof w:val="0"/>
          <w:color w:val="000000" w:themeColor="text1" w:themeTint="FF" w:themeShade="FF"/>
          <w:sz w:val="22"/>
          <w:szCs w:val="22"/>
          <w:lang w:val="en-GB"/>
        </w:rPr>
        <w:t xml:space="preserve"> access to healthcare (Johnstone, 2019). For example, when intensive care beds are limited, professionals must prioritise patients according to clinical need while complying with legal and ethical standards, including the </w:t>
      </w:r>
      <w:r w:rsidRPr="6B75847A" w:rsidR="0C9AC423">
        <w:rPr>
          <w:rFonts w:ascii="Arial" w:hAnsi="Arial" w:eastAsia="Arial" w:cs="Arial"/>
          <w:b w:val="0"/>
          <w:bCs w:val="0"/>
          <w:noProof w:val="0"/>
          <w:color w:val="000000" w:themeColor="text1" w:themeTint="FF" w:themeShade="FF"/>
          <w:sz w:val="22"/>
          <w:szCs w:val="22"/>
          <w:lang w:val="en-GB"/>
        </w:rPr>
        <w:t>Equality Act 2010.</w:t>
      </w:r>
      <w:r w:rsidRPr="6B75847A" w:rsidR="49637B85">
        <w:rPr>
          <w:rFonts w:ascii="Arial" w:hAnsi="Arial" w:eastAsia="Arial" w:cs="Arial"/>
          <w:b w:val="0"/>
          <w:bCs w:val="0"/>
          <w:noProof w:val="0"/>
          <w:color w:val="000000" w:themeColor="text1" w:themeTint="FF" w:themeShade="FF"/>
          <w:sz w:val="22"/>
          <w:szCs w:val="22"/>
          <w:lang w:val="en-GB"/>
        </w:rPr>
        <w:t xml:space="preserve"> </w:t>
      </w:r>
      <w:r w:rsidRPr="6B75847A" w:rsidR="0C9AC423">
        <w:rPr>
          <w:rFonts w:ascii="Arial" w:hAnsi="Arial" w:eastAsia="Arial" w:cs="Arial"/>
          <w:noProof w:val="0"/>
          <w:color w:val="000000" w:themeColor="text1" w:themeTint="FF" w:themeShade="FF"/>
          <w:sz w:val="22"/>
          <w:szCs w:val="22"/>
          <w:lang w:val="en-GB"/>
        </w:rPr>
        <w:t xml:space="preserve">Applying these principles through effective communication, shared decision-making, professional standards, and regulatory accountability enables healthcare professionals to deliver safe, equitable, and person-centred care while </w:t>
      </w:r>
      <w:r w:rsidRPr="6B75847A" w:rsidR="0C9AC423">
        <w:rPr>
          <w:rFonts w:ascii="Arial" w:hAnsi="Arial" w:eastAsia="Arial" w:cs="Arial"/>
          <w:noProof w:val="0"/>
          <w:color w:val="000000" w:themeColor="text1" w:themeTint="FF" w:themeShade="FF"/>
          <w:sz w:val="22"/>
          <w:szCs w:val="22"/>
          <w:lang w:val="en-GB"/>
        </w:rPr>
        <w:t>maintaining</w:t>
      </w:r>
      <w:r w:rsidRPr="6B75847A" w:rsidR="0C9AC423">
        <w:rPr>
          <w:rFonts w:ascii="Arial" w:hAnsi="Arial" w:eastAsia="Arial" w:cs="Arial"/>
          <w:noProof w:val="0"/>
          <w:color w:val="000000" w:themeColor="text1" w:themeTint="FF" w:themeShade="FF"/>
          <w:sz w:val="22"/>
          <w:szCs w:val="22"/>
          <w:lang w:val="en-GB"/>
        </w:rPr>
        <w:t xml:space="preserve"> public trust.</w:t>
      </w:r>
    </w:p>
    <w:p w:rsidR="6B75847A" w:rsidP="6B75847A" w:rsidRDefault="6B75847A" w14:paraId="629FC301" w14:textId="3755473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p>
    <w:p w:rsidR="6B75847A" w:rsidP="6B75847A" w:rsidRDefault="6B75847A" w14:paraId="16BA4791" w14:textId="7E72C29D">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02E22C24" w14:textId="27BD4320">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07627201" w14:textId="373AA7E7">
      <w:pPr>
        <w:spacing w:line="360" w:lineRule="auto"/>
        <w:jc w:val="both"/>
        <w:rPr>
          <w:rFonts w:ascii="Arial" w:hAnsi="Arial" w:eastAsia="Arial" w:cs="Arial"/>
          <w:b w:val="0"/>
          <w:bCs w:val="0"/>
          <w:color w:val="000000" w:themeColor="text1" w:themeTint="FF" w:themeShade="FF"/>
          <w:sz w:val="22"/>
          <w:szCs w:val="22"/>
        </w:rPr>
      </w:pPr>
    </w:p>
    <w:p w:rsidR="38E26CD4" w:rsidP="38E26CD4" w:rsidRDefault="38E26CD4" w14:paraId="270ED5C7" w14:textId="378A8F07">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79750AE2" w14:textId="60C5B0A9">
      <w:pPr>
        <w:spacing w:line="360" w:lineRule="auto"/>
        <w:jc w:val="both"/>
        <w:rPr>
          <w:rFonts w:ascii="Arial" w:hAnsi="Arial" w:eastAsia="Arial" w:cs="Arial"/>
          <w:b w:val="0"/>
          <w:bCs w:val="0"/>
          <w:color w:val="000000" w:themeColor="text1" w:themeTint="FF" w:themeShade="FF"/>
          <w:sz w:val="22"/>
          <w:szCs w:val="22"/>
        </w:rPr>
      </w:pPr>
    </w:p>
    <w:p w:rsidR="6B75847A" w:rsidP="6B75847A" w:rsidRDefault="6B75847A" w14:paraId="28A282B8" w14:textId="23C4BE11">
      <w:pPr>
        <w:pStyle w:val="Normal"/>
        <w:spacing w:line="360" w:lineRule="auto"/>
        <w:jc w:val="both"/>
        <w:rPr>
          <w:rFonts w:ascii="Arial" w:hAnsi="Arial" w:eastAsia="Arial" w:cs="Arial"/>
          <w:b w:val="0"/>
          <w:bCs w:val="0"/>
          <w:color w:val="000000" w:themeColor="text1" w:themeTint="FF" w:themeShade="FF"/>
          <w:sz w:val="22"/>
          <w:szCs w:val="22"/>
        </w:rPr>
      </w:pPr>
    </w:p>
    <w:p w:rsidR="386531A8" w:rsidP="6B75847A" w:rsidRDefault="386531A8" w14:paraId="002C6CDE" w14:textId="390F936B">
      <w:pPr>
        <w:pStyle w:val="Heading2"/>
        <w:spacing w:before="299" w:beforeAutospacing="off" w:after="299" w:afterAutospacing="off" w:line="360" w:lineRule="auto"/>
        <w:jc w:val="both"/>
      </w:pPr>
      <w:r w:rsidRPr="6B75847A" w:rsidR="386531A8">
        <w:rPr>
          <w:rFonts w:ascii="Arial" w:hAnsi="Arial" w:eastAsia="Arial" w:cs="Arial"/>
          <w:b w:val="1"/>
          <w:bCs w:val="1"/>
          <w:noProof w:val="0"/>
          <w:color w:val="000000" w:themeColor="text1" w:themeTint="FF" w:themeShade="FF"/>
          <w:sz w:val="22"/>
          <w:szCs w:val="22"/>
          <w:lang w:val="en-GB"/>
        </w:rPr>
        <w:t>EVALUATION OF PARTNERSHIP WORKING IN HEALTH AND SOCIAL CARE</w:t>
      </w:r>
    </w:p>
    <w:p w:rsidR="1CB0E9B7" w:rsidP="6B75847A" w:rsidRDefault="1CB0E9B7" w14:paraId="7AB2E396" w14:textId="4891F3FD">
      <w:pPr>
        <w:pStyle w:val="Heading2"/>
        <w:spacing w:before="299" w:beforeAutospacing="off" w:after="299" w:afterAutospacing="off" w:line="360" w:lineRule="auto"/>
        <w:jc w:val="both"/>
        <w:rPr>
          <w:rFonts w:ascii="Arial" w:hAnsi="Arial" w:eastAsia="Arial" w:cs="Arial"/>
          <w:noProof w:val="0"/>
          <w:color w:val="000000" w:themeColor="text1" w:themeTint="FF" w:themeShade="FF"/>
          <w:sz w:val="22"/>
          <w:szCs w:val="22"/>
          <w:lang w:val="en-GB"/>
        </w:rPr>
      </w:pPr>
      <w:r w:rsidRPr="6B75847A" w:rsidR="1CB0E9B7">
        <w:rPr>
          <w:rFonts w:ascii="Arial" w:hAnsi="Arial" w:eastAsia="Arial" w:cs="Arial"/>
          <w:noProof w:val="0"/>
          <w:color w:val="000000" w:themeColor="text1" w:themeTint="FF" w:themeShade="FF"/>
          <w:sz w:val="22"/>
          <w:szCs w:val="22"/>
          <w:lang w:val="en-GB"/>
        </w:rPr>
        <w:t>Partnership Working (PW) is a collaborative approach in which healthcare professionals, patients, families, and organisations work together to deliver coordinated, person-centred care (Glasby and Dickinson, 2018). In hospitals, multidisciplinary teams, including doctors, nurses, physiotherapists, pharmacists, and social workers, collaborate to meet patients' physical, psychological, and social needs. The Health and Care Act 2022 strengthened this approach by introducing Integrated Care Systems (ICS), bringing together NHS organisations, social care providers, local authorities, and voluntary organisations to improve coordination, continuity of care, and population health outcomes (Department of Health and Social Care, 2022).</w:t>
      </w:r>
    </w:p>
    <w:p w:rsidR="1CB0E9B7" w:rsidP="6B75847A" w:rsidRDefault="1CB0E9B7" w14:paraId="677D7F50" w14:textId="12422A7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1CB0E9B7">
        <w:rPr>
          <w:rFonts w:ascii="Arial" w:hAnsi="Arial" w:eastAsia="Arial" w:cs="Arial"/>
          <w:noProof w:val="0"/>
          <w:color w:val="000000" w:themeColor="text1" w:themeTint="FF" w:themeShade="FF"/>
          <w:sz w:val="22"/>
          <w:szCs w:val="22"/>
          <w:lang w:val="en-GB"/>
        </w:rPr>
        <w:t>PW improves communication, coordinated care planning, reduces service duplication, and enhances patient outcomes (NHS England, 2023). For example, multidisciplinary discharge planning for older patients helps ensure appropriate community support, reducing hospital readmissions and promoting safer transitions between hospital and community care.</w:t>
      </w:r>
    </w:p>
    <w:p w:rsidR="1CB0E9B7" w:rsidP="6B75847A" w:rsidRDefault="1CB0E9B7" w14:paraId="491F1BB5" w14:textId="31C7199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1CB0E9B7">
        <w:rPr>
          <w:rFonts w:ascii="Arial" w:hAnsi="Arial" w:eastAsia="Arial" w:cs="Arial"/>
          <w:noProof w:val="0"/>
          <w:color w:val="000000" w:themeColor="text1" w:themeTint="FF" w:themeShade="FF"/>
          <w:sz w:val="22"/>
          <w:szCs w:val="22"/>
          <w:lang w:val="en-GB"/>
        </w:rPr>
        <w:t>However, effective partnership working is hindered by differences in professional roles, poor communication, and unclear responsibilities, which can delay decisions and affect care quality (Xyrichis and Lowton, 2020). A further challenge is the lack of interoperability between digital systems across hospitals, GP practices, and social care services. Poor information sharing can delay access to clinical records, duplicate assessments, increase medication errors, and fragment care, limiting the effectiveness of Integrated Care Systems (NHS England, 2023).</w:t>
      </w:r>
    </w:p>
    <w:p w:rsidR="1CB0E9B7" w:rsidP="6B75847A" w:rsidRDefault="1CB0E9B7" w14:paraId="56208047" w14:textId="4BB7DB6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1CB0E9B7">
        <w:rPr>
          <w:rFonts w:ascii="Arial" w:hAnsi="Arial" w:eastAsia="Arial" w:cs="Arial"/>
          <w:noProof w:val="0"/>
          <w:color w:val="000000" w:themeColor="text1" w:themeTint="FF" w:themeShade="FF"/>
          <w:sz w:val="22"/>
          <w:szCs w:val="22"/>
          <w:lang w:val="en-GB"/>
        </w:rPr>
        <w:t>Overall, Partnership Working enhances the quality, safety, and efficiency of healthcare by promoting coordinated, holistic care. Its success depends on effective communication, clearly defined roles, interoperable digital systems, and shared responsibility across organisations.</w:t>
      </w:r>
    </w:p>
    <w:p w:rsidR="1CB0E9B7" w:rsidP="6B75847A" w:rsidRDefault="1CB0E9B7" w14:paraId="6934E8A8" w14:textId="1BBDD7AC">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r w:rsidRPr="6B75847A" w:rsidR="1CB0E9B7">
        <w:rPr>
          <w:rFonts w:ascii="Arial" w:hAnsi="Arial" w:eastAsia="Arial" w:cs="Arial"/>
          <w:b w:val="1"/>
          <w:bCs w:val="1"/>
          <w:noProof w:val="0"/>
          <w:color w:val="000000" w:themeColor="text1" w:themeTint="FF" w:themeShade="FF"/>
          <w:sz w:val="22"/>
          <w:szCs w:val="22"/>
          <w:lang w:val="en-GB"/>
        </w:rPr>
        <w:t>POLICY AND LEGISLATION</w:t>
      </w:r>
    </w:p>
    <w:p w:rsidR="1CB0E9B7" w:rsidP="6B75847A" w:rsidRDefault="1CB0E9B7" w14:paraId="59C61CA1" w14:textId="2E167C58">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6B75847A" w:rsidR="1CB0E9B7">
        <w:rPr>
          <w:rFonts w:ascii="Arial" w:hAnsi="Arial" w:eastAsia="Arial" w:cs="Arial"/>
          <w:b w:val="0"/>
          <w:bCs w:val="0"/>
          <w:noProof w:val="0"/>
          <w:color w:val="000000" w:themeColor="text1" w:themeTint="FF" w:themeShade="FF"/>
          <w:sz w:val="22"/>
          <w:szCs w:val="22"/>
          <w:lang w:val="en-GB"/>
        </w:rPr>
        <w:t xml:space="preserve">UK legislation provides the framework for delivering Person-Centred Care (PCC) and Partnership Working (PW). The </w:t>
      </w:r>
      <w:r w:rsidRPr="6B75847A" w:rsidR="1CB0E9B7">
        <w:rPr>
          <w:rFonts w:ascii="Arial" w:hAnsi="Arial" w:eastAsia="Arial" w:cs="Arial"/>
          <w:b w:val="0"/>
          <w:bCs w:val="0"/>
          <w:noProof w:val="0"/>
          <w:color w:val="000000" w:themeColor="text1" w:themeTint="FF" w:themeShade="FF"/>
          <w:sz w:val="22"/>
          <w:szCs w:val="22"/>
          <w:lang w:val="en-GB"/>
        </w:rPr>
        <w:t>Care Act 2014</w:t>
      </w:r>
      <w:r w:rsidRPr="6B75847A" w:rsidR="1CB0E9B7">
        <w:rPr>
          <w:rFonts w:ascii="Arial" w:hAnsi="Arial" w:eastAsia="Arial" w:cs="Arial"/>
          <w:b w:val="0"/>
          <w:bCs w:val="0"/>
          <w:noProof w:val="0"/>
          <w:color w:val="000000" w:themeColor="text1" w:themeTint="FF" w:themeShade="FF"/>
          <w:sz w:val="22"/>
          <w:szCs w:val="22"/>
          <w:lang w:val="en-GB"/>
        </w:rPr>
        <w:t xml:space="preserve"> promotes wellbeing, personalised care, and collaboration between health and social care services (Department of Health and Social Care, 2014). The </w:t>
      </w:r>
      <w:r w:rsidRPr="6B75847A" w:rsidR="1CB0E9B7">
        <w:rPr>
          <w:rFonts w:ascii="Arial" w:hAnsi="Arial" w:eastAsia="Arial" w:cs="Arial"/>
          <w:b w:val="0"/>
          <w:bCs w:val="0"/>
          <w:noProof w:val="0"/>
          <w:color w:val="000000" w:themeColor="text1" w:themeTint="FF" w:themeShade="FF"/>
          <w:sz w:val="22"/>
          <w:szCs w:val="22"/>
          <w:lang w:val="en-GB"/>
        </w:rPr>
        <w:t>Health and Social Care Act 2012</w:t>
      </w:r>
      <w:r w:rsidRPr="6B75847A" w:rsidR="1CB0E9B7">
        <w:rPr>
          <w:rFonts w:ascii="Arial" w:hAnsi="Arial" w:eastAsia="Arial" w:cs="Arial"/>
          <w:b w:val="0"/>
          <w:bCs w:val="0"/>
          <w:noProof w:val="0"/>
          <w:color w:val="000000" w:themeColor="text1" w:themeTint="FF" w:themeShade="FF"/>
          <w:sz w:val="22"/>
          <w:szCs w:val="22"/>
          <w:lang w:val="en-GB"/>
        </w:rPr>
        <w:t xml:space="preserve"> supports patient involvement in decision-making and service integration (Department of Health, 2012), while the </w:t>
      </w:r>
      <w:r w:rsidRPr="6B75847A" w:rsidR="1CB0E9B7">
        <w:rPr>
          <w:rFonts w:ascii="Arial" w:hAnsi="Arial" w:eastAsia="Arial" w:cs="Arial"/>
          <w:b w:val="0"/>
          <w:bCs w:val="0"/>
          <w:noProof w:val="0"/>
          <w:color w:val="000000" w:themeColor="text1" w:themeTint="FF" w:themeShade="FF"/>
          <w:sz w:val="22"/>
          <w:szCs w:val="22"/>
          <w:lang w:val="en-GB"/>
        </w:rPr>
        <w:t>Health and Care Act 2022</w:t>
      </w:r>
      <w:r w:rsidRPr="6B75847A" w:rsidR="1CB0E9B7">
        <w:rPr>
          <w:rFonts w:ascii="Arial" w:hAnsi="Arial" w:eastAsia="Arial" w:cs="Arial"/>
          <w:b w:val="0"/>
          <w:bCs w:val="0"/>
          <w:noProof w:val="0"/>
          <w:color w:val="000000" w:themeColor="text1" w:themeTint="FF" w:themeShade="FF"/>
          <w:sz w:val="22"/>
          <w:szCs w:val="22"/>
          <w:lang w:val="en-GB"/>
        </w:rPr>
        <w:t xml:space="preserve"> established Integrated Care Systems to strengthen collaboration between NHS organisations, local authorities, and voluntary services (Department of Health and Social Care, 2022).</w:t>
      </w:r>
    </w:p>
    <w:p w:rsidR="1CB0E9B7" w:rsidP="6B75847A" w:rsidRDefault="1CB0E9B7" w14:paraId="48F1C322" w14:textId="55984998">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6B75847A" w:rsidR="1CB0E9B7">
        <w:rPr>
          <w:rFonts w:ascii="Arial" w:hAnsi="Arial" w:eastAsia="Arial" w:cs="Arial"/>
          <w:b w:val="0"/>
          <w:bCs w:val="0"/>
          <w:noProof w:val="0"/>
          <w:color w:val="000000" w:themeColor="text1" w:themeTint="FF" w:themeShade="FF"/>
          <w:sz w:val="22"/>
          <w:szCs w:val="22"/>
          <w:lang w:val="en-GB"/>
        </w:rPr>
        <w:t xml:space="preserve">The </w:t>
      </w:r>
      <w:r w:rsidRPr="6B75847A" w:rsidR="1CB0E9B7">
        <w:rPr>
          <w:rFonts w:ascii="Arial" w:hAnsi="Arial" w:eastAsia="Arial" w:cs="Arial"/>
          <w:b w:val="0"/>
          <w:bCs w:val="0"/>
          <w:noProof w:val="0"/>
          <w:color w:val="000000" w:themeColor="text1" w:themeTint="FF" w:themeShade="FF"/>
          <w:sz w:val="22"/>
          <w:szCs w:val="22"/>
          <w:lang w:val="en-GB"/>
        </w:rPr>
        <w:t>Equality Act 2010</w:t>
      </w:r>
      <w:r w:rsidRPr="6B75847A" w:rsidR="1CB0E9B7">
        <w:rPr>
          <w:rFonts w:ascii="Arial" w:hAnsi="Arial" w:eastAsia="Arial" w:cs="Arial"/>
          <w:b w:val="0"/>
          <w:bCs w:val="0"/>
          <w:noProof w:val="0"/>
          <w:color w:val="000000" w:themeColor="text1" w:themeTint="FF" w:themeShade="FF"/>
          <w:sz w:val="22"/>
          <w:szCs w:val="22"/>
          <w:lang w:val="en-GB"/>
        </w:rPr>
        <w:t xml:space="preserve"> and </w:t>
      </w:r>
      <w:r w:rsidRPr="6B75847A" w:rsidR="1CB0E9B7">
        <w:rPr>
          <w:rFonts w:ascii="Arial" w:hAnsi="Arial" w:eastAsia="Arial" w:cs="Arial"/>
          <w:b w:val="0"/>
          <w:bCs w:val="0"/>
          <w:noProof w:val="0"/>
          <w:color w:val="000000" w:themeColor="text1" w:themeTint="FF" w:themeShade="FF"/>
          <w:sz w:val="22"/>
          <w:szCs w:val="22"/>
          <w:lang w:val="en-GB"/>
        </w:rPr>
        <w:t>Human Rights Act 1998</w:t>
      </w:r>
      <w:r w:rsidRPr="6B75847A" w:rsidR="1CB0E9B7">
        <w:rPr>
          <w:rFonts w:ascii="Arial" w:hAnsi="Arial" w:eastAsia="Arial" w:cs="Arial"/>
          <w:b w:val="0"/>
          <w:bCs w:val="0"/>
          <w:noProof w:val="0"/>
          <w:color w:val="000000" w:themeColor="text1" w:themeTint="FF" w:themeShade="FF"/>
          <w:sz w:val="22"/>
          <w:szCs w:val="22"/>
          <w:lang w:val="en-GB"/>
        </w:rPr>
        <w:t xml:space="preserve"> protect patients from discrimination and uphold dignity, respect, and equal access to healthcare (Legislation.gov.uk, 2010). Together, these legislative frameworks promote safe, coordinated, and person-centred care by improving communication, accountability, and continuity of care. For example, Integrated Care Systems support effective discharge planning by enabling hospitals and community services to coordinate patient care and reduce delays.</w:t>
      </w:r>
    </w:p>
    <w:p w:rsidR="6B75847A" w:rsidP="6B75847A" w:rsidRDefault="6B75847A" w14:paraId="3E4F9FAF" w14:textId="18884B8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00EF9BC9" w14:textId="6996B9C5">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591A4DED" w14:textId="4A5D94C9">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25606B0F" w14:textId="2913F517">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2D56CF3C" w14:textId="1580D986">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5EBB371D" w14:textId="1BFCB00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797DE0B6" w14:textId="04F027FB">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B75847A" w:rsidP="6B75847A" w:rsidRDefault="6B75847A" w14:paraId="6F393B42" w14:textId="652A3181">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B75847A" w:rsidP="6B75847A" w:rsidRDefault="6B75847A" w14:paraId="710823B4" w14:textId="0F2E37DF">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D50C80B" w:rsidP="6B75847A" w:rsidRDefault="6D50C80B" w14:paraId="62A3BA59" w14:textId="7216643E">
      <w:pPr>
        <w:pStyle w:val="Heading3"/>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6B75847A" w:rsidR="7000B268">
        <w:rPr>
          <w:rFonts w:ascii="Arial" w:hAnsi="Arial" w:eastAsia="Arial" w:cs="Arial"/>
          <w:b w:val="1"/>
          <w:bCs w:val="1"/>
          <w:noProof w:val="0"/>
          <w:color w:val="000000" w:themeColor="text1" w:themeTint="FF" w:themeShade="FF"/>
          <w:sz w:val="22"/>
          <w:szCs w:val="22"/>
          <w:lang w:val="en-GB"/>
        </w:rPr>
        <w:t>RECOMMENDATIONS FOR FUTURE DEVELOPMENT OF PERSON-CENTRED CARE AND PARTNERSHIP WORKING IN THE UK</w:t>
      </w:r>
    </w:p>
    <w:p w:rsidR="16984B5C" w:rsidP="6B75847A" w:rsidRDefault="16984B5C" w14:paraId="5C58D86B" w14:textId="302FCFC5">
      <w:pPr>
        <w:spacing w:before="240" w:beforeAutospacing="off" w:after="240" w:afterAutospacing="off" w:line="360" w:lineRule="auto"/>
        <w:jc w:val="both"/>
      </w:pPr>
      <w:r w:rsidRPr="6B75847A" w:rsidR="16984B5C">
        <w:rPr>
          <w:rFonts w:ascii="Arial" w:hAnsi="Arial" w:eastAsia="Arial" w:cs="Arial"/>
          <w:noProof w:val="0"/>
          <w:sz w:val="22"/>
          <w:szCs w:val="22"/>
          <w:lang w:val="en-GB"/>
        </w:rPr>
        <w:t>Although Person-Centred Care (PCC) and Partnership Working (PW) have significantly improved healthcare delivery in the UK, further development is needed to address communication failures, workforce shortages, fragmented services, and inconsistent patient involvement. Strengthening these areas would improve the quality, safety, and continuity of care.</w:t>
      </w:r>
    </w:p>
    <w:p w:rsidR="16984B5C" w:rsidP="6B75847A" w:rsidRDefault="16984B5C" w14:paraId="72951421" w14:textId="016F627D">
      <w:pPr>
        <w:spacing w:before="240" w:beforeAutospacing="off" w:after="240" w:afterAutospacing="off" w:line="360" w:lineRule="auto"/>
        <w:jc w:val="both"/>
      </w:pPr>
      <w:r w:rsidRPr="6B75847A" w:rsidR="16984B5C">
        <w:rPr>
          <w:rFonts w:ascii="Arial" w:hAnsi="Arial" w:eastAsia="Arial" w:cs="Arial"/>
          <w:noProof w:val="0"/>
          <w:sz w:val="22"/>
          <w:szCs w:val="22"/>
          <w:lang w:val="en-GB"/>
        </w:rPr>
        <w:t>One key recommendation is to expand integrated digital technologies that enable secure information sharing between hospitals, primary care, social care, and community services. Interoperable electronic health records would improve communication, reduce duplicated assessments, minimise medication errors, and support timely discharge planning (NHS England, 2023). However, implementation requires investment, robust cybersecurity, and staff training.</w:t>
      </w:r>
    </w:p>
    <w:p w:rsidR="16984B5C" w:rsidP="6B75847A" w:rsidRDefault="16984B5C" w14:paraId="7A74998F" w14:textId="36950317">
      <w:pPr>
        <w:spacing w:before="240" w:beforeAutospacing="off" w:after="240" w:afterAutospacing="off" w:line="360" w:lineRule="auto"/>
        <w:jc w:val="both"/>
      </w:pPr>
      <w:r w:rsidRPr="6B75847A" w:rsidR="16984B5C">
        <w:rPr>
          <w:rFonts w:ascii="Arial" w:hAnsi="Arial" w:eastAsia="Arial" w:cs="Arial"/>
          <w:noProof w:val="0"/>
          <w:sz w:val="22"/>
          <w:szCs w:val="22"/>
          <w:lang w:val="en-GB"/>
        </w:rPr>
        <w:t>A further recommendation is to provide continuous interprofessional education to develop communication, leadership, cultural competence, and collaborative decision-making skills. Regular multidisciplinary training can strengthen teamwork and person-centred practice (World Health Organization, 2010). However, workforce shortages, limited funding, and heavy workloads may restrict staff development opportunities.</w:t>
      </w:r>
    </w:p>
    <w:p w:rsidR="16984B5C" w:rsidP="6B75847A" w:rsidRDefault="16984B5C" w14:paraId="345596A9" w14:textId="6D2A2B4E">
      <w:pPr>
        <w:spacing w:before="240" w:beforeAutospacing="off" w:after="240" w:afterAutospacing="off" w:line="360" w:lineRule="auto"/>
        <w:jc w:val="both"/>
      </w:pPr>
      <w:r w:rsidRPr="6B75847A" w:rsidR="16984B5C">
        <w:rPr>
          <w:rFonts w:ascii="Arial" w:hAnsi="Arial" w:eastAsia="Arial" w:cs="Arial"/>
          <w:noProof w:val="0"/>
          <w:sz w:val="22"/>
          <w:szCs w:val="22"/>
          <w:lang w:val="en-GB"/>
        </w:rPr>
        <w:t xml:space="preserve">Greater involvement of patients, families, and carers in care planning should also be prioritised. Shared decision-making ensures care reflects patients' preferences, values, and cultural needs, improving satisfaction and health outcomes (Coulter </w:t>
      </w:r>
      <w:r w:rsidRPr="6B75847A" w:rsidR="16984B5C">
        <w:rPr>
          <w:rFonts w:ascii="Arial" w:hAnsi="Arial" w:eastAsia="Arial" w:cs="Arial"/>
          <w:i w:val="1"/>
          <w:iCs w:val="1"/>
          <w:noProof w:val="0"/>
          <w:sz w:val="22"/>
          <w:szCs w:val="22"/>
          <w:lang w:val="en-GB"/>
        </w:rPr>
        <w:t>et al</w:t>
      </w:r>
      <w:r w:rsidRPr="6B75847A" w:rsidR="16984B5C">
        <w:rPr>
          <w:rFonts w:ascii="Arial" w:hAnsi="Arial" w:eastAsia="Arial" w:cs="Arial"/>
          <w:noProof w:val="0"/>
          <w:sz w:val="22"/>
          <w:szCs w:val="22"/>
          <w:lang w:val="en-GB"/>
        </w:rPr>
        <w:t>., 2015). However, time pressures, language barriers, and low health literacy may limit participation, highlighting the need for accessible information and interpreter services.</w:t>
      </w:r>
    </w:p>
    <w:p w:rsidR="16984B5C" w:rsidP="6B75847A" w:rsidRDefault="16984B5C" w14:paraId="6A146CA3" w14:textId="0260EEF0">
      <w:pPr>
        <w:spacing w:before="240" w:beforeAutospacing="off" w:after="240" w:afterAutospacing="off" w:line="360" w:lineRule="auto"/>
        <w:jc w:val="both"/>
      </w:pPr>
      <w:r w:rsidRPr="6B75847A" w:rsidR="16984B5C">
        <w:rPr>
          <w:rFonts w:ascii="Arial" w:hAnsi="Arial" w:eastAsia="Arial" w:cs="Arial"/>
          <w:noProof w:val="0"/>
          <w:sz w:val="22"/>
          <w:szCs w:val="22"/>
          <w:lang w:val="en-GB"/>
        </w:rPr>
        <w:t>Finally, policymakers should continue strengthening Integrated Care Systems (ICS) by promoting collaboration between NHS organisations, local authorities, voluntary organisations, and social care providers. Continued research, sustained investment, and strong leadership are essential to overcome organisational and funding challenges and achieve integrated, person-centred healthcare across the UK.</w:t>
      </w:r>
    </w:p>
    <w:p w:rsidR="6B75847A" w:rsidP="6B75847A" w:rsidRDefault="6B75847A" w14:paraId="0D5B697C" w14:textId="4F34ACC5">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187EFCD6" w14:textId="05473217">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5AF2C575" w14:textId="034B1E97">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4AE6403D" w14:textId="61175C00">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04A61870" w14:textId="0AB45612">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57711BB" w:rsidP="6B75847A" w:rsidRDefault="357711BB" w14:paraId="463162F1" w14:textId="5169B69C">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2FC13FFB" w14:textId="4128919E">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38453E21" w14:textId="642F91A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6693BBD3" w14:textId="3468ECF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024096FC" w14:textId="5611A224">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167498B7" w14:textId="14D0B48C">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05A69AC5" w14:textId="44ACE1D8">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3BD2AABE" w14:textId="5BFB9B74">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13ED1E02" w14:textId="024BC624">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4BDADBFD" w14:textId="68CC264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1AF26601" w14:textId="2CE7759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550033B5" w14:textId="3C2FB76B">
      <w:pPr>
        <w:pStyle w:val="Normal"/>
        <w:spacing w:line="360" w:lineRule="auto"/>
        <w:rPr>
          <w:rFonts w:ascii="Arial" w:hAnsi="Arial" w:eastAsia="Arial" w:cs="Arial"/>
          <w:noProof w:val="0"/>
          <w:color w:val="000000" w:themeColor="text1" w:themeTint="FF" w:themeShade="FF"/>
          <w:sz w:val="22"/>
          <w:szCs w:val="22"/>
          <w:lang w:val="en-GB"/>
        </w:rPr>
      </w:pPr>
    </w:p>
    <w:p w:rsidR="357711BB" w:rsidP="6B75847A" w:rsidRDefault="357711BB" w14:paraId="2E9FDEA8" w14:textId="2FB6626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p>
    <w:p w:rsidR="357711BB" w:rsidP="6B75847A" w:rsidRDefault="357711BB" w14:paraId="364EDF44" w14:textId="1CC207BD">
      <w:pPr>
        <w:pStyle w:val="Normal"/>
        <w:rPr>
          <w:noProof w:val="0"/>
          <w:lang w:val="en-GB"/>
        </w:rPr>
      </w:pPr>
    </w:p>
    <w:p w:rsidR="357711BB" w:rsidP="6B75847A" w:rsidRDefault="357711BB" w14:paraId="61CC9B6A" w14:textId="6530F55A">
      <w:pPr>
        <w:pStyle w:val="Normal"/>
        <w:rPr>
          <w:noProof w:val="0"/>
          <w:lang w:val="en-GB"/>
        </w:rPr>
      </w:pPr>
    </w:p>
    <w:p w:rsidR="357711BB" w:rsidP="6B75847A" w:rsidRDefault="357711BB" w14:paraId="43E07628" w14:textId="56FD76EE">
      <w:pPr>
        <w:pStyle w:val="Normal"/>
        <w:rPr>
          <w:noProof w:val="0"/>
          <w:lang w:val="en-GB"/>
        </w:rPr>
      </w:pPr>
    </w:p>
    <w:p w:rsidR="357711BB" w:rsidP="6B75847A" w:rsidRDefault="357711BB" w14:paraId="722A15EB" w14:textId="64C403B5">
      <w:pPr>
        <w:pStyle w:val="Normal"/>
        <w:rPr>
          <w:noProof w:val="0"/>
          <w:lang w:val="en-GB"/>
        </w:rPr>
      </w:pPr>
    </w:p>
    <w:p w:rsidR="357711BB" w:rsidP="38E26CD4" w:rsidRDefault="357711BB" w14:paraId="2EF861E6" w14:textId="4EE49D2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6B75847A" w:rsidR="48E75E62">
        <w:rPr>
          <w:rFonts w:ascii="Arial" w:hAnsi="Arial" w:eastAsia="Arial" w:cs="Arial"/>
          <w:b w:val="1"/>
          <w:bCs w:val="1"/>
          <w:noProof w:val="0"/>
          <w:color w:val="000000" w:themeColor="text1" w:themeTint="FF" w:themeShade="FF"/>
          <w:sz w:val="22"/>
          <w:szCs w:val="22"/>
          <w:lang w:val="en-GB"/>
        </w:rPr>
        <w:t>CONCLUSION</w:t>
      </w:r>
    </w:p>
    <w:p w:rsidR="357711BB" w:rsidP="38E26CD4" w:rsidRDefault="357711BB" w14:paraId="61D732B8" w14:textId="636635D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6B75847A" w:rsidR="48E75E62">
        <w:rPr>
          <w:rFonts w:ascii="Arial" w:hAnsi="Arial" w:eastAsia="Arial" w:cs="Arial"/>
          <w:b w:val="0"/>
          <w:bCs w:val="0"/>
          <w:noProof w:val="0"/>
          <w:color w:val="000000" w:themeColor="text1" w:themeTint="FF" w:themeShade="FF"/>
          <w:sz w:val="22"/>
          <w:szCs w:val="22"/>
          <w:lang w:val="en-GB"/>
        </w:rPr>
        <w:t xml:space="preserve">This report explored the importance of Person-Centred Care (PCC) and Partnership Working (PW) in improving healthcare delivery within a hospital setting. It examined the principles, benefits, and limitations of PCC, the role of the </w:t>
      </w:r>
      <w:r w:rsidRPr="6B75847A" w:rsidR="48E75E62">
        <w:rPr>
          <w:rFonts w:ascii="Arial" w:hAnsi="Arial" w:eastAsia="Arial" w:cs="Arial"/>
          <w:b w:val="0"/>
          <w:bCs w:val="0"/>
          <w:noProof w:val="0"/>
          <w:color w:val="000000" w:themeColor="text1" w:themeTint="FF" w:themeShade="FF"/>
          <w:sz w:val="22"/>
          <w:szCs w:val="22"/>
          <w:lang w:val="en-GB"/>
        </w:rPr>
        <w:t>Biopsychosocial Model</w:t>
      </w:r>
      <w:r w:rsidRPr="6B75847A" w:rsidR="48E75E62">
        <w:rPr>
          <w:rFonts w:ascii="Arial" w:hAnsi="Arial" w:eastAsia="Arial" w:cs="Arial"/>
          <w:b w:val="0"/>
          <w:bCs w:val="0"/>
          <w:noProof w:val="0"/>
          <w:color w:val="000000" w:themeColor="text1" w:themeTint="FF" w:themeShade="FF"/>
          <w:sz w:val="22"/>
          <w:szCs w:val="22"/>
          <w:lang w:val="en-GB"/>
        </w:rPr>
        <w:t>, the ethical principles underpinning practice, the value of partnership working, and the influence of UK policies and legislation.</w:t>
      </w:r>
      <w:r w:rsidRPr="6B75847A" w:rsidR="5FA8C31D">
        <w:rPr>
          <w:rFonts w:ascii="Arial" w:hAnsi="Arial" w:eastAsia="Arial" w:cs="Arial"/>
          <w:b w:val="0"/>
          <w:bCs w:val="0"/>
          <w:noProof w:val="0"/>
          <w:color w:val="000000" w:themeColor="text1" w:themeTint="FF" w:themeShade="FF"/>
          <w:sz w:val="22"/>
          <w:szCs w:val="22"/>
          <w:lang w:val="en-GB"/>
        </w:rPr>
        <w:t xml:space="preserve"> </w:t>
      </w:r>
      <w:r w:rsidRPr="6B75847A" w:rsidR="48E75E62">
        <w:rPr>
          <w:rFonts w:ascii="Arial" w:hAnsi="Arial" w:eastAsia="Arial" w:cs="Arial"/>
          <w:b w:val="0"/>
          <w:bCs w:val="0"/>
          <w:noProof w:val="0"/>
          <w:color w:val="000000" w:themeColor="text1" w:themeTint="FF" w:themeShade="FF"/>
          <w:sz w:val="22"/>
          <w:szCs w:val="22"/>
          <w:lang w:val="en-GB"/>
        </w:rPr>
        <w:t xml:space="preserve">The report found that PCC and PW improve patient experiences, safety, and health outcomes through collaborative, holistic, and respectful care. However, challenges such as communication barriers, workforce shortages, and resource limitations </w:t>
      </w:r>
      <w:r w:rsidRPr="6B75847A" w:rsidR="48E75E62">
        <w:rPr>
          <w:rFonts w:ascii="Arial" w:hAnsi="Arial" w:eastAsia="Arial" w:cs="Arial"/>
          <w:b w:val="0"/>
          <w:bCs w:val="0"/>
          <w:noProof w:val="0"/>
          <w:color w:val="000000" w:themeColor="text1" w:themeTint="FF" w:themeShade="FF"/>
          <w:sz w:val="22"/>
          <w:szCs w:val="22"/>
          <w:lang w:val="en-GB"/>
        </w:rPr>
        <w:t>remain</w:t>
      </w:r>
      <w:r w:rsidRPr="6B75847A" w:rsidR="48E75E62">
        <w:rPr>
          <w:rFonts w:ascii="Arial" w:hAnsi="Arial" w:eastAsia="Arial" w:cs="Arial"/>
          <w:b w:val="0"/>
          <w:bCs w:val="0"/>
          <w:noProof w:val="0"/>
          <w:color w:val="000000" w:themeColor="text1" w:themeTint="FF" w:themeShade="FF"/>
          <w:sz w:val="22"/>
          <w:szCs w:val="22"/>
          <w:lang w:val="en-GB"/>
        </w:rPr>
        <w:t>. To strengthen future practice, greater investment in integrated technology, interprofessional training, patient involvement, and collaborative partnerships is recommended. These developments will support more effective, coordinated, and person-centred health and social care across the UK.</w:t>
      </w:r>
    </w:p>
    <w:p w:rsidR="38E26CD4" w:rsidP="38E26CD4" w:rsidRDefault="38E26CD4" w14:paraId="38E65ECB" w14:textId="3582E26C">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00628C78" w14:textId="705128D8">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119AEB56" w14:textId="36BAC87E">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4BE7F4AB" w14:textId="1C7E4209">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467C63FA" w14:textId="08DAA205">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58603258" w14:textId="104C64D1">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3EE5BDF8" w14:textId="3E52FDC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B75847A" w:rsidP="6B75847A" w:rsidRDefault="6B75847A" w14:paraId="03A5048B" w14:textId="4DCB171C">
      <w:pPr>
        <w:pStyle w:val="Heading1"/>
        <w:spacing w:before="322" w:beforeAutospacing="off" w:after="322"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353A5ABC" w14:textId="15DB3BEA">
      <w:pPr>
        <w:pStyle w:val="Heading1"/>
        <w:spacing w:before="322" w:beforeAutospacing="off" w:after="322"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62D50CA9" w14:textId="58EF7538">
      <w:pPr>
        <w:pStyle w:val="Heading1"/>
        <w:spacing w:before="322" w:beforeAutospacing="off" w:after="322" w:afterAutospacing="off" w:line="360" w:lineRule="auto"/>
        <w:jc w:val="both"/>
        <w:rPr>
          <w:rFonts w:ascii="Arial" w:hAnsi="Arial" w:eastAsia="Arial" w:cs="Arial"/>
          <w:b w:val="1"/>
          <w:bCs w:val="1"/>
          <w:noProof w:val="0"/>
          <w:color w:val="000000" w:themeColor="text1" w:themeTint="FF" w:themeShade="FF"/>
          <w:sz w:val="22"/>
          <w:szCs w:val="22"/>
          <w:lang w:val="en-GB"/>
        </w:rPr>
      </w:pPr>
    </w:p>
    <w:p w:rsidR="6B75847A" w:rsidP="6B75847A" w:rsidRDefault="6B75847A" w14:paraId="385D7C34" w14:textId="06454317">
      <w:pPr>
        <w:pStyle w:val="Normal"/>
        <w:spacing w:line="360" w:lineRule="auto"/>
        <w:rPr>
          <w:rFonts w:ascii="Arial" w:hAnsi="Arial" w:eastAsia="Arial" w:cs="Arial"/>
          <w:noProof w:val="0"/>
          <w:color w:val="000000" w:themeColor="text1" w:themeTint="FF" w:themeShade="FF"/>
          <w:sz w:val="22"/>
          <w:szCs w:val="22"/>
          <w:lang w:val="en-GB"/>
        </w:rPr>
      </w:pPr>
    </w:p>
    <w:p w:rsidR="39F78AF4" w:rsidP="6B75847A" w:rsidRDefault="39F78AF4" w14:paraId="18F58AC6" w14:textId="672A6B4F">
      <w:pPr>
        <w:pStyle w:val="Heading1"/>
        <w:spacing w:before="322" w:beforeAutospacing="off" w:after="322" w:afterAutospacing="off" w:line="360" w:lineRule="auto"/>
        <w:jc w:val="both"/>
        <w:rPr>
          <w:rFonts w:ascii="Arial" w:hAnsi="Arial" w:eastAsia="Arial" w:cs="Arial"/>
          <w:b w:val="1"/>
          <w:bCs w:val="1"/>
          <w:noProof w:val="0"/>
          <w:color w:val="000000" w:themeColor="text1" w:themeTint="FF" w:themeShade="FF"/>
          <w:sz w:val="22"/>
          <w:szCs w:val="22"/>
          <w:lang w:val="en-GB"/>
        </w:rPr>
      </w:pPr>
      <w:r w:rsidRPr="6B75847A" w:rsidR="39F78AF4">
        <w:rPr>
          <w:rFonts w:ascii="Arial" w:hAnsi="Arial" w:eastAsia="Arial" w:cs="Arial"/>
          <w:b w:val="1"/>
          <w:bCs w:val="1"/>
          <w:noProof w:val="0"/>
          <w:color w:val="000000" w:themeColor="text1" w:themeTint="FF" w:themeShade="FF"/>
          <w:sz w:val="22"/>
          <w:szCs w:val="22"/>
          <w:lang w:val="en-GB"/>
        </w:rPr>
        <w:t>REFERENCE LIST</w:t>
      </w:r>
    </w:p>
    <w:p w:rsidR="39F78AF4" w:rsidP="6B75847A" w:rsidRDefault="39F78AF4" w14:paraId="458C23E1" w14:textId="36210C1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Beauchamp, T.L. and Childress, J.F. (2019) </w:t>
      </w:r>
      <w:r w:rsidRPr="6B75847A" w:rsidR="39F78AF4">
        <w:rPr>
          <w:rFonts w:ascii="Arial" w:hAnsi="Arial" w:eastAsia="Arial" w:cs="Arial"/>
          <w:i w:val="1"/>
          <w:iCs w:val="1"/>
          <w:noProof w:val="0"/>
          <w:color w:val="000000" w:themeColor="text1" w:themeTint="FF" w:themeShade="FF"/>
          <w:sz w:val="22"/>
          <w:szCs w:val="22"/>
          <w:lang w:val="en-GB"/>
        </w:rPr>
        <w:t>Principles of Biomedical Ethics</w:t>
      </w:r>
      <w:r w:rsidRPr="6B75847A" w:rsidR="39F78AF4">
        <w:rPr>
          <w:rFonts w:ascii="Arial" w:hAnsi="Arial" w:eastAsia="Arial" w:cs="Arial"/>
          <w:noProof w:val="0"/>
          <w:color w:val="000000" w:themeColor="text1" w:themeTint="FF" w:themeShade="FF"/>
          <w:sz w:val="22"/>
          <w:szCs w:val="22"/>
          <w:lang w:val="en-GB"/>
        </w:rPr>
        <w:t>. 8th edn. New York: Oxford University Press.</w:t>
      </w:r>
    </w:p>
    <w:p w:rsidR="39F78AF4" w:rsidP="6B75847A" w:rsidRDefault="39F78AF4" w14:paraId="7B75110A" w14:textId="2D01912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Cherry, B. and Jacob, S.R. (2019) </w:t>
      </w:r>
      <w:r w:rsidRPr="6B75847A" w:rsidR="39F78AF4">
        <w:rPr>
          <w:rFonts w:ascii="Arial" w:hAnsi="Arial" w:eastAsia="Arial" w:cs="Arial"/>
          <w:i w:val="1"/>
          <w:iCs w:val="1"/>
          <w:noProof w:val="0"/>
          <w:color w:val="000000" w:themeColor="text1" w:themeTint="FF" w:themeShade="FF"/>
          <w:sz w:val="22"/>
          <w:szCs w:val="22"/>
          <w:lang w:val="en-GB"/>
        </w:rPr>
        <w:t>Contemporary Nursing: Issues, Trends, and Management</w:t>
      </w:r>
      <w:r w:rsidRPr="6B75847A" w:rsidR="39F78AF4">
        <w:rPr>
          <w:rFonts w:ascii="Arial" w:hAnsi="Arial" w:eastAsia="Arial" w:cs="Arial"/>
          <w:noProof w:val="0"/>
          <w:color w:val="000000" w:themeColor="text1" w:themeTint="FF" w:themeShade="FF"/>
          <w:sz w:val="22"/>
          <w:szCs w:val="22"/>
          <w:lang w:val="en-GB"/>
        </w:rPr>
        <w:t>. 8th edn. St. Louis, MO: Elsevier.</w:t>
      </w:r>
    </w:p>
    <w:p w:rsidR="39F78AF4" w:rsidP="6B75847A" w:rsidRDefault="39F78AF4" w14:paraId="078615C9" w14:textId="7EEF3F5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Coulter, A., Entwistle, V.A. and Eccles, A. (2015) 'Personalised care planning for adults with chronic or long-term health conditions', </w:t>
      </w:r>
      <w:r w:rsidRPr="6B75847A" w:rsidR="39F78AF4">
        <w:rPr>
          <w:rFonts w:ascii="Arial" w:hAnsi="Arial" w:eastAsia="Arial" w:cs="Arial"/>
          <w:i w:val="1"/>
          <w:iCs w:val="1"/>
          <w:noProof w:val="0"/>
          <w:color w:val="000000" w:themeColor="text1" w:themeTint="FF" w:themeShade="FF"/>
          <w:sz w:val="22"/>
          <w:szCs w:val="22"/>
          <w:lang w:val="en-GB"/>
        </w:rPr>
        <w:t>Cochrane Database of Systematic Reviews</w:t>
      </w:r>
      <w:r w:rsidRPr="6B75847A" w:rsidR="39F78AF4">
        <w:rPr>
          <w:rFonts w:ascii="Arial" w:hAnsi="Arial" w:eastAsia="Arial" w:cs="Arial"/>
          <w:noProof w:val="0"/>
          <w:color w:val="000000" w:themeColor="text1" w:themeTint="FF" w:themeShade="FF"/>
          <w:sz w:val="22"/>
          <w:szCs w:val="22"/>
          <w:lang w:val="en-GB"/>
        </w:rPr>
        <w:t>, 3, CD010523.</w:t>
      </w:r>
    </w:p>
    <w:p w:rsidR="39F78AF4" w:rsidP="6B75847A" w:rsidRDefault="39F78AF4" w14:paraId="2E9C1377" w14:textId="5538574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Department of Health (2012) </w:t>
      </w:r>
      <w:r w:rsidRPr="6B75847A" w:rsidR="39F78AF4">
        <w:rPr>
          <w:rFonts w:ascii="Arial" w:hAnsi="Arial" w:eastAsia="Arial" w:cs="Arial"/>
          <w:i w:val="1"/>
          <w:iCs w:val="1"/>
          <w:noProof w:val="0"/>
          <w:color w:val="000000" w:themeColor="text1" w:themeTint="FF" w:themeShade="FF"/>
          <w:sz w:val="22"/>
          <w:szCs w:val="22"/>
          <w:lang w:val="en-GB"/>
        </w:rPr>
        <w:t>Health and Social Care Act 2012</w:t>
      </w:r>
      <w:r w:rsidRPr="6B75847A" w:rsidR="39F78AF4">
        <w:rPr>
          <w:rFonts w:ascii="Arial" w:hAnsi="Arial" w:eastAsia="Arial" w:cs="Arial"/>
          <w:noProof w:val="0"/>
          <w:color w:val="000000" w:themeColor="text1" w:themeTint="FF" w:themeShade="FF"/>
          <w:sz w:val="22"/>
          <w:szCs w:val="22"/>
          <w:lang w:val="en-GB"/>
        </w:rPr>
        <w:t>. London: The Stationery Office.</w:t>
      </w:r>
    </w:p>
    <w:p w:rsidR="39F78AF4" w:rsidP="6B75847A" w:rsidRDefault="39F78AF4" w14:paraId="341D469E" w14:textId="1F6A1BE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Department of Health and Social Care (2014) </w:t>
      </w:r>
      <w:r w:rsidRPr="6B75847A" w:rsidR="39F78AF4">
        <w:rPr>
          <w:rFonts w:ascii="Arial" w:hAnsi="Arial" w:eastAsia="Arial" w:cs="Arial"/>
          <w:i w:val="1"/>
          <w:iCs w:val="1"/>
          <w:noProof w:val="0"/>
          <w:color w:val="000000" w:themeColor="text1" w:themeTint="FF" w:themeShade="FF"/>
          <w:sz w:val="22"/>
          <w:szCs w:val="22"/>
          <w:lang w:val="en-GB"/>
        </w:rPr>
        <w:t>Care Act 2014</w:t>
      </w:r>
      <w:r w:rsidRPr="6B75847A" w:rsidR="39F78AF4">
        <w:rPr>
          <w:rFonts w:ascii="Arial" w:hAnsi="Arial" w:eastAsia="Arial" w:cs="Arial"/>
          <w:noProof w:val="0"/>
          <w:color w:val="000000" w:themeColor="text1" w:themeTint="FF" w:themeShade="FF"/>
          <w:sz w:val="22"/>
          <w:szCs w:val="22"/>
          <w:lang w:val="en-GB"/>
        </w:rPr>
        <w:t>. London: The Stationery Office.</w:t>
      </w:r>
    </w:p>
    <w:p w:rsidR="39F78AF4" w:rsidP="6B75847A" w:rsidRDefault="39F78AF4" w14:paraId="5E7BE557" w14:textId="521600F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Department of Health and Social Care (2022) </w:t>
      </w:r>
      <w:r w:rsidRPr="6B75847A" w:rsidR="39F78AF4">
        <w:rPr>
          <w:rFonts w:ascii="Arial" w:hAnsi="Arial" w:eastAsia="Arial" w:cs="Arial"/>
          <w:i w:val="1"/>
          <w:iCs w:val="1"/>
          <w:noProof w:val="0"/>
          <w:color w:val="000000" w:themeColor="text1" w:themeTint="FF" w:themeShade="FF"/>
          <w:sz w:val="22"/>
          <w:szCs w:val="22"/>
          <w:lang w:val="en-GB"/>
        </w:rPr>
        <w:t>Health and Care Act 2022</w:t>
      </w:r>
      <w:r w:rsidRPr="6B75847A" w:rsidR="39F78AF4">
        <w:rPr>
          <w:rFonts w:ascii="Arial" w:hAnsi="Arial" w:eastAsia="Arial" w:cs="Arial"/>
          <w:noProof w:val="0"/>
          <w:color w:val="000000" w:themeColor="text1" w:themeTint="FF" w:themeShade="FF"/>
          <w:sz w:val="22"/>
          <w:szCs w:val="22"/>
          <w:lang w:val="en-GB"/>
        </w:rPr>
        <w:t>. London: The Stationery Office.</w:t>
      </w:r>
    </w:p>
    <w:p w:rsidR="39F78AF4" w:rsidP="6B75847A" w:rsidRDefault="39F78AF4" w14:paraId="61444ADB" w14:textId="30627B9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Glasby, J. and Dickinson, H. (2018) </w:t>
      </w:r>
      <w:r w:rsidRPr="6B75847A" w:rsidR="39F78AF4">
        <w:rPr>
          <w:rFonts w:ascii="Arial" w:hAnsi="Arial" w:eastAsia="Arial" w:cs="Arial"/>
          <w:i w:val="1"/>
          <w:iCs w:val="1"/>
          <w:noProof w:val="0"/>
          <w:color w:val="000000" w:themeColor="text1" w:themeTint="FF" w:themeShade="FF"/>
          <w:sz w:val="22"/>
          <w:szCs w:val="22"/>
          <w:lang w:val="en-GB"/>
        </w:rPr>
        <w:t>Partnership Working in Health and Social Care</w:t>
      </w:r>
      <w:r w:rsidRPr="6B75847A" w:rsidR="39F78AF4">
        <w:rPr>
          <w:rFonts w:ascii="Arial" w:hAnsi="Arial" w:eastAsia="Arial" w:cs="Arial"/>
          <w:noProof w:val="0"/>
          <w:color w:val="000000" w:themeColor="text1" w:themeTint="FF" w:themeShade="FF"/>
          <w:sz w:val="22"/>
          <w:szCs w:val="22"/>
          <w:lang w:val="en-GB"/>
        </w:rPr>
        <w:t>. 2nd edn. Bristol: Policy Press.</w:t>
      </w:r>
    </w:p>
    <w:p w:rsidR="39F78AF4" w:rsidP="6B75847A" w:rsidRDefault="39F78AF4" w14:paraId="04F54738" w14:textId="22FC483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Health Foundation (2016) </w:t>
      </w:r>
      <w:r w:rsidRPr="6B75847A" w:rsidR="39F78AF4">
        <w:rPr>
          <w:rFonts w:ascii="Arial" w:hAnsi="Arial" w:eastAsia="Arial" w:cs="Arial"/>
          <w:i w:val="1"/>
          <w:iCs w:val="1"/>
          <w:noProof w:val="0"/>
          <w:color w:val="000000" w:themeColor="text1" w:themeTint="FF" w:themeShade="FF"/>
          <w:sz w:val="22"/>
          <w:szCs w:val="22"/>
          <w:lang w:val="en-GB"/>
        </w:rPr>
        <w:t>Person-Centred Care Made Simple</w:t>
      </w:r>
      <w:r w:rsidRPr="6B75847A" w:rsidR="39F78AF4">
        <w:rPr>
          <w:rFonts w:ascii="Arial" w:hAnsi="Arial" w:eastAsia="Arial" w:cs="Arial"/>
          <w:noProof w:val="0"/>
          <w:color w:val="000000" w:themeColor="text1" w:themeTint="FF" w:themeShade="FF"/>
          <w:sz w:val="22"/>
          <w:szCs w:val="22"/>
          <w:lang w:val="en-GB"/>
        </w:rPr>
        <w:t>. London: The Health Foundation.</w:t>
      </w:r>
    </w:p>
    <w:p w:rsidR="39F78AF4" w:rsidP="6B75847A" w:rsidRDefault="39F78AF4" w14:paraId="1D333F14" w14:textId="7A0636A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Johnstone, M.J. (2019) </w:t>
      </w:r>
      <w:r w:rsidRPr="6B75847A" w:rsidR="39F78AF4">
        <w:rPr>
          <w:rFonts w:ascii="Arial" w:hAnsi="Arial" w:eastAsia="Arial" w:cs="Arial"/>
          <w:i w:val="1"/>
          <w:iCs w:val="1"/>
          <w:noProof w:val="0"/>
          <w:color w:val="000000" w:themeColor="text1" w:themeTint="FF" w:themeShade="FF"/>
          <w:sz w:val="22"/>
          <w:szCs w:val="22"/>
          <w:lang w:val="en-GB"/>
        </w:rPr>
        <w:t>Bioethics: A Nursing Perspective</w:t>
      </w:r>
      <w:r w:rsidRPr="6B75847A" w:rsidR="39F78AF4">
        <w:rPr>
          <w:rFonts w:ascii="Arial" w:hAnsi="Arial" w:eastAsia="Arial" w:cs="Arial"/>
          <w:noProof w:val="0"/>
          <w:color w:val="000000" w:themeColor="text1" w:themeTint="FF" w:themeShade="FF"/>
          <w:sz w:val="22"/>
          <w:szCs w:val="22"/>
          <w:lang w:val="en-GB"/>
        </w:rPr>
        <w:t>. 7th edn. Chatswood, NSW: Elsevier.</w:t>
      </w:r>
    </w:p>
    <w:p w:rsidR="39F78AF4" w:rsidP="6B75847A" w:rsidRDefault="39F78AF4" w14:paraId="23F5CE7A" w14:textId="22AFB0A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Legislation.gov.uk (2010) </w:t>
      </w:r>
      <w:r w:rsidRPr="6B75847A" w:rsidR="39F78AF4">
        <w:rPr>
          <w:rFonts w:ascii="Arial" w:hAnsi="Arial" w:eastAsia="Arial" w:cs="Arial"/>
          <w:i w:val="1"/>
          <w:iCs w:val="1"/>
          <w:noProof w:val="0"/>
          <w:color w:val="000000" w:themeColor="text1" w:themeTint="FF" w:themeShade="FF"/>
          <w:sz w:val="22"/>
          <w:szCs w:val="22"/>
          <w:lang w:val="en-GB"/>
        </w:rPr>
        <w:t>Equality Act 2010</w:t>
      </w:r>
      <w:r w:rsidRPr="6B75847A" w:rsidR="39F78AF4">
        <w:rPr>
          <w:rFonts w:ascii="Arial" w:hAnsi="Arial" w:eastAsia="Arial" w:cs="Arial"/>
          <w:noProof w:val="0"/>
          <w:color w:val="000000" w:themeColor="text1" w:themeTint="FF" w:themeShade="FF"/>
          <w:sz w:val="22"/>
          <w:szCs w:val="22"/>
          <w:lang w:val="en-GB"/>
        </w:rPr>
        <w:t xml:space="preserve">. Available at: </w:t>
      </w:r>
      <w:hyperlink r:id="Rf8c7afdd3ceb4b8e">
        <w:r w:rsidRPr="6B75847A" w:rsidR="39F78AF4">
          <w:rPr>
            <w:rStyle w:val="Hyperlink"/>
            <w:rFonts w:ascii="Arial" w:hAnsi="Arial" w:eastAsia="Arial" w:cs="Arial"/>
            <w:noProof w:val="0"/>
            <w:color w:val="000000" w:themeColor="text1" w:themeTint="FF" w:themeShade="FF"/>
            <w:sz w:val="22"/>
            <w:szCs w:val="22"/>
            <w:lang w:val="en-GB"/>
          </w:rPr>
          <w:t>https://www.legislation.gov.uk/ukpga/2010/15/contents</w:t>
        </w:r>
      </w:hyperlink>
      <w:r w:rsidRPr="6B75847A" w:rsidR="39F78AF4">
        <w:rPr>
          <w:rFonts w:ascii="Arial" w:hAnsi="Arial" w:eastAsia="Arial" w:cs="Arial"/>
          <w:noProof w:val="0"/>
          <w:color w:val="000000" w:themeColor="text1" w:themeTint="FF" w:themeShade="FF"/>
          <w:sz w:val="22"/>
          <w:szCs w:val="22"/>
          <w:lang w:val="en-GB"/>
        </w:rPr>
        <w:t xml:space="preserve"> (Accessed: 8 July 2026).</w:t>
      </w:r>
    </w:p>
    <w:p w:rsidR="39F78AF4" w:rsidP="6B75847A" w:rsidRDefault="39F78AF4" w14:paraId="0C019853" w14:textId="62B5B33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Maslow, A.H. (1943) 'A theory of human motivation', </w:t>
      </w:r>
      <w:r w:rsidRPr="6B75847A" w:rsidR="39F78AF4">
        <w:rPr>
          <w:rFonts w:ascii="Arial" w:hAnsi="Arial" w:eastAsia="Arial" w:cs="Arial"/>
          <w:i w:val="1"/>
          <w:iCs w:val="1"/>
          <w:noProof w:val="0"/>
          <w:color w:val="000000" w:themeColor="text1" w:themeTint="FF" w:themeShade="FF"/>
          <w:sz w:val="22"/>
          <w:szCs w:val="22"/>
          <w:lang w:val="en-GB"/>
        </w:rPr>
        <w:t>Psychological Review</w:t>
      </w:r>
      <w:r w:rsidRPr="6B75847A" w:rsidR="39F78AF4">
        <w:rPr>
          <w:rFonts w:ascii="Arial" w:hAnsi="Arial" w:eastAsia="Arial" w:cs="Arial"/>
          <w:noProof w:val="0"/>
          <w:color w:val="000000" w:themeColor="text1" w:themeTint="FF" w:themeShade="FF"/>
          <w:sz w:val="22"/>
          <w:szCs w:val="22"/>
          <w:lang w:val="en-GB"/>
        </w:rPr>
        <w:t>, 50(4), pp. 370–396.</w:t>
      </w:r>
    </w:p>
    <w:p w:rsidR="39F78AF4" w:rsidP="6B75847A" w:rsidRDefault="39F78AF4" w14:paraId="6D804CF3" w14:textId="4D43216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McCormack, B. and McCance, T. (2021) </w:t>
      </w:r>
      <w:r w:rsidRPr="6B75847A" w:rsidR="39F78AF4">
        <w:rPr>
          <w:rFonts w:ascii="Arial" w:hAnsi="Arial" w:eastAsia="Arial" w:cs="Arial"/>
          <w:i w:val="1"/>
          <w:iCs w:val="1"/>
          <w:noProof w:val="0"/>
          <w:color w:val="000000" w:themeColor="text1" w:themeTint="FF" w:themeShade="FF"/>
          <w:sz w:val="22"/>
          <w:szCs w:val="22"/>
          <w:lang w:val="en-GB"/>
        </w:rPr>
        <w:t>Person-Centred Practice in Nursing and Health Care: Theory and Practice</w:t>
      </w:r>
      <w:r w:rsidRPr="6B75847A" w:rsidR="39F78AF4">
        <w:rPr>
          <w:rFonts w:ascii="Arial" w:hAnsi="Arial" w:eastAsia="Arial" w:cs="Arial"/>
          <w:noProof w:val="0"/>
          <w:color w:val="000000" w:themeColor="text1" w:themeTint="FF" w:themeShade="FF"/>
          <w:sz w:val="22"/>
          <w:szCs w:val="22"/>
          <w:lang w:val="en-GB"/>
        </w:rPr>
        <w:t>. 2nd edn. Chichester: Wiley-Blackwell.</w:t>
      </w:r>
    </w:p>
    <w:p w:rsidR="39F78AF4" w:rsidP="6B75847A" w:rsidRDefault="39F78AF4" w14:paraId="337C71BF" w14:textId="263FA9E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McLeod, S. (2023) </w:t>
      </w:r>
      <w:r w:rsidRPr="6B75847A" w:rsidR="39F78AF4">
        <w:rPr>
          <w:rFonts w:ascii="Arial" w:hAnsi="Arial" w:eastAsia="Arial" w:cs="Arial"/>
          <w:i w:val="1"/>
          <w:iCs w:val="1"/>
          <w:noProof w:val="0"/>
          <w:color w:val="000000" w:themeColor="text1" w:themeTint="FF" w:themeShade="FF"/>
          <w:sz w:val="22"/>
          <w:szCs w:val="22"/>
          <w:lang w:val="en-GB"/>
        </w:rPr>
        <w:t>Maslow's Hierarchy of Needs</w:t>
      </w:r>
      <w:r w:rsidRPr="6B75847A" w:rsidR="39F78AF4">
        <w:rPr>
          <w:rFonts w:ascii="Arial" w:hAnsi="Arial" w:eastAsia="Arial" w:cs="Arial"/>
          <w:noProof w:val="0"/>
          <w:color w:val="000000" w:themeColor="text1" w:themeTint="FF" w:themeShade="FF"/>
          <w:sz w:val="22"/>
          <w:szCs w:val="22"/>
          <w:lang w:val="en-GB"/>
        </w:rPr>
        <w:t xml:space="preserve">. Simply Psychology. Available at: </w:t>
      </w:r>
      <w:hyperlink r:id="R3fd811c9597e42db">
        <w:r w:rsidRPr="6B75847A" w:rsidR="39F78AF4">
          <w:rPr>
            <w:rStyle w:val="Hyperlink"/>
            <w:rFonts w:ascii="Arial" w:hAnsi="Arial" w:eastAsia="Arial" w:cs="Arial"/>
            <w:noProof w:val="0"/>
            <w:color w:val="000000" w:themeColor="text1" w:themeTint="FF" w:themeShade="FF"/>
            <w:sz w:val="22"/>
            <w:szCs w:val="22"/>
            <w:lang w:val="en-GB"/>
          </w:rPr>
          <w:t>https://www.simplypsychology.org/maslow.html</w:t>
        </w:r>
      </w:hyperlink>
      <w:r w:rsidRPr="6B75847A" w:rsidR="39F78AF4">
        <w:rPr>
          <w:rFonts w:ascii="Arial" w:hAnsi="Arial" w:eastAsia="Arial" w:cs="Arial"/>
          <w:noProof w:val="0"/>
          <w:color w:val="000000" w:themeColor="text1" w:themeTint="FF" w:themeShade="FF"/>
          <w:sz w:val="22"/>
          <w:szCs w:val="22"/>
          <w:lang w:val="en-GB"/>
        </w:rPr>
        <w:t xml:space="preserve"> (Accessed: 8 July 2026).</w:t>
      </w:r>
    </w:p>
    <w:p w:rsidR="39F78AF4" w:rsidP="6B75847A" w:rsidRDefault="39F78AF4" w14:paraId="0550AE83" w14:textId="1259AF8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NHS England (2017) </w:t>
      </w:r>
      <w:r w:rsidRPr="6B75847A" w:rsidR="39F78AF4">
        <w:rPr>
          <w:rFonts w:ascii="Arial" w:hAnsi="Arial" w:eastAsia="Arial" w:cs="Arial"/>
          <w:i w:val="1"/>
          <w:iCs w:val="1"/>
          <w:noProof w:val="0"/>
          <w:color w:val="000000" w:themeColor="text1" w:themeTint="FF" w:themeShade="FF"/>
          <w:sz w:val="22"/>
          <w:szCs w:val="22"/>
          <w:lang w:val="en-GB"/>
        </w:rPr>
        <w:t>Compassion in Practice: The 6Cs</w:t>
      </w:r>
      <w:r w:rsidRPr="6B75847A" w:rsidR="39F78AF4">
        <w:rPr>
          <w:rFonts w:ascii="Arial" w:hAnsi="Arial" w:eastAsia="Arial" w:cs="Arial"/>
          <w:noProof w:val="0"/>
          <w:color w:val="000000" w:themeColor="text1" w:themeTint="FF" w:themeShade="FF"/>
          <w:sz w:val="22"/>
          <w:szCs w:val="22"/>
          <w:lang w:val="en-GB"/>
        </w:rPr>
        <w:t xml:space="preserve">. Available at: </w:t>
      </w:r>
      <w:hyperlink r:id="R324aa3bd372b49fa">
        <w:r w:rsidRPr="6B75847A" w:rsidR="39F78AF4">
          <w:rPr>
            <w:rStyle w:val="Hyperlink"/>
            <w:rFonts w:ascii="Arial" w:hAnsi="Arial" w:eastAsia="Arial" w:cs="Arial"/>
            <w:noProof w:val="0"/>
            <w:color w:val="000000" w:themeColor="text1" w:themeTint="FF" w:themeShade="FF"/>
            <w:sz w:val="22"/>
            <w:szCs w:val="22"/>
            <w:lang w:val="en-GB"/>
          </w:rPr>
          <w:t>https://www.england.nhs.uk/6cs/</w:t>
        </w:r>
      </w:hyperlink>
      <w:r w:rsidRPr="6B75847A" w:rsidR="39F78AF4">
        <w:rPr>
          <w:rFonts w:ascii="Arial" w:hAnsi="Arial" w:eastAsia="Arial" w:cs="Arial"/>
          <w:noProof w:val="0"/>
          <w:color w:val="000000" w:themeColor="text1" w:themeTint="FF" w:themeShade="FF"/>
          <w:sz w:val="22"/>
          <w:szCs w:val="22"/>
          <w:lang w:val="en-GB"/>
        </w:rPr>
        <w:t xml:space="preserve"> (Accessed: 8 July 2026).</w:t>
      </w:r>
    </w:p>
    <w:p w:rsidR="39F78AF4" w:rsidP="6B75847A" w:rsidRDefault="39F78AF4" w14:paraId="726AF224" w14:textId="7955673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NHS England (2023) </w:t>
      </w:r>
      <w:r w:rsidRPr="6B75847A" w:rsidR="39F78AF4">
        <w:rPr>
          <w:rFonts w:ascii="Arial" w:hAnsi="Arial" w:eastAsia="Arial" w:cs="Arial"/>
          <w:i w:val="1"/>
          <w:iCs w:val="1"/>
          <w:noProof w:val="0"/>
          <w:color w:val="000000" w:themeColor="text1" w:themeTint="FF" w:themeShade="FF"/>
          <w:sz w:val="22"/>
          <w:szCs w:val="22"/>
          <w:lang w:val="en-GB"/>
        </w:rPr>
        <w:t>Integrated Care Systems</w:t>
      </w:r>
      <w:r w:rsidRPr="6B75847A" w:rsidR="39F78AF4">
        <w:rPr>
          <w:rFonts w:ascii="Arial" w:hAnsi="Arial" w:eastAsia="Arial" w:cs="Arial"/>
          <w:noProof w:val="0"/>
          <w:color w:val="000000" w:themeColor="text1" w:themeTint="FF" w:themeShade="FF"/>
          <w:sz w:val="22"/>
          <w:szCs w:val="22"/>
          <w:lang w:val="en-GB"/>
        </w:rPr>
        <w:t xml:space="preserve">. Available at: </w:t>
      </w:r>
      <w:hyperlink r:id="R891d1e80ce424745">
        <w:r w:rsidRPr="6B75847A" w:rsidR="39F78AF4">
          <w:rPr>
            <w:rStyle w:val="Hyperlink"/>
            <w:rFonts w:ascii="Arial" w:hAnsi="Arial" w:eastAsia="Arial" w:cs="Arial"/>
            <w:noProof w:val="0"/>
            <w:color w:val="000000" w:themeColor="text1" w:themeTint="FF" w:themeShade="FF"/>
            <w:sz w:val="22"/>
            <w:szCs w:val="22"/>
            <w:lang w:val="en-GB"/>
          </w:rPr>
          <w:t>https://www.england.nhs.uk/integratedcare/</w:t>
        </w:r>
      </w:hyperlink>
      <w:r w:rsidRPr="6B75847A" w:rsidR="39F78AF4">
        <w:rPr>
          <w:rFonts w:ascii="Arial" w:hAnsi="Arial" w:eastAsia="Arial" w:cs="Arial"/>
          <w:noProof w:val="0"/>
          <w:color w:val="000000" w:themeColor="text1" w:themeTint="FF" w:themeShade="FF"/>
          <w:sz w:val="22"/>
          <w:szCs w:val="22"/>
          <w:lang w:val="en-GB"/>
        </w:rPr>
        <w:t xml:space="preserve"> (Accessed: 8 July 2026).</w:t>
      </w:r>
    </w:p>
    <w:p w:rsidR="39F78AF4" w:rsidP="6B75847A" w:rsidRDefault="39F78AF4" w14:paraId="6311AC3F" w14:textId="04913AB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NHS England (2024) </w:t>
      </w:r>
      <w:r w:rsidRPr="6B75847A" w:rsidR="39F78AF4">
        <w:rPr>
          <w:rFonts w:ascii="Arial" w:hAnsi="Arial" w:eastAsia="Arial" w:cs="Arial"/>
          <w:i w:val="1"/>
          <w:iCs w:val="1"/>
          <w:noProof w:val="0"/>
          <w:color w:val="000000" w:themeColor="text1" w:themeTint="FF" w:themeShade="FF"/>
          <w:sz w:val="22"/>
          <w:szCs w:val="22"/>
          <w:lang w:val="en-GB"/>
        </w:rPr>
        <w:t>NHS Workforce Statistics</w:t>
      </w:r>
      <w:r w:rsidRPr="6B75847A" w:rsidR="39F78AF4">
        <w:rPr>
          <w:rFonts w:ascii="Arial" w:hAnsi="Arial" w:eastAsia="Arial" w:cs="Arial"/>
          <w:noProof w:val="0"/>
          <w:color w:val="000000" w:themeColor="text1" w:themeTint="FF" w:themeShade="FF"/>
          <w:sz w:val="22"/>
          <w:szCs w:val="22"/>
          <w:lang w:val="en-GB"/>
        </w:rPr>
        <w:t xml:space="preserve">. Available at: </w:t>
      </w:r>
      <w:hyperlink r:id="R0695c1c9898e44ef">
        <w:r w:rsidRPr="6B75847A" w:rsidR="39F78AF4">
          <w:rPr>
            <w:rStyle w:val="Hyperlink"/>
            <w:rFonts w:ascii="Arial" w:hAnsi="Arial" w:eastAsia="Arial" w:cs="Arial"/>
            <w:noProof w:val="0"/>
            <w:color w:val="000000" w:themeColor="text1" w:themeTint="FF" w:themeShade="FF"/>
            <w:sz w:val="22"/>
            <w:szCs w:val="22"/>
            <w:lang w:val="en-GB"/>
          </w:rPr>
          <w:t>https://www.england.nhs.uk/statistics/</w:t>
        </w:r>
      </w:hyperlink>
      <w:r w:rsidRPr="6B75847A" w:rsidR="39F78AF4">
        <w:rPr>
          <w:rFonts w:ascii="Arial" w:hAnsi="Arial" w:eastAsia="Arial" w:cs="Arial"/>
          <w:noProof w:val="0"/>
          <w:color w:val="000000" w:themeColor="text1" w:themeTint="FF" w:themeShade="FF"/>
          <w:sz w:val="22"/>
          <w:szCs w:val="22"/>
          <w:lang w:val="en-GB"/>
        </w:rPr>
        <w:t xml:space="preserve"> (Accessed: 8 July 2026).</w:t>
      </w:r>
    </w:p>
    <w:p w:rsidR="39F78AF4" w:rsidP="6B75847A" w:rsidRDefault="39F78AF4" w14:paraId="68D77BAA" w14:textId="281560E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Nursing and Midwifery Council (2018) </w:t>
      </w:r>
      <w:r w:rsidRPr="6B75847A" w:rsidR="39F78AF4">
        <w:rPr>
          <w:rFonts w:ascii="Arial" w:hAnsi="Arial" w:eastAsia="Arial" w:cs="Arial"/>
          <w:i w:val="1"/>
          <w:iCs w:val="1"/>
          <w:noProof w:val="0"/>
          <w:color w:val="000000" w:themeColor="text1" w:themeTint="FF" w:themeShade="FF"/>
          <w:sz w:val="22"/>
          <w:szCs w:val="22"/>
          <w:lang w:val="en-GB"/>
        </w:rPr>
        <w:t>The Code: Professional Standards of Practice and Behaviour for Nurses, Midwives and Nursing Associates</w:t>
      </w:r>
      <w:r w:rsidRPr="6B75847A" w:rsidR="39F78AF4">
        <w:rPr>
          <w:rFonts w:ascii="Arial" w:hAnsi="Arial" w:eastAsia="Arial" w:cs="Arial"/>
          <w:noProof w:val="0"/>
          <w:color w:val="000000" w:themeColor="text1" w:themeTint="FF" w:themeShade="FF"/>
          <w:sz w:val="22"/>
          <w:szCs w:val="22"/>
          <w:lang w:val="en-GB"/>
        </w:rPr>
        <w:t>. London: Nursing and Midwifery Council.</w:t>
      </w:r>
    </w:p>
    <w:p w:rsidR="39F78AF4" w:rsidP="6B75847A" w:rsidRDefault="39F78AF4" w14:paraId="79FEA76E" w14:textId="609C259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Robertson, R., Wenzel, L., Thompson, J. and Charles, A. (2020) </w:t>
      </w:r>
      <w:r w:rsidRPr="6B75847A" w:rsidR="39F78AF4">
        <w:rPr>
          <w:rFonts w:ascii="Arial" w:hAnsi="Arial" w:eastAsia="Arial" w:cs="Arial"/>
          <w:i w:val="1"/>
          <w:iCs w:val="1"/>
          <w:noProof w:val="0"/>
          <w:color w:val="000000" w:themeColor="text1" w:themeTint="FF" w:themeShade="FF"/>
          <w:sz w:val="22"/>
          <w:szCs w:val="22"/>
          <w:lang w:val="en-GB"/>
        </w:rPr>
        <w:t>Workforce Pressures in the NHS</w:t>
      </w:r>
      <w:r w:rsidRPr="6B75847A" w:rsidR="39F78AF4">
        <w:rPr>
          <w:rFonts w:ascii="Arial" w:hAnsi="Arial" w:eastAsia="Arial" w:cs="Arial"/>
          <w:noProof w:val="0"/>
          <w:color w:val="000000" w:themeColor="text1" w:themeTint="FF" w:themeShade="FF"/>
          <w:sz w:val="22"/>
          <w:szCs w:val="22"/>
          <w:lang w:val="en-GB"/>
        </w:rPr>
        <w:t>. London: The King's Fund.</w:t>
      </w:r>
    </w:p>
    <w:p w:rsidR="39F78AF4" w:rsidP="6B75847A" w:rsidRDefault="39F78AF4" w14:paraId="35A84E32" w14:textId="2A3B1E7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Santana, M.J., Manalili, K., Jolley, R.J., Zelinsky, S., Quan, H. and Lu, M. (2018) 'How to practise person-centred care: A conceptual framework', </w:t>
      </w:r>
      <w:r w:rsidRPr="6B75847A" w:rsidR="39F78AF4">
        <w:rPr>
          <w:rFonts w:ascii="Arial" w:hAnsi="Arial" w:eastAsia="Arial" w:cs="Arial"/>
          <w:i w:val="1"/>
          <w:iCs w:val="1"/>
          <w:noProof w:val="0"/>
          <w:color w:val="000000" w:themeColor="text1" w:themeTint="FF" w:themeShade="FF"/>
          <w:sz w:val="22"/>
          <w:szCs w:val="22"/>
          <w:lang w:val="en-GB"/>
        </w:rPr>
        <w:t>BMJ Quality &amp; Safety</w:t>
      </w:r>
      <w:r w:rsidRPr="6B75847A" w:rsidR="39F78AF4">
        <w:rPr>
          <w:rFonts w:ascii="Arial" w:hAnsi="Arial" w:eastAsia="Arial" w:cs="Arial"/>
          <w:noProof w:val="0"/>
          <w:color w:val="000000" w:themeColor="text1" w:themeTint="FF" w:themeShade="FF"/>
          <w:sz w:val="22"/>
          <w:szCs w:val="22"/>
          <w:lang w:val="en-GB"/>
        </w:rPr>
        <w:t>, 27(9), pp. 701–710.</w:t>
      </w:r>
    </w:p>
    <w:p w:rsidR="39F78AF4" w:rsidP="6B75847A" w:rsidRDefault="39F78AF4" w14:paraId="06D9FF00" w14:textId="1D0509F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World Health Organization (2010) </w:t>
      </w:r>
      <w:r w:rsidRPr="6B75847A" w:rsidR="39F78AF4">
        <w:rPr>
          <w:rFonts w:ascii="Arial" w:hAnsi="Arial" w:eastAsia="Arial" w:cs="Arial"/>
          <w:i w:val="1"/>
          <w:iCs w:val="1"/>
          <w:noProof w:val="0"/>
          <w:color w:val="000000" w:themeColor="text1" w:themeTint="FF" w:themeShade="FF"/>
          <w:sz w:val="22"/>
          <w:szCs w:val="22"/>
          <w:lang w:val="en-GB"/>
        </w:rPr>
        <w:t>Framework for Action on Interprofessional Education and Collaborative Practice</w:t>
      </w:r>
      <w:r w:rsidRPr="6B75847A" w:rsidR="39F78AF4">
        <w:rPr>
          <w:rFonts w:ascii="Arial" w:hAnsi="Arial" w:eastAsia="Arial" w:cs="Arial"/>
          <w:noProof w:val="0"/>
          <w:color w:val="000000" w:themeColor="text1" w:themeTint="FF" w:themeShade="FF"/>
          <w:sz w:val="22"/>
          <w:szCs w:val="22"/>
          <w:lang w:val="en-GB"/>
        </w:rPr>
        <w:t>. Geneva: World Health Organization.</w:t>
      </w:r>
    </w:p>
    <w:p w:rsidR="39F78AF4" w:rsidP="6B75847A" w:rsidRDefault="39F78AF4" w14:paraId="0658EFF5" w14:textId="4F26FF7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B75847A" w:rsidR="39F78AF4">
        <w:rPr>
          <w:rFonts w:ascii="Arial" w:hAnsi="Arial" w:eastAsia="Arial" w:cs="Arial"/>
          <w:noProof w:val="0"/>
          <w:color w:val="000000" w:themeColor="text1" w:themeTint="FF" w:themeShade="FF"/>
          <w:sz w:val="22"/>
          <w:szCs w:val="22"/>
          <w:lang w:val="en-GB"/>
        </w:rPr>
        <w:t xml:space="preserve">Xyrichis, A. and Lowton, K. (2020) 'What fosters or prevents interprofessional teamworking in primary and community care? A literature review', </w:t>
      </w:r>
      <w:r w:rsidRPr="6B75847A" w:rsidR="39F78AF4">
        <w:rPr>
          <w:rFonts w:ascii="Arial" w:hAnsi="Arial" w:eastAsia="Arial" w:cs="Arial"/>
          <w:i w:val="1"/>
          <w:iCs w:val="1"/>
          <w:noProof w:val="0"/>
          <w:color w:val="000000" w:themeColor="text1" w:themeTint="FF" w:themeShade="FF"/>
          <w:sz w:val="22"/>
          <w:szCs w:val="22"/>
          <w:lang w:val="en-GB"/>
        </w:rPr>
        <w:t>International Journal of Nursing Studies</w:t>
      </w:r>
      <w:r w:rsidRPr="6B75847A" w:rsidR="39F78AF4">
        <w:rPr>
          <w:rFonts w:ascii="Arial" w:hAnsi="Arial" w:eastAsia="Arial" w:cs="Arial"/>
          <w:noProof w:val="0"/>
          <w:color w:val="000000" w:themeColor="text1" w:themeTint="FF" w:themeShade="FF"/>
          <w:sz w:val="22"/>
          <w:szCs w:val="22"/>
          <w:lang w:val="en-GB"/>
        </w:rPr>
        <w:t>, 108, 103638.</w:t>
      </w:r>
    </w:p>
    <w:p w:rsidR="6B75847A" w:rsidP="6B75847A" w:rsidRDefault="6B75847A" w14:paraId="05797D30" w14:textId="4679753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p>
    <w:p w:rsidR="38E26CD4" w:rsidP="38E26CD4" w:rsidRDefault="38E26CD4" w14:paraId="25D414A1" w14:textId="11BD48E2">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8E26CD4" w:rsidP="38E26CD4" w:rsidRDefault="38E26CD4" w14:paraId="0E2FB465" w14:textId="725709D1">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7CF87444" w:rsidP="38E26CD4" w:rsidRDefault="7CF87444" w14:paraId="604266D7" w14:textId="627F6CF5">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6FC877CB" w14:textId="026D1C52">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753A96D7" w14:textId="2235B6A0">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4EC8F8C5" w14:textId="68F38C6A">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43F18D83" w14:textId="2859DC4B">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1E6D762A" w14:textId="6890C5A0">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3FBF80A9" w14:textId="749A5CAD">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1A3A71A4" w14:textId="55164C98">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7D7560F5" w14:textId="2D7F89DA">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5513276D" w14:textId="4767A7AA">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68B58E26" w14:textId="2E895B41">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77D07BA7" w14:textId="59F4667E">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1DFFA51B" w14:textId="674D3D90">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4CC3DDC2" w14:textId="7AA630C5">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4C641CFC" w14:textId="65C9A33B">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3AF27FDB" w14:textId="2EE3703D">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66679581" w14:textId="757DDB3C">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5F088C04" w14:textId="1E6A7F72">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482D8F6C" w14:textId="496F56E6">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318761FE" w14:textId="7D322004">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0566AB79" w14:textId="67D49BF8">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31283E66" w14:textId="71FDFA78">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61AC0CE5" w14:textId="5B4BF617">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5755F6E1" w14:textId="49EB3B0E">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3C34546F" w14:textId="353CFBED">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5FFD0D3A" w14:textId="3A82919D">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3B5C7565" w14:textId="2866D05D">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05B02A4E" w14:textId="5175AAAC">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0EB6627C" w14:textId="16310F0E">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3DF23460" w14:textId="445A89FF">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27BB3574" w14:textId="7083E965">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5C60BAAD" w14:textId="07BF7BAA">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2FDC8493" w14:textId="22B88C78">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6B0CA146" w14:textId="02A83921">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5E9AA6ED" w14:textId="0D880831">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600A2F45" w14:textId="228D7ABC">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14A753F7" w14:textId="4630AC61">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418F989A" w14:textId="2231DF8D">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242DFEA0" w14:textId="3F2F10D2">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22B62BBB" w14:textId="43C388E1">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37F6413A" w14:textId="6E1BEB43">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291BF18B" w14:textId="78F7B075">
      <w:pPr>
        <w:spacing w:line="360" w:lineRule="auto"/>
        <w:jc w:val="both"/>
        <w:rPr>
          <w:rFonts w:ascii="Arial" w:hAnsi="Arial" w:eastAsia="Arial" w:cs="Arial"/>
          <w:b w:val="0"/>
          <w:bCs w:val="0"/>
          <w:color w:val="000000" w:themeColor="text1" w:themeTint="FF" w:themeShade="FF"/>
          <w:sz w:val="22"/>
          <w:szCs w:val="22"/>
        </w:rPr>
      </w:pPr>
    </w:p>
    <w:p w:rsidR="7CF87444" w:rsidP="38E26CD4" w:rsidRDefault="7CF87444" w14:paraId="1D62F75D" w14:textId="2371EED0">
      <w:pPr>
        <w:spacing w:line="360" w:lineRule="auto"/>
        <w:jc w:val="both"/>
        <w:rPr>
          <w:rFonts w:ascii="Arial" w:hAnsi="Arial" w:eastAsia="Arial" w:cs="Arial"/>
          <w:b w:val="0"/>
          <w:bCs w:val="0"/>
          <w:color w:val="000000" w:themeColor="text1" w:themeTint="FF" w:themeShade="FF"/>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people.xml><?xml version="1.0" encoding="utf-8"?>
<w15:people xmlns:mc="http://schemas.openxmlformats.org/markup-compatibility/2006" xmlns:w15="http://schemas.microsoft.com/office/word/2012/wordml" mc:Ignorable="w15">
  <w15:person w15:author="Parese Ahmed">
    <w15:presenceInfo w15:providerId="AD" w15:userId="S::p.ahmed@uwtsd.ac.uk::7588c717-7a2a-4f43-bd3c-fbba48a9e85e"/>
  </w15:person>
  <w15:person w15:author="Parese Ahmed">
    <w15:presenceInfo w15:providerId="AD" w15:userId="S::p.ahmed@uwtsd.ac.uk::7588c717-7a2a-4f43-bd3c-fbba48a9e85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36B56F"/>
    <w:rsid w:val="007E95EC"/>
    <w:rsid w:val="02AEAF71"/>
    <w:rsid w:val="03EBE52B"/>
    <w:rsid w:val="040A6439"/>
    <w:rsid w:val="0536B56F"/>
    <w:rsid w:val="06C37160"/>
    <w:rsid w:val="07A5C267"/>
    <w:rsid w:val="094B5D28"/>
    <w:rsid w:val="094C9E66"/>
    <w:rsid w:val="0B60EE73"/>
    <w:rsid w:val="0C9AC423"/>
    <w:rsid w:val="0CF29653"/>
    <w:rsid w:val="0D085C59"/>
    <w:rsid w:val="0E3ED4AD"/>
    <w:rsid w:val="0E9EEF0B"/>
    <w:rsid w:val="0EEB756D"/>
    <w:rsid w:val="0FD698C9"/>
    <w:rsid w:val="104B349F"/>
    <w:rsid w:val="1077CE95"/>
    <w:rsid w:val="11AED598"/>
    <w:rsid w:val="122E4F08"/>
    <w:rsid w:val="123D2D13"/>
    <w:rsid w:val="13DAB964"/>
    <w:rsid w:val="155A72D8"/>
    <w:rsid w:val="16984B5C"/>
    <w:rsid w:val="16DA5B48"/>
    <w:rsid w:val="17864F74"/>
    <w:rsid w:val="17960BF2"/>
    <w:rsid w:val="17F3D453"/>
    <w:rsid w:val="189FE468"/>
    <w:rsid w:val="1A520923"/>
    <w:rsid w:val="1AEA3C55"/>
    <w:rsid w:val="1B147606"/>
    <w:rsid w:val="1BF741F9"/>
    <w:rsid w:val="1C2E8277"/>
    <w:rsid w:val="1CB0E9B7"/>
    <w:rsid w:val="1CE74B1D"/>
    <w:rsid w:val="1D218BF2"/>
    <w:rsid w:val="1D8A4734"/>
    <w:rsid w:val="1F059C6F"/>
    <w:rsid w:val="1FA63586"/>
    <w:rsid w:val="2140DCB8"/>
    <w:rsid w:val="21AEC72A"/>
    <w:rsid w:val="21E1C838"/>
    <w:rsid w:val="220187FF"/>
    <w:rsid w:val="2263CB3E"/>
    <w:rsid w:val="23090E27"/>
    <w:rsid w:val="236FDDF6"/>
    <w:rsid w:val="23B10BEC"/>
    <w:rsid w:val="23DB67DE"/>
    <w:rsid w:val="2411BFEA"/>
    <w:rsid w:val="24A15455"/>
    <w:rsid w:val="254E07F4"/>
    <w:rsid w:val="2560ACC2"/>
    <w:rsid w:val="25743776"/>
    <w:rsid w:val="25BEB768"/>
    <w:rsid w:val="26567D84"/>
    <w:rsid w:val="26E87E28"/>
    <w:rsid w:val="28905314"/>
    <w:rsid w:val="28C240EA"/>
    <w:rsid w:val="28FAEFBC"/>
    <w:rsid w:val="29E3A450"/>
    <w:rsid w:val="2A574C28"/>
    <w:rsid w:val="2BFBE827"/>
    <w:rsid w:val="2C18A265"/>
    <w:rsid w:val="2CA6D741"/>
    <w:rsid w:val="2D3BDAA5"/>
    <w:rsid w:val="2F1187F3"/>
    <w:rsid w:val="31EFD1F7"/>
    <w:rsid w:val="32DB4F4F"/>
    <w:rsid w:val="32E07E00"/>
    <w:rsid w:val="32FF54E1"/>
    <w:rsid w:val="330F8D2E"/>
    <w:rsid w:val="33CA81DD"/>
    <w:rsid w:val="345E6FAA"/>
    <w:rsid w:val="348045D3"/>
    <w:rsid w:val="34D83C3A"/>
    <w:rsid w:val="357711BB"/>
    <w:rsid w:val="3583620A"/>
    <w:rsid w:val="3590B82F"/>
    <w:rsid w:val="35D8913C"/>
    <w:rsid w:val="36437F13"/>
    <w:rsid w:val="3722023C"/>
    <w:rsid w:val="3759C167"/>
    <w:rsid w:val="38144BEC"/>
    <w:rsid w:val="386531A8"/>
    <w:rsid w:val="38E26CD4"/>
    <w:rsid w:val="39219603"/>
    <w:rsid w:val="392C590A"/>
    <w:rsid w:val="398C38C0"/>
    <w:rsid w:val="39F78AF4"/>
    <w:rsid w:val="3A09C57A"/>
    <w:rsid w:val="3ABAC3F8"/>
    <w:rsid w:val="3B198858"/>
    <w:rsid w:val="3BA6DA43"/>
    <w:rsid w:val="3BAFDCC3"/>
    <w:rsid w:val="3C09D274"/>
    <w:rsid w:val="3DCD8439"/>
    <w:rsid w:val="3E4E0997"/>
    <w:rsid w:val="413919BD"/>
    <w:rsid w:val="414DEE5C"/>
    <w:rsid w:val="41AAC936"/>
    <w:rsid w:val="41C1A714"/>
    <w:rsid w:val="438B2F07"/>
    <w:rsid w:val="43E29CAC"/>
    <w:rsid w:val="43F3206B"/>
    <w:rsid w:val="4436CC76"/>
    <w:rsid w:val="4453985C"/>
    <w:rsid w:val="44CCC593"/>
    <w:rsid w:val="45CC5383"/>
    <w:rsid w:val="45EB3264"/>
    <w:rsid w:val="46A3463A"/>
    <w:rsid w:val="4789504B"/>
    <w:rsid w:val="47AF965D"/>
    <w:rsid w:val="48E75E62"/>
    <w:rsid w:val="49637B85"/>
    <w:rsid w:val="4A0A3B93"/>
    <w:rsid w:val="4A7C2BE3"/>
    <w:rsid w:val="4C33738C"/>
    <w:rsid w:val="4C50838D"/>
    <w:rsid w:val="4CDD0B6F"/>
    <w:rsid w:val="4D090F6E"/>
    <w:rsid w:val="4DBAB49C"/>
    <w:rsid w:val="4E2CC1E2"/>
    <w:rsid w:val="4E8835A6"/>
    <w:rsid w:val="4EC8B506"/>
    <w:rsid w:val="4FBAEE29"/>
    <w:rsid w:val="50ED1EBC"/>
    <w:rsid w:val="51219BDD"/>
    <w:rsid w:val="5188594E"/>
    <w:rsid w:val="52C3DD1D"/>
    <w:rsid w:val="5472ED62"/>
    <w:rsid w:val="54944799"/>
    <w:rsid w:val="54AA55F3"/>
    <w:rsid w:val="54AB7895"/>
    <w:rsid w:val="54FFE28F"/>
    <w:rsid w:val="5558CB46"/>
    <w:rsid w:val="587BE752"/>
    <w:rsid w:val="590C12AA"/>
    <w:rsid w:val="59931E0D"/>
    <w:rsid w:val="59A71651"/>
    <w:rsid w:val="59F095B8"/>
    <w:rsid w:val="5AB51549"/>
    <w:rsid w:val="5F03E4DD"/>
    <w:rsid w:val="5FA8C31D"/>
    <w:rsid w:val="60160DC4"/>
    <w:rsid w:val="603EEF30"/>
    <w:rsid w:val="6094D7AA"/>
    <w:rsid w:val="614A1D0E"/>
    <w:rsid w:val="61A16C46"/>
    <w:rsid w:val="620544F0"/>
    <w:rsid w:val="63902273"/>
    <w:rsid w:val="6445ECF3"/>
    <w:rsid w:val="6578809D"/>
    <w:rsid w:val="660B6E57"/>
    <w:rsid w:val="667438A8"/>
    <w:rsid w:val="6AFA733F"/>
    <w:rsid w:val="6B75847A"/>
    <w:rsid w:val="6C6AC9EE"/>
    <w:rsid w:val="6D50C80B"/>
    <w:rsid w:val="6DE1A25A"/>
    <w:rsid w:val="6E35725E"/>
    <w:rsid w:val="6E907A68"/>
    <w:rsid w:val="6F4CBE0D"/>
    <w:rsid w:val="6FCC5280"/>
    <w:rsid w:val="6FE5C0A3"/>
    <w:rsid w:val="7000B268"/>
    <w:rsid w:val="7199C19B"/>
    <w:rsid w:val="746FE627"/>
    <w:rsid w:val="74985493"/>
    <w:rsid w:val="74A5EBCE"/>
    <w:rsid w:val="75C39AF5"/>
    <w:rsid w:val="77E69751"/>
    <w:rsid w:val="77EAEEC2"/>
    <w:rsid w:val="782AA289"/>
    <w:rsid w:val="78381B75"/>
    <w:rsid w:val="78DCCCDB"/>
    <w:rsid w:val="7A029042"/>
    <w:rsid w:val="7CB3EBD0"/>
    <w:rsid w:val="7CF87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6B56F"/>
  <w15:chartTrackingRefBased/>
  <w15:docId w15:val="{E33B8236-5A98-496A-92C5-21D4ED552C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CF8744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2fde74a674fd4273" /><Relationship Type="http://schemas.microsoft.com/office/2016/09/relationships/commentsIds" Target="/word/commentsIds.xml" Id="R8f6868c5ab5a4e5c" /><Relationship Type="http://schemas.microsoft.com/office/2011/relationships/commentsExtended" Target="/word/commentsExtended.xml" Id="R44d27a2569e643ba" /><Relationship Type="http://schemas.microsoft.com/office/2018/08/relationships/commentsExtensible" Target="/word/commentsExtensible.xml" Id="R25d41420a02640c2" /><Relationship Type="http://schemas.microsoft.com/office/2011/relationships/people" Target="/word/people.xml" Id="Rb0180b5782904e05" /><Relationship Type="http://schemas.openxmlformats.org/officeDocument/2006/relationships/hyperlink" Target="https://www.legislation.gov.uk/ukpga/2010/15/contents" TargetMode="External" Id="Rf8c7afdd3ceb4b8e" /><Relationship Type="http://schemas.openxmlformats.org/officeDocument/2006/relationships/hyperlink" Target="https://www.simplypsychology.org/maslow.html" TargetMode="External" Id="R3fd811c9597e42db" /><Relationship Type="http://schemas.openxmlformats.org/officeDocument/2006/relationships/hyperlink" Target="https://www.england.nhs.uk/6cs/" TargetMode="External" Id="R324aa3bd372b49fa" /><Relationship Type="http://schemas.openxmlformats.org/officeDocument/2006/relationships/hyperlink" Target="https://www.england.nhs.uk/integratedcare/" TargetMode="External" Id="R891d1e80ce424745" /><Relationship Type="http://schemas.openxmlformats.org/officeDocument/2006/relationships/hyperlink" Target="https://www.england.nhs.uk/statistics/" TargetMode="External" Id="R0695c1c9898e44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Febechukwu Miriam Iwuala (2409092)</dc:creator>
  <keywords/>
  <dc:description/>
  <lastModifiedBy>Febechukwu Miriam Iwuala (2409092)</lastModifiedBy>
  <revision>6</revision>
  <dcterms:created xsi:type="dcterms:W3CDTF">2025-11-07T15:38:03.6129264Z</dcterms:created>
  <dcterms:modified xsi:type="dcterms:W3CDTF">2026-07-21T23:04:41.7996321Z</dcterms:modified>
</coreProperties>
</file>