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804F" w14:textId="77777777" w:rsidR="000D3DD7" w:rsidRDefault="000D3DD7" w:rsidP="002527BC"/>
    <w:p w14:paraId="0FA6C7D0" w14:textId="62FAFC06" w:rsidR="002527BC" w:rsidRDefault="002527BC">
      <w:pPr>
        <w:spacing w:before="2400"/>
      </w:pPr>
      <w:r>
        <w:rPr>
          <w:noProof/>
        </w:rPr>
        <w:drawing>
          <wp:inline distT="0" distB="0" distL="0" distR="0" wp14:anchorId="51A3650B" wp14:editId="1742F1A0">
            <wp:extent cx="5731510" cy="2393950"/>
            <wp:effectExtent l="0" t="0" r="0" b="0"/>
            <wp:docPr id="61956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64497" name="Picture 61956449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inline>
        </w:drawing>
      </w:r>
    </w:p>
    <w:p w14:paraId="7D61FDA9" w14:textId="77777777" w:rsidR="000D3DD7" w:rsidRDefault="00000000">
      <w:pPr>
        <w:spacing w:after="400"/>
        <w:jc w:val="center"/>
      </w:pPr>
      <w:r>
        <w:rPr>
          <w:b/>
          <w:bCs/>
          <w:sz w:val="28"/>
          <w:szCs w:val="28"/>
        </w:rPr>
        <w:t>A Critical Evaluation of NHS Virtual Wards as a Digital Innovation in UK Healthcare</w:t>
      </w:r>
    </w:p>
    <w:p w14:paraId="20A0F525" w14:textId="676804B3" w:rsidR="002527BC" w:rsidRDefault="002527BC" w:rsidP="002527BC">
      <w:pPr>
        <w:spacing w:after="200"/>
        <w:jc w:val="center"/>
      </w:pPr>
      <w:r>
        <w:t>Student</w:t>
      </w:r>
      <w:r>
        <w:t xml:space="preserve"> Name: </w:t>
      </w:r>
      <w:r w:rsidR="00000000">
        <w:t xml:space="preserve">Nalini </w:t>
      </w:r>
      <w:proofErr w:type="spellStart"/>
      <w:r w:rsidR="00000000">
        <w:t>Vellaswamy</w:t>
      </w:r>
      <w:proofErr w:type="spellEnd"/>
    </w:p>
    <w:p w14:paraId="31F5AF8B" w14:textId="32EBF19D" w:rsidR="000D3DD7" w:rsidRDefault="00000000" w:rsidP="002527BC">
      <w:pPr>
        <w:spacing w:before="240" w:after="200"/>
        <w:jc w:val="center"/>
      </w:pPr>
      <w:r>
        <w:t xml:space="preserve">Student </w:t>
      </w:r>
      <w:r w:rsidR="002527BC">
        <w:t>ID</w:t>
      </w:r>
      <w:r>
        <w:t>: 2335340</w:t>
      </w:r>
    </w:p>
    <w:p w14:paraId="395C247D" w14:textId="77777777" w:rsidR="000D3DD7" w:rsidRDefault="00000000" w:rsidP="002527BC">
      <w:pPr>
        <w:spacing w:before="240" w:after="200"/>
        <w:jc w:val="center"/>
      </w:pPr>
      <w:r>
        <w:t>Module: BMHP6026 – Digital Transformation in the Health and Care Professions</w:t>
      </w:r>
    </w:p>
    <w:p w14:paraId="74231436" w14:textId="1FED9265" w:rsidR="000D3DD7" w:rsidRDefault="00000000" w:rsidP="002527BC">
      <w:pPr>
        <w:spacing w:after="200"/>
        <w:jc w:val="center"/>
      </w:pPr>
      <w:r>
        <w:t>Assignment Title: Component 1: Written Report</w:t>
      </w:r>
      <w:r>
        <w:br w:type="page"/>
      </w:r>
    </w:p>
    <w:p w14:paraId="00CB5ADA" w14:textId="77777777" w:rsidR="000D3DD7" w:rsidRDefault="00000000">
      <w:pPr>
        <w:spacing w:before="400" w:after="200"/>
      </w:pPr>
      <w:r>
        <w:rPr>
          <w:b/>
          <w:bCs/>
          <w:color w:val="000000"/>
          <w:sz w:val="28"/>
          <w:szCs w:val="28"/>
        </w:rPr>
        <w:lastRenderedPageBreak/>
        <w:t>1. Introduction</w:t>
      </w:r>
    </w:p>
    <w:p w14:paraId="1468FACC" w14:textId="77777777" w:rsidR="000D3DD7" w:rsidRDefault="00000000">
      <w:pPr>
        <w:spacing w:after="200" w:line="360" w:lineRule="auto"/>
        <w:jc w:val="both"/>
      </w:pPr>
      <w:r>
        <w:rPr>
          <w:color w:val="000000"/>
        </w:rPr>
        <w:t>Virtual wards are among the most significant digital reconfigurations of NHS acute care in the past decade, shifting hospital-level monitoring and treatment into patients' own homes. A pandemic-era response has become embedded in mainstream NHS planning: by March 2025 there were 20 virtual ward beds per 100,000 GP-registered people in England, and the model is positioned as central to the shift "from hospital to community" set out in national policy (POST, 2026). This expansion has occurred against a backdrop of acute system pressure: Lord Darzi's 2024 independent review identified significant pressures on NHS services and proposed virtual wards as part of the response (POST, 2026). This raises the question this report addresses: has the evidence kept pace with the policy ambition?</w:t>
      </w:r>
    </w:p>
    <w:p w14:paraId="1A6A0DEC" w14:textId="77777777" w:rsidR="000D3DD7" w:rsidRDefault="00000000">
      <w:pPr>
        <w:spacing w:before="200" w:after="100"/>
      </w:pPr>
      <w:r>
        <w:rPr>
          <w:b/>
          <w:bCs/>
          <w:color w:val="000000"/>
          <w:sz w:val="24"/>
        </w:rPr>
        <w:t>Purpose</w:t>
      </w:r>
    </w:p>
    <w:p w14:paraId="71A4E359" w14:textId="77777777" w:rsidR="000D3DD7" w:rsidRDefault="00000000">
      <w:pPr>
        <w:spacing w:after="200" w:line="360" w:lineRule="auto"/>
        <w:jc w:val="both"/>
      </w:pPr>
      <w:r>
        <w:rPr>
          <w:color w:val="000000"/>
        </w:rPr>
        <w:t>This report evaluates virtual wards as a digital innovation, examining the evidence on workforce, service delivery, patients, and communities, and identifying where official framing outpaces the evidence.</w:t>
      </w:r>
    </w:p>
    <w:p w14:paraId="5DB2AFE6" w14:textId="77777777" w:rsidR="000D3DD7" w:rsidRDefault="00000000">
      <w:pPr>
        <w:spacing w:before="200" w:after="100"/>
      </w:pPr>
      <w:r>
        <w:rPr>
          <w:b/>
          <w:bCs/>
          <w:color w:val="000000"/>
          <w:sz w:val="24"/>
        </w:rPr>
        <w:t>Scope</w:t>
      </w:r>
    </w:p>
    <w:p w14:paraId="2B12F5A1" w14:textId="77777777" w:rsidR="000D3DD7" w:rsidRDefault="00000000">
      <w:pPr>
        <w:spacing w:after="200" w:line="360" w:lineRule="auto"/>
        <w:jc w:val="both"/>
      </w:pPr>
      <w:r>
        <w:rPr>
          <w:color w:val="000000"/>
        </w:rPr>
        <w:t>The report is limited to the UK NHS, drawing on NHS England policy documents, parliamentary briefings, and peer-reviewed studies mostly from the last five years.</w:t>
      </w:r>
    </w:p>
    <w:p w14:paraId="1165EA9F" w14:textId="77777777" w:rsidR="000D3DD7" w:rsidRDefault="00000000">
      <w:pPr>
        <w:spacing w:before="400" w:after="200"/>
      </w:pPr>
      <w:r>
        <w:rPr>
          <w:b/>
          <w:bCs/>
          <w:color w:val="000000"/>
          <w:sz w:val="28"/>
          <w:szCs w:val="28"/>
        </w:rPr>
        <w:t>2. Overview of NHS Virtual Wards</w:t>
      </w:r>
    </w:p>
    <w:p w14:paraId="0DE69408" w14:textId="77777777" w:rsidR="000D3DD7" w:rsidRDefault="00000000">
      <w:pPr>
        <w:spacing w:after="200" w:line="360" w:lineRule="auto"/>
        <w:jc w:val="both"/>
      </w:pPr>
      <w:r>
        <w:rPr>
          <w:color w:val="000000"/>
        </w:rPr>
        <w:t>NHS England defines a virtual ward as "a safe and efficient alternative to NHS bedded care" enabled by technology, and although "hospital at home" is sometimes used interchangeably, national guidance now favours the term "virtual ward" (NHS England, 2024b). In practice, the label covers a wide spectrum of service models rather than one defined intervention: virtual ward and hospital-at-home programmes do not necessarily require technology but can be enhanced through monitoring apps, platforms, wearables, and pulse oximeters (POST, 2026). This matters because a service described as a "virtual ward" could sit anywhere on a scale from largely telephone-based follow-up to continuous, device-driven physiological monitoring; this variation is treated as significant throughout this report.</w:t>
      </w:r>
    </w:p>
    <w:p w14:paraId="61C9A835" w14:textId="77777777" w:rsidR="000D3DD7" w:rsidRDefault="00000000">
      <w:pPr>
        <w:spacing w:after="200" w:line="360" w:lineRule="auto"/>
        <w:jc w:val="both"/>
      </w:pPr>
      <w:r>
        <w:rPr>
          <w:color w:val="000000"/>
        </w:rPr>
        <w:t xml:space="preserve">That variation is visible in the speed of scaling. There are now more than 12,000 virtual ward beds nationwide, following a May 2024 announcement to further increase access and cut avoidable admissions (POST, 2026). Regional data illustrates the pattern: in the South East, bed capacity grew by 20% over six months, while the proportion of technologically enabled beds increased by only 10% over the same period (NHS England, 2024a). Capacity, in other words, is expanding faster than the technological maturity underpinning it, suggesting breadth </w:t>
      </w:r>
      <w:r>
        <w:rPr>
          <w:color w:val="000000"/>
        </w:rPr>
        <w:lastRenderedPageBreak/>
        <w:t>of rollout has taken precedence over depth of implementation. All Integrated Care Systems have been asked to extend or introduce the virtual ward model (Digital Health, 2022), a directive now tied to the government's 10 Year Health Plan (POST, 2026). Non-recurrent national funding was made available in 2023/24 to establish virtual wards, but was not intended to cover the ongoing running costs of the service (NHS England, 2024b) — a detail that anticipates the sustainability concerns discussed later.</w:t>
      </w:r>
    </w:p>
    <w:p w14:paraId="1046E707" w14:textId="77777777" w:rsidR="000D3DD7" w:rsidRDefault="00000000">
      <w:pPr>
        <w:spacing w:before="400" w:after="200"/>
      </w:pPr>
      <w:r>
        <w:rPr>
          <w:b/>
          <w:bCs/>
          <w:color w:val="000000"/>
          <w:sz w:val="28"/>
          <w:szCs w:val="28"/>
        </w:rPr>
        <w:t>3. Impact on Workforce</w:t>
      </w:r>
    </w:p>
    <w:p w14:paraId="0B19AEFE" w14:textId="77777777" w:rsidR="000D3DD7" w:rsidRDefault="00000000">
      <w:pPr>
        <w:spacing w:after="200" w:line="360" w:lineRule="auto"/>
        <w:jc w:val="both"/>
      </w:pPr>
      <w:r>
        <w:rPr>
          <w:color w:val="000000"/>
        </w:rPr>
        <w:t>Proponents argue that virtual wards redistribute clinical effort more efficiently. One feasibility study estimated 812 hospital admissions avoided and 4,547 bed days saved over three years through app-based remote monitoring (Shah et al., 2021) — time that would otherwise go into ward rounds and admissions.</w:t>
      </w:r>
    </w:p>
    <w:p w14:paraId="735B09A2" w14:textId="77777777" w:rsidR="000D3DD7" w:rsidRDefault="00000000">
      <w:pPr>
        <w:spacing w:after="200" w:line="360" w:lineRule="auto"/>
        <w:jc w:val="both"/>
      </w:pPr>
      <w:r>
        <w:rPr>
          <w:color w:val="000000"/>
        </w:rPr>
        <w:t>This figure, however, measures bed-day efficiency, not staff workload, and the two should not be conflated. NHS-specific qualitative research tells a more complicated story: a 2025 study of virtual ward staff found that NHS targets and metrics of success were considered unrealistic, and recommended coherent messaging of responsibilities for patients, families, carers, and staff, supported by targeted training and ring-fenced staff time (Litchfield et al., 2025). A companion study of ICS commissioners found that differing interpretations of NHS England's instructions, unclear definitions, and hospital-centric language hindered a joined-up system approach, alongside unrealistic timescales, poor interoperability, and liability concerns (McGowan et al., 2024). The NHS Confederation's analysis reaches a similar conclusion: severe workforce and skills shortages are limiting systems' ability to develop and scale virtual wards, and the model can only be delivered successfully by a fit-for-purpose workforce sustained over the long term (NHS Confederation, 2023). Evidence from outside the NHS — a US eye-tracking study of virtual nursing — points in a similar direction, with 75% of virtual nursing encounters showing a first instance of cognitive fatigue within roughly ten minutes of discharge or admission tasks (Khairat et al., 2025), though this is indicative rather than conclusive for the UK context.</w:t>
      </w:r>
    </w:p>
    <w:p w14:paraId="068D7102" w14:textId="77777777" w:rsidR="000D3DD7" w:rsidRDefault="00000000">
      <w:pPr>
        <w:spacing w:after="200" w:line="360" w:lineRule="auto"/>
        <w:jc w:val="both"/>
      </w:pPr>
      <w:r>
        <w:rPr>
          <w:color w:val="000000"/>
        </w:rPr>
        <w:t>Taken together, the workforce problem is not simply a staff shortage, but a mismatch between how the programme is measured from above and how it is staffed, trained, and understood on the ground. Bed-day savings are a genuine efficiency, but they say nothing about whether staff are adequately resourced or realistically evaluated — a distinction central to whether policy ambition has outpaced evidence.</w:t>
      </w:r>
    </w:p>
    <w:p w14:paraId="7B351597" w14:textId="77777777" w:rsidR="000D3DD7" w:rsidRDefault="00000000">
      <w:pPr>
        <w:spacing w:before="400" w:after="200"/>
      </w:pPr>
      <w:r>
        <w:rPr>
          <w:b/>
          <w:bCs/>
          <w:color w:val="000000"/>
          <w:sz w:val="28"/>
          <w:szCs w:val="28"/>
        </w:rPr>
        <w:t>4. Impact on Service Delivery</w:t>
      </w:r>
    </w:p>
    <w:p w14:paraId="3E8A4714" w14:textId="77777777" w:rsidR="000D3DD7" w:rsidRDefault="00000000">
      <w:pPr>
        <w:spacing w:after="200" w:line="360" w:lineRule="auto"/>
        <w:jc w:val="both"/>
      </w:pPr>
      <w:r>
        <w:rPr>
          <w:color w:val="000000"/>
        </w:rPr>
        <w:lastRenderedPageBreak/>
        <w:t xml:space="preserve">An NHS evaluation found 9,000 hospital admissions avoided in the South East during 2023–24 (NHS England, 2024a), and the clinical case is broadly encouraging: reviews of randomised trials indicate low-to-moderate certainty evidence that mortality and readmission outcomes are as good as, or better than, inpatient care (POST, 2026). A matched study at Wrightington, Wigan and Leigh NHS Trust </w:t>
      </w:r>
      <w:proofErr w:type="gramStart"/>
      <w:r>
        <w:rPr>
          <w:color w:val="000000"/>
        </w:rPr>
        <w:t>goes</w:t>
      </w:r>
      <w:proofErr w:type="gramEnd"/>
      <w:r>
        <w:rPr>
          <w:color w:val="000000"/>
        </w:rPr>
        <w:t xml:space="preserve"> further: virtual ward patients had 63% lower mortality than matched inpatients (Jalilian et al., 2024).</w:t>
      </w:r>
    </w:p>
    <w:p w14:paraId="59D5A29B" w14:textId="77777777" w:rsidR="000D3DD7" w:rsidRDefault="00000000">
      <w:pPr>
        <w:spacing w:after="200" w:line="360" w:lineRule="auto"/>
        <w:jc w:val="both"/>
      </w:pPr>
      <w:r>
        <w:rPr>
          <w:color w:val="000000"/>
        </w:rPr>
        <w:t>The economic case, however, is considerably weaker, and the same source is explicit about this: although many studies have investigated the costs of virtual wards, nearly all have methodological problems that may overestimate cost savings (POST, 2026). The Wigan study illustrates this tension: a 40-bed virtual ward was clinically effective in terms of survival and freed three hospital beds per day, yet each day freed cost three-quarters more than a hospital bed-day, prompting its authors to warn against deploying virtual wards at scale without cost-effective management plans (Jalilian et al., 2024). Broader reviews reinforce this caution: a 2024 review found 40 constituent hospital-at-home studies had minor methodological concerns and 12 had major concerns, while both a 2017 and a 2024 review concluded that early-discharge hospital at home "probably makes little or no difference to mortality," with the underlying evidence rated only moderate-certainty (POST, 2026).</w:t>
      </w:r>
    </w:p>
    <w:p w14:paraId="73CBF410" w14:textId="77777777" w:rsidR="000D3DD7" w:rsidRDefault="00000000">
      <w:pPr>
        <w:spacing w:after="200" w:line="360" w:lineRule="auto"/>
        <w:jc w:val="both"/>
      </w:pPr>
      <w:r>
        <w:rPr>
          <w:color w:val="000000"/>
        </w:rPr>
        <w:t xml:space="preserve">This is one of the sharpest contradictions in the evidence base: at Wigan, patients did better clinically, yet the service cost more per bed-day freed than conventional inpatient care. It is more accurate to treat clinical effectiveness and financial sustainability as separate questions with separate answers — </w:t>
      </w:r>
      <w:proofErr w:type="gramStart"/>
      <w:r>
        <w:rPr>
          <w:color w:val="000000"/>
        </w:rPr>
        <w:t>a distinction official NHS communications</w:t>
      </w:r>
      <w:proofErr w:type="gramEnd"/>
      <w:r>
        <w:rPr>
          <w:color w:val="000000"/>
        </w:rPr>
        <w:t xml:space="preserve"> do not always make clearly.</w:t>
      </w:r>
    </w:p>
    <w:p w14:paraId="725F0F42" w14:textId="77777777" w:rsidR="000D3DD7" w:rsidRDefault="00000000">
      <w:pPr>
        <w:spacing w:before="400" w:after="200"/>
      </w:pPr>
      <w:r>
        <w:rPr>
          <w:b/>
          <w:bCs/>
          <w:color w:val="000000"/>
          <w:sz w:val="28"/>
          <w:szCs w:val="28"/>
        </w:rPr>
        <w:t>5. Impact on Patients</w:t>
      </w:r>
    </w:p>
    <w:p w14:paraId="43D94426" w14:textId="77777777" w:rsidR="000D3DD7" w:rsidRDefault="00000000">
      <w:pPr>
        <w:spacing w:after="200" w:line="360" w:lineRule="auto"/>
        <w:jc w:val="both"/>
      </w:pPr>
      <w:r>
        <w:rPr>
          <w:color w:val="000000"/>
        </w:rPr>
        <w:t xml:space="preserve">A 2025 systematic review concluded that virtual wards can enhance outcomes for frail older adults and relieve system pressure, with some studies also demonstrating cost-effectiveness compared with inpatient care (Akinluyi, </w:t>
      </w:r>
      <w:proofErr w:type="spellStart"/>
      <w:r>
        <w:rPr>
          <w:color w:val="000000"/>
        </w:rPr>
        <w:t>Ogunfusika</w:t>
      </w:r>
      <w:proofErr w:type="spellEnd"/>
      <w:r>
        <w:rPr>
          <w:color w:val="000000"/>
        </w:rPr>
        <w:t xml:space="preserve"> and Brown, 2025). Comfort and continuity of care at home are recurring themes, translating for many patients into genuine satisfaction with the model.</w:t>
      </w:r>
    </w:p>
    <w:p w14:paraId="01183250" w14:textId="77777777" w:rsidR="000D3DD7" w:rsidRDefault="00000000">
      <w:pPr>
        <w:spacing w:after="200" w:line="360" w:lineRule="auto"/>
        <w:jc w:val="both"/>
      </w:pPr>
      <w:r>
        <w:rPr>
          <w:color w:val="000000"/>
        </w:rPr>
        <w:t xml:space="preserve">That same 2025 review, though, is careful to note inconsistent mortality results and barriers such as digital literacy, patient engagement, and access to technology affecting both uptake and long-term sustainability (Akinluyi, </w:t>
      </w:r>
      <w:proofErr w:type="spellStart"/>
      <w:r>
        <w:rPr>
          <w:color w:val="000000"/>
        </w:rPr>
        <w:t>Ogunfusika</w:t>
      </w:r>
      <w:proofErr w:type="spellEnd"/>
      <w:r>
        <w:rPr>
          <w:color w:val="000000"/>
        </w:rPr>
        <w:t xml:space="preserve"> and Brown, 2025). More revealing still is a 2026 multisite qualitative study led by the University of Manchester, which examined how safety is actually delivered in practice, rather than whether outcomes look acceptable on paper (Howells et al., 2026). It found that patients and caregivers often take on more practical and </w:t>
      </w:r>
      <w:r>
        <w:rPr>
          <w:color w:val="000000"/>
        </w:rPr>
        <w:lastRenderedPageBreak/>
        <w:t>emotional responsibility than is recognised, assuming duties normally carried out by clinicians — monitoring symptoms, managing equipment, and responding to deterioration, especially overnight. The published findings describe this as a redistribution of "risk-work": responsibility for safety is shared with patients and carers rather than held by clinicians alone (Howells et al., 2026). Governance structures, multidisciplinary teams, and informal sense-checking still provided collective safety-netting, though training and communication practices varied across sites. The Royal College of Physicians (2023) warns that unless nursing and personal care needs can be met consistently and promptly at home, hospital at home cannot be delivered safely, and this may place additional responsibilities on informal carers, whose own capacity must also be properly assessed. Public confidence reflects this ambivalence: 45% of the public and 63% of NHS staff reported being supportive, yet around a third of the public were "not very" or "not at all" supportive (The Health Foundation, 2023).</w:t>
      </w:r>
    </w:p>
    <w:p w14:paraId="184EC5A3" w14:textId="77777777" w:rsidR="000D3DD7" w:rsidRDefault="00000000">
      <w:pPr>
        <w:spacing w:after="200" w:line="360" w:lineRule="auto"/>
        <w:jc w:val="both"/>
      </w:pPr>
      <w:r>
        <w:rPr>
          <w:color w:val="000000"/>
        </w:rPr>
        <w:t xml:space="preserve">The Manchester findings are arguably the most important evidence here, because they show that patient empowerment and hidden burden are not opposing outcomes but the same mechanism seen from two angles: home-based care appears safe largely </w:t>
      </w:r>
      <w:r>
        <w:rPr>
          <w:i/>
          <w:iCs/>
          <w:color w:val="000000"/>
        </w:rPr>
        <w:t>because</w:t>
      </w:r>
      <w:r>
        <w:rPr>
          <w:color w:val="000000"/>
        </w:rPr>
        <w:t xml:space="preserve"> families quietly absorb clinical risk. Any patient satisfaction statistic therefore needs to be read alongside this finding, not in place of it.</w:t>
      </w:r>
    </w:p>
    <w:p w14:paraId="2100B5E4" w14:textId="77777777" w:rsidR="000D3DD7" w:rsidRDefault="00000000">
      <w:pPr>
        <w:spacing w:before="400" w:after="200"/>
      </w:pPr>
      <w:r>
        <w:rPr>
          <w:b/>
          <w:bCs/>
          <w:color w:val="000000"/>
          <w:sz w:val="28"/>
          <w:szCs w:val="28"/>
        </w:rPr>
        <w:t>6. Impact on Communities</w:t>
      </w:r>
    </w:p>
    <w:p w14:paraId="334EA93C" w14:textId="77777777" w:rsidR="000D3DD7" w:rsidRDefault="00000000">
      <w:pPr>
        <w:spacing w:after="200" w:line="360" w:lineRule="auto"/>
        <w:jc w:val="both"/>
      </w:pPr>
      <w:r>
        <w:rPr>
          <w:color w:val="000000"/>
        </w:rPr>
        <w:t>Virtual wards risk increasing inequality, since digital technologies could disproportionately exclude older people, those on lower incomes, those in social housing, rural populations, or the unemployed (POST, 2026). This is not merely a theoretical concern: a study of a COVID-era virtual ward found 31.5% of referred patients did not use the associated monitoring app, with language barriers, access, inadequate training, and poor IT skills identified as the main drivers of exclusion (Fox et al., 2022). A rapid evidence synthesis published in Age and Ageing extends this concern specifically to people with dementia, recommending that attention be paid to inclusivity of services for this group so that older people are not disadvantaged, either in quality of care or through digital exclusion (Norman, Bennett and Vardy, 2023).</w:t>
      </w:r>
    </w:p>
    <w:p w14:paraId="6BBF23DF" w14:textId="77777777" w:rsidR="000D3DD7" w:rsidRDefault="00000000">
      <w:pPr>
        <w:spacing w:after="200" w:line="360" w:lineRule="auto"/>
        <w:jc w:val="both"/>
      </w:pPr>
      <w:r>
        <w:rPr>
          <w:color w:val="000000"/>
        </w:rPr>
        <w:t xml:space="preserve">Local practice shows this risk is not inevitable, however. A Devon pilot aimed at reducing health inequalities associated with virtual wards provided patients with support to use digital equipment, improving clinical capacity and reducing the need to bring patients back to hospital for technical support (NHS England, 2024b). The question this raises for the report's overall argument is one of durability rather than feasibility: given that 2023/24 national funding was explicitly not intended to cover ongoing running costs, it is unclear whether locally designed inclusion work of the kind seen in Devon can be sustained once initial funding tranches are </w:t>
      </w:r>
      <w:r>
        <w:rPr>
          <w:color w:val="000000"/>
        </w:rPr>
        <w:lastRenderedPageBreak/>
        <w:t>exhausted, or whether it depends on discretionary investment that cannot be guaranteed nationally.</w:t>
      </w:r>
    </w:p>
    <w:p w14:paraId="1ED005A2" w14:textId="77777777" w:rsidR="000D3DD7" w:rsidRDefault="00000000">
      <w:pPr>
        <w:spacing w:before="400" w:after="200"/>
      </w:pPr>
      <w:r>
        <w:rPr>
          <w:b/>
          <w:bCs/>
          <w:color w:val="000000"/>
          <w:sz w:val="28"/>
          <w:szCs w:val="28"/>
        </w:rPr>
        <w:t>7. Overall Critical Evaluation</w:t>
      </w:r>
    </w:p>
    <w:p w14:paraId="2D74CB07" w14:textId="77777777" w:rsidR="000D3DD7" w:rsidRDefault="00000000">
      <w:pPr>
        <w:spacing w:after="200" w:line="360" w:lineRule="auto"/>
        <w:jc w:val="both"/>
      </w:pPr>
      <w:r>
        <w:rPr>
          <w:color w:val="000000"/>
        </w:rPr>
        <w:t>Judged against clinical goals, virtual wards have genuine support: outcomes are consistently as good as or better than inpatient care, with the Wigan cohort showing a clear mortality advantage. Judged against economic goals, the picture is considerably weaker — most cost studies may overestimate savings, and the most rigorous UK trust-level study found costs three-quarters higher per bed-day freed (Jalilian et al., 2024). Judged against workforce goals, commissioners and frontline staff independently report unrealistic success metrics, pointing to a governance failure as much as a resourcing one. Judged against equity goals, digital exclusion is a demonstrated risk requiring active local mitigation not currently guaranteed by national funding.</w:t>
      </w:r>
    </w:p>
    <w:p w14:paraId="749DA7B4" w14:textId="77777777" w:rsidR="000D3DD7" w:rsidRDefault="00000000">
      <w:pPr>
        <w:spacing w:after="200" w:line="360" w:lineRule="auto"/>
        <w:jc w:val="both"/>
      </w:pPr>
      <w:r>
        <w:rPr>
          <w:color w:val="000000"/>
        </w:rPr>
        <w:t>Sustainability is the weakest link. A programme whose start-up funding was explicitly not designed to cover ongoing costs, whose unit economics may be unfavourable at scale, and whose implementation is hampered by unrealistic timescales and unclear definitions, remains vulnerable regardless of its genuine clinical promise.</w:t>
      </w:r>
    </w:p>
    <w:p w14:paraId="5F378E43" w14:textId="77777777" w:rsidR="000D3DD7" w:rsidRDefault="00000000">
      <w:pPr>
        <w:spacing w:before="400" w:after="200"/>
      </w:pPr>
      <w:r>
        <w:rPr>
          <w:b/>
          <w:bCs/>
          <w:color w:val="000000"/>
          <w:sz w:val="28"/>
          <w:szCs w:val="28"/>
        </w:rPr>
        <w:t>8. Recommendations</w:t>
      </w:r>
    </w:p>
    <w:p w14:paraId="71599380" w14:textId="77777777" w:rsidR="000D3DD7" w:rsidRDefault="00000000">
      <w:pPr>
        <w:spacing w:after="200" w:line="360" w:lineRule="auto"/>
        <w:jc w:val="both"/>
      </w:pPr>
      <w:r>
        <w:rPr>
          <w:color w:val="000000"/>
        </w:rPr>
        <w:t>First, commissioners should revise virtual ward success metrics in direct consultation with frontline staff, since commissioner-facing and staff-facing research independently identified unrealistic top-down targets as a delivery barrier. Second, national funding should shift from short-term establishment grants toward recurrent revenue funding, given that current arrangements were never intended to sustain running costs. Third, formal carer-capacity assessment should be built into enrolment protocols, informed directly by the Manchester findings on redistributed risk-work. Fourth, cost-effectiveness modelling should be commissioned independently of providers or trusts, given the documented tendency of cost studies to overestimate savings.</w:t>
      </w:r>
    </w:p>
    <w:p w14:paraId="147C9CAC" w14:textId="77777777" w:rsidR="000D3DD7" w:rsidRDefault="00000000">
      <w:pPr>
        <w:spacing w:before="400" w:after="200"/>
      </w:pPr>
      <w:r>
        <w:rPr>
          <w:b/>
          <w:bCs/>
          <w:color w:val="000000"/>
          <w:sz w:val="28"/>
          <w:szCs w:val="28"/>
        </w:rPr>
        <w:t>9. Conclusion</w:t>
      </w:r>
    </w:p>
    <w:p w14:paraId="0B93400A" w14:textId="77777777" w:rsidR="000D3DD7" w:rsidRDefault="00000000">
      <w:pPr>
        <w:spacing w:after="200" w:line="360" w:lineRule="auto"/>
        <w:jc w:val="both"/>
      </w:pPr>
      <w:r>
        <w:rPr>
          <w:color w:val="000000"/>
        </w:rPr>
        <w:t xml:space="preserve">NHS virtual wards deliver genuinely encouraging clinical outcomes but a far less certain economic and workforce picture. The strongest UK-specific evidence shows a real mortality benefit alongside a real cost penalty at the same trust, staff and commissioners flagging the same governance weaknesses from different vantage points, and clinical risk being quietly absorbed by patients' families rather than the health service. None of this makes virtual wards </w:t>
      </w:r>
      <w:r>
        <w:rPr>
          <w:color w:val="000000"/>
        </w:rPr>
        <w:lastRenderedPageBreak/>
        <w:t>a failed innovation, but it does rule out treating them as a straightforwardly cost-saving, workforce-relieving success — closer to how they are sometimes presented in policy communication than the evidence supports.</w:t>
      </w:r>
    </w:p>
    <w:p w14:paraId="2B0C7309" w14:textId="77777777" w:rsidR="000D3DD7" w:rsidRDefault="00000000">
      <w:r>
        <w:br w:type="page"/>
      </w:r>
    </w:p>
    <w:p w14:paraId="17A5EAFA" w14:textId="7C8F0F17" w:rsidR="000D3DD7" w:rsidRDefault="00000000">
      <w:pPr>
        <w:spacing w:before="400" w:after="200"/>
      </w:pPr>
      <w:r>
        <w:rPr>
          <w:b/>
          <w:bCs/>
          <w:color w:val="000000"/>
          <w:sz w:val="28"/>
          <w:szCs w:val="28"/>
        </w:rPr>
        <w:lastRenderedPageBreak/>
        <w:t xml:space="preserve">10. Reference List </w:t>
      </w:r>
    </w:p>
    <w:p w14:paraId="53342FF7" w14:textId="77777777" w:rsidR="000D3DD7" w:rsidRDefault="00000000">
      <w:pPr>
        <w:spacing w:after="200" w:line="360" w:lineRule="auto"/>
        <w:ind w:left="720" w:hanging="720"/>
      </w:pPr>
      <w:r>
        <w:rPr>
          <w:color w:val="000000"/>
        </w:rPr>
        <w:t xml:space="preserve">Akinluyi, A., </w:t>
      </w:r>
      <w:proofErr w:type="spellStart"/>
      <w:r>
        <w:rPr>
          <w:color w:val="000000"/>
        </w:rPr>
        <w:t>Ogunfusika</w:t>
      </w:r>
      <w:proofErr w:type="spellEnd"/>
      <w:r>
        <w:rPr>
          <w:color w:val="000000"/>
        </w:rPr>
        <w:t xml:space="preserve">, O.H. and Brown, A. (2025) 'The Effectiveness of Virtual Wards Compared to Inpatient Beds in Clinical Outcomes of Frail Older Patients </w:t>
      </w:r>
      <w:proofErr w:type="gramStart"/>
      <w:r>
        <w:rPr>
          <w:color w:val="000000"/>
        </w:rPr>
        <w:t>With</w:t>
      </w:r>
      <w:proofErr w:type="gramEnd"/>
      <w:r>
        <w:rPr>
          <w:color w:val="000000"/>
        </w:rPr>
        <w:t xml:space="preserve"> Chronic Conditions: A Systematic Review', </w:t>
      </w:r>
      <w:proofErr w:type="spellStart"/>
      <w:r>
        <w:rPr>
          <w:i/>
          <w:iCs/>
          <w:color w:val="000000"/>
        </w:rPr>
        <w:t>Cureus</w:t>
      </w:r>
      <w:proofErr w:type="spellEnd"/>
      <w:r>
        <w:rPr>
          <w:color w:val="000000"/>
        </w:rPr>
        <w:t>, 17(11), e97487. Available at: https://pmc.ncbi.nlm.nih.gov/articles/PMC12649329/ (Accessed: 20 July 2026).</w:t>
      </w:r>
    </w:p>
    <w:p w14:paraId="14210AF2" w14:textId="77777777" w:rsidR="000D3DD7" w:rsidRDefault="00000000">
      <w:pPr>
        <w:spacing w:after="200" w:line="360" w:lineRule="auto"/>
        <w:ind w:left="720" w:hanging="720"/>
      </w:pPr>
      <w:r>
        <w:rPr>
          <w:color w:val="000000"/>
        </w:rPr>
        <w:t xml:space="preserve">Digital Health (2022) </w:t>
      </w:r>
      <w:r>
        <w:rPr>
          <w:i/>
          <w:iCs/>
          <w:color w:val="000000"/>
        </w:rPr>
        <w:t>NHS England guidance asks ICSs to extend or introduce virtual wards</w:t>
      </w:r>
      <w:r>
        <w:rPr>
          <w:color w:val="000000"/>
        </w:rPr>
        <w:t>. Available at: https://www.digitalhealth.net/2022/05/nhs-england-ics-virtual-wards-guidance/ (Accessed: 20 July 2026).</w:t>
      </w:r>
    </w:p>
    <w:p w14:paraId="52ADB530" w14:textId="77777777" w:rsidR="000D3DD7" w:rsidRDefault="00000000">
      <w:pPr>
        <w:spacing w:after="200" w:line="360" w:lineRule="auto"/>
        <w:ind w:left="720" w:hanging="720"/>
      </w:pPr>
      <w:r>
        <w:rPr>
          <w:color w:val="000000"/>
        </w:rPr>
        <w:t xml:space="preserve">Fox, R., Saeed, Z., Khan, S., Robertson, H., </w:t>
      </w:r>
      <w:proofErr w:type="spellStart"/>
      <w:r>
        <w:rPr>
          <w:color w:val="000000"/>
        </w:rPr>
        <w:t>Crisford</w:t>
      </w:r>
      <w:proofErr w:type="spellEnd"/>
      <w:r>
        <w:rPr>
          <w:color w:val="000000"/>
        </w:rPr>
        <w:t xml:space="preserve">, S., Wiggam, A., Foley, A., Raza, F. and Wright, M. (2022) 'Lessons learnt for digital inclusion in underserved communities from implementing a covid virtual ward', </w:t>
      </w:r>
      <w:r>
        <w:rPr>
          <w:i/>
          <w:iCs/>
          <w:color w:val="000000"/>
        </w:rPr>
        <w:t>PLOS Digital Health</w:t>
      </w:r>
      <w:r>
        <w:rPr>
          <w:color w:val="000000"/>
        </w:rPr>
        <w:t>, 1(11), e0000146. Available at: https://www.ncbi.nlm.nih.gov/pmc/articles/PMC9931265/ (Accessed: 20 July 2026).</w:t>
      </w:r>
    </w:p>
    <w:p w14:paraId="6D0CD305" w14:textId="77777777" w:rsidR="000D3DD7" w:rsidRDefault="00000000">
      <w:pPr>
        <w:spacing w:after="200" w:line="360" w:lineRule="auto"/>
        <w:ind w:left="720" w:hanging="720"/>
      </w:pPr>
      <w:r>
        <w:rPr>
          <w:color w:val="000000"/>
        </w:rPr>
        <w:t xml:space="preserve">The Health Foundation (2023) </w:t>
      </w:r>
      <w:r>
        <w:rPr>
          <w:i/>
          <w:iCs/>
          <w:color w:val="000000"/>
        </w:rPr>
        <w:t>How do the public and NHS staff feel about virtual wards?</w:t>
      </w:r>
      <w:r>
        <w:rPr>
          <w:color w:val="000000"/>
        </w:rPr>
        <w:t xml:space="preserve"> Available at: https://www.health.org.uk/reports-and-analysis/analysis/how-do-the-public-and-nhs-staff-feel-about-virtual-wards (Accessed: 20 July 2026).</w:t>
      </w:r>
    </w:p>
    <w:p w14:paraId="200845D4" w14:textId="77777777" w:rsidR="000D3DD7" w:rsidRDefault="00000000">
      <w:pPr>
        <w:spacing w:after="200" w:line="360" w:lineRule="auto"/>
        <w:ind w:left="720" w:hanging="720"/>
      </w:pPr>
      <w:r>
        <w:rPr>
          <w:color w:val="000000"/>
        </w:rPr>
        <w:t xml:space="preserve">Howells, K., Bradley, F., Gasteiger, N., Whittaker, W., Vardy, E., Dowding, D., Blakeman, T. and Sanders, C. (2026) 'Shifting boundaries of risk-work in virtual wards in North-West England: a multisite qualitative evaluation', </w:t>
      </w:r>
      <w:r>
        <w:rPr>
          <w:i/>
          <w:iCs/>
          <w:color w:val="000000"/>
        </w:rPr>
        <w:t>BMJ Quality &amp; Safety</w:t>
      </w:r>
      <w:r>
        <w:rPr>
          <w:color w:val="000000"/>
        </w:rPr>
        <w:t>. DOI: 10.1136/bmjqs-2025-020002.</w:t>
      </w:r>
    </w:p>
    <w:p w14:paraId="786B95C7" w14:textId="77777777" w:rsidR="000D3DD7" w:rsidRDefault="00000000">
      <w:pPr>
        <w:spacing w:after="200" w:line="360" w:lineRule="auto"/>
        <w:ind w:left="720" w:hanging="720"/>
      </w:pPr>
      <w:r>
        <w:rPr>
          <w:color w:val="000000"/>
        </w:rPr>
        <w:t xml:space="preserve">Jalilian, A., </w:t>
      </w:r>
      <w:proofErr w:type="spellStart"/>
      <w:r>
        <w:rPr>
          <w:color w:val="000000"/>
        </w:rPr>
        <w:t>Sedda</w:t>
      </w:r>
      <w:proofErr w:type="spellEnd"/>
      <w:r>
        <w:rPr>
          <w:color w:val="000000"/>
        </w:rPr>
        <w:t xml:space="preserve">, L., Unsworth, A. and Farrier, M. (2024) 'Length of stay and economic sustainability of virtual ward care in a medium-sized hospital of the UK: a retrospective longitudinal study', </w:t>
      </w:r>
      <w:r>
        <w:rPr>
          <w:i/>
          <w:iCs/>
          <w:color w:val="000000"/>
        </w:rPr>
        <w:t>BMJ Open</w:t>
      </w:r>
      <w:r>
        <w:rPr>
          <w:color w:val="000000"/>
        </w:rPr>
        <w:t>, 14(1), e081378. DOI: 10.1136/bmjopen-2023-081378.</w:t>
      </w:r>
    </w:p>
    <w:p w14:paraId="525DE33C" w14:textId="77777777" w:rsidR="000D3DD7" w:rsidRDefault="00000000">
      <w:pPr>
        <w:spacing w:after="200" w:line="360" w:lineRule="auto"/>
        <w:ind w:left="720" w:hanging="720"/>
      </w:pPr>
      <w:r>
        <w:rPr>
          <w:color w:val="000000"/>
        </w:rPr>
        <w:t xml:space="preserve">Khairat, S., Morelli, J., Liao, W.-T., Aucoin, J., Edson, B.S. and Jones, C.B. (2025) 'Association of Virtual Nurses' Workflow and Cognitive Fatigue During Inpatient Encounters: Cross-Sectional Study', </w:t>
      </w:r>
      <w:r>
        <w:rPr>
          <w:i/>
          <w:iCs/>
          <w:color w:val="000000"/>
        </w:rPr>
        <w:t>JMIR Human Factors</w:t>
      </w:r>
      <w:r>
        <w:rPr>
          <w:color w:val="000000"/>
        </w:rPr>
        <w:t>, 12, e67111. Available at: https://pmc.ncbi.nlm.nih.gov/articles/PMC12040296/ (Accessed: 20 July 2026).</w:t>
      </w:r>
    </w:p>
    <w:p w14:paraId="76E35D05" w14:textId="77777777" w:rsidR="000D3DD7" w:rsidRDefault="00000000">
      <w:pPr>
        <w:spacing w:after="200" w:line="360" w:lineRule="auto"/>
        <w:ind w:left="720" w:hanging="720"/>
      </w:pPr>
      <w:r>
        <w:rPr>
          <w:color w:val="000000"/>
        </w:rPr>
        <w:t xml:space="preserve">Litchfield, I., Lewis, R., </w:t>
      </w:r>
      <w:proofErr w:type="spellStart"/>
      <w:r>
        <w:rPr>
          <w:color w:val="000000"/>
        </w:rPr>
        <w:t>Delanerolle</w:t>
      </w:r>
      <w:proofErr w:type="spellEnd"/>
      <w:r>
        <w:rPr>
          <w:color w:val="000000"/>
        </w:rPr>
        <w:t xml:space="preserve">, G., Melyda, M. and Harper, L. (2025) 'Factors Influencing the Implementation of a Multispecialty Virtual Ward Program in the United Kingdom: Qualitative Exploration of Staff Experiences and Perspectives', </w:t>
      </w:r>
      <w:r>
        <w:rPr>
          <w:i/>
          <w:iCs/>
          <w:color w:val="000000"/>
        </w:rPr>
        <w:t>Journal of Medical Internet Research</w:t>
      </w:r>
      <w:r>
        <w:rPr>
          <w:color w:val="000000"/>
        </w:rPr>
        <w:t>, 27, e75406. DOI: 10.2196/75406.</w:t>
      </w:r>
    </w:p>
    <w:p w14:paraId="0B747C0F" w14:textId="77777777" w:rsidR="000D3DD7" w:rsidRDefault="00000000">
      <w:pPr>
        <w:spacing w:after="200" w:line="360" w:lineRule="auto"/>
        <w:ind w:left="720" w:hanging="720"/>
      </w:pPr>
      <w:r>
        <w:rPr>
          <w:color w:val="000000"/>
        </w:rPr>
        <w:lastRenderedPageBreak/>
        <w:t xml:space="preserve">McGowan, L.J., Graham, F., </w:t>
      </w:r>
      <w:proofErr w:type="spellStart"/>
      <w:r>
        <w:rPr>
          <w:color w:val="000000"/>
        </w:rPr>
        <w:t>Lecouturier</w:t>
      </w:r>
      <w:proofErr w:type="spellEnd"/>
      <w:r>
        <w:rPr>
          <w:color w:val="000000"/>
        </w:rPr>
        <w:t xml:space="preserve">, J., Goffe, L., Echevarria, C., Kelly, M.P. and Sniehotta, F.F. (2024) 'The Views and Experiences of Integrated Care System Commissioners About the Adoption and Implementation of Virtual Wards in England: Qualitative Exploration Study', </w:t>
      </w:r>
      <w:r>
        <w:rPr>
          <w:i/>
          <w:iCs/>
          <w:color w:val="000000"/>
        </w:rPr>
        <w:t>Journal of Medical Internet Research</w:t>
      </w:r>
      <w:r>
        <w:rPr>
          <w:color w:val="000000"/>
        </w:rPr>
        <w:t>, 26, e56494. DOI: 10.2196/56494.</w:t>
      </w:r>
    </w:p>
    <w:p w14:paraId="0EC80D04" w14:textId="77777777" w:rsidR="000D3DD7" w:rsidRDefault="00000000">
      <w:pPr>
        <w:spacing w:after="200" w:line="360" w:lineRule="auto"/>
        <w:ind w:left="720" w:hanging="720"/>
      </w:pPr>
      <w:r>
        <w:rPr>
          <w:color w:val="000000"/>
        </w:rPr>
        <w:t xml:space="preserve">NHS Confederation (2023) </w:t>
      </w:r>
      <w:r>
        <w:rPr>
          <w:i/>
          <w:iCs/>
          <w:color w:val="000000"/>
        </w:rPr>
        <w:t>Realising the potential of virtual wards</w:t>
      </w:r>
      <w:r>
        <w:rPr>
          <w:color w:val="000000"/>
        </w:rPr>
        <w:t>. Available at: https://www.nhsconfed.org/publications/realising-potential-virtual-wards (Accessed: 20 July 2026).</w:t>
      </w:r>
    </w:p>
    <w:p w14:paraId="2BA80375" w14:textId="77777777" w:rsidR="000D3DD7" w:rsidRDefault="00000000">
      <w:pPr>
        <w:spacing w:after="200" w:line="360" w:lineRule="auto"/>
        <w:ind w:left="720" w:hanging="720"/>
      </w:pPr>
      <w:r>
        <w:rPr>
          <w:color w:val="000000"/>
        </w:rPr>
        <w:t xml:space="preserve">NHS England (2024a) </w:t>
      </w:r>
      <w:r>
        <w:rPr>
          <w:i/>
          <w:iCs/>
          <w:color w:val="000000"/>
        </w:rPr>
        <w:t>Summary of South East region virtual wards evaluation</w:t>
      </w:r>
      <w:r>
        <w:rPr>
          <w:color w:val="000000"/>
        </w:rPr>
        <w:t>. Available at: https://www.england.nhs.uk/long-read/summary-of-south-east-region-virtual-wards-evaluation/ (Accessed: 20 July 2026).</w:t>
      </w:r>
    </w:p>
    <w:p w14:paraId="67997166" w14:textId="77777777" w:rsidR="000D3DD7" w:rsidRDefault="00000000">
      <w:pPr>
        <w:spacing w:after="200" w:line="360" w:lineRule="auto"/>
        <w:ind w:left="720" w:hanging="720"/>
      </w:pPr>
      <w:r>
        <w:rPr>
          <w:color w:val="000000"/>
        </w:rPr>
        <w:t xml:space="preserve">NHS England (2024b) </w:t>
      </w:r>
      <w:r>
        <w:rPr>
          <w:i/>
          <w:iCs/>
          <w:color w:val="000000"/>
        </w:rPr>
        <w:t>Virtual wards operational framework</w:t>
      </w:r>
      <w:r>
        <w:rPr>
          <w:color w:val="000000"/>
        </w:rPr>
        <w:t>. Available at: https://www.england.nhs.uk/long-read/virtual-wards-operational-framework/ (Accessed: 20 July 2026).</w:t>
      </w:r>
    </w:p>
    <w:p w14:paraId="04A0445A" w14:textId="77777777" w:rsidR="000D3DD7" w:rsidRDefault="00000000">
      <w:pPr>
        <w:spacing w:after="200" w:line="360" w:lineRule="auto"/>
        <w:ind w:left="720" w:hanging="720"/>
      </w:pPr>
      <w:r>
        <w:rPr>
          <w:color w:val="000000"/>
        </w:rPr>
        <w:t xml:space="preserve">Norman, G., Bennett, P. and Vardy, E.R.L.C. (2023) 'Virtual wards: a rapid evidence synthesis and implications for the care of older people', </w:t>
      </w:r>
      <w:r>
        <w:rPr>
          <w:i/>
          <w:iCs/>
          <w:color w:val="000000"/>
        </w:rPr>
        <w:t>Age and Ageing</w:t>
      </w:r>
      <w:r>
        <w:rPr>
          <w:color w:val="000000"/>
        </w:rPr>
        <w:t>, 52(1), afac319. Available at: https://academic.oup.com/ageing/article/52/1/afac319/6974849 (Accessed: 20 July 2026).</w:t>
      </w:r>
    </w:p>
    <w:p w14:paraId="136AF28F" w14:textId="77777777" w:rsidR="000D3DD7" w:rsidRDefault="00000000">
      <w:pPr>
        <w:spacing w:after="200" w:line="360" w:lineRule="auto"/>
        <w:ind w:left="720" w:hanging="720"/>
      </w:pPr>
      <w:r>
        <w:rPr>
          <w:color w:val="000000"/>
        </w:rPr>
        <w:t xml:space="preserve">Parliamentary Office of Science and Technology (POST) (2026) </w:t>
      </w:r>
      <w:r>
        <w:rPr>
          <w:i/>
          <w:iCs/>
          <w:color w:val="000000"/>
        </w:rPr>
        <w:t>Virtual wards and hospital at home</w:t>
      </w:r>
      <w:r>
        <w:rPr>
          <w:color w:val="000000"/>
        </w:rPr>
        <w:t>, POST-PN-0744. Available at: https://post.parliament.uk/research-briefings/post-pn-0744/ (Accessed: 20 July 2026).</w:t>
      </w:r>
    </w:p>
    <w:p w14:paraId="08E824D4" w14:textId="77777777" w:rsidR="000D3DD7" w:rsidRDefault="00000000">
      <w:pPr>
        <w:spacing w:after="200" w:line="360" w:lineRule="auto"/>
        <w:ind w:left="720" w:hanging="720"/>
      </w:pPr>
      <w:r>
        <w:rPr>
          <w:color w:val="000000"/>
        </w:rPr>
        <w:t xml:space="preserve">Royal College of Physicians (2023) </w:t>
      </w:r>
      <w:r>
        <w:rPr>
          <w:i/>
          <w:iCs/>
          <w:color w:val="000000"/>
        </w:rPr>
        <w:t>The RCP view: Hospital at Home and virtual wards</w:t>
      </w:r>
      <w:r>
        <w:rPr>
          <w:color w:val="000000"/>
        </w:rPr>
        <w:t>. Available at: https://www.rcp.ac.uk/policy-and-campaigns/policy-documents/the-rcp-view-hospital-at-home-and-virtual-wards/ (Accessed: 20 July 2026).</w:t>
      </w:r>
    </w:p>
    <w:p w14:paraId="4CD99A6D" w14:textId="77777777" w:rsidR="000D3DD7" w:rsidRDefault="00000000">
      <w:pPr>
        <w:spacing w:after="200" w:line="360" w:lineRule="auto"/>
        <w:ind w:left="720" w:hanging="720"/>
      </w:pPr>
      <w:r>
        <w:rPr>
          <w:color w:val="000000"/>
        </w:rPr>
        <w:t xml:space="preserve">Shah, S.S., </w:t>
      </w:r>
      <w:proofErr w:type="spellStart"/>
      <w:r>
        <w:rPr>
          <w:color w:val="000000"/>
        </w:rPr>
        <w:t>Gvozdanovic</w:t>
      </w:r>
      <w:proofErr w:type="spellEnd"/>
      <w:r>
        <w:rPr>
          <w:color w:val="000000"/>
        </w:rPr>
        <w:t xml:space="preserve">, A., Knight, M. and Gagnon, J. (2021) 'Mobile App–Based Remote Patient Monitoring in Acute Medical Conditions: Prospective Feasibility Study Exploring Digital Health Solutions on Clinical Workload During the COVID Crisis', </w:t>
      </w:r>
      <w:r>
        <w:rPr>
          <w:i/>
          <w:iCs/>
          <w:color w:val="000000"/>
        </w:rPr>
        <w:t>JMIR Formative Research</w:t>
      </w:r>
      <w:r>
        <w:rPr>
          <w:color w:val="000000"/>
        </w:rPr>
        <w:t>, 5(1), e23190. Available at: https://www.ncbi.nlm.nih.gov/pmc/articles/PMC7812915/ (Accessed: 20 July 2026).</w:t>
      </w:r>
    </w:p>
    <w:sectPr w:rsidR="000D3DD7">
      <w:headerReference w:type="default" r:id="rId8"/>
      <w:footerReference w:type="default" r:id="rId9"/>
      <w:headerReference w:type="first" r:id="rId10"/>
      <w:footerReference w:type="first" r:id="rId11"/>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94189" w14:textId="77777777" w:rsidR="00EF3B72" w:rsidRDefault="00EF3B72">
      <w:r>
        <w:separator/>
      </w:r>
    </w:p>
  </w:endnote>
  <w:endnote w:type="continuationSeparator" w:id="0">
    <w:p w14:paraId="36E215E3" w14:textId="77777777" w:rsidR="00EF3B72" w:rsidRDefault="00EF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4A80" w14:textId="46DCC4AE" w:rsidR="000D3DD7" w:rsidRDefault="00000000">
    <w:pPr>
      <w:jc w:val="center"/>
    </w:pPr>
    <w:r>
      <w:rPr>
        <w:rFonts w:ascii="Times New Roman" w:eastAsia="Times New Roman" w:hAnsi="Times New Roman" w:cs="Times New Roman"/>
        <w:color w:val="000000"/>
        <w:sz w:val="18"/>
        <w:szCs w:val="18"/>
      </w:rPr>
      <w:t xml:space="preserve">Page </w:t>
    </w: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2527BC">
      <w:rPr>
        <w:rFonts w:ascii="Times New Roman" w:eastAsia="Times New Roman" w:hAnsi="Times New Roman" w:cs="Times New Roman"/>
        <w:noProof/>
        <w:color w:val="000000"/>
        <w:sz w:val="18"/>
        <w:szCs w:val="18"/>
      </w:rPr>
      <w:t>2</w:t>
    </w:r>
    <w:r>
      <w:rPr>
        <w:rFonts w:ascii="Times New Roman" w:eastAsia="Times New Roman" w:hAnsi="Times New Roman" w:cs="Times New Roman"/>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3DD1B" w14:textId="77777777" w:rsidR="000D3DD7" w:rsidRDefault="000D3D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1834F" w14:textId="77777777" w:rsidR="00EF3B72" w:rsidRDefault="00EF3B72">
      <w:r>
        <w:separator/>
      </w:r>
    </w:p>
  </w:footnote>
  <w:footnote w:type="continuationSeparator" w:id="0">
    <w:p w14:paraId="2A09563E" w14:textId="77777777" w:rsidR="00EF3B72" w:rsidRDefault="00EF3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82FA8" w14:textId="77777777" w:rsidR="000D3DD7" w:rsidRDefault="00000000">
    <w:pPr>
      <w:jc w:val="right"/>
    </w:pPr>
    <w:r>
      <w:rPr>
        <w:rFonts w:ascii="Times New Roman" w:eastAsia="Times New Roman" w:hAnsi="Times New Roman" w:cs="Times New Roman"/>
        <w:color w:val="000000"/>
        <w:sz w:val="18"/>
        <w:szCs w:val="18"/>
      </w:rPr>
      <w:t>NHS Virtual Wards — Critical Evaluation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E265" w14:textId="77777777" w:rsidR="000D3DD7" w:rsidRDefault="000D3D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13BF"/>
    <w:multiLevelType w:val="hybridMultilevel"/>
    <w:tmpl w:val="99A60E7A"/>
    <w:lvl w:ilvl="0" w:tplc="9E54A902">
      <w:start w:val="1"/>
      <w:numFmt w:val="bullet"/>
      <w:lvlText w:val="●"/>
      <w:lvlJc w:val="left"/>
      <w:pPr>
        <w:ind w:left="720" w:hanging="360"/>
      </w:pPr>
    </w:lvl>
    <w:lvl w:ilvl="1" w:tplc="5BDC64E2">
      <w:start w:val="1"/>
      <w:numFmt w:val="bullet"/>
      <w:lvlText w:val="○"/>
      <w:lvlJc w:val="left"/>
      <w:pPr>
        <w:ind w:left="1440" w:hanging="360"/>
      </w:pPr>
    </w:lvl>
    <w:lvl w:ilvl="2" w:tplc="BD40F694">
      <w:start w:val="1"/>
      <w:numFmt w:val="bullet"/>
      <w:lvlText w:val="■"/>
      <w:lvlJc w:val="left"/>
      <w:pPr>
        <w:ind w:left="2160" w:hanging="360"/>
      </w:pPr>
    </w:lvl>
    <w:lvl w:ilvl="3" w:tplc="1B7E13CC">
      <w:start w:val="1"/>
      <w:numFmt w:val="bullet"/>
      <w:lvlText w:val="●"/>
      <w:lvlJc w:val="left"/>
      <w:pPr>
        <w:ind w:left="2880" w:hanging="360"/>
      </w:pPr>
    </w:lvl>
    <w:lvl w:ilvl="4" w:tplc="CAC0AC1E">
      <w:start w:val="1"/>
      <w:numFmt w:val="bullet"/>
      <w:lvlText w:val="○"/>
      <w:lvlJc w:val="left"/>
      <w:pPr>
        <w:ind w:left="3600" w:hanging="360"/>
      </w:pPr>
    </w:lvl>
    <w:lvl w:ilvl="5" w:tplc="71B84042">
      <w:start w:val="1"/>
      <w:numFmt w:val="bullet"/>
      <w:lvlText w:val="■"/>
      <w:lvlJc w:val="left"/>
      <w:pPr>
        <w:ind w:left="4320" w:hanging="360"/>
      </w:pPr>
    </w:lvl>
    <w:lvl w:ilvl="6" w:tplc="A3081CDA">
      <w:start w:val="1"/>
      <w:numFmt w:val="bullet"/>
      <w:lvlText w:val="●"/>
      <w:lvlJc w:val="left"/>
      <w:pPr>
        <w:ind w:left="5040" w:hanging="360"/>
      </w:pPr>
    </w:lvl>
    <w:lvl w:ilvl="7" w:tplc="608A177A">
      <w:start w:val="1"/>
      <w:numFmt w:val="bullet"/>
      <w:lvlText w:val="●"/>
      <w:lvlJc w:val="left"/>
      <w:pPr>
        <w:ind w:left="5760" w:hanging="360"/>
      </w:pPr>
    </w:lvl>
    <w:lvl w:ilvl="8" w:tplc="0A26B312">
      <w:start w:val="1"/>
      <w:numFmt w:val="bullet"/>
      <w:lvlText w:val="●"/>
      <w:lvlJc w:val="left"/>
      <w:pPr>
        <w:ind w:left="6480" w:hanging="360"/>
      </w:pPr>
    </w:lvl>
  </w:abstractNum>
  <w:num w:numId="1" w16cid:durableId="15958236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DD7"/>
    <w:rsid w:val="000D3DD7"/>
    <w:rsid w:val="002527BC"/>
    <w:rsid w:val="00C60F58"/>
    <w:rsid w:val="00E20E3A"/>
    <w:rsid w:val="00EF3B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B2D1"/>
  <w15:docId w15:val="{1AE2528F-733F-417D-8355-F5714869E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28"/>
      <w:szCs w:val="28"/>
    </w:rPr>
  </w:style>
  <w:style w:type="paragraph" w:styleId="Heading2">
    <w:name w:val="heading 2"/>
    <w:uiPriority w:val="9"/>
    <w:semiHidden/>
    <w:unhideWhenUsed/>
    <w:qFormat/>
    <w:pPr>
      <w:outlineLvl w:val="1"/>
    </w:pPr>
    <w:rPr>
      <w:color w:val="2E74B5"/>
      <w:sz w:val="24"/>
      <w:szCs w:val="24"/>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2737</Words>
  <Characters>15604</Characters>
  <Application>Microsoft Office Word</Application>
  <DocSecurity>0</DocSecurity>
  <Lines>130</Lines>
  <Paragraphs>36</Paragraphs>
  <ScaleCrop>false</ScaleCrop>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MUTHYALAPATI NIKHIL</cp:lastModifiedBy>
  <cp:revision>2</cp:revision>
  <dcterms:created xsi:type="dcterms:W3CDTF">2026-07-20T09:43:00Z</dcterms:created>
  <dcterms:modified xsi:type="dcterms:W3CDTF">2026-07-20T09:43:00Z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e70a918e-ac44-45de-8201-5562c7db7ba2</vt:lpwstr>
  </property>
</Properties>
</file>