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32CB0E9A" w14:textId="77777777" w:rsidR="008517A3" w:rsidRPr="00715120" w:rsidRDefault="008517A3" w:rsidP="008517A3">
            <w:pPr>
              <w:ind w:right="-957"/>
              <w:rPr>
                <w:rFonts w:ascii="Times New Roman" w:hAnsi="Times New Roman" w:cs="Times New Roman"/>
                <w:b/>
                <w:sz w:val="32"/>
                <w:szCs w:val="32"/>
              </w:rPr>
            </w:pPr>
            <w:r w:rsidRPr="00715120">
              <w:rPr>
                <w:rFonts w:ascii="Times New Roman" w:hAnsi="Times New Roman" w:cs="Times New Roman"/>
                <w:b/>
                <w:sz w:val="32"/>
                <w:szCs w:val="32"/>
              </w:rPr>
              <w:t xml:space="preserve">Learner’s name: Laura Edwards </w:t>
            </w:r>
          </w:p>
          <w:p w14:paraId="32FBEA9C" w14:textId="77777777" w:rsidR="008517A3" w:rsidRPr="00715120" w:rsidRDefault="008517A3" w:rsidP="008517A3">
            <w:pPr>
              <w:ind w:right="-957"/>
              <w:rPr>
                <w:rFonts w:ascii="Times New Roman" w:hAnsi="Times New Roman" w:cs="Times New Roman"/>
                <w:b/>
                <w:sz w:val="32"/>
                <w:szCs w:val="32"/>
              </w:rPr>
            </w:pPr>
          </w:p>
          <w:p w14:paraId="05643326" w14:textId="77777777" w:rsidR="008517A3" w:rsidRPr="00715120" w:rsidRDefault="008517A3" w:rsidP="008517A3">
            <w:pPr>
              <w:ind w:right="-957"/>
              <w:rPr>
                <w:rFonts w:ascii="Times New Roman" w:hAnsi="Times New Roman" w:cs="Times New Roman"/>
                <w:b/>
                <w:sz w:val="32"/>
                <w:szCs w:val="32"/>
              </w:rPr>
            </w:pPr>
            <w:r w:rsidRPr="00715120">
              <w:rPr>
                <w:rFonts w:ascii="Times New Roman" w:hAnsi="Times New Roman" w:cs="Times New Roman"/>
                <w:b/>
                <w:sz w:val="32"/>
                <w:szCs w:val="32"/>
              </w:rPr>
              <w:t>Email address: lauraedwardspembs@outlook.com</w:t>
            </w:r>
          </w:p>
          <w:p w14:paraId="700AEF6D" w14:textId="77777777" w:rsidR="008517A3" w:rsidRPr="00715120" w:rsidRDefault="008517A3" w:rsidP="008517A3">
            <w:pPr>
              <w:ind w:right="-957"/>
              <w:rPr>
                <w:rFonts w:ascii="Times New Roman" w:hAnsi="Times New Roman" w:cs="Times New Roman"/>
                <w:b/>
                <w:sz w:val="32"/>
                <w:szCs w:val="32"/>
              </w:rPr>
            </w:pPr>
          </w:p>
          <w:p w14:paraId="6E901265" w14:textId="77777777" w:rsidR="008517A3" w:rsidRPr="00715120" w:rsidRDefault="008517A3" w:rsidP="008517A3">
            <w:pPr>
              <w:ind w:right="-957"/>
              <w:rPr>
                <w:rFonts w:ascii="Times New Roman" w:hAnsi="Times New Roman" w:cs="Times New Roman"/>
                <w:b/>
                <w:sz w:val="32"/>
                <w:szCs w:val="32"/>
              </w:rPr>
            </w:pPr>
            <w:r w:rsidRPr="00715120">
              <w:rPr>
                <w:rFonts w:ascii="Times New Roman" w:hAnsi="Times New Roman" w:cs="Times New Roman"/>
                <w:b/>
                <w:sz w:val="32"/>
                <w:szCs w:val="32"/>
              </w:rPr>
              <w:t>Learner’s University Registration Number: 2421186</w:t>
            </w:r>
          </w:p>
          <w:p w14:paraId="281E98D1" w14:textId="77777777" w:rsidR="008517A3" w:rsidRPr="00715120" w:rsidRDefault="008517A3" w:rsidP="008517A3">
            <w:pPr>
              <w:ind w:right="-957"/>
              <w:rPr>
                <w:rFonts w:ascii="Times New Roman" w:hAnsi="Times New Roman" w:cs="Times New Roman"/>
                <w:b/>
                <w:sz w:val="32"/>
                <w:szCs w:val="32"/>
              </w:rPr>
            </w:pPr>
          </w:p>
          <w:p w14:paraId="0787ABD2" w14:textId="38D94199" w:rsidR="00943FDB" w:rsidRPr="005D3F07" w:rsidRDefault="008517A3" w:rsidP="008517A3">
            <w:pPr>
              <w:ind w:right="-957"/>
              <w:rPr>
                <w:rFonts w:ascii="Times New Roman" w:hAnsi="Times New Roman" w:cs="Times New Roman"/>
                <w:b/>
                <w:sz w:val="48"/>
              </w:rPr>
            </w:pPr>
            <w:r w:rsidRPr="00715120">
              <w:rPr>
                <w:rFonts w:ascii="Times New Roman" w:hAnsi="Times New Roman" w:cs="Times New Roman"/>
                <w:b/>
                <w:sz w:val="32"/>
                <w:szCs w:val="32"/>
              </w:rPr>
              <w:t>Cohort: 21 onwards</w:t>
            </w:r>
          </w:p>
        </w:tc>
      </w:tr>
    </w:tbl>
    <w:p w14:paraId="4F23EBDC" w14:textId="77777777" w:rsidR="00E27E7F" w:rsidRDefault="00E27E7F" w:rsidP="004F0E93">
      <w:pPr>
        <w:jc w:val="center"/>
        <w:rPr>
          <w:b/>
          <w:sz w:val="28"/>
          <w:szCs w:val="28"/>
          <w:u w:val="single"/>
        </w:rPr>
      </w:pPr>
    </w:p>
    <w:p w14:paraId="29BA38FC" w14:textId="312AB9BA" w:rsidR="004F0E93" w:rsidRPr="00E27E7F" w:rsidRDefault="004F0E93" w:rsidP="004F0E93">
      <w:pPr>
        <w:jc w:val="center"/>
        <w:rPr>
          <w:b/>
          <w:sz w:val="28"/>
          <w:szCs w:val="28"/>
          <w:u w:val="single"/>
        </w:rPr>
      </w:pPr>
      <w:r w:rsidRPr="00E27E7F">
        <w:rPr>
          <w:b/>
          <w:sz w:val="28"/>
          <w:szCs w:val="28"/>
          <w:u w:val="single"/>
        </w:rPr>
        <w:t>Task 1</w:t>
      </w:r>
    </w:p>
    <w:p w14:paraId="2036E5FD" w14:textId="1B131624" w:rsidR="00D27A91" w:rsidRPr="00E27E7F" w:rsidRDefault="00D27A91" w:rsidP="004F0E93">
      <w:pPr>
        <w:jc w:val="center"/>
        <w:rPr>
          <w:b/>
          <w:sz w:val="28"/>
          <w:szCs w:val="28"/>
          <w:u w:val="single"/>
        </w:rPr>
      </w:pPr>
      <w:r w:rsidRPr="00E27E7F">
        <w:rPr>
          <w:b/>
          <w:sz w:val="28"/>
          <w:szCs w:val="28"/>
          <w:u w:val="single"/>
        </w:rPr>
        <w:t>Part a</w:t>
      </w:r>
    </w:p>
    <w:p w14:paraId="6828EC18" w14:textId="77777777" w:rsidR="004F0E93" w:rsidRPr="00E27E7F" w:rsidRDefault="004F0E93" w:rsidP="004F0E93">
      <w:pPr>
        <w:jc w:val="center"/>
        <w:rPr>
          <w:b/>
          <w:sz w:val="28"/>
          <w:szCs w:val="28"/>
          <w:u w:val="single"/>
        </w:rPr>
      </w:pPr>
    </w:p>
    <w:p w14:paraId="04F638AD" w14:textId="6E1E3460" w:rsidR="004F0E93" w:rsidRPr="00E27E7F" w:rsidRDefault="004F0E93" w:rsidP="004F0E93">
      <w:pPr>
        <w:jc w:val="center"/>
        <w:rPr>
          <w:b/>
          <w:sz w:val="28"/>
          <w:szCs w:val="28"/>
          <w:u w:val="single"/>
        </w:rPr>
      </w:pPr>
      <w:r w:rsidRPr="00E27E7F">
        <w:rPr>
          <w:b/>
          <w:sz w:val="28"/>
          <w:szCs w:val="28"/>
          <w:u w:val="single"/>
        </w:rPr>
        <w:t xml:space="preserve">Developmental review </w:t>
      </w:r>
    </w:p>
    <w:p w14:paraId="74E90429" w14:textId="77777777" w:rsidR="004F0E93" w:rsidRPr="008B28E7" w:rsidRDefault="004F0E93" w:rsidP="004F0E93">
      <w:pPr>
        <w:jc w:val="both"/>
        <w:rPr>
          <w:b/>
        </w:rPr>
      </w:pPr>
    </w:p>
    <w:p w14:paraId="2A518564" w14:textId="77777777" w:rsidR="004F0E93" w:rsidRPr="00706BB5" w:rsidRDefault="004F0E93" w:rsidP="0002737F">
      <w:pPr>
        <w:spacing w:line="360" w:lineRule="auto"/>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02737F">
      <w:pPr>
        <w:spacing w:line="360" w:lineRule="auto"/>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02737F">
      <w:pPr>
        <w:spacing w:line="360" w:lineRule="auto"/>
        <w:jc w:val="both"/>
        <w:rPr>
          <w:i/>
          <w:iCs/>
          <w:highlight w:val="yellow"/>
        </w:rPr>
      </w:pPr>
      <w:r w:rsidRPr="00F15354">
        <w:rPr>
          <w:i/>
          <w:iCs/>
        </w:rPr>
        <w:lastRenderedPageBreak/>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02737F">
      <w:pPr>
        <w:spacing w:line="360" w:lineRule="auto"/>
        <w:jc w:val="both"/>
        <w:rPr>
          <w:i/>
          <w:iCs/>
        </w:rPr>
      </w:pPr>
    </w:p>
    <w:p w14:paraId="39EE1910" w14:textId="7C58F721" w:rsidR="004F0E93" w:rsidRPr="00706BB5" w:rsidRDefault="004F0E93" w:rsidP="0002737F">
      <w:pPr>
        <w:spacing w:line="360" w:lineRule="auto"/>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02737F">
      <w:pPr>
        <w:spacing w:line="360" w:lineRule="auto"/>
        <w:jc w:val="both"/>
        <w:rPr>
          <w:i/>
          <w:iCs/>
        </w:rPr>
      </w:pPr>
    </w:p>
    <w:p w14:paraId="1DDAE311" w14:textId="77777777" w:rsidR="004F0E93" w:rsidRPr="00706BB5" w:rsidRDefault="004F0E93" w:rsidP="0002737F">
      <w:pPr>
        <w:spacing w:line="360" w:lineRule="auto"/>
        <w:jc w:val="both"/>
        <w:rPr>
          <w:i/>
          <w:iCs/>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4F0E93" w:rsidRPr="0049196A" w14:paraId="3B26F39A" w14:textId="77777777" w:rsidTr="0002737F">
        <w:tc>
          <w:tcPr>
            <w:tcW w:w="9209" w:type="dxa"/>
          </w:tcPr>
          <w:p w14:paraId="7145CCD4" w14:textId="77777777" w:rsidR="004F0E93" w:rsidRPr="00706BB5" w:rsidRDefault="004F0E93" w:rsidP="0002737F">
            <w:pPr>
              <w:spacing w:line="360" w:lineRule="auto"/>
              <w:jc w:val="both"/>
              <w:rPr>
                <w:i/>
                <w:iCs/>
              </w:rPr>
            </w:pPr>
            <w:r w:rsidRPr="00706BB5">
              <w:rPr>
                <w:i/>
                <w:iCs/>
              </w:rPr>
              <w:t>Question:</w:t>
            </w:r>
          </w:p>
          <w:p w14:paraId="1DCFD010" w14:textId="77777777" w:rsidR="004F0E93" w:rsidRPr="00706BB5" w:rsidRDefault="004F0E93" w:rsidP="0002737F">
            <w:pPr>
              <w:spacing w:line="360" w:lineRule="auto"/>
              <w:jc w:val="both"/>
              <w:rPr>
                <w:i/>
                <w:iCs/>
              </w:rPr>
            </w:pPr>
          </w:p>
          <w:p w14:paraId="7DA1770A" w14:textId="657681AB" w:rsidR="004F0E93" w:rsidRDefault="004F0E93" w:rsidP="0002737F">
            <w:pPr>
              <w:spacing w:line="360" w:lineRule="auto"/>
            </w:pPr>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5B244B3E" w14:textId="77777777" w:rsidR="00414467" w:rsidRPr="00414467" w:rsidRDefault="00414467" w:rsidP="0002737F">
            <w:pPr>
              <w:spacing w:line="360" w:lineRule="auto"/>
              <w:jc w:val="both"/>
            </w:pPr>
          </w:p>
          <w:p w14:paraId="61DA3B59" w14:textId="39CF4726" w:rsidR="00414467" w:rsidRPr="00FF07C3" w:rsidRDefault="00414467" w:rsidP="0002737F">
            <w:pPr>
              <w:spacing w:line="360" w:lineRule="auto"/>
              <w:jc w:val="both"/>
            </w:pPr>
            <w:r>
              <w:t xml:space="preserve">Critically reflect on practice in supervision – to make complex decisions we need to explore decisions.     </w:t>
            </w:r>
          </w:p>
          <w:p w14:paraId="269756AA" w14:textId="77777777" w:rsidR="004F0E93" w:rsidRDefault="004F0E93" w:rsidP="0002737F">
            <w:pPr>
              <w:spacing w:line="360" w:lineRule="auto"/>
              <w:jc w:val="both"/>
            </w:pPr>
          </w:p>
          <w:p w14:paraId="16E48BFB" w14:textId="77777777" w:rsidR="004F0E93" w:rsidRPr="00706BB5" w:rsidRDefault="004F0E93" w:rsidP="0002737F">
            <w:pPr>
              <w:spacing w:line="360" w:lineRule="auto"/>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02737F">
            <w:pPr>
              <w:spacing w:line="360" w:lineRule="auto"/>
              <w:jc w:val="both"/>
              <w:rPr>
                <w:i/>
                <w:iCs/>
              </w:rPr>
            </w:pPr>
          </w:p>
          <w:p w14:paraId="5E4ECD34" w14:textId="77777777" w:rsidR="004F0E93" w:rsidRDefault="004F0E93" w:rsidP="0002737F">
            <w:pPr>
              <w:spacing w:line="360" w:lineRule="auto"/>
              <w:jc w:val="both"/>
              <w:rPr>
                <w:highlight w:val="yellow"/>
              </w:rPr>
            </w:pPr>
          </w:p>
          <w:p w14:paraId="7E3E67F4" w14:textId="77777777" w:rsidR="004F0E93" w:rsidRPr="00706BB5" w:rsidRDefault="004F0E93" w:rsidP="0002737F">
            <w:pPr>
              <w:spacing w:line="360" w:lineRule="auto"/>
              <w:jc w:val="both"/>
              <w:rPr>
                <w:i/>
                <w:iCs/>
              </w:rPr>
            </w:pPr>
          </w:p>
        </w:tc>
      </w:tr>
      <w:tr w:rsidR="008C1CF1" w:rsidRPr="0049196A" w14:paraId="382299AA" w14:textId="77777777" w:rsidTr="0002737F">
        <w:tc>
          <w:tcPr>
            <w:tcW w:w="9209" w:type="dxa"/>
          </w:tcPr>
          <w:p w14:paraId="5603E2B9" w14:textId="77777777" w:rsidR="00145B8D" w:rsidRDefault="00145B8D" w:rsidP="00145B8D">
            <w:pPr>
              <w:spacing w:line="360" w:lineRule="auto"/>
              <w:rPr>
                <w:rFonts w:ascii="Arial" w:hAnsi="Arial" w:cs="Arial"/>
                <w:b/>
                <w:bCs/>
                <w:u w:val="single"/>
              </w:rPr>
            </w:pPr>
            <w:bookmarkStart w:id="0" w:name="_Hlk209879025"/>
            <w:r w:rsidRPr="00C415DD">
              <w:rPr>
                <w:rFonts w:ascii="Arial" w:hAnsi="Arial" w:cs="Arial"/>
                <w:b/>
                <w:bCs/>
                <w:u w:val="single"/>
              </w:rPr>
              <w:t>Part 1</w:t>
            </w:r>
          </w:p>
          <w:p w14:paraId="6E1DBB34" w14:textId="77777777" w:rsidR="00145B8D" w:rsidRPr="00C415DD" w:rsidRDefault="00145B8D" w:rsidP="00145B8D">
            <w:pPr>
              <w:spacing w:line="360" w:lineRule="auto"/>
              <w:rPr>
                <w:rFonts w:ascii="Arial" w:hAnsi="Arial" w:cs="Arial"/>
                <w:b/>
                <w:bCs/>
                <w:u w:val="single"/>
              </w:rPr>
            </w:pPr>
            <w:r>
              <w:rPr>
                <w:rFonts w:ascii="Arial" w:hAnsi="Arial" w:cs="Arial"/>
                <w:b/>
                <w:bCs/>
                <w:u w:val="single"/>
              </w:rPr>
              <w:t>Task 1: A</w:t>
            </w:r>
          </w:p>
          <w:p w14:paraId="05A3BE98" w14:textId="77777777" w:rsidR="00145B8D" w:rsidRDefault="00145B8D" w:rsidP="00145B8D">
            <w:pPr>
              <w:spacing w:line="360" w:lineRule="auto"/>
              <w:rPr>
                <w:rFonts w:ascii="Arial" w:hAnsi="Arial" w:cs="Arial"/>
              </w:rPr>
            </w:pPr>
          </w:p>
          <w:p w14:paraId="75D374B4" w14:textId="77777777" w:rsidR="00145B8D" w:rsidRPr="00B62C94" w:rsidRDefault="00145B8D" w:rsidP="00145B8D">
            <w:pPr>
              <w:spacing w:line="360" w:lineRule="auto"/>
              <w:rPr>
                <w:rFonts w:ascii="Arial" w:hAnsi="Arial" w:cs="Arial"/>
                <w:i/>
                <w:iCs/>
              </w:rPr>
            </w:pPr>
            <w:r w:rsidRPr="00FB0E0B">
              <w:rPr>
                <w:rFonts w:ascii="Arial" w:hAnsi="Arial" w:cs="Arial"/>
              </w:rPr>
              <w:t xml:space="preserve">My pre-qualifying experience was solely in childcare services, since qualifying as a social worker, I have worked within a hospital environment. I have utilised </w:t>
            </w:r>
            <w:r w:rsidRPr="00B62C94">
              <w:rPr>
                <w:rFonts w:ascii="Arial" w:hAnsi="Arial" w:cs="Arial"/>
                <w:i/>
                <w:iCs/>
              </w:rPr>
              <w:t>Driscoll’s (2007) ‘What?’</w:t>
            </w:r>
            <w:r w:rsidRPr="00FB0E0B">
              <w:rPr>
                <w:rFonts w:ascii="Arial" w:hAnsi="Arial" w:cs="Arial"/>
              </w:rPr>
              <w:t xml:space="preserve"> model</w:t>
            </w:r>
            <w:r>
              <w:rPr>
                <w:rFonts w:ascii="Arial" w:hAnsi="Arial" w:cs="Arial"/>
              </w:rPr>
              <w:t xml:space="preserve"> </w:t>
            </w:r>
            <w:r w:rsidRPr="00FB0E0B">
              <w:rPr>
                <w:rFonts w:ascii="Arial" w:hAnsi="Arial" w:cs="Arial"/>
              </w:rPr>
              <w:t xml:space="preserve">to aid my reflection of professional development, more specifically, undertaking mental capacity assessments as part of hospital discharge planning </w:t>
            </w:r>
            <w:r w:rsidRPr="00B62C94">
              <w:rPr>
                <w:rFonts w:ascii="Arial" w:hAnsi="Arial" w:cs="Arial"/>
                <w:i/>
                <w:iCs/>
              </w:rPr>
              <w:t xml:space="preserve">(Bassot, 2013). </w:t>
            </w:r>
          </w:p>
          <w:p w14:paraId="4C311307" w14:textId="77777777" w:rsidR="00145B8D" w:rsidRDefault="00145B8D" w:rsidP="00145B8D">
            <w:pPr>
              <w:spacing w:line="360" w:lineRule="auto"/>
              <w:rPr>
                <w:rFonts w:ascii="Arial" w:hAnsi="Arial" w:cs="Arial"/>
              </w:rPr>
            </w:pPr>
          </w:p>
          <w:p w14:paraId="11B3D447" w14:textId="77777777" w:rsidR="00145B8D" w:rsidRPr="00FB0E0B" w:rsidRDefault="00145B8D" w:rsidP="00145B8D">
            <w:pPr>
              <w:spacing w:line="360" w:lineRule="auto"/>
              <w:rPr>
                <w:rFonts w:ascii="Arial" w:hAnsi="Arial" w:cs="Arial"/>
              </w:rPr>
            </w:pPr>
            <w:r>
              <w:rPr>
                <w:rFonts w:ascii="Arial" w:hAnsi="Arial" w:cs="Arial"/>
              </w:rPr>
              <w:t>This model provided opportunity to apply analysis in my assessment,</w:t>
            </w:r>
            <w:r w:rsidRPr="00FB0E0B">
              <w:rPr>
                <w:rFonts w:ascii="Arial" w:hAnsi="Arial" w:cs="Arial"/>
              </w:rPr>
              <w:t xml:space="preserve"> </w:t>
            </w:r>
            <w:r w:rsidRPr="00B62C94">
              <w:rPr>
                <w:rFonts w:ascii="Arial" w:hAnsi="Arial" w:cs="Arial"/>
                <w:i/>
                <w:iCs/>
              </w:rPr>
              <w:t>‘What?’ (Driscoll, 2007),</w:t>
            </w:r>
            <w:r w:rsidRPr="00FB0E0B">
              <w:rPr>
                <w:rFonts w:ascii="Arial" w:hAnsi="Arial" w:cs="Arial"/>
              </w:rPr>
              <w:t xml:space="preserve"> noting there are occasions where I feel unconfident, requesting a second opinion from other social workers, whilst experiencing a difference of opinion </w:t>
            </w:r>
            <w:r w:rsidRPr="00FB0E0B">
              <w:rPr>
                <w:rFonts w:ascii="Arial" w:hAnsi="Arial" w:cs="Arial"/>
              </w:rPr>
              <w:lastRenderedPageBreak/>
              <w:t>with the outcome of the assessment from health colleagues</w:t>
            </w:r>
            <w:r>
              <w:rPr>
                <w:rFonts w:ascii="Arial" w:hAnsi="Arial" w:cs="Arial"/>
              </w:rPr>
              <w:t xml:space="preserve"> </w:t>
            </w:r>
            <w:r w:rsidRPr="00B62C94">
              <w:rPr>
                <w:rFonts w:ascii="Arial" w:hAnsi="Arial" w:cs="Arial"/>
                <w:i/>
                <w:iCs/>
              </w:rPr>
              <w:t>(Bassot, 2013).</w:t>
            </w:r>
            <w:r w:rsidRPr="00FB0E0B">
              <w:rPr>
                <w:rFonts w:ascii="Arial" w:hAnsi="Arial" w:cs="Arial"/>
              </w:rPr>
              <w:t xml:space="preserve"> I considered my experience and level of confidence in adult social services to be considerably less than my experience in children’s social services, although I drew upon my historical confidence and understood the compassion, care and my consideration for individual’s specific characteristics.  I analysed my experiences using </w:t>
            </w:r>
            <w:r w:rsidRPr="00B62C94">
              <w:rPr>
                <w:rFonts w:ascii="Arial" w:hAnsi="Arial" w:cs="Arial"/>
                <w:i/>
                <w:iCs/>
              </w:rPr>
              <w:t>‘So What’ (Driscoll, 2007),</w:t>
            </w:r>
            <w:r w:rsidRPr="00FB0E0B">
              <w:rPr>
                <w:rFonts w:ascii="Arial" w:hAnsi="Arial" w:cs="Arial"/>
              </w:rPr>
              <w:t xml:space="preserve"> exploring my feelings of uncertainty</w:t>
            </w:r>
            <w:r>
              <w:rPr>
                <w:rFonts w:ascii="Arial" w:hAnsi="Arial" w:cs="Arial"/>
              </w:rPr>
              <w:t xml:space="preserve"> </w:t>
            </w:r>
            <w:r w:rsidRPr="00B62C94">
              <w:rPr>
                <w:rFonts w:ascii="Arial" w:hAnsi="Arial" w:cs="Arial"/>
                <w:i/>
                <w:iCs/>
              </w:rPr>
              <w:t>(Bassot, 2013).</w:t>
            </w:r>
            <w:r w:rsidRPr="00FB0E0B">
              <w:rPr>
                <w:rFonts w:ascii="Arial" w:hAnsi="Arial" w:cs="Arial"/>
              </w:rPr>
              <w:t xml:space="preserve"> I drew upon the power imbalances I encountered with health colleagues in a hospital setting</w:t>
            </w:r>
            <w:r>
              <w:rPr>
                <w:rFonts w:ascii="Arial" w:hAnsi="Arial" w:cs="Arial"/>
              </w:rPr>
              <w:t xml:space="preserve">, comparing </w:t>
            </w:r>
            <w:r w:rsidRPr="00FB0E0B">
              <w:rPr>
                <w:rFonts w:ascii="Arial" w:hAnsi="Arial" w:cs="Arial"/>
              </w:rPr>
              <w:t xml:space="preserve">these experiences to working with professionals and families within children’s front line services. The comparison shifted the power from myself as a professional to the supporting health counterpart, where power dynamics are clearly visible in the hospital </w:t>
            </w:r>
            <w:r w:rsidRPr="00B62C94">
              <w:rPr>
                <w:rFonts w:ascii="Arial" w:hAnsi="Arial" w:cs="Arial"/>
                <w:i/>
                <w:iCs/>
              </w:rPr>
              <w:t>‘disciplined structure’</w:t>
            </w:r>
            <w:r w:rsidRPr="00FB0E0B">
              <w:rPr>
                <w:rFonts w:ascii="Arial" w:hAnsi="Arial" w:cs="Arial"/>
              </w:rPr>
              <w:t xml:space="preserve"> and power relations are present </w:t>
            </w:r>
            <w:r w:rsidRPr="00B62C94">
              <w:rPr>
                <w:rFonts w:ascii="Arial" w:hAnsi="Arial" w:cs="Arial"/>
                <w:i/>
                <w:iCs/>
              </w:rPr>
              <w:t>(Foucault 1980, cited in, Healy 2014).</w:t>
            </w:r>
            <w:r w:rsidRPr="00FB0E0B">
              <w:rPr>
                <w:rFonts w:ascii="Arial" w:hAnsi="Arial" w:cs="Arial"/>
              </w:rPr>
              <w:t xml:space="preserve"> </w:t>
            </w:r>
          </w:p>
          <w:p w14:paraId="3AE36E60" w14:textId="77777777" w:rsidR="00145B8D" w:rsidRDefault="00145B8D" w:rsidP="00145B8D">
            <w:pPr>
              <w:spacing w:line="360" w:lineRule="auto"/>
              <w:rPr>
                <w:rFonts w:ascii="Arial" w:hAnsi="Arial" w:cs="Arial"/>
              </w:rPr>
            </w:pPr>
          </w:p>
          <w:p w14:paraId="420E36C3" w14:textId="77777777" w:rsidR="00145B8D" w:rsidRDefault="00145B8D" w:rsidP="00145B8D">
            <w:pPr>
              <w:spacing w:line="360" w:lineRule="auto"/>
              <w:rPr>
                <w:rFonts w:ascii="Arial" w:hAnsi="Arial" w:cs="Arial"/>
                <w:u w:val="single"/>
              </w:rPr>
            </w:pPr>
            <w:r w:rsidRPr="00FB0E0B">
              <w:rPr>
                <w:rFonts w:ascii="Arial" w:hAnsi="Arial" w:cs="Arial"/>
              </w:rPr>
              <w:t xml:space="preserve">In </w:t>
            </w:r>
            <w:r w:rsidRPr="00B62C94">
              <w:rPr>
                <w:rFonts w:ascii="Arial" w:hAnsi="Arial" w:cs="Arial"/>
                <w:i/>
                <w:iCs/>
              </w:rPr>
              <w:t xml:space="preserve">‘Now what?’ (Driscoll, 2007), </w:t>
            </w:r>
            <w:r w:rsidRPr="00FB0E0B">
              <w:rPr>
                <w:rFonts w:ascii="Arial" w:hAnsi="Arial" w:cs="Arial"/>
              </w:rPr>
              <w:t>following discussion with my mentor and using supervision, I need to increase my confidence in my professional opinion by openly discuss</w:t>
            </w:r>
            <w:r>
              <w:rPr>
                <w:rFonts w:ascii="Arial" w:hAnsi="Arial" w:cs="Arial"/>
              </w:rPr>
              <w:t>ing</w:t>
            </w:r>
            <w:r w:rsidRPr="00FB0E0B">
              <w:rPr>
                <w:rFonts w:ascii="Arial" w:hAnsi="Arial" w:cs="Arial"/>
              </w:rPr>
              <w:t xml:space="preserve"> the outcome of the mental capacity assessments undertaken for care and residency decisions</w:t>
            </w:r>
            <w:r w:rsidRPr="00B62C94">
              <w:rPr>
                <w:rFonts w:ascii="Arial" w:hAnsi="Arial" w:cs="Arial"/>
                <w:i/>
                <w:iCs/>
              </w:rPr>
              <w:t xml:space="preserve"> (Bassot, 2013).  </w:t>
            </w:r>
            <w:r w:rsidRPr="00FB0E0B">
              <w:rPr>
                <w:rFonts w:ascii="Arial" w:hAnsi="Arial" w:cs="Arial"/>
              </w:rPr>
              <w:t>Challenging another professional’s opinion is a new skill I</w:t>
            </w:r>
            <w:r>
              <w:rPr>
                <w:rFonts w:ascii="Arial" w:hAnsi="Arial" w:cs="Arial"/>
              </w:rPr>
              <w:t xml:space="preserve"> intend to develop further, by</w:t>
            </w:r>
            <w:r w:rsidRPr="00FB0E0B">
              <w:rPr>
                <w:rFonts w:ascii="Arial" w:hAnsi="Arial" w:cs="Arial"/>
              </w:rPr>
              <w:t xml:space="preserve"> shadowing social care and health colleagues who undertake mental capacity assessments within the same hospital setting. </w:t>
            </w:r>
          </w:p>
          <w:p w14:paraId="3657A12B" w14:textId="77777777" w:rsidR="00145B8D" w:rsidRDefault="00145B8D" w:rsidP="00145B8D">
            <w:pPr>
              <w:spacing w:line="360" w:lineRule="auto"/>
              <w:rPr>
                <w:rFonts w:ascii="Arial" w:hAnsi="Arial" w:cs="Arial"/>
              </w:rPr>
            </w:pPr>
          </w:p>
          <w:p w14:paraId="5ACECFA7" w14:textId="15D7DF70" w:rsidR="00145B8D" w:rsidRPr="00FB0E0B" w:rsidRDefault="00145B8D" w:rsidP="00145B8D">
            <w:pPr>
              <w:spacing w:line="360" w:lineRule="auto"/>
              <w:rPr>
                <w:rFonts w:ascii="Arial" w:hAnsi="Arial" w:cs="Arial"/>
              </w:rPr>
            </w:pPr>
            <w:r>
              <w:rPr>
                <w:rFonts w:ascii="Arial" w:hAnsi="Arial" w:cs="Arial"/>
              </w:rPr>
              <w:t xml:space="preserve">To work collaboratively with individuals who have care and support needs, their carers and other professionals, I intend to provide ongoing communication identifying the next stages allowing </w:t>
            </w:r>
            <w:r w:rsidRPr="00FB0E0B">
              <w:rPr>
                <w:rFonts w:ascii="Arial" w:hAnsi="Arial" w:cs="Arial"/>
              </w:rPr>
              <w:t>inter-professional working</w:t>
            </w:r>
            <w:r>
              <w:rPr>
                <w:rFonts w:ascii="Arial" w:hAnsi="Arial" w:cs="Arial"/>
              </w:rPr>
              <w:t xml:space="preserve"> and considering, </w:t>
            </w:r>
            <w:r w:rsidRPr="00B62C94">
              <w:rPr>
                <w:rFonts w:ascii="Arial" w:hAnsi="Arial" w:cs="Arial"/>
                <w:i/>
                <w:iCs/>
              </w:rPr>
              <w:t>‘What’ (Driscoll, 2007),</w:t>
            </w:r>
            <w:r>
              <w:rPr>
                <w:rFonts w:ascii="Arial" w:hAnsi="Arial" w:cs="Arial"/>
              </w:rPr>
              <w:t xml:space="preserve"> cited in </w:t>
            </w:r>
            <w:r w:rsidRPr="00B62C94">
              <w:rPr>
                <w:rFonts w:ascii="Arial" w:hAnsi="Arial" w:cs="Arial"/>
                <w:i/>
                <w:iCs/>
              </w:rPr>
              <w:t>(Bassot, 2013),</w:t>
            </w:r>
            <w:r>
              <w:rPr>
                <w:rFonts w:ascii="Arial" w:hAnsi="Arial" w:cs="Arial"/>
              </w:rPr>
              <w:t xml:space="preserve"> </w:t>
            </w:r>
            <w:r w:rsidRPr="00FB0E0B">
              <w:rPr>
                <w:rFonts w:ascii="Arial" w:hAnsi="Arial" w:cs="Arial"/>
              </w:rPr>
              <w:t xml:space="preserve">currently </w:t>
            </w:r>
            <w:r>
              <w:rPr>
                <w:rFonts w:ascii="Arial" w:hAnsi="Arial" w:cs="Arial"/>
              </w:rPr>
              <w:t xml:space="preserve">I </w:t>
            </w:r>
            <w:r w:rsidRPr="00FB0E0B">
              <w:rPr>
                <w:rFonts w:ascii="Arial" w:hAnsi="Arial" w:cs="Arial"/>
              </w:rPr>
              <w:t>verbalis</w:t>
            </w:r>
            <w:r>
              <w:rPr>
                <w:rFonts w:ascii="Arial" w:hAnsi="Arial" w:cs="Arial"/>
              </w:rPr>
              <w:t xml:space="preserve">e </w:t>
            </w:r>
            <w:r w:rsidRPr="00FB0E0B">
              <w:rPr>
                <w:rFonts w:ascii="Arial" w:hAnsi="Arial" w:cs="Arial"/>
              </w:rPr>
              <w:t xml:space="preserve">the outcome of my assessments to </w:t>
            </w:r>
            <w:r>
              <w:rPr>
                <w:rFonts w:ascii="Arial" w:hAnsi="Arial" w:cs="Arial"/>
              </w:rPr>
              <w:t>all</w:t>
            </w:r>
            <w:r w:rsidRPr="00FB0E0B">
              <w:rPr>
                <w:rFonts w:ascii="Arial" w:hAnsi="Arial" w:cs="Arial"/>
              </w:rPr>
              <w:t xml:space="preserve"> </w:t>
            </w:r>
            <w:r>
              <w:rPr>
                <w:rFonts w:ascii="Arial" w:hAnsi="Arial" w:cs="Arial"/>
              </w:rPr>
              <w:t>with no con</w:t>
            </w:r>
            <w:r w:rsidRPr="00FB0E0B">
              <w:rPr>
                <w:rFonts w:ascii="Arial" w:hAnsi="Arial" w:cs="Arial"/>
              </w:rPr>
              <w:t>tinuity between ward</w:t>
            </w:r>
            <w:r>
              <w:rPr>
                <w:rFonts w:ascii="Arial" w:hAnsi="Arial" w:cs="Arial"/>
              </w:rPr>
              <w:t>s</w:t>
            </w:r>
            <w:r w:rsidRPr="00FB0E0B">
              <w:rPr>
                <w:rFonts w:ascii="Arial" w:hAnsi="Arial" w:cs="Arial"/>
              </w:rPr>
              <w:t>/hospital</w:t>
            </w:r>
            <w:r>
              <w:rPr>
                <w:rFonts w:ascii="Arial" w:hAnsi="Arial" w:cs="Arial"/>
              </w:rPr>
              <w:t xml:space="preserve">s. Implementing the </w:t>
            </w:r>
            <w:r w:rsidR="00B62C94">
              <w:rPr>
                <w:rFonts w:ascii="Arial" w:hAnsi="Arial" w:cs="Arial"/>
              </w:rPr>
              <w:t>‘</w:t>
            </w:r>
            <w:r w:rsidRPr="00B62C94">
              <w:rPr>
                <w:rFonts w:ascii="Arial" w:hAnsi="Arial" w:cs="Arial"/>
                <w:i/>
                <w:iCs/>
              </w:rPr>
              <w:t>workforce strategy’</w:t>
            </w:r>
            <w:r>
              <w:rPr>
                <w:rFonts w:ascii="Arial" w:hAnsi="Arial" w:cs="Arial"/>
              </w:rPr>
              <w:t xml:space="preserve"> could </w:t>
            </w:r>
            <w:r w:rsidR="001C40B0">
              <w:rPr>
                <w:rFonts w:ascii="Arial" w:hAnsi="Arial" w:cs="Arial"/>
              </w:rPr>
              <w:t>ensure accountability and</w:t>
            </w:r>
            <w:r>
              <w:rPr>
                <w:rFonts w:ascii="Arial" w:hAnsi="Arial" w:cs="Arial"/>
              </w:rPr>
              <w:t xml:space="preserve"> </w:t>
            </w:r>
            <w:r w:rsidR="001C40B0">
              <w:rPr>
                <w:rFonts w:ascii="Arial" w:hAnsi="Arial" w:cs="Arial"/>
              </w:rPr>
              <w:t>communication in</w:t>
            </w:r>
            <w:r>
              <w:rPr>
                <w:rFonts w:ascii="Arial" w:hAnsi="Arial" w:cs="Arial"/>
              </w:rPr>
              <w:t xml:space="preserve"> a more cohesive multidisciplinary approach </w:t>
            </w:r>
            <w:r w:rsidRPr="00B62C94">
              <w:rPr>
                <w:rFonts w:ascii="Arial" w:hAnsi="Arial" w:cs="Arial"/>
                <w:i/>
                <w:iCs/>
              </w:rPr>
              <w:t>(Social Care Wales, 2025).</w:t>
            </w:r>
            <w:r>
              <w:rPr>
                <w:rFonts w:ascii="Arial" w:hAnsi="Arial" w:cs="Arial"/>
              </w:rPr>
              <w:t xml:space="preserve"> </w:t>
            </w:r>
          </w:p>
          <w:p w14:paraId="4B011C20" w14:textId="77777777" w:rsidR="00145B8D" w:rsidRDefault="00145B8D" w:rsidP="00145B8D">
            <w:pPr>
              <w:spacing w:line="360" w:lineRule="auto"/>
              <w:rPr>
                <w:rFonts w:ascii="Arial" w:hAnsi="Arial" w:cs="Arial"/>
              </w:rPr>
            </w:pPr>
          </w:p>
          <w:p w14:paraId="04A0C508" w14:textId="1F56C378" w:rsidR="00145B8D" w:rsidRDefault="00145B8D" w:rsidP="00145B8D">
            <w:pPr>
              <w:spacing w:line="360" w:lineRule="auto"/>
              <w:rPr>
                <w:rFonts w:ascii="Arial" w:hAnsi="Arial" w:cs="Arial"/>
              </w:rPr>
            </w:pPr>
            <w:r w:rsidRPr="00FB0E0B">
              <w:rPr>
                <w:rFonts w:ascii="Arial" w:hAnsi="Arial" w:cs="Arial"/>
              </w:rPr>
              <w:t xml:space="preserve">On reflection using </w:t>
            </w:r>
            <w:r w:rsidRPr="00B62C94">
              <w:rPr>
                <w:rFonts w:ascii="Arial" w:hAnsi="Arial" w:cs="Arial"/>
                <w:i/>
                <w:iCs/>
              </w:rPr>
              <w:t>‘So What?’ (Driscoll, 2007),</w:t>
            </w:r>
            <w:r w:rsidRPr="00FB0E0B">
              <w:rPr>
                <w:rFonts w:ascii="Arial" w:hAnsi="Arial" w:cs="Arial"/>
              </w:rPr>
              <w:t xml:space="preserve"> this inconsistent approach </w:t>
            </w:r>
            <w:r>
              <w:rPr>
                <w:rFonts w:ascii="Arial" w:hAnsi="Arial" w:cs="Arial"/>
              </w:rPr>
              <w:t xml:space="preserve">across hospital wards </w:t>
            </w:r>
            <w:r w:rsidRPr="00FB0E0B">
              <w:rPr>
                <w:rFonts w:ascii="Arial" w:hAnsi="Arial" w:cs="Arial"/>
              </w:rPr>
              <w:t xml:space="preserve">can prove challenging </w:t>
            </w:r>
            <w:r>
              <w:rPr>
                <w:rFonts w:ascii="Arial" w:hAnsi="Arial" w:cs="Arial"/>
              </w:rPr>
              <w:t xml:space="preserve">for me </w:t>
            </w:r>
            <w:r w:rsidRPr="00FB0E0B">
              <w:rPr>
                <w:rFonts w:ascii="Arial" w:hAnsi="Arial" w:cs="Arial"/>
              </w:rPr>
              <w:t xml:space="preserve">due to </w:t>
            </w:r>
            <w:r>
              <w:rPr>
                <w:rFonts w:ascii="Arial" w:hAnsi="Arial" w:cs="Arial"/>
              </w:rPr>
              <w:t xml:space="preserve">the </w:t>
            </w:r>
            <w:r w:rsidRPr="00FB0E0B">
              <w:rPr>
                <w:rFonts w:ascii="Arial" w:hAnsi="Arial" w:cs="Arial"/>
              </w:rPr>
              <w:t>varying nature of comprehension in assessments medical professionals consider and document</w:t>
            </w:r>
            <w:r>
              <w:rPr>
                <w:rFonts w:ascii="Arial" w:hAnsi="Arial" w:cs="Arial"/>
              </w:rPr>
              <w:t xml:space="preserve"> </w:t>
            </w:r>
            <w:r w:rsidRPr="00B62C94">
              <w:rPr>
                <w:rFonts w:ascii="Arial" w:hAnsi="Arial" w:cs="Arial"/>
                <w:i/>
                <w:iCs/>
              </w:rPr>
              <w:t>(Bassot, 2013). The Mental Capacity Act (2005)</w:t>
            </w:r>
            <w:r>
              <w:rPr>
                <w:rFonts w:ascii="Arial" w:hAnsi="Arial" w:cs="Arial"/>
              </w:rPr>
              <w:t xml:space="preserve"> requires recording and evidence to </w:t>
            </w:r>
            <w:r>
              <w:rPr>
                <w:rFonts w:ascii="Arial" w:hAnsi="Arial" w:cs="Arial"/>
              </w:rPr>
              <w:lastRenderedPageBreak/>
              <w:t xml:space="preserve">conclude the assessment which </w:t>
            </w:r>
            <w:r w:rsidRPr="00FB0E0B">
              <w:rPr>
                <w:rFonts w:ascii="Arial" w:hAnsi="Arial" w:cs="Arial"/>
              </w:rPr>
              <w:t xml:space="preserve">varies </w:t>
            </w:r>
            <w:r>
              <w:rPr>
                <w:rFonts w:ascii="Arial" w:hAnsi="Arial" w:cs="Arial"/>
              </w:rPr>
              <w:t xml:space="preserve">between professionals, I must find a professional balance. </w:t>
            </w:r>
          </w:p>
          <w:p w14:paraId="26B3695F" w14:textId="77777777" w:rsidR="00145B8D" w:rsidRPr="00FB0E0B" w:rsidRDefault="00145B8D" w:rsidP="00145B8D">
            <w:pPr>
              <w:spacing w:line="360" w:lineRule="auto"/>
              <w:rPr>
                <w:rFonts w:ascii="Arial" w:hAnsi="Arial" w:cs="Arial"/>
              </w:rPr>
            </w:pPr>
          </w:p>
          <w:p w14:paraId="4BDE3475" w14:textId="0C135FDE" w:rsidR="00145B8D" w:rsidRDefault="00145B8D" w:rsidP="00145B8D">
            <w:pPr>
              <w:spacing w:line="360" w:lineRule="auto"/>
              <w:rPr>
                <w:rFonts w:ascii="Arial" w:hAnsi="Arial" w:cs="Arial"/>
              </w:rPr>
            </w:pPr>
            <w:r w:rsidRPr="00FB0E0B">
              <w:rPr>
                <w:rFonts w:ascii="Arial" w:hAnsi="Arial" w:cs="Arial"/>
              </w:rPr>
              <w:t xml:space="preserve">In considering </w:t>
            </w:r>
            <w:r w:rsidRPr="00B62C94">
              <w:rPr>
                <w:rFonts w:ascii="Arial" w:hAnsi="Arial" w:cs="Arial"/>
                <w:i/>
                <w:iCs/>
              </w:rPr>
              <w:t>‘Now what?’ (Driscoll, 2007)</w:t>
            </w:r>
            <w:r>
              <w:rPr>
                <w:rFonts w:ascii="Arial" w:hAnsi="Arial" w:cs="Arial"/>
              </w:rPr>
              <w:t xml:space="preserve"> cited in, </w:t>
            </w:r>
            <w:r w:rsidRPr="00B62C94">
              <w:rPr>
                <w:rFonts w:ascii="Arial" w:hAnsi="Arial" w:cs="Arial"/>
                <w:i/>
                <w:iCs/>
              </w:rPr>
              <w:t>Bassot (2013),</w:t>
            </w:r>
            <w:r w:rsidRPr="00FB0E0B">
              <w:rPr>
                <w:rFonts w:ascii="Arial" w:hAnsi="Arial" w:cs="Arial"/>
              </w:rPr>
              <w:t xml:space="preserve"> I </w:t>
            </w:r>
            <w:r>
              <w:rPr>
                <w:rFonts w:ascii="Arial" w:hAnsi="Arial" w:cs="Arial"/>
              </w:rPr>
              <w:t>would like to further research and embed within my practice the joint working approach between health and social care</w:t>
            </w:r>
            <w:r w:rsidR="00FB6C2A">
              <w:rPr>
                <w:rFonts w:ascii="Arial" w:hAnsi="Arial" w:cs="Arial"/>
              </w:rPr>
              <w:t>,</w:t>
            </w:r>
            <w:r>
              <w:rPr>
                <w:rFonts w:ascii="Arial" w:hAnsi="Arial" w:cs="Arial"/>
              </w:rPr>
              <w:t xml:space="preserve"> by confidently explaining my decision making and allow </w:t>
            </w:r>
            <w:r w:rsidR="00FB6C2A">
              <w:rPr>
                <w:rFonts w:ascii="Arial" w:hAnsi="Arial" w:cs="Arial"/>
              </w:rPr>
              <w:t>a</w:t>
            </w:r>
            <w:r>
              <w:rPr>
                <w:rFonts w:ascii="Arial" w:hAnsi="Arial" w:cs="Arial"/>
              </w:rPr>
              <w:t xml:space="preserve"> </w:t>
            </w:r>
            <w:r w:rsidRPr="00FB0E0B">
              <w:rPr>
                <w:rFonts w:ascii="Arial" w:hAnsi="Arial" w:cs="Arial"/>
              </w:rPr>
              <w:t>‘joined up’ approac</w:t>
            </w:r>
            <w:r>
              <w:rPr>
                <w:rFonts w:ascii="Arial" w:hAnsi="Arial" w:cs="Arial"/>
              </w:rPr>
              <w:t xml:space="preserve">h, </w:t>
            </w:r>
            <w:r w:rsidR="00FB6C2A">
              <w:rPr>
                <w:rFonts w:ascii="Arial" w:hAnsi="Arial" w:cs="Arial"/>
              </w:rPr>
              <w:t xml:space="preserve">whilst </w:t>
            </w:r>
            <w:r w:rsidRPr="00FB0E0B">
              <w:rPr>
                <w:rFonts w:ascii="Arial" w:hAnsi="Arial" w:cs="Arial"/>
              </w:rPr>
              <w:t xml:space="preserve">empowering the individual </w:t>
            </w:r>
            <w:r w:rsidRPr="00B62C94">
              <w:rPr>
                <w:rFonts w:ascii="Arial" w:hAnsi="Arial" w:cs="Arial"/>
                <w:i/>
                <w:iCs/>
              </w:rPr>
              <w:t>(Hatton 2015).</w:t>
            </w:r>
            <w:r w:rsidRPr="00FB0E0B">
              <w:rPr>
                <w:rFonts w:ascii="Arial" w:hAnsi="Arial" w:cs="Arial"/>
              </w:rPr>
              <w:t xml:space="preserve"> I intend for my assessments to be</w:t>
            </w:r>
            <w:r>
              <w:rPr>
                <w:rFonts w:ascii="Arial" w:hAnsi="Arial" w:cs="Arial"/>
              </w:rPr>
              <w:t xml:space="preserve"> more</w:t>
            </w:r>
            <w:r w:rsidRPr="00FB0E0B">
              <w:rPr>
                <w:rFonts w:ascii="Arial" w:hAnsi="Arial" w:cs="Arial"/>
              </w:rPr>
              <w:t xml:space="preserve"> thorough </w:t>
            </w:r>
            <w:r w:rsidR="00FB6C2A">
              <w:rPr>
                <w:rFonts w:ascii="Arial" w:hAnsi="Arial" w:cs="Arial"/>
              </w:rPr>
              <w:t>with clear</w:t>
            </w:r>
            <w:r w:rsidRPr="00FB0E0B">
              <w:rPr>
                <w:rFonts w:ascii="Arial" w:hAnsi="Arial" w:cs="Arial"/>
              </w:rPr>
              <w:t xml:space="preserve"> conclusions</w:t>
            </w:r>
            <w:r w:rsidR="00FB6C2A">
              <w:rPr>
                <w:rFonts w:ascii="Arial" w:hAnsi="Arial" w:cs="Arial"/>
              </w:rPr>
              <w:t>,</w:t>
            </w:r>
            <w:r>
              <w:rPr>
                <w:rFonts w:ascii="Arial" w:hAnsi="Arial" w:cs="Arial"/>
              </w:rPr>
              <w:t xml:space="preserve"> </w:t>
            </w:r>
            <w:r w:rsidR="00FB6C2A">
              <w:rPr>
                <w:rFonts w:ascii="Arial" w:hAnsi="Arial" w:cs="Arial"/>
              </w:rPr>
              <w:t>considering the</w:t>
            </w:r>
            <w:r w:rsidRPr="00FB0E0B">
              <w:rPr>
                <w:rFonts w:ascii="Arial" w:hAnsi="Arial" w:cs="Arial"/>
              </w:rPr>
              <w:t xml:space="preserve"> </w:t>
            </w:r>
            <w:r w:rsidR="00FB6C2A" w:rsidRPr="00B62C94">
              <w:rPr>
                <w:rFonts w:ascii="Arial" w:hAnsi="Arial" w:cs="Arial"/>
                <w:i/>
                <w:iCs/>
              </w:rPr>
              <w:t>‘workforce strategy’</w:t>
            </w:r>
            <w:r w:rsidRPr="00FB0E0B">
              <w:rPr>
                <w:rFonts w:ascii="Arial" w:hAnsi="Arial" w:cs="Arial"/>
              </w:rPr>
              <w:t xml:space="preserve"> </w:t>
            </w:r>
            <w:r w:rsidR="00FB6C2A">
              <w:rPr>
                <w:rFonts w:ascii="Arial" w:hAnsi="Arial" w:cs="Arial"/>
              </w:rPr>
              <w:t>ensuring</w:t>
            </w:r>
            <w:r w:rsidRPr="00FB0E0B">
              <w:rPr>
                <w:rFonts w:ascii="Arial" w:hAnsi="Arial" w:cs="Arial"/>
              </w:rPr>
              <w:t xml:space="preserve"> </w:t>
            </w:r>
            <w:r>
              <w:rPr>
                <w:rFonts w:ascii="Arial" w:hAnsi="Arial" w:cs="Arial"/>
              </w:rPr>
              <w:t xml:space="preserve">proportionate </w:t>
            </w:r>
            <w:r w:rsidRPr="00FB0E0B">
              <w:rPr>
                <w:rFonts w:ascii="Arial" w:hAnsi="Arial" w:cs="Arial"/>
              </w:rPr>
              <w:t xml:space="preserve">evidence </w:t>
            </w:r>
            <w:r>
              <w:rPr>
                <w:rFonts w:ascii="Arial" w:hAnsi="Arial" w:cs="Arial"/>
              </w:rPr>
              <w:t>to justify the</w:t>
            </w:r>
            <w:r w:rsidRPr="00FB0E0B">
              <w:rPr>
                <w:rFonts w:ascii="Arial" w:hAnsi="Arial" w:cs="Arial"/>
              </w:rPr>
              <w:t xml:space="preserve"> decision</w:t>
            </w:r>
            <w:r w:rsidR="00FB6C2A">
              <w:rPr>
                <w:rFonts w:ascii="Arial" w:hAnsi="Arial" w:cs="Arial"/>
              </w:rPr>
              <w:t xml:space="preserve"> alongside health colleagues whilst meeting</w:t>
            </w:r>
            <w:r w:rsidR="00FB6C2A" w:rsidRPr="00FB6C2A">
              <w:rPr>
                <w:rFonts w:ascii="Arial" w:hAnsi="Arial" w:cs="Arial"/>
                <w:i/>
                <w:iCs/>
              </w:rPr>
              <w:t xml:space="preserve"> </w:t>
            </w:r>
            <w:r w:rsidR="00FB6C2A">
              <w:rPr>
                <w:rFonts w:ascii="Arial" w:hAnsi="Arial" w:cs="Arial"/>
                <w:i/>
                <w:iCs/>
              </w:rPr>
              <w:t>‘</w:t>
            </w:r>
            <w:r w:rsidR="00FB6C2A" w:rsidRPr="00FB6C2A">
              <w:rPr>
                <w:rFonts w:ascii="Arial" w:hAnsi="Arial" w:cs="Arial"/>
                <w:i/>
                <w:iCs/>
              </w:rPr>
              <w:t>the needs of the people</w:t>
            </w:r>
            <w:r w:rsidR="00FB6C2A">
              <w:rPr>
                <w:rFonts w:ascii="Arial" w:hAnsi="Arial" w:cs="Arial"/>
                <w:i/>
                <w:iCs/>
              </w:rPr>
              <w:t>’ (</w:t>
            </w:r>
            <w:r w:rsidR="0021400C">
              <w:rPr>
                <w:rFonts w:ascii="Arial" w:hAnsi="Arial" w:cs="Arial"/>
                <w:i/>
                <w:iCs/>
              </w:rPr>
              <w:t xml:space="preserve">Social Care Wales, 2025). </w:t>
            </w:r>
          </w:p>
          <w:p w14:paraId="268F4944" w14:textId="77777777" w:rsidR="00145B8D" w:rsidRDefault="00145B8D" w:rsidP="00145B8D">
            <w:pPr>
              <w:spacing w:line="360" w:lineRule="auto"/>
              <w:rPr>
                <w:rFonts w:ascii="Arial" w:hAnsi="Arial" w:cs="Arial"/>
              </w:rPr>
            </w:pPr>
          </w:p>
          <w:p w14:paraId="61FA8A98" w14:textId="77777777" w:rsidR="00145B8D" w:rsidRDefault="00145B8D" w:rsidP="00145B8D">
            <w:pPr>
              <w:spacing w:line="360" w:lineRule="auto"/>
              <w:rPr>
                <w:rFonts w:ascii="Arial" w:hAnsi="Arial" w:cs="Arial"/>
              </w:rPr>
            </w:pPr>
            <w:r w:rsidRPr="00FB0E0B">
              <w:rPr>
                <w:rFonts w:ascii="Arial" w:hAnsi="Arial" w:cs="Arial"/>
              </w:rPr>
              <w:t xml:space="preserve">Additionally, I consider my skills of working with individuals to incorporate a person-centred approach </w:t>
            </w:r>
            <w:r w:rsidRPr="00B62C94">
              <w:rPr>
                <w:rFonts w:ascii="Arial" w:hAnsi="Arial" w:cs="Arial"/>
                <w:i/>
                <w:iCs/>
              </w:rPr>
              <w:t>(Howe 2009),</w:t>
            </w:r>
            <w:r w:rsidRPr="00FB0E0B">
              <w:rPr>
                <w:rFonts w:ascii="Arial" w:hAnsi="Arial" w:cs="Arial"/>
              </w:rPr>
              <w:t xml:space="preserve"> as I embed</w:t>
            </w:r>
            <w:r>
              <w:rPr>
                <w:rFonts w:ascii="Arial" w:hAnsi="Arial" w:cs="Arial"/>
              </w:rPr>
              <w:t xml:space="preserve"> the </w:t>
            </w:r>
            <w:r w:rsidRPr="00B62C94">
              <w:rPr>
                <w:rFonts w:ascii="Arial" w:hAnsi="Arial" w:cs="Arial"/>
                <w:i/>
                <w:iCs/>
              </w:rPr>
              <w:t>‘3 Core Values’</w:t>
            </w:r>
            <w:r>
              <w:rPr>
                <w:rFonts w:ascii="Arial" w:hAnsi="Arial" w:cs="Arial"/>
              </w:rPr>
              <w:t xml:space="preserve">, including, </w:t>
            </w:r>
            <w:r w:rsidRPr="00B62C94">
              <w:rPr>
                <w:rFonts w:ascii="Arial" w:hAnsi="Arial" w:cs="Arial"/>
                <w:i/>
                <w:iCs/>
              </w:rPr>
              <w:t>‘warmth’, ‘empathy’</w:t>
            </w:r>
            <w:r>
              <w:rPr>
                <w:rFonts w:ascii="Arial" w:hAnsi="Arial" w:cs="Arial"/>
              </w:rPr>
              <w:t xml:space="preserve"> and </w:t>
            </w:r>
            <w:r w:rsidRPr="00B62C94">
              <w:rPr>
                <w:rFonts w:ascii="Arial" w:hAnsi="Arial" w:cs="Arial"/>
                <w:i/>
                <w:iCs/>
              </w:rPr>
              <w:t>‘genuineness’</w:t>
            </w:r>
            <w:r>
              <w:rPr>
                <w:rFonts w:ascii="Arial" w:hAnsi="Arial" w:cs="Arial"/>
              </w:rPr>
              <w:t xml:space="preserve">, </w:t>
            </w:r>
            <w:r w:rsidRPr="00FB0E0B">
              <w:rPr>
                <w:rFonts w:ascii="Arial" w:hAnsi="Arial" w:cs="Arial"/>
              </w:rPr>
              <w:t xml:space="preserve">outlined by </w:t>
            </w:r>
            <w:r w:rsidRPr="00E27E7F">
              <w:rPr>
                <w:rFonts w:ascii="Arial" w:hAnsi="Arial" w:cs="Arial"/>
                <w:i/>
                <w:iCs/>
              </w:rPr>
              <w:t xml:space="preserve">Rogers (1986), </w:t>
            </w:r>
            <w:r w:rsidRPr="00FB0E0B">
              <w:rPr>
                <w:rFonts w:ascii="Arial" w:hAnsi="Arial" w:cs="Arial"/>
              </w:rPr>
              <w:t xml:space="preserve">cited in </w:t>
            </w:r>
            <w:r w:rsidRPr="00E27E7F">
              <w:rPr>
                <w:rFonts w:ascii="Arial" w:hAnsi="Arial" w:cs="Arial"/>
                <w:i/>
                <w:iCs/>
              </w:rPr>
              <w:t>(Howe, 2009).  ‘</w:t>
            </w:r>
            <w:r w:rsidRPr="00E27E7F">
              <w:rPr>
                <w:rFonts w:ascii="Arial" w:hAnsi="Arial" w:cs="Arial"/>
                <w:i/>
                <w:iCs/>
                <w:color w:val="000000" w:themeColor="text1"/>
              </w:rPr>
              <w:t>Now what?’ (Driscoll, 2007),</w:t>
            </w:r>
            <w:r>
              <w:rPr>
                <w:rFonts w:ascii="Arial" w:hAnsi="Arial" w:cs="Arial"/>
                <w:color w:val="000000" w:themeColor="text1"/>
              </w:rPr>
              <w:t xml:space="preserve"> cited in, </w:t>
            </w:r>
            <w:r w:rsidRPr="00E27E7F">
              <w:rPr>
                <w:rFonts w:ascii="Arial" w:hAnsi="Arial" w:cs="Arial"/>
                <w:i/>
                <w:iCs/>
              </w:rPr>
              <w:t>Bassot (2013).</w:t>
            </w:r>
            <w:r w:rsidRPr="00FB0E0B">
              <w:rPr>
                <w:rFonts w:ascii="Arial" w:hAnsi="Arial" w:cs="Arial"/>
                <w:color w:val="000000" w:themeColor="text1"/>
              </w:rPr>
              <w:t xml:space="preserve"> I feel social </w:t>
            </w:r>
            <w:r w:rsidRPr="00FB0E0B">
              <w:rPr>
                <w:rFonts w:ascii="Arial" w:hAnsi="Arial" w:cs="Arial"/>
              </w:rPr>
              <w:t>constructivist theory will allow for further exploration into the individual’s circumstances, having due regard for my impact in situation</w:t>
            </w:r>
            <w:r>
              <w:rPr>
                <w:rFonts w:ascii="Arial" w:hAnsi="Arial" w:cs="Arial"/>
              </w:rPr>
              <w:t>s</w:t>
            </w:r>
            <w:r w:rsidRPr="00FB0E0B">
              <w:rPr>
                <w:rFonts w:ascii="Arial" w:hAnsi="Arial" w:cs="Arial"/>
              </w:rPr>
              <w:t xml:space="preserve">. </w:t>
            </w:r>
            <w:r>
              <w:rPr>
                <w:rFonts w:ascii="Arial" w:hAnsi="Arial" w:cs="Arial"/>
              </w:rPr>
              <w:t xml:space="preserve">Constructivist </w:t>
            </w:r>
            <w:r w:rsidRPr="00FB0E0B">
              <w:rPr>
                <w:rFonts w:ascii="Arial" w:hAnsi="Arial" w:cs="Arial"/>
              </w:rPr>
              <w:t>theory will</w:t>
            </w:r>
            <w:r>
              <w:rPr>
                <w:rFonts w:ascii="Arial" w:hAnsi="Arial" w:cs="Arial"/>
              </w:rPr>
              <w:t xml:space="preserve"> allow </w:t>
            </w:r>
            <w:r w:rsidRPr="00FB0E0B">
              <w:rPr>
                <w:rFonts w:ascii="Arial" w:hAnsi="Arial" w:cs="Arial"/>
              </w:rPr>
              <w:t>a more collaborative relationship</w:t>
            </w:r>
            <w:r>
              <w:rPr>
                <w:rFonts w:ascii="Arial" w:hAnsi="Arial" w:cs="Arial"/>
              </w:rPr>
              <w:t xml:space="preserve"> </w:t>
            </w:r>
            <w:r w:rsidRPr="00FB0E0B">
              <w:rPr>
                <w:rFonts w:ascii="Arial" w:hAnsi="Arial" w:cs="Arial"/>
              </w:rPr>
              <w:t xml:space="preserve">with the individual and other professionals, which subsequently will support me in forming a professional opinion </w:t>
            </w:r>
            <w:r w:rsidRPr="00E27E7F">
              <w:rPr>
                <w:rFonts w:ascii="Arial" w:hAnsi="Arial" w:cs="Arial"/>
                <w:i/>
                <w:iCs/>
              </w:rPr>
              <w:t>(Teater, B 2014).</w:t>
            </w:r>
            <w:r w:rsidRPr="00FB0E0B">
              <w:rPr>
                <w:rFonts w:ascii="Arial" w:hAnsi="Arial" w:cs="Arial"/>
              </w:rPr>
              <w:t xml:space="preserve">  I have found constructivist theory places the individual’s preferred future at the forefront of my practice when decisions are made initially and throughout the processes</w:t>
            </w:r>
            <w:r>
              <w:rPr>
                <w:rFonts w:ascii="Arial" w:hAnsi="Arial" w:cs="Arial"/>
              </w:rPr>
              <w:t xml:space="preserve"> </w:t>
            </w:r>
            <w:r w:rsidRPr="00E27E7F">
              <w:rPr>
                <w:rFonts w:ascii="Arial" w:hAnsi="Arial" w:cs="Arial"/>
                <w:i/>
                <w:iCs/>
              </w:rPr>
              <w:t>(Teater, B 2014).</w:t>
            </w:r>
            <w:r w:rsidRPr="00FB0E0B">
              <w:rPr>
                <w:rFonts w:ascii="Arial" w:hAnsi="Arial" w:cs="Arial"/>
              </w:rPr>
              <w:t xml:space="preserve"> </w:t>
            </w:r>
          </w:p>
          <w:p w14:paraId="63A3E1B4" w14:textId="77777777" w:rsidR="00145B8D" w:rsidRPr="00FB0E0B" w:rsidRDefault="00145B8D" w:rsidP="00145B8D">
            <w:pPr>
              <w:spacing w:line="360" w:lineRule="auto"/>
              <w:rPr>
                <w:rFonts w:ascii="Arial" w:hAnsi="Arial" w:cs="Arial"/>
              </w:rPr>
            </w:pPr>
          </w:p>
          <w:p w14:paraId="2116933B" w14:textId="77777777" w:rsidR="00145B8D" w:rsidRPr="00FB0E0B" w:rsidRDefault="00145B8D" w:rsidP="00145B8D">
            <w:pPr>
              <w:spacing w:line="360" w:lineRule="auto"/>
              <w:rPr>
                <w:rFonts w:ascii="Arial" w:hAnsi="Arial" w:cs="Arial"/>
              </w:rPr>
            </w:pPr>
            <w:r w:rsidRPr="00FB0E0B">
              <w:rPr>
                <w:rFonts w:ascii="Arial" w:hAnsi="Arial" w:cs="Arial"/>
              </w:rPr>
              <w:t xml:space="preserve">On conclusion using </w:t>
            </w:r>
            <w:r w:rsidRPr="00E27E7F">
              <w:rPr>
                <w:rFonts w:ascii="Arial" w:hAnsi="Arial" w:cs="Arial"/>
                <w:i/>
                <w:iCs/>
              </w:rPr>
              <w:t xml:space="preserve">‘Now what?’ (Driscoll, 2007) </w:t>
            </w:r>
            <w:r w:rsidRPr="00FB0E0B">
              <w:rPr>
                <w:rFonts w:ascii="Arial" w:hAnsi="Arial" w:cs="Arial"/>
              </w:rPr>
              <w:t xml:space="preserve">over the next 12 months, I intend </w:t>
            </w:r>
            <w:r>
              <w:rPr>
                <w:rFonts w:ascii="Arial" w:hAnsi="Arial" w:cs="Arial"/>
              </w:rPr>
              <w:t xml:space="preserve">to </w:t>
            </w:r>
            <w:r w:rsidRPr="00FB0E0B">
              <w:rPr>
                <w:rFonts w:ascii="Arial" w:hAnsi="Arial" w:cs="Arial"/>
              </w:rPr>
              <w:t xml:space="preserve">further build my confidence in relation to my professional judgement, </w:t>
            </w:r>
            <w:r>
              <w:rPr>
                <w:rFonts w:ascii="Arial" w:hAnsi="Arial" w:cs="Arial"/>
              </w:rPr>
              <w:t xml:space="preserve">utilising constructivist theory and </w:t>
            </w:r>
            <w:r w:rsidRPr="00FB0E0B">
              <w:rPr>
                <w:rFonts w:ascii="Arial" w:hAnsi="Arial" w:cs="Arial"/>
              </w:rPr>
              <w:t>specifical</w:t>
            </w:r>
            <w:r>
              <w:rPr>
                <w:rFonts w:ascii="Arial" w:hAnsi="Arial" w:cs="Arial"/>
              </w:rPr>
              <w:t xml:space="preserve">ly consider this </w:t>
            </w:r>
            <w:r w:rsidRPr="00FB0E0B">
              <w:rPr>
                <w:rFonts w:ascii="Arial" w:hAnsi="Arial" w:cs="Arial"/>
              </w:rPr>
              <w:t>when encountering complex mental capacity assessments which can conclude with finely balanced outcomes and, or a disagreement with another professional</w:t>
            </w:r>
            <w:r>
              <w:rPr>
                <w:rFonts w:ascii="Arial" w:hAnsi="Arial" w:cs="Arial"/>
              </w:rPr>
              <w:t xml:space="preserve"> </w:t>
            </w:r>
            <w:r w:rsidRPr="00E27E7F">
              <w:rPr>
                <w:rFonts w:ascii="Arial" w:hAnsi="Arial" w:cs="Arial"/>
                <w:i/>
                <w:iCs/>
              </w:rPr>
              <w:t>(Bassot, 2013).</w:t>
            </w:r>
            <w:r w:rsidRPr="00FB0E0B">
              <w:rPr>
                <w:rFonts w:ascii="Arial" w:hAnsi="Arial" w:cs="Arial"/>
              </w:rPr>
              <w:t xml:space="preserve"> </w:t>
            </w:r>
            <w:r>
              <w:rPr>
                <w:rFonts w:ascii="Arial" w:hAnsi="Arial" w:cs="Arial"/>
              </w:rPr>
              <w:t xml:space="preserve">Language is the principal interaction when supporting an individual and clarity is vital in preventing misunderstandings and misinterpretations, utilising this going forward will help prevent oppressive discussions and aid empowering </w:t>
            </w:r>
            <w:r w:rsidRPr="00E27E7F">
              <w:rPr>
                <w:rFonts w:ascii="Arial" w:hAnsi="Arial" w:cs="Arial"/>
                <w:i/>
                <w:iCs/>
              </w:rPr>
              <w:t xml:space="preserve">(Teater, 2014), </w:t>
            </w:r>
            <w:r>
              <w:rPr>
                <w:rFonts w:ascii="Arial" w:hAnsi="Arial" w:cs="Arial"/>
              </w:rPr>
              <w:t xml:space="preserve">and I </w:t>
            </w:r>
            <w:r w:rsidRPr="00FC4DFA">
              <w:rPr>
                <w:rFonts w:ascii="Arial" w:hAnsi="Arial" w:cs="Arial"/>
              </w:rPr>
              <w:t>intend</w:t>
            </w:r>
            <w:r w:rsidRPr="00FB0E0B">
              <w:rPr>
                <w:rFonts w:ascii="Arial" w:hAnsi="Arial" w:cs="Arial"/>
              </w:rPr>
              <w:t xml:space="preserve"> to use formal and informal supervision and regular mentoring sessions to aid me in doing so.</w:t>
            </w:r>
          </w:p>
          <w:p w14:paraId="7A1AF3EE" w14:textId="77777777" w:rsidR="00145B8D" w:rsidRDefault="00145B8D" w:rsidP="00145B8D">
            <w:pPr>
              <w:spacing w:line="360" w:lineRule="auto"/>
              <w:rPr>
                <w:rFonts w:ascii="Arial" w:hAnsi="Arial" w:cs="Arial"/>
              </w:rPr>
            </w:pPr>
          </w:p>
          <w:p w14:paraId="770CE5D2" w14:textId="59E41DC4" w:rsidR="00145B8D" w:rsidRDefault="00145B8D" w:rsidP="00145B8D">
            <w:pPr>
              <w:spacing w:line="360" w:lineRule="auto"/>
              <w:rPr>
                <w:rFonts w:ascii="Arial" w:hAnsi="Arial" w:cs="Arial"/>
              </w:rPr>
            </w:pPr>
            <w:r w:rsidRPr="00FB0E0B">
              <w:rPr>
                <w:rFonts w:ascii="Arial" w:hAnsi="Arial" w:cs="Arial"/>
              </w:rPr>
              <w:t xml:space="preserve">Shadowing health professionals completing mental capacity assessments </w:t>
            </w:r>
            <w:r>
              <w:rPr>
                <w:rFonts w:ascii="Arial" w:hAnsi="Arial" w:cs="Arial"/>
              </w:rPr>
              <w:t xml:space="preserve">whilst considering any new evidence </w:t>
            </w:r>
            <w:r w:rsidRPr="00FB0E0B">
              <w:rPr>
                <w:rFonts w:ascii="Arial" w:hAnsi="Arial" w:cs="Arial"/>
              </w:rPr>
              <w:t xml:space="preserve">will support </w:t>
            </w:r>
            <w:r>
              <w:rPr>
                <w:rFonts w:ascii="Arial" w:hAnsi="Arial" w:cs="Arial"/>
              </w:rPr>
              <w:t>me in</w:t>
            </w:r>
            <w:r w:rsidRPr="00FB0E0B">
              <w:rPr>
                <w:rFonts w:ascii="Arial" w:hAnsi="Arial" w:cs="Arial"/>
              </w:rPr>
              <w:t xml:space="preserve"> finding my own balance of proportionate rationale to conclude an assessment. </w:t>
            </w:r>
            <w:r>
              <w:rPr>
                <w:rFonts w:ascii="Arial" w:hAnsi="Arial" w:cs="Arial"/>
              </w:rPr>
              <w:t>S</w:t>
            </w:r>
            <w:r w:rsidRPr="00FB0E0B">
              <w:rPr>
                <w:rFonts w:ascii="Arial" w:hAnsi="Arial" w:cs="Arial"/>
              </w:rPr>
              <w:t xml:space="preserve">ocial constructivist theory </w:t>
            </w:r>
            <w:r>
              <w:rPr>
                <w:rFonts w:ascii="Arial" w:hAnsi="Arial" w:cs="Arial"/>
              </w:rPr>
              <w:t>will</w:t>
            </w:r>
            <w:r w:rsidR="00B62C94">
              <w:rPr>
                <w:rFonts w:ascii="Arial" w:hAnsi="Arial" w:cs="Arial"/>
              </w:rPr>
              <w:t xml:space="preserve"> further </w:t>
            </w:r>
            <w:r>
              <w:rPr>
                <w:rFonts w:ascii="Arial" w:hAnsi="Arial" w:cs="Arial"/>
              </w:rPr>
              <w:t>explor</w:t>
            </w:r>
            <w:r w:rsidR="00B62C94">
              <w:rPr>
                <w:rFonts w:ascii="Arial" w:hAnsi="Arial" w:cs="Arial"/>
              </w:rPr>
              <w:t>e</w:t>
            </w:r>
            <w:r>
              <w:rPr>
                <w:rFonts w:ascii="Arial" w:hAnsi="Arial" w:cs="Arial"/>
              </w:rPr>
              <w:t xml:space="preserve"> of</w:t>
            </w:r>
            <w:r w:rsidRPr="00FB0E0B">
              <w:rPr>
                <w:rFonts w:ascii="Arial" w:hAnsi="Arial" w:cs="Arial"/>
              </w:rPr>
              <w:t xml:space="preserve"> </w:t>
            </w:r>
            <w:r>
              <w:rPr>
                <w:rFonts w:ascii="Arial" w:hAnsi="Arial" w:cs="Arial"/>
              </w:rPr>
              <w:t xml:space="preserve">my </w:t>
            </w:r>
            <w:r w:rsidRPr="00FB0E0B">
              <w:rPr>
                <w:rFonts w:ascii="Arial" w:hAnsi="Arial" w:cs="Arial"/>
              </w:rPr>
              <w:t xml:space="preserve">language </w:t>
            </w:r>
            <w:r>
              <w:rPr>
                <w:rFonts w:ascii="Arial" w:hAnsi="Arial" w:cs="Arial"/>
              </w:rPr>
              <w:t xml:space="preserve">use </w:t>
            </w:r>
            <w:r w:rsidRPr="00FB0E0B">
              <w:rPr>
                <w:rFonts w:ascii="Arial" w:hAnsi="Arial" w:cs="Arial"/>
              </w:rPr>
              <w:t>allow</w:t>
            </w:r>
            <w:r>
              <w:rPr>
                <w:rFonts w:ascii="Arial" w:hAnsi="Arial" w:cs="Arial"/>
              </w:rPr>
              <w:t>ing</w:t>
            </w:r>
            <w:r w:rsidR="00B62C94">
              <w:rPr>
                <w:rFonts w:ascii="Arial" w:hAnsi="Arial" w:cs="Arial"/>
              </w:rPr>
              <w:t xml:space="preserve"> </w:t>
            </w:r>
            <w:r w:rsidRPr="00FB0E0B">
              <w:rPr>
                <w:rFonts w:ascii="Arial" w:hAnsi="Arial" w:cs="Arial"/>
              </w:rPr>
              <w:t>individual’s reality to be understood</w:t>
            </w:r>
            <w:r>
              <w:rPr>
                <w:rFonts w:ascii="Arial" w:hAnsi="Arial" w:cs="Arial"/>
              </w:rPr>
              <w:t xml:space="preserve">, </w:t>
            </w:r>
            <w:r w:rsidRPr="00FB0E0B">
              <w:rPr>
                <w:rFonts w:ascii="Arial" w:hAnsi="Arial" w:cs="Arial"/>
              </w:rPr>
              <w:t>influenc</w:t>
            </w:r>
            <w:r>
              <w:rPr>
                <w:rFonts w:ascii="Arial" w:hAnsi="Arial" w:cs="Arial"/>
              </w:rPr>
              <w:t>ing</w:t>
            </w:r>
            <w:r w:rsidRPr="00FB0E0B">
              <w:rPr>
                <w:rFonts w:ascii="Arial" w:hAnsi="Arial" w:cs="Arial"/>
              </w:rPr>
              <w:t xml:space="preserve"> their functions and behaviour</w:t>
            </w:r>
            <w:r>
              <w:rPr>
                <w:rFonts w:ascii="Arial" w:hAnsi="Arial" w:cs="Arial"/>
              </w:rPr>
              <w:t>s</w:t>
            </w:r>
            <w:r w:rsidRPr="00FB0E0B">
              <w:rPr>
                <w:rFonts w:ascii="Arial" w:hAnsi="Arial" w:cs="Arial"/>
              </w:rPr>
              <w:t xml:space="preserve"> </w:t>
            </w:r>
            <w:r w:rsidRPr="00E27E7F">
              <w:rPr>
                <w:rFonts w:ascii="Arial" w:hAnsi="Arial" w:cs="Arial"/>
                <w:i/>
                <w:iCs/>
              </w:rPr>
              <w:t>(Teater, 2014).</w:t>
            </w:r>
            <w:r w:rsidRPr="00FB0E0B">
              <w:rPr>
                <w:rFonts w:ascii="Arial" w:hAnsi="Arial" w:cs="Arial"/>
              </w:rPr>
              <w:t xml:space="preserve"> </w:t>
            </w:r>
            <w:r>
              <w:rPr>
                <w:rFonts w:ascii="Arial" w:hAnsi="Arial" w:cs="Arial"/>
              </w:rPr>
              <w:t xml:space="preserve">The five ways to empower within constructivist theory should allow language to be reframed, explore solutions and allow elaborative discussions to occur, allowing a focus during assessments and for the individual to be part of the decision making throughout, even when they lack the capacity </w:t>
            </w:r>
            <w:r w:rsidRPr="00E27E7F">
              <w:rPr>
                <w:rFonts w:ascii="Arial" w:hAnsi="Arial" w:cs="Arial"/>
                <w:i/>
                <w:iCs/>
              </w:rPr>
              <w:t>(Teater, 2014).</w:t>
            </w:r>
            <w:r>
              <w:rPr>
                <w:rFonts w:ascii="Arial" w:hAnsi="Arial" w:cs="Arial"/>
              </w:rPr>
              <w:t xml:space="preserve"> </w:t>
            </w:r>
          </w:p>
          <w:p w14:paraId="216E2F79" w14:textId="0098FED9" w:rsidR="00AE66CE" w:rsidRDefault="00AE66CE" w:rsidP="00145B8D">
            <w:pPr>
              <w:spacing w:line="360" w:lineRule="auto"/>
              <w:rPr>
                <w:rFonts w:ascii="Arial" w:hAnsi="Arial" w:cs="Arial"/>
              </w:rPr>
            </w:pPr>
          </w:p>
          <w:p w14:paraId="1D507BD3" w14:textId="6B0B22B0" w:rsidR="00AE66CE" w:rsidRPr="00AE66CE" w:rsidRDefault="00AE66CE" w:rsidP="00145B8D">
            <w:pPr>
              <w:spacing w:line="360" w:lineRule="auto"/>
              <w:rPr>
                <w:rFonts w:ascii="Arial" w:hAnsi="Arial" w:cs="Arial"/>
                <w:b/>
                <w:bCs/>
              </w:rPr>
            </w:pPr>
            <w:r w:rsidRPr="00AE66CE">
              <w:rPr>
                <w:rFonts w:ascii="Arial" w:hAnsi="Arial" w:cs="Arial"/>
                <w:b/>
                <w:bCs/>
              </w:rPr>
              <w:t>Word count 8</w:t>
            </w:r>
            <w:r w:rsidR="00B62C94">
              <w:rPr>
                <w:rFonts w:ascii="Arial" w:hAnsi="Arial" w:cs="Arial"/>
                <w:b/>
                <w:bCs/>
              </w:rPr>
              <w:t>25</w:t>
            </w:r>
          </w:p>
          <w:p w14:paraId="689F08D4" w14:textId="77777777" w:rsidR="008C1CF1" w:rsidRPr="00706BB5" w:rsidRDefault="008C1CF1" w:rsidP="0002737F">
            <w:pPr>
              <w:spacing w:line="360" w:lineRule="auto"/>
              <w:jc w:val="both"/>
              <w:rPr>
                <w:i/>
                <w:iCs/>
              </w:rPr>
            </w:pPr>
          </w:p>
        </w:tc>
      </w:tr>
      <w:bookmarkEnd w:id="0"/>
    </w:tbl>
    <w:p w14:paraId="480B3208" w14:textId="77777777" w:rsidR="00E27E7F" w:rsidRDefault="00E27E7F" w:rsidP="0002737F">
      <w:pPr>
        <w:spacing w:line="360" w:lineRule="auto"/>
        <w:jc w:val="center"/>
        <w:rPr>
          <w:b/>
          <w:sz w:val="28"/>
          <w:szCs w:val="28"/>
          <w:u w:val="single"/>
        </w:rPr>
      </w:pPr>
    </w:p>
    <w:p w14:paraId="5EBD4E32" w14:textId="301C4837" w:rsidR="004F0E93" w:rsidRPr="00E27E7F" w:rsidRDefault="004F0E93" w:rsidP="0002737F">
      <w:pPr>
        <w:spacing w:line="360" w:lineRule="auto"/>
        <w:jc w:val="center"/>
        <w:rPr>
          <w:b/>
          <w:sz w:val="28"/>
          <w:szCs w:val="28"/>
          <w:u w:val="single"/>
        </w:rPr>
      </w:pPr>
      <w:r w:rsidRPr="00E27E7F">
        <w:rPr>
          <w:b/>
          <w:sz w:val="28"/>
          <w:szCs w:val="28"/>
          <w:u w:val="single"/>
        </w:rPr>
        <w:t xml:space="preserve">Task 1 </w:t>
      </w:r>
    </w:p>
    <w:p w14:paraId="5B537D22" w14:textId="02F029C1" w:rsidR="00F14D32" w:rsidRPr="00E27E7F" w:rsidRDefault="00F14D32" w:rsidP="0002737F">
      <w:pPr>
        <w:spacing w:line="360" w:lineRule="auto"/>
        <w:jc w:val="center"/>
        <w:rPr>
          <w:b/>
          <w:sz w:val="28"/>
          <w:szCs w:val="28"/>
          <w:u w:val="single"/>
        </w:rPr>
      </w:pPr>
      <w:r w:rsidRPr="00E27E7F">
        <w:rPr>
          <w:b/>
          <w:sz w:val="28"/>
          <w:szCs w:val="28"/>
          <w:u w:val="single"/>
        </w:rPr>
        <w:t xml:space="preserve">Part b </w:t>
      </w:r>
    </w:p>
    <w:p w14:paraId="1F6DC0E3" w14:textId="77777777" w:rsidR="004F0E93" w:rsidRPr="00E27E7F" w:rsidRDefault="004F0E93" w:rsidP="0002737F">
      <w:pPr>
        <w:spacing w:line="360" w:lineRule="auto"/>
        <w:jc w:val="center"/>
        <w:rPr>
          <w:b/>
          <w:bCs/>
          <w:sz w:val="28"/>
          <w:szCs w:val="28"/>
          <w:u w:val="single"/>
        </w:rPr>
      </w:pPr>
      <w:r w:rsidRPr="00E27E7F">
        <w:rPr>
          <w:b/>
          <w:bCs/>
          <w:sz w:val="28"/>
          <w:szCs w:val="28"/>
          <w:u w:val="single"/>
        </w:rPr>
        <w:t xml:space="preserve">Developmental Review </w:t>
      </w:r>
    </w:p>
    <w:p w14:paraId="508D8D72" w14:textId="77777777" w:rsidR="004F0E93" w:rsidRDefault="004F0E93" w:rsidP="0002737F">
      <w:pPr>
        <w:spacing w:line="360" w:lineRule="auto"/>
        <w:rPr>
          <w:b/>
        </w:rPr>
      </w:pPr>
    </w:p>
    <w:p w14:paraId="6178251B" w14:textId="77777777" w:rsidR="004F0E93" w:rsidRDefault="004F0E93" w:rsidP="0002737F">
      <w:pPr>
        <w:spacing w:line="360" w:lineRule="auto"/>
        <w:rPr>
          <w:b/>
        </w:rPr>
      </w:pPr>
      <w:r w:rsidRPr="00EE5BC3">
        <w:rPr>
          <w:b/>
        </w:rPr>
        <w:t>Guidance:</w:t>
      </w:r>
    </w:p>
    <w:p w14:paraId="59345CB7" w14:textId="02F6EDAD" w:rsidR="004F0E93" w:rsidRPr="002D6B34" w:rsidRDefault="004F0E93" w:rsidP="0002737F">
      <w:pPr>
        <w:spacing w:line="360" w:lineRule="auto"/>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02737F">
      <w:pPr>
        <w:spacing w:line="360" w:lineRule="auto"/>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02737F">
      <w:pPr>
        <w:spacing w:line="360" w:lineRule="auto"/>
        <w:jc w:val="both"/>
        <w:rPr>
          <w:i/>
          <w:iCs/>
        </w:rPr>
      </w:pPr>
    </w:p>
    <w:p w14:paraId="38ECDAB9" w14:textId="7C0DA505" w:rsidR="00F14D32" w:rsidRDefault="00F14D32" w:rsidP="0002737F">
      <w:pPr>
        <w:spacing w:line="360" w:lineRule="auto"/>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8517A3">
        <w:trPr>
          <w:trHeight w:val="2880"/>
        </w:trPr>
        <w:tc>
          <w:tcPr>
            <w:tcW w:w="9016" w:type="dxa"/>
          </w:tcPr>
          <w:p w14:paraId="2D751810" w14:textId="77777777" w:rsidR="00DC3220" w:rsidRPr="00C86002" w:rsidRDefault="00DC3220" w:rsidP="0002737F">
            <w:pPr>
              <w:spacing w:line="360" w:lineRule="auto"/>
              <w:jc w:val="both"/>
              <w:rPr>
                <w:b/>
                <w:bCs/>
              </w:rPr>
            </w:pPr>
            <w:r w:rsidRPr="00C86002">
              <w:rPr>
                <w:b/>
                <w:bCs/>
              </w:rPr>
              <w:t>Question</w:t>
            </w:r>
          </w:p>
          <w:p w14:paraId="0394349A" w14:textId="27EF96B3" w:rsidR="00DC3220" w:rsidRDefault="004F0E93" w:rsidP="0002737F">
            <w:pPr>
              <w:spacing w:line="360" w:lineRule="auto"/>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02737F">
            <w:pPr>
              <w:spacing w:line="360" w:lineRule="auto"/>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02737F">
            <w:pPr>
              <w:spacing w:line="360" w:lineRule="auto"/>
              <w:jc w:val="both"/>
            </w:pPr>
            <w:r>
              <w:lastRenderedPageBreak/>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02737F">
            <w:pPr>
              <w:spacing w:line="360" w:lineRule="auto"/>
              <w:jc w:val="both"/>
            </w:pPr>
          </w:p>
          <w:p w14:paraId="52CD0E3E" w14:textId="708B44C1" w:rsidR="004F0E93" w:rsidRPr="00E27E7F" w:rsidRDefault="004F0E93" w:rsidP="0002737F">
            <w:pPr>
              <w:spacing w:line="360" w:lineRule="auto"/>
              <w:jc w:val="both"/>
            </w:pPr>
            <w:r w:rsidRPr="00C0499C">
              <w:t>650 words</w:t>
            </w:r>
            <w:r>
              <w:t xml:space="preserve"> </w:t>
            </w:r>
            <w:r w:rsidR="00C0499C" w:rsidRPr="00C0499C">
              <w:t>(+/- 10%: include your actual word count at the end of each section).</w:t>
            </w:r>
          </w:p>
        </w:tc>
      </w:tr>
      <w:tr w:rsidR="00B930D3" w:rsidRPr="008B28E7" w14:paraId="2C6F0F4C" w14:textId="77777777" w:rsidTr="008517A3">
        <w:trPr>
          <w:trHeight w:val="3731"/>
        </w:trPr>
        <w:tc>
          <w:tcPr>
            <w:tcW w:w="9016" w:type="dxa"/>
          </w:tcPr>
          <w:p w14:paraId="754756F1" w14:textId="06AD9DD9" w:rsidR="00C0499C" w:rsidRPr="00EB5A69" w:rsidRDefault="00C0499C" w:rsidP="0002737F">
            <w:pPr>
              <w:spacing w:line="360" w:lineRule="auto"/>
              <w:jc w:val="both"/>
              <w:rPr>
                <w:b/>
                <w:bCs/>
              </w:rPr>
            </w:pPr>
          </w:p>
          <w:p w14:paraId="2C8B526C" w14:textId="77777777" w:rsidR="00C0499C" w:rsidRPr="00C0499C" w:rsidRDefault="00C0499C" w:rsidP="0002737F">
            <w:pPr>
              <w:spacing w:line="360" w:lineRule="auto"/>
              <w:jc w:val="both"/>
              <w:rPr>
                <w:i/>
              </w:rPr>
            </w:pPr>
          </w:p>
          <w:p w14:paraId="0816FC92" w14:textId="191C0669" w:rsidR="00B930D3" w:rsidRPr="00C0499C" w:rsidRDefault="00B930D3" w:rsidP="0002737F">
            <w:pPr>
              <w:spacing w:line="360" w:lineRule="auto"/>
              <w:jc w:val="both"/>
            </w:pPr>
            <w:r w:rsidRPr="00C0499C">
              <w:rPr>
                <w:i/>
              </w:rPr>
              <w:t>Total</w:t>
            </w:r>
            <w:r w:rsidR="00C0499C" w:rsidRPr="00C0499C">
              <w:rPr>
                <w:i/>
              </w:rPr>
              <w:t xml:space="preserve"> task 1 part b </w:t>
            </w:r>
            <w:r w:rsidR="00EB5A69">
              <w:rPr>
                <w:i/>
              </w:rPr>
              <w:t>65</w:t>
            </w:r>
            <w:r w:rsidR="00C0499C" w:rsidRPr="00C0499C">
              <w:rPr>
                <w:i/>
              </w:rPr>
              <w:t>0 words</w:t>
            </w:r>
            <w:r w:rsidRPr="00C0499C">
              <w:rPr>
                <w:i/>
              </w:rPr>
              <w:t xml:space="preserve"> (+/- 10%: include your actual word count at the end of each section).</w:t>
            </w:r>
          </w:p>
          <w:p w14:paraId="70BA0C19" w14:textId="77777777" w:rsidR="00B930D3" w:rsidRPr="005E17F1" w:rsidRDefault="00B930D3" w:rsidP="0002737F">
            <w:pPr>
              <w:spacing w:line="360" w:lineRule="auto"/>
              <w:jc w:val="both"/>
            </w:pPr>
          </w:p>
        </w:tc>
      </w:tr>
      <w:tr w:rsidR="008517A3" w:rsidRPr="008B28E7" w14:paraId="50D3D67F" w14:textId="77777777" w:rsidTr="00AE66CE">
        <w:trPr>
          <w:trHeight w:val="1408"/>
        </w:trPr>
        <w:tc>
          <w:tcPr>
            <w:tcW w:w="9016" w:type="dxa"/>
          </w:tcPr>
          <w:p w14:paraId="016A250E" w14:textId="77777777" w:rsidR="008517A3" w:rsidRDefault="008517A3" w:rsidP="0002737F">
            <w:pPr>
              <w:spacing w:line="360" w:lineRule="auto"/>
              <w:rPr>
                <w:rFonts w:ascii="Arial" w:hAnsi="Arial" w:cs="Arial"/>
                <w:b/>
                <w:bCs/>
                <w:u w:val="single"/>
              </w:rPr>
            </w:pPr>
            <w:r w:rsidRPr="00C415DD">
              <w:rPr>
                <w:rFonts w:ascii="Arial" w:hAnsi="Arial" w:cs="Arial"/>
                <w:b/>
                <w:bCs/>
                <w:u w:val="single"/>
              </w:rPr>
              <w:t>Part 2</w:t>
            </w:r>
          </w:p>
          <w:p w14:paraId="601C3E76" w14:textId="77777777" w:rsidR="008517A3" w:rsidRDefault="008517A3" w:rsidP="0002737F">
            <w:pPr>
              <w:spacing w:line="360" w:lineRule="auto"/>
              <w:rPr>
                <w:rFonts w:ascii="Arial" w:hAnsi="Arial" w:cs="Arial"/>
                <w:b/>
                <w:bCs/>
                <w:u w:val="single"/>
              </w:rPr>
            </w:pPr>
            <w:r w:rsidRPr="00C415DD">
              <w:rPr>
                <w:rFonts w:ascii="Arial" w:hAnsi="Arial" w:cs="Arial"/>
                <w:b/>
                <w:bCs/>
                <w:u w:val="single"/>
              </w:rPr>
              <w:t>Task 1</w:t>
            </w:r>
            <w:r>
              <w:rPr>
                <w:rFonts w:ascii="Arial" w:hAnsi="Arial" w:cs="Arial"/>
                <w:b/>
                <w:bCs/>
                <w:u w:val="single"/>
              </w:rPr>
              <w:t>: B</w:t>
            </w:r>
            <w:r w:rsidRPr="00C415DD">
              <w:rPr>
                <w:rFonts w:ascii="Arial" w:hAnsi="Arial" w:cs="Arial"/>
                <w:b/>
                <w:bCs/>
                <w:u w:val="single"/>
              </w:rPr>
              <w:t xml:space="preserve"> </w:t>
            </w:r>
          </w:p>
          <w:p w14:paraId="435696AF" w14:textId="77777777" w:rsidR="0002737F" w:rsidRDefault="0002737F" w:rsidP="0002737F">
            <w:pPr>
              <w:spacing w:line="360" w:lineRule="auto"/>
              <w:rPr>
                <w:rFonts w:ascii="Arial" w:hAnsi="Arial" w:cs="Arial"/>
              </w:rPr>
            </w:pPr>
          </w:p>
          <w:p w14:paraId="05B99776" w14:textId="16F234AA" w:rsidR="00EB5A69" w:rsidRDefault="008517A3" w:rsidP="0002737F">
            <w:pPr>
              <w:spacing w:line="360" w:lineRule="auto"/>
              <w:rPr>
                <w:rFonts w:ascii="Arial" w:hAnsi="Arial" w:cs="Arial"/>
              </w:rPr>
            </w:pPr>
            <w:r>
              <w:rPr>
                <w:rFonts w:ascii="Arial" w:hAnsi="Arial" w:cs="Arial"/>
              </w:rPr>
              <w:t>Utilising</w:t>
            </w:r>
            <w:r w:rsidRPr="00FB0E0B">
              <w:rPr>
                <w:rFonts w:ascii="Arial" w:hAnsi="Arial" w:cs="Arial"/>
              </w:rPr>
              <w:t xml:space="preserve"> Driscoll’s (2007) ‘What?’ model</w:t>
            </w:r>
            <w:r>
              <w:rPr>
                <w:rFonts w:ascii="Arial" w:hAnsi="Arial" w:cs="Arial"/>
              </w:rPr>
              <w:t xml:space="preserve"> (Bassot, 2013), I reflected on the feedback to slow down my practice processes and to reflect on my interventions, understanding the benefits of exploring feedback with my mentor. I considered myself ‘the apprentice’ during moments of difficulty in my thinking processes, turning to my experienced mentor as a desire to reach my full potential, I took comfort that my mentor presented ‘unmasked’ with honesty about his own experiences and growth (</w:t>
            </w:r>
            <w:r w:rsidRPr="007E023C">
              <w:rPr>
                <w:rFonts w:ascii="Arial" w:hAnsi="Arial" w:cs="Arial"/>
              </w:rPr>
              <w:t>Liu, A.</w:t>
            </w:r>
            <w:r>
              <w:rPr>
                <w:rFonts w:ascii="Arial" w:hAnsi="Arial" w:cs="Arial"/>
              </w:rPr>
              <w:t xml:space="preserve"> </w:t>
            </w:r>
            <w:r w:rsidRPr="007E023C">
              <w:rPr>
                <w:rFonts w:ascii="Arial" w:hAnsi="Arial" w:cs="Arial"/>
              </w:rPr>
              <w:t>2023).</w:t>
            </w:r>
          </w:p>
          <w:p w14:paraId="434DBB2D" w14:textId="77777777" w:rsidR="00EB5A69" w:rsidRDefault="00EB5A69" w:rsidP="0002737F">
            <w:pPr>
              <w:spacing w:line="360" w:lineRule="auto"/>
              <w:rPr>
                <w:rFonts w:ascii="Arial" w:hAnsi="Arial" w:cs="Arial"/>
              </w:rPr>
            </w:pPr>
          </w:p>
          <w:p w14:paraId="36950D6F" w14:textId="181283E5" w:rsidR="008517A3" w:rsidRDefault="008517A3" w:rsidP="0002737F">
            <w:pPr>
              <w:spacing w:line="360" w:lineRule="auto"/>
              <w:rPr>
                <w:rFonts w:ascii="Arial" w:hAnsi="Arial" w:cs="Arial"/>
              </w:rPr>
            </w:pPr>
            <w:r>
              <w:rPr>
                <w:rFonts w:ascii="Arial" w:hAnsi="Arial" w:cs="Arial"/>
              </w:rPr>
              <w:t xml:space="preserve">Supervision allowed safe, deeper reflection with me exploring how my documentation is now written concisely remaining </w:t>
            </w:r>
            <w:r w:rsidRPr="009A4012">
              <w:rPr>
                <w:rFonts w:ascii="Arial" w:hAnsi="Arial" w:cs="Arial"/>
              </w:rPr>
              <w:t>legally compliant</w:t>
            </w:r>
            <w:r>
              <w:rPr>
                <w:rFonts w:ascii="Arial" w:hAnsi="Arial" w:cs="Arial"/>
              </w:rPr>
              <w:t xml:space="preserve">.  I am remaining ‘self-aware’ and understanding ‘theory underpins my practice’, and although I have utilised a new artificial intelligence to document my mental capacity assessments; I have not allowed the ‘human dimension’ to diminish </w:t>
            </w:r>
            <w:r>
              <w:rPr>
                <w:rFonts w:ascii="Arial" w:hAnsi="Arial" w:cs="Arial"/>
              </w:rPr>
              <w:lastRenderedPageBreak/>
              <w:t xml:space="preserve">(Thompson, S et.al, 2008), in fact, as I feel I am more engaged with the individual instead of the note taking being my main focus.  </w:t>
            </w:r>
          </w:p>
          <w:p w14:paraId="1FB16D4D" w14:textId="77777777" w:rsidR="0002737F" w:rsidRDefault="0002737F" w:rsidP="0002737F">
            <w:pPr>
              <w:spacing w:line="360" w:lineRule="auto"/>
              <w:rPr>
                <w:rFonts w:ascii="Arial" w:hAnsi="Arial" w:cs="Arial"/>
              </w:rPr>
            </w:pPr>
          </w:p>
          <w:p w14:paraId="7BCBD650" w14:textId="77777777" w:rsidR="0002737F" w:rsidRDefault="0002737F" w:rsidP="0002737F">
            <w:pPr>
              <w:spacing w:line="360" w:lineRule="auto"/>
              <w:rPr>
                <w:rFonts w:ascii="Arial" w:hAnsi="Arial" w:cs="Arial"/>
              </w:rPr>
            </w:pPr>
          </w:p>
          <w:p w14:paraId="0F313517" w14:textId="07E21B9F" w:rsidR="008517A3" w:rsidRDefault="008517A3" w:rsidP="0002737F">
            <w:pPr>
              <w:spacing w:line="360" w:lineRule="auto"/>
              <w:rPr>
                <w:rFonts w:ascii="Arial" w:hAnsi="Arial" w:cs="Arial"/>
              </w:rPr>
            </w:pPr>
            <w:r w:rsidRPr="00FB0E0B">
              <w:rPr>
                <w:rFonts w:ascii="Arial" w:hAnsi="Arial" w:cs="Arial"/>
              </w:rPr>
              <w:t>On reflection using ‘So What?’ (Driscoll, 2007),</w:t>
            </w:r>
            <w:r>
              <w:rPr>
                <w:rFonts w:ascii="Arial" w:hAnsi="Arial" w:cs="Arial"/>
              </w:rPr>
              <w:t xml:space="preserve"> cited in, </w:t>
            </w:r>
            <w:r w:rsidRPr="00FB0E0B">
              <w:rPr>
                <w:rFonts w:ascii="Arial" w:hAnsi="Arial" w:cs="Arial"/>
              </w:rPr>
              <w:t>Bassot</w:t>
            </w:r>
            <w:r>
              <w:rPr>
                <w:rFonts w:ascii="Arial" w:hAnsi="Arial" w:cs="Arial"/>
              </w:rPr>
              <w:t xml:space="preserve"> (</w:t>
            </w:r>
            <w:r w:rsidRPr="00FB0E0B">
              <w:rPr>
                <w:rFonts w:ascii="Arial" w:hAnsi="Arial" w:cs="Arial"/>
              </w:rPr>
              <w:t xml:space="preserve">2013). </w:t>
            </w:r>
            <w:r>
              <w:rPr>
                <w:rFonts w:ascii="Arial" w:hAnsi="Arial" w:cs="Arial"/>
              </w:rPr>
              <w:t xml:space="preserve"> I have considered that one of the recommendations within the ‘Munro’ child protection report (Munro, 2011), provides clear guidance of the importance of skilled supervision and case consultations, to support social workers and ‘draw out their reasoning’, assisting in executing their rationale and future practice. I have understood the importance of my professional rationale within my mental capacity assessments, justifying my conclusion and promoting anti-oppressive practice when supporting individuals; challenging the conclusions of health colleagues, especially when our mental capacity assessment conclusions differ. I am now able to professionally discuss confidently with consultants the rationale behind their conclusion within mental capacity assessment and respectfully challenge either way with critical reflection playing a crucial role (Heron, 2005, cited in, Ingram, R. et.al. 2014</w:t>
            </w:r>
            <w:r w:rsidRPr="00CB73A8">
              <w:rPr>
                <w:rFonts w:ascii="Arial" w:hAnsi="Arial" w:cs="Arial"/>
              </w:rPr>
              <w:t>). I</w:t>
            </w:r>
            <w:r>
              <w:rPr>
                <w:rFonts w:ascii="Arial" w:hAnsi="Arial" w:cs="Arial"/>
              </w:rPr>
              <w:t xml:space="preserve"> feel confident to undertake professional discussions with all health colleagues pertaining to mental capacity assessments following my mentoring sessions, I experienced the modelling of ‘openness’, ‘risk taking’, and ‘reflection’; which in turn changed my tact, and I understood to be on an ‘equal footing’ with my colleagues (Howe et.al, 2013). With a slower considered approach when exploring assessment conclusions I adopted ‘a position of curiosity’ (Teater, 2014), believing in my decision making and colleagues approaching me for advice and guidance showing mutual professionalism</w:t>
            </w:r>
            <w:r w:rsidR="00436597">
              <w:rPr>
                <w:rFonts w:ascii="Arial" w:hAnsi="Arial" w:cs="Arial"/>
              </w:rPr>
              <w:t>, making progress towards the ‘workforce strategy’, improving professionalism overall</w:t>
            </w:r>
            <w:r>
              <w:rPr>
                <w:rFonts w:ascii="Arial" w:hAnsi="Arial" w:cs="Arial"/>
              </w:rPr>
              <w:t xml:space="preserve">. </w:t>
            </w:r>
          </w:p>
          <w:p w14:paraId="6A31BE12" w14:textId="77777777" w:rsidR="0002737F" w:rsidRPr="00CB73A8" w:rsidRDefault="0002737F" w:rsidP="0002737F">
            <w:pPr>
              <w:spacing w:line="360" w:lineRule="auto"/>
              <w:rPr>
                <w:rFonts w:ascii="Arial" w:hAnsi="Arial" w:cs="Arial"/>
                <w:b/>
                <w:bCs/>
                <w:u w:val="single"/>
              </w:rPr>
            </w:pPr>
          </w:p>
          <w:p w14:paraId="6DCE7E0E" w14:textId="77777777" w:rsidR="008517A3" w:rsidRDefault="008517A3" w:rsidP="0002737F">
            <w:pPr>
              <w:spacing w:line="360" w:lineRule="auto"/>
              <w:rPr>
                <w:rFonts w:ascii="Arial" w:hAnsi="Arial" w:cs="Arial"/>
              </w:rPr>
            </w:pPr>
            <w:r>
              <w:rPr>
                <w:rFonts w:ascii="Arial" w:hAnsi="Arial" w:cs="Arial"/>
              </w:rPr>
              <w:t xml:space="preserve">I have been cautiously aware that health colleagues are also learning within the realms of mental capacity assessments, and this I feel has allowed partnerships to advance our working relationships. I have had the opportunity to support, receive feedback, and complete joint mental capacity assessments with health colleagues, allowing a more seamless approach when reaching a conclusion (Davies, 2013).  </w:t>
            </w:r>
          </w:p>
          <w:p w14:paraId="25C6E2F6" w14:textId="77777777" w:rsidR="008517A3" w:rsidRDefault="008517A3" w:rsidP="0002737F">
            <w:pPr>
              <w:spacing w:line="360" w:lineRule="auto"/>
              <w:rPr>
                <w:rFonts w:ascii="Arial" w:hAnsi="Arial" w:cs="Arial"/>
              </w:rPr>
            </w:pPr>
            <w:r>
              <w:rPr>
                <w:rFonts w:ascii="Arial" w:hAnsi="Arial" w:cs="Arial"/>
              </w:rPr>
              <w:t xml:space="preserve">Mental capacity assessments have been shared by health colleagues and electronically saved to our systems for continuity across health and social care </w:t>
            </w:r>
            <w:r>
              <w:rPr>
                <w:rFonts w:ascii="Arial" w:hAnsi="Arial" w:cs="Arial"/>
              </w:rPr>
              <w:lastRenderedPageBreak/>
              <w:t>teams. I am now able to utilise health colleagues’ mental capacity assessments, whereas historically, the assessments were unable to be utilised due to a lack of information. Interprofessional collaboration has allowed more timely mannered hospital discharges and a collaboration in our communication, specifically around what is necessary to satisfy other professionals and within Court. Professional boundaries within roles have a position within a hospital setting however, mental capacity assessment processes are equally; a role for both health and social care practitioners when decisions are made in relation to care and residence (Crawford, 2011).</w:t>
            </w:r>
          </w:p>
          <w:p w14:paraId="0293F386" w14:textId="77777777" w:rsidR="0002737F" w:rsidRDefault="0002737F" w:rsidP="0002737F">
            <w:pPr>
              <w:spacing w:line="360" w:lineRule="auto"/>
              <w:rPr>
                <w:rFonts w:ascii="Arial" w:hAnsi="Arial" w:cs="Arial"/>
              </w:rPr>
            </w:pPr>
          </w:p>
          <w:p w14:paraId="59FDC537" w14:textId="77777777" w:rsidR="008517A3" w:rsidRDefault="008517A3" w:rsidP="0002737F">
            <w:pPr>
              <w:spacing w:line="360" w:lineRule="auto"/>
              <w:rPr>
                <w:rFonts w:ascii="Arial" w:hAnsi="Arial" w:cs="Arial"/>
              </w:rPr>
            </w:pPr>
            <w:r>
              <w:rPr>
                <w:rFonts w:ascii="Arial" w:hAnsi="Arial" w:cs="Arial"/>
              </w:rPr>
              <w:t>I</w:t>
            </w:r>
            <w:r w:rsidRPr="00FB0E0B">
              <w:rPr>
                <w:rFonts w:ascii="Arial" w:hAnsi="Arial" w:cs="Arial"/>
              </w:rPr>
              <w:t>n conclusion using ‘Now what?’ (Driscoll, 2007)</w:t>
            </w:r>
            <w:r>
              <w:rPr>
                <w:rFonts w:ascii="Arial" w:hAnsi="Arial" w:cs="Arial"/>
              </w:rPr>
              <w:t xml:space="preserve">, cited in, Bassot (2013) my short-term goals are to consider my professionalism and continue slowing down my practice to speed up the process. Partnership working alongside health colleagues requires consideration of their rotational shifts, and the communication within this multidisciplinary team structure, requiring frequent intrinsic meetings ensuring the pathway of support is correctly selected for the individual </w:t>
            </w:r>
            <w:r w:rsidRPr="00FB0E0B">
              <w:rPr>
                <w:rFonts w:ascii="Arial" w:hAnsi="Arial" w:cs="Arial"/>
              </w:rPr>
              <w:t>(</w:t>
            </w:r>
            <w:r>
              <w:rPr>
                <w:rFonts w:ascii="Arial" w:hAnsi="Arial" w:cs="Arial"/>
              </w:rPr>
              <w:t>Davies, M. 2013</w:t>
            </w:r>
            <w:r w:rsidRPr="00FB0E0B">
              <w:rPr>
                <w:rFonts w:ascii="Arial" w:hAnsi="Arial" w:cs="Arial"/>
              </w:rPr>
              <w:t>)</w:t>
            </w:r>
            <w:r>
              <w:rPr>
                <w:rFonts w:ascii="Arial" w:hAnsi="Arial" w:cs="Arial"/>
              </w:rPr>
              <w:t xml:space="preserve">. </w:t>
            </w:r>
          </w:p>
          <w:p w14:paraId="7783C49D" w14:textId="77777777" w:rsidR="008517A3" w:rsidRDefault="008517A3" w:rsidP="0002737F">
            <w:pPr>
              <w:spacing w:line="360" w:lineRule="auto"/>
              <w:rPr>
                <w:rFonts w:ascii="Arial" w:hAnsi="Arial" w:cs="Arial"/>
              </w:rPr>
            </w:pPr>
            <w:r>
              <w:rPr>
                <w:rFonts w:ascii="Arial" w:hAnsi="Arial" w:cs="Arial"/>
              </w:rPr>
              <w:t xml:space="preserve">Long term, I have discussed with my supervisor that I am mindful of my experience with mental capacity assessments deriving from direct practice. Therefore, I intend to complete an accredited mental capacity act module to have a broader knowledge, continuing with my professional development.  </w:t>
            </w:r>
          </w:p>
          <w:p w14:paraId="21C5BABE" w14:textId="77777777" w:rsidR="00EF48AC" w:rsidRDefault="00EF48AC" w:rsidP="00CC4D21">
            <w:pPr>
              <w:spacing w:line="360" w:lineRule="auto"/>
              <w:rPr>
                <w:rFonts w:ascii="Arial" w:hAnsi="Arial" w:cs="Arial"/>
                <w:i/>
                <w:iCs/>
              </w:rPr>
            </w:pPr>
          </w:p>
          <w:p w14:paraId="63AE1DC8" w14:textId="4EE77D7B" w:rsidR="00CC4D21" w:rsidRPr="00C415DD" w:rsidRDefault="00CC4D21" w:rsidP="00CC4D21">
            <w:pPr>
              <w:spacing w:line="360" w:lineRule="auto"/>
              <w:rPr>
                <w:rFonts w:ascii="Arial" w:hAnsi="Arial" w:cs="Arial"/>
                <w:b/>
                <w:bCs/>
                <w:u w:val="single"/>
              </w:rPr>
            </w:pPr>
            <w:r w:rsidRPr="00964B59">
              <w:rPr>
                <w:rFonts w:ascii="Arial" w:hAnsi="Arial" w:cs="Arial"/>
                <w:b/>
                <w:bCs/>
                <w:u w:val="single"/>
              </w:rPr>
              <w:t xml:space="preserve">Word Count: </w:t>
            </w:r>
            <w:r w:rsidR="00EF48AC">
              <w:rPr>
                <w:rFonts w:ascii="Arial" w:hAnsi="Arial" w:cs="Arial"/>
                <w:b/>
                <w:bCs/>
                <w:u w:val="single"/>
              </w:rPr>
              <w:t>666</w:t>
            </w:r>
          </w:p>
          <w:p w14:paraId="7F95EFD3" w14:textId="77777777" w:rsidR="0002737F" w:rsidRDefault="0002737F" w:rsidP="0002737F">
            <w:pPr>
              <w:spacing w:line="360" w:lineRule="auto"/>
              <w:rPr>
                <w:rFonts w:ascii="Arial" w:hAnsi="Arial" w:cs="Arial"/>
              </w:rPr>
            </w:pPr>
          </w:p>
          <w:p w14:paraId="0973DC36" w14:textId="60EAADA3" w:rsidR="0002737F" w:rsidRDefault="008517A3" w:rsidP="0002737F">
            <w:pPr>
              <w:spacing w:line="360" w:lineRule="auto"/>
              <w:rPr>
                <w:rFonts w:ascii="Arial" w:hAnsi="Arial" w:cs="Arial"/>
              </w:rPr>
            </w:pPr>
            <w:r>
              <w:rPr>
                <w:rFonts w:ascii="Arial" w:hAnsi="Arial" w:cs="Arial"/>
              </w:rPr>
              <w:t>I will be considering the direct feedback I have received from individual’s and their families, this being the tone of my voice</w:t>
            </w:r>
            <w:r w:rsidR="000A5930">
              <w:rPr>
                <w:rFonts w:ascii="Arial" w:hAnsi="Arial" w:cs="Arial"/>
              </w:rPr>
              <w:t>,</w:t>
            </w:r>
            <w:r>
              <w:rPr>
                <w:rFonts w:ascii="Arial" w:hAnsi="Arial" w:cs="Arial"/>
              </w:rPr>
              <w:t xml:space="preserve"> body positioning</w:t>
            </w:r>
            <w:r w:rsidR="000A5930">
              <w:rPr>
                <w:rFonts w:ascii="Arial" w:hAnsi="Arial" w:cs="Arial"/>
              </w:rPr>
              <w:t xml:space="preserve"> and distraction techniques, especially when supporting those with dementia</w:t>
            </w:r>
            <w:r>
              <w:rPr>
                <w:rFonts w:ascii="Arial" w:hAnsi="Arial" w:cs="Arial"/>
              </w:rPr>
              <w:t>. I am more mindful that what am trying to communicate, I need to adapt my tone to ‘match the situation’, as this is deemed crucial when supporting individuals (The Social Skills Centre, 2025</w:t>
            </w:r>
            <w:r w:rsidR="00CC4D21">
              <w:rPr>
                <w:rFonts w:ascii="Arial" w:hAnsi="Arial" w:cs="Arial"/>
              </w:rPr>
              <w:t xml:space="preserve">). I need to </w:t>
            </w:r>
            <w:r w:rsidR="009E7648">
              <w:rPr>
                <w:rFonts w:ascii="Arial" w:hAnsi="Arial" w:cs="Arial"/>
              </w:rPr>
              <w:t xml:space="preserve">practice in a person-centred manner </w:t>
            </w:r>
            <w:r w:rsidR="00CC4D21">
              <w:rPr>
                <w:rFonts w:ascii="Arial" w:hAnsi="Arial" w:cs="Arial"/>
              </w:rPr>
              <w:t>consider</w:t>
            </w:r>
            <w:r w:rsidR="009E7648">
              <w:rPr>
                <w:rFonts w:ascii="Arial" w:hAnsi="Arial" w:cs="Arial"/>
              </w:rPr>
              <w:t>ing</w:t>
            </w:r>
            <w:r w:rsidR="00CC4D21">
              <w:rPr>
                <w:rFonts w:ascii="Arial" w:hAnsi="Arial" w:cs="Arial"/>
              </w:rPr>
              <w:t xml:space="preserve"> individual’s</w:t>
            </w:r>
            <w:r w:rsidR="00FC21DF">
              <w:rPr>
                <w:rFonts w:ascii="Arial" w:hAnsi="Arial" w:cs="Arial"/>
              </w:rPr>
              <w:t xml:space="preserve"> circumstances</w:t>
            </w:r>
            <w:r w:rsidR="009E7648">
              <w:rPr>
                <w:rFonts w:ascii="Arial" w:hAnsi="Arial" w:cs="Arial"/>
              </w:rPr>
              <w:t>, especially as m</w:t>
            </w:r>
            <w:r w:rsidR="000A5930">
              <w:rPr>
                <w:rFonts w:ascii="Arial" w:hAnsi="Arial" w:cs="Arial"/>
              </w:rPr>
              <w:t xml:space="preserve">any I support </w:t>
            </w:r>
            <w:r w:rsidR="009E7648">
              <w:rPr>
                <w:rFonts w:ascii="Arial" w:hAnsi="Arial" w:cs="Arial"/>
              </w:rPr>
              <w:t xml:space="preserve">are living with dementia (Department of Health, 2015). Social workers must continue their professional development and </w:t>
            </w:r>
            <w:r w:rsidR="000A5930">
              <w:rPr>
                <w:rFonts w:ascii="Arial" w:hAnsi="Arial" w:cs="Arial"/>
              </w:rPr>
              <w:t xml:space="preserve">always </w:t>
            </w:r>
            <w:r w:rsidR="009E7648">
              <w:rPr>
                <w:rFonts w:ascii="Arial" w:hAnsi="Arial" w:cs="Arial"/>
              </w:rPr>
              <w:t xml:space="preserve">consider the new experiences they encounter.  </w:t>
            </w:r>
          </w:p>
          <w:p w14:paraId="4D355605" w14:textId="77777777" w:rsidR="00CC4D21" w:rsidRDefault="00CC4D21" w:rsidP="0002737F">
            <w:pPr>
              <w:spacing w:line="360" w:lineRule="auto"/>
              <w:rPr>
                <w:rFonts w:ascii="Arial" w:hAnsi="Arial" w:cs="Arial"/>
              </w:rPr>
            </w:pPr>
          </w:p>
          <w:p w14:paraId="49E413CF" w14:textId="260E21A1" w:rsidR="00CC4D21" w:rsidRDefault="00CC4D21" w:rsidP="0002737F">
            <w:pPr>
              <w:spacing w:line="360" w:lineRule="auto"/>
              <w:rPr>
                <w:rFonts w:ascii="Arial" w:hAnsi="Arial" w:cs="Arial"/>
                <w:b/>
                <w:bCs/>
                <w:u w:val="single"/>
              </w:rPr>
            </w:pPr>
            <w:r w:rsidRPr="00CC4D21">
              <w:rPr>
                <w:rFonts w:ascii="Arial" w:hAnsi="Arial" w:cs="Arial"/>
                <w:b/>
                <w:bCs/>
                <w:u w:val="single"/>
              </w:rPr>
              <w:lastRenderedPageBreak/>
              <w:t xml:space="preserve">Word Count: </w:t>
            </w:r>
            <w:r w:rsidR="000A5930">
              <w:rPr>
                <w:rFonts w:ascii="Arial" w:hAnsi="Arial" w:cs="Arial"/>
                <w:b/>
                <w:bCs/>
                <w:u w:val="single"/>
              </w:rPr>
              <w:t>105</w:t>
            </w:r>
          </w:p>
          <w:p w14:paraId="6C17E7EB" w14:textId="77777777" w:rsidR="007A0DA7" w:rsidRDefault="007A0DA7" w:rsidP="0002737F">
            <w:pPr>
              <w:spacing w:line="360" w:lineRule="auto"/>
              <w:rPr>
                <w:rFonts w:ascii="Arial" w:hAnsi="Arial" w:cs="Arial"/>
                <w:b/>
                <w:bCs/>
                <w:u w:val="single"/>
              </w:rPr>
            </w:pPr>
          </w:p>
          <w:p w14:paraId="012312F3" w14:textId="607D87F3" w:rsidR="007A0DA7" w:rsidRPr="00CC4D21" w:rsidRDefault="007A0DA7" w:rsidP="0002737F">
            <w:pPr>
              <w:spacing w:line="360" w:lineRule="auto"/>
              <w:rPr>
                <w:rFonts w:ascii="Arial" w:hAnsi="Arial" w:cs="Arial"/>
                <w:b/>
                <w:bCs/>
                <w:u w:val="single"/>
              </w:rPr>
            </w:pPr>
            <w:r>
              <w:rPr>
                <w:rFonts w:ascii="Arial" w:hAnsi="Arial" w:cs="Arial"/>
                <w:b/>
                <w:bCs/>
                <w:u w:val="single"/>
              </w:rPr>
              <w:t>Total word count B : 776</w:t>
            </w:r>
          </w:p>
          <w:p w14:paraId="48A72F71" w14:textId="5C120ED1" w:rsidR="008517A3" w:rsidRPr="0002737F" w:rsidRDefault="008517A3" w:rsidP="0002737F">
            <w:pPr>
              <w:spacing w:line="360" w:lineRule="auto"/>
              <w:rPr>
                <w:rFonts w:ascii="Arial" w:hAnsi="Arial" w:cs="Arial"/>
                <w:i/>
                <w:iCs/>
              </w:rPr>
            </w:pPr>
          </w:p>
        </w:tc>
      </w:tr>
    </w:tbl>
    <w:p w14:paraId="3E5F404D" w14:textId="77777777" w:rsidR="004E1B31" w:rsidRDefault="004E1B31" w:rsidP="0002737F">
      <w:pPr>
        <w:spacing w:line="360" w:lineRule="auto"/>
      </w:pPr>
    </w:p>
    <w:p w14:paraId="5CCFCD65" w14:textId="77777777" w:rsidR="008517A3" w:rsidRPr="00537D54" w:rsidRDefault="008517A3" w:rsidP="0002737F">
      <w:pPr>
        <w:spacing w:line="360" w:lineRule="auto"/>
        <w:rPr>
          <w:rFonts w:ascii="Arial" w:hAnsi="Arial" w:cs="Arial"/>
          <w:b/>
          <w:bCs/>
          <w:u w:val="single"/>
        </w:rPr>
      </w:pPr>
      <w:r w:rsidRPr="00537D54">
        <w:rPr>
          <w:rFonts w:ascii="Arial" w:hAnsi="Arial" w:cs="Arial"/>
          <w:b/>
          <w:bCs/>
          <w:u w:val="single"/>
        </w:rPr>
        <w:t>References</w:t>
      </w:r>
    </w:p>
    <w:p w14:paraId="2B0793F4" w14:textId="0CF04CEA" w:rsidR="008517A3" w:rsidRPr="00537D54" w:rsidRDefault="008517A3" w:rsidP="0002737F">
      <w:pPr>
        <w:spacing w:line="360" w:lineRule="auto"/>
        <w:rPr>
          <w:rFonts w:ascii="Arial" w:hAnsi="Arial" w:cs="Arial"/>
        </w:rPr>
      </w:pPr>
      <w:r w:rsidRPr="00537D54">
        <w:rPr>
          <w:rFonts w:ascii="Arial" w:hAnsi="Arial" w:cs="Arial"/>
        </w:rPr>
        <w:t xml:space="preserve">Bassot, B. (2013) </w:t>
      </w:r>
      <w:r w:rsidRPr="00537D54">
        <w:rPr>
          <w:rFonts w:ascii="Arial" w:hAnsi="Arial" w:cs="Arial"/>
          <w:i/>
          <w:iCs/>
        </w:rPr>
        <w:t>The Reflective Journal</w:t>
      </w:r>
      <w:r w:rsidRPr="00537D54">
        <w:rPr>
          <w:rFonts w:ascii="Arial" w:hAnsi="Arial" w:cs="Arial"/>
        </w:rPr>
        <w:t>. Basingstoke.</w:t>
      </w:r>
      <w:r w:rsidR="00673905">
        <w:rPr>
          <w:rFonts w:ascii="Arial" w:hAnsi="Arial" w:cs="Arial"/>
        </w:rPr>
        <w:t xml:space="preserve"> Pg 24</w:t>
      </w:r>
      <w:r w:rsidRPr="00537D54">
        <w:rPr>
          <w:rFonts w:ascii="Arial" w:hAnsi="Arial" w:cs="Arial"/>
        </w:rPr>
        <w:t xml:space="preserve"> Palgrave Macmillan. </w:t>
      </w:r>
    </w:p>
    <w:p w14:paraId="42601BDB" w14:textId="77777777" w:rsidR="0002737F" w:rsidRDefault="0002737F" w:rsidP="0002737F">
      <w:pPr>
        <w:spacing w:line="360" w:lineRule="auto"/>
        <w:rPr>
          <w:rFonts w:ascii="Arial" w:hAnsi="Arial" w:cs="Arial"/>
        </w:rPr>
      </w:pPr>
    </w:p>
    <w:p w14:paraId="5CC3BF92" w14:textId="60A8AF76" w:rsidR="008517A3" w:rsidRPr="00537D54" w:rsidRDefault="008517A3" w:rsidP="0002737F">
      <w:pPr>
        <w:spacing w:line="360" w:lineRule="auto"/>
        <w:rPr>
          <w:rFonts w:ascii="Arial" w:hAnsi="Arial" w:cs="Arial"/>
        </w:rPr>
      </w:pPr>
      <w:r w:rsidRPr="00537D54">
        <w:rPr>
          <w:rFonts w:ascii="Arial" w:hAnsi="Arial" w:cs="Arial"/>
        </w:rPr>
        <w:t xml:space="preserve">Crawford, K. (2011) Pg 73-75 </w:t>
      </w:r>
      <w:r w:rsidRPr="00537D54">
        <w:rPr>
          <w:rFonts w:ascii="Arial" w:hAnsi="Arial" w:cs="Arial"/>
          <w:i/>
          <w:iCs/>
        </w:rPr>
        <w:t>Interprofessional Collaboration in Social Work Practice</w:t>
      </w:r>
      <w:r w:rsidRPr="00537D54">
        <w:rPr>
          <w:rFonts w:ascii="Arial" w:hAnsi="Arial" w:cs="Arial"/>
        </w:rPr>
        <w:t>, SAGE Publications, Limited.</w:t>
      </w:r>
      <w:r w:rsidRPr="00537D54">
        <w:rPr>
          <w:rFonts w:ascii="Arial" w:hAnsi="Arial" w:cs="Arial"/>
          <w:i/>
          <w:iCs/>
        </w:rPr>
        <w:t> ProQuest Ebook Available at: Central</w:t>
      </w:r>
      <w:r w:rsidRPr="00537D54">
        <w:rPr>
          <w:rFonts w:ascii="Arial" w:hAnsi="Arial" w:cs="Arial"/>
        </w:rPr>
        <w:t xml:space="preserve">, </w:t>
      </w:r>
      <w:hyperlink r:id="rId9" w:history="1">
        <w:r w:rsidRPr="00537D54">
          <w:rPr>
            <w:rStyle w:val="Hyperlink"/>
            <w:rFonts w:ascii="Arial" w:hAnsi="Arial" w:cs="Arial"/>
          </w:rPr>
          <w:t>https://ebookcentral.proquest.com/lib/trinity/detail.action?docID=820103</w:t>
        </w:r>
      </w:hyperlink>
      <w:r w:rsidRPr="00537D54">
        <w:rPr>
          <w:rFonts w:ascii="Arial" w:hAnsi="Arial" w:cs="Arial"/>
        </w:rPr>
        <w:t xml:space="preserve">  Accessed 18/09/2025</w:t>
      </w:r>
    </w:p>
    <w:p w14:paraId="7956C2C4" w14:textId="77777777" w:rsidR="0002737F" w:rsidRDefault="0002737F" w:rsidP="0002737F">
      <w:pPr>
        <w:spacing w:line="360" w:lineRule="auto"/>
        <w:rPr>
          <w:rFonts w:ascii="Arial" w:hAnsi="Arial" w:cs="Arial"/>
        </w:rPr>
      </w:pPr>
    </w:p>
    <w:p w14:paraId="5C992C43" w14:textId="7C19802A" w:rsidR="008517A3" w:rsidRDefault="008517A3" w:rsidP="0002737F">
      <w:pPr>
        <w:spacing w:line="360" w:lineRule="auto"/>
        <w:rPr>
          <w:rFonts w:ascii="Arial" w:hAnsi="Arial" w:cs="Arial"/>
        </w:rPr>
      </w:pPr>
      <w:r w:rsidRPr="00537D54">
        <w:rPr>
          <w:rFonts w:ascii="Arial" w:hAnsi="Arial" w:cs="Arial"/>
        </w:rPr>
        <w:t xml:space="preserve">Davies, M. (2013) pg.321- 342 </w:t>
      </w:r>
      <w:r w:rsidRPr="00537D54">
        <w:rPr>
          <w:rFonts w:ascii="Arial" w:hAnsi="Arial" w:cs="Arial"/>
          <w:i/>
          <w:iCs/>
        </w:rPr>
        <w:t>‘</w:t>
      </w:r>
      <w:r w:rsidRPr="00537D54">
        <w:rPr>
          <w:rFonts w:ascii="Arial" w:hAnsi="Arial" w:cs="Arial"/>
        </w:rPr>
        <w:t>Chapter 5.2’, in, Hutchinson, A. 4</w:t>
      </w:r>
      <w:r w:rsidRPr="00537D54">
        <w:rPr>
          <w:rFonts w:ascii="Arial" w:hAnsi="Arial" w:cs="Arial"/>
          <w:vertAlign w:val="superscript"/>
        </w:rPr>
        <w:t>th</w:t>
      </w:r>
      <w:r w:rsidRPr="00537D54">
        <w:rPr>
          <w:rFonts w:ascii="Arial" w:hAnsi="Arial" w:cs="Arial"/>
        </w:rPr>
        <w:t xml:space="preserve"> Ed. </w:t>
      </w:r>
      <w:r w:rsidRPr="00537D54">
        <w:rPr>
          <w:rFonts w:ascii="Arial" w:hAnsi="Arial" w:cs="Arial"/>
          <w:i/>
          <w:iCs/>
        </w:rPr>
        <w:t xml:space="preserve">The Blackwell Companion to Social Work. </w:t>
      </w:r>
      <w:r w:rsidRPr="00537D54">
        <w:rPr>
          <w:rFonts w:ascii="Arial" w:hAnsi="Arial" w:cs="Arial"/>
        </w:rPr>
        <w:t xml:space="preserve">Oxford: John Wiley and Sons Ltd. </w:t>
      </w:r>
    </w:p>
    <w:p w14:paraId="484C159A" w14:textId="77777777" w:rsidR="009E7648" w:rsidRDefault="009E7648" w:rsidP="0002737F">
      <w:pPr>
        <w:spacing w:line="360" w:lineRule="auto"/>
        <w:rPr>
          <w:rFonts w:ascii="Arial" w:hAnsi="Arial" w:cs="Arial"/>
        </w:rPr>
      </w:pPr>
    </w:p>
    <w:p w14:paraId="65AC51D0" w14:textId="25DA8C9A" w:rsidR="009E7648" w:rsidRPr="009E7648" w:rsidRDefault="009E7648" w:rsidP="0002737F">
      <w:pPr>
        <w:spacing w:line="360" w:lineRule="auto"/>
        <w:rPr>
          <w:rFonts w:ascii="Arial" w:hAnsi="Arial" w:cs="Arial"/>
          <w:i/>
          <w:iCs/>
        </w:rPr>
      </w:pPr>
      <w:r>
        <w:rPr>
          <w:rFonts w:ascii="Arial" w:hAnsi="Arial" w:cs="Arial"/>
        </w:rPr>
        <w:t xml:space="preserve">Department for Health (2015) </w:t>
      </w:r>
      <w:r w:rsidRPr="009E7648">
        <w:rPr>
          <w:rFonts w:ascii="Arial" w:hAnsi="Arial" w:cs="Arial"/>
          <w:i/>
          <w:iCs/>
        </w:rPr>
        <w:t>A manual for good social work practice Supporting adults who have dementia</w:t>
      </w:r>
      <w:r>
        <w:rPr>
          <w:rFonts w:ascii="Arial" w:hAnsi="Arial" w:cs="Arial"/>
          <w:i/>
          <w:iCs/>
        </w:rPr>
        <w:t xml:space="preserve">. Available at : </w:t>
      </w:r>
      <w:hyperlink r:id="rId10" w:history="1">
        <w:r w:rsidRPr="009E7648">
          <w:rPr>
            <w:rStyle w:val="Hyperlink"/>
            <w:rFonts w:ascii="Arial" w:hAnsi="Arial" w:cs="Arial"/>
            <w:i/>
            <w:iCs/>
          </w:rPr>
          <w:t>Dementia_guide_TCSW_DoH_2015.pdf</w:t>
        </w:r>
      </w:hyperlink>
      <w:r>
        <w:rPr>
          <w:rFonts w:ascii="Arial" w:hAnsi="Arial" w:cs="Arial"/>
          <w:i/>
          <w:iCs/>
        </w:rPr>
        <w:t xml:space="preserve"> Accessed 18/09/2025</w:t>
      </w:r>
    </w:p>
    <w:p w14:paraId="52554F26" w14:textId="77777777" w:rsidR="0002737F" w:rsidRDefault="0002737F" w:rsidP="0002737F">
      <w:pPr>
        <w:spacing w:line="360" w:lineRule="auto"/>
        <w:rPr>
          <w:rFonts w:ascii="Arial" w:hAnsi="Arial" w:cs="Arial"/>
        </w:rPr>
      </w:pPr>
    </w:p>
    <w:p w14:paraId="7B43F994" w14:textId="107ACE9E" w:rsidR="008517A3" w:rsidRPr="00537D54" w:rsidRDefault="008517A3" w:rsidP="0002737F">
      <w:pPr>
        <w:spacing w:line="360" w:lineRule="auto"/>
        <w:rPr>
          <w:rFonts w:ascii="Arial" w:hAnsi="Arial" w:cs="Arial"/>
        </w:rPr>
      </w:pPr>
      <w:r w:rsidRPr="00537D54">
        <w:rPr>
          <w:rFonts w:ascii="Arial" w:hAnsi="Arial" w:cs="Arial"/>
        </w:rPr>
        <w:t xml:space="preserve">Hatton, K. (2015) p124. </w:t>
      </w:r>
      <w:r w:rsidRPr="00537D54">
        <w:rPr>
          <w:rFonts w:ascii="Arial" w:hAnsi="Arial" w:cs="Arial"/>
          <w:i/>
          <w:iCs/>
        </w:rPr>
        <w:t>New Direction in Social Work Practice</w:t>
      </w:r>
      <w:r w:rsidRPr="00537D54">
        <w:rPr>
          <w:rFonts w:ascii="Arial" w:hAnsi="Arial" w:cs="Arial"/>
        </w:rPr>
        <w:t>. Dorchester. The Dorset Press. 2</w:t>
      </w:r>
      <w:r w:rsidRPr="00537D54">
        <w:rPr>
          <w:rFonts w:ascii="Arial" w:hAnsi="Arial" w:cs="Arial"/>
          <w:vertAlign w:val="superscript"/>
        </w:rPr>
        <w:t>nd</w:t>
      </w:r>
      <w:r w:rsidRPr="00537D54">
        <w:rPr>
          <w:rFonts w:ascii="Arial" w:hAnsi="Arial" w:cs="Arial"/>
        </w:rPr>
        <w:t xml:space="preserve"> Ed. </w:t>
      </w:r>
    </w:p>
    <w:p w14:paraId="467E0753" w14:textId="77777777" w:rsidR="0002737F" w:rsidRDefault="0002737F" w:rsidP="0002737F">
      <w:pPr>
        <w:spacing w:line="360" w:lineRule="auto"/>
        <w:rPr>
          <w:rFonts w:ascii="Arial" w:hAnsi="Arial" w:cs="Arial"/>
        </w:rPr>
      </w:pPr>
    </w:p>
    <w:p w14:paraId="79CA8A8A" w14:textId="2DCA5726" w:rsidR="008517A3" w:rsidRPr="00537D54" w:rsidRDefault="008517A3" w:rsidP="0002737F">
      <w:pPr>
        <w:spacing w:line="360" w:lineRule="auto"/>
        <w:rPr>
          <w:rFonts w:ascii="Arial" w:hAnsi="Arial" w:cs="Arial"/>
        </w:rPr>
      </w:pPr>
      <w:r w:rsidRPr="00537D54">
        <w:rPr>
          <w:rFonts w:ascii="Arial" w:hAnsi="Arial" w:cs="Arial"/>
        </w:rPr>
        <w:t xml:space="preserve">Healy, B (2014) p206. </w:t>
      </w:r>
      <w:r w:rsidRPr="00537D54">
        <w:rPr>
          <w:rFonts w:ascii="Arial" w:hAnsi="Arial" w:cs="Arial"/>
          <w:i/>
          <w:iCs/>
        </w:rPr>
        <w:t>Social Worker Theories in Context Creating Frameworks for practice</w:t>
      </w:r>
      <w:r w:rsidRPr="00537D54">
        <w:rPr>
          <w:rFonts w:ascii="Arial" w:hAnsi="Arial" w:cs="Arial"/>
        </w:rPr>
        <w:t>. Basingstoke: Palgrave Macmillan. 2</w:t>
      </w:r>
      <w:r w:rsidRPr="00537D54">
        <w:rPr>
          <w:rFonts w:ascii="Arial" w:hAnsi="Arial" w:cs="Arial"/>
          <w:vertAlign w:val="superscript"/>
        </w:rPr>
        <w:t xml:space="preserve">nd </w:t>
      </w:r>
      <w:r w:rsidRPr="00537D54">
        <w:rPr>
          <w:rFonts w:ascii="Arial" w:hAnsi="Arial" w:cs="Arial"/>
        </w:rPr>
        <w:t xml:space="preserve">Ed. </w:t>
      </w:r>
    </w:p>
    <w:p w14:paraId="508ACF20" w14:textId="77777777" w:rsidR="0002737F" w:rsidRDefault="0002737F" w:rsidP="0002737F">
      <w:pPr>
        <w:spacing w:line="360" w:lineRule="auto"/>
        <w:rPr>
          <w:rFonts w:ascii="Arial" w:hAnsi="Arial" w:cs="Arial"/>
        </w:rPr>
      </w:pPr>
    </w:p>
    <w:p w14:paraId="6A31C000" w14:textId="6BEBCFAB" w:rsidR="008517A3" w:rsidRPr="00537D54" w:rsidRDefault="008517A3" w:rsidP="0002737F">
      <w:pPr>
        <w:spacing w:line="360" w:lineRule="auto"/>
        <w:rPr>
          <w:rFonts w:ascii="Arial" w:hAnsi="Arial" w:cs="Arial"/>
        </w:rPr>
      </w:pPr>
      <w:r w:rsidRPr="00537D54">
        <w:rPr>
          <w:rFonts w:ascii="Arial" w:hAnsi="Arial" w:cs="Arial"/>
        </w:rPr>
        <w:t xml:space="preserve">Howe, D. (2009) p165. </w:t>
      </w:r>
      <w:r w:rsidRPr="00537D54">
        <w:rPr>
          <w:rFonts w:ascii="Arial" w:hAnsi="Arial" w:cs="Arial"/>
          <w:i/>
          <w:iCs/>
        </w:rPr>
        <w:t>A Brief Introduction to Social Work Theory</w:t>
      </w:r>
      <w:r w:rsidRPr="00537D54">
        <w:rPr>
          <w:rFonts w:ascii="Arial" w:hAnsi="Arial" w:cs="Arial"/>
        </w:rPr>
        <w:t xml:space="preserve">. Hampshire. Palgrave Macmillan. </w:t>
      </w:r>
    </w:p>
    <w:p w14:paraId="3B617609" w14:textId="77777777" w:rsidR="0002737F" w:rsidRDefault="0002737F" w:rsidP="0002737F">
      <w:pPr>
        <w:spacing w:line="360" w:lineRule="auto"/>
        <w:rPr>
          <w:rFonts w:ascii="Arial" w:hAnsi="Arial" w:cs="Arial"/>
        </w:rPr>
      </w:pPr>
    </w:p>
    <w:p w14:paraId="119FA12F" w14:textId="7838F023" w:rsidR="008517A3" w:rsidRPr="00537D54" w:rsidRDefault="008517A3" w:rsidP="0002737F">
      <w:pPr>
        <w:spacing w:line="360" w:lineRule="auto"/>
        <w:rPr>
          <w:rFonts w:ascii="Arial" w:hAnsi="Arial" w:cs="Arial"/>
        </w:rPr>
      </w:pPr>
      <w:r w:rsidRPr="00537D54">
        <w:rPr>
          <w:rFonts w:ascii="Arial" w:hAnsi="Arial" w:cs="Arial"/>
        </w:rPr>
        <w:t xml:space="preserve">Howe, K. Lincoln Gray, I. (2013) </w:t>
      </w:r>
      <w:r w:rsidRPr="00537D54">
        <w:rPr>
          <w:rFonts w:ascii="Arial" w:hAnsi="Arial" w:cs="Arial"/>
          <w:i/>
          <w:iCs/>
        </w:rPr>
        <w:t>Effective Supervision in Social Work</w:t>
      </w:r>
      <w:r w:rsidRPr="00537D54">
        <w:rPr>
          <w:rFonts w:ascii="Arial" w:hAnsi="Arial" w:cs="Arial"/>
        </w:rPr>
        <w:t>.</w:t>
      </w:r>
      <w:r w:rsidRPr="00537D54">
        <w:rPr>
          <w:rFonts w:ascii="Arial" w:hAnsi="Arial" w:cs="Arial"/>
          <w:i/>
          <w:iCs/>
        </w:rPr>
        <w:t> ProQuest Ebook Central</w:t>
      </w:r>
      <w:r w:rsidRPr="00537D54">
        <w:rPr>
          <w:rFonts w:ascii="Arial" w:hAnsi="Arial" w:cs="Arial"/>
        </w:rPr>
        <w:t xml:space="preserve">, SAGE Publications, Limited. Available at: </w:t>
      </w:r>
      <w:hyperlink r:id="rId11" w:history="1">
        <w:r w:rsidRPr="00537D54">
          <w:rPr>
            <w:rStyle w:val="Hyperlink"/>
            <w:rFonts w:ascii="Arial" w:hAnsi="Arial" w:cs="Arial"/>
          </w:rPr>
          <w:t>https://ebookcentral.proquest.com/lib/trinity/detail.action?docID=5581233</w:t>
        </w:r>
      </w:hyperlink>
      <w:r w:rsidRPr="00537D54">
        <w:rPr>
          <w:rFonts w:ascii="Arial" w:hAnsi="Arial" w:cs="Arial"/>
        </w:rPr>
        <w:t xml:space="preserve"> </w:t>
      </w:r>
    </w:p>
    <w:p w14:paraId="440CA1AE" w14:textId="77777777" w:rsidR="0002737F" w:rsidRDefault="0002737F" w:rsidP="0002737F">
      <w:pPr>
        <w:spacing w:line="360" w:lineRule="auto"/>
        <w:rPr>
          <w:rFonts w:ascii="Arial" w:hAnsi="Arial" w:cs="Arial"/>
        </w:rPr>
      </w:pPr>
    </w:p>
    <w:p w14:paraId="33F7521B" w14:textId="5DF2BB69" w:rsidR="008517A3" w:rsidRPr="00537D54" w:rsidRDefault="008517A3" w:rsidP="0002737F">
      <w:pPr>
        <w:spacing w:line="360" w:lineRule="auto"/>
        <w:rPr>
          <w:rFonts w:ascii="Arial" w:hAnsi="Arial" w:cs="Arial"/>
        </w:rPr>
      </w:pPr>
      <w:r w:rsidRPr="00537D54">
        <w:rPr>
          <w:rFonts w:ascii="Arial" w:hAnsi="Arial" w:cs="Arial"/>
        </w:rPr>
        <w:lastRenderedPageBreak/>
        <w:t xml:space="preserve">Ingram, R., Fenton, J., Hodson, A. &amp; Jinal-snape, D. (2014) </w:t>
      </w:r>
      <w:r w:rsidRPr="00537D54">
        <w:rPr>
          <w:rFonts w:ascii="Arial" w:hAnsi="Arial" w:cs="Arial"/>
          <w:i/>
          <w:iCs/>
        </w:rPr>
        <w:t xml:space="preserve">Reflective Social Work Practice. </w:t>
      </w:r>
      <w:r w:rsidRPr="00537D54">
        <w:rPr>
          <w:rFonts w:ascii="Arial" w:hAnsi="Arial" w:cs="Arial"/>
        </w:rPr>
        <w:t>Basingstoke: Palgrave Macmillan. Pg.17-34</w:t>
      </w:r>
    </w:p>
    <w:p w14:paraId="28B42DBE" w14:textId="77777777" w:rsidR="0002737F" w:rsidRDefault="0002737F" w:rsidP="0002737F">
      <w:pPr>
        <w:spacing w:line="360" w:lineRule="auto"/>
        <w:rPr>
          <w:rFonts w:ascii="Arial" w:hAnsi="Arial" w:cs="Arial"/>
        </w:rPr>
      </w:pPr>
    </w:p>
    <w:p w14:paraId="32159AF8" w14:textId="24FA12E9" w:rsidR="008517A3" w:rsidRPr="00537D54" w:rsidRDefault="008517A3" w:rsidP="0002737F">
      <w:pPr>
        <w:spacing w:line="360" w:lineRule="auto"/>
        <w:rPr>
          <w:rFonts w:ascii="Arial" w:hAnsi="Arial" w:cs="Arial"/>
        </w:rPr>
      </w:pPr>
      <w:r w:rsidRPr="00537D54">
        <w:rPr>
          <w:rFonts w:ascii="Arial" w:hAnsi="Arial" w:cs="Arial"/>
        </w:rPr>
        <w:t xml:space="preserve">Teater, B. (2014) p74 - 79. </w:t>
      </w:r>
      <w:r w:rsidRPr="00537D54">
        <w:rPr>
          <w:rFonts w:ascii="Arial" w:hAnsi="Arial" w:cs="Arial"/>
          <w:i/>
          <w:iCs/>
        </w:rPr>
        <w:t>An Introduction to Applying Social Work Theories and Methods</w:t>
      </w:r>
      <w:r w:rsidRPr="00537D54">
        <w:rPr>
          <w:rFonts w:ascii="Arial" w:hAnsi="Arial" w:cs="Arial"/>
        </w:rPr>
        <w:t>. Berkshire: The Open University Press, 2</w:t>
      </w:r>
      <w:r w:rsidRPr="00537D54">
        <w:rPr>
          <w:rFonts w:ascii="Arial" w:hAnsi="Arial" w:cs="Arial"/>
          <w:vertAlign w:val="superscript"/>
        </w:rPr>
        <w:t>nd</w:t>
      </w:r>
      <w:r w:rsidRPr="00537D54">
        <w:rPr>
          <w:rFonts w:ascii="Arial" w:hAnsi="Arial" w:cs="Arial"/>
        </w:rPr>
        <w:t xml:space="preserve"> Ed. </w:t>
      </w:r>
    </w:p>
    <w:p w14:paraId="21336EDC" w14:textId="77777777" w:rsidR="0002737F" w:rsidRDefault="0002737F" w:rsidP="0002737F">
      <w:pPr>
        <w:spacing w:line="360" w:lineRule="auto"/>
        <w:rPr>
          <w:rFonts w:ascii="Arial" w:hAnsi="Arial" w:cs="Arial"/>
        </w:rPr>
      </w:pPr>
    </w:p>
    <w:p w14:paraId="01E6E8AD" w14:textId="33A377B0" w:rsidR="008517A3" w:rsidRPr="00537D54" w:rsidRDefault="008517A3" w:rsidP="0002737F">
      <w:pPr>
        <w:spacing w:line="360" w:lineRule="auto"/>
      </w:pPr>
      <w:r w:rsidRPr="00537D54">
        <w:rPr>
          <w:rFonts w:ascii="Arial" w:hAnsi="Arial" w:cs="Arial"/>
        </w:rPr>
        <w:t xml:space="preserve">The Social Skills Center (2025) </w:t>
      </w:r>
      <w:hyperlink r:id="rId12" w:history="1">
        <w:r w:rsidRPr="00537D54">
          <w:rPr>
            <w:rStyle w:val="Hyperlink"/>
            <w:rFonts w:ascii="Arial" w:hAnsi="Arial" w:cs="Arial"/>
          </w:rPr>
          <w:t>Why Your Tone of Voice Is So Important - The Social Skills Center</w:t>
        </w:r>
      </w:hyperlink>
      <w:r w:rsidRPr="00537D54">
        <w:rPr>
          <w:rFonts w:ascii="Arial" w:hAnsi="Arial" w:cs="Arial"/>
        </w:rPr>
        <w:t xml:space="preserve"> [online] Available at :</w:t>
      </w:r>
      <w:r w:rsidRPr="00537D54">
        <w:t xml:space="preserve"> </w:t>
      </w:r>
      <w:hyperlink r:id="rId13" w:history="1">
        <w:r w:rsidRPr="00537D54">
          <w:rPr>
            <w:rStyle w:val="Hyperlink"/>
            <w:rFonts w:ascii="Arial" w:hAnsi="Arial" w:cs="Arial"/>
          </w:rPr>
          <w:t>Why Your Tone of Voice Is So Important - The Social Skills Center</w:t>
        </w:r>
      </w:hyperlink>
      <w:r w:rsidRPr="00537D54">
        <w:rPr>
          <w:rFonts w:ascii="Arial" w:hAnsi="Arial" w:cs="Arial"/>
        </w:rPr>
        <w:t xml:space="preserve"> Accessed 19/09/2025</w:t>
      </w:r>
    </w:p>
    <w:p w14:paraId="60307AC2" w14:textId="77777777" w:rsidR="0002737F" w:rsidRDefault="0002737F" w:rsidP="0002737F">
      <w:pPr>
        <w:spacing w:line="360" w:lineRule="auto"/>
        <w:rPr>
          <w:rFonts w:ascii="Arial" w:hAnsi="Arial" w:cs="Arial"/>
        </w:rPr>
      </w:pPr>
    </w:p>
    <w:p w14:paraId="1278DA64" w14:textId="4D30B22E" w:rsidR="008517A3" w:rsidRPr="00537D54" w:rsidRDefault="008517A3" w:rsidP="0002737F">
      <w:pPr>
        <w:spacing w:line="360" w:lineRule="auto"/>
        <w:rPr>
          <w:rFonts w:ascii="Arial" w:hAnsi="Arial" w:cs="Arial"/>
        </w:rPr>
      </w:pPr>
      <w:r w:rsidRPr="00537D54">
        <w:rPr>
          <w:rFonts w:ascii="Arial" w:hAnsi="Arial" w:cs="Arial"/>
        </w:rPr>
        <w:t xml:space="preserve">Thompson, S. Thompson, N. (2008) Pg 157 – 167. </w:t>
      </w:r>
      <w:r w:rsidRPr="00537D54">
        <w:rPr>
          <w:rFonts w:ascii="Arial" w:hAnsi="Arial" w:cs="Arial"/>
          <w:i/>
          <w:iCs/>
        </w:rPr>
        <w:t xml:space="preserve">The Critically Reflective Practitioner. </w:t>
      </w:r>
      <w:r w:rsidRPr="00537D54">
        <w:rPr>
          <w:rFonts w:ascii="Arial" w:hAnsi="Arial" w:cs="Arial"/>
        </w:rPr>
        <w:t xml:space="preserve">Palgrave Macmillan. Basingstoke. </w:t>
      </w:r>
    </w:p>
    <w:p w14:paraId="08104004" w14:textId="77777777" w:rsidR="0002737F" w:rsidRDefault="0002737F" w:rsidP="0002737F">
      <w:pPr>
        <w:spacing w:line="360" w:lineRule="auto"/>
        <w:rPr>
          <w:rFonts w:ascii="Arial" w:hAnsi="Arial" w:cs="Arial"/>
        </w:rPr>
      </w:pPr>
    </w:p>
    <w:p w14:paraId="415EE1E2" w14:textId="3EE23B78" w:rsidR="008517A3" w:rsidRPr="00537D54" w:rsidRDefault="008517A3" w:rsidP="0002737F">
      <w:pPr>
        <w:spacing w:line="360" w:lineRule="auto"/>
        <w:rPr>
          <w:rFonts w:ascii="Arial" w:hAnsi="Arial" w:cs="Arial"/>
        </w:rPr>
      </w:pPr>
      <w:r w:rsidRPr="00537D54">
        <w:rPr>
          <w:rFonts w:ascii="Arial" w:hAnsi="Arial" w:cs="Arial"/>
        </w:rPr>
        <w:t xml:space="preserve">Legislation.co.uk </w:t>
      </w:r>
      <w:r w:rsidRPr="00537D54">
        <w:rPr>
          <w:rFonts w:ascii="Arial" w:hAnsi="Arial" w:cs="Arial"/>
          <w:i/>
          <w:iCs/>
        </w:rPr>
        <w:t>The Mental Capacity Act (2005)</w:t>
      </w:r>
      <w:r w:rsidRPr="00537D54">
        <w:rPr>
          <w:rFonts w:ascii="Arial" w:hAnsi="Arial" w:cs="Arial"/>
        </w:rPr>
        <w:t xml:space="preserve"> Available at: </w:t>
      </w:r>
      <w:hyperlink r:id="rId14" w:history="1">
        <w:r w:rsidRPr="00537D54">
          <w:rPr>
            <w:rStyle w:val="Hyperlink"/>
            <w:rFonts w:ascii="Arial" w:hAnsi="Arial" w:cs="Arial"/>
          </w:rPr>
          <w:t>Mental Capacity Act 2005</w:t>
        </w:r>
      </w:hyperlink>
      <w:r w:rsidRPr="00537D54">
        <w:rPr>
          <w:rFonts w:ascii="Arial" w:hAnsi="Arial" w:cs="Arial"/>
        </w:rPr>
        <w:t xml:space="preserve">  Accessed 23/11/2024</w:t>
      </w:r>
    </w:p>
    <w:p w14:paraId="7CB6D379" w14:textId="77777777" w:rsidR="0002737F" w:rsidRDefault="0002737F" w:rsidP="0002737F">
      <w:pPr>
        <w:spacing w:line="360" w:lineRule="auto"/>
        <w:rPr>
          <w:rFonts w:ascii="Arial" w:hAnsi="Arial" w:cs="Arial"/>
        </w:rPr>
      </w:pPr>
    </w:p>
    <w:p w14:paraId="700C6461" w14:textId="72748FA0" w:rsidR="008517A3" w:rsidRPr="00537D54" w:rsidRDefault="008517A3" w:rsidP="0002737F">
      <w:pPr>
        <w:spacing w:line="360" w:lineRule="auto"/>
        <w:rPr>
          <w:rFonts w:ascii="Arial" w:hAnsi="Arial" w:cs="Arial"/>
        </w:rPr>
      </w:pPr>
      <w:r w:rsidRPr="00537D54">
        <w:rPr>
          <w:rFonts w:ascii="Arial" w:hAnsi="Arial" w:cs="Arial"/>
        </w:rPr>
        <w:t xml:space="preserve">Liu, A. (2023). </w:t>
      </w:r>
      <w:r w:rsidRPr="00537D54">
        <w:rPr>
          <w:rFonts w:ascii="Arial" w:hAnsi="Arial" w:cs="Arial"/>
          <w:i/>
          <w:iCs/>
        </w:rPr>
        <w:t>Joy works : empowering teams in the new era of work</w:t>
      </w:r>
      <w:r w:rsidRPr="00537D54">
        <w:rPr>
          <w:rFonts w:ascii="Arial" w:hAnsi="Arial" w:cs="Arial"/>
        </w:rPr>
        <w:t xml:space="preserve">. Pg.71-90 John Wiley &amp; Sons, Inc. Available at: </w:t>
      </w:r>
      <w:hyperlink r:id="rId15" w:history="1">
        <w:r w:rsidRPr="00537D54">
          <w:rPr>
            <w:rStyle w:val="Hyperlink"/>
            <w:rFonts w:ascii="Arial" w:hAnsi="Arial" w:cs="Arial"/>
          </w:rPr>
          <w:t>ProQuest Ebook Central - Reader</w:t>
        </w:r>
      </w:hyperlink>
      <w:r w:rsidRPr="00537D54">
        <w:rPr>
          <w:rFonts w:ascii="Arial" w:hAnsi="Arial" w:cs="Arial"/>
        </w:rPr>
        <w:t xml:space="preserve"> Accessed 14/09/2025</w:t>
      </w:r>
    </w:p>
    <w:p w14:paraId="6778F35D" w14:textId="77777777" w:rsidR="0002737F" w:rsidRDefault="0002737F" w:rsidP="0002737F">
      <w:pPr>
        <w:spacing w:line="360" w:lineRule="auto"/>
        <w:rPr>
          <w:rFonts w:ascii="Arial" w:hAnsi="Arial" w:cs="Arial"/>
        </w:rPr>
      </w:pPr>
    </w:p>
    <w:p w14:paraId="2673CFCE" w14:textId="0CDBCDF5" w:rsidR="008517A3" w:rsidRDefault="008517A3" w:rsidP="0002737F">
      <w:pPr>
        <w:spacing w:line="360" w:lineRule="auto"/>
        <w:rPr>
          <w:rFonts w:ascii="Arial" w:hAnsi="Arial" w:cs="Arial"/>
        </w:rPr>
      </w:pPr>
      <w:r w:rsidRPr="00537D54">
        <w:rPr>
          <w:rFonts w:ascii="Arial" w:hAnsi="Arial" w:cs="Arial"/>
        </w:rPr>
        <w:t xml:space="preserve">Munro, E (2011) </w:t>
      </w:r>
      <w:r w:rsidRPr="00537D54">
        <w:rPr>
          <w:rFonts w:ascii="Arial" w:hAnsi="Arial" w:cs="Arial"/>
          <w:i/>
          <w:iCs/>
        </w:rPr>
        <w:t>The Munro Report of Child Protection</w:t>
      </w:r>
      <w:r w:rsidRPr="00537D54">
        <w:rPr>
          <w:rFonts w:ascii="Arial" w:hAnsi="Arial" w:cs="Arial"/>
        </w:rPr>
        <w:t xml:space="preserve">. A Child Centred System [Report] Available at: </w:t>
      </w:r>
      <w:hyperlink r:id="rId16" w:history="1">
        <w:r w:rsidRPr="00537D54">
          <w:rPr>
            <w:rStyle w:val="Hyperlink"/>
            <w:rFonts w:ascii="Arial" w:hAnsi="Arial" w:cs="Arial"/>
          </w:rPr>
          <w:t>Munro-Review.pdf</w:t>
        </w:r>
      </w:hyperlink>
      <w:r>
        <w:rPr>
          <w:rFonts w:ascii="Arial" w:hAnsi="Arial" w:cs="Arial"/>
        </w:rPr>
        <w:t xml:space="preserve"> Accessed 12/09/2025</w:t>
      </w:r>
    </w:p>
    <w:p w14:paraId="27904BB0" w14:textId="77777777" w:rsidR="00436597" w:rsidRDefault="00436597" w:rsidP="0002737F">
      <w:pPr>
        <w:spacing w:line="360" w:lineRule="auto"/>
        <w:rPr>
          <w:rFonts w:ascii="Arial" w:hAnsi="Arial" w:cs="Arial"/>
        </w:rPr>
      </w:pPr>
    </w:p>
    <w:p w14:paraId="530F4F91" w14:textId="71845EC1" w:rsidR="00436597" w:rsidRDefault="00D6302C" w:rsidP="0002737F">
      <w:pPr>
        <w:spacing w:line="360" w:lineRule="auto"/>
        <w:rPr>
          <w:rFonts w:ascii="Arial" w:hAnsi="Arial" w:cs="Arial"/>
        </w:rPr>
      </w:pPr>
      <w:r>
        <w:rPr>
          <w:rFonts w:ascii="Arial" w:hAnsi="Arial" w:cs="Arial"/>
        </w:rPr>
        <w:t xml:space="preserve">Social Care Wales (2025) </w:t>
      </w:r>
      <w:r w:rsidRPr="00145B8D">
        <w:rPr>
          <w:rFonts w:ascii="Arial" w:hAnsi="Arial" w:cs="Arial"/>
          <w:i/>
          <w:iCs/>
        </w:rPr>
        <w:t xml:space="preserve">Working Together to Progress our 10 Year Workforce </w:t>
      </w:r>
      <w:r w:rsidR="00145B8D" w:rsidRPr="00145B8D">
        <w:rPr>
          <w:rFonts w:ascii="Arial" w:hAnsi="Arial" w:cs="Arial"/>
          <w:i/>
          <w:iCs/>
        </w:rPr>
        <w:t>Strategy for Health and Social Care</w:t>
      </w:r>
      <w:r w:rsidR="00145B8D">
        <w:rPr>
          <w:rFonts w:ascii="Arial" w:hAnsi="Arial" w:cs="Arial"/>
        </w:rPr>
        <w:t xml:space="preserve"> Available at: </w:t>
      </w:r>
      <w:hyperlink r:id="rId17" w:history="1">
        <w:r w:rsidR="00145B8D" w:rsidRPr="00145B8D">
          <w:rPr>
            <w:rStyle w:val="Hyperlink"/>
            <w:rFonts w:ascii="Arial" w:hAnsi="Arial" w:cs="Arial"/>
          </w:rPr>
          <w:t>Working together to progress our 10-year… | Social Care Wales</w:t>
        </w:r>
      </w:hyperlink>
      <w:r w:rsidR="00145B8D">
        <w:rPr>
          <w:rFonts w:ascii="Arial" w:hAnsi="Arial" w:cs="Arial"/>
        </w:rPr>
        <w:t xml:space="preserve"> Accessed</w:t>
      </w:r>
      <w:r w:rsidR="00145B8D">
        <w:rPr>
          <w:rFonts w:ascii="Arial" w:hAnsi="Arial" w:cs="Arial"/>
          <w:i/>
          <w:iCs/>
        </w:rPr>
        <w:t xml:space="preserve"> 25/01/2025</w:t>
      </w:r>
    </w:p>
    <w:sectPr w:rsidR="00436597">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D3190" w14:textId="77777777" w:rsidR="0002737F" w:rsidRDefault="0002737F" w:rsidP="0002737F">
      <w:r>
        <w:separator/>
      </w:r>
    </w:p>
  </w:endnote>
  <w:endnote w:type="continuationSeparator" w:id="0">
    <w:p w14:paraId="50CCC311" w14:textId="77777777" w:rsidR="0002737F" w:rsidRDefault="0002737F" w:rsidP="00027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5481978"/>
      <w:docPartObj>
        <w:docPartGallery w:val="Page Numbers (Bottom of Page)"/>
        <w:docPartUnique/>
      </w:docPartObj>
    </w:sdtPr>
    <w:sdtEndPr/>
    <w:sdtContent>
      <w:p w14:paraId="21B0E69A" w14:textId="703CC2AC" w:rsidR="0002737F" w:rsidRDefault="0002737F">
        <w:pPr>
          <w:pStyle w:val="Footer"/>
        </w:pPr>
        <w:r>
          <w:fldChar w:fldCharType="begin"/>
        </w:r>
        <w:r>
          <w:instrText>PAGE   \* MERGEFORMAT</w:instrText>
        </w:r>
        <w:r>
          <w:fldChar w:fldCharType="separate"/>
        </w:r>
        <w:r>
          <w:t>2</w:t>
        </w:r>
        <w:r>
          <w:fldChar w:fldCharType="end"/>
        </w:r>
      </w:p>
    </w:sdtContent>
  </w:sdt>
  <w:p w14:paraId="0B85670C" w14:textId="77777777" w:rsidR="0002737F" w:rsidRDefault="000273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EDD57" w14:textId="77777777" w:rsidR="0002737F" w:rsidRDefault="0002737F" w:rsidP="0002737F">
      <w:r>
        <w:separator/>
      </w:r>
    </w:p>
  </w:footnote>
  <w:footnote w:type="continuationSeparator" w:id="0">
    <w:p w14:paraId="053FBDB4" w14:textId="77777777" w:rsidR="0002737F" w:rsidRDefault="0002737F" w:rsidP="000273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8BBAF" w14:textId="17FEA663" w:rsidR="0002737F" w:rsidRDefault="0002737F" w:rsidP="0002737F">
    <w:pPr>
      <w:pStyle w:val="Header"/>
      <w:tabs>
        <w:tab w:val="clear" w:pos="4513"/>
      </w:tabs>
    </w:pPr>
    <w:r>
      <w:t xml:space="preserve">Laura Edwards </w:t>
    </w:r>
    <w:r>
      <w:tab/>
      <w:t>2421186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2737F"/>
    <w:rsid w:val="000A2AB5"/>
    <w:rsid w:val="000A5930"/>
    <w:rsid w:val="000B3B82"/>
    <w:rsid w:val="00126239"/>
    <w:rsid w:val="001263F7"/>
    <w:rsid w:val="00145B8D"/>
    <w:rsid w:val="001C40B0"/>
    <w:rsid w:val="0021400C"/>
    <w:rsid w:val="00237B5B"/>
    <w:rsid w:val="00336AA5"/>
    <w:rsid w:val="003C5591"/>
    <w:rsid w:val="003E2053"/>
    <w:rsid w:val="00414467"/>
    <w:rsid w:val="00436597"/>
    <w:rsid w:val="004E1949"/>
    <w:rsid w:val="004E1B31"/>
    <w:rsid w:val="004F0E93"/>
    <w:rsid w:val="0058183A"/>
    <w:rsid w:val="005B54E7"/>
    <w:rsid w:val="005B5D0D"/>
    <w:rsid w:val="005D3E7E"/>
    <w:rsid w:val="00607A8E"/>
    <w:rsid w:val="00653641"/>
    <w:rsid w:val="00673905"/>
    <w:rsid w:val="007813A5"/>
    <w:rsid w:val="007A0DA7"/>
    <w:rsid w:val="007C6082"/>
    <w:rsid w:val="007F346B"/>
    <w:rsid w:val="0080538A"/>
    <w:rsid w:val="008517A3"/>
    <w:rsid w:val="008C1CF1"/>
    <w:rsid w:val="00943FDB"/>
    <w:rsid w:val="009A4CCD"/>
    <w:rsid w:val="009E0905"/>
    <w:rsid w:val="009E7648"/>
    <w:rsid w:val="009F21E6"/>
    <w:rsid w:val="00A02F2A"/>
    <w:rsid w:val="00A73D0B"/>
    <w:rsid w:val="00A74BFA"/>
    <w:rsid w:val="00AB232D"/>
    <w:rsid w:val="00AE66CE"/>
    <w:rsid w:val="00B20C5C"/>
    <w:rsid w:val="00B62C94"/>
    <w:rsid w:val="00B930D3"/>
    <w:rsid w:val="00C0119A"/>
    <w:rsid w:val="00C0499C"/>
    <w:rsid w:val="00C243FA"/>
    <w:rsid w:val="00C86002"/>
    <w:rsid w:val="00CB2131"/>
    <w:rsid w:val="00CC4D21"/>
    <w:rsid w:val="00D27A91"/>
    <w:rsid w:val="00D6302C"/>
    <w:rsid w:val="00DA59F5"/>
    <w:rsid w:val="00DA5E19"/>
    <w:rsid w:val="00DC3220"/>
    <w:rsid w:val="00DE0A41"/>
    <w:rsid w:val="00DF2A2E"/>
    <w:rsid w:val="00E202ED"/>
    <w:rsid w:val="00E27E7F"/>
    <w:rsid w:val="00E5092E"/>
    <w:rsid w:val="00EB42FF"/>
    <w:rsid w:val="00EB5A69"/>
    <w:rsid w:val="00EF48AC"/>
    <w:rsid w:val="00F14D32"/>
    <w:rsid w:val="00F966E3"/>
    <w:rsid w:val="00FB1866"/>
    <w:rsid w:val="00FB6C2A"/>
    <w:rsid w:val="00FC21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8517A3"/>
    <w:rPr>
      <w:color w:val="0563C1" w:themeColor="hyperlink"/>
      <w:u w:val="single"/>
    </w:rPr>
  </w:style>
  <w:style w:type="paragraph" w:styleId="Header">
    <w:name w:val="header"/>
    <w:basedOn w:val="Normal"/>
    <w:link w:val="HeaderChar"/>
    <w:uiPriority w:val="99"/>
    <w:unhideWhenUsed/>
    <w:rsid w:val="0002737F"/>
    <w:pPr>
      <w:tabs>
        <w:tab w:val="center" w:pos="4513"/>
        <w:tab w:val="right" w:pos="9026"/>
      </w:tabs>
    </w:pPr>
  </w:style>
  <w:style w:type="character" w:customStyle="1" w:styleId="HeaderChar">
    <w:name w:val="Header Char"/>
    <w:basedOn w:val="DefaultParagraphFont"/>
    <w:link w:val="Header"/>
    <w:uiPriority w:val="99"/>
    <w:rsid w:val="0002737F"/>
  </w:style>
  <w:style w:type="paragraph" w:styleId="Footer">
    <w:name w:val="footer"/>
    <w:basedOn w:val="Normal"/>
    <w:link w:val="FooterChar"/>
    <w:uiPriority w:val="99"/>
    <w:unhideWhenUsed/>
    <w:rsid w:val="0002737F"/>
    <w:pPr>
      <w:tabs>
        <w:tab w:val="center" w:pos="4513"/>
        <w:tab w:val="right" w:pos="9026"/>
      </w:tabs>
    </w:pPr>
  </w:style>
  <w:style w:type="character" w:customStyle="1" w:styleId="FooterChar">
    <w:name w:val="Footer Char"/>
    <w:basedOn w:val="DefaultParagraphFont"/>
    <w:link w:val="Footer"/>
    <w:uiPriority w:val="99"/>
    <w:rsid w:val="0002737F"/>
  </w:style>
  <w:style w:type="character" w:styleId="UnresolvedMention">
    <w:name w:val="Unresolved Mention"/>
    <w:basedOn w:val="DefaultParagraphFont"/>
    <w:uiPriority w:val="99"/>
    <w:semiHidden/>
    <w:unhideWhenUsed/>
    <w:rsid w:val="00145B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ocialskillscenter.com/why-your-tone-of-voice-is-so-importan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ocialskillscenter.com/why-your-tone-of-voice-is-so-important/" TargetMode="External"/><Relationship Id="rId17" Type="http://schemas.openxmlformats.org/officeDocument/2006/relationships/hyperlink" Target="https://socialcare.wales/working-together-workforce-strategy" TargetMode="External"/><Relationship Id="rId2" Type="http://schemas.openxmlformats.org/officeDocument/2006/relationships/numbering" Target="numbering.xml"/><Relationship Id="rId16" Type="http://schemas.openxmlformats.org/officeDocument/2006/relationships/hyperlink" Target="https://assets.publishing.service.gov.uk/media/5a7b455ee5274a34770ea939/Munro-Review.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bookcentral.proquest.com/lib/trinity/detail.action?docID=5581233" TargetMode="External"/><Relationship Id="rId5" Type="http://schemas.openxmlformats.org/officeDocument/2006/relationships/webSettings" Target="webSettings.xml"/><Relationship Id="rId15" Type="http://schemas.openxmlformats.org/officeDocument/2006/relationships/hyperlink" Target="https://ebookcentral.proquest.com/lib/trinity/reader.action?docID=7133424&amp;c=RVBVQg&amp;ppg=72" TargetMode="External"/><Relationship Id="rId10" Type="http://schemas.openxmlformats.org/officeDocument/2006/relationships/hyperlink" Target="https://dementia.ripfa.org.uk/wp-content/uploads/Dementia_guide_TCSW_DoH_2015.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bookcentral.proquest.com/lib/trinity/detail.action?docID=820103" TargetMode="External"/><Relationship Id="rId14" Type="http://schemas.openxmlformats.org/officeDocument/2006/relationships/hyperlink" Target="https://www.legislation.gov.uk/ukpga/2005/9/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D5D92-83FF-42BF-9F33-0BE9AC09B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10</Pages>
  <Words>2575</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Edwards, Laura</cp:lastModifiedBy>
  <cp:revision>18</cp:revision>
  <cp:lastPrinted>2023-02-14T11:26:00Z</cp:lastPrinted>
  <dcterms:created xsi:type="dcterms:W3CDTF">2025-09-23T21:05:00Z</dcterms:created>
  <dcterms:modified xsi:type="dcterms:W3CDTF">2025-10-04T12:55:00Z</dcterms:modified>
</cp:coreProperties>
</file>