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C9B46" w14:textId="33BBFEC3" w:rsidR="00F47520" w:rsidRPr="00B306BA" w:rsidRDefault="00827C9F" w:rsidP="00B306BA">
      <w:pPr>
        <w:spacing w:line="360" w:lineRule="auto"/>
        <w:jc w:val="both"/>
        <w:rPr>
          <w:rFonts w:ascii="Arial" w:hAnsi="Arial" w:cs="Arial"/>
          <w:sz w:val="24"/>
          <w:szCs w:val="24"/>
        </w:rPr>
      </w:pPr>
      <w:r w:rsidRPr="00B306BA">
        <w:rPr>
          <w:rFonts w:ascii="Arial" w:hAnsi="Arial" w:cs="Arial"/>
          <w:noProof/>
          <w:sz w:val="24"/>
          <w:szCs w:val="24"/>
        </w:rPr>
        <w:drawing>
          <wp:inline distT="0" distB="0" distL="0" distR="0" wp14:anchorId="32A65CAE" wp14:editId="6E6F0266">
            <wp:extent cx="2746186" cy="1219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9546" cy="1220692"/>
                    </a:xfrm>
                    <a:prstGeom prst="rect">
                      <a:avLst/>
                    </a:prstGeom>
                    <a:noFill/>
                    <a:ln>
                      <a:noFill/>
                    </a:ln>
                  </pic:spPr>
                </pic:pic>
              </a:graphicData>
            </a:graphic>
          </wp:inline>
        </w:drawing>
      </w:r>
    </w:p>
    <w:p w14:paraId="4E29547B" w14:textId="229AE421" w:rsidR="00827C9F" w:rsidRPr="00B306BA" w:rsidRDefault="00827C9F" w:rsidP="00B306BA">
      <w:pPr>
        <w:spacing w:line="360" w:lineRule="auto"/>
        <w:jc w:val="both"/>
        <w:rPr>
          <w:rFonts w:ascii="Arial" w:hAnsi="Arial" w:cs="Arial"/>
          <w:sz w:val="24"/>
          <w:szCs w:val="24"/>
        </w:rPr>
      </w:pPr>
    </w:p>
    <w:p w14:paraId="2B2E799E" w14:textId="6CCCCC61" w:rsidR="00827C9F" w:rsidRPr="00B306BA" w:rsidRDefault="00827C9F" w:rsidP="00B306BA">
      <w:pPr>
        <w:spacing w:line="360" w:lineRule="auto"/>
        <w:jc w:val="both"/>
        <w:rPr>
          <w:rFonts w:ascii="Arial" w:hAnsi="Arial" w:cs="Arial"/>
          <w:sz w:val="24"/>
          <w:szCs w:val="24"/>
        </w:rPr>
      </w:pPr>
      <w:r w:rsidRPr="00B306BA">
        <w:rPr>
          <w:rFonts w:ascii="Arial" w:hAnsi="Arial" w:cs="Arial"/>
          <w:sz w:val="24"/>
          <w:szCs w:val="24"/>
        </w:rPr>
        <w:tab/>
      </w:r>
      <w:r w:rsidRPr="00B306BA">
        <w:rPr>
          <w:rFonts w:ascii="Arial" w:hAnsi="Arial" w:cs="Arial"/>
          <w:sz w:val="24"/>
          <w:szCs w:val="24"/>
        </w:rPr>
        <w:tab/>
      </w:r>
      <w:r w:rsidRPr="00B306BA">
        <w:rPr>
          <w:rFonts w:ascii="Arial" w:hAnsi="Arial" w:cs="Arial"/>
          <w:sz w:val="24"/>
          <w:szCs w:val="24"/>
        </w:rPr>
        <w:tab/>
      </w:r>
      <w:r w:rsidRPr="00B306BA">
        <w:rPr>
          <w:rFonts w:ascii="Arial" w:hAnsi="Arial" w:cs="Arial"/>
          <w:sz w:val="24"/>
          <w:szCs w:val="24"/>
        </w:rPr>
        <w:tab/>
        <w:t xml:space="preserve">Assignment 1 </w:t>
      </w:r>
    </w:p>
    <w:p w14:paraId="07C9A226" w14:textId="5D5E377D" w:rsidR="00827C9F" w:rsidRPr="00B306BA" w:rsidRDefault="00827C9F" w:rsidP="00B306BA">
      <w:pPr>
        <w:spacing w:line="360" w:lineRule="auto"/>
        <w:jc w:val="both"/>
        <w:rPr>
          <w:rFonts w:ascii="Arial" w:hAnsi="Arial" w:cs="Arial"/>
          <w:sz w:val="24"/>
          <w:szCs w:val="24"/>
        </w:rPr>
      </w:pPr>
    </w:p>
    <w:p w14:paraId="6BCCBC6C" w14:textId="77777777" w:rsidR="00827C9F" w:rsidRPr="00B306BA" w:rsidRDefault="00827C9F" w:rsidP="00B306BA">
      <w:pPr>
        <w:spacing w:line="360" w:lineRule="auto"/>
        <w:jc w:val="both"/>
        <w:rPr>
          <w:rFonts w:ascii="Arial" w:hAnsi="Arial" w:cs="Arial"/>
          <w:sz w:val="24"/>
          <w:szCs w:val="24"/>
        </w:rPr>
      </w:pPr>
    </w:p>
    <w:p w14:paraId="5596E7F4" w14:textId="77777777" w:rsidR="00827C9F" w:rsidRPr="00B306BA" w:rsidRDefault="00827C9F" w:rsidP="00B306BA">
      <w:pPr>
        <w:spacing w:line="360" w:lineRule="auto"/>
        <w:jc w:val="both"/>
        <w:rPr>
          <w:rFonts w:ascii="Arial" w:hAnsi="Arial" w:cs="Arial"/>
          <w:sz w:val="24"/>
          <w:szCs w:val="24"/>
        </w:rPr>
      </w:pPr>
    </w:p>
    <w:p w14:paraId="02838C48" w14:textId="519FF826" w:rsidR="00827C9F" w:rsidRPr="00B306BA" w:rsidRDefault="00827C9F" w:rsidP="00B306BA">
      <w:pPr>
        <w:spacing w:line="360" w:lineRule="auto"/>
        <w:jc w:val="both"/>
        <w:rPr>
          <w:rFonts w:ascii="Arial" w:hAnsi="Arial" w:cs="Arial"/>
          <w:sz w:val="24"/>
          <w:szCs w:val="24"/>
        </w:rPr>
      </w:pPr>
      <w:r w:rsidRPr="00B306BA">
        <w:rPr>
          <w:rFonts w:ascii="Arial" w:hAnsi="Arial" w:cs="Arial"/>
          <w:sz w:val="24"/>
          <w:szCs w:val="24"/>
        </w:rPr>
        <w:t xml:space="preserve">Name: </w:t>
      </w:r>
      <w:r w:rsidR="00617BA8" w:rsidRPr="00B306BA">
        <w:rPr>
          <w:rFonts w:ascii="Arial" w:hAnsi="Arial" w:cs="Arial"/>
          <w:sz w:val="24"/>
          <w:szCs w:val="24"/>
        </w:rPr>
        <w:t xml:space="preserve"> Crystal Hall</w:t>
      </w:r>
      <w:r w:rsidR="00617BA8" w:rsidRPr="00B306BA">
        <w:rPr>
          <w:rFonts w:ascii="Arial" w:hAnsi="Arial" w:cs="Arial"/>
          <w:sz w:val="24"/>
          <w:szCs w:val="24"/>
        </w:rPr>
        <w:tab/>
      </w:r>
    </w:p>
    <w:p w14:paraId="73DDBB46" w14:textId="2F355217" w:rsidR="00827C9F" w:rsidRPr="00B306BA" w:rsidRDefault="00827C9F" w:rsidP="00B306BA">
      <w:pPr>
        <w:spacing w:line="360" w:lineRule="auto"/>
        <w:jc w:val="both"/>
        <w:rPr>
          <w:rFonts w:ascii="Arial" w:hAnsi="Arial" w:cs="Arial"/>
          <w:sz w:val="24"/>
          <w:szCs w:val="24"/>
        </w:rPr>
      </w:pPr>
      <w:r w:rsidRPr="00B306BA">
        <w:rPr>
          <w:rFonts w:ascii="Arial" w:hAnsi="Arial" w:cs="Arial"/>
          <w:sz w:val="24"/>
          <w:szCs w:val="24"/>
        </w:rPr>
        <w:t xml:space="preserve">Student ID: </w:t>
      </w:r>
      <w:r w:rsidR="00617BA8" w:rsidRPr="00B306BA">
        <w:rPr>
          <w:rFonts w:ascii="Arial" w:hAnsi="Arial" w:cs="Arial"/>
          <w:sz w:val="24"/>
          <w:szCs w:val="24"/>
        </w:rPr>
        <w:t xml:space="preserve"> 2237516</w:t>
      </w:r>
    </w:p>
    <w:p w14:paraId="1036A1A5" w14:textId="618C3B62" w:rsidR="00827C9F" w:rsidRPr="00B306BA" w:rsidRDefault="00827C9F" w:rsidP="00B306BA">
      <w:pPr>
        <w:spacing w:line="360" w:lineRule="auto"/>
        <w:jc w:val="both"/>
        <w:rPr>
          <w:rFonts w:ascii="Arial" w:hAnsi="Arial" w:cs="Arial"/>
          <w:sz w:val="24"/>
          <w:szCs w:val="24"/>
        </w:rPr>
      </w:pPr>
      <w:r w:rsidRPr="00B306BA">
        <w:rPr>
          <w:rFonts w:ascii="Arial" w:hAnsi="Arial" w:cs="Arial"/>
          <w:sz w:val="24"/>
          <w:szCs w:val="24"/>
        </w:rPr>
        <w:t xml:space="preserve">Module: </w:t>
      </w:r>
      <w:r w:rsidR="00617BA8" w:rsidRPr="00B306BA">
        <w:rPr>
          <w:rFonts w:ascii="Arial" w:hAnsi="Arial" w:cs="Arial"/>
          <w:sz w:val="24"/>
          <w:szCs w:val="24"/>
        </w:rPr>
        <w:t>MBA Marketing</w:t>
      </w:r>
    </w:p>
    <w:p w14:paraId="02F16464" w14:textId="5B9A46F4" w:rsidR="00827C9F" w:rsidRPr="00B306BA" w:rsidRDefault="00827C9F" w:rsidP="00B306BA">
      <w:pPr>
        <w:spacing w:line="360" w:lineRule="auto"/>
        <w:jc w:val="both"/>
        <w:rPr>
          <w:rFonts w:ascii="Arial" w:hAnsi="Arial" w:cs="Arial"/>
          <w:sz w:val="24"/>
          <w:szCs w:val="24"/>
        </w:rPr>
      </w:pPr>
      <w:r w:rsidRPr="00B306BA">
        <w:rPr>
          <w:rFonts w:ascii="Arial" w:hAnsi="Arial" w:cs="Arial"/>
          <w:sz w:val="24"/>
          <w:szCs w:val="24"/>
        </w:rPr>
        <w:t>Code:</w:t>
      </w:r>
    </w:p>
    <w:p w14:paraId="48A0EE82" w14:textId="1D46AC97" w:rsidR="00827C9F" w:rsidRPr="00B306BA" w:rsidRDefault="00827C9F" w:rsidP="00B306BA">
      <w:pPr>
        <w:spacing w:line="360" w:lineRule="auto"/>
        <w:jc w:val="both"/>
        <w:rPr>
          <w:rFonts w:ascii="Arial" w:hAnsi="Arial" w:cs="Arial"/>
          <w:sz w:val="24"/>
          <w:szCs w:val="24"/>
        </w:rPr>
      </w:pPr>
      <w:r w:rsidRPr="00B306BA">
        <w:rPr>
          <w:rFonts w:ascii="Arial" w:hAnsi="Arial" w:cs="Arial"/>
          <w:sz w:val="24"/>
          <w:szCs w:val="24"/>
        </w:rPr>
        <w:t>Lecturer:</w:t>
      </w:r>
      <w:r w:rsidR="00617BA8" w:rsidRPr="00B306BA">
        <w:rPr>
          <w:rFonts w:ascii="Arial" w:hAnsi="Arial" w:cs="Arial"/>
          <w:sz w:val="24"/>
          <w:szCs w:val="24"/>
        </w:rPr>
        <w:t xml:space="preserve"> Gladius</w:t>
      </w:r>
    </w:p>
    <w:p w14:paraId="6BFF13C4" w14:textId="33A62464" w:rsidR="00827C9F" w:rsidRPr="00B306BA" w:rsidRDefault="00827C9F" w:rsidP="00B306BA">
      <w:pPr>
        <w:spacing w:line="360" w:lineRule="auto"/>
        <w:jc w:val="both"/>
        <w:rPr>
          <w:rFonts w:ascii="Arial" w:hAnsi="Arial" w:cs="Arial"/>
          <w:sz w:val="24"/>
          <w:szCs w:val="24"/>
        </w:rPr>
      </w:pPr>
    </w:p>
    <w:p w14:paraId="07CED03F" w14:textId="2417B20B" w:rsidR="00827C9F" w:rsidRPr="00B306BA" w:rsidRDefault="00827C9F" w:rsidP="00B306BA">
      <w:pPr>
        <w:spacing w:line="360" w:lineRule="auto"/>
        <w:jc w:val="both"/>
        <w:rPr>
          <w:rFonts w:ascii="Arial" w:hAnsi="Arial" w:cs="Arial"/>
          <w:sz w:val="24"/>
          <w:szCs w:val="24"/>
        </w:rPr>
      </w:pPr>
    </w:p>
    <w:p w14:paraId="3C160977" w14:textId="34760049" w:rsidR="00827C9F" w:rsidRPr="00B306BA" w:rsidRDefault="00827C9F" w:rsidP="00B306BA">
      <w:pPr>
        <w:spacing w:line="360" w:lineRule="auto"/>
        <w:jc w:val="both"/>
        <w:rPr>
          <w:rFonts w:ascii="Arial" w:hAnsi="Arial" w:cs="Arial"/>
          <w:sz w:val="24"/>
          <w:szCs w:val="24"/>
        </w:rPr>
      </w:pPr>
    </w:p>
    <w:p w14:paraId="2DF5B322" w14:textId="45E5E52F" w:rsidR="00827C9F" w:rsidRPr="00B306BA" w:rsidRDefault="00827C9F" w:rsidP="00B306BA">
      <w:pPr>
        <w:spacing w:line="360" w:lineRule="auto"/>
        <w:jc w:val="both"/>
        <w:rPr>
          <w:rFonts w:ascii="Arial" w:hAnsi="Arial" w:cs="Arial"/>
          <w:sz w:val="24"/>
          <w:szCs w:val="24"/>
        </w:rPr>
      </w:pPr>
    </w:p>
    <w:p w14:paraId="1F962101" w14:textId="5D7CF08A" w:rsidR="00827C9F" w:rsidRPr="00B306BA" w:rsidRDefault="00827C9F" w:rsidP="00B306BA">
      <w:pPr>
        <w:spacing w:line="360" w:lineRule="auto"/>
        <w:jc w:val="both"/>
        <w:rPr>
          <w:rFonts w:ascii="Arial" w:hAnsi="Arial" w:cs="Arial"/>
          <w:sz w:val="24"/>
          <w:szCs w:val="24"/>
        </w:rPr>
      </w:pPr>
    </w:p>
    <w:p w14:paraId="1D24BB6C" w14:textId="2536D72F" w:rsidR="00827C9F" w:rsidRPr="00B306BA" w:rsidRDefault="00827C9F" w:rsidP="00B306BA">
      <w:pPr>
        <w:spacing w:line="360" w:lineRule="auto"/>
        <w:jc w:val="both"/>
        <w:rPr>
          <w:rFonts w:ascii="Arial" w:hAnsi="Arial" w:cs="Arial"/>
          <w:sz w:val="24"/>
          <w:szCs w:val="24"/>
        </w:rPr>
      </w:pPr>
    </w:p>
    <w:p w14:paraId="43E9DB59" w14:textId="7D90C4CA" w:rsidR="00827C9F" w:rsidRDefault="00827C9F" w:rsidP="00B306BA">
      <w:pPr>
        <w:spacing w:line="360" w:lineRule="auto"/>
        <w:jc w:val="both"/>
        <w:rPr>
          <w:rFonts w:ascii="Arial" w:hAnsi="Arial" w:cs="Arial"/>
          <w:sz w:val="24"/>
          <w:szCs w:val="24"/>
        </w:rPr>
      </w:pPr>
    </w:p>
    <w:p w14:paraId="1CDE5750" w14:textId="77777777" w:rsidR="00B306BA" w:rsidRDefault="00B306BA" w:rsidP="00B306BA">
      <w:pPr>
        <w:spacing w:line="360" w:lineRule="auto"/>
        <w:jc w:val="both"/>
        <w:rPr>
          <w:rFonts w:ascii="Arial" w:hAnsi="Arial" w:cs="Arial"/>
          <w:sz w:val="24"/>
          <w:szCs w:val="24"/>
        </w:rPr>
      </w:pPr>
    </w:p>
    <w:p w14:paraId="5B790B97" w14:textId="77777777" w:rsidR="00B306BA" w:rsidRPr="00B306BA" w:rsidRDefault="00B306BA" w:rsidP="00B306BA">
      <w:pPr>
        <w:spacing w:line="360" w:lineRule="auto"/>
        <w:jc w:val="both"/>
        <w:rPr>
          <w:rFonts w:ascii="Arial" w:hAnsi="Arial" w:cs="Arial"/>
          <w:sz w:val="24"/>
          <w:szCs w:val="24"/>
        </w:rPr>
      </w:pPr>
    </w:p>
    <w:p w14:paraId="35DA62F5" w14:textId="1613284C" w:rsidR="00827C9F" w:rsidRPr="00B306BA" w:rsidRDefault="00827C9F" w:rsidP="00B306BA">
      <w:pPr>
        <w:spacing w:line="360" w:lineRule="auto"/>
        <w:jc w:val="both"/>
        <w:rPr>
          <w:rFonts w:ascii="Arial" w:hAnsi="Arial" w:cs="Arial"/>
          <w:sz w:val="24"/>
          <w:szCs w:val="24"/>
        </w:rPr>
      </w:pPr>
    </w:p>
    <w:p w14:paraId="77FDB689" w14:textId="65A9E407" w:rsidR="00827C9F" w:rsidRPr="00B306BA" w:rsidRDefault="00827C9F" w:rsidP="00B306BA">
      <w:pPr>
        <w:spacing w:line="360" w:lineRule="auto"/>
        <w:jc w:val="both"/>
        <w:rPr>
          <w:rFonts w:ascii="Arial" w:hAnsi="Arial" w:cs="Arial"/>
          <w:b/>
          <w:bCs/>
          <w:sz w:val="24"/>
          <w:szCs w:val="24"/>
        </w:rPr>
      </w:pPr>
      <w:r w:rsidRPr="00B306BA">
        <w:rPr>
          <w:rFonts w:ascii="Arial" w:hAnsi="Arial" w:cs="Arial"/>
          <w:b/>
          <w:bCs/>
          <w:sz w:val="24"/>
          <w:szCs w:val="24"/>
        </w:rPr>
        <w:lastRenderedPageBreak/>
        <w:t xml:space="preserve">Table of content </w:t>
      </w:r>
    </w:p>
    <w:sdt>
      <w:sdtPr>
        <w:rPr>
          <w:rFonts w:ascii="Arial" w:hAnsi="Arial" w:cs="Arial"/>
          <w:sz w:val="24"/>
          <w:szCs w:val="24"/>
        </w:rPr>
        <w:id w:val="-1532409594"/>
        <w:docPartObj>
          <w:docPartGallery w:val="Table of Contents"/>
          <w:docPartUnique/>
        </w:docPartObj>
      </w:sdtPr>
      <w:sdtEndPr>
        <w:rPr>
          <w:rFonts w:eastAsiaTheme="minorEastAsia"/>
          <w:b/>
          <w:bCs/>
          <w:noProof/>
          <w:color w:val="auto"/>
          <w:lang w:val="en-GB" w:eastAsia="zh-CN"/>
        </w:rPr>
      </w:sdtEndPr>
      <w:sdtContent>
        <w:p w14:paraId="6AE75EC1" w14:textId="6E266747" w:rsidR="00B306BA" w:rsidRPr="00B306BA" w:rsidRDefault="00B306BA" w:rsidP="00B306BA">
          <w:pPr>
            <w:pStyle w:val="TOCHeading"/>
            <w:spacing w:line="360" w:lineRule="auto"/>
            <w:rPr>
              <w:rFonts w:ascii="Arial" w:hAnsi="Arial" w:cs="Arial"/>
              <w:sz w:val="24"/>
              <w:szCs w:val="24"/>
            </w:rPr>
          </w:pPr>
          <w:r w:rsidRPr="00B306BA">
            <w:rPr>
              <w:rFonts w:ascii="Arial" w:hAnsi="Arial" w:cs="Arial"/>
              <w:sz w:val="24"/>
              <w:szCs w:val="24"/>
            </w:rPr>
            <w:t>Contents</w:t>
          </w:r>
        </w:p>
        <w:p w14:paraId="492AFDA3" w14:textId="21A5BBE8" w:rsidR="00B306BA" w:rsidRPr="00B306BA" w:rsidRDefault="00B306BA" w:rsidP="00B306BA">
          <w:pPr>
            <w:spacing w:line="360" w:lineRule="auto"/>
            <w:rPr>
              <w:rFonts w:ascii="Arial" w:hAnsi="Arial" w:cs="Arial"/>
              <w:sz w:val="24"/>
              <w:szCs w:val="24"/>
            </w:rPr>
          </w:pPr>
          <w:r w:rsidRPr="00B306BA">
            <w:rPr>
              <w:rFonts w:ascii="Arial" w:hAnsi="Arial" w:cs="Arial"/>
              <w:sz w:val="24"/>
              <w:szCs w:val="24"/>
            </w:rPr>
            <w:fldChar w:fldCharType="begin"/>
          </w:r>
          <w:r w:rsidRPr="00B306BA">
            <w:rPr>
              <w:rFonts w:ascii="Arial" w:hAnsi="Arial" w:cs="Arial"/>
              <w:sz w:val="24"/>
              <w:szCs w:val="24"/>
            </w:rPr>
            <w:instrText xml:space="preserve"> TOC \o "1-3" \h \z \u </w:instrText>
          </w:r>
          <w:r w:rsidRPr="00B306BA">
            <w:rPr>
              <w:rFonts w:ascii="Arial" w:hAnsi="Arial" w:cs="Arial"/>
              <w:sz w:val="24"/>
              <w:szCs w:val="24"/>
            </w:rPr>
            <w:fldChar w:fldCharType="separate"/>
          </w:r>
          <w:r w:rsidRPr="00B306BA">
            <w:rPr>
              <w:rFonts w:ascii="Arial" w:hAnsi="Arial" w:cs="Arial"/>
              <w:b/>
              <w:bCs/>
              <w:noProof/>
              <w:sz w:val="24"/>
              <w:szCs w:val="24"/>
              <w:lang w:val="en-US"/>
            </w:rPr>
            <w:t>No table of contents entries found.</w:t>
          </w:r>
          <w:r w:rsidRPr="00B306BA">
            <w:rPr>
              <w:rFonts w:ascii="Arial" w:hAnsi="Arial" w:cs="Arial"/>
              <w:b/>
              <w:bCs/>
              <w:noProof/>
              <w:sz w:val="24"/>
              <w:szCs w:val="24"/>
            </w:rPr>
            <w:fldChar w:fldCharType="end"/>
          </w:r>
        </w:p>
      </w:sdtContent>
    </w:sdt>
    <w:p w14:paraId="08C39C3D" w14:textId="77777777" w:rsidR="00B306BA" w:rsidRPr="00B306BA" w:rsidRDefault="00B306BA" w:rsidP="00B306BA">
      <w:pPr>
        <w:spacing w:line="360" w:lineRule="auto"/>
        <w:jc w:val="both"/>
        <w:rPr>
          <w:rFonts w:ascii="Arial" w:hAnsi="Arial" w:cs="Arial"/>
          <w:b/>
          <w:bCs/>
          <w:sz w:val="24"/>
          <w:szCs w:val="24"/>
        </w:rPr>
      </w:pPr>
    </w:p>
    <w:p w14:paraId="419DBE47" w14:textId="5B998C8C" w:rsidR="00827C9F" w:rsidRPr="00B306BA" w:rsidRDefault="00827C9F" w:rsidP="00B306BA">
      <w:pPr>
        <w:spacing w:line="360" w:lineRule="auto"/>
        <w:jc w:val="both"/>
        <w:rPr>
          <w:rFonts w:ascii="Arial" w:hAnsi="Arial" w:cs="Arial"/>
          <w:b/>
          <w:bCs/>
          <w:sz w:val="24"/>
          <w:szCs w:val="24"/>
        </w:rPr>
      </w:pPr>
    </w:p>
    <w:p w14:paraId="2CB1C023" w14:textId="3A24BA0F" w:rsidR="00827C9F" w:rsidRPr="00B306BA" w:rsidRDefault="00827C9F" w:rsidP="00B306BA">
      <w:pPr>
        <w:spacing w:line="360" w:lineRule="auto"/>
        <w:jc w:val="both"/>
        <w:rPr>
          <w:rFonts w:ascii="Arial" w:hAnsi="Arial" w:cs="Arial"/>
          <w:b/>
          <w:bCs/>
          <w:sz w:val="24"/>
          <w:szCs w:val="24"/>
        </w:rPr>
      </w:pPr>
    </w:p>
    <w:p w14:paraId="2E02A5E5" w14:textId="36A310DE" w:rsidR="00827C9F" w:rsidRPr="00B306BA" w:rsidRDefault="00827C9F" w:rsidP="00B306BA">
      <w:pPr>
        <w:spacing w:line="360" w:lineRule="auto"/>
        <w:jc w:val="both"/>
        <w:rPr>
          <w:rFonts w:ascii="Arial" w:hAnsi="Arial" w:cs="Arial"/>
          <w:b/>
          <w:bCs/>
          <w:sz w:val="24"/>
          <w:szCs w:val="24"/>
        </w:rPr>
      </w:pPr>
    </w:p>
    <w:p w14:paraId="28CAE3D9" w14:textId="0A93D573" w:rsidR="00827C9F" w:rsidRPr="00B306BA" w:rsidRDefault="00827C9F" w:rsidP="00B306BA">
      <w:pPr>
        <w:spacing w:line="360" w:lineRule="auto"/>
        <w:jc w:val="both"/>
        <w:rPr>
          <w:rFonts w:ascii="Arial" w:hAnsi="Arial" w:cs="Arial"/>
          <w:b/>
          <w:bCs/>
          <w:sz w:val="24"/>
          <w:szCs w:val="24"/>
        </w:rPr>
      </w:pPr>
    </w:p>
    <w:p w14:paraId="6470598B" w14:textId="45280F40" w:rsidR="00827C9F" w:rsidRPr="00B306BA" w:rsidRDefault="00827C9F" w:rsidP="00B306BA">
      <w:pPr>
        <w:spacing w:line="360" w:lineRule="auto"/>
        <w:jc w:val="both"/>
        <w:rPr>
          <w:rFonts w:ascii="Arial" w:hAnsi="Arial" w:cs="Arial"/>
          <w:b/>
          <w:bCs/>
          <w:sz w:val="24"/>
          <w:szCs w:val="24"/>
        </w:rPr>
      </w:pPr>
    </w:p>
    <w:p w14:paraId="2CDDD75A" w14:textId="559B6E03" w:rsidR="00827C9F" w:rsidRPr="00B306BA" w:rsidRDefault="00827C9F" w:rsidP="00B306BA">
      <w:pPr>
        <w:spacing w:line="360" w:lineRule="auto"/>
        <w:jc w:val="both"/>
        <w:rPr>
          <w:rFonts w:ascii="Arial" w:hAnsi="Arial" w:cs="Arial"/>
          <w:b/>
          <w:bCs/>
          <w:sz w:val="24"/>
          <w:szCs w:val="24"/>
        </w:rPr>
      </w:pPr>
    </w:p>
    <w:p w14:paraId="46D84C85" w14:textId="72FC6594" w:rsidR="00827C9F" w:rsidRPr="00B306BA" w:rsidRDefault="00827C9F" w:rsidP="00B306BA">
      <w:pPr>
        <w:spacing w:line="360" w:lineRule="auto"/>
        <w:jc w:val="both"/>
        <w:rPr>
          <w:rFonts w:ascii="Arial" w:hAnsi="Arial" w:cs="Arial"/>
          <w:b/>
          <w:bCs/>
          <w:sz w:val="24"/>
          <w:szCs w:val="24"/>
        </w:rPr>
      </w:pPr>
    </w:p>
    <w:p w14:paraId="57D1C1BF" w14:textId="25029448" w:rsidR="00827C9F" w:rsidRPr="00B306BA" w:rsidRDefault="00827C9F" w:rsidP="00B306BA">
      <w:pPr>
        <w:spacing w:line="360" w:lineRule="auto"/>
        <w:jc w:val="both"/>
        <w:rPr>
          <w:rFonts w:ascii="Arial" w:hAnsi="Arial" w:cs="Arial"/>
          <w:b/>
          <w:bCs/>
          <w:sz w:val="24"/>
          <w:szCs w:val="24"/>
        </w:rPr>
      </w:pPr>
    </w:p>
    <w:p w14:paraId="6EFF441A" w14:textId="51E49141" w:rsidR="00827C9F" w:rsidRPr="00B306BA" w:rsidRDefault="00827C9F" w:rsidP="00B306BA">
      <w:pPr>
        <w:spacing w:line="360" w:lineRule="auto"/>
        <w:jc w:val="both"/>
        <w:rPr>
          <w:rFonts w:ascii="Arial" w:hAnsi="Arial" w:cs="Arial"/>
          <w:b/>
          <w:bCs/>
          <w:sz w:val="24"/>
          <w:szCs w:val="24"/>
        </w:rPr>
      </w:pPr>
    </w:p>
    <w:p w14:paraId="48A55589" w14:textId="09CF4A54" w:rsidR="00827C9F" w:rsidRPr="00B306BA" w:rsidRDefault="00827C9F" w:rsidP="00B306BA">
      <w:pPr>
        <w:spacing w:line="360" w:lineRule="auto"/>
        <w:jc w:val="both"/>
        <w:rPr>
          <w:rFonts w:ascii="Arial" w:hAnsi="Arial" w:cs="Arial"/>
          <w:b/>
          <w:bCs/>
          <w:sz w:val="24"/>
          <w:szCs w:val="24"/>
        </w:rPr>
      </w:pPr>
    </w:p>
    <w:p w14:paraId="70633F05" w14:textId="2A75A019" w:rsidR="00827C9F" w:rsidRPr="00B306BA" w:rsidRDefault="00827C9F" w:rsidP="00B306BA">
      <w:pPr>
        <w:spacing w:line="360" w:lineRule="auto"/>
        <w:jc w:val="both"/>
        <w:rPr>
          <w:rFonts w:ascii="Arial" w:hAnsi="Arial" w:cs="Arial"/>
          <w:b/>
          <w:bCs/>
          <w:sz w:val="24"/>
          <w:szCs w:val="24"/>
        </w:rPr>
      </w:pPr>
    </w:p>
    <w:p w14:paraId="7D8BAD87" w14:textId="728D1B10" w:rsidR="00827C9F" w:rsidRPr="00B306BA" w:rsidRDefault="00827C9F" w:rsidP="00B306BA">
      <w:pPr>
        <w:spacing w:line="360" w:lineRule="auto"/>
        <w:jc w:val="both"/>
        <w:rPr>
          <w:rFonts w:ascii="Arial" w:hAnsi="Arial" w:cs="Arial"/>
          <w:b/>
          <w:bCs/>
          <w:sz w:val="24"/>
          <w:szCs w:val="24"/>
        </w:rPr>
      </w:pPr>
    </w:p>
    <w:p w14:paraId="2A541AF1" w14:textId="779A5934" w:rsidR="00827C9F" w:rsidRPr="00B306BA" w:rsidRDefault="00827C9F" w:rsidP="00B306BA">
      <w:pPr>
        <w:spacing w:line="360" w:lineRule="auto"/>
        <w:jc w:val="both"/>
        <w:rPr>
          <w:rFonts w:ascii="Arial" w:hAnsi="Arial" w:cs="Arial"/>
          <w:b/>
          <w:bCs/>
          <w:sz w:val="24"/>
          <w:szCs w:val="24"/>
        </w:rPr>
      </w:pPr>
    </w:p>
    <w:p w14:paraId="775D0EEE" w14:textId="4812C828" w:rsidR="00827C9F" w:rsidRPr="00B306BA" w:rsidRDefault="00827C9F" w:rsidP="00B306BA">
      <w:pPr>
        <w:spacing w:line="360" w:lineRule="auto"/>
        <w:jc w:val="both"/>
        <w:rPr>
          <w:rFonts w:ascii="Arial" w:hAnsi="Arial" w:cs="Arial"/>
          <w:b/>
          <w:bCs/>
          <w:sz w:val="24"/>
          <w:szCs w:val="24"/>
        </w:rPr>
      </w:pPr>
    </w:p>
    <w:p w14:paraId="13957E93" w14:textId="69259149" w:rsidR="00827C9F" w:rsidRDefault="00827C9F" w:rsidP="00B306BA">
      <w:pPr>
        <w:spacing w:line="360" w:lineRule="auto"/>
        <w:jc w:val="both"/>
        <w:rPr>
          <w:rFonts w:ascii="Arial" w:hAnsi="Arial" w:cs="Arial"/>
          <w:b/>
          <w:bCs/>
          <w:sz w:val="24"/>
          <w:szCs w:val="24"/>
        </w:rPr>
      </w:pPr>
    </w:p>
    <w:p w14:paraId="3A881D8D" w14:textId="77777777" w:rsidR="003A027C" w:rsidRDefault="003A027C" w:rsidP="00B306BA">
      <w:pPr>
        <w:spacing w:line="360" w:lineRule="auto"/>
        <w:jc w:val="both"/>
        <w:rPr>
          <w:rFonts w:ascii="Arial" w:hAnsi="Arial" w:cs="Arial"/>
          <w:b/>
          <w:bCs/>
          <w:sz w:val="24"/>
          <w:szCs w:val="24"/>
        </w:rPr>
      </w:pPr>
    </w:p>
    <w:p w14:paraId="14222FCF" w14:textId="77777777" w:rsidR="003A027C" w:rsidRDefault="003A027C" w:rsidP="00B306BA">
      <w:pPr>
        <w:spacing w:line="360" w:lineRule="auto"/>
        <w:jc w:val="both"/>
        <w:rPr>
          <w:rFonts w:ascii="Arial" w:hAnsi="Arial" w:cs="Arial"/>
          <w:b/>
          <w:bCs/>
          <w:sz w:val="24"/>
          <w:szCs w:val="24"/>
        </w:rPr>
      </w:pPr>
    </w:p>
    <w:p w14:paraId="12AC0B7D" w14:textId="77777777" w:rsidR="003A027C" w:rsidRPr="00B306BA" w:rsidRDefault="003A027C" w:rsidP="00B306BA">
      <w:pPr>
        <w:spacing w:line="360" w:lineRule="auto"/>
        <w:jc w:val="both"/>
        <w:rPr>
          <w:rFonts w:ascii="Arial" w:hAnsi="Arial" w:cs="Arial"/>
          <w:b/>
          <w:bCs/>
          <w:sz w:val="24"/>
          <w:szCs w:val="24"/>
        </w:rPr>
      </w:pPr>
    </w:p>
    <w:p w14:paraId="61438D16" w14:textId="77887096" w:rsidR="00827C9F" w:rsidRPr="00B306BA" w:rsidRDefault="00827C9F" w:rsidP="00B306BA">
      <w:pPr>
        <w:spacing w:line="360" w:lineRule="auto"/>
        <w:jc w:val="both"/>
        <w:rPr>
          <w:rFonts w:ascii="Arial" w:hAnsi="Arial" w:cs="Arial"/>
          <w:b/>
          <w:bCs/>
          <w:sz w:val="24"/>
          <w:szCs w:val="24"/>
        </w:rPr>
      </w:pPr>
    </w:p>
    <w:p w14:paraId="48542466" w14:textId="5F054B46" w:rsidR="00827C9F" w:rsidRPr="00B306BA" w:rsidRDefault="00827C9F" w:rsidP="00B306BA">
      <w:pPr>
        <w:spacing w:line="360" w:lineRule="auto"/>
        <w:jc w:val="both"/>
        <w:rPr>
          <w:rFonts w:ascii="Arial" w:hAnsi="Arial" w:cs="Arial"/>
          <w:b/>
          <w:bCs/>
          <w:sz w:val="24"/>
          <w:szCs w:val="24"/>
        </w:rPr>
      </w:pPr>
    </w:p>
    <w:p w14:paraId="108DFA7C" w14:textId="5866EE7C" w:rsidR="00997290" w:rsidRPr="00B306BA" w:rsidRDefault="00997290" w:rsidP="00B306BA">
      <w:pPr>
        <w:pStyle w:val="ListParagraph"/>
        <w:numPr>
          <w:ilvl w:val="0"/>
          <w:numId w:val="9"/>
        </w:numPr>
        <w:spacing w:line="360" w:lineRule="auto"/>
        <w:rPr>
          <w:rFonts w:ascii="Arial" w:hAnsi="Arial" w:cs="Arial"/>
          <w:b/>
          <w:bCs/>
          <w:sz w:val="24"/>
          <w:szCs w:val="24"/>
        </w:rPr>
      </w:pPr>
      <w:bookmarkStart w:id="0" w:name="_Hlk133154317"/>
      <w:bookmarkStart w:id="1" w:name="_Hlk133130916"/>
      <w:r w:rsidRPr="00B306BA">
        <w:rPr>
          <w:rFonts w:ascii="Arial" w:hAnsi="Arial" w:cs="Arial"/>
          <w:b/>
          <w:bCs/>
          <w:sz w:val="24"/>
          <w:szCs w:val="24"/>
        </w:rPr>
        <w:lastRenderedPageBreak/>
        <w:t xml:space="preserve">Introduction </w:t>
      </w:r>
      <w:r w:rsidRPr="00B306BA">
        <w:rPr>
          <w:rFonts w:ascii="Arial" w:hAnsi="Arial" w:cs="Arial"/>
          <w:b/>
          <w:bCs/>
          <w:sz w:val="24"/>
          <w:szCs w:val="24"/>
        </w:rPr>
        <w:br/>
      </w:r>
      <w:r w:rsidRPr="00B306BA">
        <w:rPr>
          <w:rFonts w:ascii="Arial" w:hAnsi="Arial" w:cs="Arial"/>
          <w:sz w:val="24"/>
          <w:szCs w:val="24"/>
        </w:rPr>
        <w:t xml:space="preserve">The UK labour market in the UK has experienced a mix of positive and negative trends over the past few months. Although employment rates in the nation have increased, there are still worries regarding the standard of the jobs that are available and the skills gap in the labour force. The impact of Brexit and the ongoing COVID-19 epidemic have created a continually changing external environment, which has resulted in considerable changes and problems for the UK employment market. Businesses and policymakers are still navigating these difficulties as of 2023 and adjusting their plans to the brand-new realities of the labour market. </w:t>
      </w:r>
      <w:r w:rsidR="00EC423F" w:rsidRPr="00B306BA">
        <w:rPr>
          <w:rFonts w:ascii="Arial" w:hAnsi="Arial" w:cs="Arial"/>
          <w:sz w:val="24"/>
          <w:szCs w:val="24"/>
        </w:rPr>
        <w:br/>
      </w:r>
      <w:r w:rsidR="00EC423F" w:rsidRPr="00B306BA">
        <w:rPr>
          <w:rFonts w:ascii="Arial" w:hAnsi="Arial" w:cs="Arial"/>
          <w:sz w:val="24"/>
          <w:szCs w:val="24"/>
        </w:rPr>
        <w:br/>
      </w:r>
      <w:r w:rsidRPr="00B306BA">
        <w:rPr>
          <w:rFonts w:ascii="Arial" w:hAnsi="Arial" w:cs="Arial"/>
          <w:sz w:val="24"/>
          <w:szCs w:val="24"/>
        </w:rPr>
        <w:t>The following report seeks to provide an overview of the present UK labour market, including the most recent employment and unemployment figures as well as an analysis of new trends and issues that companies must deal with. Given the ongoing ambiguity and volatility of the external environment, it is essential for businesses to be aware of the state of the labour market in order to make well-informed decisions and prepare for the future.</w:t>
      </w:r>
      <w:r w:rsidRPr="00B306BA">
        <w:rPr>
          <w:rFonts w:ascii="Arial" w:hAnsi="Arial" w:cs="Arial"/>
          <w:b/>
          <w:bCs/>
          <w:sz w:val="24"/>
          <w:szCs w:val="24"/>
        </w:rPr>
        <w:br/>
      </w:r>
    </w:p>
    <w:p w14:paraId="3208A1A6" w14:textId="331217A5" w:rsidR="0078407D" w:rsidRPr="00B306BA" w:rsidRDefault="00997290" w:rsidP="00B306BA">
      <w:pPr>
        <w:pStyle w:val="ListParagraph"/>
        <w:numPr>
          <w:ilvl w:val="0"/>
          <w:numId w:val="9"/>
        </w:numPr>
        <w:spacing w:line="360" w:lineRule="auto"/>
        <w:rPr>
          <w:rFonts w:ascii="Arial" w:hAnsi="Arial" w:cs="Arial"/>
          <w:sz w:val="24"/>
          <w:szCs w:val="24"/>
        </w:rPr>
      </w:pPr>
      <w:r w:rsidRPr="00B306BA">
        <w:rPr>
          <w:rFonts w:ascii="Arial" w:hAnsi="Arial" w:cs="Arial"/>
          <w:b/>
          <w:bCs/>
          <w:sz w:val="24"/>
          <w:szCs w:val="24"/>
        </w:rPr>
        <w:t>Current state of labour market in the UK</w:t>
      </w:r>
      <w:r w:rsidR="0078407D" w:rsidRPr="00B306BA">
        <w:rPr>
          <w:rFonts w:ascii="Arial" w:hAnsi="Arial" w:cs="Arial"/>
          <w:b/>
          <w:bCs/>
          <w:sz w:val="24"/>
          <w:szCs w:val="24"/>
        </w:rPr>
        <w:br/>
      </w:r>
      <w:r w:rsidR="0078407D" w:rsidRPr="00B306BA">
        <w:rPr>
          <w:rFonts w:ascii="Arial" w:hAnsi="Arial" w:cs="Arial"/>
          <w:sz w:val="24"/>
          <w:szCs w:val="24"/>
        </w:rPr>
        <w:t>The current state of the British labour market in 2023 reveals a rise in employment rates (Leaker, 2023), but a decline in pay rates (Powell and Francis-Devine, 2023) and vacancies (Brisinger). The consequences of inflation must be balanced while still guaranteeing that workers receive fair salaries, and both the private and public sectors continue to encounter challenges. The Office for National Statistics (ONS) notes that although there are more job options and the unemployment rate is still low, real average incomes have decreased. Priorities for the UK government include lowering long-term sickness rates and promoting the return to work of older workers.</w:t>
      </w:r>
      <w:r w:rsidR="0078407D" w:rsidRPr="00B306BA">
        <w:rPr>
          <w:rFonts w:ascii="Arial" w:hAnsi="Arial" w:cs="Arial"/>
          <w:sz w:val="24"/>
          <w:szCs w:val="24"/>
        </w:rPr>
        <w:br/>
      </w:r>
      <w:r w:rsidR="0078407D" w:rsidRPr="00B306BA">
        <w:rPr>
          <w:rFonts w:ascii="Arial" w:hAnsi="Arial" w:cs="Arial"/>
          <w:sz w:val="24"/>
          <w:szCs w:val="24"/>
        </w:rPr>
        <w:br/>
      </w:r>
      <w:r w:rsidR="0078407D" w:rsidRPr="00B306BA">
        <w:rPr>
          <w:rFonts w:ascii="Arial" w:hAnsi="Arial" w:cs="Arial"/>
          <w:sz w:val="24"/>
          <w:szCs w:val="24"/>
        </w:rPr>
        <w:t>In the UK labour market today, there are still challenges in the including a skills gap that continues to hinder the ability of employers to find suitable candidates for available roles.</w:t>
      </w:r>
      <w:r w:rsidR="0078407D" w:rsidRPr="00B306BA">
        <w:rPr>
          <w:rFonts w:ascii="Arial" w:hAnsi="Arial" w:cs="Arial"/>
          <w:sz w:val="24"/>
          <w:szCs w:val="24"/>
        </w:rPr>
        <w:br/>
      </w:r>
      <w:r w:rsidR="0078407D" w:rsidRPr="00B306BA">
        <w:rPr>
          <w:rFonts w:ascii="Arial" w:hAnsi="Arial" w:cs="Arial"/>
          <w:sz w:val="24"/>
          <w:szCs w:val="24"/>
        </w:rPr>
        <w:br/>
      </w:r>
      <w:r w:rsidR="0078407D" w:rsidRPr="00B306BA">
        <w:rPr>
          <w:rFonts w:ascii="Arial" w:hAnsi="Arial" w:cs="Arial"/>
          <w:sz w:val="24"/>
          <w:szCs w:val="24"/>
        </w:rPr>
        <w:t xml:space="preserve">One of the key factors influencing the current state of the labour market is the </w:t>
      </w:r>
      <w:r w:rsidR="0078407D" w:rsidRPr="00B306BA">
        <w:rPr>
          <w:rFonts w:ascii="Arial" w:hAnsi="Arial" w:cs="Arial"/>
          <w:sz w:val="24"/>
          <w:szCs w:val="24"/>
        </w:rPr>
        <w:lastRenderedPageBreak/>
        <w:t>recent pandemic, which has resulted in changes to the way that people work and the industries that are most in demand. Remote and flexible working arrangements have become more prevalent, and some industries, such as healthcare and logistics, have seen an increase in demand for workers.</w:t>
      </w:r>
      <w:r w:rsidR="0078407D" w:rsidRPr="00B306BA">
        <w:rPr>
          <w:rFonts w:ascii="Arial" w:hAnsi="Arial" w:cs="Arial"/>
          <w:sz w:val="24"/>
          <w:szCs w:val="24"/>
        </w:rPr>
        <w:br/>
      </w:r>
    </w:p>
    <w:p w14:paraId="237B35A0" w14:textId="77777777" w:rsidR="0078407D" w:rsidRPr="00B306BA" w:rsidRDefault="0078407D" w:rsidP="00B306BA">
      <w:pPr>
        <w:pStyle w:val="ListParagraph"/>
        <w:numPr>
          <w:ilvl w:val="1"/>
          <w:numId w:val="9"/>
        </w:numPr>
        <w:spacing w:line="360" w:lineRule="auto"/>
        <w:rPr>
          <w:rFonts w:ascii="Arial" w:hAnsi="Arial" w:cs="Arial"/>
          <w:sz w:val="24"/>
          <w:szCs w:val="24"/>
        </w:rPr>
      </w:pPr>
      <w:r w:rsidRPr="00B306BA">
        <w:rPr>
          <w:rFonts w:ascii="Arial" w:hAnsi="Arial" w:cs="Arial"/>
          <w:sz w:val="24"/>
          <w:szCs w:val="24"/>
        </w:rPr>
        <w:t>Employment Rates/Unemployment/inactivity</w:t>
      </w:r>
      <w:r w:rsidRPr="00B306BA">
        <w:rPr>
          <w:rFonts w:ascii="Arial" w:hAnsi="Arial" w:cs="Arial"/>
          <w:sz w:val="24"/>
          <w:szCs w:val="24"/>
        </w:rPr>
        <w:br/>
        <w:t>Employment, unemployment, and inactivity rates are significant indicators of labour market activity that can inform policy decisions aimed at promoting more robust and inclusive economies and can provide insight into an economy's overall health and performance.</w:t>
      </w:r>
    </w:p>
    <w:p w14:paraId="2882C8EE" w14:textId="0B57C7E8" w:rsidR="0078407D" w:rsidRPr="00B306BA" w:rsidRDefault="0078407D" w:rsidP="00B306BA">
      <w:pPr>
        <w:pStyle w:val="ListParagraph"/>
        <w:numPr>
          <w:ilvl w:val="1"/>
          <w:numId w:val="9"/>
        </w:numPr>
        <w:spacing w:line="360" w:lineRule="auto"/>
        <w:rPr>
          <w:rFonts w:ascii="Arial" w:hAnsi="Arial" w:cs="Arial"/>
          <w:sz w:val="24"/>
          <w:szCs w:val="24"/>
        </w:rPr>
      </w:pPr>
      <w:r w:rsidRPr="00B306BA">
        <w:rPr>
          <w:rFonts w:ascii="Arial" w:hAnsi="Arial" w:cs="Arial"/>
          <w:sz w:val="24"/>
          <w:szCs w:val="24"/>
        </w:rPr>
        <w:t>Employment Rates/Unemployment/inactivity</w:t>
      </w:r>
      <w:r w:rsidRPr="00B306BA">
        <w:rPr>
          <w:rFonts w:ascii="Arial" w:hAnsi="Arial" w:cs="Arial"/>
          <w:sz w:val="24"/>
          <w:szCs w:val="24"/>
        </w:rPr>
        <w:br/>
        <w:t>Employment, unemployment, and inactivity rates are significant indicators of labour market activity that can inform policy decisions aimed at promoting more robust and inclusive economies and can provide insight into an economy's overall health and performance.</w:t>
      </w:r>
      <w:r w:rsidRPr="00B306BA">
        <w:rPr>
          <w:rFonts w:ascii="Arial" w:hAnsi="Arial" w:cs="Arial"/>
          <w:sz w:val="24"/>
          <w:szCs w:val="24"/>
        </w:rPr>
        <w:br/>
      </w:r>
      <w:r w:rsidRPr="00B306BA">
        <w:rPr>
          <w:rFonts w:ascii="Arial" w:hAnsi="Arial" w:cs="Arial"/>
          <w:sz w:val="24"/>
          <w:szCs w:val="24"/>
        </w:rPr>
        <w:br/>
      </w:r>
      <w:r w:rsidRPr="00B306BA">
        <w:rPr>
          <w:rFonts w:ascii="Arial" w:hAnsi="Arial" w:cs="Arial"/>
          <w:sz w:val="24"/>
          <w:szCs w:val="24"/>
        </w:rPr>
        <w:t>These are important indicators of labour market activity that can provide valuable information about the health and performance of an economy. The employment rate measures the percentage of the population of working age that is employed, whereas the unemployment rate measures the percentage of the labour force that is unemployed. The inactivity rate measures the proportion of the population of working age that is neither employed nor actively seeking work. Understanding these rates is necessary for policymakers and businesses to develop strategies that promote economic growth and improve social outcomes.</w:t>
      </w:r>
      <w:r w:rsidRPr="00B306BA">
        <w:rPr>
          <w:rFonts w:ascii="Arial" w:hAnsi="Arial" w:cs="Arial"/>
          <w:sz w:val="24"/>
          <w:szCs w:val="24"/>
        </w:rPr>
        <w:br/>
      </w:r>
      <w:r w:rsidRPr="00B306BA">
        <w:rPr>
          <w:rFonts w:ascii="Arial" w:hAnsi="Arial" w:cs="Arial"/>
          <w:sz w:val="24"/>
          <w:szCs w:val="24"/>
        </w:rPr>
        <w:br/>
      </w:r>
      <w:r w:rsidRPr="00B306BA">
        <w:rPr>
          <w:rFonts w:ascii="Arial" w:hAnsi="Arial" w:cs="Arial"/>
          <w:sz w:val="24"/>
          <w:szCs w:val="24"/>
        </w:rPr>
        <w:t xml:space="preserve">Recent data indicates that 49,000 additional people in the UK were unemployed for up to six months between December 2022 and February 2023, causing the unemployment rate to slightly rise to 3.8% (TRADING ECONOMICS, no date). Despite this, employment levels increased by 169,000, with a rise in the proportion of part-time employees and independent contractors.  The growth in the proportion of this workforce has contributed to an increase in the contemporary labour force. Various factors, such as the expansion of the freelance economy, changes in the character of </w:t>
      </w:r>
      <w:r w:rsidRPr="00B306BA">
        <w:rPr>
          <w:rFonts w:ascii="Arial" w:hAnsi="Arial" w:cs="Arial"/>
          <w:sz w:val="24"/>
          <w:szCs w:val="24"/>
        </w:rPr>
        <w:lastRenderedPageBreak/>
        <w:t>work, and employer preferences for flexible labour arrangements, have contributed to this trend. This increase in employment opportunities may provide workers with greater flexibility, but it also raises concerns regarding job security, income stability, and benefits. Policymakers and businesses must consider the implications of these trends and work to create employment opportunities that are more sustainable and inclusive for all employees.Total pay increase continued at 5.9% year on year, although earnings fell 3.0% in real terms, the greatest dip from February to April 2009 (TRADING ECONOMICS, no date).</w:t>
      </w:r>
      <w:r w:rsidRPr="00B306BA">
        <w:rPr>
          <w:rFonts w:ascii="Arial" w:hAnsi="Arial" w:cs="Arial"/>
          <w:sz w:val="24"/>
          <w:szCs w:val="24"/>
        </w:rPr>
        <w:br/>
      </w:r>
    </w:p>
    <w:p w14:paraId="79634A4D" w14:textId="0A9B855C" w:rsidR="0078407D" w:rsidRPr="00B306BA" w:rsidRDefault="0078407D" w:rsidP="00B306BA">
      <w:pPr>
        <w:pStyle w:val="ListParagraph"/>
        <w:numPr>
          <w:ilvl w:val="1"/>
          <w:numId w:val="9"/>
        </w:numPr>
        <w:spacing w:line="360" w:lineRule="auto"/>
        <w:rPr>
          <w:rFonts w:ascii="Arial" w:hAnsi="Arial" w:cs="Arial"/>
          <w:sz w:val="24"/>
          <w:szCs w:val="24"/>
        </w:rPr>
      </w:pPr>
      <w:r w:rsidRPr="00B306BA">
        <w:rPr>
          <w:rFonts w:ascii="Arial" w:hAnsi="Arial" w:cs="Arial"/>
          <w:sz w:val="24"/>
          <w:szCs w:val="24"/>
        </w:rPr>
        <w:t>Inactivity</w:t>
      </w:r>
      <w:r w:rsidRPr="00B306BA">
        <w:rPr>
          <w:rFonts w:ascii="Arial" w:hAnsi="Arial" w:cs="Arial"/>
          <w:sz w:val="24"/>
          <w:szCs w:val="24"/>
        </w:rPr>
        <w:br/>
      </w:r>
      <w:r w:rsidRPr="00B306BA">
        <w:rPr>
          <w:rFonts w:ascii="Arial" w:hAnsi="Arial" w:cs="Arial"/>
          <w:sz w:val="24"/>
          <w:szCs w:val="24"/>
        </w:rPr>
        <w:t>In 2023, the labour market in the United Kingdom experienced a modest decline in economic inactivity, with the largest decline occurring among those aged 16 to 24 (Watson, 2023) However, the estimated rate of economic inactivity remained at 21.3%, which remains a significant problem (Watson, 2023) The number of economically inactive young persons aged 16 to 24 increased by 2.61 million between November 2022 and January 2023 (Buchanan, 2023). Despite this, the number of economically inactive individuals decreased by 77,000 from the previous quarter (Ali-Hassan, 2023) The balancing of inflation and maintaining a level of equitable compensation for employees is a top priority for both businesses and government officials. Encouraging elderly employees to return to the workforce can contribute to an increase in the labour supply and a reduction in wage pressure, while also promoting an increasingly varied and experienced workforce. This can help businesses maintain their competitiveness while also ensuring workers have access to equitable remuneration and employment opportunities, the UK government prioritises addressing long-term sickness rates (Watson, 2023).</w:t>
      </w:r>
      <w:r w:rsidRPr="00B306BA">
        <w:rPr>
          <w:rFonts w:ascii="Arial" w:hAnsi="Arial" w:cs="Arial"/>
          <w:sz w:val="24"/>
          <w:szCs w:val="24"/>
        </w:rPr>
        <w:br/>
      </w:r>
      <w:r w:rsidRPr="00B306BA">
        <w:rPr>
          <w:rFonts w:ascii="Arial" w:hAnsi="Arial" w:cs="Arial"/>
          <w:sz w:val="24"/>
          <w:szCs w:val="24"/>
        </w:rPr>
        <w:br/>
      </w:r>
    </w:p>
    <w:p w14:paraId="651097EC" w14:textId="21E49598" w:rsidR="0078407D" w:rsidRPr="00B306BA" w:rsidRDefault="0078407D" w:rsidP="00B306BA">
      <w:pPr>
        <w:pStyle w:val="ListParagraph"/>
        <w:numPr>
          <w:ilvl w:val="0"/>
          <w:numId w:val="9"/>
        </w:numPr>
        <w:spacing w:line="360" w:lineRule="auto"/>
        <w:rPr>
          <w:rFonts w:ascii="Arial" w:hAnsi="Arial" w:cs="Arial"/>
          <w:b/>
          <w:bCs/>
          <w:sz w:val="24"/>
          <w:szCs w:val="24"/>
        </w:rPr>
      </w:pPr>
      <w:r w:rsidRPr="00B306BA">
        <w:rPr>
          <w:rFonts w:ascii="Arial" w:hAnsi="Arial" w:cs="Arial"/>
          <w:b/>
          <w:bCs/>
          <w:sz w:val="24"/>
          <w:szCs w:val="24"/>
        </w:rPr>
        <w:t>Factors affecting the labour market in the UK</w:t>
      </w:r>
      <w:r w:rsidRPr="00B306BA">
        <w:rPr>
          <w:rFonts w:ascii="Arial" w:hAnsi="Arial" w:cs="Arial"/>
          <w:b/>
          <w:bCs/>
          <w:sz w:val="24"/>
          <w:szCs w:val="24"/>
        </w:rPr>
        <w:br/>
      </w:r>
      <w:r w:rsidRPr="00B306BA">
        <w:rPr>
          <w:rFonts w:ascii="Arial" w:hAnsi="Arial" w:cs="Arial"/>
          <w:sz w:val="24"/>
          <w:szCs w:val="24"/>
        </w:rPr>
        <w:t xml:space="preserve">The labour market in the United Kingdom is affected by a variety of factors, including macroeconomic conditions, demographic trends, government policies, and technological developments. These variables may have both positive and negative effects on the labour market, influencing employment opportunities, </w:t>
      </w:r>
      <w:r w:rsidRPr="00B306BA">
        <w:rPr>
          <w:rFonts w:ascii="Arial" w:hAnsi="Arial" w:cs="Arial"/>
          <w:sz w:val="24"/>
          <w:szCs w:val="24"/>
        </w:rPr>
        <w:lastRenderedPageBreak/>
        <w:t>wages, and working conditions. Changes in the economy, such as fluctuations in GDP growth, can impact labour demand and job availability, for instance. Demographic trends, such as the ageing of the population, can impact the size and composition of the labour force, while government policies, such as immigration and labour laws, can influence the regulatory environment in which businesses operate. Certain technological advancements, such as automation and artificial intelligence, can modify the nature of work and the necessary skills for success in certain industries. Understanding these factors and their prospective impact on the labour market is crucial for policymakers, businesses, and individuals attempting to navigate the market's constant evolution.</w:t>
      </w:r>
      <w:r w:rsidRPr="00B306BA">
        <w:rPr>
          <w:rFonts w:ascii="Arial" w:hAnsi="Arial" w:cs="Arial"/>
          <w:sz w:val="24"/>
          <w:szCs w:val="24"/>
        </w:rPr>
        <w:br/>
      </w:r>
      <w:r w:rsidRPr="00B306BA">
        <w:rPr>
          <w:rFonts w:ascii="Arial" w:hAnsi="Arial" w:cs="Arial"/>
          <w:sz w:val="24"/>
          <w:szCs w:val="24"/>
        </w:rPr>
        <w:br/>
        <w:t>In that market people in the UK labour force are either employed or seeking for employment. Workers must have a variety of skills that are in demand by employers to remain competitive in today's rapidly changing work economy. The UK economy is organised into various sectors, each with unique skill requirements. Individuals with strengths in fields such as technology, data analysis, healthcare, and renewable energy, as well as soft skills such as communication, problem-solving, and adaptability, have been in high demand in recent years. In addition to these core skills, workers may be expected to acquire specialty knowledge or experience in certain industries or areas. Policymakers and businesses alike acknowledge the need of developing and maintaining a skilled workforce to support economic growth and competitiveness, and efforts to promote education, training, and upskilling are ongoing.</w:t>
      </w:r>
    </w:p>
    <w:p w14:paraId="48A120F6" w14:textId="77777777" w:rsidR="0078407D" w:rsidRPr="00B306BA" w:rsidRDefault="0078407D" w:rsidP="00B306BA">
      <w:pPr>
        <w:pStyle w:val="ListParagraph"/>
        <w:spacing w:line="360" w:lineRule="auto"/>
        <w:ind w:left="360"/>
        <w:rPr>
          <w:rFonts w:ascii="Arial" w:hAnsi="Arial" w:cs="Arial"/>
          <w:sz w:val="24"/>
          <w:szCs w:val="24"/>
        </w:rPr>
      </w:pPr>
    </w:p>
    <w:p w14:paraId="687A4A3E" w14:textId="77777777" w:rsidR="0078407D" w:rsidRPr="00B306BA" w:rsidRDefault="0078407D" w:rsidP="00B306BA">
      <w:pPr>
        <w:pStyle w:val="ListParagraph"/>
        <w:numPr>
          <w:ilvl w:val="1"/>
          <w:numId w:val="9"/>
        </w:numPr>
        <w:spacing w:line="360" w:lineRule="auto"/>
        <w:rPr>
          <w:rFonts w:ascii="Arial" w:hAnsi="Arial" w:cs="Arial"/>
          <w:color w:val="BF8F00" w:themeColor="accent4" w:themeShade="BF"/>
          <w:sz w:val="24"/>
          <w:szCs w:val="24"/>
        </w:rPr>
      </w:pPr>
      <w:r w:rsidRPr="00B306BA">
        <w:rPr>
          <w:rFonts w:ascii="Arial" w:hAnsi="Arial" w:cs="Arial"/>
          <w:sz w:val="24"/>
          <w:szCs w:val="24"/>
        </w:rPr>
        <w:t>Skill gap</w:t>
      </w:r>
      <w:r w:rsidRPr="00B306BA">
        <w:rPr>
          <w:rFonts w:ascii="Arial" w:hAnsi="Arial" w:cs="Arial"/>
          <w:sz w:val="24"/>
          <w:szCs w:val="24"/>
        </w:rPr>
        <w:br/>
        <w:t xml:space="preserve">As of 2023, the UK labour market is facing a significant skills gap, with certain industries experiencing a decline in job postings. According to (COVID-19 in the United Kingdom: Assessing jobs at risk and the impact on people and places, 2020), the COVID-19 pandemic has had a significant impact on the British economy, with approximately 7.6 million jobs at risk due to permanent unemployment, temporary furloughs, reduced hours, and pay. The retail and wholesale industry has the greatest number of at-risk employment. Additionally, (2023 Travel industry outlook, no date) indicates that in the final months of 2022, declining financial confidence limited the growth of the travel </w:t>
      </w:r>
      <w:r w:rsidRPr="00B306BA">
        <w:rPr>
          <w:rFonts w:ascii="Arial" w:hAnsi="Arial" w:cs="Arial"/>
          <w:sz w:val="24"/>
          <w:szCs w:val="24"/>
        </w:rPr>
        <w:lastRenderedPageBreak/>
        <w:t xml:space="preserve">and hospitality industries. </w:t>
      </w:r>
      <w:r w:rsidRPr="00B306BA">
        <w:rPr>
          <w:rFonts w:ascii="Arial" w:hAnsi="Arial" w:cs="Arial"/>
          <w:color w:val="BF8F00" w:themeColor="accent4" w:themeShade="BF"/>
          <w:sz w:val="24"/>
          <w:szCs w:val="24"/>
        </w:rPr>
        <w:br/>
      </w:r>
      <w:r w:rsidRPr="00B306BA">
        <w:rPr>
          <w:rFonts w:ascii="Arial" w:hAnsi="Arial" w:cs="Arial"/>
          <w:color w:val="BF8F00" w:themeColor="accent4" w:themeShade="BF"/>
          <w:sz w:val="24"/>
          <w:szCs w:val="24"/>
        </w:rPr>
        <w:br/>
      </w:r>
      <w:r w:rsidRPr="00B306BA">
        <w:rPr>
          <w:rFonts w:ascii="Arial" w:hAnsi="Arial" w:cs="Arial"/>
          <w:sz w:val="24"/>
          <w:szCs w:val="24"/>
        </w:rPr>
        <w:t>Therefore, it is not surprising that the travel and tourism, hospitality, and retail industries have the highest percentage decline in job postings. According to (Riaz, 2023), despite these challenges, the hospitality sector has continued to experience robust growth. This can be attributed to a decline in consumer purchasing caused by high inflation rates and the post-Brexit economic recession. With the implementation of the new points-based immigration system, however, businesses may have access to a larger population of skilled employees, which could potentially alleviate the present skills imbalance.</w:t>
      </w:r>
      <w:r w:rsidRPr="00B306BA">
        <w:rPr>
          <w:rFonts w:ascii="Arial" w:hAnsi="Arial" w:cs="Arial"/>
          <w:color w:val="BF8F00" w:themeColor="accent4" w:themeShade="BF"/>
          <w:sz w:val="24"/>
          <w:szCs w:val="24"/>
        </w:rPr>
        <w:br/>
      </w:r>
    </w:p>
    <w:p w14:paraId="367F144D" w14:textId="77777777" w:rsidR="0078407D" w:rsidRPr="00B306BA" w:rsidRDefault="0078407D" w:rsidP="00B306BA">
      <w:pPr>
        <w:pStyle w:val="ListParagraph"/>
        <w:numPr>
          <w:ilvl w:val="1"/>
          <w:numId w:val="9"/>
        </w:numPr>
        <w:spacing w:line="360" w:lineRule="auto"/>
        <w:rPr>
          <w:rFonts w:ascii="Arial" w:hAnsi="Arial" w:cs="Arial"/>
          <w:sz w:val="24"/>
          <w:szCs w:val="24"/>
        </w:rPr>
      </w:pPr>
      <w:r w:rsidRPr="00B306BA">
        <w:rPr>
          <w:rFonts w:ascii="Arial" w:hAnsi="Arial" w:cs="Arial"/>
          <w:sz w:val="24"/>
          <w:szCs w:val="24"/>
        </w:rPr>
        <w:t xml:space="preserve">High inflation </w:t>
      </w:r>
      <w:r w:rsidRPr="00B306BA">
        <w:rPr>
          <w:rFonts w:ascii="Arial" w:hAnsi="Arial" w:cs="Arial"/>
          <w:sz w:val="24"/>
          <w:szCs w:val="24"/>
        </w:rPr>
        <w:br/>
        <w:t>High inflation can have a significant impact on the labour market in the UK. In 2023, as inflation rates rise, the cost of living increases, making it difficult for employees to maintain their standard of living. This can lead to demands for higher wages, which can increase labor costs for employers. As a result, employers may become more selective in their hiring process, leading to a decline in job vacancies.</w:t>
      </w:r>
    </w:p>
    <w:p w14:paraId="443A9767" w14:textId="77777777" w:rsidR="0078407D" w:rsidRPr="00B306BA" w:rsidRDefault="0078407D" w:rsidP="00B306BA">
      <w:pPr>
        <w:pStyle w:val="ListParagraph"/>
        <w:spacing w:line="360" w:lineRule="auto"/>
        <w:ind w:left="792"/>
        <w:rPr>
          <w:rFonts w:ascii="Arial" w:hAnsi="Arial" w:cs="Arial"/>
          <w:sz w:val="24"/>
          <w:szCs w:val="24"/>
        </w:rPr>
      </w:pPr>
    </w:p>
    <w:p w14:paraId="258232E8" w14:textId="77777777" w:rsidR="00B306BA" w:rsidRPr="00B306BA" w:rsidRDefault="0072184D" w:rsidP="00B306BA">
      <w:pPr>
        <w:pStyle w:val="ListParagraph"/>
        <w:numPr>
          <w:ilvl w:val="0"/>
          <w:numId w:val="9"/>
        </w:numPr>
        <w:spacing w:line="360" w:lineRule="auto"/>
        <w:rPr>
          <w:rFonts w:ascii="Arial" w:hAnsi="Arial" w:cs="Arial"/>
          <w:sz w:val="24"/>
          <w:szCs w:val="24"/>
        </w:rPr>
      </w:pPr>
      <w:r w:rsidRPr="00B306BA">
        <w:rPr>
          <w:rFonts w:ascii="Arial" w:hAnsi="Arial" w:cs="Arial"/>
          <w:b/>
          <w:bCs/>
          <w:sz w:val="24"/>
          <w:szCs w:val="24"/>
        </w:rPr>
        <w:t xml:space="preserve">Emerging changes in Human resources post covid </w:t>
      </w:r>
      <w:bookmarkEnd w:id="1"/>
      <w:r w:rsidR="00B306BA">
        <w:rPr>
          <w:rFonts w:ascii="Arial" w:hAnsi="Arial" w:cs="Arial"/>
          <w:b/>
          <w:bCs/>
          <w:sz w:val="24"/>
          <w:szCs w:val="24"/>
        </w:rPr>
        <w:br/>
      </w:r>
      <w:r w:rsidR="00B306BA" w:rsidRPr="00B306BA">
        <w:rPr>
          <w:rFonts w:ascii="Arial" w:hAnsi="Arial" w:cs="Arial"/>
          <w:sz w:val="24"/>
          <w:szCs w:val="24"/>
        </w:rPr>
        <w:t xml:space="preserve">Significant changes have occurred in the field of human resource management due to the Covid-19 pandemic. HR professionals have had to adjust their strategies and invest in education and training programmes in order to remain ahead of the curve in light of the transition to remote work and the difficulty in filling vacancies. </w:t>
      </w:r>
    </w:p>
    <w:p w14:paraId="0EE7B2EB" w14:textId="77777777" w:rsidR="00B306BA" w:rsidRPr="00B306BA" w:rsidRDefault="00B306BA" w:rsidP="00B306BA">
      <w:pPr>
        <w:pStyle w:val="ListParagraph"/>
        <w:spacing w:line="360" w:lineRule="auto"/>
        <w:ind w:left="360"/>
        <w:rPr>
          <w:rFonts w:ascii="Arial" w:hAnsi="Arial" w:cs="Arial"/>
          <w:sz w:val="24"/>
          <w:szCs w:val="24"/>
        </w:rPr>
      </w:pPr>
    </w:p>
    <w:p w14:paraId="69C7A388" w14:textId="77777777" w:rsidR="00B306BA" w:rsidRPr="00B306BA" w:rsidRDefault="00B306BA" w:rsidP="00B306BA">
      <w:pPr>
        <w:pStyle w:val="ListParagraph"/>
        <w:spacing w:line="360" w:lineRule="auto"/>
        <w:ind w:left="360"/>
        <w:rPr>
          <w:rFonts w:ascii="Arial" w:hAnsi="Arial" w:cs="Arial"/>
          <w:sz w:val="24"/>
          <w:szCs w:val="24"/>
        </w:rPr>
      </w:pPr>
      <w:r w:rsidRPr="00B306BA">
        <w:rPr>
          <w:rFonts w:ascii="Arial" w:hAnsi="Arial" w:cs="Arial"/>
          <w:sz w:val="24"/>
          <w:szCs w:val="24"/>
        </w:rPr>
        <w:t>The pandemic has also illuminated the need for employers to prioritise the well-being of their employees and foster an inclusive workplace culture in order to increase employee retention. Additionally, the ageing workforce and difficult-to-fill vacancies have presented unique challenges requiring creative solutions.</w:t>
      </w:r>
    </w:p>
    <w:p w14:paraId="2AD98128" w14:textId="77777777" w:rsidR="00B306BA" w:rsidRPr="00B306BA" w:rsidRDefault="00B306BA" w:rsidP="00B306BA">
      <w:pPr>
        <w:pStyle w:val="ListParagraph"/>
        <w:spacing w:line="360" w:lineRule="auto"/>
        <w:ind w:left="360"/>
        <w:rPr>
          <w:rFonts w:ascii="Arial" w:hAnsi="Arial" w:cs="Arial"/>
          <w:sz w:val="24"/>
          <w:szCs w:val="24"/>
        </w:rPr>
      </w:pPr>
      <w:r w:rsidRPr="00B306BA">
        <w:rPr>
          <w:rFonts w:ascii="Arial" w:hAnsi="Arial" w:cs="Arial"/>
          <w:sz w:val="24"/>
          <w:szCs w:val="24"/>
        </w:rPr>
        <w:br/>
        <w:t xml:space="preserve">As the world transitions to a post-COVID environment, HR executives must continue to be innovative and develop a resilient and adaptable workforce. The </w:t>
      </w:r>
      <w:r w:rsidRPr="00B306BA">
        <w:rPr>
          <w:rFonts w:ascii="Arial" w:hAnsi="Arial" w:cs="Arial"/>
          <w:sz w:val="24"/>
          <w:szCs w:val="24"/>
        </w:rPr>
        <w:lastRenderedPageBreak/>
        <w:t>pandemic has elevated the function of human resources in organisations, with a greater emphasis on employees as complex individuals. This transformation will persist, and HR professionals must continue to prioritise the well-being of their employees while meeting the organization's changing requirements. The external environment post-COVID provides a unique opportunity for HR executives to establish strategic workforce and personnel objectives that support employee well-being while promoting productivity and efficiency.</w:t>
      </w:r>
    </w:p>
    <w:p w14:paraId="463EBAB7" w14:textId="25E0FFB6" w:rsidR="00B306BA" w:rsidRPr="00B306BA" w:rsidRDefault="00B306BA" w:rsidP="00B306BA">
      <w:pPr>
        <w:pStyle w:val="ListParagraph"/>
        <w:spacing w:line="360" w:lineRule="auto"/>
        <w:ind w:left="360"/>
        <w:rPr>
          <w:rFonts w:ascii="Arial" w:hAnsi="Arial" w:cs="Arial"/>
          <w:sz w:val="24"/>
          <w:szCs w:val="24"/>
        </w:rPr>
      </w:pPr>
    </w:p>
    <w:p w14:paraId="639F333D" w14:textId="34232105" w:rsidR="0072184D" w:rsidRPr="00B306BA" w:rsidRDefault="00B306BA" w:rsidP="00201532">
      <w:pPr>
        <w:pStyle w:val="ListParagraph"/>
        <w:numPr>
          <w:ilvl w:val="0"/>
          <w:numId w:val="9"/>
        </w:numPr>
        <w:spacing w:line="360" w:lineRule="auto"/>
        <w:rPr>
          <w:rFonts w:ascii="Arial" w:hAnsi="Arial" w:cs="Arial"/>
          <w:sz w:val="24"/>
          <w:szCs w:val="24"/>
        </w:rPr>
      </w:pPr>
      <w:r w:rsidRPr="00B306BA">
        <w:rPr>
          <w:rFonts w:ascii="Arial" w:hAnsi="Arial" w:cs="Arial"/>
          <w:b/>
          <w:bCs/>
          <w:sz w:val="24"/>
          <w:szCs w:val="24"/>
        </w:rPr>
        <w:t>Emerging changes in Human resources post Brexit</w:t>
      </w:r>
      <w:r w:rsidR="0072184D" w:rsidRPr="00B306BA">
        <w:rPr>
          <w:rFonts w:ascii="Arial" w:hAnsi="Arial" w:cs="Arial"/>
          <w:b/>
          <w:bCs/>
          <w:sz w:val="24"/>
          <w:szCs w:val="24"/>
        </w:rPr>
        <w:br/>
      </w:r>
      <w:r w:rsidR="0072184D" w:rsidRPr="00B306BA">
        <w:rPr>
          <w:rFonts w:ascii="Arial" w:hAnsi="Arial" w:cs="Arial"/>
          <w:sz w:val="24"/>
          <w:szCs w:val="24"/>
        </w:rPr>
        <w:t>Brexit has added to the complexity of the situation by generating economic instability and altering how businesses operate and recruit talent. Leaders in human resources must navigate these changes while providing employees with support and planning for the future. To address these issues, the government can invest in education and training programmes that prepare employees for future employment. Employers can also improve employee retention by offering appealing benefits packages and by fostering an inclusive workplace culture that engages employees from the United Kingdom, the European Union, and other countries worldwide</w:t>
      </w:r>
      <w:r w:rsidR="0072184D" w:rsidRPr="00B306BA">
        <w:rPr>
          <w:rFonts w:ascii="Arial" w:hAnsi="Arial" w:cs="Arial"/>
          <w:sz w:val="24"/>
          <w:szCs w:val="24"/>
        </w:rPr>
        <w:br/>
      </w:r>
      <w:r w:rsidR="0072184D" w:rsidRPr="00B306BA">
        <w:rPr>
          <w:rFonts w:ascii="Arial" w:hAnsi="Arial" w:cs="Arial"/>
          <w:sz w:val="24"/>
          <w:szCs w:val="24"/>
        </w:rPr>
        <w:br/>
      </w:r>
      <w:r w:rsidR="0072184D" w:rsidRPr="00B306BA">
        <w:rPr>
          <w:rFonts w:ascii="Arial" w:hAnsi="Arial" w:cs="Arial"/>
          <w:sz w:val="24"/>
          <w:szCs w:val="24"/>
        </w:rPr>
        <w:t>Post-Brexit has also resulted in substantial changes to the UK's immigration policy, posing a number of difficulties for businesses and human resources managers. (</w:t>
      </w:r>
      <w:r w:rsidR="0072184D" w:rsidRPr="00B306BA">
        <w:rPr>
          <w:rFonts w:ascii="Arial" w:hAnsi="Arial" w:cs="Arial"/>
          <w:i/>
          <w:iCs/>
          <w:sz w:val="24"/>
          <w:szCs w:val="24"/>
        </w:rPr>
        <w:t>Brexit and HR implications | CIPD</w:t>
      </w:r>
      <w:r w:rsidR="0072184D" w:rsidRPr="00B306BA">
        <w:rPr>
          <w:rFonts w:ascii="Arial" w:hAnsi="Arial" w:cs="Arial"/>
          <w:sz w:val="24"/>
          <w:szCs w:val="24"/>
        </w:rPr>
        <w:t>, no date) The UK government has updated the eligibility requirements for the EU Settlement Scheme and introduced a new Graduate route, allowing international students to work in the UK for up to two years after graduating. Now that the United Kingdom is no longer a member of the European Union, HR practitioners need to be aware of the top ten HR issues that employers should be addressing. (Lattice, 2022) In addition, they must address practical issues such as compensation, pensions, and funding gaps, while simultaneously increasing administrative and business costs. In addition, they must consider the effects of Brexit on recruitment, such as the need for appropriate documentation, formal recognition of credentials, and differences in pay between countries. (</w:t>
      </w:r>
      <w:r w:rsidR="0072184D" w:rsidRPr="00B306BA">
        <w:rPr>
          <w:rFonts w:ascii="Arial" w:hAnsi="Arial" w:cs="Arial"/>
          <w:i/>
          <w:iCs/>
          <w:sz w:val="24"/>
          <w:szCs w:val="24"/>
        </w:rPr>
        <w:t>The impact of Brexit: top 10 HR issues</w:t>
      </w:r>
      <w:r w:rsidR="0072184D" w:rsidRPr="00B306BA">
        <w:rPr>
          <w:rFonts w:ascii="Arial" w:hAnsi="Arial" w:cs="Arial"/>
          <w:sz w:val="24"/>
          <w:szCs w:val="24"/>
        </w:rPr>
        <w:t xml:space="preserve">, no date) HR professionals must concentrate on upskilling and reskilling their current employees, creating a supportive workplace culture, and investing in education </w:t>
      </w:r>
      <w:r w:rsidR="0072184D" w:rsidRPr="00B306BA">
        <w:rPr>
          <w:rFonts w:ascii="Arial" w:hAnsi="Arial" w:cs="Arial"/>
          <w:sz w:val="24"/>
          <w:szCs w:val="24"/>
        </w:rPr>
        <w:lastRenderedPageBreak/>
        <w:t>and training programmes to resolve these challenges. Government can also play a vital role in addressing these issues by investing in education and training programmes that prepare workers for future employment.</w:t>
      </w:r>
    </w:p>
    <w:p w14:paraId="6D7DA272" w14:textId="77777777" w:rsidR="0072184D" w:rsidRPr="00B306BA" w:rsidRDefault="0072184D" w:rsidP="00B306BA">
      <w:pPr>
        <w:pStyle w:val="ListParagraph"/>
        <w:spacing w:line="360" w:lineRule="auto"/>
        <w:ind w:left="360"/>
        <w:rPr>
          <w:rFonts w:ascii="Arial" w:hAnsi="Arial" w:cs="Arial"/>
          <w:sz w:val="24"/>
          <w:szCs w:val="24"/>
        </w:rPr>
      </w:pPr>
    </w:p>
    <w:p w14:paraId="482DAD19" w14:textId="77777777" w:rsidR="0072184D" w:rsidRPr="00B306BA" w:rsidRDefault="0072184D" w:rsidP="00B306BA">
      <w:pPr>
        <w:pStyle w:val="ListParagraph"/>
        <w:spacing w:line="360" w:lineRule="auto"/>
        <w:ind w:left="360"/>
        <w:rPr>
          <w:rFonts w:ascii="Arial" w:hAnsi="Arial" w:cs="Arial"/>
          <w:sz w:val="24"/>
          <w:szCs w:val="24"/>
        </w:rPr>
      </w:pPr>
      <w:r w:rsidRPr="00B306BA">
        <w:rPr>
          <w:rFonts w:ascii="Arial" w:hAnsi="Arial" w:cs="Arial"/>
          <w:sz w:val="24"/>
          <w:szCs w:val="24"/>
        </w:rPr>
        <w:t>Despite these obstacles, the UK labour market is exhibiting signs of recovery, and businesses are adapting their human resource strategies to meet the shifting external environment's demands. The rise of remote and flexible work arrangements has provided businesses with new opportunities, and the government is investing in training and apprenticeship programmes to help close the skills divide.</w:t>
      </w:r>
      <w:r w:rsidRPr="00B306BA">
        <w:rPr>
          <w:rFonts w:ascii="Arial" w:hAnsi="Arial" w:cs="Arial"/>
          <w:sz w:val="24"/>
          <w:szCs w:val="24"/>
        </w:rPr>
        <w:br/>
      </w:r>
      <w:r w:rsidRPr="00B306BA">
        <w:rPr>
          <w:rFonts w:ascii="Arial" w:hAnsi="Arial" w:cs="Arial"/>
          <w:sz w:val="24"/>
          <w:szCs w:val="24"/>
        </w:rPr>
        <w:br/>
      </w:r>
      <w:r w:rsidRPr="00B306BA">
        <w:rPr>
          <w:rFonts w:ascii="Arial" w:hAnsi="Arial" w:cs="Arial"/>
          <w:sz w:val="24"/>
          <w:szCs w:val="24"/>
        </w:rPr>
        <w:t>Overall, the current condition of the British labour market is complex and ever-changing. Businesses and policymakers must remain vigilant and adapt their strategies to an ever-changing external environment in order to be successful in the coming years.</w:t>
      </w:r>
    </w:p>
    <w:p w14:paraId="17B69242" w14:textId="78EFC923" w:rsidR="0072184D" w:rsidRPr="00B306BA" w:rsidRDefault="0072184D" w:rsidP="00B306BA">
      <w:pPr>
        <w:pStyle w:val="ListParagraph"/>
        <w:spacing w:line="360" w:lineRule="auto"/>
        <w:ind w:left="360"/>
        <w:rPr>
          <w:rFonts w:ascii="Arial" w:hAnsi="Arial" w:cs="Arial"/>
          <w:color w:val="BF8F00" w:themeColor="accent4" w:themeShade="BF"/>
          <w:sz w:val="24"/>
          <w:szCs w:val="24"/>
        </w:rPr>
      </w:pPr>
    </w:p>
    <w:p w14:paraId="5E0B5C05" w14:textId="4435F7A2" w:rsidR="0044780E" w:rsidRPr="00B306BA" w:rsidRDefault="0044780E" w:rsidP="00B306BA">
      <w:pPr>
        <w:pStyle w:val="ListParagraph"/>
        <w:numPr>
          <w:ilvl w:val="0"/>
          <w:numId w:val="9"/>
        </w:numPr>
        <w:spacing w:line="360" w:lineRule="auto"/>
        <w:rPr>
          <w:rFonts w:ascii="Arial" w:hAnsi="Arial" w:cs="Arial"/>
          <w:color w:val="BF8F00" w:themeColor="accent4" w:themeShade="BF"/>
          <w:sz w:val="24"/>
          <w:szCs w:val="24"/>
        </w:rPr>
      </w:pPr>
      <w:bookmarkStart w:id="2" w:name="_Hlk133154348"/>
      <w:bookmarkEnd w:id="0"/>
      <w:r w:rsidRPr="00B306BA">
        <w:rPr>
          <w:rFonts w:ascii="Arial" w:hAnsi="Arial" w:cs="Arial"/>
          <w:b/>
          <w:bCs/>
          <w:sz w:val="24"/>
          <w:szCs w:val="24"/>
        </w:rPr>
        <w:t>Conclusion</w:t>
      </w:r>
      <w:r w:rsidR="002E0876" w:rsidRPr="00B306BA">
        <w:rPr>
          <w:rFonts w:ascii="Arial" w:hAnsi="Arial" w:cs="Arial"/>
          <w:b/>
          <w:bCs/>
          <w:sz w:val="24"/>
          <w:szCs w:val="24"/>
        </w:rPr>
        <w:br/>
      </w:r>
      <w:r w:rsidR="002E0876" w:rsidRPr="00B306BA">
        <w:rPr>
          <w:rFonts w:ascii="Arial" w:hAnsi="Arial" w:cs="Arial"/>
          <w:color w:val="BF8F00" w:themeColor="accent4" w:themeShade="BF"/>
          <w:sz w:val="24"/>
          <w:szCs w:val="24"/>
        </w:rPr>
        <w:t>In conclusion, the UK labor market has experienced an increase in employment rates in recent years, but this has been accompanied by a decline in pay rates. Demographic trends, macroeconomic conditions, government policies, and technological developments have all contributed to the changing landscape of the labor market. One of the key challenges facing the labor market is the skill gap, particularly in industries such as technology, healthcare, and renewable energy. This has resulted in hard-to-fill vacancies and a growing demand for education and training programs that equip workers with the necessary skills to meet the demands of the changing job market. Additionally, policymakers and businesses must balance the need for fair wages for workers while addressing inflation. Overall, addressing these challenges is critical for creating sustainable and inclusive employment opportunities and promoting economic growth and social mobility in the UK.</w:t>
      </w:r>
    </w:p>
    <w:bookmarkEnd w:id="2"/>
    <w:p w14:paraId="48A787A3" w14:textId="77777777" w:rsidR="0044780E" w:rsidRPr="00B306BA" w:rsidRDefault="0044780E" w:rsidP="00B306BA">
      <w:pPr>
        <w:pStyle w:val="ListParagraph"/>
        <w:spacing w:line="360" w:lineRule="auto"/>
        <w:ind w:left="360"/>
        <w:rPr>
          <w:rFonts w:ascii="Arial" w:hAnsi="Arial" w:cs="Arial"/>
          <w:sz w:val="24"/>
          <w:szCs w:val="24"/>
        </w:rPr>
      </w:pPr>
    </w:p>
    <w:p w14:paraId="7881415B" w14:textId="77777777" w:rsidR="00997290" w:rsidRPr="00B306BA" w:rsidRDefault="00997290" w:rsidP="00B306BA">
      <w:pPr>
        <w:spacing w:line="360" w:lineRule="auto"/>
        <w:rPr>
          <w:rFonts w:ascii="Arial" w:hAnsi="Arial" w:cs="Arial"/>
          <w:b/>
          <w:bCs/>
          <w:sz w:val="24"/>
          <w:szCs w:val="24"/>
        </w:rPr>
      </w:pPr>
    </w:p>
    <w:p w14:paraId="11B54A61" w14:textId="77777777" w:rsidR="00997290" w:rsidRPr="00B306BA" w:rsidRDefault="00997290" w:rsidP="00B306BA">
      <w:pPr>
        <w:spacing w:line="360" w:lineRule="auto"/>
        <w:rPr>
          <w:rFonts w:ascii="Arial" w:hAnsi="Arial" w:cs="Arial"/>
          <w:b/>
          <w:bCs/>
          <w:sz w:val="24"/>
          <w:szCs w:val="24"/>
        </w:rPr>
      </w:pPr>
    </w:p>
    <w:p w14:paraId="72F32AB3" w14:textId="77777777" w:rsidR="00997290" w:rsidRPr="00B306BA" w:rsidRDefault="00997290" w:rsidP="00B306BA">
      <w:pPr>
        <w:spacing w:line="360" w:lineRule="auto"/>
        <w:rPr>
          <w:rFonts w:ascii="Arial" w:hAnsi="Arial" w:cs="Arial"/>
          <w:b/>
          <w:bCs/>
          <w:sz w:val="24"/>
          <w:szCs w:val="24"/>
        </w:rPr>
      </w:pPr>
    </w:p>
    <w:p w14:paraId="75BA0F75" w14:textId="77777777" w:rsidR="00997290" w:rsidRPr="00B306BA" w:rsidRDefault="00997290" w:rsidP="00B306BA">
      <w:pPr>
        <w:spacing w:line="360" w:lineRule="auto"/>
        <w:rPr>
          <w:rFonts w:ascii="Arial" w:hAnsi="Arial" w:cs="Arial"/>
          <w:b/>
          <w:bCs/>
          <w:sz w:val="24"/>
          <w:szCs w:val="24"/>
        </w:rPr>
      </w:pPr>
    </w:p>
    <w:p w14:paraId="42A4F516" w14:textId="27FC1B18" w:rsidR="00827C9F" w:rsidRPr="00B306BA" w:rsidRDefault="00080944" w:rsidP="00B306BA">
      <w:pPr>
        <w:spacing w:line="360" w:lineRule="auto"/>
        <w:rPr>
          <w:rFonts w:ascii="Arial" w:hAnsi="Arial" w:cs="Arial"/>
          <w:b/>
          <w:bCs/>
          <w:sz w:val="24"/>
          <w:szCs w:val="24"/>
        </w:rPr>
      </w:pPr>
      <w:r>
        <w:rPr>
          <w:rFonts w:ascii="Arial" w:hAnsi="Arial" w:cs="Arial"/>
          <w:b/>
          <w:bCs/>
          <w:sz w:val="24"/>
          <w:szCs w:val="24"/>
        </w:rPr>
        <w:t>R</w:t>
      </w:r>
      <w:r w:rsidR="00827C9F" w:rsidRPr="00B306BA">
        <w:rPr>
          <w:rFonts w:ascii="Arial" w:hAnsi="Arial" w:cs="Arial"/>
          <w:b/>
          <w:bCs/>
          <w:sz w:val="24"/>
          <w:szCs w:val="24"/>
        </w:rPr>
        <w:t xml:space="preserve">eferences </w:t>
      </w:r>
    </w:p>
    <w:p w14:paraId="7A87DC80" w14:textId="77777777" w:rsidR="00110CC2" w:rsidRPr="00B306BA" w:rsidRDefault="00110CC2"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Lattice (2022) </w:t>
      </w:r>
      <w:r w:rsidRPr="00B306BA">
        <w:rPr>
          <w:rFonts w:ascii="Arial" w:hAnsi="Arial" w:cs="Arial"/>
          <w:i/>
          <w:iCs/>
        </w:rPr>
        <w:t>4 Ways HR Can Navigate Brexit’s Impact on UK Business | Lattice</w:t>
      </w:r>
      <w:r w:rsidRPr="00B306BA">
        <w:rPr>
          <w:rFonts w:ascii="Arial" w:hAnsi="Arial" w:cs="Arial"/>
        </w:rPr>
        <w:t>. Available at: https://lattice.com/library/4-ways-hr-can-navigate-brexits-impact-on-uk-business.</w:t>
      </w:r>
    </w:p>
    <w:p w14:paraId="699F895B" w14:textId="77777777" w:rsidR="00110CC2" w:rsidRPr="00B306BA" w:rsidRDefault="00110CC2" w:rsidP="00080944">
      <w:pPr>
        <w:spacing w:line="276" w:lineRule="auto"/>
        <w:rPr>
          <w:rFonts w:ascii="Arial" w:hAnsi="Arial" w:cs="Arial"/>
          <w:b/>
          <w:bCs/>
          <w:sz w:val="24"/>
          <w:szCs w:val="24"/>
        </w:rPr>
      </w:pPr>
    </w:p>
    <w:p w14:paraId="0E17FA3A" w14:textId="77777777" w:rsidR="00110CC2" w:rsidRPr="00B306BA" w:rsidRDefault="00110CC2"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i/>
          <w:iCs/>
        </w:rPr>
        <w:t>The impact of Brexit: top 10 HR issues</w:t>
      </w:r>
      <w:r w:rsidRPr="00B306BA">
        <w:rPr>
          <w:rFonts w:ascii="Arial" w:hAnsi="Arial" w:cs="Arial"/>
        </w:rPr>
        <w:t xml:space="preserve"> (no date). Available at: https://www.ashurst.com/en/news-and-insights/insights/the-impact-of-brexit---top-10-hr-issues/.</w:t>
      </w:r>
    </w:p>
    <w:p w14:paraId="15C254F3" w14:textId="77777777" w:rsidR="00110CC2" w:rsidRPr="00B306BA" w:rsidRDefault="00110CC2" w:rsidP="00080944">
      <w:pPr>
        <w:spacing w:line="276" w:lineRule="auto"/>
        <w:rPr>
          <w:rFonts w:ascii="Arial" w:hAnsi="Arial" w:cs="Arial"/>
          <w:b/>
          <w:bCs/>
          <w:sz w:val="24"/>
          <w:szCs w:val="24"/>
        </w:rPr>
      </w:pPr>
    </w:p>
    <w:p w14:paraId="43575074" w14:textId="77777777" w:rsidR="00110CC2" w:rsidRPr="00B306BA" w:rsidRDefault="00110CC2"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i/>
          <w:iCs/>
        </w:rPr>
        <w:t>Brexit and HR implications | CIPD</w:t>
      </w:r>
      <w:r w:rsidRPr="00B306BA">
        <w:rPr>
          <w:rFonts w:ascii="Arial" w:hAnsi="Arial" w:cs="Arial"/>
        </w:rPr>
        <w:t xml:space="preserve"> (no date). Available at: https://www.cipd.co.uk/knowledge/brexit-hub.</w:t>
      </w:r>
    </w:p>
    <w:p w14:paraId="550EB2E0" w14:textId="77777777" w:rsidR="00110CC2" w:rsidRPr="00B306BA" w:rsidRDefault="00110CC2" w:rsidP="00080944">
      <w:pPr>
        <w:spacing w:line="276" w:lineRule="auto"/>
        <w:rPr>
          <w:rFonts w:ascii="Arial" w:hAnsi="Arial" w:cs="Arial"/>
          <w:b/>
          <w:bCs/>
          <w:sz w:val="24"/>
          <w:szCs w:val="24"/>
        </w:rPr>
      </w:pPr>
    </w:p>
    <w:p w14:paraId="0BB40409" w14:textId="77777777" w:rsidR="00107CC8" w:rsidRPr="00B306BA" w:rsidRDefault="00107CC8"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i/>
          <w:iCs/>
        </w:rPr>
        <w:t>2023 Travel industry outlook</w:t>
      </w:r>
      <w:r w:rsidRPr="00B306BA">
        <w:rPr>
          <w:rFonts w:ascii="Arial" w:hAnsi="Arial" w:cs="Arial"/>
        </w:rPr>
        <w:t xml:space="preserve"> (no date). Available at: https://www2.deloitte.com/us/en/pages/consumer-business/articles/travel-hospitality-industry-outlook.html.</w:t>
      </w:r>
    </w:p>
    <w:p w14:paraId="04C7524A" w14:textId="77777777" w:rsidR="00107CC8" w:rsidRPr="00B306BA" w:rsidRDefault="00107CC8" w:rsidP="00080944">
      <w:pPr>
        <w:spacing w:line="276" w:lineRule="auto"/>
        <w:rPr>
          <w:rFonts w:ascii="Arial" w:hAnsi="Arial" w:cs="Arial"/>
          <w:b/>
          <w:bCs/>
          <w:sz w:val="24"/>
          <w:szCs w:val="24"/>
        </w:rPr>
      </w:pPr>
    </w:p>
    <w:p w14:paraId="16CBB7A7" w14:textId="77777777" w:rsidR="00107CC8" w:rsidRPr="00B306BA" w:rsidRDefault="00107CC8"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i/>
          <w:iCs/>
        </w:rPr>
        <w:t>COVID-19 in the United Kingdom: Assessing jobs at risk and the impact on people and places</w:t>
      </w:r>
      <w:r w:rsidRPr="00B306BA">
        <w:rPr>
          <w:rFonts w:ascii="Arial" w:hAnsi="Arial" w:cs="Arial"/>
        </w:rPr>
        <w:t xml:space="preserve"> (2020). Available at: https://www.mckinsey.com/industries/public-and-social-sector/our-insights/covid-19-in-the-united-kingdom-assessing-jobs-at-risk-and-the-impact-on-people-and-places.</w:t>
      </w:r>
    </w:p>
    <w:p w14:paraId="367270AC" w14:textId="77777777" w:rsidR="00107CC8" w:rsidRPr="00B306BA" w:rsidRDefault="00107CC8" w:rsidP="00080944">
      <w:pPr>
        <w:spacing w:line="276" w:lineRule="auto"/>
        <w:rPr>
          <w:rFonts w:ascii="Arial" w:hAnsi="Arial" w:cs="Arial"/>
          <w:b/>
          <w:bCs/>
          <w:sz w:val="24"/>
          <w:szCs w:val="24"/>
        </w:rPr>
      </w:pPr>
    </w:p>
    <w:p w14:paraId="3EA08225" w14:textId="77777777" w:rsidR="00107CC8" w:rsidRPr="00B306BA" w:rsidRDefault="00107CC8"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Riaz, U. (2023) “Hospitality industry looks strong for 2023 – despite recession fears,” </w:t>
      </w:r>
      <w:r w:rsidRPr="00B306BA">
        <w:rPr>
          <w:rFonts w:ascii="Arial" w:hAnsi="Arial" w:cs="Arial"/>
          <w:i/>
          <w:iCs/>
        </w:rPr>
        <w:t>www.ey.com</w:t>
      </w:r>
      <w:r w:rsidRPr="00B306BA">
        <w:rPr>
          <w:rFonts w:ascii="Arial" w:hAnsi="Arial" w:cs="Arial"/>
        </w:rPr>
        <w:t xml:space="preserve"> [Preprint]. Available at: https://www.ey.com/en_us/real-estate-hospitality-construction/hospitality-industry-looks-strong-for-2023-despite-recession-fears.</w:t>
      </w:r>
    </w:p>
    <w:p w14:paraId="1BAAF62F" w14:textId="77777777" w:rsidR="00107CC8" w:rsidRPr="00B306BA" w:rsidRDefault="00107CC8" w:rsidP="00080944">
      <w:pPr>
        <w:spacing w:line="276" w:lineRule="auto"/>
        <w:rPr>
          <w:rFonts w:ascii="Arial" w:hAnsi="Arial" w:cs="Arial"/>
          <w:b/>
          <w:bCs/>
          <w:sz w:val="24"/>
          <w:szCs w:val="24"/>
        </w:rPr>
      </w:pPr>
    </w:p>
    <w:p w14:paraId="266DDBB4" w14:textId="77777777" w:rsidR="00CC728D" w:rsidRPr="00B306BA" w:rsidRDefault="00CC728D"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Ali-Hassan, Y. (2023) “Economic inactivity falls but long-term sickness reaches  record high,” </w:t>
      </w:r>
      <w:r w:rsidRPr="00B306BA">
        <w:rPr>
          <w:rFonts w:ascii="Arial" w:hAnsi="Arial" w:cs="Arial"/>
          <w:i/>
          <w:iCs/>
        </w:rPr>
        <w:t>CBI</w:t>
      </w:r>
      <w:r w:rsidRPr="00B306BA">
        <w:rPr>
          <w:rFonts w:ascii="Arial" w:hAnsi="Arial" w:cs="Arial"/>
        </w:rPr>
        <w:t xml:space="preserve"> [Preprint]. Available at: https://www.cbi.org.uk/media/bm0aiob5/14032023-cbi-pertemps-labour-market-update-mar_2023.pdf.</w:t>
      </w:r>
    </w:p>
    <w:p w14:paraId="293D087C" w14:textId="77777777" w:rsidR="00CC728D" w:rsidRPr="00B306BA" w:rsidRDefault="00CC728D" w:rsidP="00080944">
      <w:pPr>
        <w:spacing w:line="276" w:lineRule="auto"/>
        <w:rPr>
          <w:rFonts w:ascii="Arial" w:hAnsi="Arial" w:cs="Arial"/>
          <w:b/>
          <w:bCs/>
          <w:sz w:val="24"/>
          <w:szCs w:val="24"/>
        </w:rPr>
      </w:pPr>
    </w:p>
    <w:p w14:paraId="1E2BD451" w14:textId="77777777" w:rsidR="00CC728D" w:rsidRPr="00B306BA" w:rsidRDefault="00CC728D"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Buchanan, I. (2023) </w:t>
      </w:r>
      <w:r w:rsidRPr="00B306BA">
        <w:rPr>
          <w:rFonts w:ascii="Arial" w:hAnsi="Arial" w:cs="Arial"/>
          <w:i/>
          <w:iCs/>
        </w:rPr>
        <w:t>Why are young people leaving the labour market?</w:t>
      </w:r>
      <w:r w:rsidRPr="00B306BA">
        <w:rPr>
          <w:rFonts w:ascii="Arial" w:hAnsi="Arial" w:cs="Arial"/>
        </w:rPr>
        <w:t xml:space="preserve"> Available at: https://commonslibrary.parliament.uk/why-are-young-people-leaving-the-labour-market/.</w:t>
      </w:r>
    </w:p>
    <w:p w14:paraId="1894AB1D" w14:textId="77777777" w:rsidR="00CC728D" w:rsidRPr="00B306BA" w:rsidRDefault="00CC728D" w:rsidP="00080944">
      <w:pPr>
        <w:spacing w:line="276" w:lineRule="auto"/>
        <w:rPr>
          <w:rFonts w:ascii="Arial" w:hAnsi="Arial" w:cs="Arial"/>
          <w:b/>
          <w:bCs/>
          <w:sz w:val="24"/>
          <w:szCs w:val="24"/>
        </w:rPr>
      </w:pPr>
    </w:p>
    <w:p w14:paraId="48AC5D8E" w14:textId="77777777" w:rsidR="004420F7" w:rsidRPr="00B306BA" w:rsidRDefault="004420F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lastRenderedPageBreak/>
        <w:t xml:space="preserve">Watson, B. (2023) “Employment in the UK - Office for National Statistics,” </w:t>
      </w:r>
      <w:r w:rsidRPr="00B306BA">
        <w:rPr>
          <w:rFonts w:ascii="Arial" w:hAnsi="Arial" w:cs="Arial"/>
          <w:i/>
          <w:iCs/>
        </w:rPr>
        <w:t>www.ons.gov.uk</w:t>
      </w:r>
      <w:r w:rsidRPr="00B306BA">
        <w:rPr>
          <w:rFonts w:ascii="Arial" w:hAnsi="Arial" w:cs="Arial"/>
        </w:rPr>
        <w:t xml:space="preserve"> [Preprint]. Available at: https://www.ons.gov.uk/employmentandlabourmarket/peopleinwork/employmentandemployeetypes/bulletins/employmentintheuk/march2023.</w:t>
      </w:r>
    </w:p>
    <w:p w14:paraId="2DCA5B01" w14:textId="77777777" w:rsidR="004420F7" w:rsidRPr="00B306BA" w:rsidRDefault="004420F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Francis-Devine, B. (2023) “UK labour market statistics,” </w:t>
      </w:r>
      <w:r w:rsidRPr="00B306BA">
        <w:rPr>
          <w:rFonts w:ascii="Arial" w:hAnsi="Arial" w:cs="Arial"/>
          <w:i/>
          <w:iCs/>
        </w:rPr>
        <w:t>Library of the House of Commons</w:t>
      </w:r>
      <w:r w:rsidRPr="00B306BA">
        <w:rPr>
          <w:rFonts w:ascii="Arial" w:hAnsi="Arial" w:cs="Arial"/>
        </w:rPr>
        <w:t xml:space="preserve"> [Preprint]. Available at: https://researchbriefings.files.parliament.uk/documents/CBP-9366/CBP-9366.pdf.</w:t>
      </w:r>
    </w:p>
    <w:p w14:paraId="47121220" w14:textId="77777777" w:rsidR="004420F7" w:rsidRPr="00B306BA" w:rsidRDefault="004420F7" w:rsidP="00080944">
      <w:pPr>
        <w:pStyle w:val="NormalWeb"/>
        <w:spacing w:before="0" w:beforeAutospacing="0" w:after="0" w:afterAutospacing="0" w:line="276" w:lineRule="auto"/>
        <w:jc w:val="both"/>
        <w:rPr>
          <w:rFonts w:ascii="Arial" w:hAnsi="Arial" w:cs="Arial"/>
        </w:rPr>
      </w:pPr>
    </w:p>
    <w:p w14:paraId="22CD2AE7" w14:textId="77777777" w:rsidR="004420F7" w:rsidRPr="00B306BA" w:rsidRDefault="004420F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i/>
          <w:iCs/>
        </w:rPr>
        <w:t>Commission on the Future of Employment Support | abrdn</w:t>
      </w:r>
      <w:r w:rsidRPr="00B306BA">
        <w:rPr>
          <w:rFonts w:ascii="Arial" w:hAnsi="Arial" w:cs="Arial"/>
        </w:rPr>
        <w:t xml:space="preserve"> (no date). Available at: https://www.financialfairness.org.uk/en/our-work/publications/commission-on-the-future-of-employment-support?gclid=CjwKCAjw6IiiBhAOEiwALNqncSMOGHEFqOZQjNw9b5Ci6pAfT863eQ4-9bMQ12csV_Fjf7rqrozpFRoC6_QQAvD_BwE.</w:t>
      </w:r>
    </w:p>
    <w:p w14:paraId="33F3A7A0" w14:textId="77777777" w:rsidR="004420F7" w:rsidRPr="00B306BA" w:rsidRDefault="004420F7" w:rsidP="00080944">
      <w:pPr>
        <w:pStyle w:val="NormalWeb"/>
        <w:spacing w:before="0" w:beforeAutospacing="0" w:after="0" w:afterAutospacing="0" w:line="276" w:lineRule="auto"/>
        <w:ind w:left="720" w:hanging="720"/>
        <w:rPr>
          <w:rFonts w:ascii="Arial" w:hAnsi="Arial" w:cs="Arial"/>
          <w:i/>
          <w:iCs/>
        </w:rPr>
      </w:pPr>
    </w:p>
    <w:p w14:paraId="25727872" w14:textId="77777777" w:rsidR="004420F7" w:rsidRPr="00B306BA" w:rsidRDefault="004420F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i/>
          <w:iCs/>
        </w:rPr>
        <w:t>Transport Policy | Journal | ScienceDirect.com by Elsevier</w:t>
      </w:r>
      <w:r w:rsidRPr="00B306BA">
        <w:rPr>
          <w:rFonts w:ascii="Arial" w:hAnsi="Arial" w:cs="Arial"/>
        </w:rPr>
        <w:t xml:space="preserve"> (no date). Available at: https://www.sciencedirect.com/journal/transport-policy.</w:t>
      </w:r>
    </w:p>
    <w:p w14:paraId="338386A8" w14:textId="77777777" w:rsidR="004420F7" w:rsidRPr="00B306BA" w:rsidRDefault="004420F7" w:rsidP="00080944">
      <w:pPr>
        <w:pStyle w:val="NormalWeb"/>
        <w:spacing w:before="0" w:beforeAutospacing="0" w:after="0" w:afterAutospacing="0" w:line="276" w:lineRule="auto"/>
        <w:ind w:left="720" w:hanging="720"/>
        <w:rPr>
          <w:rFonts w:ascii="Arial" w:hAnsi="Arial" w:cs="Arial"/>
        </w:rPr>
      </w:pPr>
    </w:p>
    <w:p w14:paraId="57D19B52" w14:textId="77777777" w:rsidR="004420F7" w:rsidRPr="00B306BA" w:rsidRDefault="004420F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“UK unemployment rate by region 2023 | Statista” (2023) </w:t>
      </w:r>
      <w:r w:rsidRPr="00B306BA">
        <w:rPr>
          <w:rFonts w:ascii="Arial" w:hAnsi="Arial" w:cs="Arial"/>
          <w:i/>
          <w:iCs/>
        </w:rPr>
        <w:t>Statista</w:t>
      </w:r>
      <w:r w:rsidRPr="00B306BA">
        <w:rPr>
          <w:rFonts w:ascii="Arial" w:hAnsi="Arial" w:cs="Arial"/>
        </w:rPr>
        <w:t xml:space="preserve"> [Preprint]. Available at: https://www.statista.com/statistics/297167/uk-regional-unemployment-rate/#:~:text=London%20and%20the%20West%20Midlands,unemployment%20rate%20was%203.7%20percent.</w:t>
      </w:r>
    </w:p>
    <w:p w14:paraId="1F406CC9" w14:textId="77777777" w:rsidR="004420F7" w:rsidRPr="00B306BA" w:rsidRDefault="004420F7" w:rsidP="00080944">
      <w:pPr>
        <w:pStyle w:val="NormalWeb"/>
        <w:spacing w:before="0" w:beforeAutospacing="0" w:after="0" w:afterAutospacing="0" w:line="276" w:lineRule="auto"/>
        <w:ind w:left="720" w:hanging="720"/>
        <w:rPr>
          <w:rFonts w:ascii="Arial" w:hAnsi="Arial" w:cs="Arial"/>
        </w:rPr>
      </w:pPr>
    </w:p>
    <w:p w14:paraId="059A2640" w14:textId="13F71623" w:rsidR="004420F7" w:rsidRDefault="004420F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Ralston, K. </w:t>
      </w:r>
      <w:r w:rsidRPr="00B306BA">
        <w:rPr>
          <w:rFonts w:ascii="Arial" w:hAnsi="Arial" w:cs="Arial"/>
          <w:i/>
          <w:iCs/>
        </w:rPr>
        <w:t>et al.</w:t>
      </w:r>
      <w:r w:rsidRPr="00B306BA">
        <w:rPr>
          <w:rFonts w:ascii="Arial" w:hAnsi="Arial" w:cs="Arial"/>
        </w:rPr>
        <w:t xml:space="preserve"> (2021) “Economic Inactivity, Not in Employment, Education or Training (NEET) and Scarring: The Importance of NEET as a Marker of Long-Term Disadvantage,” </w:t>
      </w:r>
      <w:r w:rsidRPr="00B306BA">
        <w:rPr>
          <w:rFonts w:ascii="Arial" w:hAnsi="Arial" w:cs="Arial"/>
          <w:i/>
          <w:iCs/>
        </w:rPr>
        <w:t>Work, Employment &amp; Society</w:t>
      </w:r>
      <w:r w:rsidRPr="00B306BA">
        <w:rPr>
          <w:rFonts w:ascii="Arial" w:hAnsi="Arial" w:cs="Arial"/>
        </w:rPr>
        <w:t xml:space="preserve">, 36(1), pp. 59–79. Available at: </w:t>
      </w:r>
      <w:hyperlink r:id="rId8" w:history="1">
        <w:r w:rsidR="00080944" w:rsidRPr="00054CF6">
          <w:rPr>
            <w:rStyle w:val="Hyperlink"/>
            <w:rFonts w:ascii="Arial" w:hAnsi="Arial" w:cs="Arial"/>
          </w:rPr>
          <w:t>https://doi.org/10.1177/0950017020973882</w:t>
        </w:r>
      </w:hyperlink>
      <w:r w:rsidRPr="00B306BA">
        <w:rPr>
          <w:rFonts w:ascii="Arial" w:hAnsi="Arial" w:cs="Arial"/>
        </w:rPr>
        <w:t>.</w:t>
      </w:r>
    </w:p>
    <w:p w14:paraId="43E717B3" w14:textId="77777777" w:rsidR="00080944" w:rsidRPr="00B306BA" w:rsidRDefault="00080944" w:rsidP="00080944">
      <w:pPr>
        <w:pStyle w:val="NormalWeb"/>
        <w:spacing w:before="0" w:beforeAutospacing="0" w:after="0" w:afterAutospacing="0" w:line="276" w:lineRule="auto"/>
        <w:ind w:left="720" w:hanging="720"/>
        <w:rPr>
          <w:rFonts w:ascii="Arial" w:hAnsi="Arial" w:cs="Arial"/>
        </w:rPr>
      </w:pPr>
    </w:p>
    <w:p w14:paraId="28A0962E" w14:textId="22676CBF" w:rsidR="00EE4E33" w:rsidRPr="00B306BA" w:rsidRDefault="00EE4E33"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Leaker, D. (2023) “Labour market overview, UK - Office for National Statistics,” </w:t>
      </w:r>
      <w:r w:rsidRPr="00B306BA">
        <w:rPr>
          <w:rFonts w:ascii="Arial" w:hAnsi="Arial" w:cs="Arial"/>
          <w:i/>
          <w:iCs/>
        </w:rPr>
        <w:t>www.ons.gov.uk</w:t>
      </w:r>
      <w:r w:rsidRPr="00B306BA">
        <w:rPr>
          <w:rFonts w:ascii="Arial" w:hAnsi="Arial" w:cs="Arial"/>
        </w:rPr>
        <w:t xml:space="preserve"> [Preprint]. Available at: </w:t>
      </w:r>
      <w:hyperlink r:id="rId9" w:history="1">
        <w:r w:rsidR="005754C7" w:rsidRPr="00B306BA">
          <w:rPr>
            <w:rStyle w:val="Hyperlink"/>
            <w:rFonts w:ascii="Arial" w:hAnsi="Arial" w:cs="Arial"/>
          </w:rPr>
          <w:t>https://www.ons.gov.uk/employmentandlabourmarket/peopleinwork/employmentandemployeetypes/bulletins/uklabourmarket/march2023</w:t>
        </w:r>
      </w:hyperlink>
      <w:r w:rsidRPr="00B306BA">
        <w:rPr>
          <w:rFonts w:ascii="Arial" w:hAnsi="Arial" w:cs="Arial"/>
        </w:rPr>
        <w:t>.</w:t>
      </w:r>
    </w:p>
    <w:p w14:paraId="42FD16A4" w14:textId="77777777" w:rsidR="005754C7" w:rsidRPr="00B306BA" w:rsidRDefault="005754C7" w:rsidP="00080944">
      <w:pPr>
        <w:pStyle w:val="NormalWeb"/>
        <w:spacing w:before="0" w:beforeAutospacing="0" w:after="0" w:afterAutospacing="0" w:line="276" w:lineRule="auto"/>
        <w:ind w:left="720" w:hanging="720"/>
        <w:rPr>
          <w:rFonts w:ascii="Arial" w:hAnsi="Arial" w:cs="Arial"/>
        </w:rPr>
      </w:pPr>
    </w:p>
    <w:p w14:paraId="76E43B22" w14:textId="2E8D11AC" w:rsidR="005754C7" w:rsidRPr="00B306BA" w:rsidRDefault="005754C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Powell, A. and Francis-Devine, B. (2023) </w:t>
      </w:r>
      <w:r w:rsidRPr="00B306BA">
        <w:rPr>
          <w:rFonts w:ascii="Arial" w:hAnsi="Arial" w:cs="Arial"/>
          <w:i/>
          <w:iCs/>
        </w:rPr>
        <w:t>UK Labour Market Statistics</w:t>
      </w:r>
      <w:r w:rsidRPr="00B306BA">
        <w:rPr>
          <w:rFonts w:ascii="Arial" w:hAnsi="Arial" w:cs="Arial"/>
        </w:rPr>
        <w:t xml:space="preserve">. Available at: </w:t>
      </w:r>
      <w:hyperlink r:id="rId10" w:history="1">
        <w:r w:rsidRPr="00B306BA">
          <w:rPr>
            <w:rStyle w:val="Hyperlink"/>
            <w:rFonts w:ascii="Arial" w:hAnsi="Arial" w:cs="Arial"/>
          </w:rPr>
          <w:t>https://commonslibrary.parliament.uk/research-briefings/cbp-9366/</w:t>
        </w:r>
      </w:hyperlink>
      <w:r w:rsidRPr="00B306BA">
        <w:rPr>
          <w:rFonts w:ascii="Arial" w:hAnsi="Arial" w:cs="Arial"/>
        </w:rPr>
        <w:t>.</w:t>
      </w:r>
    </w:p>
    <w:p w14:paraId="31069993" w14:textId="77777777" w:rsidR="005754C7" w:rsidRPr="00B306BA" w:rsidRDefault="005754C7" w:rsidP="00080944">
      <w:pPr>
        <w:pStyle w:val="NormalWeb"/>
        <w:spacing w:before="0" w:beforeAutospacing="0" w:after="0" w:afterAutospacing="0" w:line="276" w:lineRule="auto"/>
        <w:ind w:left="720" w:hanging="720"/>
        <w:rPr>
          <w:rFonts w:ascii="Arial" w:hAnsi="Arial" w:cs="Arial"/>
        </w:rPr>
      </w:pPr>
    </w:p>
    <w:p w14:paraId="1A054C22" w14:textId="2BDC1279" w:rsidR="005754C7" w:rsidRPr="00B306BA" w:rsidRDefault="005754C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t xml:space="preserve">Brisinger, Anton. </w:t>
      </w:r>
      <w:r w:rsidRPr="00B306BA">
        <w:rPr>
          <w:rFonts w:ascii="Arial" w:hAnsi="Arial" w:cs="Arial"/>
          <w:i/>
          <w:iCs/>
        </w:rPr>
        <w:t>UK LABOUR MARKET REMAINS RESILIENT HEADING INTO 2023 DESPITE ECONOMIC DOWNTURN  | Startups Magazine</w:t>
      </w:r>
      <w:r w:rsidRPr="00B306BA">
        <w:rPr>
          <w:rFonts w:ascii="Arial" w:hAnsi="Arial" w:cs="Arial"/>
        </w:rPr>
        <w:t xml:space="preserve"> (no date). Available at: </w:t>
      </w:r>
      <w:hyperlink r:id="rId11" w:history="1">
        <w:r w:rsidRPr="00B306BA">
          <w:rPr>
            <w:rStyle w:val="Hyperlink"/>
            <w:rFonts w:ascii="Arial" w:hAnsi="Arial" w:cs="Arial"/>
          </w:rPr>
          <w:t>https://startupsmagazine.co.uk/article-uk-labour-market-remains-resilient-heading-2023-despite-economic-downturn</w:t>
        </w:r>
      </w:hyperlink>
      <w:r w:rsidRPr="00B306BA">
        <w:rPr>
          <w:rFonts w:ascii="Arial" w:hAnsi="Arial" w:cs="Arial"/>
        </w:rPr>
        <w:t>.</w:t>
      </w:r>
    </w:p>
    <w:p w14:paraId="6350F471" w14:textId="77777777" w:rsidR="007E5107" w:rsidRPr="00B306BA" w:rsidRDefault="007E5107" w:rsidP="00080944">
      <w:pPr>
        <w:pStyle w:val="NormalWeb"/>
        <w:spacing w:before="0" w:beforeAutospacing="0" w:after="0" w:afterAutospacing="0" w:line="276" w:lineRule="auto"/>
        <w:ind w:left="720" w:hanging="720"/>
        <w:rPr>
          <w:rFonts w:ascii="Arial" w:hAnsi="Arial" w:cs="Arial"/>
        </w:rPr>
      </w:pPr>
    </w:p>
    <w:p w14:paraId="2AFF49F3" w14:textId="773E1B36" w:rsidR="007E5107" w:rsidRPr="00B306BA" w:rsidRDefault="007E5107" w:rsidP="00080944">
      <w:pPr>
        <w:pStyle w:val="NormalWeb"/>
        <w:spacing w:before="0" w:beforeAutospacing="0" w:after="0" w:afterAutospacing="0" w:line="276" w:lineRule="auto"/>
        <w:ind w:left="720" w:hanging="720"/>
        <w:rPr>
          <w:rFonts w:ascii="Arial" w:hAnsi="Arial" w:cs="Arial"/>
        </w:rPr>
      </w:pPr>
      <w:r w:rsidRPr="00B306BA">
        <w:rPr>
          <w:rFonts w:ascii="Arial" w:hAnsi="Arial" w:cs="Arial"/>
        </w:rPr>
        <w:lastRenderedPageBreak/>
        <w:t xml:space="preserve">TRADING ECONOMICS (no date) </w:t>
      </w:r>
      <w:r w:rsidRPr="00B306BA">
        <w:rPr>
          <w:rFonts w:ascii="Arial" w:hAnsi="Arial" w:cs="Arial"/>
          <w:i/>
          <w:iCs/>
        </w:rPr>
        <w:t>United Kingdom Unemployment Rate - March 2023 Data - 1971-2022 Historical</w:t>
      </w:r>
      <w:r w:rsidRPr="00B306BA">
        <w:rPr>
          <w:rFonts w:ascii="Arial" w:hAnsi="Arial" w:cs="Arial"/>
        </w:rPr>
        <w:t xml:space="preserve">. Available at: </w:t>
      </w:r>
      <w:hyperlink r:id="rId12" w:history="1">
        <w:r w:rsidRPr="00B306BA">
          <w:rPr>
            <w:rStyle w:val="Hyperlink"/>
            <w:rFonts w:ascii="Arial" w:hAnsi="Arial" w:cs="Arial"/>
          </w:rPr>
          <w:t>https://tradingeconomics.com/united-kingdom/unemployment-rate</w:t>
        </w:r>
      </w:hyperlink>
    </w:p>
    <w:p w14:paraId="03F2DAD7" w14:textId="77777777" w:rsidR="005C4DAD" w:rsidRPr="00B306BA" w:rsidRDefault="005C4DAD" w:rsidP="00080944">
      <w:pPr>
        <w:pStyle w:val="NormalWeb"/>
        <w:spacing w:before="0" w:beforeAutospacing="0" w:after="0" w:afterAutospacing="0" w:line="276" w:lineRule="auto"/>
        <w:ind w:left="720" w:hanging="720"/>
        <w:rPr>
          <w:rFonts w:ascii="Arial" w:hAnsi="Arial" w:cs="Arial"/>
        </w:rPr>
      </w:pPr>
    </w:p>
    <w:p w14:paraId="22C343E1" w14:textId="77777777" w:rsidR="005C4DAD" w:rsidRPr="00B306BA" w:rsidRDefault="005C4DAD" w:rsidP="00080944">
      <w:pPr>
        <w:spacing w:line="276" w:lineRule="auto"/>
        <w:rPr>
          <w:rFonts w:ascii="Arial" w:hAnsi="Arial" w:cs="Arial"/>
          <w:sz w:val="24"/>
          <w:szCs w:val="24"/>
        </w:rPr>
      </w:pPr>
      <w:r w:rsidRPr="00B306BA">
        <w:rPr>
          <w:rFonts w:ascii="Arial" w:hAnsi="Arial" w:cs="Arial"/>
          <w:sz w:val="24"/>
          <w:szCs w:val="24"/>
        </w:rPr>
        <w:t>Husic, J.B. et al. (2020) “</w:t>
      </w:r>
      <w:r w:rsidRPr="00B306BA">
        <w:rPr>
          <w:rFonts w:ascii="Arial" w:hAnsi="Arial" w:cs="Arial"/>
          <w:b/>
          <w:bCs/>
          <w:sz w:val="24"/>
          <w:szCs w:val="24"/>
        </w:rPr>
        <w:t>Aging at Work:</w:t>
      </w:r>
      <w:r w:rsidRPr="00B306BA">
        <w:rPr>
          <w:rFonts w:ascii="Arial" w:hAnsi="Arial" w:cs="Arial"/>
          <w:sz w:val="24"/>
          <w:szCs w:val="24"/>
        </w:rPr>
        <w:t xml:space="preserve"> A Review of Recent Trends and Future Directions,” International Journal of Environmental Research and Public Health, 17(20), p. 7659. Available at: </w:t>
      </w:r>
      <w:hyperlink r:id="rId13" w:history="1">
        <w:r w:rsidRPr="00B306BA">
          <w:rPr>
            <w:rStyle w:val="Hyperlink"/>
            <w:rFonts w:ascii="Arial" w:hAnsi="Arial" w:cs="Arial"/>
            <w:sz w:val="24"/>
            <w:szCs w:val="24"/>
          </w:rPr>
          <w:t>https://doi.org/10.3390/ijerph17207659</w:t>
        </w:r>
      </w:hyperlink>
      <w:r w:rsidRPr="00B306BA">
        <w:rPr>
          <w:rFonts w:ascii="Arial" w:hAnsi="Arial" w:cs="Arial"/>
          <w:sz w:val="24"/>
          <w:szCs w:val="24"/>
        </w:rPr>
        <w:t>.</w:t>
      </w:r>
    </w:p>
    <w:p w14:paraId="27A93E2E" w14:textId="77777777" w:rsidR="005C4DAD" w:rsidRPr="00B306BA" w:rsidRDefault="005C4DAD" w:rsidP="00B306BA">
      <w:pPr>
        <w:pStyle w:val="NormalWeb"/>
        <w:spacing w:before="0" w:beforeAutospacing="0" w:after="0" w:afterAutospacing="0" w:line="360" w:lineRule="auto"/>
        <w:ind w:left="720" w:hanging="720"/>
        <w:rPr>
          <w:rFonts w:ascii="Arial" w:hAnsi="Arial" w:cs="Arial"/>
        </w:rPr>
      </w:pPr>
    </w:p>
    <w:p w14:paraId="6FF62332" w14:textId="5EA9967E" w:rsidR="007E5107" w:rsidRPr="00B306BA" w:rsidRDefault="007E5107" w:rsidP="00B306BA">
      <w:pPr>
        <w:pStyle w:val="NormalWeb"/>
        <w:spacing w:before="0" w:beforeAutospacing="0" w:after="0" w:afterAutospacing="0" w:line="360" w:lineRule="auto"/>
        <w:ind w:left="720" w:hanging="720"/>
        <w:rPr>
          <w:rFonts w:ascii="Arial" w:hAnsi="Arial" w:cs="Arial"/>
        </w:rPr>
      </w:pPr>
      <w:r w:rsidRPr="00B306BA">
        <w:rPr>
          <w:rFonts w:ascii="Arial" w:hAnsi="Arial" w:cs="Arial"/>
        </w:rPr>
        <w:t>.</w:t>
      </w:r>
    </w:p>
    <w:p w14:paraId="307D3DCA" w14:textId="77777777" w:rsidR="007E5107" w:rsidRPr="00B306BA" w:rsidRDefault="007E5107" w:rsidP="00B306BA">
      <w:pPr>
        <w:pStyle w:val="NormalWeb"/>
        <w:spacing w:before="0" w:beforeAutospacing="0" w:after="0" w:afterAutospacing="0" w:line="360" w:lineRule="auto"/>
        <w:ind w:left="720" w:hanging="720"/>
        <w:rPr>
          <w:rFonts w:ascii="Arial" w:hAnsi="Arial" w:cs="Arial"/>
        </w:rPr>
      </w:pPr>
    </w:p>
    <w:p w14:paraId="62367815" w14:textId="77777777" w:rsidR="007E5107" w:rsidRPr="00B306BA" w:rsidRDefault="007E5107" w:rsidP="00B306BA">
      <w:pPr>
        <w:pStyle w:val="NormalWeb"/>
        <w:spacing w:before="0" w:beforeAutospacing="0" w:after="0" w:afterAutospacing="0" w:line="360" w:lineRule="auto"/>
        <w:ind w:left="720" w:hanging="720"/>
        <w:rPr>
          <w:rFonts w:ascii="Arial" w:hAnsi="Arial" w:cs="Arial"/>
        </w:rPr>
      </w:pPr>
    </w:p>
    <w:p w14:paraId="3A34A36F" w14:textId="77777777" w:rsidR="005754C7" w:rsidRPr="00B306BA" w:rsidRDefault="005754C7" w:rsidP="00B306BA">
      <w:pPr>
        <w:pStyle w:val="NormalWeb"/>
        <w:spacing w:before="0" w:beforeAutospacing="0" w:after="0" w:afterAutospacing="0" w:line="360" w:lineRule="auto"/>
        <w:ind w:left="720" w:hanging="720"/>
        <w:rPr>
          <w:rFonts w:ascii="Arial" w:hAnsi="Arial" w:cs="Arial"/>
        </w:rPr>
      </w:pPr>
    </w:p>
    <w:p w14:paraId="6D7159F9" w14:textId="77777777" w:rsidR="005754C7" w:rsidRPr="00B306BA" w:rsidRDefault="005754C7" w:rsidP="00B306BA">
      <w:pPr>
        <w:pStyle w:val="NormalWeb"/>
        <w:spacing w:before="0" w:beforeAutospacing="0" w:after="0" w:afterAutospacing="0" w:line="360" w:lineRule="auto"/>
        <w:ind w:left="720" w:hanging="720"/>
        <w:rPr>
          <w:rFonts w:ascii="Arial" w:hAnsi="Arial" w:cs="Arial"/>
        </w:rPr>
      </w:pPr>
    </w:p>
    <w:p w14:paraId="56E681BC" w14:textId="77777777" w:rsidR="005754C7" w:rsidRPr="00B306BA" w:rsidRDefault="005754C7" w:rsidP="00B306BA">
      <w:pPr>
        <w:pStyle w:val="NormalWeb"/>
        <w:spacing w:before="0" w:beforeAutospacing="0" w:after="0" w:afterAutospacing="0" w:line="360" w:lineRule="auto"/>
        <w:ind w:left="720" w:hanging="720"/>
        <w:rPr>
          <w:rFonts w:ascii="Arial" w:hAnsi="Arial" w:cs="Arial"/>
        </w:rPr>
      </w:pPr>
    </w:p>
    <w:p w14:paraId="3FCF695B" w14:textId="77777777" w:rsidR="005754C7" w:rsidRPr="00B306BA" w:rsidRDefault="005754C7" w:rsidP="00B306BA">
      <w:pPr>
        <w:pStyle w:val="NormalWeb"/>
        <w:spacing w:before="0" w:beforeAutospacing="0" w:after="0" w:afterAutospacing="0" w:line="360" w:lineRule="auto"/>
        <w:ind w:left="720" w:hanging="720"/>
        <w:rPr>
          <w:rFonts w:ascii="Arial" w:hAnsi="Arial" w:cs="Arial"/>
        </w:rPr>
      </w:pPr>
    </w:p>
    <w:p w14:paraId="55C06D7C" w14:textId="77777777" w:rsidR="00EE4E33" w:rsidRPr="00B306BA" w:rsidRDefault="00EE4E33" w:rsidP="00B306BA">
      <w:pPr>
        <w:spacing w:line="360" w:lineRule="auto"/>
        <w:rPr>
          <w:rFonts w:ascii="Arial" w:hAnsi="Arial" w:cs="Arial"/>
          <w:sz w:val="24"/>
          <w:szCs w:val="24"/>
        </w:rPr>
      </w:pPr>
    </w:p>
    <w:sectPr w:rsidR="00EE4E33" w:rsidRPr="00B306B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83411" w14:textId="77777777" w:rsidR="00320A5C" w:rsidRDefault="00320A5C" w:rsidP="00827C9F">
      <w:pPr>
        <w:spacing w:after="0" w:line="240" w:lineRule="auto"/>
      </w:pPr>
      <w:r>
        <w:separator/>
      </w:r>
    </w:p>
  </w:endnote>
  <w:endnote w:type="continuationSeparator" w:id="0">
    <w:p w14:paraId="58031A42" w14:textId="77777777" w:rsidR="00320A5C" w:rsidRDefault="00320A5C" w:rsidP="00827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131055"/>
      <w:docPartObj>
        <w:docPartGallery w:val="Page Numbers (Bottom of Page)"/>
        <w:docPartUnique/>
      </w:docPartObj>
    </w:sdtPr>
    <w:sdtEndPr>
      <w:rPr>
        <w:color w:val="7F7F7F" w:themeColor="background1" w:themeShade="7F"/>
        <w:spacing w:val="60"/>
      </w:rPr>
    </w:sdtEndPr>
    <w:sdtContent>
      <w:p w14:paraId="37063889" w14:textId="7F5FD645" w:rsidR="00827C9F" w:rsidRDefault="00827C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6E8D38" w14:textId="77777777" w:rsidR="00827C9F" w:rsidRDefault="00827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894FD" w14:textId="77777777" w:rsidR="00320A5C" w:rsidRDefault="00320A5C" w:rsidP="00827C9F">
      <w:pPr>
        <w:spacing w:after="0" w:line="240" w:lineRule="auto"/>
      </w:pPr>
      <w:r>
        <w:separator/>
      </w:r>
    </w:p>
  </w:footnote>
  <w:footnote w:type="continuationSeparator" w:id="0">
    <w:p w14:paraId="2863FE8F" w14:textId="77777777" w:rsidR="00320A5C" w:rsidRDefault="00320A5C" w:rsidP="00827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3143F"/>
    <w:multiLevelType w:val="multilevel"/>
    <w:tmpl w:val="0809001F"/>
    <w:lvl w:ilvl="0">
      <w:start w:val="1"/>
      <w:numFmt w:val="decimal"/>
      <w:lvlText w:val="%1."/>
      <w:lvlJc w:val="left"/>
      <w:pPr>
        <w:ind w:left="2062" w:hanging="360"/>
      </w:pPr>
    </w:lvl>
    <w:lvl w:ilvl="1">
      <w:start w:val="1"/>
      <w:numFmt w:val="decimal"/>
      <w:lvlText w:val="%1.%2."/>
      <w:lvlJc w:val="left"/>
      <w:pPr>
        <w:ind w:left="2494" w:hanging="432"/>
      </w:pPr>
    </w:lvl>
    <w:lvl w:ilvl="2">
      <w:start w:val="1"/>
      <w:numFmt w:val="decimal"/>
      <w:lvlText w:val="%1.%2.%3."/>
      <w:lvlJc w:val="left"/>
      <w:pPr>
        <w:ind w:left="2926" w:hanging="504"/>
      </w:pPr>
    </w:lvl>
    <w:lvl w:ilvl="3">
      <w:start w:val="1"/>
      <w:numFmt w:val="decimal"/>
      <w:lvlText w:val="%1.%2.%3.%4."/>
      <w:lvlJc w:val="left"/>
      <w:pPr>
        <w:ind w:left="3430" w:hanging="648"/>
      </w:pPr>
    </w:lvl>
    <w:lvl w:ilvl="4">
      <w:start w:val="1"/>
      <w:numFmt w:val="decimal"/>
      <w:lvlText w:val="%1.%2.%3.%4.%5."/>
      <w:lvlJc w:val="left"/>
      <w:pPr>
        <w:ind w:left="3934" w:hanging="792"/>
      </w:pPr>
    </w:lvl>
    <w:lvl w:ilvl="5">
      <w:start w:val="1"/>
      <w:numFmt w:val="decimal"/>
      <w:lvlText w:val="%1.%2.%3.%4.%5.%6."/>
      <w:lvlJc w:val="left"/>
      <w:pPr>
        <w:ind w:left="4438" w:hanging="936"/>
      </w:pPr>
    </w:lvl>
    <w:lvl w:ilvl="6">
      <w:start w:val="1"/>
      <w:numFmt w:val="decimal"/>
      <w:lvlText w:val="%1.%2.%3.%4.%5.%6.%7."/>
      <w:lvlJc w:val="left"/>
      <w:pPr>
        <w:ind w:left="4942" w:hanging="1080"/>
      </w:pPr>
    </w:lvl>
    <w:lvl w:ilvl="7">
      <w:start w:val="1"/>
      <w:numFmt w:val="decimal"/>
      <w:lvlText w:val="%1.%2.%3.%4.%5.%6.%7.%8."/>
      <w:lvlJc w:val="left"/>
      <w:pPr>
        <w:ind w:left="5446" w:hanging="1224"/>
      </w:pPr>
    </w:lvl>
    <w:lvl w:ilvl="8">
      <w:start w:val="1"/>
      <w:numFmt w:val="decimal"/>
      <w:lvlText w:val="%1.%2.%3.%4.%5.%6.%7.%8.%9."/>
      <w:lvlJc w:val="left"/>
      <w:pPr>
        <w:ind w:left="6022" w:hanging="1440"/>
      </w:pPr>
    </w:lvl>
  </w:abstractNum>
  <w:abstractNum w:abstractNumId="1" w15:restartNumberingAfterBreak="0">
    <w:nsid w:val="1D520FB1"/>
    <w:multiLevelType w:val="hybridMultilevel"/>
    <w:tmpl w:val="F9003F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121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B74F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5968CD"/>
    <w:multiLevelType w:val="hybridMultilevel"/>
    <w:tmpl w:val="4D3E9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295990"/>
    <w:multiLevelType w:val="hybridMultilevel"/>
    <w:tmpl w:val="83FA8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311DD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22A0224"/>
    <w:multiLevelType w:val="hybridMultilevel"/>
    <w:tmpl w:val="77F08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0C6306"/>
    <w:multiLevelType w:val="hybridMultilevel"/>
    <w:tmpl w:val="49FA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464468">
    <w:abstractNumId w:val="5"/>
  </w:num>
  <w:num w:numId="2" w16cid:durableId="1546404546">
    <w:abstractNumId w:val="8"/>
  </w:num>
  <w:num w:numId="3" w16cid:durableId="237255150">
    <w:abstractNumId w:val="4"/>
  </w:num>
  <w:num w:numId="4" w16cid:durableId="1173765136">
    <w:abstractNumId w:val="1"/>
  </w:num>
  <w:num w:numId="5" w16cid:durableId="200634214">
    <w:abstractNumId w:val="7"/>
  </w:num>
  <w:num w:numId="6" w16cid:durableId="891775337">
    <w:abstractNumId w:val="3"/>
  </w:num>
  <w:num w:numId="7" w16cid:durableId="1026641684">
    <w:abstractNumId w:val="6"/>
  </w:num>
  <w:num w:numId="8" w16cid:durableId="1358384446">
    <w:abstractNumId w:val="0"/>
  </w:num>
  <w:num w:numId="9" w16cid:durableId="1294673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9F"/>
    <w:rsid w:val="00016ADD"/>
    <w:rsid w:val="000619CF"/>
    <w:rsid w:val="00080944"/>
    <w:rsid w:val="000A4C7F"/>
    <w:rsid w:val="000B429D"/>
    <w:rsid w:val="00107CC8"/>
    <w:rsid w:val="00110CC2"/>
    <w:rsid w:val="00262AB0"/>
    <w:rsid w:val="00286673"/>
    <w:rsid w:val="002E0876"/>
    <w:rsid w:val="00316AD1"/>
    <w:rsid w:val="00320A5C"/>
    <w:rsid w:val="003A027C"/>
    <w:rsid w:val="004420F7"/>
    <w:rsid w:val="0044780E"/>
    <w:rsid w:val="004E58CE"/>
    <w:rsid w:val="004F219D"/>
    <w:rsid w:val="005754C7"/>
    <w:rsid w:val="005A38DC"/>
    <w:rsid w:val="005C4DAD"/>
    <w:rsid w:val="00617BA8"/>
    <w:rsid w:val="00697542"/>
    <w:rsid w:val="0072184D"/>
    <w:rsid w:val="00725DA8"/>
    <w:rsid w:val="007261E1"/>
    <w:rsid w:val="0078407D"/>
    <w:rsid w:val="007D603E"/>
    <w:rsid w:val="007E5107"/>
    <w:rsid w:val="00827C9F"/>
    <w:rsid w:val="00853FCE"/>
    <w:rsid w:val="00870F88"/>
    <w:rsid w:val="0089359A"/>
    <w:rsid w:val="0095366E"/>
    <w:rsid w:val="00997290"/>
    <w:rsid w:val="009C4598"/>
    <w:rsid w:val="00A50E72"/>
    <w:rsid w:val="00A82D69"/>
    <w:rsid w:val="00A917EA"/>
    <w:rsid w:val="00AE439D"/>
    <w:rsid w:val="00B306BA"/>
    <w:rsid w:val="00BC5E24"/>
    <w:rsid w:val="00C37D98"/>
    <w:rsid w:val="00CA5A29"/>
    <w:rsid w:val="00CC728D"/>
    <w:rsid w:val="00D1132E"/>
    <w:rsid w:val="00D53885"/>
    <w:rsid w:val="00DC1879"/>
    <w:rsid w:val="00DD3E71"/>
    <w:rsid w:val="00DF0151"/>
    <w:rsid w:val="00EB11A0"/>
    <w:rsid w:val="00EC423F"/>
    <w:rsid w:val="00EE4E33"/>
    <w:rsid w:val="00F00730"/>
    <w:rsid w:val="00F23FB9"/>
    <w:rsid w:val="00F47520"/>
    <w:rsid w:val="00FC11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6F71"/>
  <w15:chartTrackingRefBased/>
  <w15:docId w15:val="{38705813-BB34-4B1C-A602-31D45A6B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F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C9F"/>
  </w:style>
  <w:style w:type="paragraph" w:styleId="Footer">
    <w:name w:val="footer"/>
    <w:basedOn w:val="Normal"/>
    <w:link w:val="FooterChar"/>
    <w:uiPriority w:val="99"/>
    <w:unhideWhenUsed/>
    <w:rsid w:val="00827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C9F"/>
  </w:style>
  <w:style w:type="paragraph" w:styleId="ListParagraph">
    <w:name w:val="List Paragraph"/>
    <w:basedOn w:val="Normal"/>
    <w:uiPriority w:val="34"/>
    <w:qFormat/>
    <w:rsid w:val="00827C9F"/>
    <w:pPr>
      <w:ind w:left="720"/>
      <w:contextualSpacing/>
    </w:pPr>
  </w:style>
  <w:style w:type="paragraph" w:styleId="NormalWeb">
    <w:name w:val="Normal (Web)"/>
    <w:basedOn w:val="Normal"/>
    <w:uiPriority w:val="99"/>
    <w:unhideWhenUsed/>
    <w:rsid w:val="00EE4E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754C7"/>
    <w:rPr>
      <w:color w:val="0563C1" w:themeColor="hyperlink"/>
      <w:u w:val="single"/>
    </w:rPr>
  </w:style>
  <w:style w:type="character" w:styleId="UnresolvedMention">
    <w:name w:val="Unresolved Mention"/>
    <w:basedOn w:val="DefaultParagraphFont"/>
    <w:uiPriority w:val="99"/>
    <w:semiHidden/>
    <w:unhideWhenUsed/>
    <w:rsid w:val="005754C7"/>
    <w:rPr>
      <w:color w:val="605E5C"/>
      <w:shd w:val="clear" w:color="auto" w:fill="E1DFDD"/>
    </w:rPr>
  </w:style>
  <w:style w:type="character" w:styleId="FollowedHyperlink">
    <w:name w:val="FollowedHyperlink"/>
    <w:basedOn w:val="DefaultParagraphFont"/>
    <w:uiPriority w:val="99"/>
    <w:semiHidden/>
    <w:unhideWhenUsed/>
    <w:rsid w:val="00107CC8"/>
    <w:rPr>
      <w:color w:val="954F72" w:themeColor="followedHyperlink"/>
      <w:u w:val="single"/>
    </w:rPr>
  </w:style>
  <w:style w:type="table" w:styleId="TableGrid">
    <w:name w:val="Table Grid"/>
    <w:basedOn w:val="TableNormal"/>
    <w:uiPriority w:val="39"/>
    <w:rsid w:val="009C4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3F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3FB9"/>
    <w:pPr>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8938">
      <w:bodyDiv w:val="1"/>
      <w:marLeft w:val="0"/>
      <w:marRight w:val="0"/>
      <w:marTop w:val="0"/>
      <w:marBottom w:val="0"/>
      <w:divBdr>
        <w:top w:val="none" w:sz="0" w:space="0" w:color="auto"/>
        <w:left w:val="none" w:sz="0" w:space="0" w:color="auto"/>
        <w:bottom w:val="none" w:sz="0" w:space="0" w:color="auto"/>
        <w:right w:val="none" w:sz="0" w:space="0" w:color="auto"/>
      </w:divBdr>
    </w:div>
    <w:div w:id="140076526">
      <w:bodyDiv w:val="1"/>
      <w:marLeft w:val="0"/>
      <w:marRight w:val="0"/>
      <w:marTop w:val="0"/>
      <w:marBottom w:val="0"/>
      <w:divBdr>
        <w:top w:val="none" w:sz="0" w:space="0" w:color="auto"/>
        <w:left w:val="none" w:sz="0" w:space="0" w:color="auto"/>
        <w:bottom w:val="none" w:sz="0" w:space="0" w:color="auto"/>
        <w:right w:val="none" w:sz="0" w:space="0" w:color="auto"/>
      </w:divBdr>
    </w:div>
    <w:div w:id="151022530">
      <w:bodyDiv w:val="1"/>
      <w:marLeft w:val="0"/>
      <w:marRight w:val="0"/>
      <w:marTop w:val="0"/>
      <w:marBottom w:val="0"/>
      <w:divBdr>
        <w:top w:val="none" w:sz="0" w:space="0" w:color="auto"/>
        <w:left w:val="none" w:sz="0" w:space="0" w:color="auto"/>
        <w:bottom w:val="none" w:sz="0" w:space="0" w:color="auto"/>
        <w:right w:val="none" w:sz="0" w:space="0" w:color="auto"/>
      </w:divBdr>
    </w:div>
    <w:div w:id="224486675">
      <w:bodyDiv w:val="1"/>
      <w:marLeft w:val="0"/>
      <w:marRight w:val="0"/>
      <w:marTop w:val="0"/>
      <w:marBottom w:val="0"/>
      <w:divBdr>
        <w:top w:val="none" w:sz="0" w:space="0" w:color="auto"/>
        <w:left w:val="none" w:sz="0" w:space="0" w:color="auto"/>
        <w:bottom w:val="none" w:sz="0" w:space="0" w:color="auto"/>
        <w:right w:val="none" w:sz="0" w:space="0" w:color="auto"/>
      </w:divBdr>
      <w:divsChild>
        <w:div w:id="1438981824">
          <w:marLeft w:val="0"/>
          <w:marRight w:val="0"/>
          <w:marTop w:val="0"/>
          <w:marBottom w:val="0"/>
          <w:divBdr>
            <w:top w:val="none" w:sz="0" w:space="0" w:color="auto"/>
            <w:left w:val="none" w:sz="0" w:space="0" w:color="auto"/>
            <w:bottom w:val="none" w:sz="0" w:space="0" w:color="auto"/>
            <w:right w:val="none" w:sz="0" w:space="0" w:color="auto"/>
          </w:divBdr>
          <w:divsChild>
            <w:div w:id="1519390116">
              <w:marLeft w:val="0"/>
              <w:marRight w:val="0"/>
              <w:marTop w:val="0"/>
              <w:marBottom w:val="0"/>
              <w:divBdr>
                <w:top w:val="none" w:sz="0" w:space="0" w:color="auto"/>
                <w:left w:val="none" w:sz="0" w:space="0" w:color="auto"/>
                <w:bottom w:val="none" w:sz="0" w:space="0" w:color="auto"/>
                <w:right w:val="none" w:sz="0" w:space="0" w:color="auto"/>
              </w:divBdr>
              <w:divsChild>
                <w:div w:id="78388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83719">
          <w:marLeft w:val="0"/>
          <w:marRight w:val="0"/>
          <w:marTop w:val="0"/>
          <w:marBottom w:val="0"/>
          <w:divBdr>
            <w:top w:val="none" w:sz="0" w:space="0" w:color="auto"/>
            <w:left w:val="none" w:sz="0" w:space="0" w:color="auto"/>
            <w:bottom w:val="none" w:sz="0" w:space="0" w:color="auto"/>
            <w:right w:val="none" w:sz="0" w:space="0" w:color="auto"/>
          </w:divBdr>
          <w:divsChild>
            <w:div w:id="942299162">
              <w:marLeft w:val="0"/>
              <w:marRight w:val="0"/>
              <w:marTop w:val="0"/>
              <w:marBottom w:val="0"/>
              <w:divBdr>
                <w:top w:val="none" w:sz="0" w:space="0" w:color="auto"/>
                <w:left w:val="none" w:sz="0" w:space="0" w:color="auto"/>
                <w:bottom w:val="none" w:sz="0" w:space="0" w:color="auto"/>
                <w:right w:val="none" w:sz="0" w:space="0" w:color="auto"/>
              </w:divBdr>
              <w:divsChild>
                <w:div w:id="980425223">
                  <w:marLeft w:val="0"/>
                  <w:marRight w:val="0"/>
                  <w:marTop w:val="0"/>
                  <w:marBottom w:val="0"/>
                  <w:divBdr>
                    <w:top w:val="none" w:sz="0" w:space="0" w:color="auto"/>
                    <w:left w:val="none" w:sz="0" w:space="0" w:color="auto"/>
                    <w:bottom w:val="none" w:sz="0" w:space="0" w:color="auto"/>
                    <w:right w:val="none" w:sz="0" w:space="0" w:color="auto"/>
                  </w:divBdr>
                </w:div>
                <w:div w:id="491525883">
                  <w:marLeft w:val="0"/>
                  <w:marRight w:val="0"/>
                  <w:marTop w:val="0"/>
                  <w:marBottom w:val="0"/>
                  <w:divBdr>
                    <w:top w:val="none" w:sz="0" w:space="0" w:color="auto"/>
                    <w:left w:val="none" w:sz="0" w:space="0" w:color="auto"/>
                    <w:bottom w:val="none" w:sz="0" w:space="0" w:color="auto"/>
                    <w:right w:val="none" w:sz="0" w:space="0" w:color="auto"/>
                  </w:divBdr>
                  <w:divsChild>
                    <w:div w:id="19150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980467">
      <w:bodyDiv w:val="1"/>
      <w:marLeft w:val="0"/>
      <w:marRight w:val="0"/>
      <w:marTop w:val="0"/>
      <w:marBottom w:val="0"/>
      <w:divBdr>
        <w:top w:val="none" w:sz="0" w:space="0" w:color="auto"/>
        <w:left w:val="none" w:sz="0" w:space="0" w:color="auto"/>
        <w:bottom w:val="none" w:sz="0" w:space="0" w:color="auto"/>
        <w:right w:val="none" w:sz="0" w:space="0" w:color="auto"/>
      </w:divBdr>
    </w:div>
    <w:div w:id="242498993">
      <w:bodyDiv w:val="1"/>
      <w:marLeft w:val="0"/>
      <w:marRight w:val="0"/>
      <w:marTop w:val="0"/>
      <w:marBottom w:val="0"/>
      <w:divBdr>
        <w:top w:val="none" w:sz="0" w:space="0" w:color="auto"/>
        <w:left w:val="none" w:sz="0" w:space="0" w:color="auto"/>
        <w:bottom w:val="none" w:sz="0" w:space="0" w:color="auto"/>
        <w:right w:val="none" w:sz="0" w:space="0" w:color="auto"/>
      </w:divBdr>
    </w:div>
    <w:div w:id="243733969">
      <w:bodyDiv w:val="1"/>
      <w:marLeft w:val="0"/>
      <w:marRight w:val="0"/>
      <w:marTop w:val="0"/>
      <w:marBottom w:val="0"/>
      <w:divBdr>
        <w:top w:val="none" w:sz="0" w:space="0" w:color="auto"/>
        <w:left w:val="none" w:sz="0" w:space="0" w:color="auto"/>
        <w:bottom w:val="none" w:sz="0" w:space="0" w:color="auto"/>
        <w:right w:val="none" w:sz="0" w:space="0" w:color="auto"/>
      </w:divBdr>
    </w:div>
    <w:div w:id="622542158">
      <w:bodyDiv w:val="1"/>
      <w:marLeft w:val="0"/>
      <w:marRight w:val="0"/>
      <w:marTop w:val="0"/>
      <w:marBottom w:val="0"/>
      <w:divBdr>
        <w:top w:val="none" w:sz="0" w:space="0" w:color="auto"/>
        <w:left w:val="none" w:sz="0" w:space="0" w:color="auto"/>
        <w:bottom w:val="none" w:sz="0" w:space="0" w:color="auto"/>
        <w:right w:val="none" w:sz="0" w:space="0" w:color="auto"/>
      </w:divBdr>
    </w:div>
    <w:div w:id="690691806">
      <w:bodyDiv w:val="1"/>
      <w:marLeft w:val="0"/>
      <w:marRight w:val="0"/>
      <w:marTop w:val="0"/>
      <w:marBottom w:val="0"/>
      <w:divBdr>
        <w:top w:val="none" w:sz="0" w:space="0" w:color="auto"/>
        <w:left w:val="none" w:sz="0" w:space="0" w:color="auto"/>
        <w:bottom w:val="none" w:sz="0" w:space="0" w:color="auto"/>
        <w:right w:val="none" w:sz="0" w:space="0" w:color="auto"/>
      </w:divBdr>
    </w:div>
    <w:div w:id="743991537">
      <w:bodyDiv w:val="1"/>
      <w:marLeft w:val="0"/>
      <w:marRight w:val="0"/>
      <w:marTop w:val="0"/>
      <w:marBottom w:val="0"/>
      <w:divBdr>
        <w:top w:val="none" w:sz="0" w:space="0" w:color="auto"/>
        <w:left w:val="none" w:sz="0" w:space="0" w:color="auto"/>
        <w:bottom w:val="none" w:sz="0" w:space="0" w:color="auto"/>
        <w:right w:val="none" w:sz="0" w:space="0" w:color="auto"/>
      </w:divBdr>
    </w:div>
    <w:div w:id="1278294815">
      <w:bodyDiv w:val="1"/>
      <w:marLeft w:val="0"/>
      <w:marRight w:val="0"/>
      <w:marTop w:val="0"/>
      <w:marBottom w:val="0"/>
      <w:divBdr>
        <w:top w:val="none" w:sz="0" w:space="0" w:color="auto"/>
        <w:left w:val="none" w:sz="0" w:space="0" w:color="auto"/>
        <w:bottom w:val="none" w:sz="0" w:space="0" w:color="auto"/>
        <w:right w:val="none" w:sz="0" w:space="0" w:color="auto"/>
      </w:divBdr>
      <w:divsChild>
        <w:div w:id="901867988">
          <w:marLeft w:val="0"/>
          <w:marRight w:val="0"/>
          <w:marTop w:val="0"/>
          <w:marBottom w:val="0"/>
          <w:divBdr>
            <w:top w:val="none" w:sz="0" w:space="0" w:color="auto"/>
            <w:left w:val="none" w:sz="0" w:space="0" w:color="auto"/>
            <w:bottom w:val="none" w:sz="0" w:space="0" w:color="auto"/>
            <w:right w:val="none" w:sz="0" w:space="0" w:color="auto"/>
          </w:divBdr>
          <w:divsChild>
            <w:div w:id="1933783912">
              <w:marLeft w:val="0"/>
              <w:marRight w:val="0"/>
              <w:marTop w:val="0"/>
              <w:marBottom w:val="0"/>
              <w:divBdr>
                <w:top w:val="none" w:sz="0" w:space="0" w:color="auto"/>
                <w:left w:val="none" w:sz="0" w:space="0" w:color="auto"/>
                <w:bottom w:val="none" w:sz="0" w:space="0" w:color="auto"/>
                <w:right w:val="none" w:sz="0" w:space="0" w:color="auto"/>
              </w:divBdr>
              <w:divsChild>
                <w:div w:id="432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24091">
          <w:marLeft w:val="0"/>
          <w:marRight w:val="0"/>
          <w:marTop w:val="0"/>
          <w:marBottom w:val="0"/>
          <w:divBdr>
            <w:top w:val="none" w:sz="0" w:space="0" w:color="auto"/>
            <w:left w:val="none" w:sz="0" w:space="0" w:color="auto"/>
            <w:bottom w:val="none" w:sz="0" w:space="0" w:color="auto"/>
            <w:right w:val="none" w:sz="0" w:space="0" w:color="auto"/>
          </w:divBdr>
          <w:divsChild>
            <w:div w:id="1065834582">
              <w:marLeft w:val="0"/>
              <w:marRight w:val="0"/>
              <w:marTop w:val="0"/>
              <w:marBottom w:val="0"/>
              <w:divBdr>
                <w:top w:val="none" w:sz="0" w:space="0" w:color="auto"/>
                <w:left w:val="none" w:sz="0" w:space="0" w:color="auto"/>
                <w:bottom w:val="none" w:sz="0" w:space="0" w:color="auto"/>
                <w:right w:val="none" w:sz="0" w:space="0" w:color="auto"/>
              </w:divBdr>
              <w:divsChild>
                <w:div w:id="2121605004">
                  <w:marLeft w:val="0"/>
                  <w:marRight w:val="0"/>
                  <w:marTop w:val="0"/>
                  <w:marBottom w:val="0"/>
                  <w:divBdr>
                    <w:top w:val="none" w:sz="0" w:space="0" w:color="auto"/>
                    <w:left w:val="none" w:sz="0" w:space="0" w:color="auto"/>
                    <w:bottom w:val="none" w:sz="0" w:space="0" w:color="auto"/>
                    <w:right w:val="none" w:sz="0" w:space="0" w:color="auto"/>
                  </w:divBdr>
                </w:div>
                <w:div w:id="1170565389">
                  <w:marLeft w:val="0"/>
                  <w:marRight w:val="0"/>
                  <w:marTop w:val="0"/>
                  <w:marBottom w:val="0"/>
                  <w:divBdr>
                    <w:top w:val="none" w:sz="0" w:space="0" w:color="auto"/>
                    <w:left w:val="none" w:sz="0" w:space="0" w:color="auto"/>
                    <w:bottom w:val="none" w:sz="0" w:space="0" w:color="auto"/>
                    <w:right w:val="none" w:sz="0" w:space="0" w:color="auto"/>
                  </w:divBdr>
                  <w:divsChild>
                    <w:div w:id="137438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700921">
      <w:bodyDiv w:val="1"/>
      <w:marLeft w:val="0"/>
      <w:marRight w:val="0"/>
      <w:marTop w:val="0"/>
      <w:marBottom w:val="0"/>
      <w:divBdr>
        <w:top w:val="none" w:sz="0" w:space="0" w:color="auto"/>
        <w:left w:val="none" w:sz="0" w:space="0" w:color="auto"/>
        <w:bottom w:val="none" w:sz="0" w:space="0" w:color="auto"/>
        <w:right w:val="none" w:sz="0" w:space="0" w:color="auto"/>
      </w:divBdr>
    </w:div>
    <w:div w:id="1415010087">
      <w:bodyDiv w:val="1"/>
      <w:marLeft w:val="0"/>
      <w:marRight w:val="0"/>
      <w:marTop w:val="0"/>
      <w:marBottom w:val="0"/>
      <w:divBdr>
        <w:top w:val="none" w:sz="0" w:space="0" w:color="auto"/>
        <w:left w:val="none" w:sz="0" w:space="0" w:color="auto"/>
        <w:bottom w:val="none" w:sz="0" w:space="0" w:color="auto"/>
        <w:right w:val="none" w:sz="0" w:space="0" w:color="auto"/>
      </w:divBdr>
      <w:divsChild>
        <w:div w:id="545873855">
          <w:marLeft w:val="0"/>
          <w:marRight w:val="0"/>
          <w:marTop w:val="0"/>
          <w:marBottom w:val="0"/>
          <w:divBdr>
            <w:top w:val="none" w:sz="0" w:space="0" w:color="auto"/>
            <w:left w:val="none" w:sz="0" w:space="0" w:color="auto"/>
            <w:bottom w:val="none" w:sz="0" w:space="0" w:color="auto"/>
            <w:right w:val="none" w:sz="0" w:space="0" w:color="auto"/>
          </w:divBdr>
          <w:divsChild>
            <w:div w:id="128800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6726">
      <w:bodyDiv w:val="1"/>
      <w:marLeft w:val="0"/>
      <w:marRight w:val="0"/>
      <w:marTop w:val="0"/>
      <w:marBottom w:val="0"/>
      <w:divBdr>
        <w:top w:val="none" w:sz="0" w:space="0" w:color="auto"/>
        <w:left w:val="none" w:sz="0" w:space="0" w:color="auto"/>
        <w:bottom w:val="none" w:sz="0" w:space="0" w:color="auto"/>
        <w:right w:val="none" w:sz="0" w:space="0" w:color="auto"/>
      </w:divBdr>
    </w:div>
    <w:div w:id="1502699109">
      <w:bodyDiv w:val="1"/>
      <w:marLeft w:val="0"/>
      <w:marRight w:val="0"/>
      <w:marTop w:val="0"/>
      <w:marBottom w:val="0"/>
      <w:divBdr>
        <w:top w:val="none" w:sz="0" w:space="0" w:color="auto"/>
        <w:left w:val="none" w:sz="0" w:space="0" w:color="auto"/>
        <w:bottom w:val="none" w:sz="0" w:space="0" w:color="auto"/>
        <w:right w:val="none" w:sz="0" w:space="0" w:color="auto"/>
      </w:divBdr>
    </w:div>
    <w:div w:id="1502888686">
      <w:bodyDiv w:val="1"/>
      <w:marLeft w:val="0"/>
      <w:marRight w:val="0"/>
      <w:marTop w:val="0"/>
      <w:marBottom w:val="0"/>
      <w:divBdr>
        <w:top w:val="none" w:sz="0" w:space="0" w:color="auto"/>
        <w:left w:val="none" w:sz="0" w:space="0" w:color="auto"/>
        <w:bottom w:val="none" w:sz="0" w:space="0" w:color="auto"/>
        <w:right w:val="none" w:sz="0" w:space="0" w:color="auto"/>
      </w:divBdr>
    </w:div>
    <w:div w:id="1795637041">
      <w:bodyDiv w:val="1"/>
      <w:marLeft w:val="0"/>
      <w:marRight w:val="0"/>
      <w:marTop w:val="0"/>
      <w:marBottom w:val="0"/>
      <w:divBdr>
        <w:top w:val="none" w:sz="0" w:space="0" w:color="auto"/>
        <w:left w:val="none" w:sz="0" w:space="0" w:color="auto"/>
        <w:bottom w:val="none" w:sz="0" w:space="0" w:color="auto"/>
        <w:right w:val="none" w:sz="0" w:space="0" w:color="auto"/>
      </w:divBdr>
    </w:div>
    <w:div w:id="2024161239">
      <w:bodyDiv w:val="1"/>
      <w:marLeft w:val="0"/>
      <w:marRight w:val="0"/>
      <w:marTop w:val="0"/>
      <w:marBottom w:val="0"/>
      <w:divBdr>
        <w:top w:val="none" w:sz="0" w:space="0" w:color="auto"/>
        <w:left w:val="none" w:sz="0" w:space="0" w:color="auto"/>
        <w:bottom w:val="none" w:sz="0" w:space="0" w:color="auto"/>
        <w:right w:val="none" w:sz="0" w:space="0" w:color="auto"/>
      </w:divBdr>
      <w:divsChild>
        <w:div w:id="1692486060">
          <w:marLeft w:val="0"/>
          <w:marRight w:val="0"/>
          <w:marTop w:val="0"/>
          <w:marBottom w:val="0"/>
          <w:divBdr>
            <w:top w:val="none" w:sz="0" w:space="0" w:color="auto"/>
            <w:left w:val="none" w:sz="0" w:space="0" w:color="auto"/>
            <w:bottom w:val="none" w:sz="0" w:space="0" w:color="auto"/>
            <w:right w:val="none" w:sz="0" w:space="0" w:color="auto"/>
          </w:divBdr>
          <w:divsChild>
            <w:div w:id="177605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6141">
      <w:bodyDiv w:val="1"/>
      <w:marLeft w:val="0"/>
      <w:marRight w:val="0"/>
      <w:marTop w:val="0"/>
      <w:marBottom w:val="0"/>
      <w:divBdr>
        <w:top w:val="none" w:sz="0" w:space="0" w:color="auto"/>
        <w:left w:val="none" w:sz="0" w:space="0" w:color="auto"/>
        <w:bottom w:val="none" w:sz="0" w:space="0" w:color="auto"/>
        <w:right w:val="none" w:sz="0" w:space="0" w:color="auto"/>
      </w:divBdr>
    </w:div>
    <w:div w:id="2143495513">
      <w:bodyDiv w:val="1"/>
      <w:marLeft w:val="0"/>
      <w:marRight w:val="0"/>
      <w:marTop w:val="0"/>
      <w:marBottom w:val="0"/>
      <w:divBdr>
        <w:top w:val="none" w:sz="0" w:space="0" w:color="auto"/>
        <w:left w:val="none" w:sz="0" w:space="0" w:color="auto"/>
        <w:bottom w:val="none" w:sz="0" w:space="0" w:color="auto"/>
        <w:right w:val="none" w:sz="0" w:space="0" w:color="auto"/>
      </w:divBdr>
      <w:divsChild>
        <w:div w:id="6443087">
          <w:marLeft w:val="0"/>
          <w:marRight w:val="0"/>
          <w:marTop w:val="0"/>
          <w:marBottom w:val="0"/>
          <w:divBdr>
            <w:top w:val="none" w:sz="0" w:space="0" w:color="auto"/>
            <w:left w:val="none" w:sz="0" w:space="0" w:color="auto"/>
            <w:bottom w:val="none" w:sz="0" w:space="0" w:color="auto"/>
            <w:right w:val="none" w:sz="0" w:space="0" w:color="auto"/>
          </w:divBdr>
          <w:divsChild>
            <w:div w:id="63938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950017020973882" TargetMode="External"/><Relationship Id="rId13" Type="http://schemas.openxmlformats.org/officeDocument/2006/relationships/hyperlink" Target="https://doi.org/10.3390/ijerph1720765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radingeconomics.com/united-kingdom/unemployment-rat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rtupsmagazine.co.uk/article-uk-labour-market-remains-resilient-heading-2023-despite-economic-downtur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mmonslibrary.parliament.uk/research-briefings/cbp-9366/" TargetMode="External"/><Relationship Id="rId4" Type="http://schemas.openxmlformats.org/officeDocument/2006/relationships/webSettings" Target="webSettings.xml"/><Relationship Id="rId9" Type="http://schemas.openxmlformats.org/officeDocument/2006/relationships/hyperlink" Target="https://www.ons.gov.uk/employmentandlabourmarket/peopleinwork/employmentandemployeetypes/bulletins/uklabourmarket/march202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12</Pages>
  <Words>2943</Words>
  <Characters>16660</Characters>
  <Application>Microsoft Office Word</Application>
  <DocSecurity>0</DocSecurity>
  <Lines>326</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Crystal Hall</cp:lastModifiedBy>
  <cp:revision>12</cp:revision>
  <dcterms:created xsi:type="dcterms:W3CDTF">2023-04-22T07:55:00Z</dcterms:created>
  <dcterms:modified xsi:type="dcterms:W3CDTF">2023-04-23T15:17:00Z</dcterms:modified>
</cp:coreProperties>
</file>