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07577" w:rsidRDefault="004D11FF">
      <w:pPr>
        <w:pStyle w:val="Normal1"/>
        <w:jc w:val="center"/>
        <w:rPr>
          <w:rFonts w:eastAsia="Times New Roman" w:cs="Times New Roman"/>
          <w:b/>
          <w:sz w:val="32"/>
          <w:szCs w:val="32"/>
        </w:rPr>
      </w:pPr>
      <w:r>
        <w:rPr>
          <w:rFonts w:eastAsia="Times New Roman" w:cs="Times New Roman"/>
          <w:b/>
          <w:sz w:val="32"/>
          <w:szCs w:val="32"/>
        </w:rPr>
        <w:t>BA Business Management</w:t>
      </w:r>
    </w:p>
    <w:p w:rsidR="00C16425" w:rsidRPr="004D11FF" w:rsidRDefault="00800CCF">
      <w:pPr>
        <w:pStyle w:val="Normal1"/>
        <w:jc w:val="center"/>
        <w:rPr>
          <w:rFonts w:eastAsia="Times New Roman" w:cs="Times New Roman"/>
          <w:b/>
          <w:sz w:val="28"/>
          <w:szCs w:val="28"/>
        </w:rPr>
      </w:pPr>
      <w:r w:rsidRPr="004D11FF">
        <w:rPr>
          <w:rFonts w:eastAsia="Times New Roman" w:cs="Times New Roman"/>
          <w:b/>
          <w:sz w:val="28"/>
          <w:szCs w:val="28"/>
        </w:rPr>
        <w:t xml:space="preserve">Community Engagement </w:t>
      </w:r>
    </w:p>
    <w:p w:rsidR="00C16425" w:rsidRPr="00ED5CA9" w:rsidRDefault="00800CCF">
      <w:pPr>
        <w:pStyle w:val="Normal1"/>
        <w:jc w:val="center"/>
        <w:rPr>
          <w:rFonts w:eastAsia="Times New Roman" w:cs="Times New Roman"/>
          <w:bCs/>
          <w:szCs w:val="24"/>
        </w:rPr>
      </w:pPr>
      <w:r w:rsidRPr="00ED5CA9">
        <w:rPr>
          <w:rFonts w:eastAsia="Times New Roman" w:cs="Times New Roman"/>
          <w:bCs/>
          <w:szCs w:val="24"/>
        </w:rPr>
        <w:t>Student Name: Mihail Cristian</w:t>
      </w:r>
    </w:p>
    <w:p w:rsidR="00C16425" w:rsidRDefault="00800CCF">
      <w:pPr>
        <w:pStyle w:val="Normal1"/>
        <w:jc w:val="center"/>
        <w:rPr>
          <w:rFonts w:eastAsia="Times New Roman" w:cs="Times New Roman"/>
          <w:bCs/>
          <w:szCs w:val="24"/>
        </w:rPr>
      </w:pPr>
      <w:r w:rsidRPr="00ED5CA9">
        <w:rPr>
          <w:rFonts w:eastAsia="Times New Roman" w:cs="Times New Roman"/>
          <w:bCs/>
          <w:szCs w:val="24"/>
        </w:rPr>
        <w:t>Student ID:2112321</w:t>
      </w:r>
    </w:p>
    <w:p w:rsidR="000A7B41" w:rsidRPr="00ED5CA9" w:rsidRDefault="000A7B41">
      <w:pPr>
        <w:pStyle w:val="Normal1"/>
        <w:jc w:val="center"/>
        <w:rPr>
          <w:rFonts w:eastAsia="Times New Roman" w:cs="Times New Roman"/>
          <w:bCs/>
          <w:szCs w:val="24"/>
        </w:rPr>
      </w:pPr>
      <w:r>
        <w:rPr>
          <w:rFonts w:eastAsia="Times New Roman" w:cs="Times New Roman"/>
          <w:bCs/>
          <w:szCs w:val="24"/>
        </w:rPr>
        <w:t>Assessment 1</w:t>
      </w:r>
    </w:p>
    <w:p w:rsidR="003D2A53" w:rsidRPr="00ED5CA9" w:rsidRDefault="003D2A53">
      <w:pPr>
        <w:pStyle w:val="Normal1"/>
        <w:jc w:val="center"/>
        <w:rPr>
          <w:rFonts w:eastAsia="Times New Roman" w:cs="Times New Roman"/>
          <w:bCs/>
          <w:szCs w:val="24"/>
        </w:rPr>
      </w:pPr>
      <w:r w:rsidRPr="00ED5CA9">
        <w:rPr>
          <w:rFonts w:eastAsia="Times New Roman" w:cs="Times New Roman"/>
          <w:bCs/>
          <w:szCs w:val="24"/>
        </w:rPr>
        <w:t>Module Code: LCBB</w:t>
      </w:r>
      <w:r w:rsidR="00ED5CA9">
        <w:rPr>
          <w:rFonts w:eastAsia="Times New Roman" w:cs="Times New Roman"/>
          <w:bCs/>
          <w:szCs w:val="24"/>
        </w:rPr>
        <w:t>4</w:t>
      </w:r>
      <w:r w:rsidRPr="00ED5CA9">
        <w:rPr>
          <w:rFonts w:eastAsia="Times New Roman" w:cs="Times New Roman"/>
          <w:bCs/>
          <w:szCs w:val="24"/>
        </w:rPr>
        <w:t>002</w:t>
      </w:r>
    </w:p>
    <w:p w:rsidR="00ED5CA9" w:rsidRPr="00ED5CA9" w:rsidRDefault="00ED5CA9">
      <w:pPr>
        <w:pStyle w:val="Normal1"/>
        <w:jc w:val="center"/>
        <w:rPr>
          <w:rFonts w:eastAsia="Times New Roman" w:cs="Times New Roman"/>
          <w:bCs/>
          <w:szCs w:val="24"/>
        </w:rPr>
      </w:pPr>
      <w:r w:rsidRPr="00ED5CA9">
        <w:rPr>
          <w:rFonts w:eastAsia="Times New Roman" w:cs="Times New Roman"/>
          <w:bCs/>
          <w:szCs w:val="24"/>
        </w:rPr>
        <w:t xml:space="preserve">Lecturer: Faizu Edu </w:t>
      </w:r>
    </w:p>
    <w:p w:rsidR="00C16425" w:rsidRDefault="00C16425">
      <w:pPr>
        <w:pStyle w:val="Normal1"/>
        <w:jc w:val="center"/>
        <w:rPr>
          <w:rFonts w:eastAsia="Times New Roman" w:cs="Times New Roman"/>
          <w:b/>
          <w:szCs w:val="24"/>
        </w:rPr>
      </w:pPr>
    </w:p>
    <w:p w:rsidR="00C16425" w:rsidRDefault="00800CCF">
      <w:pPr>
        <w:pStyle w:val="Normal1"/>
        <w:jc w:val="center"/>
        <w:rPr>
          <w:rFonts w:eastAsia="Times New Roman" w:cs="Times New Roman"/>
          <w:b/>
          <w:szCs w:val="24"/>
        </w:rPr>
      </w:pPr>
      <w:r>
        <w:br w:type="page"/>
      </w:r>
    </w:p>
    <w:p w:rsidR="00C16425" w:rsidRDefault="00800CCF">
      <w:pPr>
        <w:pStyle w:val="Titlucuprins"/>
        <w:spacing w:line="360" w:lineRule="auto"/>
        <w:jc w:val="center"/>
        <w:rPr>
          <w:rFonts w:ascii="Times New Roman" w:hAnsi="Times New Roman" w:cs="Times New Roman"/>
          <w:color w:val="auto"/>
        </w:rPr>
      </w:pPr>
      <w:r>
        <w:rPr>
          <w:rFonts w:ascii="Times New Roman" w:hAnsi="Times New Roman" w:cs="Times New Roman"/>
          <w:color w:val="auto"/>
        </w:rPr>
        <w:lastRenderedPageBreak/>
        <w:t>Table of Contents</w:t>
      </w:r>
    </w:p>
    <w:p w:rsidR="00C16425" w:rsidRDefault="00800CCF">
      <w:pPr>
        <w:pStyle w:val="Cuprins1"/>
        <w:tabs>
          <w:tab w:val="right" w:leader="dot" w:pos="9350"/>
        </w:tabs>
        <w:spacing w:line="360" w:lineRule="auto"/>
        <w:jc w:val="both"/>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00594746" w:history="1">
        <w:r>
          <w:rPr>
            <w:rStyle w:val="Hyperlink"/>
            <w:rFonts w:ascii="Times New Roman" w:hAnsi="Times New Roman" w:cs="Times New Roman"/>
            <w:noProof/>
            <w:color w:val="auto"/>
            <w:sz w:val="24"/>
            <w:szCs w:val="24"/>
          </w:rPr>
          <w:t>Introduction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_Toc100594746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rsidR="00C16425" w:rsidRDefault="000A7B41">
      <w:pPr>
        <w:pStyle w:val="Cuprins1"/>
        <w:tabs>
          <w:tab w:val="right" w:leader="dot" w:pos="9350"/>
        </w:tabs>
        <w:spacing w:line="360" w:lineRule="auto"/>
        <w:jc w:val="both"/>
        <w:rPr>
          <w:rFonts w:ascii="Times New Roman" w:hAnsi="Times New Roman" w:cs="Times New Roman"/>
          <w:noProof/>
          <w:sz w:val="24"/>
          <w:szCs w:val="24"/>
        </w:rPr>
      </w:pPr>
      <w:hyperlink w:anchor="_Toc100594747" w:history="1">
        <w:r w:rsidR="00800CCF">
          <w:rPr>
            <w:rStyle w:val="Hyperlink"/>
            <w:rFonts w:ascii="Times New Roman" w:hAnsi="Times New Roman" w:cs="Times New Roman"/>
            <w:noProof/>
            <w:color w:val="auto"/>
            <w:sz w:val="24"/>
            <w:szCs w:val="24"/>
          </w:rPr>
          <w:t>Conversation on Project</w:t>
        </w:r>
        <w:r w:rsidR="00800CCF">
          <w:rPr>
            <w:rFonts w:ascii="Times New Roman" w:hAnsi="Times New Roman" w:cs="Times New Roman"/>
            <w:noProof/>
            <w:webHidden/>
            <w:sz w:val="24"/>
            <w:szCs w:val="24"/>
          </w:rPr>
          <w:tab/>
        </w:r>
        <w:r w:rsidR="00800CCF">
          <w:rPr>
            <w:rFonts w:ascii="Times New Roman" w:hAnsi="Times New Roman" w:cs="Times New Roman"/>
            <w:noProof/>
            <w:webHidden/>
            <w:sz w:val="24"/>
            <w:szCs w:val="24"/>
          </w:rPr>
          <w:fldChar w:fldCharType="begin"/>
        </w:r>
        <w:r w:rsidR="00800CCF">
          <w:rPr>
            <w:rFonts w:ascii="Times New Roman" w:hAnsi="Times New Roman" w:cs="Times New Roman"/>
            <w:noProof/>
            <w:webHidden/>
            <w:sz w:val="24"/>
            <w:szCs w:val="24"/>
          </w:rPr>
          <w:instrText xml:space="preserve"> PAGEREF _Toc100594747 \h </w:instrText>
        </w:r>
        <w:r w:rsidR="00800CCF">
          <w:rPr>
            <w:rFonts w:ascii="Times New Roman" w:hAnsi="Times New Roman" w:cs="Times New Roman"/>
            <w:noProof/>
            <w:webHidden/>
            <w:sz w:val="24"/>
            <w:szCs w:val="24"/>
          </w:rPr>
        </w:r>
        <w:r w:rsidR="00800CCF">
          <w:rPr>
            <w:rFonts w:ascii="Times New Roman" w:hAnsi="Times New Roman" w:cs="Times New Roman"/>
            <w:noProof/>
            <w:webHidden/>
            <w:sz w:val="24"/>
            <w:szCs w:val="24"/>
          </w:rPr>
          <w:fldChar w:fldCharType="separate"/>
        </w:r>
        <w:r w:rsidR="00800CCF">
          <w:rPr>
            <w:rFonts w:ascii="Times New Roman" w:hAnsi="Times New Roman" w:cs="Times New Roman"/>
            <w:noProof/>
            <w:webHidden/>
            <w:sz w:val="24"/>
            <w:szCs w:val="24"/>
          </w:rPr>
          <w:t>3</w:t>
        </w:r>
        <w:r w:rsidR="00800CCF">
          <w:rPr>
            <w:rFonts w:ascii="Times New Roman" w:hAnsi="Times New Roman" w:cs="Times New Roman"/>
            <w:noProof/>
            <w:webHidden/>
            <w:sz w:val="24"/>
            <w:szCs w:val="24"/>
          </w:rPr>
          <w:fldChar w:fldCharType="end"/>
        </w:r>
      </w:hyperlink>
    </w:p>
    <w:p w:rsidR="00C16425" w:rsidRDefault="000A7B41">
      <w:pPr>
        <w:pStyle w:val="Cuprins1"/>
        <w:tabs>
          <w:tab w:val="right" w:leader="dot" w:pos="9350"/>
        </w:tabs>
        <w:spacing w:line="360" w:lineRule="auto"/>
        <w:jc w:val="both"/>
        <w:rPr>
          <w:rFonts w:ascii="Times New Roman" w:hAnsi="Times New Roman" w:cs="Times New Roman"/>
          <w:noProof/>
          <w:sz w:val="24"/>
          <w:szCs w:val="24"/>
        </w:rPr>
      </w:pPr>
      <w:hyperlink w:anchor="_Toc100594748" w:history="1">
        <w:r w:rsidR="00800CCF">
          <w:rPr>
            <w:rStyle w:val="Hyperlink"/>
            <w:rFonts w:ascii="Times New Roman" w:hAnsi="Times New Roman" w:cs="Times New Roman"/>
            <w:noProof/>
            <w:color w:val="auto"/>
            <w:sz w:val="24"/>
            <w:szCs w:val="24"/>
          </w:rPr>
          <w:t>Stakeholders’ association with the Organisation or Project</w:t>
        </w:r>
        <w:r w:rsidR="00800CCF">
          <w:rPr>
            <w:rFonts w:ascii="Times New Roman" w:hAnsi="Times New Roman" w:cs="Times New Roman"/>
            <w:noProof/>
            <w:webHidden/>
            <w:sz w:val="24"/>
            <w:szCs w:val="24"/>
          </w:rPr>
          <w:tab/>
        </w:r>
        <w:r w:rsidR="00800CCF">
          <w:rPr>
            <w:rFonts w:ascii="Times New Roman" w:hAnsi="Times New Roman" w:cs="Times New Roman"/>
            <w:noProof/>
            <w:webHidden/>
            <w:sz w:val="24"/>
            <w:szCs w:val="24"/>
          </w:rPr>
          <w:fldChar w:fldCharType="begin"/>
        </w:r>
        <w:r w:rsidR="00800CCF">
          <w:rPr>
            <w:rFonts w:ascii="Times New Roman" w:hAnsi="Times New Roman" w:cs="Times New Roman"/>
            <w:noProof/>
            <w:webHidden/>
            <w:sz w:val="24"/>
            <w:szCs w:val="24"/>
          </w:rPr>
          <w:instrText xml:space="preserve"> PAGEREF _Toc100594748 \h </w:instrText>
        </w:r>
        <w:r w:rsidR="00800CCF">
          <w:rPr>
            <w:rFonts w:ascii="Times New Roman" w:hAnsi="Times New Roman" w:cs="Times New Roman"/>
            <w:noProof/>
            <w:webHidden/>
            <w:sz w:val="24"/>
            <w:szCs w:val="24"/>
          </w:rPr>
        </w:r>
        <w:r w:rsidR="00800CCF">
          <w:rPr>
            <w:rFonts w:ascii="Times New Roman" w:hAnsi="Times New Roman" w:cs="Times New Roman"/>
            <w:noProof/>
            <w:webHidden/>
            <w:sz w:val="24"/>
            <w:szCs w:val="24"/>
          </w:rPr>
          <w:fldChar w:fldCharType="separate"/>
        </w:r>
        <w:r w:rsidR="00800CCF">
          <w:rPr>
            <w:rFonts w:ascii="Times New Roman" w:hAnsi="Times New Roman" w:cs="Times New Roman"/>
            <w:noProof/>
            <w:webHidden/>
            <w:sz w:val="24"/>
            <w:szCs w:val="24"/>
          </w:rPr>
          <w:t>4</w:t>
        </w:r>
        <w:r w:rsidR="00800CCF">
          <w:rPr>
            <w:rFonts w:ascii="Times New Roman" w:hAnsi="Times New Roman" w:cs="Times New Roman"/>
            <w:noProof/>
            <w:webHidden/>
            <w:sz w:val="24"/>
            <w:szCs w:val="24"/>
          </w:rPr>
          <w:fldChar w:fldCharType="end"/>
        </w:r>
      </w:hyperlink>
    </w:p>
    <w:p w:rsidR="00C16425" w:rsidRDefault="000A7B41">
      <w:pPr>
        <w:pStyle w:val="Cuprins1"/>
        <w:tabs>
          <w:tab w:val="right" w:leader="dot" w:pos="9350"/>
        </w:tabs>
        <w:spacing w:line="360" w:lineRule="auto"/>
        <w:jc w:val="both"/>
        <w:rPr>
          <w:rFonts w:ascii="Times New Roman" w:hAnsi="Times New Roman" w:cs="Times New Roman"/>
          <w:noProof/>
          <w:sz w:val="24"/>
          <w:szCs w:val="24"/>
        </w:rPr>
      </w:pPr>
      <w:hyperlink w:anchor="_Toc100594749" w:history="1">
        <w:r w:rsidR="00800CCF">
          <w:rPr>
            <w:rStyle w:val="Hyperlink"/>
            <w:rFonts w:ascii="Times New Roman" w:hAnsi="Times New Roman" w:cs="Times New Roman"/>
            <w:noProof/>
            <w:color w:val="auto"/>
            <w:sz w:val="24"/>
            <w:szCs w:val="24"/>
          </w:rPr>
          <w:t>Forthcoming Approaches</w:t>
        </w:r>
        <w:r w:rsidR="00800CCF">
          <w:rPr>
            <w:rFonts w:ascii="Times New Roman" w:hAnsi="Times New Roman" w:cs="Times New Roman"/>
            <w:noProof/>
            <w:webHidden/>
            <w:sz w:val="24"/>
            <w:szCs w:val="24"/>
          </w:rPr>
          <w:tab/>
        </w:r>
        <w:r w:rsidR="00800CCF">
          <w:rPr>
            <w:rFonts w:ascii="Times New Roman" w:hAnsi="Times New Roman" w:cs="Times New Roman"/>
            <w:noProof/>
            <w:webHidden/>
            <w:sz w:val="24"/>
            <w:szCs w:val="24"/>
          </w:rPr>
          <w:fldChar w:fldCharType="begin"/>
        </w:r>
        <w:r w:rsidR="00800CCF">
          <w:rPr>
            <w:rFonts w:ascii="Times New Roman" w:hAnsi="Times New Roman" w:cs="Times New Roman"/>
            <w:noProof/>
            <w:webHidden/>
            <w:sz w:val="24"/>
            <w:szCs w:val="24"/>
          </w:rPr>
          <w:instrText xml:space="preserve"> PAGEREF _Toc100594749 \h </w:instrText>
        </w:r>
        <w:r w:rsidR="00800CCF">
          <w:rPr>
            <w:rFonts w:ascii="Times New Roman" w:hAnsi="Times New Roman" w:cs="Times New Roman"/>
            <w:noProof/>
            <w:webHidden/>
            <w:sz w:val="24"/>
            <w:szCs w:val="24"/>
          </w:rPr>
        </w:r>
        <w:r w:rsidR="00800CCF">
          <w:rPr>
            <w:rFonts w:ascii="Times New Roman" w:hAnsi="Times New Roman" w:cs="Times New Roman"/>
            <w:noProof/>
            <w:webHidden/>
            <w:sz w:val="24"/>
            <w:szCs w:val="24"/>
          </w:rPr>
          <w:fldChar w:fldCharType="separate"/>
        </w:r>
        <w:r w:rsidR="00800CCF">
          <w:rPr>
            <w:rFonts w:ascii="Times New Roman" w:hAnsi="Times New Roman" w:cs="Times New Roman"/>
            <w:noProof/>
            <w:webHidden/>
            <w:sz w:val="24"/>
            <w:szCs w:val="24"/>
          </w:rPr>
          <w:t>7</w:t>
        </w:r>
        <w:r w:rsidR="00800CCF">
          <w:rPr>
            <w:rFonts w:ascii="Times New Roman" w:hAnsi="Times New Roman" w:cs="Times New Roman"/>
            <w:noProof/>
            <w:webHidden/>
            <w:sz w:val="24"/>
            <w:szCs w:val="24"/>
          </w:rPr>
          <w:fldChar w:fldCharType="end"/>
        </w:r>
      </w:hyperlink>
    </w:p>
    <w:p w:rsidR="00C16425" w:rsidRDefault="000A7B41">
      <w:pPr>
        <w:pStyle w:val="Cuprins1"/>
        <w:tabs>
          <w:tab w:val="right" w:leader="dot" w:pos="9350"/>
        </w:tabs>
        <w:spacing w:line="360" w:lineRule="auto"/>
        <w:jc w:val="both"/>
        <w:rPr>
          <w:rFonts w:ascii="Times New Roman" w:hAnsi="Times New Roman" w:cs="Times New Roman"/>
          <w:noProof/>
          <w:sz w:val="24"/>
          <w:szCs w:val="24"/>
        </w:rPr>
      </w:pPr>
      <w:hyperlink w:anchor="_Toc100594750" w:history="1">
        <w:r w:rsidR="00800CCF">
          <w:rPr>
            <w:rStyle w:val="Hyperlink"/>
            <w:rFonts w:ascii="Times New Roman" w:hAnsi="Times New Roman" w:cs="Times New Roman"/>
            <w:noProof/>
            <w:color w:val="auto"/>
            <w:sz w:val="24"/>
            <w:szCs w:val="24"/>
          </w:rPr>
          <w:t>Conclusion</w:t>
        </w:r>
        <w:r w:rsidR="00800CCF">
          <w:rPr>
            <w:rFonts w:ascii="Times New Roman" w:hAnsi="Times New Roman" w:cs="Times New Roman"/>
            <w:noProof/>
            <w:webHidden/>
            <w:sz w:val="24"/>
            <w:szCs w:val="24"/>
          </w:rPr>
          <w:tab/>
        </w:r>
        <w:r w:rsidR="00800CCF">
          <w:rPr>
            <w:rFonts w:ascii="Times New Roman" w:hAnsi="Times New Roman" w:cs="Times New Roman"/>
            <w:noProof/>
            <w:webHidden/>
            <w:sz w:val="24"/>
            <w:szCs w:val="24"/>
          </w:rPr>
          <w:fldChar w:fldCharType="begin"/>
        </w:r>
        <w:r w:rsidR="00800CCF">
          <w:rPr>
            <w:rFonts w:ascii="Times New Roman" w:hAnsi="Times New Roman" w:cs="Times New Roman"/>
            <w:noProof/>
            <w:webHidden/>
            <w:sz w:val="24"/>
            <w:szCs w:val="24"/>
          </w:rPr>
          <w:instrText xml:space="preserve"> PAGEREF _Toc100594750 \h </w:instrText>
        </w:r>
        <w:r w:rsidR="00800CCF">
          <w:rPr>
            <w:rFonts w:ascii="Times New Roman" w:hAnsi="Times New Roman" w:cs="Times New Roman"/>
            <w:noProof/>
            <w:webHidden/>
            <w:sz w:val="24"/>
            <w:szCs w:val="24"/>
          </w:rPr>
        </w:r>
        <w:r w:rsidR="00800CCF">
          <w:rPr>
            <w:rFonts w:ascii="Times New Roman" w:hAnsi="Times New Roman" w:cs="Times New Roman"/>
            <w:noProof/>
            <w:webHidden/>
            <w:sz w:val="24"/>
            <w:szCs w:val="24"/>
          </w:rPr>
          <w:fldChar w:fldCharType="separate"/>
        </w:r>
        <w:r w:rsidR="00800CCF">
          <w:rPr>
            <w:rFonts w:ascii="Times New Roman" w:hAnsi="Times New Roman" w:cs="Times New Roman"/>
            <w:noProof/>
            <w:webHidden/>
            <w:sz w:val="24"/>
            <w:szCs w:val="24"/>
          </w:rPr>
          <w:t>7</w:t>
        </w:r>
        <w:r w:rsidR="00800CCF">
          <w:rPr>
            <w:rFonts w:ascii="Times New Roman" w:hAnsi="Times New Roman" w:cs="Times New Roman"/>
            <w:noProof/>
            <w:webHidden/>
            <w:sz w:val="24"/>
            <w:szCs w:val="24"/>
          </w:rPr>
          <w:fldChar w:fldCharType="end"/>
        </w:r>
      </w:hyperlink>
    </w:p>
    <w:p w:rsidR="00C16425" w:rsidRDefault="000A7B41">
      <w:pPr>
        <w:pStyle w:val="Cuprins1"/>
        <w:tabs>
          <w:tab w:val="right" w:leader="dot" w:pos="9350"/>
        </w:tabs>
        <w:spacing w:line="360" w:lineRule="auto"/>
        <w:jc w:val="both"/>
        <w:rPr>
          <w:rFonts w:ascii="Times New Roman" w:hAnsi="Times New Roman" w:cs="Times New Roman"/>
          <w:noProof/>
          <w:sz w:val="24"/>
          <w:szCs w:val="24"/>
        </w:rPr>
      </w:pPr>
      <w:hyperlink w:anchor="_Toc100594751" w:history="1">
        <w:r w:rsidR="00800CCF">
          <w:rPr>
            <w:rStyle w:val="Hyperlink"/>
            <w:rFonts w:ascii="Times New Roman" w:hAnsi="Times New Roman" w:cs="Times New Roman"/>
            <w:noProof/>
            <w:color w:val="auto"/>
            <w:sz w:val="24"/>
            <w:szCs w:val="24"/>
          </w:rPr>
          <w:t>References</w:t>
        </w:r>
        <w:r w:rsidR="00800CCF">
          <w:rPr>
            <w:rFonts w:ascii="Times New Roman" w:hAnsi="Times New Roman" w:cs="Times New Roman"/>
            <w:noProof/>
            <w:webHidden/>
            <w:sz w:val="24"/>
            <w:szCs w:val="24"/>
          </w:rPr>
          <w:tab/>
        </w:r>
        <w:r w:rsidR="00800CCF">
          <w:rPr>
            <w:rFonts w:ascii="Times New Roman" w:hAnsi="Times New Roman" w:cs="Times New Roman"/>
            <w:noProof/>
            <w:webHidden/>
            <w:sz w:val="24"/>
            <w:szCs w:val="24"/>
          </w:rPr>
          <w:fldChar w:fldCharType="begin"/>
        </w:r>
        <w:r w:rsidR="00800CCF">
          <w:rPr>
            <w:rFonts w:ascii="Times New Roman" w:hAnsi="Times New Roman" w:cs="Times New Roman"/>
            <w:noProof/>
            <w:webHidden/>
            <w:sz w:val="24"/>
            <w:szCs w:val="24"/>
          </w:rPr>
          <w:instrText xml:space="preserve"> PAGEREF _Toc100594751 \h </w:instrText>
        </w:r>
        <w:r w:rsidR="00800CCF">
          <w:rPr>
            <w:rFonts w:ascii="Times New Roman" w:hAnsi="Times New Roman" w:cs="Times New Roman"/>
            <w:noProof/>
            <w:webHidden/>
            <w:sz w:val="24"/>
            <w:szCs w:val="24"/>
          </w:rPr>
        </w:r>
        <w:r w:rsidR="00800CCF">
          <w:rPr>
            <w:rFonts w:ascii="Times New Roman" w:hAnsi="Times New Roman" w:cs="Times New Roman"/>
            <w:noProof/>
            <w:webHidden/>
            <w:sz w:val="24"/>
            <w:szCs w:val="24"/>
          </w:rPr>
          <w:fldChar w:fldCharType="separate"/>
        </w:r>
        <w:r w:rsidR="00800CCF">
          <w:rPr>
            <w:rFonts w:ascii="Times New Roman" w:hAnsi="Times New Roman" w:cs="Times New Roman"/>
            <w:noProof/>
            <w:webHidden/>
            <w:sz w:val="24"/>
            <w:szCs w:val="24"/>
          </w:rPr>
          <w:t>9</w:t>
        </w:r>
        <w:r w:rsidR="00800CCF">
          <w:rPr>
            <w:rFonts w:ascii="Times New Roman" w:hAnsi="Times New Roman" w:cs="Times New Roman"/>
            <w:noProof/>
            <w:webHidden/>
            <w:sz w:val="24"/>
            <w:szCs w:val="24"/>
          </w:rPr>
          <w:fldChar w:fldCharType="end"/>
        </w:r>
      </w:hyperlink>
    </w:p>
    <w:p w:rsidR="00C16425" w:rsidRDefault="00800CCF">
      <w:pPr>
        <w:spacing w:line="360" w:lineRule="auto"/>
        <w:jc w:val="both"/>
      </w:pPr>
      <w:r>
        <w:rPr>
          <w:rFonts w:ascii="Times New Roman" w:hAnsi="Times New Roman" w:cs="Times New Roman"/>
          <w:sz w:val="24"/>
          <w:szCs w:val="24"/>
        </w:rPr>
        <w:fldChar w:fldCharType="end"/>
      </w:r>
    </w:p>
    <w:p w:rsidR="00C16425" w:rsidRDefault="00800CCF">
      <w:pPr>
        <w:rPr>
          <w:rFonts w:ascii="Times New Roman" w:hAnsi="Times New Roman"/>
          <w:b/>
          <w:sz w:val="28"/>
          <w:szCs w:val="40"/>
        </w:rPr>
      </w:pPr>
      <w:bookmarkStart w:id="0" w:name="_Toc100594746"/>
      <w:r>
        <w:br w:type="page"/>
      </w:r>
    </w:p>
    <w:p w:rsidR="00C16425" w:rsidRDefault="00800CCF">
      <w:pPr>
        <w:pStyle w:val="Titlu1"/>
      </w:pPr>
      <w:r>
        <w:lastRenderedPageBreak/>
        <w:t>Introduction</w:t>
      </w:r>
      <w:bookmarkEnd w:id="0"/>
      <w:r>
        <w:t xml:space="preserve"> </w:t>
      </w:r>
    </w:p>
    <w:p w:rsidR="00C16425" w:rsidRDefault="00800CCF">
      <w:pPr>
        <w:pStyle w:val="Normal1"/>
      </w:pPr>
      <w:r>
        <w:t>Community engagement can be defined as spreading the empowerment of an individual or organisation towards the mass people for social or socio-economic development. It encourages a large number of people to work together with a common perspective. Many charitable and non-charitable organisations perform the event of community engagement across the world and throughout the year by arranging awareness programmes, donations, and fundraising activities for the growth of bonafide people (Gilmore et al., 2020). Community engagements can be organised based on different social subjects such as women empowerment, environmental activities, cancer awareness, care for the old-aged people and others. In this context, the chosen organisation, The Plan International has been kept under the spotlight because of their special activities during the situation of the pandemic for keeping the children’s future secured. The Britain based charitable organisation Plan International works for a global children's forum throughout the year for the upliftment of the poorest communities of the world. They organise many events for the benefit of boys and girls (Mao et al., 2021). Fundraising events were arranged during the pandemics to help children across the world by supplying food, health kits, education and other necessary commodities. In this report, a constructive discussion on the project of Plan International will take place in detail.</w:t>
      </w:r>
    </w:p>
    <w:p w:rsidR="00C16425" w:rsidRDefault="00800CCF">
      <w:pPr>
        <w:pStyle w:val="Titlu1"/>
        <w:rPr>
          <w:sz w:val="24"/>
        </w:rPr>
      </w:pPr>
      <w:bookmarkStart w:id="1" w:name="_Toc100594747"/>
      <w:r>
        <w:t>Conversation on Project</w:t>
      </w:r>
      <w:bookmarkEnd w:id="1"/>
      <w:r>
        <w:t xml:space="preserve"> </w:t>
      </w:r>
    </w:p>
    <w:p w:rsidR="00C16425" w:rsidRDefault="00800CCF">
      <w:pPr>
        <w:pStyle w:val="Normal1"/>
        <w:rPr>
          <w:rFonts w:eastAsia="Times New Roman" w:cs="Times New Roman"/>
          <w:color w:val="0E101A"/>
          <w:szCs w:val="24"/>
        </w:rPr>
      </w:pPr>
      <w:r>
        <w:rPr>
          <w:rFonts w:eastAsia="Times New Roman" w:cs="Times New Roman"/>
          <w:b/>
          <w:color w:val="0E101A"/>
          <w:szCs w:val="24"/>
        </w:rPr>
        <w:t xml:space="preserve">Beginning of the foundation: </w:t>
      </w:r>
      <w:r>
        <w:rPr>
          <w:rFonts w:eastAsia="Times New Roman" w:cs="Times New Roman"/>
          <w:color w:val="0E101A"/>
          <w:szCs w:val="24"/>
        </w:rPr>
        <w:t xml:space="preserve">Plan International was founded in 1937 and it was the brainchild of John Langdon and Eric Muggeridge. It is an international NGO that works in the field of humanitarian development in more than 75 countries throughout the world. The purpose of the organisation is to establish the rights of children and the equality of girls. </w:t>
      </w:r>
    </w:p>
    <w:p w:rsidR="00C16425" w:rsidRDefault="00800CCF">
      <w:pPr>
        <w:pStyle w:val="Normal1"/>
        <w:rPr>
          <w:rFonts w:eastAsia="Times New Roman" w:cs="Times New Roman"/>
          <w:b/>
          <w:color w:val="0E101A"/>
          <w:szCs w:val="24"/>
        </w:rPr>
      </w:pPr>
      <w:r>
        <w:rPr>
          <w:rFonts w:eastAsia="Times New Roman" w:cs="Times New Roman"/>
          <w:b/>
          <w:color w:val="0E101A"/>
          <w:szCs w:val="24"/>
        </w:rPr>
        <w:t xml:space="preserve">Concept of Fundraising Events: </w:t>
      </w:r>
      <w:r>
        <w:rPr>
          <w:rFonts w:eastAsia="Times New Roman" w:cs="Times New Roman"/>
          <w:color w:val="0E101A"/>
          <w:szCs w:val="24"/>
        </w:rPr>
        <w:t>Plan International is a charitable organisation that believes in community engagement to process the arrangement of fundraising events throughout the year (</w:t>
      </w:r>
      <w:r>
        <w:rPr>
          <w:rFonts w:cs="Times New Roman"/>
          <w:color w:val="000000"/>
          <w:szCs w:val="24"/>
          <w:shd w:val="clear" w:color="auto" w:fill="FFFFFF"/>
        </w:rPr>
        <w:t>Plan International, 2022</w:t>
      </w:r>
      <w:r>
        <w:rPr>
          <w:rFonts w:eastAsia="Times New Roman" w:cs="Times New Roman"/>
          <w:color w:val="0E101A"/>
          <w:szCs w:val="24"/>
        </w:rPr>
        <w:t xml:space="preserve">). Maybe in different forms and different names, the organisation comes first to create no difference between boys and girls by establishing equal rights for both. During the situation of the pandemic, the charitable organisation has dedicatedly worked on empowering children by keeping the supply of health and hygiene kits, clothes, foods, and education support materials with the focus on unstoppable career growth of the poor nations such as Africa, Jamaica and others. Many third world countries of SouthEast Asia are also part of Plan International’s daily </w:t>
      </w:r>
      <w:r>
        <w:rPr>
          <w:rFonts w:eastAsia="Times New Roman" w:cs="Times New Roman"/>
          <w:color w:val="0E101A"/>
          <w:szCs w:val="24"/>
        </w:rPr>
        <w:lastRenderedPageBreak/>
        <w:t xml:space="preserve">events. To operate this bigger execution, Plan International needs a huge amount of sponsorship, donations or any other income sources (Ryder et al., 2021). Therefore, they decided to organise some special activities where people will participate to get some entertainment and the donated amount will be spent for the benefit of children in the pandemics. </w:t>
      </w:r>
      <w:r>
        <w:rPr>
          <w:rFonts w:eastAsia="Times New Roman" w:cs="Times New Roman"/>
          <w:b/>
          <w:color w:val="0E101A"/>
          <w:szCs w:val="24"/>
        </w:rPr>
        <w:t xml:space="preserve"> </w:t>
      </w:r>
    </w:p>
    <w:p w:rsidR="00C16425" w:rsidRDefault="00800CCF">
      <w:pPr>
        <w:pStyle w:val="Normal1"/>
        <w:rPr>
          <w:rFonts w:eastAsia="Times New Roman" w:cs="Times New Roman"/>
          <w:color w:val="0E101A"/>
          <w:szCs w:val="24"/>
        </w:rPr>
      </w:pPr>
      <w:r>
        <w:rPr>
          <w:rFonts w:eastAsia="Times New Roman" w:cs="Times New Roman"/>
          <w:b/>
          <w:color w:val="0E101A"/>
          <w:szCs w:val="24"/>
        </w:rPr>
        <w:t xml:space="preserve">Virtual Walking Challenge: </w:t>
      </w:r>
      <w:r>
        <w:rPr>
          <w:rFonts w:eastAsia="Times New Roman" w:cs="Times New Roman"/>
          <w:color w:val="0E101A"/>
          <w:szCs w:val="24"/>
        </w:rPr>
        <w:t xml:space="preserve">In support of Plan International’s fundraising event, they organised a virtual walking challenge which is a 140 kilometres walk within 14 days to showcase the supportiveness for the girl's empowerment and unstoppable charity services during the pandemics session. To participate in this challenge, the candidate needs to use the company’s online website. The details need to be shared and the executive team of Plan International will contact the participant to confirm the registration (Veyvoda et al., 2020). Here the participant has full authority to select a personal challenge date and then directs to the fundraising page. The minimum fund needed to be donated is Euro 150. Plan International directs the participants to make the payment by sending a link. The participant is also requested to share the page of Plan International with his or her friends to pull maximum members of the community. Through social media sharing, many of the members of the candidate may react or show interest to join in such noble activity. </w:t>
      </w:r>
    </w:p>
    <w:p w:rsidR="00C16425" w:rsidRDefault="00800CCF">
      <w:pPr>
        <w:pStyle w:val="Normal1"/>
        <w:rPr>
          <w:rFonts w:eastAsia="Times New Roman" w:cs="Times New Roman"/>
          <w:color w:val="0E101A"/>
          <w:szCs w:val="24"/>
        </w:rPr>
      </w:pPr>
      <w:r>
        <w:rPr>
          <w:rFonts w:eastAsia="Times New Roman" w:cs="Times New Roman"/>
          <w:b/>
          <w:color w:val="0E101A"/>
          <w:szCs w:val="24"/>
        </w:rPr>
        <w:t xml:space="preserve">Just Giving Page Challenge: </w:t>
      </w:r>
      <w:r>
        <w:rPr>
          <w:rFonts w:eastAsia="Times New Roman" w:cs="Times New Roman"/>
          <w:color w:val="0E101A"/>
          <w:szCs w:val="24"/>
        </w:rPr>
        <w:t xml:space="preserve">Plan International values its participants and their busy schedule too. Therefore, during the pandemics, they have also set up a daily challenge for their candidates to keep their fundraisers non-stop. Just Giving Page Challenge was cultivated by Plan International during the pandemics when a participant becomes capable to create a challenge for himself or herself such as indoor cycling, walking, indoor climbing and otters (Iyengar, 2021). To participate in such fun activities, the client needs to share a donation to receive the best advantage of stakeholdership. This fund raised for social activities is carried forward for the many noble works. </w:t>
      </w:r>
    </w:p>
    <w:p w:rsidR="00C16425" w:rsidRDefault="00800CCF">
      <w:pPr>
        <w:pStyle w:val="Titlu1"/>
      </w:pPr>
      <w:bookmarkStart w:id="2" w:name="_Toc100594748"/>
      <w:r>
        <w:t>Stakeholders’ association with the Organisation or Project</w:t>
      </w:r>
      <w:bookmarkEnd w:id="2"/>
      <w:r>
        <w:t xml:space="preserve"> </w:t>
      </w:r>
    </w:p>
    <w:p w:rsidR="00C16425" w:rsidRDefault="00800CCF">
      <w:pPr>
        <w:pStyle w:val="Normal1"/>
        <w:rPr>
          <w:rFonts w:eastAsia="Times New Roman" w:cs="Times New Roman"/>
          <w:color w:val="0E101A"/>
          <w:szCs w:val="24"/>
        </w:rPr>
      </w:pPr>
      <w:r>
        <w:rPr>
          <w:rFonts w:eastAsia="Times New Roman" w:cs="Times New Roman"/>
          <w:color w:val="0E101A"/>
          <w:szCs w:val="24"/>
        </w:rPr>
        <w:t>Plan International is a committed organisation working for children's rights and equality for girls. To recognise their efficiency and accuracy of responsibilities, they are accountable to all their stakeholders (Nuringsih and Natsir, 2021). Following are the valuable stakeholders of Plan International who actively participate in the project virtual Walking Challenge and Just Giving Page Challenge.</w:t>
      </w:r>
    </w:p>
    <w:p w:rsidR="00C16425" w:rsidRDefault="00800CCF">
      <w:pPr>
        <w:pStyle w:val="Normal1"/>
        <w:rPr>
          <w:rFonts w:eastAsia="Times New Roman" w:cs="Times New Roman"/>
          <w:color w:val="0E101A"/>
          <w:szCs w:val="24"/>
        </w:rPr>
      </w:pPr>
      <w:r>
        <w:rPr>
          <w:rFonts w:eastAsia="Times New Roman" w:cs="Times New Roman"/>
          <w:b/>
          <w:color w:val="0E101A"/>
          <w:szCs w:val="24"/>
        </w:rPr>
        <w:t xml:space="preserve">Participants: </w:t>
      </w:r>
      <w:r>
        <w:rPr>
          <w:rFonts w:eastAsia="Times New Roman" w:cs="Times New Roman"/>
          <w:color w:val="0E101A"/>
          <w:szCs w:val="24"/>
        </w:rPr>
        <w:t xml:space="preserve">Plan International has a friendly atmosphere which is enjoyed by its participants while taking place in different challenges. The participants need to go for an online registration to get associated with these challenges (Osafo, 2021). Therefore, they are linked to a payment </w:t>
      </w:r>
      <w:r>
        <w:rPr>
          <w:rFonts w:eastAsia="Times New Roman" w:cs="Times New Roman"/>
          <w:color w:val="0E101A"/>
          <w:szCs w:val="24"/>
        </w:rPr>
        <w:lastRenderedPageBreak/>
        <w:t>gateway and actively participate by paying the donation for collecting the entrance pass of virtual challenges. The best flexible attitudes of Plan International inspire a participant to take up the fun gaming challenges in exchange for fundraising programmes.</w:t>
      </w:r>
    </w:p>
    <w:p w:rsidR="00C16425" w:rsidRDefault="00800CCF">
      <w:pPr>
        <w:pStyle w:val="Normal1"/>
        <w:rPr>
          <w:rFonts w:eastAsia="Times New Roman" w:cs="Times New Roman"/>
          <w:color w:val="0E101A"/>
          <w:szCs w:val="24"/>
        </w:rPr>
      </w:pPr>
      <w:r>
        <w:rPr>
          <w:rFonts w:eastAsia="Times New Roman" w:cs="Times New Roman"/>
          <w:b/>
          <w:color w:val="0E101A"/>
          <w:szCs w:val="24"/>
        </w:rPr>
        <w:t>Donors:</w:t>
      </w:r>
      <w:r>
        <w:rPr>
          <w:rFonts w:eastAsia="Times New Roman" w:cs="Times New Roman"/>
          <w:color w:val="0E101A"/>
          <w:szCs w:val="24"/>
        </w:rPr>
        <w:t xml:space="preserve"> Apart from the participants, Plan International keeps a very good and healthy relationship with the donors who give the most profitable access to this charity foundation. On the website of Plan International, a payment link is shared where a contributor can contribute his or her hard-earned money for the social development work (Wilke and Howard, 2021). In return, they do not look forward to anything from the organisation. </w:t>
      </w:r>
    </w:p>
    <w:p w:rsidR="00C16425" w:rsidRDefault="00800CCF">
      <w:pPr>
        <w:pStyle w:val="Normal1"/>
        <w:rPr>
          <w:rFonts w:eastAsia="Times New Roman" w:cs="Times New Roman"/>
          <w:color w:val="0E101A"/>
          <w:szCs w:val="24"/>
        </w:rPr>
      </w:pPr>
      <w:r>
        <w:rPr>
          <w:rFonts w:eastAsia="Times New Roman" w:cs="Times New Roman"/>
          <w:b/>
          <w:color w:val="0E101A"/>
          <w:szCs w:val="24"/>
        </w:rPr>
        <w:t xml:space="preserve">Sponsorship: </w:t>
      </w:r>
      <w:r>
        <w:rPr>
          <w:rFonts w:eastAsia="Times New Roman" w:cs="Times New Roman"/>
          <w:color w:val="0E101A"/>
          <w:szCs w:val="24"/>
        </w:rPr>
        <w:t xml:space="preserve">Many advertising agencies and bigger companies participate to sponsor huge amounts in such glorious activities of Plan International. These sponsorships keep the structure of the organisation healthy and fit and may work for something better shortly. Many big corporate houses participate in these events of fundraising activities and voluntarily distribute food and clothes, and uniforms to the underprivileged section (Cai et al., 2021). They also sponsor many of the amusement kits and reward packages for the challenge winners. Such exciting strategies always work in favour of Plan International to pull maximum participants from the market. </w:t>
      </w:r>
    </w:p>
    <w:p w:rsidR="00C16425" w:rsidRDefault="00800CCF">
      <w:pPr>
        <w:pStyle w:val="Normal1"/>
        <w:rPr>
          <w:rFonts w:eastAsia="Times New Roman" w:cs="Times New Roman"/>
          <w:color w:val="0E101A"/>
          <w:szCs w:val="24"/>
        </w:rPr>
      </w:pPr>
      <w:r>
        <w:rPr>
          <w:rFonts w:eastAsia="Times New Roman" w:cs="Times New Roman"/>
          <w:b/>
          <w:color w:val="0E101A"/>
          <w:szCs w:val="24"/>
        </w:rPr>
        <w:t>Employees:</w:t>
      </w:r>
      <w:r>
        <w:rPr>
          <w:rFonts w:eastAsia="Times New Roman" w:cs="Times New Roman"/>
          <w:color w:val="0E101A"/>
          <w:szCs w:val="24"/>
        </w:rPr>
        <w:t xml:space="preserve">  Being a nice organisation with a noble purpose, Plan International gives their employees the post of stakeholders because employees are counted here as think tanks of the organisation. Many suggestive decisions are configured by the employees which work like a master plan for many projects (Kasi et al., 2021). Therefore, Plan International maintains an impressive relationship with its employees and other stakeholders to secure the charitable organisation and its performance. </w:t>
      </w:r>
    </w:p>
    <w:p w:rsidR="00C16425" w:rsidRDefault="00800CCF">
      <w:pPr>
        <w:pStyle w:val="Normal1"/>
        <w:rPr>
          <w:rFonts w:eastAsia="Times New Roman" w:cs="Times New Roman"/>
          <w:b/>
          <w:color w:val="0E101A"/>
          <w:szCs w:val="24"/>
        </w:rPr>
      </w:pPr>
      <w:r>
        <w:rPr>
          <w:rFonts w:eastAsia="Times New Roman" w:cs="Times New Roman"/>
          <w:b/>
          <w:color w:val="0E101A"/>
          <w:szCs w:val="24"/>
        </w:rPr>
        <w:t xml:space="preserve">Role of Social Media in Concert with Social Integration and Multiculturalism </w:t>
      </w:r>
    </w:p>
    <w:p w:rsidR="00C16425" w:rsidRDefault="00800CCF">
      <w:pPr>
        <w:pStyle w:val="Normal1"/>
        <w:rPr>
          <w:rFonts w:eastAsia="Times New Roman" w:cs="Times New Roman"/>
          <w:color w:val="0E101A"/>
          <w:szCs w:val="24"/>
        </w:rPr>
      </w:pPr>
      <w:r>
        <w:rPr>
          <w:rFonts w:eastAsia="Times New Roman" w:cs="Times New Roman"/>
          <w:color w:val="0E101A"/>
          <w:szCs w:val="24"/>
        </w:rPr>
        <w:t>In the present digital connection with the organisation and the greater world, social media actively performs for the benefit of Plan International to create a successful fundraising event. The role of social media is not only limited to the minimum purpose of Plan International; rather it actively works on social integration and multiculturalism. For making the aforesaid projects to create funds for survivors of the poor children during the pandemics, the role of social media became exclusively important. Following are the details mentioned below:</w:t>
      </w:r>
    </w:p>
    <w:p w:rsidR="00C16425" w:rsidRDefault="00800CCF">
      <w:pPr>
        <w:pStyle w:val="Normal1"/>
        <w:rPr>
          <w:rFonts w:eastAsia="Times New Roman" w:cs="Times New Roman"/>
          <w:color w:val="0E101A"/>
          <w:szCs w:val="24"/>
        </w:rPr>
      </w:pPr>
      <w:r>
        <w:rPr>
          <w:rFonts w:eastAsia="Times New Roman" w:cs="Times New Roman"/>
          <w:b/>
          <w:color w:val="0E101A"/>
          <w:szCs w:val="24"/>
        </w:rPr>
        <w:t>Facebook:</w:t>
      </w:r>
      <w:r>
        <w:rPr>
          <w:rFonts w:eastAsia="Times New Roman" w:cs="Times New Roman"/>
          <w:color w:val="0E101A"/>
          <w:szCs w:val="24"/>
        </w:rPr>
        <w:t xml:space="preserve"> It is an important platform for Plan International to execute its programme and promotional activities. Facebook is a social community that is accessed in the common periphery by many people from different nations, different cultures, different communities and backgrounds. Therefore, whenever international post their requirements or fundraising events by promoting </w:t>
      </w:r>
      <w:r>
        <w:rPr>
          <w:rFonts w:eastAsia="Times New Roman" w:cs="Times New Roman"/>
          <w:color w:val="0E101A"/>
          <w:szCs w:val="24"/>
        </w:rPr>
        <w:lastRenderedPageBreak/>
        <w:t xml:space="preserve">arranged challenges, the people give a lot of support (Noyes and Lyle, 2021). Therefore, the multicultural background is observed while people react from different places but a common perspective shows around. It also helps in increasing social integration. It refers to creating collaboration among a large number of people to think together under a common perspective. In the advertisements of the Plan International, whatever the reactions are posted, shows tranquil integrity which helps to make the programme more successful. </w:t>
      </w:r>
    </w:p>
    <w:p w:rsidR="00C16425" w:rsidRDefault="00800CCF">
      <w:pPr>
        <w:pStyle w:val="Normal1"/>
        <w:rPr>
          <w:rFonts w:eastAsia="Times New Roman" w:cs="Times New Roman"/>
          <w:color w:val="0E101A"/>
          <w:szCs w:val="24"/>
        </w:rPr>
      </w:pPr>
      <w:r>
        <w:rPr>
          <w:rFonts w:eastAsia="Times New Roman" w:cs="Times New Roman"/>
          <w:b/>
          <w:color w:val="0E101A"/>
          <w:szCs w:val="24"/>
        </w:rPr>
        <w:t xml:space="preserve">Twitter: </w:t>
      </w:r>
      <w:r>
        <w:rPr>
          <w:rFonts w:eastAsia="Times New Roman" w:cs="Times New Roman"/>
          <w:color w:val="0E101A"/>
          <w:szCs w:val="24"/>
        </w:rPr>
        <w:t>Same as Facebook, Twitter also plays an important role in multiculturalism and social integration. On Twitter, Plan International tweets its daily events for promotion and social encouragement purposes. They also share the links through which participants can take a direct entry to the virtual programme. People from many countries receive wide access to participate in such noble purposes (Thurstan et al., 2021). Therefore, residents from different backgrounds and cultures are accumulated to step up this event as more happens. Plan International uses its Twitter page to receive customer feedback as well. Be it fundraising activity or social regulations, Plan International uses its Twitter page to collect customer feedback. Even the donors also can donate to the charity organisation through their Twitter page</w:t>
      </w:r>
    </w:p>
    <w:p w:rsidR="00C16425" w:rsidRDefault="00800CCF">
      <w:pPr>
        <w:pStyle w:val="Normal1"/>
        <w:rPr>
          <w:rFonts w:eastAsia="Times New Roman" w:cs="Times New Roman"/>
          <w:color w:val="0E101A"/>
          <w:szCs w:val="24"/>
        </w:rPr>
      </w:pPr>
      <w:r>
        <w:rPr>
          <w:rFonts w:eastAsia="Times New Roman" w:cs="Times New Roman"/>
          <w:b/>
          <w:color w:val="0E101A"/>
          <w:szCs w:val="24"/>
        </w:rPr>
        <w:t xml:space="preserve">Instagram: </w:t>
      </w:r>
      <w:r>
        <w:rPr>
          <w:rFonts w:eastAsia="Times New Roman" w:cs="Times New Roman"/>
          <w:color w:val="0E101A"/>
          <w:szCs w:val="24"/>
        </w:rPr>
        <w:t>For the present generation, Instagram is the hotcake of the market. Plan International uses its Instagram page easily and effectively to promote every update in respect of keeping the organisation constant in peoples’ minds. Because Instagram had a strong number of participants, Plan International posted their advertisements with links for joining more and more participants (Noyes and Lyle, 2021). As a result, Plan International receives a huge response from multiple backgrounds and most of them actively participate in such programmes knowing the purpose of the advertisement. On Instagram as well, Plan International shares its website and a payment link so that Instagram followers can quickly join the team.</w:t>
      </w:r>
    </w:p>
    <w:p w:rsidR="00C16425" w:rsidRDefault="00800CCF">
      <w:pPr>
        <w:pStyle w:val="Normal1"/>
        <w:rPr>
          <w:rFonts w:eastAsia="Times New Roman" w:cs="Times New Roman"/>
          <w:color w:val="0E101A"/>
          <w:szCs w:val="24"/>
        </w:rPr>
      </w:pPr>
      <w:r>
        <w:rPr>
          <w:rFonts w:eastAsia="Times New Roman" w:cs="Times New Roman"/>
          <w:b/>
          <w:color w:val="0E101A"/>
          <w:szCs w:val="24"/>
        </w:rPr>
        <w:t xml:space="preserve">YouTube: </w:t>
      </w:r>
      <w:r>
        <w:rPr>
          <w:rFonts w:eastAsia="Times New Roman" w:cs="Times New Roman"/>
          <w:color w:val="0E101A"/>
          <w:szCs w:val="24"/>
        </w:rPr>
        <w:t xml:space="preserve">Though in popularity, YouTube is behind Instagram or Facebook, but in the case of value addition of the Plan International project, YouTube plays a successful role. Many times, Plan International creates short video clips which are posted on YouTube and many people react to them with both positive and negative comments. As a result, Plan International receives a dynamic integration and sense of multiculturalism which promotes their social events more vigorously. </w:t>
      </w:r>
    </w:p>
    <w:p w:rsidR="00C16425" w:rsidRDefault="00800CCF">
      <w:pPr>
        <w:pStyle w:val="Titlu1"/>
        <w:rPr>
          <w:sz w:val="24"/>
        </w:rPr>
      </w:pPr>
      <w:bookmarkStart w:id="3" w:name="_Toc100594749"/>
      <w:r>
        <w:t>Forthcoming Approaches</w:t>
      </w:r>
      <w:bookmarkEnd w:id="3"/>
      <w:r>
        <w:t xml:space="preserve"> </w:t>
      </w:r>
    </w:p>
    <w:p w:rsidR="00C16425" w:rsidRDefault="00800CCF">
      <w:pPr>
        <w:pStyle w:val="Normal1"/>
      </w:pPr>
      <w:r>
        <w:t xml:space="preserve">Plan International has never thought of stopping at a point; rather, it concentrates on keeping its journey ahead with more events. The purpose of arranging such events is to engage more </w:t>
      </w:r>
      <w:r>
        <w:lastRenderedPageBreak/>
        <w:t>communities in creating a successful venture for childrens’ rights and equality for girls. Because of the situation of the pandemic, many countries are suffering from a huge financial crunch and therefore salary cuts or job cuts are in the practice of the corporate companies (Osafo, 2021). In such situations. Plan International has come up with many events in the upcoming days which will be able to create huge funds to suffice the needs of poor children. Run Hackney, Manchester Marathon, Royal Parks half marathon, TCS London Marathon, Football tournament, cycle riding London- Essex 100 and many other events are coming shortly in the form of community engagement which will help the organisation to sustain itself for a longer period (Thurstan et al., 2021). In the upcoming days, Plan International has outlined the strategies to work with many other countries in collaboration with those nation’s Governments in the sector of children's education, rights of girls and women, children's safety and security, health projects and others.</w:t>
      </w:r>
    </w:p>
    <w:p w:rsidR="00C16425" w:rsidRDefault="00800CCF">
      <w:pPr>
        <w:pStyle w:val="Titlu1"/>
        <w:rPr>
          <w:sz w:val="24"/>
        </w:rPr>
      </w:pPr>
      <w:bookmarkStart w:id="4" w:name="_Toc100594750"/>
      <w:r>
        <w:t>Conclusion</w:t>
      </w:r>
      <w:bookmarkEnd w:id="4"/>
      <w:r>
        <w:t xml:space="preserve"> </w:t>
      </w:r>
    </w:p>
    <w:p w:rsidR="00C16425" w:rsidRDefault="00800CCF">
      <w:pPr>
        <w:pStyle w:val="Normal1"/>
      </w:pPr>
      <w:r>
        <w:t xml:space="preserve">Hence to conclude, Plan International is a renowned charitable organisation based in the UK mainly working for children's safety and equality for girls. It has been seen that during the pandemics, Plan International has worked on many things such as supplying health and hygiene kits, foods and clothes and education supplies. During this performance, they created different programmes which will help raise funds for the sake of social empowerment. Virtual Walking challenger was arranged by Plan International to accumulate many participants who can take up this challenge and play it within the door. Other than that, they also created a page challenge where participants can choose their challenge mode while starting playing. During this entire programme arrangement, they maintain a healthy relationship with their stakeholders effectively. Employees, participants, donors and sponsors all are coming under the stakeholders’ list of Plan International. The organisation promotes their events in such a way that the monetary part is influenced by social media. Plan International uses its social media pages effectively to collect the response from the audience and maximum turnover towards the confirmation of participation takes place here only. On every social media, they share their upcoming events along with their registration link where a participant can register himself or herself by paying the donation charges. Plan International has some upcoming projects as well to establish their purpose successfully such as establishing children's rights, and equality of girls and women empowerment. </w:t>
      </w:r>
    </w:p>
    <w:p w:rsidR="00C16425" w:rsidRDefault="00C16425">
      <w:pPr>
        <w:pStyle w:val="Normal1"/>
      </w:pPr>
    </w:p>
    <w:p w:rsidR="00C16425" w:rsidRDefault="00800CCF">
      <w:pPr>
        <w:pStyle w:val="Normal1"/>
      </w:pPr>
      <w:r>
        <w:br w:type="page"/>
      </w:r>
    </w:p>
    <w:p w:rsidR="00C16425" w:rsidRDefault="00800CCF">
      <w:pPr>
        <w:pStyle w:val="Titlu1"/>
      </w:pPr>
      <w:bookmarkStart w:id="5" w:name="_Toc100594751"/>
      <w:r>
        <w:lastRenderedPageBreak/>
        <w:t>References</w:t>
      </w:r>
      <w:bookmarkEnd w:id="5"/>
      <w:r>
        <w:t xml:space="preserve"> </w:t>
      </w:r>
    </w:p>
    <w:p w:rsidR="00C16425" w:rsidRDefault="00800CCF">
      <w:pPr>
        <w:pStyle w:val="Normal1"/>
      </w:pPr>
      <w:r>
        <w:t xml:space="preserve">Cai, Q., Okada, A., Jeong, B.G. and Kim, S.J., 2021. Civil Society Responses to the COVID-19 Pandemic. China Review, 21(1), pp.107-138. Available at: </w:t>
      </w:r>
      <w:hyperlink r:id="rId7" w:history="1">
        <w:r>
          <w:rPr>
            <w:rStyle w:val="Hyperlink"/>
          </w:rPr>
          <w:t>https://www.researchgate.net/profile/Qihai Cai/publication/349965321_Civil_Society_Responses_to_the_COVID-19_Pandemic_A_Comparative_Study_of_China_Japan_and_South_Korea/links/6049c216a6fdcc4d3e560bed/Civil-Society-Responses-to-the-COVID-19-Pandemic-A-Comparative-Study-of-China-Japan-and-South-Korea.pdf</w:t>
        </w:r>
      </w:hyperlink>
      <w:r>
        <w:t xml:space="preserve"> </w:t>
      </w:r>
    </w:p>
    <w:p w:rsidR="00C16425" w:rsidRDefault="00800CCF">
      <w:pPr>
        <w:pStyle w:val="Normal1"/>
      </w:pPr>
      <w:r>
        <w:t xml:space="preserve">Gilmore, B., Ndejjo, R., Tchetchia, A., De Claro, V., Mago, E., Lopes, C. and Bhattacharyya, S., 2020. Community engagement for COVID-19 prevention and control: a rapid evidence synthesis. BMJ global health, 5(10), p.e003188. Available at: </w:t>
      </w:r>
      <w:hyperlink r:id="rId8" w:history="1">
        <w:r>
          <w:t>https://gh.bmj.com/content/5/10/e003188.abstract</w:t>
        </w:r>
      </w:hyperlink>
      <w:r>
        <w:t xml:space="preserve"> </w:t>
      </w:r>
    </w:p>
    <w:p w:rsidR="00C16425" w:rsidRDefault="00800CCF">
      <w:pPr>
        <w:pStyle w:val="Normal1"/>
      </w:pPr>
      <w:r>
        <w:t xml:space="preserve">Iyengar, R., 2021. Rethinking community participation in education post-Covid-19. Prospects, 51(1), pp.437-447. Available at: </w:t>
      </w:r>
      <w:hyperlink r:id="rId9" w:history="1">
        <w:r>
          <w:t>https://link.springer.com/article/10.1007/s11125-020-09538-2</w:t>
        </w:r>
      </w:hyperlink>
      <w:r>
        <w:t xml:space="preserve"> </w:t>
      </w:r>
    </w:p>
    <w:p w:rsidR="00C16425" w:rsidRDefault="00800CCF">
      <w:pPr>
        <w:pStyle w:val="Normal1"/>
      </w:pPr>
      <w:r>
        <w:t xml:space="preserve">Kasi, Y.E.M., Suparno, S. and Asib, A., 2021. Parents’ Perception: Roles and Involvement in Distance Learning Amid the Covid-19 Pandemic. AL-ISHLAH: Jurnal Pendidikan, 13(3), pp.1877-1887. Available at: </w:t>
      </w:r>
      <w:hyperlink r:id="rId10" w:history="1">
        <w:r>
          <w:t>https://journal.staihubbulwathan.id/index.php/alishlah/article/download/1170/488</w:t>
        </w:r>
      </w:hyperlink>
      <w:r>
        <w:t xml:space="preserve"> </w:t>
      </w:r>
    </w:p>
    <w:p w:rsidR="00C16425" w:rsidRDefault="00800CCF">
      <w:pPr>
        <w:pStyle w:val="Normal1"/>
      </w:pPr>
      <w:r>
        <w:t xml:space="preserve">Mao, G., Fernandes-Jesus, M., Ntontis, E. and Drury, J., 2021. What have we learned about COVID-19 volunteering in the UK? A rapid review of the literature. BMC Public Health, 21(1), pp.1-15. Available at: </w:t>
      </w:r>
      <w:hyperlink r:id="rId11" w:history="1">
        <w:r>
          <w:t>https://link.springer.com/article/10.1186/s12889-021-11390-8</w:t>
        </w:r>
      </w:hyperlink>
      <w:r>
        <w:t xml:space="preserve"> </w:t>
      </w:r>
    </w:p>
    <w:p w:rsidR="00C16425" w:rsidRDefault="00800CCF">
      <w:pPr>
        <w:pStyle w:val="Normal1"/>
      </w:pPr>
      <w:r>
        <w:t xml:space="preserve">Noyes, I. and Lyle, N., 2021. COVID-19 and school food. Journal of Agriculture, Food Systems, and Community Development, 10(2), pp.1-14. Available at: </w:t>
      </w:r>
      <w:hyperlink r:id="rId12" w:history="1">
        <w:r>
          <w:t>https://www.foodsystemsjournal.org/index.php/fsj/article/download/960/933/</w:t>
        </w:r>
      </w:hyperlink>
      <w:r>
        <w:t xml:space="preserve"> </w:t>
      </w:r>
    </w:p>
    <w:p w:rsidR="00C16425" w:rsidRDefault="00800CCF">
      <w:pPr>
        <w:pStyle w:val="Normal1"/>
      </w:pPr>
      <w:r>
        <w:t xml:space="preserve">Nuringsih, K. and Natsir, K., 2021. Stakeholder Participation in Growing Spirit of Saving for Children in Beji Timur, Depok. Journal of Innovation and Community Engagement, 2(2), pp.62-74. Available at: </w:t>
      </w:r>
      <w:hyperlink r:id="rId13" w:history="1">
        <w:r>
          <w:t>https://journal.maranatha.edu/index.php/ice/article/download/3651/2031</w:t>
        </w:r>
      </w:hyperlink>
      <w:r>
        <w:t xml:space="preserve"> </w:t>
      </w:r>
    </w:p>
    <w:p w:rsidR="00C16425" w:rsidRDefault="00800CCF">
      <w:pPr>
        <w:pStyle w:val="Normal1"/>
      </w:pPr>
      <w:r>
        <w:t xml:space="preserve">Osafo, E., 2021. Engaging Communities in Challenging Times: Lessons Learned from the Master Gardener Program during the COVID-19 Pandemic. Advances in Developing Human Resources, 23(1), pp.75-87. Available at: </w:t>
      </w:r>
      <w:hyperlink r:id="rId14" w:history="1">
        <w:r>
          <w:t>https://journals.sagepub.com/doi/pdf/10.1177/1523422320972142</w:t>
        </w:r>
      </w:hyperlink>
      <w:r>
        <w:t xml:space="preserve"> </w:t>
      </w:r>
    </w:p>
    <w:p w:rsidR="00C16425" w:rsidRDefault="00800CCF">
      <w:pPr>
        <w:pStyle w:val="Normal1"/>
        <w:rPr>
          <w:rFonts w:cs="Times New Roman"/>
          <w:szCs w:val="24"/>
        </w:rPr>
      </w:pPr>
      <w:r>
        <w:rPr>
          <w:rFonts w:cs="Times New Roman"/>
          <w:color w:val="000000"/>
          <w:szCs w:val="24"/>
          <w:shd w:val="clear" w:color="auto" w:fill="FFFFFF"/>
        </w:rPr>
        <w:lastRenderedPageBreak/>
        <w:t>Plan International, 2022. </w:t>
      </w:r>
      <w:r>
        <w:rPr>
          <w:rFonts w:cs="Times New Roman"/>
          <w:i/>
          <w:iCs/>
          <w:color w:val="000000"/>
          <w:szCs w:val="24"/>
          <w:shd w:val="clear" w:color="auto" w:fill="FFFFFF"/>
        </w:rPr>
        <w:t>Take part in an event | Plan International UK</w:t>
      </w:r>
      <w:r>
        <w:rPr>
          <w:rFonts w:cs="Times New Roman"/>
          <w:color w:val="000000"/>
          <w:szCs w:val="24"/>
          <w:shd w:val="clear" w:color="auto" w:fill="FFFFFF"/>
        </w:rPr>
        <w:t>. [online] Plan International UK. Available at: &lt;https://plan-uk.org/get-involved/take-part-in-an-event&gt; [Accessed 11 April 2022].</w:t>
      </w:r>
      <w:r>
        <w:rPr>
          <w:rFonts w:cs="Times New Roman"/>
          <w:szCs w:val="24"/>
        </w:rPr>
        <w:t xml:space="preserve"> </w:t>
      </w:r>
    </w:p>
    <w:p w:rsidR="00C16425" w:rsidRDefault="00800CCF">
      <w:pPr>
        <w:pStyle w:val="Normal1"/>
      </w:pPr>
      <w:r>
        <w:t xml:space="preserve">Ryder, B., Zhang, T. and Hua, N., 2021. The Social Media “Magic”: Virtually Engaging Visitors during COVID-19 Temporary Closures. Administrative Sciences, 11(2), p.53. Available at: </w:t>
      </w:r>
      <w:hyperlink r:id="rId15" w:history="1">
        <w:r>
          <w:t>https://www.mdpi.com/2076-3387/11/2/53/pdf</w:t>
        </w:r>
      </w:hyperlink>
      <w:r>
        <w:t xml:space="preserve"> </w:t>
      </w:r>
    </w:p>
    <w:p w:rsidR="00C16425" w:rsidRDefault="00800CCF">
      <w:pPr>
        <w:pStyle w:val="Normal1"/>
      </w:pPr>
      <w:r>
        <w:t xml:space="preserve">Thurstan, R.H., Hockings, K.J., Hedlund, J.S., Bersacola, E., Collins, C., Early, R., Ermiasi, Y., Fleischer‐Dogley, F., Gilkes, G., Harrison, M.E. and Imron, M.A., 2021. Envisioning a resilient future for biodiversity conservation in the wake of the COVID‐19 pandemic. People and Nature, 3(5), pp.990-1013. Available at: </w:t>
      </w:r>
      <w:hyperlink r:id="rId16" w:history="1">
        <w:r>
          <w:t>https://besjournals.onlinelibrary.wiley.com/doi/pdf/10.1002/pan3.10262</w:t>
        </w:r>
      </w:hyperlink>
      <w:r>
        <w:t xml:space="preserve"> </w:t>
      </w:r>
    </w:p>
    <w:p w:rsidR="00C16425" w:rsidRDefault="00800CCF">
      <w:pPr>
        <w:pStyle w:val="Normal1"/>
      </w:pPr>
      <w:r>
        <w:t xml:space="preserve">Veyvoda, M.A. and Van Cleave, T.J., 2020. Re-imagining community-engaged learning: service-learning in communication sciences and disorders courses during and after COVID-19. Perspectives of the ASHA Special Interest Groups, 5(6), pp.1542-1551. Available at: </w:t>
      </w:r>
      <w:hyperlink r:id="rId17" w:history="1">
        <w:r>
          <w:t>https://pubs.asha.org/doi/pdf/10.1044/2020_PERSP-20-00146</w:t>
        </w:r>
      </w:hyperlink>
      <w:r>
        <w:t xml:space="preserve"> </w:t>
      </w:r>
    </w:p>
    <w:p w:rsidR="00C16425" w:rsidRDefault="00800CCF">
      <w:pPr>
        <w:pStyle w:val="Normal1"/>
      </w:pPr>
      <w:r>
        <w:t xml:space="preserve">Wilke, N.G. and Howard, A.H., 2021. Data-informed recommendations for faith communities desiring to support vulnerable children and families during the COVID-19 pandemic. Journal of Religion &amp; Spirituality in Social Work: Social Thought, 40(3), pp.349-364. Available at: </w:t>
      </w:r>
      <w:hyperlink r:id="rId18" w:history="1">
        <w:r>
          <w:t>https://bettercarenetwork.org/sites/default/files/2021-04/Data%20informed%20recommendations%20for%20faith%20communities%20desiring%20to%20support%20vulnerable%20children%20and%20families%20during%20the%20COVID%2019%20pandemic.pdf</w:t>
        </w:r>
      </w:hyperlink>
    </w:p>
    <w:p w:rsidR="00C16425" w:rsidRDefault="00C16425">
      <w:pPr>
        <w:pStyle w:val="Normal1"/>
      </w:pPr>
    </w:p>
    <w:sectPr w:rsidR="00C16425">
      <w:footerReference w:type="default" r:id="rId1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C241E" w:rsidRDefault="00800CCF">
      <w:pPr>
        <w:spacing w:line="240" w:lineRule="auto"/>
      </w:pPr>
      <w:r>
        <w:separator/>
      </w:r>
    </w:p>
  </w:endnote>
  <w:endnote w:type="continuationSeparator" w:id="0">
    <w:p w:rsidR="002C241E" w:rsidRDefault="00800C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16425" w:rsidRDefault="00800CCF">
    <w:pPr>
      <w:pStyle w:val="Subsol"/>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C16425" w:rsidRDefault="00C1642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C241E" w:rsidRDefault="00800CCF">
      <w:pPr>
        <w:spacing w:line="240" w:lineRule="auto"/>
      </w:pPr>
      <w:r>
        <w:separator/>
      </w:r>
    </w:p>
  </w:footnote>
  <w:footnote w:type="continuationSeparator" w:id="0">
    <w:p w:rsidR="002C241E" w:rsidRDefault="00800CC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425"/>
    <w:rsid w:val="000A7B41"/>
    <w:rsid w:val="00207577"/>
    <w:rsid w:val="002C241E"/>
    <w:rsid w:val="003D2A53"/>
    <w:rsid w:val="004D11FF"/>
    <w:rsid w:val="00641316"/>
    <w:rsid w:val="00800CCF"/>
    <w:rsid w:val="00C16425"/>
    <w:rsid w:val="00ED5C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8D9F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uiPriority w:val="9"/>
    <w:qFormat/>
    <w:pPr>
      <w:keepNext/>
      <w:keepLines/>
      <w:spacing w:before="400" w:after="120"/>
      <w:outlineLvl w:val="0"/>
    </w:pPr>
    <w:rPr>
      <w:b/>
      <w:sz w:val="28"/>
      <w:szCs w:val="40"/>
    </w:rPr>
  </w:style>
  <w:style w:type="paragraph" w:styleId="Titlu2">
    <w:name w:val="heading 2"/>
    <w:basedOn w:val="Normal1"/>
    <w:next w:val="Normal1"/>
    <w:uiPriority w:val="9"/>
    <w:semiHidden/>
    <w:unhideWhenUsed/>
    <w:qFormat/>
    <w:pPr>
      <w:keepNext/>
      <w:keepLines/>
      <w:spacing w:before="360" w:after="120"/>
      <w:outlineLvl w:val="1"/>
    </w:pPr>
    <w:rPr>
      <w:sz w:val="32"/>
      <w:szCs w:val="32"/>
    </w:rPr>
  </w:style>
  <w:style w:type="paragraph" w:styleId="Titlu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Titlu4">
    <w:name w:val="heading 4"/>
    <w:basedOn w:val="Normal1"/>
    <w:next w:val="Normal1"/>
    <w:uiPriority w:val="9"/>
    <w:semiHidden/>
    <w:unhideWhenUsed/>
    <w:qFormat/>
    <w:pPr>
      <w:keepNext/>
      <w:keepLines/>
      <w:spacing w:before="280" w:after="80"/>
      <w:outlineLvl w:val="3"/>
    </w:pPr>
    <w:rPr>
      <w:color w:val="666666"/>
      <w:szCs w:val="24"/>
    </w:rPr>
  </w:style>
  <w:style w:type="paragraph" w:styleId="Titlu5">
    <w:name w:val="heading 5"/>
    <w:basedOn w:val="Normal1"/>
    <w:next w:val="Normal1"/>
    <w:uiPriority w:val="9"/>
    <w:semiHidden/>
    <w:unhideWhenUsed/>
    <w:qFormat/>
    <w:pPr>
      <w:keepNext/>
      <w:keepLines/>
      <w:spacing w:before="240" w:after="80"/>
      <w:outlineLvl w:val="4"/>
    </w:pPr>
    <w:rPr>
      <w:color w:val="666666"/>
      <w:sz w:val="22"/>
    </w:rPr>
  </w:style>
  <w:style w:type="paragraph" w:styleId="Titlu6">
    <w:name w:val="heading 6"/>
    <w:basedOn w:val="Normal1"/>
    <w:next w:val="Normal1"/>
    <w:uiPriority w:val="9"/>
    <w:semiHidden/>
    <w:unhideWhenUsed/>
    <w:qFormat/>
    <w:pPr>
      <w:keepNext/>
      <w:keepLines/>
      <w:spacing w:before="240" w:after="80"/>
      <w:outlineLvl w:val="5"/>
    </w:pPr>
    <w:rPr>
      <w:i/>
      <w:color w:val="666666"/>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pPr>
      <w:spacing w:line="360" w:lineRule="auto"/>
      <w:jc w:val="both"/>
    </w:pPr>
    <w:rPr>
      <w:rFonts w:ascii="Times New Roman" w:hAnsi="Times New Roman"/>
      <w:sz w:val="24"/>
    </w:rPr>
  </w:style>
  <w:style w:type="paragraph" w:styleId="Titlu">
    <w:name w:val="Title"/>
    <w:basedOn w:val="Normal1"/>
    <w:next w:val="Normal1"/>
    <w:uiPriority w:val="10"/>
    <w:qFormat/>
    <w:pPr>
      <w:keepNext/>
      <w:keepLines/>
      <w:spacing w:after="60"/>
    </w:pPr>
    <w:rPr>
      <w:sz w:val="52"/>
      <w:szCs w:val="52"/>
    </w:rPr>
  </w:style>
  <w:style w:type="paragraph" w:styleId="Subtitlu">
    <w:name w:val="Subtitle"/>
    <w:basedOn w:val="Normal1"/>
    <w:next w:val="Normal1"/>
    <w:uiPriority w:val="11"/>
    <w:qFormat/>
    <w:pPr>
      <w:keepNext/>
      <w:keepLines/>
      <w:spacing w:after="320"/>
    </w:pPr>
    <w:rPr>
      <w:rFonts w:ascii="Arial" w:hAnsi="Arial"/>
      <w:color w:val="666666"/>
      <w:sz w:val="30"/>
      <w:szCs w:val="30"/>
    </w:rPr>
  </w:style>
  <w:style w:type="paragraph" w:styleId="Titlucuprins">
    <w:name w:val="TOC Heading"/>
    <w:basedOn w:val="Titlu1"/>
    <w:next w:val="Normal"/>
    <w:uiPriority w:val="39"/>
    <w:qFormat/>
    <w:pPr>
      <w:spacing w:before="480" w:after="0" w:line="276" w:lineRule="auto"/>
      <w:jc w:val="left"/>
      <w:outlineLvl w:val="9"/>
    </w:pPr>
    <w:rPr>
      <w:rFonts w:ascii="Calibri" w:eastAsia="SimSun" w:hAnsi="Calibri" w:cs="SimSun"/>
      <w:bCs/>
      <w:color w:val="365F91"/>
      <w:szCs w:val="28"/>
    </w:rPr>
  </w:style>
  <w:style w:type="paragraph" w:styleId="Cuprins1">
    <w:name w:val="toc 1"/>
    <w:basedOn w:val="Normal"/>
    <w:next w:val="Normal"/>
    <w:uiPriority w:val="39"/>
    <w:pPr>
      <w:spacing w:after="100"/>
    </w:pPr>
  </w:style>
  <w:style w:type="character" w:styleId="Hyperlink">
    <w:name w:val="Hyperlink"/>
    <w:basedOn w:val="Fontdeparagrafimplicit"/>
    <w:uiPriority w:val="99"/>
    <w:rPr>
      <w:color w:val="0000FF"/>
      <w:u w:val="single"/>
    </w:rPr>
  </w:style>
  <w:style w:type="paragraph" w:styleId="TextnBalon">
    <w:name w:val="Balloon Text"/>
    <w:basedOn w:val="Normal"/>
    <w:link w:val="TextnBalonCaracter"/>
    <w:uiPriority w:val="99"/>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rPr>
      <w:rFonts w:ascii="Tahoma" w:hAnsi="Tahoma" w:cs="Tahoma"/>
      <w:sz w:val="16"/>
      <w:szCs w:val="16"/>
    </w:rPr>
  </w:style>
  <w:style w:type="paragraph" w:styleId="Antet">
    <w:name w:val="header"/>
    <w:basedOn w:val="Normal"/>
    <w:link w:val="AntetCaracter"/>
    <w:uiPriority w:val="99"/>
    <w:pPr>
      <w:tabs>
        <w:tab w:val="center" w:pos="4680"/>
        <w:tab w:val="right" w:pos="9360"/>
      </w:tabs>
      <w:spacing w:line="240" w:lineRule="auto"/>
    </w:pPr>
  </w:style>
  <w:style w:type="character" w:customStyle="1" w:styleId="AntetCaracter">
    <w:name w:val="Antet Caracter"/>
    <w:basedOn w:val="Fontdeparagrafimplicit"/>
    <w:link w:val="Antet"/>
    <w:uiPriority w:val="99"/>
  </w:style>
  <w:style w:type="paragraph" w:styleId="Subsol">
    <w:name w:val="footer"/>
    <w:basedOn w:val="Normal"/>
    <w:link w:val="SubsolCaracter"/>
    <w:uiPriority w:val="99"/>
    <w:pPr>
      <w:tabs>
        <w:tab w:val="center" w:pos="4680"/>
        <w:tab w:val="right" w:pos="9360"/>
      </w:tabs>
      <w:spacing w:line="240" w:lineRule="auto"/>
    </w:pPr>
  </w:style>
  <w:style w:type="character" w:customStyle="1" w:styleId="SubsolCaracter">
    <w:name w:val="Subsol Caracter"/>
    <w:basedOn w:val="Fontdeparagrafimplicit"/>
    <w:link w:val="Subsol"/>
    <w:uiPriority w:val="99"/>
  </w:style>
  <w:style w:type="character" w:customStyle="1" w:styleId="MeniuneNerezolvat1">
    <w:name w:val="Mențiune Nerezolvat1"/>
    <w:basedOn w:val="Fontdeparagrafimplici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gh.bmj.com/content/5/10/e003188.abstract" TargetMode="External" /><Relationship Id="rId13" Type="http://schemas.openxmlformats.org/officeDocument/2006/relationships/hyperlink" Target="https://journal.maranatha.edu/index.php/ice/article/download/3651/2031" TargetMode="External" /><Relationship Id="rId18" Type="http://schemas.openxmlformats.org/officeDocument/2006/relationships/hyperlink" Target="https://bettercarenetwork.org/sites/default/files/2021-04/Data%20informed%20recommendations%20for%20faith%20communities%20desiring%20to%20support%20vulnerable%20children%20and%20families%20during%20the%20COVID%2019%20pandemic.pdf"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www.researchgate.net/profile/Qihai%20Cai/publication/349965321_Civil_Society_Responses_to_the_COVID-19_Pandemic_A_Comparative_Study_of_China_Japan_and_South_Korea/links/6049c216a6fdcc4d3e560bed/Civil-Society-Responses-to-the-COVID-19-Pandemic-A-Comparative-Study-of-China-Japan-and-South-Korea.pdf" TargetMode="External" /><Relationship Id="rId12" Type="http://schemas.openxmlformats.org/officeDocument/2006/relationships/hyperlink" Target="https://www.foodsystemsjournal.org/index.php/fsj/article/download/960/933/" TargetMode="External" /><Relationship Id="rId17" Type="http://schemas.openxmlformats.org/officeDocument/2006/relationships/hyperlink" Target="https://pubs.asha.org/doi/pdf/10.1044/2020_PERSP-20-00146" TargetMode="External" /><Relationship Id="rId2" Type="http://schemas.openxmlformats.org/officeDocument/2006/relationships/styles" Target="styles.xml" /><Relationship Id="rId16" Type="http://schemas.openxmlformats.org/officeDocument/2006/relationships/hyperlink" Target="https://besjournals.onlinelibrary.wiley.com/doi/pdf/10.1002/pan3.10262"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link.springer.com/article/10.1186/s12889-021-11390-8" TargetMode="External" /><Relationship Id="rId5" Type="http://schemas.openxmlformats.org/officeDocument/2006/relationships/footnotes" Target="footnotes.xml" /><Relationship Id="rId15" Type="http://schemas.openxmlformats.org/officeDocument/2006/relationships/hyperlink" Target="https://www.mdpi.com/2076-3387/11/2/53/pdf" TargetMode="External" /><Relationship Id="rId10" Type="http://schemas.openxmlformats.org/officeDocument/2006/relationships/hyperlink" Target="https://journal.staihubbulwathan.id/index.php/alishlah/article/download/1170/488" TargetMode="External"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link.springer.com/article/10.1007/s11125-020-09538-2" TargetMode="External" /><Relationship Id="rId14" Type="http://schemas.openxmlformats.org/officeDocument/2006/relationships/hyperlink" Target="https://journals.sagepub.com/doi/pdf/10.1177/152342232097214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2C3F1B-0CB8-4BB6-8833-F1C35880F13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2907</Words>
  <Characters>16861</Characters>
  <Application>Microsoft Office Word</Application>
  <DocSecurity>0</DocSecurity>
  <Lines>140</Lines>
  <Paragraphs>39</Paragraphs>
  <ScaleCrop>false</ScaleCrop>
  <LinksUpToDate>false</LinksUpToDate>
  <CharactersWithSpaces>19729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2022-04-27T14:37:00Z</dcterms:created>
  <dcterms:modified xsi:type="dcterms:W3CDTF">2022-04-27T14:37:00Z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4e8556a53943453f968a156ad51d5a36</vt:lpwstr>
  </property>
</Properties>
</file>