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25DDD" w14:textId="77777777"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207D0A2" w14:textId="77777777" w:rsidR="00563B58" w:rsidRPr="00A47621" w:rsidRDefault="00563B58" w:rsidP="0040668F">
      <w:pPr>
        <w:rPr>
          <w:rFonts w:ascii="Times New Roman" w:hAnsi="Times New Roman" w:cs="Times New Roman"/>
          <w:sz w:val="24"/>
          <w:szCs w:val="24"/>
        </w:rPr>
      </w:pPr>
    </w:p>
    <w:p w14:paraId="30DBBF87"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94F6E70"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74CBB11"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55B16918"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219A98B"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7D89FB9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18564E9"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657D1A21"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0B605BE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4739AFD5" w14:textId="77777777" w:rsidTr="005D3F07">
        <w:tc>
          <w:tcPr>
            <w:tcW w:w="10368" w:type="dxa"/>
          </w:tcPr>
          <w:p w14:paraId="0AB16BD5" w14:textId="77777777" w:rsidR="00986B43" w:rsidRDefault="00986B43" w:rsidP="005D3F07">
            <w:pPr>
              <w:overflowPunct/>
              <w:autoSpaceDE/>
              <w:autoSpaceDN/>
              <w:adjustRightInd/>
              <w:spacing w:after="120"/>
              <w:ind w:right="-957"/>
              <w:textAlignment w:val="auto"/>
              <w:rPr>
                <w:rFonts w:ascii="Times New Roman" w:hAnsi="Times New Roman" w:cs="Times New Roman"/>
                <w:b/>
                <w:color w:val="auto"/>
                <w:sz w:val="48"/>
              </w:rPr>
            </w:pPr>
            <w:r>
              <w:rPr>
                <w:rFonts w:ascii="Times New Roman" w:hAnsi="Times New Roman" w:cs="Times New Roman"/>
                <w:b/>
                <w:color w:val="auto"/>
                <w:sz w:val="28"/>
              </w:rPr>
              <w:t>Learner’s name:</w:t>
            </w:r>
            <w:r w:rsidR="00247265">
              <w:rPr>
                <w:rFonts w:ascii="Times New Roman" w:hAnsi="Times New Roman" w:cs="Times New Roman"/>
                <w:b/>
                <w:color w:val="auto"/>
                <w:sz w:val="28"/>
              </w:rPr>
              <w:t xml:space="preserve"> </w:t>
            </w:r>
            <w:r w:rsidR="000B350E" w:rsidRPr="000B350E">
              <w:rPr>
                <w:rFonts w:ascii="Times New Roman" w:hAnsi="Times New Roman" w:cs="Times New Roman"/>
                <w:bCs/>
                <w:color w:val="auto"/>
                <w:sz w:val="28"/>
              </w:rPr>
              <w:t>Dan Hawkins</w:t>
            </w:r>
            <w:r w:rsidR="000B350E">
              <w:rPr>
                <w:rFonts w:ascii="Times New Roman" w:hAnsi="Times New Roman" w:cs="Times New Roman"/>
                <w:b/>
                <w:color w:val="auto"/>
                <w:sz w:val="28"/>
              </w:rPr>
              <w:t xml:space="preserve"> </w:t>
            </w:r>
          </w:p>
          <w:p w14:paraId="53827A7B" w14:textId="77777777" w:rsidR="009C337F" w:rsidRDefault="009C337F" w:rsidP="005D3F07">
            <w:pPr>
              <w:overflowPunct/>
              <w:autoSpaceDE/>
              <w:autoSpaceDN/>
              <w:adjustRightInd/>
              <w:spacing w:after="120"/>
              <w:ind w:right="-957"/>
              <w:textAlignment w:val="auto"/>
              <w:rPr>
                <w:rFonts w:ascii="Times New Roman" w:hAnsi="Times New Roman" w:cs="Times New Roman"/>
                <w:b/>
                <w:color w:val="auto"/>
                <w:sz w:val="48"/>
              </w:rPr>
            </w:pPr>
          </w:p>
          <w:p w14:paraId="4FA1B20D" w14:textId="1501AC90" w:rsidR="009C337F" w:rsidRPr="000B350E" w:rsidRDefault="009C337F" w:rsidP="005D3F07">
            <w:pPr>
              <w:overflowPunct/>
              <w:autoSpaceDE/>
              <w:autoSpaceDN/>
              <w:adjustRightInd/>
              <w:spacing w:after="120"/>
              <w:ind w:right="-957"/>
              <w:textAlignment w:val="auto"/>
              <w:rPr>
                <w:rFonts w:ascii="Times New Roman" w:hAnsi="Times New Roman" w:cs="Times New Roman"/>
                <w:bCs/>
                <w:color w:val="auto"/>
                <w:sz w:val="48"/>
              </w:rPr>
            </w:pPr>
            <w:r>
              <w:rPr>
                <w:rFonts w:ascii="Times New Roman" w:hAnsi="Times New Roman" w:cs="Times New Roman"/>
                <w:b/>
                <w:color w:val="auto"/>
                <w:sz w:val="28"/>
              </w:rPr>
              <w:t>Email address:</w:t>
            </w:r>
            <w:r w:rsidR="000B350E">
              <w:rPr>
                <w:rFonts w:ascii="Times New Roman" w:hAnsi="Times New Roman" w:cs="Times New Roman"/>
                <w:b/>
                <w:color w:val="auto"/>
                <w:sz w:val="28"/>
              </w:rPr>
              <w:t xml:space="preserve"> </w:t>
            </w:r>
            <w:r w:rsidR="007D1D92">
              <w:rPr>
                <w:rFonts w:ascii="Times New Roman" w:hAnsi="Times New Roman" w:cs="Times New Roman"/>
                <w:b/>
                <w:color w:val="auto"/>
                <w:sz w:val="28"/>
              </w:rPr>
              <w:t>danieljack1988@gmail.com</w:t>
            </w:r>
          </w:p>
          <w:p w14:paraId="09386FBF" w14:textId="77777777" w:rsidR="00986B43" w:rsidRDefault="00986B43" w:rsidP="005D3F07">
            <w:pPr>
              <w:overflowPunct/>
              <w:autoSpaceDE/>
              <w:autoSpaceDN/>
              <w:adjustRightInd/>
              <w:spacing w:after="120"/>
              <w:ind w:right="-957"/>
              <w:textAlignment w:val="auto"/>
              <w:rPr>
                <w:rFonts w:ascii="Times New Roman" w:hAnsi="Times New Roman" w:cs="Times New Roman"/>
                <w:b/>
                <w:color w:val="auto"/>
                <w:sz w:val="48"/>
              </w:rPr>
            </w:pPr>
          </w:p>
          <w:p w14:paraId="5523AFC1" w14:textId="77777777" w:rsidR="00A31F6B" w:rsidRPr="00A31F6B" w:rsidRDefault="0085230E" w:rsidP="00A31F6B">
            <w:pPr>
              <w:spacing w:after="120"/>
              <w:ind w:right="-957"/>
              <w:rPr>
                <w:rFonts w:ascii="Times New Roman" w:eastAsiaTheme="minorHAnsi" w:hAnsi="Times New Roman" w:cs="Times New Roman"/>
                <w:b/>
                <w:color w:val="auto"/>
                <w:sz w:val="48"/>
                <w:szCs w:val="24"/>
                <w:lang w:eastAsia="en-US"/>
              </w:rPr>
            </w:pPr>
            <w:r w:rsidRPr="005D3F07">
              <w:rPr>
                <w:rFonts w:ascii="Times New Roman" w:hAnsi="Times New Roman" w:cs="Times New Roman"/>
                <w:b/>
                <w:color w:val="auto"/>
                <w:sz w:val="28"/>
              </w:rPr>
              <w:t>Learner’s University Registration</w:t>
            </w:r>
            <w:r w:rsidR="00F927A1" w:rsidRPr="005D3F07">
              <w:rPr>
                <w:rFonts w:ascii="Times New Roman" w:hAnsi="Times New Roman" w:cs="Times New Roman"/>
                <w:b/>
                <w:color w:val="auto"/>
                <w:sz w:val="28"/>
              </w:rPr>
              <w:t xml:space="preserve"> Number:</w:t>
            </w:r>
            <w:r w:rsidR="00A31F6B" w:rsidRPr="00A31F6B">
              <w:rPr>
                <w:rFonts w:ascii="Times New Roman" w:eastAsiaTheme="minorHAnsi" w:hAnsi="Times New Roman" w:cs="Times New Roman"/>
                <w:b/>
                <w:color w:val="auto"/>
                <w:sz w:val="28"/>
                <w:szCs w:val="24"/>
                <w:lang w:eastAsia="en-US"/>
              </w:rPr>
              <w:t xml:space="preserve"> 2241041</w:t>
            </w:r>
          </w:p>
          <w:p w14:paraId="551A4FE3" w14:textId="77777777" w:rsidR="00F927A1" w:rsidRPr="005D3F07" w:rsidRDefault="00F927A1" w:rsidP="005D3F07">
            <w:pPr>
              <w:overflowPunct/>
              <w:autoSpaceDE/>
              <w:autoSpaceDN/>
              <w:adjustRightInd/>
              <w:spacing w:after="120"/>
              <w:ind w:right="-957"/>
              <w:textAlignment w:val="auto"/>
              <w:rPr>
                <w:rFonts w:ascii="Times New Roman" w:hAnsi="Times New Roman" w:cs="Times New Roman"/>
                <w:b/>
                <w:color w:val="auto"/>
                <w:sz w:val="48"/>
              </w:rPr>
            </w:pPr>
          </w:p>
          <w:p w14:paraId="6D7789F5" w14:textId="77777777" w:rsidR="0085230E" w:rsidRPr="005D3F07" w:rsidRDefault="0085230E" w:rsidP="005D3F07">
            <w:pPr>
              <w:overflowPunct/>
              <w:autoSpaceDE/>
              <w:autoSpaceDN/>
              <w:adjustRightInd/>
              <w:spacing w:after="120"/>
              <w:ind w:right="-957"/>
              <w:textAlignment w:val="auto"/>
              <w:rPr>
                <w:rFonts w:ascii="Times New Roman" w:hAnsi="Times New Roman" w:cs="Times New Roman"/>
                <w:b/>
                <w:color w:val="auto"/>
                <w:sz w:val="48"/>
              </w:rPr>
            </w:pPr>
          </w:p>
          <w:p w14:paraId="1DF47BAF" w14:textId="77777777" w:rsidR="0085230E" w:rsidRPr="005D3F07" w:rsidRDefault="00706BB5" w:rsidP="005D3F07">
            <w:pPr>
              <w:overflowPunct/>
              <w:autoSpaceDE/>
              <w:autoSpaceDN/>
              <w:adjustRightInd/>
              <w:spacing w:after="120"/>
              <w:ind w:right="-957"/>
              <w:textAlignment w:val="auto"/>
              <w:rPr>
                <w:rFonts w:ascii="Times New Roman" w:hAnsi="Times New Roman" w:cs="Times New Roman"/>
                <w:b/>
                <w:color w:val="auto"/>
                <w:sz w:val="48"/>
              </w:rPr>
            </w:pPr>
            <w:r w:rsidRPr="00DC2924">
              <w:rPr>
                <w:rFonts w:ascii="Times New Roman" w:hAnsi="Times New Roman" w:cs="Times New Roman"/>
                <w:b/>
                <w:color w:val="auto"/>
                <w:sz w:val="28"/>
              </w:rPr>
              <w:t xml:space="preserve">Cohort: </w:t>
            </w:r>
            <w:r w:rsidR="0049374F">
              <w:rPr>
                <w:rFonts w:ascii="Times New Roman" w:hAnsi="Times New Roman" w:cs="Times New Roman"/>
                <w:b/>
                <w:color w:val="auto"/>
                <w:sz w:val="28"/>
              </w:rPr>
              <w:t>21</w:t>
            </w:r>
            <w:r w:rsidR="00AE6231">
              <w:rPr>
                <w:rFonts w:ascii="Times New Roman" w:hAnsi="Times New Roman" w:cs="Times New Roman"/>
                <w:b/>
                <w:color w:val="auto"/>
                <w:sz w:val="28"/>
              </w:rPr>
              <w:t>onwards</w:t>
            </w:r>
          </w:p>
        </w:tc>
      </w:tr>
    </w:tbl>
    <w:p w14:paraId="7C7C512B" w14:textId="77777777" w:rsidR="000D0BB6" w:rsidRPr="00EE5BC3" w:rsidRDefault="00337FEF" w:rsidP="00EE5BC3">
      <w:pPr>
        <w:keepNext/>
        <w:pageBreakBefore/>
        <w:jc w:val="center"/>
        <w:rPr>
          <w:b/>
          <w:sz w:val="28"/>
          <w:szCs w:val="28"/>
        </w:rPr>
      </w:pPr>
      <w:r w:rsidRPr="00EE5BC3">
        <w:rPr>
          <w:b/>
          <w:sz w:val="28"/>
          <w:szCs w:val="28"/>
        </w:rPr>
        <w:lastRenderedPageBreak/>
        <w:t>Task 4</w:t>
      </w:r>
    </w:p>
    <w:p w14:paraId="47E11C9B"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5970CDE1" w14:textId="77777777" w:rsidR="00337FEF" w:rsidRPr="00EE5BC3" w:rsidRDefault="008B28E7" w:rsidP="00FF7EBB">
      <w:pPr>
        <w:ind w:left="-90"/>
        <w:jc w:val="both"/>
        <w:rPr>
          <w:b/>
          <w:i/>
          <w:sz w:val="24"/>
          <w:szCs w:val="24"/>
        </w:rPr>
      </w:pPr>
      <w:r w:rsidRPr="00EE5BC3">
        <w:rPr>
          <w:b/>
          <w:i/>
          <w:sz w:val="24"/>
          <w:szCs w:val="24"/>
        </w:rPr>
        <w:t xml:space="preserve">Guidance: </w:t>
      </w:r>
    </w:p>
    <w:p w14:paraId="57970C73" w14:textId="77777777"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47B6E166" w14:textId="77777777" w:rsidTr="006108C9">
        <w:tc>
          <w:tcPr>
            <w:tcW w:w="10188" w:type="dxa"/>
          </w:tcPr>
          <w:p w14:paraId="2B877658" w14:textId="77777777"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6D3E590"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0A1A85C1" w14:textId="77777777" w:rsidR="000B350E" w:rsidRDefault="000B350E" w:rsidP="000B350E">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3689F8AF" w14:textId="77777777" w:rsidR="000B350E" w:rsidRPr="000B350E" w:rsidRDefault="000B350E" w:rsidP="000B350E">
            <w:pPr>
              <w:jc w:val="both"/>
              <w:rPr>
                <w:sz w:val="24"/>
                <w:szCs w:val="24"/>
              </w:rPr>
            </w:pPr>
          </w:p>
          <w:p w14:paraId="6616148F" w14:textId="77777777" w:rsidR="007A52EE" w:rsidRPr="007D1D92" w:rsidRDefault="00F11421">
            <w:pPr>
              <w:spacing w:after="120" w:line="276" w:lineRule="auto"/>
              <w:rPr>
                <w:sz w:val="24"/>
                <w:szCs w:val="24"/>
              </w:rPr>
            </w:pPr>
            <w:r>
              <w:rPr>
                <w:sz w:val="22"/>
              </w:rPr>
              <w:t>As my main practice is children’s services, this discussion concerns safeguarding adults in Wales. Section 126 of the Social Services and Well-being (Wales) Act 2014 defines an adult at risk as someone experiencing, or at risk of, abuse or neglect, with care and support needs and, because of those needs, unable to protect themselves. Where a local authority reasonably suspects an adult in its area is at risk, it must make, or cause to be made, necessary enquiries. Section 128 places reporting duties on relevant partners (Social Services and Well-being (Wales) Act 2014).</w:t>
            </w:r>
          </w:p>
          <w:p w14:paraId="15206CA0" w14:textId="77777777" w:rsidR="007A52EE" w:rsidRPr="007D1D92" w:rsidRDefault="00F11421">
            <w:pPr>
              <w:spacing w:after="120" w:line="276" w:lineRule="auto"/>
              <w:rPr>
                <w:sz w:val="24"/>
                <w:szCs w:val="24"/>
              </w:rPr>
            </w:pPr>
            <w:r>
              <w:rPr>
                <w:sz w:val="22"/>
              </w:rPr>
              <w:t>The Mental Capacity Act 2005 requires a presumption of capacity and support for decision-making. Capacity concerns a particular decision at a particular time; an unwise decision alone does not establish incapacity. Decisions for someone lacking capacity must meet best-interests requirements and consider less restrictive options (Mental Capacity Act 2005). DoLS concerns qualifying deprivation of liberty in hospitals and care homes; it does not authorise restrictions in every setting (Department of Health and Social Care, n.d.).</w:t>
            </w:r>
          </w:p>
          <w:p w14:paraId="17F3F8E4" w14:textId="77777777" w:rsidR="007A52EE" w:rsidRPr="007D1D92" w:rsidRDefault="00F11421">
            <w:pPr>
              <w:spacing w:after="120" w:line="276" w:lineRule="auto"/>
              <w:rPr>
                <w:sz w:val="24"/>
                <w:szCs w:val="24"/>
              </w:rPr>
            </w:pPr>
            <w:r>
              <w:rPr>
                <w:sz w:val="22"/>
              </w:rPr>
              <w:t>Nationally, the Wales Safeguarding Procedures explain reporting, enquiries and planning. The adult’s wishes and preferred outcomes should inform intervention, with communication support or advocacy where required (Wales Safeguarding Procedures, n.d.). Indicators include unexplained injuries, financial loss, coercion, withdrawal and unmet basic needs. Their significance requires assessment in context; neither vulnerability nor a diagnosis alone establishes abuse.</w:t>
            </w:r>
          </w:p>
          <w:p w14:paraId="059FF03D" w14:textId="77777777" w:rsidR="007A52EE" w:rsidRPr="007D1D92" w:rsidRDefault="00F11421">
            <w:pPr>
              <w:spacing w:after="120" w:line="276" w:lineRule="auto"/>
              <w:rPr>
                <w:sz w:val="24"/>
                <w:szCs w:val="24"/>
              </w:rPr>
            </w:pPr>
            <w:r>
              <w:rPr>
                <w:sz w:val="22"/>
              </w:rPr>
              <w:t>Locally, the authority’s published Adults at Risk route provides an online safeguarding report, considered by the Adult Safeguarding Team. Single Point of Access offers adult social care advice where the route is uncertain (xxx Authority, n.d.). The regional Multi-agency Protocol for the Resolution of Professional Differences provides escalation from practitioners to managers and senior managers, with recorded outcomes and timescales governed by safety (xxx Regional Safeguarding Board, 2026). Disagreement must not delay protection.</w:t>
            </w:r>
          </w:p>
          <w:p w14:paraId="63D00A7B" w14:textId="77777777" w:rsidR="007A52EE" w:rsidRPr="007D1D92" w:rsidRDefault="00F11421">
            <w:pPr>
              <w:spacing w:after="120" w:line="276" w:lineRule="auto"/>
              <w:rPr>
                <w:sz w:val="24"/>
                <w:szCs w:val="24"/>
              </w:rPr>
            </w:pPr>
            <w:r>
              <w:rPr>
                <w:sz w:val="22"/>
              </w:rPr>
              <w:t xml:space="preserve">Organisationally, the published Corporate Safeguarding Policy requires concerns to be raised promptly with the Designated Safeguarding Person. If that person is unavailable, referral proceeds through Single Point of Access. It also identifies police and out-of-hours routes (xxx Authority, 2022). I would record observations, disclosures, the adult’s preferences and reasons for action, distinguishing fact from interpretation. Necessary information sharing must be lawful and </w:t>
            </w:r>
            <w:r>
              <w:rPr>
                <w:sz w:val="22"/>
              </w:rPr>
              <w:lastRenderedPageBreak/>
              <w:t>proportionate. Support planning should identify responsibilities, contingencies and review arrangements, considering carers’ support needs where their involvement is safe.</w:t>
            </w:r>
          </w:p>
          <w:p w14:paraId="3F2F04F9" w14:textId="77777777" w:rsidR="007A52EE" w:rsidRPr="007D1D92" w:rsidRDefault="00F11421">
            <w:pPr>
              <w:spacing w:after="120" w:line="276" w:lineRule="auto"/>
              <w:rPr>
                <w:sz w:val="24"/>
                <w:szCs w:val="24"/>
              </w:rPr>
            </w:pPr>
            <w:r>
              <w:rPr>
                <w:sz w:val="22"/>
              </w:rPr>
              <w:t>My prison placement demonstrated why escalation matters. When I encountered a man who had seriously self-harmed, I raised the alarm and escalated concerns after some officers appeared to minimise the incident. It challenged my assumption that visible harm would produce a shared response and reinforced the need to seek immediate help and challenge normalised risk.</w:t>
            </w:r>
          </w:p>
          <w:p w14:paraId="09DE9AB4" w14:textId="77777777" w:rsidR="007A52EE" w:rsidRPr="007D1D92" w:rsidRDefault="00F11421">
            <w:pPr>
              <w:spacing w:after="120" w:line="276" w:lineRule="auto"/>
              <w:rPr>
                <w:sz w:val="24"/>
                <w:szCs w:val="24"/>
              </w:rPr>
            </w:pPr>
            <w:r>
              <w:rPr>
                <w:sz w:val="22"/>
              </w:rPr>
              <w:t>Domestic abuse experience also showed that trust affects disclosure. Relationship-based communication supports participation but must accompany assessment of coercion and immediate safety (Trevithick, 2012). Intervention should seek the adult’s preferred outcomes and explain action taken without agreement. Neither acceptance nor refusal of help provides a complete assessment.</w:t>
            </w:r>
          </w:p>
          <w:p w14:paraId="440D27A6" w14:textId="7A8B7777" w:rsidR="007A52EE" w:rsidRDefault="00F11421">
            <w:r>
              <w:t>Word count: 480</w:t>
            </w:r>
          </w:p>
        </w:tc>
      </w:tr>
      <w:tr w:rsidR="00FC0334" w:rsidRPr="008B28E7" w14:paraId="1270DA5C" w14:textId="77777777" w:rsidTr="000B350E">
        <w:tc>
          <w:tcPr>
            <w:tcW w:w="10070" w:type="dxa"/>
          </w:tcPr>
          <w:p w14:paraId="268D347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122232F1" w14:textId="77777777" w:rsidR="000B350E" w:rsidRDefault="00FC0334" w:rsidP="000B350E">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508F123" w14:textId="77777777" w:rsidR="000B350E" w:rsidRPr="006108C9" w:rsidRDefault="000B350E" w:rsidP="000B350E">
            <w:pPr>
              <w:jc w:val="both"/>
              <w:rPr>
                <w:sz w:val="24"/>
                <w:szCs w:val="24"/>
              </w:rPr>
            </w:pPr>
          </w:p>
          <w:p w14:paraId="03179E4A" w14:textId="77777777" w:rsidR="000B350E" w:rsidRDefault="000B350E" w:rsidP="000B350E">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3C2036CE" w14:textId="77777777" w:rsidR="000B350E" w:rsidRPr="000B350E" w:rsidRDefault="000B350E" w:rsidP="000B350E">
            <w:pPr>
              <w:jc w:val="both"/>
              <w:rPr>
                <w:i/>
                <w:sz w:val="24"/>
                <w:szCs w:val="24"/>
              </w:rPr>
            </w:pPr>
          </w:p>
          <w:p w14:paraId="3AE33FFA" w14:textId="77777777" w:rsidR="007A52EE" w:rsidRDefault="00F11421">
            <w:pPr>
              <w:spacing w:after="120" w:line="276" w:lineRule="auto"/>
            </w:pPr>
            <w:r>
              <w:rPr>
                <w:sz w:val="22"/>
              </w:rPr>
              <w:t>Reflecting on my experience, safeguarding children and adults shares a commitment to protection, rights, participation and coordinated professional judgement. Both require analysis of vulnerability, relationships and wider circumstances. My prison placement challenged any assumption that adulthood or an intimidating presentation removes a person’s need for protection. Childhood adversity may continue to affect relationships and emotional wellbeing, although it should not be used to explain every adult’s circumstances.</w:t>
            </w:r>
          </w:p>
          <w:p w14:paraId="3BE1A17D" w14:textId="77777777" w:rsidR="007A52EE" w:rsidRDefault="00F11421">
            <w:pPr>
              <w:spacing w:after="120" w:line="276" w:lineRule="auto"/>
            </w:pPr>
            <w:r>
              <w:rPr>
                <w:sz w:val="22"/>
              </w:rPr>
              <w:t>I initially experienced children’s safeguarding as more straightforward because professionals could act where a child was at risk. However, this impression needs qualification. Children’s safeguarding also involves uncertain evidence, competing rights and decisions about proportionality. Under section 47 of the Children Act 1989, reasonable cause to suspect significant harm requires enquiries. The Act’s paramountcy principle applies to specified court decisions about a child’s upbringing, rather than automatically resolving every professional dilemma (Children Act 1989).</w:t>
            </w:r>
          </w:p>
          <w:p w14:paraId="59FD17CB" w14:textId="77777777" w:rsidR="007A52EE" w:rsidRDefault="00F11421">
            <w:pPr>
              <w:spacing w:after="120" w:line="276" w:lineRule="auto"/>
            </w:pPr>
            <w:r>
              <w:rPr>
                <w:sz w:val="22"/>
              </w:rPr>
              <w:t>Adults may have capacity to make decisions that professionals consider unsafe. The Mental Capacity Act requires support for decision-making and makes clear that an unwise decision does not itself show incapacity (Mental Capacity Act 2005). However, capacity does not mean coercion is absent, or that services have no further responsibilities. I would consider what affects the person’s choices and what support could increase safety while respecting autonomy.</w:t>
            </w:r>
          </w:p>
          <w:p w14:paraId="5D86A95A" w14:textId="77777777" w:rsidR="007A52EE" w:rsidRDefault="00F11421">
            <w:pPr>
              <w:spacing w:after="120" w:line="276" w:lineRule="auto"/>
            </w:pPr>
            <w:r>
              <w:rPr>
                <w:sz w:val="22"/>
              </w:rPr>
              <w:t>Consent matters in both fields, but agreement alone cannot determine intervention. Children’s views remain important where protection differs from their wishes. An adult’s refusal requires exploration, accessible information and assessment, rather than automatic override or withdrawal. Where safeguarding information is shared without consent, the lawful basis, necessity and proportionality must be considered and recorded. Explanations should make the reasons for action and limits of confidentiality clear.</w:t>
            </w:r>
          </w:p>
          <w:p w14:paraId="121BBD09" w14:textId="77777777" w:rsidR="007A52EE" w:rsidRDefault="00F11421">
            <w:pPr>
              <w:keepLines/>
              <w:spacing w:after="120" w:line="276" w:lineRule="auto"/>
            </w:pPr>
            <w:r>
              <w:rPr>
                <w:sz w:val="22"/>
              </w:rPr>
              <w:lastRenderedPageBreak/>
              <w:t>Domestic abuse work showed me that disclosure may develop through trust. A non-judgemental relationship can support engagement without excusing abusive behaviour. Anti-discriminatory practice also requires attention to power, stigma and barriers to accessing support (Thompson, 2020). These principles apply to children, adults and carers, although the legal powers and responsibilities differ.</w:t>
            </w:r>
          </w:p>
          <w:p w14:paraId="4D2FC5DB" w14:textId="77777777" w:rsidR="007A52EE" w:rsidRDefault="00F11421">
            <w:pPr>
              <w:keepLines/>
              <w:spacing w:after="120" w:line="276" w:lineRule="auto"/>
            </w:pPr>
            <w:r>
              <w:rPr>
                <w:sz w:val="22"/>
              </w:rPr>
              <w:t>My learning is therefore to begin with the person’s circumstances, communication needs and desired outcomes, while identifying immediate risk. With adults, I would clarify decision-specific capacity and any coercion; with children, developmental needs and the responsibilities of those caring for them require particular attention. In both, safe practice depends on defensible reasoning, collaborative planning and review, rather than assuming that one field is inherently simple or that protection and participation are incompatible.</w:t>
            </w:r>
          </w:p>
          <w:p w14:paraId="2B69BC7D" w14:textId="48F05ADE" w:rsidR="007A52EE" w:rsidRDefault="00F11421">
            <w:r>
              <w:t>Word count: 397</w:t>
            </w:r>
          </w:p>
        </w:tc>
      </w:tr>
    </w:tbl>
    <w:p w14:paraId="2F1D51FC" w14:textId="77777777" w:rsidR="00364583" w:rsidRDefault="00364583"/>
    <w:sectPr w:rsidR="00364583"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3A079" w14:textId="77777777" w:rsidR="00364583" w:rsidRDefault="00364583">
      <w:r>
        <w:separator/>
      </w:r>
    </w:p>
  </w:endnote>
  <w:endnote w:type="continuationSeparator" w:id="0">
    <w:p w14:paraId="2793F7A4" w14:textId="77777777" w:rsidR="00364583" w:rsidRDefault="00364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53F3F" w14:textId="77777777"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28F82423"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3B61B" w14:textId="77777777" w:rsidR="00364583" w:rsidRDefault="00364583">
      <w:r>
        <w:separator/>
      </w:r>
    </w:p>
  </w:footnote>
  <w:footnote w:type="continuationSeparator" w:id="0">
    <w:p w14:paraId="526D7946" w14:textId="77777777" w:rsidR="00364583" w:rsidRDefault="003645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9CE5F" w14:textId="77777777" w:rsidR="00A5656A" w:rsidRDefault="00A565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50E"/>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2EE7"/>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03"/>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A4F"/>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4583"/>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097A"/>
    <w:rsid w:val="003C19F1"/>
    <w:rsid w:val="003C3C67"/>
    <w:rsid w:val="003C4186"/>
    <w:rsid w:val="003C6185"/>
    <w:rsid w:val="003D0D2D"/>
    <w:rsid w:val="003D1885"/>
    <w:rsid w:val="003D1BC0"/>
    <w:rsid w:val="003D20F1"/>
    <w:rsid w:val="003D4710"/>
    <w:rsid w:val="003E01BB"/>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034A"/>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11F"/>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77E"/>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2EE"/>
    <w:rsid w:val="007A628F"/>
    <w:rsid w:val="007B0DE3"/>
    <w:rsid w:val="007B1BFD"/>
    <w:rsid w:val="007B5F21"/>
    <w:rsid w:val="007B7191"/>
    <w:rsid w:val="007C1D94"/>
    <w:rsid w:val="007C556F"/>
    <w:rsid w:val="007C5ABE"/>
    <w:rsid w:val="007C6A87"/>
    <w:rsid w:val="007D0A07"/>
    <w:rsid w:val="007D0F11"/>
    <w:rsid w:val="007D133D"/>
    <w:rsid w:val="007D1D92"/>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516"/>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E28"/>
    <w:rsid w:val="00A23F3B"/>
    <w:rsid w:val="00A24406"/>
    <w:rsid w:val="00A25F64"/>
    <w:rsid w:val="00A275F6"/>
    <w:rsid w:val="00A303B9"/>
    <w:rsid w:val="00A31F6B"/>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63A4"/>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1DDE"/>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5EA"/>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421"/>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788B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0B350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1171</Words>
  <Characters>6677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Revised from the supplied portfolio using confirmed practice details. Outstanding verification is recorded separately.</dc:description>
  <cp:lastModifiedBy>dan hawkins</cp:lastModifiedBy>
  <cp:revision>2</cp:revision>
  <cp:lastPrinted>2020-02-11T19:20:00Z</cp:lastPrinted>
  <dcterms:created xsi:type="dcterms:W3CDTF">2026-10-07T07:23:00Z</dcterms:created>
  <dcterms:modified xsi:type="dcterms:W3CDTF">2026-10-07T07:23:00Z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