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18BD06E5">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1FC6942"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310BE4">
              <w:rPr>
                <w:b/>
                <w:color w:val="auto"/>
                <w:sz w:val="32"/>
              </w:rPr>
              <w:t>Liam Toomey</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63CBEDB" w:rsidR="005A1BA3" w:rsidRDefault="00310BE4" w:rsidP="0022001B">
            <w:pPr>
              <w:overflowPunct/>
              <w:autoSpaceDE/>
              <w:autoSpaceDN/>
              <w:adjustRightInd/>
              <w:ind w:right="-330"/>
              <w:textAlignment w:val="auto"/>
              <w:rPr>
                <w:b/>
                <w:color w:val="auto"/>
                <w:sz w:val="32"/>
              </w:rPr>
            </w:pPr>
            <w:r>
              <w:rPr>
                <w:b/>
                <w:color w:val="auto"/>
                <w:sz w:val="32"/>
              </w:rPr>
              <w:t>1921213</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04279D">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04279D">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04279D">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04279D">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04279D">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04279D">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04279D">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04279D">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0037A2D4">
        <w:rPr>
          <w:rFonts w:eastAsia="Arial"/>
          <w:color w:val="000000" w:themeColor="text1"/>
          <w:sz w:val="24"/>
          <w:szCs w:val="24"/>
        </w:rPr>
        <w:t>Turnitin</w:t>
      </w:r>
      <w:proofErr w:type="spellEnd"/>
      <w:r w:rsidRPr="0037A2D4">
        <w:rPr>
          <w:rFonts w:eastAsia="Arial"/>
          <w:color w:val="000000" w:themeColor="text1"/>
          <w:sz w:val="24"/>
          <w:szCs w:val="24"/>
        </w:rPr>
        <w:t xml:space="preserve">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0037A2D4">
        <w:rPr>
          <w:rFonts w:eastAsia="Arial"/>
          <w:color w:val="000000" w:themeColor="text1"/>
          <w:sz w:val="24"/>
          <w:szCs w:val="24"/>
        </w:rPr>
        <w:t>book, that</w:t>
      </w:r>
      <w:proofErr w:type="gramEnd"/>
      <w:r w:rsidRPr="0037A2D4">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6DABB954" w14:textId="78122F80" w:rsidR="0037A2D4" w:rsidRDefault="00443A45"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04279D">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04279D">
      <w:pPr>
        <w:numPr>
          <w:ilvl w:val="0"/>
          <w:numId w:val="4"/>
        </w:numPr>
        <w:spacing w:line="259" w:lineRule="auto"/>
        <w:jc w:val="both"/>
        <w:rPr>
          <w:color w:val="auto"/>
          <w:sz w:val="24"/>
          <w:szCs w:val="24"/>
        </w:rPr>
      </w:pPr>
      <w:proofErr w:type="gramStart"/>
      <w:r w:rsidRPr="62FE5CAF">
        <w:rPr>
          <w:color w:val="auto"/>
          <w:sz w:val="24"/>
          <w:szCs w:val="24"/>
        </w:rPr>
        <w:t>not</w:t>
      </w:r>
      <w:proofErr w:type="gramEnd"/>
      <w:r w:rsidRPr="62FE5CAF">
        <w:rPr>
          <w:color w:val="auto"/>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04279D">
      <w:pPr>
        <w:numPr>
          <w:ilvl w:val="0"/>
          <w:numId w:val="3"/>
        </w:numPr>
        <w:spacing w:line="259" w:lineRule="auto"/>
        <w:jc w:val="both"/>
        <w:rPr>
          <w:color w:val="auto"/>
          <w:sz w:val="24"/>
          <w:szCs w:val="24"/>
        </w:rPr>
      </w:pPr>
      <w:proofErr w:type="gramStart"/>
      <w:r w:rsidRPr="62FE5CAF">
        <w:rPr>
          <w:color w:val="auto"/>
          <w:sz w:val="24"/>
          <w:szCs w:val="24"/>
        </w:rPr>
        <w:t>take</w:t>
      </w:r>
      <w:proofErr w:type="gramEnd"/>
      <w:r w:rsidRPr="62FE5CAF">
        <w:rPr>
          <w:color w:val="auto"/>
          <w:sz w:val="24"/>
          <w:szCs w:val="24"/>
        </w:rPr>
        <w:t xml:space="preserve"> personal responsibility for adhering to confidentiality rules. </w:t>
      </w:r>
    </w:p>
    <w:p w14:paraId="4A7E7B8A" w14:textId="49EF66EF" w:rsidR="00865008" w:rsidRPr="00E03B6D" w:rsidRDefault="62FE5CAF" w:rsidP="0004279D">
      <w:pPr>
        <w:numPr>
          <w:ilvl w:val="0"/>
          <w:numId w:val="3"/>
        </w:numPr>
        <w:jc w:val="both"/>
        <w:rPr>
          <w:color w:val="auto"/>
          <w:sz w:val="24"/>
          <w:szCs w:val="24"/>
        </w:rPr>
      </w:pPr>
      <w:proofErr w:type="gramStart"/>
      <w:r w:rsidRPr="62FE5CAF">
        <w:rPr>
          <w:color w:val="auto"/>
          <w:sz w:val="24"/>
          <w:szCs w:val="24"/>
        </w:rPr>
        <w:t>not</w:t>
      </w:r>
      <w:proofErr w:type="gramEnd"/>
      <w:r w:rsidRPr="62FE5CAF">
        <w:rPr>
          <w:color w:val="auto"/>
          <w:sz w:val="24"/>
          <w:szCs w:val="24"/>
        </w:rPr>
        <w:t xml:space="preserve">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w:t>
      </w:r>
      <w:proofErr w:type="spellStart"/>
      <w:r w:rsidRPr="62FE5CAF">
        <w:rPr>
          <w:color w:val="auto"/>
          <w:sz w:val="24"/>
          <w:szCs w:val="24"/>
        </w:rPr>
        <w:t>Turnitin</w:t>
      </w:r>
      <w:proofErr w:type="spellEnd"/>
      <w:r w:rsidRPr="62FE5CAF">
        <w:rPr>
          <w:color w:val="auto"/>
          <w:sz w:val="24"/>
          <w:szCs w:val="24"/>
        </w:rPr>
        <w:t xml:space="preserve">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04279D">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04279D">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0004279D">
      <w:pPr>
        <w:numPr>
          <w:ilvl w:val="0"/>
          <w:numId w:val="2"/>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w:t>
      </w:r>
      <w:proofErr w:type="spellStart"/>
      <w:r w:rsidR="1CF736B1" w:rsidRPr="48DF4B50">
        <w:rPr>
          <w:i/>
          <w:iCs/>
          <w:sz w:val="24"/>
          <w:szCs w:val="24"/>
        </w:rPr>
        <w:t>Turnitin</w:t>
      </w:r>
      <w:proofErr w:type="spellEnd"/>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8DF4B50">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8DF4B50">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48DF4B50">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8DF4B50">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8DF4B50">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8DF4B50">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8DF4B50">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05678342" w:rsidR="62FE5CAF" w:rsidRDefault="64D01D80" w:rsidP="64D01D80">
            <w:pPr>
              <w:rPr>
                <w:b/>
                <w:bCs/>
                <w:color w:val="auto"/>
                <w:sz w:val="22"/>
                <w:szCs w:val="22"/>
              </w:rPr>
            </w:pPr>
            <w:r w:rsidRPr="48DF4B50">
              <w:rPr>
                <w:b/>
                <w:bCs/>
                <w:color w:val="auto"/>
                <w:sz w:val="22"/>
                <w:szCs w:val="22"/>
              </w:rPr>
              <w:t xml:space="preserve">This plan </w:t>
            </w:r>
            <w:r w:rsidR="03EEF246" w:rsidRPr="48DF4B50">
              <w:rPr>
                <w:b/>
                <w:bCs/>
                <w:color w:val="auto"/>
                <w:sz w:val="22"/>
                <w:szCs w:val="22"/>
              </w:rPr>
              <w:t xml:space="preserve">and the signed O.C.P. </w:t>
            </w:r>
            <w:r w:rsidRPr="48DF4B50">
              <w:rPr>
                <w:b/>
                <w:bCs/>
                <w:color w:val="auto"/>
                <w:sz w:val="22"/>
                <w:szCs w:val="22"/>
              </w:rPr>
              <w:t xml:space="preserve">is equivalent to 1000 words </w:t>
            </w:r>
          </w:p>
        </w:tc>
      </w:tr>
      <w:tr w:rsidR="62FE5CAF" w14:paraId="2130921B" w14:textId="77777777" w:rsidTr="48DF4B50">
        <w:trPr>
          <w:trHeight w:val="81"/>
        </w:trPr>
        <w:tc>
          <w:tcPr>
            <w:tcW w:w="1390" w:type="dxa"/>
            <w:shd w:val="clear" w:color="auto" w:fill="auto"/>
          </w:tcPr>
          <w:p w14:paraId="75520E83" w14:textId="74523D3A" w:rsidR="62FE5CAF" w:rsidRDefault="23ACED75" w:rsidP="64D01D80">
            <w:pPr>
              <w:jc w:val="both"/>
              <w:rPr>
                <w:color w:val="auto"/>
                <w:sz w:val="22"/>
                <w:szCs w:val="22"/>
              </w:rPr>
            </w:pPr>
            <w:r w:rsidRPr="48DF4B50">
              <w:rPr>
                <w:color w:val="auto"/>
                <w:sz w:val="22"/>
                <w:szCs w:val="22"/>
              </w:rPr>
              <w:t>Task 6</w:t>
            </w:r>
          </w:p>
        </w:tc>
        <w:tc>
          <w:tcPr>
            <w:tcW w:w="5550" w:type="dxa"/>
            <w:shd w:val="clear" w:color="auto" w:fill="auto"/>
          </w:tcPr>
          <w:p w14:paraId="58D3C2A8" w14:textId="07D76FFD" w:rsidR="62FE5CAF" w:rsidRDefault="23ACED75" w:rsidP="62FE5CAF">
            <w:pPr>
              <w:jc w:val="both"/>
              <w:rPr>
                <w:b/>
                <w:bCs/>
                <w:color w:val="auto"/>
                <w:sz w:val="22"/>
                <w:szCs w:val="22"/>
              </w:rPr>
            </w:pPr>
            <w:r w:rsidRPr="48DF4B50">
              <w:rPr>
                <w:b/>
                <w:bCs/>
                <w:color w:val="auto"/>
                <w:sz w:val="22"/>
                <w:szCs w:val="22"/>
              </w:rPr>
              <w:t>Recognition and c</w:t>
            </w:r>
            <w:r w:rsidR="62FE5CAF" w:rsidRPr="48DF4B50">
              <w:rPr>
                <w:b/>
                <w:bCs/>
                <w:color w:val="auto"/>
                <w:sz w:val="22"/>
                <w:szCs w:val="22"/>
              </w:rPr>
              <w:t>onfirmation of t</w:t>
            </w:r>
            <w:r w:rsidR="0A7DD2AE" w:rsidRPr="48DF4B50">
              <w:rPr>
                <w:b/>
                <w:bCs/>
                <w:color w:val="auto"/>
                <w:sz w:val="22"/>
                <w:szCs w:val="22"/>
              </w:rPr>
              <w:t>he progress</w:t>
            </w:r>
            <w:r w:rsidR="62FE5CAF" w:rsidRPr="48DF4B50">
              <w:rPr>
                <w:b/>
                <w:bCs/>
                <w:color w:val="auto"/>
                <w:sz w:val="22"/>
                <w:szCs w:val="22"/>
              </w:rPr>
              <w:t xml:space="preserve"> of your Occupational Competency Portfolio (OCP)</w:t>
            </w:r>
          </w:p>
        </w:tc>
        <w:tc>
          <w:tcPr>
            <w:tcW w:w="1578" w:type="dxa"/>
            <w:vMerge/>
          </w:tcPr>
          <w:p w14:paraId="2C8806CB" w14:textId="77777777" w:rsidR="006A69F5" w:rsidRDefault="006A69F5"/>
        </w:tc>
      </w:tr>
      <w:tr w:rsidR="62FE5CAF" w14:paraId="190BDDF5" w14:textId="77777777" w:rsidTr="48DF4B50">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 xml:space="preserve">This is confirmed by submitting through </w:t>
            </w:r>
            <w:proofErr w:type="spellStart"/>
            <w:r w:rsidRPr="48DF4B50">
              <w:rPr>
                <w:b/>
                <w:bCs/>
                <w:i/>
                <w:iCs/>
                <w:color w:val="auto"/>
                <w:sz w:val="22"/>
                <w:szCs w:val="22"/>
              </w:rPr>
              <w:t>Turnitin</w:t>
            </w:r>
            <w:proofErr w:type="spellEnd"/>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299CEE69" w14:textId="77777777" w:rsidR="001514EB" w:rsidRDefault="001514EB" w:rsidP="001514EB">
      <w:r>
        <w:t xml:space="preserve">I will be looking back at my initial six months Police training and explaining the main stress I felt and how I overcame it. </w:t>
      </w:r>
    </w:p>
    <w:p w14:paraId="0472F103" w14:textId="5B3C56C5" w:rsidR="001514EB" w:rsidRDefault="001514EB" w:rsidP="001514EB">
      <w:r>
        <w:t xml:space="preserve">Mental toughness, resilience and being able to handle stress are attributes that everyone will need to possess at some point in their lifetime. To some it comes natural, however; for others these skills and attributes are developed over time. “The physiological stress reaction is our body’s response to any change, threat, or pressure put upon it, from outside forces...or from within” (Cohen, </w:t>
      </w:r>
      <w:proofErr w:type="spellStart"/>
      <w:r>
        <w:t>Janicki-Deverts</w:t>
      </w:r>
      <w:proofErr w:type="spellEnd"/>
      <w:r>
        <w:t xml:space="preserve"> and Miller, 2007).</w:t>
      </w:r>
    </w:p>
    <w:p w14:paraId="4894C2C7" w14:textId="77777777" w:rsidR="001514EB" w:rsidRDefault="001514EB" w:rsidP="001514EB">
      <w:r>
        <w:t>The Coronavirus lockdown was introduced on my first day of training and in my previous role I was active and engaging with the public on a daily basis; so I found going into a learning environment where I was confined to the walls of my house, challenging. I have always been a laidback person, however; being in a learning environment, which I haven’t been in since high school, was my main stress throughout my initial training.</w:t>
      </w:r>
    </w:p>
    <w:p w14:paraId="0E011919" w14:textId="2C79EE99" w:rsidR="001514EB" w:rsidRDefault="001514EB" w:rsidP="001514EB">
      <w:r>
        <w:t xml:space="preserve">The term “resilience” is a broad term that’s meaning could differ depending on circumstances and specific individuals. However, emotional resilience is generally considered to be the ability to bounce back and a person’s ability to overcome the adversity and stress </w:t>
      </w:r>
      <w:r w:rsidR="00BE0CCF">
        <w:t>in their life (Barry, 2018</w:t>
      </w:r>
      <w:r>
        <w:t>). When I have had to be emotionally resilient in the past, I have found going for a drive in my car, going to the boxing gym and socialising with friends a real coping mechanism. So as the pandemic meant I couldn’t use my past coping mechanisms, I was forced into finding other things that would help me cope with stress and be more resilient.</w:t>
      </w:r>
    </w:p>
    <w:p w14:paraId="5B2C8E86" w14:textId="57212B4D" w:rsidR="001514EB" w:rsidRDefault="001514EB" w:rsidP="001514EB">
      <w:r>
        <w:t xml:space="preserve">As previously mentioned, the main thing I stressed about was doing a degree. As I had no previous experience of higher education, I would overthink about the exams and if I was capable of passing them as they are of a University standard. The way I overcame my stress regarding the exams was by using a method called “The Fear Bubble” (Middleton, 2020). The Fear Bubble is a method of breaking up situations of fear and stress into smaller chunks. Fearing and stressing about future situations can consume a person and breaking it down into smaller chunks can make stress more manageable and less likely for it to overcome the person. I learnt to not stress about the exam, as I couldn’t control it beforehand. Even on the day of the exam, the fear bubble taught me to focus and enter a bubble for each question, rather than the exam as a whole. By doing this, any disappointment or stress I felt from not knowing or only knowing part of the answer to a question, wouldn’t be carried through to the remaining questions. </w:t>
      </w:r>
    </w:p>
    <w:p w14:paraId="57649E98" w14:textId="77777777" w:rsidR="001514EB" w:rsidRDefault="001514EB" w:rsidP="001514EB">
      <w:r>
        <w:t>On reflection, using this “The Fear Bubble” method of overcoming the stress I felt during my initial six months training worked. I achieved better results in both exams than I expected and I will continue using this method of coping with fear and stress throughout my career and personal life as I feel it reduced my level of stress and made me more resilient when I had tough days by reminding me that there was no need to be stressed or fear the exam in advance.</w:t>
      </w:r>
    </w:p>
    <w:p w14:paraId="6243E2E1" w14:textId="6E8C6197" w:rsidR="00F077B7" w:rsidRPr="00F077B7" w:rsidRDefault="00F077B7" w:rsidP="00F077B7">
      <w:pPr>
        <w:pStyle w:val="NormalWeb"/>
        <w:shd w:val="clear" w:color="auto" w:fill="FFFFFF"/>
        <w:rPr>
          <w:rFonts w:ascii="Arial" w:hAnsi="Arial" w:cs="Arial"/>
          <w:color w:val="000000"/>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62FE5CAF">
              <w:rPr>
                <w:sz w:val="24"/>
                <w:szCs w:val="24"/>
              </w:rPr>
              <w:t>Betari’s</w:t>
            </w:r>
            <w:proofErr w:type="spellEnd"/>
            <w:r w:rsidRPr="62FE5CAF">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64E17876" w14:textId="77777777" w:rsidR="0039725B" w:rsidRDefault="0039725B" w:rsidP="0039725B">
      <w:r>
        <w:t xml:space="preserve">I am going to be looking at an incident where I played a significant role with a service user by using both my verbal and non-verbal communication skills to build rapport and overcome conflict in a sensitive situation. I will reflect on the process for determining whether force was necessary or not and describing how the </w:t>
      </w:r>
      <w:proofErr w:type="spellStart"/>
      <w:r>
        <w:t>Betaris</w:t>
      </w:r>
      <w:proofErr w:type="spellEnd"/>
      <w:r>
        <w:t>’ Box theory played a role in the incident. I will do this by using the Borton’s What, So What, Now What Reflective Model which has enabled me to break down the incident and help me reflect on what went well, as well as look back at the possible implications of the decisions I made.</w:t>
      </w:r>
    </w:p>
    <w:p w14:paraId="38D72B1F" w14:textId="77777777" w:rsidR="0039725B" w:rsidRDefault="0039725B" w:rsidP="0039725B">
      <w:r>
        <w:t xml:space="preserve">In 1970 Terry Borton’s book Reach, Touch, Teach was published. In this book Borton developed a model of reflection called “What, So What, Now What”. This model focuses on three elements of reflection; with the description of what has happened being detailed in the “What” section, the “So </w:t>
      </w:r>
      <w:proofErr w:type="gramStart"/>
      <w:r>
        <w:t>What</w:t>
      </w:r>
      <w:proofErr w:type="gramEnd"/>
      <w:r>
        <w:t>” is used to analyse the event and what has happened, and the “Now What” part of the model looks at the actions taken following an event and their consequences. (</w:t>
      </w:r>
      <w:proofErr w:type="spellStart"/>
      <w:r>
        <w:t>Dabell</w:t>
      </w:r>
      <w:proofErr w:type="spellEnd"/>
      <w:r>
        <w:t>, 2018)</w:t>
      </w:r>
    </w:p>
    <w:p w14:paraId="319E1F73" w14:textId="77777777" w:rsidR="0039725B" w:rsidRDefault="0039725B" w:rsidP="0039725B">
      <w:r w:rsidRPr="00414F38">
        <w:t xml:space="preserve">Police received a call to </w:t>
      </w:r>
      <w:r>
        <w:t>an address</w:t>
      </w:r>
      <w:r w:rsidRPr="00414F38">
        <w:t xml:space="preserve"> from an anonymous caller to say that there's a breach of Covid</w:t>
      </w:r>
      <w:r>
        <w:t>-19</w:t>
      </w:r>
      <w:r w:rsidRPr="00414F38">
        <w:t xml:space="preserve"> regulat</w:t>
      </w:r>
      <w:r>
        <w:t>ions at the address and there a</w:t>
      </w:r>
      <w:r w:rsidRPr="00414F38">
        <w:t xml:space="preserve">re </w:t>
      </w:r>
      <w:r>
        <w:t>approximately twenty youths</w:t>
      </w:r>
      <w:r w:rsidRPr="00414F38">
        <w:t xml:space="preserve"> there seeming to be having a party. </w:t>
      </w:r>
      <w:r>
        <w:t>Upon attendance, it was clear that there were people in the address as the lights were on and we could hear movement inside. However</w:t>
      </w:r>
      <w:r w:rsidRPr="00230726">
        <w:t>, we couldn’t gain access</w:t>
      </w:r>
      <w:r>
        <w:t xml:space="preserve"> to the address as there was no answer at the door. We were aware that we had no power of entry into the address, so three officers made their way to the rear of the address where they located a number of youths making off from the rear of the address and dispersing into nearby streets and fields.</w:t>
      </w:r>
    </w:p>
    <w:p w14:paraId="1A295ACB" w14:textId="77777777" w:rsidR="0039725B" w:rsidRDefault="0039725B" w:rsidP="0039725B">
      <w:r w:rsidRPr="00414F38">
        <w:t xml:space="preserve">Eventually police were allowed access by </w:t>
      </w:r>
      <w:r>
        <w:t xml:space="preserve">four sixteen year old females </w:t>
      </w:r>
      <w:r w:rsidRPr="00414F38">
        <w:t xml:space="preserve">who </w:t>
      </w:r>
      <w:r>
        <w:t xml:space="preserve">informed us that their friend lived at the address and that approximately twenty </w:t>
      </w:r>
      <w:r w:rsidRPr="00414F38">
        <w:t xml:space="preserve">people had been at the address socialising as </w:t>
      </w:r>
      <w:r>
        <w:t xml:space="preserve">their friend’s mother was in Turkey on holiday, and had been so for the previous five days and </w:t>
      </w:r>
      <w:r>
        <w:lastRenderedPageBreak/>
        <w:t xml:space="preserve">wasn’t due to return for a further two days, </w:t>
      </w:r>
      <w:r w:rsidRPr="00414F38">
        <w:t xml:space="preserve">thereby leaving </w:t>
      </w:r>
      <w:r>
        <w:t>her daughter</w:t>
      </w:r>
      <w:r w:rsidRPr="00414F38">
        <w:t xml:space="preserve"> home without supervision.</w:t>
      </w:r>
      <w:r>
        <w:t xml:space="preserve"> So within the space of a 30 second conversation, the incident had quickly changed from a simple teenage house party which needed dispersing into a child protection situation where the child in question had made off from the address.</w:t>
      </w:r>
    </w:p>
    <w:p w14:paraId="3F8CD352" w14:textId="77777777" w:rsidR="0039725B" w:rsidRDefault="0039725B" w:rsidP="0039725B">
      <w:r>
        <w:t xml:space="preserve">Whilst I was aware that there had been a clear breach of the Welsh Government Covid-19 regulations, as no more than six people were able to meet indoors and all six people had to be part of the same extended household (Hayward, 2020); upon hearing that the girl living at the address had been left home alone by her mother, my immediate priority was to ensure she returned to the address to enable her to be safeguarded. I did this by getting one of her friends who I was with to phone her. When the girl initially was on the phone she was shouting and swearing at me and was adamant that she hates police and that she was not going to return to the address. I used my communication skills to show the girl that she was not in trouble and that she could trust me; and eventually she returned. </w:t>
      </w:r>
    </w:p>
    <w:p w14:paraId="1893C5C3" w14:textId="77777777" w:rsidR="0039725B" w:rsidRDefault="0039725B" w:rsidP="0039725B">
      <w:r w:rsidRPr="00414F38">
        <w:t xml:space="preserve">When speaking to </w:t>
      </w:r>
      <w:r>
        <w:t>the girl after she had returned to the address</w:t>
      </w:r>
      <w:r w:rsidRPr="00414F38">
        <w:t xml:space="preserve">, it was confirmed that her mother </w:t>
      </w:r>
      <w:r>
        <w:t xml:space="preserve">had flown to Turkey, five days previously, </w:t>
      </w:r>
      <w:r w:rsidRPr="00414F38">
        <w:t>for a week</w:t>
      </w:r>
      <w:r>
        <w:t>’</w:t>
      </w:r>
      <w:r w:rsidRPr="00414F38">
        <w:t>s holiday and is due to return</w:t>
      </w:r>
      <w:r>
        <w:t xml:space="preserve"> in two days. The girl in question was fourteen years of age, and therefore not old enough to be left on her own without supervision for an extended period of time. </w:t>
      </w:r>
      <w:r w:rsidRPr="00414F38">
        <w:t>Due to these circumstances</w:t>
      </w:r>
      <w:r>
        <w:t xml:space="preserve"> social services </w:t>
      </w:r>
      <w:r w:rsidRPr="00414F38">
        <w:t>were con</w:t>
      </w:r>
      <w:r>
        <w:t xml:space="preserve">tacted, </w:t>
      </w:r>
      <w:r w:rsidRPr="00414F38">
        <w:t xml:space="preserve">who stated that there was no current open case for </w:t>
      </w:r>
      <w:r>
        <w:t>the girl</w:t>
      </w:r>
      <w:r w:rsidRPr="00414F38">
        <w:t>, however, the family were known to them</w:t>
      </w:r>
      <w:r>
        <w:t>. It was agreed by myself and my colleagues at the scene and social services</w:t>
      </w:r>
      <w:r w:rsidRPr="00414F38">
        <w:t xml:space="preserve"> that the best and most suitable course of action is that </w:t>
      </w:r>
      <w:r>
        <w:t>the girl s</w:t>
      </w:r>
      <w:r w:rsidRPr="00414F38">
        <w:t>t</w:t>
      </w:r>
      <w:r>
        <w:t>a</w:t>
      </w:r>
      <w:r w:rsidRPr="00414F38">
        <w:t xml:space="preserve">ys with a friend who has responsible adult at the address. </w:t>
      </w:r>
      <w:r>
        <w:t>We did originally consider for the girl to stay with</w:t>
      </w:r>
      <w:r w:rsidRPr="00414F38">
        <w:t xml:space="preserve"> family </w:t>
      </w:r>
      <w:r>
        <w:t>members</w:t>
      </w:r>
      <w:r w:rsidRPr="00414F38">
        <w:t xml:space="preserve">, however, </w:t>
      </w:r>
      <w:r>
        <w:t>this was</w:t>
      </w:r>
      <w:r w:rsidRPr="00414F38">
        <w:t xml:space="preserve"> ruled out due to</w:t>
      </w:r>
      <w:r>
        <w:t xml:space="preserve"> the age and</w:t>
      </w:r>
      <w:r w:rsidRPr="00414F38">
        <w:t xml:space="preserve"> infirmity</w:t>
      </w:r>
      <w:r>
        <w:t xml:space="preserve"> of the family members,</w:t>
      </w:r>
      <w:r w:rsidRPr="00414F38">
        <w:t xml:space="preserve"> as they were shielding from </w:t>
      </w:r>
      <w:proofErr w:type="spellStart"/>
      <w:r w:rsidRPr="00414F38">
        <w:t>Covid</w:t>
      </w:r>
      <w:proofErr w:type="spellEnd"/>
      <w:r w:rsidRPr="00414F38">
        <w:t xml:space="preserve">. </w:t>
      </w:r>
      <w:r>
        <w:t xml:space="preserve">Friends of the girl </w:t>
      </w:r>
      <w:r w:rsidRPr="00414F38">
        <w:t>were at the a</w:t>
      </w:r>
      <w:r>
        <w:t>d</w:t>
      </w:r>
      <w:r w:rsidRPr="00414F38">
        <w:t xml:space="preserve">dress and stated that </w:t>
      </w:r>
      <w:r>
        <w:t xml:space="preserve">she </w:t>
      </w:r>
      <w:r w:rsidRPr="00414F38">
        <w:t xml:space="preserve">could reside with them for the night, the appropriate checks were made on the address and parents at the address, and it was agreed </w:t>
      </w:r>
      <w:r>
        <w:t xml:space="preserve">by police, the girl, her friends’ parents and social services </w:t>
      </w:r>
      <w:r w:rsidRPr="00414F38">
        <w:t xml:space="preserve">for </w:t>
      </w:r>
      <w:r>
        <w:t>the girl</w:t>
      </w:r>
      <w:r w:rsidRPr="00414F38">
        <w:t xml:space="preserve"> to stay</w:t>
      </w:r>
      <w:r>
        <w:t>. A colleague and I conveyed the girl and her friends to their house, where we confirmed it was appropriate for her to stay. I then returned to the police station where I completed a Public Protection Notice and sent it off to make our partner agencies aware of the incident.</w:t>
      </w:r>
    </w:p>
    <w:p w14:paraId="78167C90" w14:textId="77777777" w:rsidR="0039725B" w:rsidRDefault="0039725B" w:rsidP="0039725B">
      <w:r>
        <w:t xml:space="preserve">From my previous role as a Police Community Support Officer I’m aware how volatile intoxicated teenagers can be, and therefore have gained communication skills which enables me to build a rapport. From experience, I know that the </w:t>
      </w:r>
      <w:proofErr w:type="spellStart"/>
      <w:r>
        <w:t>Betaris</w:t>
      </w:r>
      <w:proofErr w:type="spellEnd"/>
      <w:r>
        <w:t xml:space="preserve">’ Box principle plays an integral role in policing when dealing with members of the public and if implemented correctly, can help in the rapport and trust building process. The </w:t>
      </w:r>
      <w:proofErr w:type="spellStart"/>
      <w:r>
        <w:t>Betaris</w:t>
      </w:r>
      <w:proofErr w:type="spellEnd"/>
      <w:r>
        <w:t xml:space="preserve">’ Box principle highlights how the way someone behaves, in this case a police officer, can affect the behaviour and actions of the members of public they deal with (Pepper, 2011). Whenever dealing with members of the public as part of my role, I am always conscious of this and that was the case during this incident; specifically when speaking to the girl on the phone and trying to convince her to return to the address. Getting the girl to return to the address was vitally important from a safeguarding perspective, and I was aware that how I communicated with her would influence whether she returned or not. When speaking to the girl, who was shouting and swearing at me and stated that she would not return whilst we were at the address. The first thing I did when speaking to the girl, was actively listen. Listening is an underrated skill of communication and isn’t focused on as much as other skills when identifying how to communicate, however, it is perhaps the most vital skill set of a person when it comes to communication (Collins and </w:t>
      </w:r>
      <w:proofErr w:type="spellStart"/>
      <w:r>
        <w:t>O’rourke</w:t>
      </w:r>
      <w:proofErr w:type="spellEnd"/>
      <w:r>
        <w:t>, 2009).  Listening to the girl, about her fear of police due to past experiences, helped me to identify the approach I needed to take to make her feel safe enough to return to the address. I managed to gain the girl’s trust by the way I communicated with her. There are four key elements to trust: sincerity, reliability, competence and care (</w:t>
      </w:r>
      <w:proofErr w:type="spellStart"/>
      <w:r>
        <w:t>Feltman</w:t>
      </w:r>
      <w:proofErr w:type="spellEnd"/>
      <w:r>
        <w:t>, 2009), and I had to show the girl that I was being and encompassed all four of these elements in order to gain her trust. When the girl returned to the address, it was just as important to communicate with her in a way that continued the building the trust and rapport I had already built. I did this by continuing actively listening, having open body language, showing empathy and when speaking, doing it assertively. By speaking to the girl assertively, it allowed a two way conversation in which she could see that she was being listened to but at the same time I was being firm in explaining our stance in the situation.</w:t>
      </w:r>
    </w:p>
    <w:p w14:paraId="11B59F65" w14:textId="3DB0076F" w:rsidR="0039725B" w:rsidRDefault="0039725B" w:rsidP="0039725B">
      <w:r>
        <w:t>We came to the decision of how to safeguard the girl until her mother returned by collaborating with social services as well as the girl directly. Obviously we were aware that as police constables we have the power to remove a child and place them in suitable accommodation if we have reasonable cause to believe that the child would otherwise be likely to suffer significant harm (Children Act 1989). However this is power is only used when it is absolutely necessary to do so and all other options have been exhausted (</w:t>
      </w:r>
      <w:hyperlink r:id="rId15" w:history="1">
        <w:r w:rsidRPr="00C82D9F">
          <w:rPr>
            <w:rStyle w:val="Hyperlink"/>
            <w:color w:val="auto"/>
          </w:rPr>
          <w:t>www.app.college.olice.uk</w:t>
        </w:r>
      </w:hyperlink>
      <w:r w:rsidRPr="00C82D9F">
        <w:t xml:space="preserve">, </w:t>
      </w:r>
      <w:r>
        <w:t xml:space="preserve">2014). By liaising with social services, it was decided by all parties that the decision that was most in the girl’s interest, was for her to reside with her friends and their family until her mother returned. This decision was made because it would have had the </w:t>
      </w:r>
      <w:r>
        <w:lastRenderedPageBreak/>
        <w:t xml:space="preserve">least amount of negative impact on the girl and still ensured she was safeguarded correctly in the short term. There were clearly longer term safeguarding issues that needing addressing too, therefore when I returned to the police station following the incident, I completed a public protection notice using the Gwent police issued guide in order to ensure I included all the information I needed to. This enabled me to pass vital information to social services for them to assess whether their intervention was needed and if so, to what level. Looking at on the incident I am pleased with the decision we made to allow the girl to stay with her friends and their parents because not only did it, along with my communication, build a better trust in the police for the girl; but it also had the least negative impact in the short term.  </w:t>
      </w:r>
    </w:p>
    <w:p w14:paraId="7FB09B90" w14:textId="4A8A44D5" w:rsidR="0039725B" w:rsidRDefault="00CF591D" w:rsidP="0039725B">
      <w:r>
        <w:t xml:space="preserve">The use of the </w:t>
      </w:r>
      <w:proofErr w:type="spellStart"/>
      <w:r>
        <w:t>Betaris</w:t>
      </w:r>
      <w:proofErr w:type="spellEnd"/>
      <w:r>
        <w:t xml:space="preserve">’ Box theory played an essential role in this incident with a service user and on reflection, it allowed me to overcome initial conflict and be aware of what actions and attitude I required from the girl which enabled me to tailor my communication style to achieve that result. </w:t>
      </w:r>
      <w:r>
        <w:t xml:space="preserve">The use of Borton’s theory of reflection helped me to reflect on </w:t>
      </w:r>
      <w:r>
        <w:t xml:space="preserve">the potential implications of each potential decision we could </w:t>
      </w:r>
      <w:r w:rsidR="00AE4992">
        <w:t>have made and how that</w:t>
      </w:r>
      <w:r>
        <w:t xml:space="preserve"> helped in achieve the most suitable decision to be made.</w:t>
      </w:r>
      <w:r w:rsidR="0039725B">
        <w:t xml:space="preserve"> </w:t>
      </w: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6F66720" w14:textId="77777777" w:rsidR="0039725B" w:rsidRDefault="0039725B" w:rsidP="0039725B">
      <w:r>
        <w:t>I am going to reflect on an incident where I played a significant role with a victim of a domestic burglary, looking at the social and legislative context. I’ve reflected on my responsibilities and procedures to support the victim through the criminal justice system, in line with the relevant Codes of Practice. I will illustrate how my policing values were engaged during the incident, as well as the considerations I made to the language preference of the victim.</w:t>
      </w:r>
    </w:p>
    <w:p w14:paraId="75DF1BC6" w14:textId="77777777" w:rsidR="0039725B" w:rsidRDefault="0039725B" w:rsidP="0039725B">
      <w:r>
        <w:t>I attended an incident where a female had reported that her ex-partner, had attended her home address, pushed passed her in order to enter the house and subsequently stole several items from her address before making threats to harm her. I immediately realised that this was a burglary, as the ex-partner stole items from her address having entered as a trespasser (Theft Act 1968). My colleague and I attended the address to complete a witness statement from the female and identify any lines of enquiry. The female disclosed that she had been the victim of domestic abuse from this male, which resulted in her and her daughter having to leave their home and reside in refuge. After 1 month of living in refuge, the male found out where the female and his daughter were living and attended the refuge. This resulted in the female and her daughter having to be placed in a different refuge. The female was living in refuge for nearly a year, prior to moving into her current address. The female had no contact with the male for 18 months prior to this incident and as far as she was concerned, he did not know where she lived. Arrest enquiries have been conducted for the male, however, he is currently outstanding.</w:t>
      </w:r>
    </w:p>
    <w:p w14:paraId="0B398361" w14:textId="77777777" w:rsidR="0039725B" w:rsidRDefault="0039725B" w:rsidP="0039725B">
      <w:r>
        <w:t>Where a criminal offence has occurred; a victim is a person who has suffered harm, whether it be physical, emotional or mental, or has suffered economic loss which was a direct result of the offence (Code of Practice for Victims of Crime, 2015).</w:t>
      </w:r>
    </w:p>
    <w:p w14:paraId="3871CAE0" w14:textId="77777777" w:rsidR="0039725B" w:rsidRDefault="0039725B" w:rsidP="0039725B">
      <w:r>
        <w:t xml:space="preserve">The Code of Practice for Victims of Crime was introduced by Government to ensure that victims of crime are put first by the criminal justice system. The code explains that organisations, such as the police, should provide relevant support to victims in order to protect them from becoming a regular victim of crime (Code of Practice for Victims of Crime, 2015). The Code sets out what support </w:t>
      </w:r>
      <w:r>
        <w:lastRenderedPageBreak/>
        <w:t>services a victim is entitled to. Whilst these services continue from the initial attendance by police through to the court case, at this stage in the criminal investigation, these include:</w:t>
      </w:r>
    </w:p>
    <w:p w14:paraId="0080B46B" w14:textId="77777777" w:rsidR="0039725B" w:rsidRDefault="0039725B" w:rsidP="0004279D">
      <w:pPr>
        <w:pStyle w:val="ListParagraph"/>
        <w:numPr>
          <w:ilvl w:val="0"/>
          <w:numId w:val="6"/>
        </w:numPr>
        <w:overflowPunct/>
        <w:autoSpaceDE/>
        <w:autoSpaceDN/>
        <w:adjustRightInd/>
        <w:spacing w:after="160" w:line="259" w:lineRule="auto"/>
        <w:textAlignment w:val="auto"/>
      </w:pPr>
      <w:r>
        <w:t>Acknowledgement in writing that the victim has reported a crime. This written acknowledgement should include the details of the offence, and can be declined by the victim.</w:t>
      </w:r>
    </w:p>
    <w:p w14:paraId="64961375" w14:textId="77777777" w:rsidR="0039725B" w:rsidRDefault="0039725B" w:rsidP="0004279D">
      <w:pPr>
        <w:pStyle w:val="ListParagraph"/>
        <w:numPr>
          <w:ilvl w:val="0"/>
          <w:numId w:val="6"/>
        </w:numPr>
        <w:overflowPunct/>
        <w:autoSpaceDE/>
        <w:autoSpaceDN/>
        <w:adjustRightInd/>
        <w:spacing w:after="160" w:line="259" w:lineRule="auto"/>
        <w:textAlignment w:val="auto"/>
      </w:pPr>
      <w:r>
        <w:t>An assessment to be undertaken to ascertain if the victim wants or needs support, and if so, to what degree. This assessment allows the police to establish if the victim is a victim of the most serious crime, a continually targeted victim and whether the victim is intimidated or vulnerable. If it is identified that the victim falls into at least one of these categories, they may be eligible for enhanced entitlements such as special measures.</w:t>
      </w:r>
    </w:p>
    <w:p w14:paraId="6C755E3F" w14:textId="77777777" w:rsidR="0039725B" w:rsidRDefault="0039725B" w:rsidP="0004279D">
      <w:pPr>
        <w:pStyle w:val="ListParagraph"/>
        <w:numPr>
          <w:ilvl w:val="0"/>
          <w:numId w:val="6"/>
        </w:numPr>
        <w:overflowPunct/>
        <w:autoSpaceDE/>
        <w:autoSpaceDN/>
        <w:adjustRightInd/>
        <w:spacing w:after="160" w:line="259" w:lineRule="auto"/>
        <w:textAlignment w:val="auto"/>
      </w:pPr>
      <w:r>
        <w:t>Information regarding support available from victim services to be given to the victim.</w:t>
      </w:r>
    </w:p>
    <w:p w14:paraId="6DAD8E05" w14:textId="77777777" w:rsidR="0039725B" w:rsidRDefault="0039725B" w:rsidP="0004279D">
      <w:pPr>
        <w:pStyle w:val="ListParagraph"/>
        <w:numPr>
          <w:ilvl w:val="0"/>
          <w:numId w:val="6"/>
        </w:numPr>
        <w:overflowPunct/>
        <w:autoSpaceDE/>
        <w:autoSpaceDN/>
        <w:adjustRightInd/>
        <w:spacing w:after="160" w:line="259" w:lineRule="auto"/>
        <w:textAlignment w:val="auto"/>
      </w:pPr>
      <w:r>
        <w:t>In addition to any witness statements provided, the victim is to be offered the opportunity to give a Victim Personal Statement (VPS)</w:t>
      </w:r>
    </w:p>
    <w:p w14:paraId="362E4ED4" w14:textId="77777777" w:rsidR="0039725B" w:rsidRDefault="0039725B" w:rsidP="0004279D">
      <w:pPr>
        <w:pStyle w:val="ListParagraph"/>
        <w:numPr>
          <w:ilvl w:val="0"/>
          <w:numId w:val="6"/>
        </w:numPr>
        <w:overflowPunct/>
        <w:autoSpaceDE/>
        <w:autoSpaceDN/>
        <w:adjustRightInd/>
        <w:spacing w:after="160" w:line="259" w:lineRule="auto"/>
        <w:textAlignment w:val="auto"/>
      </w:pPr>
      <w:r>
        <w:t>The victim is to be informed when the suspect is arrested, interviewed, released with no further action to be taken or released on police bail (Code of Practice for Victims of Crime, 2015).</w:t>
      </w:r>
    </w:p>
    <w:p w14:paraId="2992DBFB" w14:textId="77777777" w:rsidR="0039725B" w:rsidRDefault="0039725B" w:rsidP="0039725B">
      <w:r>
        <w:t>To comply with the Victims Code, when updating the occurrence log for incidents of crime, our computer system has a question included in the log template which asks the officer completing the log whether the victim wants the written acknowledgement that they have reported a crime or not. For this incident, I selected the ‘Yes’ option, meaning the female was sent a letter from Gwent Police acknowledging that she had reported this incident.</w:t>
      </w:r>
    </w:p>
    <w:p w14:paraId="020DF22C" w14:textId="77777777" w:rsidR="0039725B" w:rsidRDefault="0039725B" w:rsidP="0039725B">
      <w:r>
        <w:t>Whilst speaking to the female regarding this incident, I asked her about her relationship with the male. The female informed me that the male was mentally as well as physically abusive towards her throughout their decade long relationship, with her having to attend hospital for treatment to injuries inflicted by him on several occasions. After leaving her first refuge, where the male had located her, moving into a second refuge before she moved to her current address and having no contact with him for 18 months, the female thought she was safe and in a place where the male couldn’t harm her again. Therefore, the male attending her address, unannounced, had come out of nowhere and really shaken her up. Mentally the female had been taken back to how scared and vulnerable she felt when she was in a relationship with the male. An assessment was completed and it was recognised that the female would benefit from police applying for her to receive enhanced entitlements, should the case go to court. One example of an enhanced entitlement is special measures.</w:t>
      </w:r>
    </w:p>
    <w:p w14:paraId="6C10281F" w14:textId="77777777" w:rsidR="0039725B" w:rsidRDefault="0039725B" w:rsidP="0039725B">
      <w:r>
        <w:t>Special measures are a variety of provisions that were brought in to assist in the best possible evidence to be given in court by victims and witnesses. A victim of the most serious crimes, victims that are being repeatedly targeted, and victims who are vulnerable or intimidated can all be considered for special measures (Code of Practice for Victims of Crime, 2015). Special measures can be applied for by police on behalf of the victim or witnessed and is assessed by the court as to whether the measures are necessary in order to gain best evidence (Cps.gov.uk, 2019). Types of special measures that can be utilised to help a vulnerable or intimidated victim give evidence in court can include:</w:t>
      </w:r>
    </w:p>
    <w:p w14:paraId="42E01890" w14:textId="77777777" w:rsidR="0039725B" w:rsidRDefault="0039725B" w:rsidP="0004279D">
      <w:pPr>
        <w:pStyle w:val="ListParagraph"/>
        <w:numPr>
          <w:ilvl w:val="0"/>
          <w:numId w:val="7"/>
        </w:numPr>
        <w:overflowPunct/>
        <w:autoSpaceDE/>
        <w:autoSpaceDN/>
        <w:adjustRightInd/>
        <w:spacing w:after="160" w:line="259" w:lineRule="auto"/>
        <w:textAlignment w:val="auto"/>
      </w:pPr>
      <w:r>
        <w:t>Giving evidence whilst behind a curtain or screen. This will prevent the victim from being able to see the defendant whilst they’re giving evidence.</w:t>
      </w:r>
    </w:p>
    <w:p w14:paraId="2A1B1B10" w14:textId="77777777" w:rsidR="0039725B" w:rsidRDefault="0039725B" w:rsidP="0004279D">
      <w:pPr>
        <w:pStyle w:val="ListParagraph"/>
        <w:numPr>
          <w:ilvl w:val="0"/>
          <w:numId w:val="7"/>
        </w:numPr>
        <w:overflowPunct/>
        <w:autoSpaceDE/>
        <w:autoSpaceDN/>
        <w:adjustRightInd/>
        <w:spacing w:after="160" w:line="259" w:lineRule="auto"/>
        <w:textAlignment w:val="auto"/>
      </w:pPr>
      <w:r>
        <w:t>Giving evidence via a live video link. This enables the victim to give evidence to the court from a separate room or building.</w:t>
      </w:r>
    </w:p>
    <w:p w14:paraId="6CEA0AFA" w14:textId="77777777" w:rsidR="0039725B" w:rsidRDefault="0039725B" w:rsidP="0004279D">
      <w:pPr>
        <w:pStyle w:val="ListParagraph"/>
        <w:numPr>
          <w:ilvl w:val="0"/>
          <w:numId w:val="7"/>
        </w:numPr>
        <w:overflowPunct/>
        <w:autoSpaceDE/>
        <w:autoSpaceDN/>
        <w:adjustRightInd/>
        <w:spacing w:after="160" w:line="259" w:lineRule="auto"/>
        <w:textAlignment w:val="auto"/>
      </w:pPr>
      <w:r>
        <w:t>Giving evidence via a pre-recorded video statement.</w:t>
      </w:r>
    </w:p>
    <w:p w14:paraId="69B414AD" w14:textId="77777777" w:rsidR="0039725B" w:rsidRDefault="0039725B" w:rsidP="0004279D">
      <w:pPr>
        <w:pStyle w:val="ListParagraph"/>
        <w:numPr>
          <w:ilvl w:val="0"/>
          <w:numId w:val="7"/>
        </w:numPr>
        <w:overflowPunct/>
        <w:autoSpaceDE/>
        <w:autoSpaceDN/>
        <w:adjustRightInd/>
        <w:spacing w:after="160" w:line="259" w:lineRule="auto"/>
        <w:textAlignment w:val="auto"/>
      </w:pPr>
      <w:r>
        <w:t>In some cases the public gallery can be closed, which allows the victim to give evidence to the court in private.</w:t>
      </w:r>
    </w:p>
    <w:p w14:paraId="3C8A146E" w14:textId="77777777" w:rsidR="0039725B" w:rsidRDefault="0039725B" w:rsidP="0004279D">
      <w:pPr>
        <w:pStyle w:val="ListParagraph"/>
        <w:numPr>
          <w:ilvl w:val="0"/>
          <w:numId w:val="7"/>
        </w:numPr>
        <w:overflowPunct/>
        <w:autoSpaceDE/>
        <w:autoSpaceDN/>
        <w:adjustRightInd/>
        <w:spacing w:after="160" w:line="259" w:lineRule="auto"/>
        <w:textAlignment w:val="auto"/>
      </w:pPr>
      <w:r>
        <w:t>If the victim is giving evidence at crown court, the judges, along with the prosecution and defence barristers can remove their gowns and wigs if necessary (Code of Practice for Victims of Crime, 2015).</w:t>
      </w:r>
    </w:p>
    <w:p w14:paraId="183E82CD" w14:textId="77777777" w:rsidR="0039725B" w:rsidRDefault="0039725B" w:rsidP="0039725B">
      <w:r>
        <w:t xml:space="preserve">Due to this incident being of a domestic nature, I completed a DASH form with the female. A DASH is used for all domestic abuse incidents, and allows any potential risk to the victim to be identified and assessed (Richards, 2019). When completed, the DASH is sent to the Public Protection Unit within the police, who then assess it and share it with partner agencies to help manage the risk, if deemed necessary. I advised the female that one of the partner agencies is Victim Support and made her aware that they offer short </w:t>
      </w:r>
      <w:r w:rsidRPr="007531FE">
        <w:t>term and long term emotional support for victims of crime, practically those of domestic abuse (</w:t>
      </w:r>
      <w:hyperlink r:id="rId16" w:history="1">
        <w:r w:rsidRPr="0004279D">
          <w:rPr>
            <w:rStyle w:val="Hyperlink"/>
            <w:color w:val="auto"/>
            <w:u w:val="none"/>
          </w:rPr>
          <w:t>www.victimsupport.co.uk</w:t>
        </w:r>
      </w:hyperlink>
      <w:r w:rsidRPr="0004279D">
        <w:t xml:space="preserve">, </w:t>
      </w:r>
      <w:proofErr w:type="spellStart"/>
      <w:r w:rsidRPr="0004279D">
        <w:t>n.d</w:t>
      </w:r>
      <w:proofErr w:type="spellEnd"/>
      <w:r w:rsidRPr="0004279D">
        <w:t>).</w:t>
      </w:r>
    </w:p>
    <w:p w14:paraId="312CA6D9" w14:textId="77777777" w:rsidR="0039725B" w:rsidRDefault="0039725B" w:rsidP="0039725B">
      <w:r>
        <w:lastRenderedPageBreak/>
        <w:t>In additional to taking a witness statement from the female, I offered her the opportunity to make a VPS. I explained to her that a VPS is a statement from the victim, outlining how the crime has affected them and what impact it has had (Bryant and Bryant, 2019). The VPS will be read out in court, either by the victim or the prosecution, and will be taken into consideration when the sentencing of the offender is decided (Gov.uk, 2013).</w:t>
      </w:r>
    </w:p>
    <w:p w14:paraId="1909AB66" w14:textId="77777777" w:rsidR="0039725B" w:rsidRDefault="0039725B" w:rsidP="0039725B">
      <w:r>
        <w:t>Despite the male still being outstanding, I have updated the female, in line with the Victims Code, that we have conducted arrest enquires for the male which were negative. I also advised her that the male has been added to the priority arrest list and that officers are proactively making enquiries regarding his arrest.</w:t>
      </w:r>
    </w:p>
    <w:p w14:paraId="2301365B" w14:textId="77777777" w:rsidR="0039725B" w:rsidRDefault="0039725B" w:rsidP="0039725B">
      <w:r>
        <w:t xml:space="preserve">Upon reflecting on how I complied with the Victims Code, it’s clear that my policing values were engaged during this incident. As a police officer there are a code of ethics and principle to continually abide by. (College of Policing 2014) state that these include things such as: </w:t>
      </w:r>
    </w:p>
    <w:p w14:paraId="008F13C9" w14:textId="77777777" w:rsidR="0039725B" w:rsidRDefault="0039725B" w:rsidP="0004279D">
      <w:pPr>
        <w:pStyle w:val="ListParagraph"/>
        <w:numPr>
          <w:ilvl w:val="0"/>
          <w:numId w:val="8"/>
        </w:numPr>
        <w:overflowPunct/>
        <w:autoSpaceDE/>
        <w:autoSpaceDN/>
        <w:adjustRightInd/>
        <w:spacing w:after="160" w:line="259" w:lineRule="auto"/>
        <w:textAlignment w:val="auto"/>
      </w:pPr>
      <w:r>
        <w:t>Being open and honest – I remained open and honest with the female throughout. I explained the criminal justice process from start to finish and what would be expected of her should the case go to court. I was also honest with the female, by updating her along with the agreed timescale to explain to her that we haven’t been able to arrest the male yet.</w:t>
      </w:r>
    </w:p>
    <w:p w14:paraId="0BF6A784" w14:textId="77777777" w:rsidR="0039725B" w:rsidRDefault="0039725B" w:rsidP="0004279D">
      <w:pPr>
        <w:pStyle w:val="ListParagraph"/>
        <w:numPr>
          <w:ilvl w:val="0"/>
          <w:numId w:val="8"/>
        </w:numPr>
        <w:overflowPunct/>
        <w:autoSpaceDE/>
        <w:autoSpaceDN/>
        <w:adjustRightInd/>
        <w:spacing w:after="160" w:line="259" w:lineRule="auto"/>
        <w:textAlignment w:val="auto"/>
      </w:pPr>
      <w:r>
        <w:t>Confidentiality – The female’s mother is a police officer and sent me an email relating to the incident. Despite her being a police officer, the female’s mother is not involved in this incident personally or professionally and has no policing purpose to receive information about the incident. I was aware of this and have not shared any information with her.</w:t>
      </w:r>
    </w:p>
    <w:p w14:paraId="5B62AE04" w14:textId="77777777" w:rsidR="002B3B2B" w:rsidRDefault="0039725B" w:rsidP="0039725B">
      <w:pPr>
        <w:pStyle w:val="ListParagraph"/>
        <w:numPr>
          <w:ilvl w:val="0"/>
          <w:numId w:val="8"/>
        </w:numPr>
        <w:overflowPunct/>
        <w:autoSpaceDE/>
        <w:autoSpaceDN/>
        <w:adjustRightInd/>
        <w:spacing w:after="160" w:line="259" w:lineRule="auto"/>
        <w:textAlignment w:val="auto"/>
      </w:pPr>
      <w:r>
        <w:t xml:space="preserve">Duties and responsibilities – I carried out my duties in line with my obligations, in particular in line with the Victims Code, to the best of my ability. The female told me she was a fluent Welsh speaker, and in line with the (Welsh Language Act 1997) I offered her the chance to have correspondence in Welsh. </w:t>
      </w:r>
    </w:p>
    <w:p w14:paraId="603CBA54" w14:textId="442E8585" w:rsidR="0039725B" w:rsidRDefault="00F01269" w:rsidP="002B3B2B">
      <w:pPr>
        <w:overflowPunct/>
        <w:autoSpaceDE/>
        <w:autoSpaceDN/>
        <w:adjustRightInd/>
        <w:spacing w:after="160" w:line="259" w:lineRule="auto"/>
        <w:ind w:left="360"/>
        <w:textAlignment w:val="auto"/>
      </w:pPr>
      <w:r>
        <w:t>Reflecting on this</w:t>
      </w:r>
      <w:r w:rsidR="0039725B">
        <w:t xml:space="preserve"> incident where I played a significant role with a victim of a domestic burglary; </w:t>
      </w:r>
      <w:r>
        <w:t>I fully complied with</w:t>
      </w:r>
      <w:r w:rsidR="0039725B">
        <w:t xml:space="preserve"> my responsibilities and procedures to support the victim through the criminal justice system, in line with the relevant Codes of Practice. My policing values were engaged </w:t>
      </w:r>
      <w:r>
        <w:t>throughout</w:t>
      </w:r>
      <w:r w:rsidR="0039725B">
        <w:t xml:space="preserve"> the incident, including considering the language preference of the victim.</w:t>
      </w:r>
      <w:r>
        <w:t xml:space="preserve"> By reflecting on this I have been able to illustrating how these goals were </w:t>
      </w:r>
      <w:r w:rsidR="0039725B">
        <w:t xml:space="preserve">achieved. </w:t>
      </w: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0F9CFEC5" w:rsidR="00025650" w:rsidRDefault="00025650" w:rsidP="00025650">
      <w:pPr>
        <w:jc w:val="both"/>
        <w:rPr>
          <w:sz w:val="24"/>
          <w:szCs w:val="24"/>
        </w:rPr>
      </w:pPr>
    </w:p>
    <w:p w14:paraId="14E67FCB" w14:textId="632710B3" w:rsidR="00443A45" w:rsidRDefault="00443A45" w:rsidP="00025650">
      <w:pPr>
        <w:jc w:val="both"/>
        <w:rPr>
          <w:sz w:val="24"/>
          <w:szCs w:val="24"/>
        </w:rPr>
      </w:pPr>
    </w:p>
    <w:p w14:paraId="6CB8948B" w14:textId="77777777" w:rsidR="00443A45" w:rsidRPr="00270EEB" w:rsidRDefault="00443A45"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5E8513B" w14:textId="03488BE7" w:rsidR="00025650" w:rsidRDefault="00025650" w:rsidP="00025650">
      <w:pPr>
        <w:jc w:val="both"/>
        <w:rPr>
          <w:sz w:val="24"/>
          <w:szCs w:val="24"/>
        </w:rPr>
      </w:pPr>
    </w:p>
    <w:p w14:paraId="04185C2C" w14:textId="77777777" w:rsidR="0039725B" w:rsidRDefault="0039725B" w:rsidP="0039725B">
      <w:pPr>
        <w:jc w:val="both"/>
      </w:pPr>
      <w:r>
        <w:t>I am</w:t>
      </w:r>
      <w:r w:rsidRPr="00D27CC0">
        <w:t xml:space="preserve"> looking at an incident where I played a significant role with an offender. I will be reflecting on how I applied the National Decision Making Model (NDM) to assist in resolving the incident and the role discretion played in the decision making process. I will explain my responsibilities to comply with the CPIA when conducting investigations, retaining significant information and managing offenders. I will also analyse the impact of bias could potentially have had on the incident.</w:t>
      </w:r>
    </w:p>
    <w:p w14:paraId="3594B5E3" w14:textId="77777777" w:rsidR="0039725B" w:rsidRDefault="0039725B" w:rsidP="0039725B">
      <w:pPr>
        <w:jc w:val="both"/>
      </w:pPr>
      <w:r>
        <w:t>I attended an incident where a female had called police stating that her ex-partner was outside her address, attempting to gain entry. Upon arriving at the address, a male, now known to be the ex-partner, was outside the address, standing by the front door. The male was compliant and explained to us that his ex-partner had rang him, and he could tell that she was clearly intoxicated. He continued to tell us that he has two children with his ex-partner and he knew they were in the house while she was intoxicated, therefore, he attended the address in order to take his children home with him. Due to the level of the female’s intoxication, it was decided to contact her mother in order to establish whether she’d be willing to attend the address and stay there throughout the night, in order to safeguard the children. The male was becoming increasingly frustrated with not being able to take his children with him. The male’s frustration turned to anger and despite several warnings, the male was arrested for Breach of the Peace. The male was conveyed to custody, where discretion was used and he was then de-arrested and conveyed back to his home address.</w:t>
      </w:r>
    </w:p>
    <w:p w14:paraId="25129E42" w14:textId="77777777" w:rsidR="0039725B" w:rsidRDefault="0039725B" w:rsidP="0039725B">
      <w:pPr>
        <w:jc w:val="both"/>
      </w:pPr>
      <w:r>
        <w:t xml:space="preserve">The NDM is a decision making tool which gives a structure to rationalise the decisions made and the justification behind those decisions. The NDM has the policing Code of Ethics at the heart of it and ensures that all policing decisions are made in line with the principles of the Code. A person using the NDM starts by gathering information and intelligence, which will enable the threat and risk to be assessed and a working strategy to be developed. Powers and policies should then be considered before identifying options to deal with the situation and any contingency options. The final element of the NDM is to use the prior elements in order to take action and then review what happened. The NDM </w:t>
      </w:r>
      <w:r>
        <w:lastRenderedPageBreak/>
        <w:t>could be used serval times during one incident, should it be ongoing after the first NDM cycle (College of Policing, 2012).</w:t>
      </w:r>
    </w:p>
    <w:p w14:paraId="564E06D1" w14:textId="77777777" w:rsidR="0039725B" w:rsidRDefault="0039725B" w:rsidP="0039725B">
      <w:pPr>
        <w:jc w:val="both"/>
      </w:pPr>
      <w:r w:rsidRPr="007464B5">
        <w:t>Whilst on route to the incident I spoke to the Force Control Room to gain information on the female, male and whether there had been any prior incidents between the pair that had been reported to police.</w:t>
      </w:r>
      <w:r>
        <w:t xml:space="preserve">  The female stayed on the phone to police until we arrived, this enabled us to have ongoing information from the female about what was happening, and allowed an initial threat and risk assessment to be made. As the female had told us that the male had not managed to gain entry to the address and was still outside, it was decided that our initial working strategy and main option was to get the male away from the house in order for us to establish the circumstances of the incident from both parties. If this was not possible, due to the male not complying, we knew we would possibly have the power to arrest for Breach of the Peace.</w:t>
      </w:r>
    </w:p>
    <w:p w14:paraId="0A686CA6" w14:textId="77777777" w:rsidR="0039725B" w:rsidRDefault="0039725B" w:rsidP="0039725B">
      <w:pPr>
        <w:jc w:val="both"/>
        <w:rPr>
          <w:rFonts w:cstheme="minorHAnsi"/>
        </w:rPr>
      </w:pPr>
      <w:r>
        <w:t>“</w:t>
      </w:r>
      <w:r w:rsidRPr="00FC5501">
        <w:rPr>
          <w:rFonts w:cstheme="minorHAnsi"/>
        </w:rPr>
        <w:t>Breach of the Peace is committed whenever harm is done, or is likely to be done to a person, or, in his presence to his property, or, whenever a person is in fear of being harmed through an assault, affray, riot or other disturbance</w:t>
      </w:r>
      <w:r>
        <w:rPr>
          <w:rFonts w:cstheme="minorHAnsi"/>
        </w:rPr>
        <w:t>”</w:t>
      </w:r>
      <w:r w:rsidRPr="00FC5501">
        <w:rPr>
          <w:rFonts w:cstheme="minorHAnsi"/>
        </w:rPr>
        <w:t xml:space="preserve"> (</w:t>
      </w:r>
      <w:hyperlink r:id="rId17" w:history="1">
        <w:r w:rsidRPr="0004279D">
          <w:rPr>
            <w:rStyle w:val="Hyperlink"/>
            <w:rFonts w:cstheme="minorHAnsi"/>
            <w:color w:val="auto"/>
            <w:u w:val="none"/>
          </w:rPr>
          <w:t>www.pnld.co.uk</w:t>
        </w:r>
      </w:hyperlink>
      <w:r w:rsidRPr="0004279D">
        <w:rPr>
          <w:rFonts w:cstheme="minorHAnsi"/>
        </w:rPr>
        <w:t>, 2019</w:t>
      </w:r>
      <w:r w:rsidRPr="00FC5501">
        <w:rPr>
          <w:rFonts w:cstheme="minorHAnsi"/>
        </w:rPr>
        <w:t>)</w:t>
      </w:r>
      <w:r>
        <w:rPr>
          <w:rFonts w:cstheme="minorHAnsi"/>
        </w:rPr>
        <w:t xml:space="preserve">. </w:t>
      </w:r>
    </w:p>
    <w:p w14:paraId="631CE548" w14:textId="77777777" w:rsidR="0039725B" w:rsidRDefault="0039725B" w:rsidP="0039725B">
      <w:pPr>
        <w:jc w:val="both"/>
      </w:pPr>
      <w:r>
        <w:rPr>
          <w:rFonts w:cstheme="minorHAnsi"/>
        </w:rPr>
        <w:t>We arrived at the address and the male was standing outside the front door of the property. He was compliant and moved to the edge of the driveway with me and my colleagues. This subconsciously began the second NDM cycle. So my colleagues and I spoke to the male to gather information about the circumstances, while other colleagues were inside the house speaking to the female; gathering the circumstances from her. The information we had from speaking to the male and being inside with the female was that the female was heavily intoxicated whist their two children were in bed sleeping. This enabled us to assess the threat and risk to all parties, but our focus was now mainly on the children and the threat and risk towards them. Our working strategy was to continue speaking to both parties to gather any further information whilst we considered the powers and policies available and identify the best options and contingencies to deal with the situation. When considering the powers available to us, our options were limited. Whilst we could not leave the children in the care or sole care of the female, due to her intoxication, but as the children were asleep at the time, we did not believe that the would otherwise suffer significant harm, meaning we could not use police powers of protection (Children Act 1989). We were also aware that the offence of being drunk while in charge of a child, does not apply in a private dwelling (Licensing Act 1902). We came to the decision that the option that least impacted the children was to attempt to get the female’s mother</w:t>
      </w:r>
      <w:r>
        <w:t xml:space="preserve"> to attend the address and stay there throughout the night. This enabled the children to stay in bed, and them to be safeguarded at the same time. This decision did not please the male who, upon hearing it, got extremely frustrated and confrontational. We warned him several times that if he did not calm down then he would be arrested. Now re-assessing the threat and risk of the situation, I was identifying different impact factors that were present. An impact factor is something in a situation that increase the risk during encounters (College of Poling, 2019). In this incident the risks were that the male was bigger and stronger than me, frustrated with myself and other colleagues and had consumed alcohol. Our first option was to use communication to de-escalate the situation, with the contingency plan to arrest him. There was no reasoning with him and he was subsequently arrest for Breach of the Peace. </w:t>
      </w:r>
    </w:p>
    <w:p w14:paraId="6694F836" w14:textId="5AB88F54" w:rsidR="0039725B" w:rsidRDefault="0039725B" w:rsidP="0039725B">
      <w:pPr>
        <w:jc w:val="both"/>
      </w:pPr>
      <w:r>
        <w:t xml:space="preserve">Discretion is the “choice, or the right to make a choice, based on judgment” (Meaning of Discretion, </w:t>
      </w:r>
      <w:proofErr w:type="spellStart"/>
      <w:r>
        <w:t>n.d</w:t>
      </w:r>
      <w:proofErr w:type="spellEnd"/>
      <w:r>
        <w:t xml:space="preserve">). Following the male’s arrest, he was conveyed to custody where discretion was used and he was de-arrested before being conveyed to his home address. This decision was </w:t>
      </w:r>
      <w:r w:rsidR="0004279D">
        <w:t>used</w:t>
      </w:r>
      <w:r>
        <w:t xml:space="preserve"> because he had calmed down and was remorseful for his actions, and the fact he was no longer at his ex-partner’s address meant the breach of the peace no longer existed nor was it believed that it would reoccur (Bryant and Bryant, 2019).</w:t>
      </w:r>
    </w:p>
    <w:p w14:paraId="7C030F86" w14:textId="77777777" w:rsidR="0039725B" w:rsidRDefault="0039725B" w:rsidP="0039725B">
      <w:pPr>
        <w:jc w:val="both"/>
      </w:pPr>
      <w:r>
        <w:t>During our initial conversation with the male, he was disclosing information which I knew to be important to the investigation into the incident and for the submission of the Public Protection Notice that would need to be submitted in relation to the incident. I’m aware that all lines of enquiry in an investigation must be pursued and the steps to be taken in order to do so (Criminal Procedure and Investigations Act 1996). It is this reason, and that the male and female had contrasting versions of events, that house to house enquiries were conducted to establish if any neighbours had seen or heard the incident. The female’s mobile phone was also checked to explore whether or not she had contacted the male prior to him attending the address. (Criminal Procedure and Investigations Act 1996) also states that information which is gathered whilst conducting an investigation, and that could be relevant to the investigation must be recorded correctly and retained. During this incident, all the information I gathered by speaking to the male, the results of the house to house enquiries were all recorded in my pocket notebook, along with the details and circumstances of the arrest.</w:t>
      </w:r>
    </w:p>
    <w:p w14:paraId="1C7774B4" w14:textId="77777777" w:rsidR="0039725B" w:rsidRDefault="0039725B" w:rsidP="0039725B">
      <w:pPr>
        <w:jc w:val="both"/>
      </w:pPr>
      <w:r>
        <w:t xml:space="preserve">It is said that bias is a characteristic that is ingrained in human nature. It is the tendency to choose or prefer one thing over another (Jana and Freeman, 2016). However, being a police officer requires complying with the Code of Ethics which includes treating everyone with respect and always acting in </w:t>
      </w:r>
      <w:r>
        <w:lastRenderedPageBreak/>
        <w:t xml:space="preserve">fairness and impartiality by not discriminating against anyone (Bryant and Bryant, 2019). When dealing with a domestic incident it is probably easy and maybe natural to assume that the male would be the perpetrator and the female be the victim, but this isn’t always the case and is the perfect example of how bias could impact the response and behaviour of police officers. In this incident, whilst on route to the address, with a crying female on the phone to the FCR, I would suggest that most people would come to an early conclusion that the male is aggressive and possibly violent towards the female, meaning that they would have a bias towards the female. Likewise; after learning that the female is intoxicated whilst having her children in her care, I imagine could sway a person to become bias towards the male. Having to act with fairness and impartiality requires that unconscious bias isn’t allowed to affect the handling of an investigation. </w:t>
      </w:r>
      <w:bookmarkStart w:id="0" w:name="_GoBack"/>
      <w:bookmarkEnd w:id="0"/>
    </w:p>
    <w:p w14:paraId="2DC4DBF5" w14:textId="77777777" w:rsidR="0039725B" w:rsidRDefault="0039725B" w:rsidP="0039725B">
      <w:pPr>
        <w:jc w:val="both"/>
      </w:pPr>
      <w:r>
        <w:t>This was</w:t>
      </w:r>
      <w:r w:rsidRPr="00D27CC0">
        <w:t xml:space="preserve"> an incident where I played a significant role with an offender. </w:t>
      </w:r>
      <w:r>
        <w:t>Despite the use of it being unconscious on times, I have explained how</w:t>
      </w:r>
      <w:r w:rsidRPr="00D27CC0">
        <w:t xml:space="preserve"> I applied the National Decision Making Model (NDM) to assist in resolving the incident and the role discretion played in the decision making process. </w:t>
      </w:r>
      <w:r>
        <w:t xml:space="preserve">During this incident I showed I am aware of the </w:t>
      </w:r>
      <w:r w:rsidRPr="00D27CC0">
        <w:t xml:space="preserve">CPIA </w:t>
      </w:r>
      <w:r>
        <w:t xml:space="preserve">and my responsibilities in recording and retaining information </w:t>
      </w:r>
      <w:r w:rsidRPr="00D27CC0">
        <w:t>when conducting investigations</w:t>
      </w:r>
      <w:r>
        <w:t xml:space="preserve">. With this incident being of a domestic nature, I </w:t>
      </w:r>
      <w:r w:rsidRPr="00D27CC0">
        <w:t>also analyse</w:t>
      </w:r>
      <w:r>
        <w:t>d</w:t>
      </w:r>
      <w:r w:rsidRPr="00D27CC0">
        <w:t xml:space="preserve"> the impact of bias could potentially have had on the incident.</w:t>
      </w:r>
      <w:r>
        <w:t xml:space="preserve"> </w:t>
      </w:r>
    </w:p>
    <w:p w14:paraId="112BC682" w14:textId="77777777" w:rsidR="0039725B" w:rsidRPr="00270EEB" w:rsidRDefault="0039725B"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t>
      </w:r>
      <w:proofErr w:type="spellStart"/>
      <w:r w:rsidR="5EC7AAAF" w:rsidRPr="48DF4B50">
        <w:rPr>
          <w:b/>
          <w:bCs/>
          <w:i/>
          <w:iCs/>
          <w:sz w:val="24"/>
          <w:szCs w:val="24"/>
        </w:rPr>
        <w:t>wordcount</w:t>
      </w:r>
      <w:proofErr w:type="spellEnd"/>
      <w:r w:rsidR="5EC7AAAF" w:rsidRPr="48DF4B50">
        <w:rPr>
          <w:b/>
          <w:bCs/>
          <w:i/>
          <w:iCs/>
          <w:sz w:val="24"/>
          <w:szCs w:val="24"/>
        </w:rPr>
        <w:t xml:space="preserve">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3B25BE9B" w:rsidR="00220D06" w:rsidRPr="00270EEB" w:rsidRDefault="0039725B" w:rsidP="00FF7EBB">
            <w:pPr>
              <w:jc w:val="both"/>
              <w:rPr>
                <w:sz w:val="24"/>
                <w:szCs w:val="24"/>
              </w:rPr>
            </w:pPr>
            <w:r>
              <w:rPr>
                <w:sz w:val="24"/>
                <w:szCs w:val="24"/>
              </w:rPr>
              <w:t>Improvement of academic writing</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2FE721D3" w:rsidR="00220D06" w:rsidRPr="00270EEB" w:rsidRDefault="0039725B" w:rsidP="00FF7EBB">
            <w:pPr>
              <w:jc w:val="both"/>
              <w:rPr>
                <w:sz w:val="24"/>
                <w:szCs w:val="24"/>
              </w:rPr>
            </w:pPr>
            <w:r>
              <w:rPr>
                <w:sz w:val="24"/>
                <w:szCs w:val="24"/>
              </w:rPr>
              <w:t>I will achieve this by seeing further assistance from the university, as well as colleagues who have more experience than me in this area. I will also continue to research academic writing and this should enable me to achieve my goal.</w:t>
            </w:r>
          </w:p>
        </w:tc>
        <w:tc>
          <w:tcPr>
            <w:tcW w:w="2230" w:type="dxa"/>
            <w:shd w:val="clear" w:color="auto" w:fill="auto"/>
          </w:tcPr>
          <w:p w14:paraId="177DD410" w14:textId="0F4DB3C2" w:rsidR="00220D06" w:rsidRPr="00270EEB" w:rsidRDefault="0039725B" w:rsidP="00FF7EBB">
            <w:pPr>
              <w:jc w:val="both"/>
              <w:rPr>
                <w:sz w:val="24"/>
                <w:szCs w:val="24"/>
              </w:rPr>
            </w:pPr>
            <w:r>
              <w:rPr>
                <w:sz w:val="24"/>
                <w:szCs w:val="24"/>
              </w:rPr>
              <w:t>University and colleagues</w:t>
            </w:r>
          </w:p>
        </w:tc>
        <w:tc>
          <w:tcPr>
            <w:tcW w:w="2230" w:type="dxa"/>
            <w:shd w:val="clear" w:color="auto" w:fill="auto"/>
          </w:tcPr>
          <w:p w14:paraId="1F90E38B" w14:textId="53D9C93B" w:rsidR="62FE5CAF" w:rsidRDefault="0039725B" w:rsidP="62FE5CAF">
            <w:pPr>
              <w:jc w:val="both"/>
              <w:rPr>
                <w:sz w:val="24"/>
                <w:szCs w:val="24"/>
              </w:rPr>
            </w:pPr>
            <w:r>
              <w:rPr>
                <w:sz w:val="24"/>
                <w:szCs w:val="24"/>
              </w:rPr>
              <w:t>1 – 6 months. I would like to improve my academic writing with each workbook submitted.</w:t>
            </w:r>
          </w:p>
        </w:tc>
      </w:tr>
      <w:tr w:rsidR="00220D06" w:rsidRPr="00270EEB" w14:paraId="4DD6097A" w14:textId="77777777" w:rsidTr="6E3AA50A">
        <w:tc>
          <w:tcPr>
            <w:tcW w:w="2318" w:type="dxa"/>
            <w:shd w:val="clear" w:color="auto" w:fill="auto"/>
          </w:tcPr>
          <w:p w14:paraId="3411A998" w14:textId="31084025" w:rsidR="00220D06" w:rsidRPr="00270EEB" w:rsidRDefault="00277B8E" w:rsidP="00FF7EBB">
            <w:pPr>
              <w:jc w:val="both"/>
              <w:rPr>
                <w:sz w:val="24"/>
                <w:szCs w:val="24"/>
              </w:rPr>
            </w:pPr>
            <w:r>
              <w:rPr>
                <w:sz w:val="24"/>
                <w:szCs w:val="24"/>
              </w:rPr>
              <w:t>Continue to develop communication skills to de-escalate situations</w:t>
            </w: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7344E45F" w:rsidR="00220D06" w:rsidRPr="00270EEB" w:rsidRDefault="00277B8E" w:rsidP="00FF7EBB">
            <w:pPr>
              <w:jc w:val="both"/>
              <w:rPr>
                <w:sz w:val="24"/>
                <w:szCs w:val="24"/>
              </w:rPr>
            </w:pPr>
            <w:r>
              <w:rPr>
                <w:sz w:val="24"/>
                <w:szCs w:val="24"/>
              </w:rPr>
              <w:t>I will achieve this by attended more incidents where conflict is present. I will also continue to research communication skills in order to widen my knowledge</w:t>
            </w:r>
          </w:p>
        </w:tc>
        <w:tc>
          <w:tcPr>
            <w:tcW w:w="2230" w:type="dxa"/>
            <w:shd w:val="clear" w:color="auto" w:fill="auto"/>
          </w:tcPr>
          <w:p w14:paraId="55CDA8EA" w14:textId="7167EEA6" w:rsidR="00220D06" w:rsidRPr="00270EEB" w:rsidRDefault="00277B8E" w:rsidP="00FF7EBB">
            <w:pPr>
              <w:jc w:val="both"/>
              <w:rPr>
                <w:sz w:val="24"/>
                <w:szCs w:val="24"/>
              </w:rPr>
            </w:pPr>
            <w:r>
              <w:rPr>
                <w:sz w:val="24"/>
                <w:szCs w:val="24"/>
              </w:rPr>
              <w:t>Colleagues with more experience will be able to advise me on their experiences. This will help me evaluate what could work in certain situations and what could not.</w:t>
            </w:r>
          </w:p>
        </w:tc>
        <w:tc>
          <w:tcPr>
            <w:tcW w:w="2230" w:type="dxa"/>
            <w:shd w:val="clear" w:color="auto" w:fill="auto"/>
          </w:tcPr>
          <w:p w14:paraId="25AAFC86" w14:textId="57C366A5" w:rsidR="62FE5CAF" w:rsidRDefault="00277B8E" w:rsidP="00277B8E">
            <w:pPr>
              <w:jc w:val="both"/>
              <w:rPr>
                <w:sz w:val="24"/>
                <w:szCs w:val="24"/>
              </w:rPr>
            </w:pPr>
            <w:r>
              <w:rPr>
                <w:sz w:val="24"/>
                <w:szCs w:val="24"/>
              </w:rPr>
              <w:t xml:space="preserve">Ongoing. I don’t think communication skills are something anyone can say they’ve mastered. I hope to develop my skills in order for me to be able to deal with most situations via communication throughout my career </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43B36C97" w:rsidR="00220D06" w:rsidRPr="00270EEB" w:rsidRDefault="00277B8E" w:rsidP="00FF7EBB">
            <w:pPr>
              <w:jc w:val="both"/>
              <w:rPr>
                <w:sz w:val="24"/>
                <w:szCs w:val="24"/>
              </w:rPr>
            </w:pPr>
            <w:r>
              <w:rPr>
                <w:sz w:val="24"/>
                <w:szCs w:val="24"/>
              </w:rPr>
              <w:t>Continue to develop my knowledge of legislation and policy</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4F6C887F" w:rsidR="00220D06" w:rsidRPr="00270EEB" w:rsidRDefault="00277B8E" w:rsidP="00FF7EBB">
            <w:pPr>
              <w:jc w:val="both"/>
              <w:rPr>
                <w:sz w:val="24"/>
                <w:szCs w:val="24"/>
              </w:rPr>
            </w:pPr>
            <w:r>
              <w:rPr>
                <w:sz w:val="24"/>
                <w:szCs w:val="24"/>
              </w:rPr>
              <w:lastRenderedPageBreak/>
              <w:t xml:space="preserve">I will achieve this by continuing to look at legislation when dealing with that specific topic. I have done this in the early stages in my career and I’ve found when </w:t>
            </w:r>
            <w:r>
              <w:rPr>
                <w:sz w:val="24"/>
                <w:szCs w:val="24"/>
              </w:rPr>
              <w:lastRenderedPageBreak/>
              <w:t>dealing with a situation, looking at the related legislation allows it to make more sense and remain in my memory, rather than randomly looking at legislation and policy.</w:t>
            </w:r>
          </w:p>
        </w:tc>
        <w:tc>
          <w:tcPr>
            <w:tcW w:w="2230" w:type="dxa"/>
            <w:shd w:val="clear" w:color="auto" w:fill="auto"/>
          </w:tcPr>
          <w:p w14:paraId="5D463CB1" w14:textId="77777777" w:rsidR="00220D06" w:rsidRDefault="00277B8E" w:rsidP="00FF7EBB">
            <w:pPr>
              <w:jc w:val="both"/>
              <w:rPr>
                <w:sz w:val="24"/>
                <w:szCs w:val="24"/>
              </w:rPr>
            </w:pPr>
            <w:r>
              <w:rPr>
                <w:sz w:val="24"/>
                <w:szCs w:val="24"/>
              </w:rPr>
              <w:lastRenderedPageBreak/>
              <w:t>My colleagues with more experience will be able to assist me if I haven’t got the time to sit down and look at the legislation.</w:t>
            </w:r>
          </w:p>
          <w:p w14:paraId="63C5B3FF" w14:textId="194E6910" w:rsidR="00277B8E" w:rsidRPr="00270EEB" w:rsidRDefault="00277B8E" w:rsidP="00FF7EBB">
            <w:pPr>
              <w:jc w:val="both"/>
              <w:rPr>
                <w:sz w:val="24"/>
                <w:szCs w:val="24"/>
              </w:rPr>
            </w:pPr>
            <w:r>
              <w:rPr>
                <w:sz w:val="24"/>
                <w:szCs w:val="24"/>
              </w:rPr>
              <w:lastRenderedPageBreak/>
              <w:t xml:space="preserve">I will continue to look at </w:t>
            </w:r>
            <w:proofErr w:type="spellStart"/>
            <w:r>
              <w:rPr>
                <w:sz w:val="24"/>
                <w:szCs w:val="24"/>
              </w:rPr>
              <w:t>Blackstones</w:t>
            </w:r>
            <w:proofErr w:type="spellEnd"/>
            <w:r>
              <w:rPr>
                <w:sz w:val="24"/>
                <w:szCs w:val="24"/>
              </w:rPr>
              <w:t xml:space="preserve">, </w:t>
            </w:r>
            <w:proofErr w:type="gramStart"/>
            <w:r>
              <w:rPr>
                <w:sz w:val="24"/>
                <w:szCs w:val="24"/>
              </w:rPr>
              <w:t>leg.gov.uk  and</w:t>
            </w:r>
            <w:proofErr w:type="gramEnd"/>
            <w:r>
              <w:rPr>
                <w:sz w:val="24"/>
                <w:szCs w:val="24"/>
              </w:rPr>
              <w:t xml:space="preserve"> PNLD for the most up to date legislation.</w:t>
            </w:r>
          </w:p>
        </w:tc>
        <w:tc>
          <w:tcPr>
            <w:tcW w:w="2230" w:type="dxa"/>
            <w:shd w:val="clear" w:color="auto" w:fill="auto"/>
          </w:tcPr>
          <w:p w14:paraId="5A4090B6" w14:textId="28DE2768" w:rsidR="62FE5CAF" w:rsidRDefault="00277B8E" w:rsidP="62FE5CAF">
            <w:pPr>
              <w:jc w:val="both"/>
              <w:rPr>
                <w:sz w:val="24"/>
                <w:szCs w:val="24"/>
              </w:rPr>
            </w:pPr>
            <w:r>
              <w:rPr>
                <w:sz w:val="24"/>
                <w:szCs w:val="24"/>
              </w:rPr>
              <w:lastRenderedPageBreak/>
              <w:t xml:space="preserve">Ongoing. Legislation and policies frequently change. So because of this and the vast amount of legislation and policies there are, </w:t>
            </w:r>
            <w:r>
              <w:rPr>
                <w:sz w:val="24"/>
                <w:szCs w:val="24"/>
              </w:rPr>
              <w:lastRenderedPageBreak/>
              <w:t>it would be impossible for me to know everything. That being said, by continuing to develop my knowledge, I hope to have a broad knowledge of most legislation and policies.</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3E0E4081"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95FDE19" w14:textId="77777777" w:rsidR="001508C8" w:rsidRDefault="001508C8" w:rsidP="001508C8">
      <w:pPr>
        <w:widowControl w:val="0"/>
        <w:spacing w:after="240" w:line="360" w:lineRule="auto"/>
        <w:rPr>
          <w:rFonts w:ascii="Times New Roman" w:hAnsi="Times New Roman" w:cs="Times New Roman"/>
          <w:sz w:val="36"/>
          <w:szCs w:val="36"/>
          <w:lang w:val="en-US"/>
        </w:rPr>
      </w:pPr>
    </w:p>
    <w:p w14:paraId="728C6B14" w14:textId="1E42F28D" w:rsidR="001508C8" w:rsidRDefault="001508C8" w:rsidP="001508C8">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36"/>
          <w:szCs w:val="36"/>
          <w:lang w:val="en-US"/>
        </w:rPr>
        <w:t>Reference list</w:t>
      </w:r>
    </w:p>
    <w:p w14:paraId="0FF4CCDD" w14:textId="77777777" w:rsidR="001508C8" w:rsidRDefault="001508C8" w:rsidP="001508C8">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Ant Middleton (2020). </w:t>
      </w:r>
      <w:r>
        <w:rPr>
          <w:rFonts w:ascii="Times New Roman" w:hAnsi="Times New Roman" w:cs="Times New Roman"/>
          <w:i/>
          <w:iCs/>
          <w:sz w:val="24"/>
          <w:szCs w:val="24"/>
          <w:lang w:val="en-US"/>
        </w:rPr>
        <w:t>FEAR BUBBLE : harness fear and live without limits.</w:t>
      </w:r>
      <w:r>
        <w:rPr>
          <w:rFonts w:ascii="Times New Roman" w:hAnsi="Times New Roman" w:cs="Times New Roman"/>
          <w:sz w:val="24"/>
          <w:szCs w:val="24"/>
          <w:lang w:val="en-US"/>
        </w:rPr>
        <w:t xml:space="preserve"> S.L.: </w:t>
      </w:r>
      <w:proofErr w:type="spellStart"/>
      <w:r>
        <w:rPr>
          <w:rFonts w:ascii="Times New Roman" w:hAnsi="Times New Roman" w:cs="Times New Roman"/>
          <w:sz w:val="24"/>
          <w:szCs w:val="24"/>
          <w:lang w:val="en-US"/>
        </w:rPr>
        <w:t>Harpercollins</w:t>
      </w:r>
      <w:proofErr w:type="spellEnd"/>
      <w:r>
        <w:rPr>
          <w:rFonts w:ascii="Times New Roman" w:hAnsi="Times New Roman" w:cs="Times New Roman"/>
          <w:sz w:val="24"/>
          <w:szCs w:val="24"/>
          <w:lang w:val="en-US"/>
        </w:rPr>
        <w:t xml:space="preserve"> Publishers, p.P.35-P.59.</w:t>
      </w:r>
    </w:p>
    <w:p w14:paraId="3D63F1A8" w14:textId="77777777" w:rsidR="001508C8" w:rsidRDefault="001508C8" w:rsidP="001508C8">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Barry, H. (2018). </w:t>
      </w:r>
      <w:r>
        <w:rPr>
          <w:rFonts w:ascii="Times New Roman" w:hAnsi="Times New Roman" w:cs="Times New Roman"/>
          <w:i/>
          <w:iCs/>
          <w:sz w:val="24"/>
          <w:szCs w:val="24"/>
          <w:lang w:val="en-US"/>
        </w:rPr>
        <w:t>Emotional resilience : how to safeguard your mental health</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London: Orion Spring, p.pg12. Available at: https://books.google.co.uk/books?id=0TUmDwAAQBAJ&amp;printsec=frontcover&amp;dq=what+is+resilience&amp;hl=en&amp;sa=X&amp;ved=2ahUKEwi948SVxZbsAhWCqHEKHXNJAJYQ6AEwA3oECAYQAg#v=onepage&amp;q=what%20is%20resilience&amp;f=false [Accessed 2 Oct. 2020].</w:t>
      </w:r>
    </w:p>
    <w:p w14:paraId="3E3A9CCA" w14:textId="77777777" w:rsidR="001508C8" w:rsidRDefault="001508C8" w:rsidP="001508C8">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Bryant, R. and Bryant, S. (2019). </w:t>
      </w:r>
      <w:r>
        <w:rPr>
          <w:rFonts w:ascii="Times New Roman" w:hAnsi="Times New Roman" w:cs="Times New Roman"/>
          <w:i/>
          <w:iCs/>
          <w:sz w:val="24"/>
          <w:szCs w:val="24"/>
          <w:lang w:val="en-US"/>
        </w:rPr>
        <w:t>Blackstone’s handbook for policing students 2020</w:t>
      </w:r>
      <w:r>
        <w:rPr>
          <w:rFonts w:ascii="Times New Roman" w:hAnsi="Times New Roman" w:cs="Times New Roman"/>
          <w:sz w:val="24"/>
          <w:szCs w:val="24"/>
          <w:lang w:val="en-US"/>
        </w:rPr>
        <w:t>. Oxford: Oxford University Press, pp.76, 210, 307.</w:t>
      </w:r>
    </w:p>
    <w:p w14:paraId="699DB44B" w14:textId="77777777" w:rsidR="001508C8" w:rsidRDefault="001508C8" w:rsidP="001508C8">
      <w:pPr>
        <w:widowControl w:val="0"/>
        <w:spacing w:after="240" w:line="360" w:lineRule="auto"/>
        <w:rPr>
          <w:rFonts w:ascii="Times New Roman" w:hAnsi="Times New Roman" w:cs="Times New Roman"/>
          <w:sz w:val="24"/>
          <w:szCs w:val="24"/>
          <w:lang w:val="en-US"/>
        </w:rPr>
      </w:pPr>
      <w:r>
        <w:rPr>
          <w:rFonts w:ascii="Times New Roman" w:hAnsi="Times New Roman" w:cs="Times New Roman"/>
          <w:i/>
          <w:iCs/>
          <w:sz w:val="24"/>
          <w:szCs w:val="24"/>
          <w:lang w:val="en-US"/>
        </w:rPr>
        <w:t>Children Act 1989</w:t>
      </w:r>
      <w:r>
        <w:rPr>
          <w:rFonts w:ascii="Times New Roman" w:hAnsi="Times New Roman" w:cs="Times New Roman"/>
          <w:sz w:val="24"/>
          <w:szCs w:val="24"/>
          <w:lang w:val="en-US"/>
        </w:rPr>
        <w:t>.46. Legislation.gov.uk. [online] Available at: https://www.legislation.gov.uk/ukpga/1989/41/section/46.</w:t>
      </w:r>
    </w:p>
    <w:p w14:paraId="621A82F3" w14:textId="77777777" w:rsidR="001508C8" w:rsidRDefault="001508C8" w:rsidP="001508C8">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Code of Practice for Victims of Crime. (2015). [online] London: Ministry of Justice, pp.1, 13–22. Available at: https://assets.publishing.service.gov.uk/government/uploads/system/uploads/attachment_data/file/476900/code-of-practice-for-victims-of-crime.PDF.</w:t>
      </w:r>
    </w:p>
    <w:p w14:paraId="2E1E9F16" w14:textId="77777777" w:rsidR="001508C8" w:rsidRDefault="001508C8" w:rsidP="001508C8">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Cohen, S., </w:t>
      </w:r>
      <w:proofErr w:type="spellStart"/>
      <w:r>
        <w:rPr>
          <w:rFonts w:ascii="Times New Roman" w:hAnsi="Times New Roman" w:cs="Times New Roman"/>
          <w:sz w:val="24"/>
          <w:szCs w:val="24"/>
          <w:lang w:val="en-US"/>
        </w:rPr>
        <w:t>Janicki-Deverts</w:t>
      </w:r>
      <w:proofErr w:type="spellEnd"/>
      <w:r>
        <w:rPr>
          <w:rFonts w:ascii="Times New Roman" w:hAnsi="Times New Roman" w:cs="Times New Roman"/>
          <w:sz w:val="24"/>
          <w:szCs w:val="24"/>
          <w:lang w:val="en-US"/>
        </w:rPr>
        <w:t xml:space="preserve">, D. and Miller, G. (2007). </w:t>
      </w:r>
      <w:r>
        <w:rPr>
          <w:rFonts w:ascii="Times New Roman" w:hAnsi="Times New Roman" w:cs="Times New Roman"/>
          <w:i/>
          <w:iCs/>
          <w:sz w:val="24"/>
          <w:szCs w:val="24"/>
          <w:lang w:val="en-US"/>
        </w:rPr>
        <w:t>Chapter 1. What is Stress?</w:t>
      </w: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Available at: https://www.pacdeff.com/pdfs/What%20is%20Stress.pdf [Accessed 9 Sep. 2020]. “The physiological stress reaction is our body’s response to any change, threat, or pressure put upon it, from outside forces...or from within.”</w:t>
      </w:r>
    </w:p>
    <w:p w14:paraId="67C9DDAA" w14:textId="77777777" w:rsidR="001508C8" w:rsidRDefault="001508C8" w:rsidP="001508C8">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College of Policing (2014). </w:t>
      </w:r>
      <w:r>
        <w:rPr>
          <w:rFonts w:ascii="Times New Roman" w:hAnsi="Times New Roman" w:cs="Times New Roman"/>
          <w:i/>
          <w:iCs/>
          <w:sz w:val="24"/>
          <w:szCs w:val="24"/>
          <w:lang w:val="en-US"/>
        </w:rPr>
        <w:t>Code of Ethics</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College of Policing</w:t>
      </w:r>
      <w:r>
        <w:rPr>
          <w:rFonts w:ascii="Times New Roman" w:hAnsi="Times New Roman" w:cs="Times New Roman"/>
          <w:sz w:val="24"/>
          <w:szCs w:val="24"/>
          <w:lang w:val="en-US"/>
        </w:rPr>
        <w:t>, pp.3–11. Available at: https://www.college.police.uk/What-we-do/Ethics/Documents/Code_of_Ethics.pdf.</w:t>
      </w:r>
    </w:p>
    <w:p w14:paraId="4649B852" w14:textId="77777777" w:rsidR="001508C8" w:rsidRDefault="001508C8" w:rsidP="001508C8">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College of Policing. (2012). </w:t>
      </w:r>
      <w:r>
        <w:rPr>
          <w:rFonts w:ascii="Times New Roman" w:hAnsi="Times New Roman" w:cs="Times New Roman"/>
          <w:i/>
          <w:iCs/>
          <w:sz w:val="24"/>
          <w:szCs w:val="24"/>
          <w:lang w:val="en-US"/>
        </w:rPr>
        <w:t>National Decision Model</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Available at: https://www.app.college.police.uk/app-content/national-decision-model/the-national-decision-model/.</w:t>
      </w:r>
    </w:p>
    <w:p w14:paraId="1530FB68" w14:textId="77777777" w:rsidR="001508C8" w:rsidRDefault="001508C8" w:rsidP="001508C8">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College of Poling. (2019). </w:t>
      </w:r>
      <w:r>
        <w:rPr>
          <w:rFonts w:ascii="Times New Roman" w:hAnsi="Times New Roman" w:cs="Times New Roman"/>
          <w:i/>
          <w:iCs/>
          <w:sz w:val="24"/>
          <w:szCs w:val="24"/>
          <w:lang w:val="en-US"/>
        </w:rPr>
        <w:t>Conflict Management Using De-escalation</w:t>
      </w:r>
      <w:proofErr w:type="gramStart"/>
      <w:r>
        <w:rPr>
          <w:rFonts w:ascii="Times New Roman" w:hAnsi="Times New Roman" w:cs="Times New Roman"/>
          <w:i/>
          <w:iCs/>
          <w:sz w:val="24"/>
          <w:szCs w:val="24"/>
          <w:lang w:val="en-US"/>
        </w:rPr>
        <w:t>,  Communication</w:t>
      </w:r>
      <w:proofErr w:type="gramEnd"/>
      <w:r>
        <w:rPr>
          <w:rFonts w:ascii="Times New Roman" w:hAnsi="Times New Roman" w:cs="Times New Roman"/>
          <w:i/>
          <w:iCs/>
          <w:sz w:val="24"/>
          <w:szCs w:val="24"/>
          <w:lang w:val="en-US"/>
        </w:rPr>
        <w:t xml:space="preserve"> and Negotiation</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Available at: https://www.college.police.uk/What-we-do/Standards/Guidelines/Documents/Conflict_management_consultation260219.pdf.</w:t>
      </w:r>
    </w:p>
    <w:p w14:paraId="1329818D" w14:textId="77777777" w:rsidR="001508C8" w:rsidRDefault="001508C8" w:rsidP="001508C8">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Cps.gov.uk. (2019). </w:t>
      </w:r>
      <w:r>
        <w:rPr>
          <w:rFonts w:ascii="Times New Roman" w:hAnsi="Times New Roman" w:cs="Times New Roman"/>
          <w:i/>
          <w:iCs/>
          <w:sz w:val="24"/>
          <w:szCs w:val="24"/>
          <w:lang w:val="en-US"/>
        </w:rPr>
        <w:t xml:space="preserve">Special Measures | </w:t>
      </w:r>
      <w:proofErr w:type="gramStart"/>
      <w:r>
        <w:rPr>
          <w:rFonts w:ascii="Times New Roman" w:hAnsi="Times New Roman" w:cs="Times New Roman"/>
          <w:i/>
          <w:iCs/>
          <w:sz w:val="24"/>
          <w:szCs w:val="24"/>
          <w:lang w:val="en-US"/>
        </w:rPr>
        <w:t>The</w:t>
      </w:r>
      <w:proofErr w:type="gramEnd"/>
      <w:r>
        <w:rPr>
          <w:rFonts w:ascii="Times New Roman" w:hAnsi="Times New Roman" w:cs="Times New Roman"/>
          <w:i/>
          <w:iCs/>
          <w:sz w:val="24"/>
          <w:szCs w:val="24"/>
          <w:lang w:val="en-US"/>
        </w:rPr>
        <w:t xml:space="preserve"> Crown Prosecution Service</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Available at: https://www.cps.gov.uk/legal-guidance/special-measures.</w:t>
      </w:r>
    </w:p>
    <w:p w14:paraId="3A5BBD9D" w14:textId="77777777" w:rsidR="001508C8" w:rsidRDefault="001508C8" w:rsidP="001508C8">
      <w:pPr>
        <w:widowControl w:val="0"/>
        <w:spacing w:after="240" w:line="360" w:lineRule="auto"/>
        <w:rPr>
          <w:rFonts w:ascii="Times New Roman" w:hAnsi="Times New Roman" w:cs="Times New Roman"/>
          <w:sz w:val="24"/>
          <w:szCs w:val="24"/>
          <w:lang w:val="en-US"/>
        </w:rPr>
      </w:pPr>
      <w:r>
        <w:rPr>
          <w:rFonts w:ascii="Times New Roman" w:hAnsi="Times New Roman" w:cs="Times New Roman"/>
          <w:i/>
          <w:iCs/>
          <w:sz w:val="24"/>
          <w:szCs w:val="24"/>
          <w:lang w:val="en-US"/>
        </w:rPr>
        <w:t>Criminal Procedure and Investigations Act 1996</w:t>
      </w:r>
      <w:r>
        <w:rPr>
          <w:rFonts w:ascii="Times New Roman" w:hAnsi="Times New Roman" w:cs="Times New Roman"/>
          <w:sz w:val="24"/>
          <w:szCs w:val="24"/>
          <w:lang w:val="en-US"/>
        </w:rPr>
        <w:t>.23 [online] Available at: https://www.legislation.gov.uk/ukpga/1996/25/section/23.</w:t>
      </w:r>
    </w:p>
    <w:p w14:paraId="6C85FD22" w14:textId="77777777" w:rsidR="001508C8" w:rsidRDefault="001508C8" w:rsidP="001508C8">
      <w:pPr>
        <w:widowControl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Dabell</w:t>
      </w:r>
      <w:proofErr w:type="spellEnd"/>
      <w:r>
        <w:rPr>
          <w:rFonts w:ascii="Times New Roman" w:hAnsi="Times New Roman" w:cs="Times New Roman"/>
          <w:sz w:val="24"/>
          <w:szCs w:val="24"/>
          <w:lang w:val="en-US"/>
        </w:rPr>
        <w:t xml:space="preserve">, J. (2018). </w:t>
      </w:r>
      <w:r>
        <w:rPr>
          <w:rFonts w:ascii="Times New Roman" w:hAnsi="Times New Roman" w:cs="Times New Roman"/>
          <w:i/>
          <w:iCs/>
          <w:sz w:val="24"/>
          <w:szCs w:val="24"/>
          <w:lang w:val="en-US"/>
        </w:rPr>
        <w:t>Borton’s Model of Reflection</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John </w:t>
      </w:r>
      <w:proofErr w:type="spellStart"/>
      <w:r>
        <w:rPr>
          <w:rFonts w:ascii="Times New Roman" w:hAnsi="Times New Roman" w:cs="Times New Roman"/>
          <w:sz w:val="24"/>
          <w:szCs w:val="24"/>
          <w:lang w:val="en-US"/>
        </w:rPr>
        <w:t>Dabell</w:t>
      </w:r>
      <w:proofErr w:type="spellEnd"/>
      <w:r>
        <w:rPr>
          <w:rFonts w:ascii="Times New Roman" w:hAnsi="Times New Roman" w:cs="Times New Roman"/>
          <w:sz w:val="24"/>
          <w:szCs w:val="24"/>
          <w:lang w:val="en-US"/>
        </w:rPr>
        <w:t>. Available at: https://johndabell.com/2018/08/05/models-of-reflection/.</w:t>
      </w:r>
    </w:p>
    <w:p w14:paraId="6B4CFE08" w14:textId="77777777" w:rsidR="001508C8" w:rsidRDefault="001508C8" w:rsidP="001508C8">
      <w:pPr>
        <w:widowControl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Feltman</w:t>
      </w:r>
      <w:proofErr w:type="spellEnd"/>
      <w:r>
        <w:rPr>
          <w:rFonts w:ascii="Times New Roman" w:hAnsi="Times New Roman" w:cs="Times New Roman"/>
          <w:sz w:val="24"/>
          <w:szCs w:val="24"/>
          <w:lang w:val="en-US"/>
        </w:rPr>
        <w:t xml:space="preserve">, C. (2009). </w:t>
      </w:r>
      <w:r>
        <w:rPr>
          <w:rFonts w:ascii="Times New Roman" w:hAnsi="Times New Roman" w:cs="Times New Roman"/>
          <w:i/>
          <w:iCs/>
          <w:sz w:val="24"/>
          <w:szCs w:val="24"/>
          <w:lang w:val="en-US"/>
        </w:rPr>
        <w:t>The Thin Book of Trust.</w:t>
      </w:r>
      <w:r>
        <w:rPr>
          <w:rFonts w:ascii="Times New Roman" w:hAnsi="Times New Roman" w:cs="Times New Roman"/>
          <w:sz w:val="24"/>
          <w:szCs w:val="24"/>
          <w:lang w:val="en-US"/>
        </w:rPr>
        <w:t xml:space="preserve"> United States: Thin Book Pub. Co, p.14.</w:t>
      </w:r>
    </w:p>
    <w:p w14:paraId="03BA5C57" w14:textId="77777777" w:rsidR="001508C8" w:rsidRDefault="001508C8" w:rsidP="001508C8">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GOV.UK. (2013). </w:t>
      </w:r>
      <w:r>
        <w:rPr>
          <w:rFonts w:ascii="Times New Roman" w:hAnsi="Times New Roman" w:cs="Times New Roman"/>
          <w:i/>
          <w:iCs/>
          <w:sz w:val="24"/>
          <w:szCs w:val="24"/>
          <w:lang w:val="en-US"/>
        </w:rPr>
        <w:t>Victim Personal Statement</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Available at: https://www.gov.uk/government/publications/victim-personal-statement.</w:t>
      </w:r>
    </w:p>
    <w:p w14:paraId="1F752A95" w14:textId="77777777" w:rsidR="001508C8" w:rsidRDefault="001508C8" w:rsidP="001508C8">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Hayward, W. (2020). New coronavirus rules for Wales announced by Mark </w:t>
      </w:r>
      <w:proofErr w:type="spellStart"/>
      <w:r>
        <w:rPr>
          <w:rFonts w:ascii="Times New Roman" w:hAnsi="Times New Roman" w:cs="Times New Roman"/>
          <w:sz w:val="24"/>
          <w:szCs w:val="24"/>
          <w:lang w:val="en-US"/>
        </w:rPr>
        <w:t>Drakeford</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i/>
          <w:iCs/>
          <w:sz w:val="24"/>
          <w:szCs w:val="24"/>
          <w:lang w:val="en-US"/>
        </w:rPr>
        <w:t>WalesOnline</w:t>
      </w:r>
      <w:proofErr w:type="spellEnd"/>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22 Sep. Available at: https://www.walesonline.co.uk/news/wales-news/wales-coronavirus-lockdown-rules-restrictions-18978864 [Accessed 19 Oct. 2020].</w:t>
      </w:r>
    </w:p>
    <w:p w14:paraId="6CEF59B6" w14:textId="77777777" w:rsidR="001508C8" w:rsidRDefault="001508C8" w:rsidP="001508C8">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Jana, T. and Freeman, M. (2016). </w:t>
      </w:r>
      <w:r>
        <w:rPr>
          <w:rFonts w:ascii="Times New Roman" w:hAnsi="Times New Roman" w:cs="Times New Roman"/>
          <w:i/>
          <w:iCs/>
          <w:sz w:val="24"/>
          <w:szCs w:val="24"/>
          <w:lang w:val="en-US"/>
        </w:rPr>
        <w:t>Overcoming Bias : Building Authentic Relationships across Differences</w:t>
      </w:r>
      <w:r>
        <w:rPr>
          <w:rFonts w:ascii="Times New Roman" w:hAnsi="Times New Roman" w:cs="Times New Roman"/>
          <w:sz w:val="24"/>
          <w:szCs w:val="24"/>
          <w:lang w:val="en-US"/>
        </w:rPr>
        <w:t xml:space="preserve">. Oakland, Ca: </w:t>
      </w:r>
      <w:proofErr w:type="spellStart"/>
      <w:r>
        <w:rPr>
          <w:rFonts w:ascii="Times New Roman" w:hAnsi="Times New Roman" w:cs="Times New Roman"/>
          <w:sz w:val="24"/>
          <w:szCs w:val="24"/>
          <w:lang w:val="en-US"/>
        </w:rPr>
        <w:t>Berrett</w:t>
      </w:r>
      <w:proofErr w:type="spellEnd"/>
      <w:r>
        <w:rPr>
          <w:rFonts w:ascii="Times New Roman" w:hAnsi="Times New Roman" w:cs="Times New Roman"/>
          <w:sz w:val="24"/>
          <w:szCs w:val="24"/>
          <w:lang w:val="en-US"/>
        </w:rPr>
        <w:t>-Koehler Publishers.</w:t>
      </w:r>
    </w:p>
    <w:p w14:paraId="3551952D" w14:textId="77777777" w:rsidR="001508C8" w:rsidRDefault="001508C8" w:rsidP="001508C8">
      <w:pPr>
        <w:widowControl w:val="0"/>
        <w:spacing w:after="240" w:line="360" w:lineRule="auto"/>
        <w:rPr>
          <w:rFonts w:ascii="Times New Roman" w:hAnsi="Times New Roman" w:cs="Times New Roman"/>
          <w:sz w:val="24"/>
          <w:szCs w:val="24"/>
          <w:lang w:val="en-US"/>
        </w:rPr>
      </w:pPr>
      <w:r>
        <w:rPr>
          <w:rFonts w:ascii="Times New Roman" w:hAnsi="Times New Roman" w:cs="Times New Roman"/>
          <w:i/>
          <w:iCs/>
          <w:sz w:val="24"/>
          <w:szCs w:val="24"/>
          <w:lang w:val="en-US"/>
        </w:rPr>
        <w:t>Licensing Act 1902</w:t>
      </w:r>
      <w:r>
        <w:rPr>
          <w:rFonts w:ascii="Times New Roman" w:hAnsi="Times New Roman" w:cs="Times New Roman"/>
          <w:sz w:val="24"/>
          <w:szCs w:val="24"/>
          <w:lang w:val="en-US"/>
        </w:rPr>
        <w:t>.2. Legislation.gov.uk. [online] Available at: https://www.legislation.gov.uk/ukpga/Edw7/2/28 [Accessed 6 Nov. 2020].</w:t>
      </w:r>
    </w:p>
    <w:p w14:paraId="15D4B525" w14:textId="77777777" w:rsidR="001508C8" w:rsidRDefault="001508C8" w:rsidP="001508C8">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Meaning of Discretion. (</w:t>
      </w:r>
      <w:proofErr w:type="spellStart"/>
      <w:r>
        <w:rPr>
          <w:rFonts w:ascii="Times New Roman" w:hAnsi="Times New Roman" w:cs="Times New Roman"/>
          <w:sz w:val="24"/>
          <w:szCs w:val="24"/>
          <w:lang w:val="en-US"/>
        </w:rPr>
        <w:t>n.d.</w:t>
      </w:r>
      <w:proofErr w:type="spellEnd"/>
      <w:r>
        <w:rPr>
          <w:rFonts w:ascii="Times New Roman" w:hAnsi="Times New Roman" w:cs="Times New Roman"/>
          <w:sz w:val="24"/>
          <w:szCs w:val="24"/>
          <w:lang w:val="en-US"/>
        </w:rPr>
        <w:t xml:space="preserve">). In: </w:t>
      </w:r>
      <w:r>
        <w:rPr>
          <w:rFonts w:ascii="Times New Roman" w:hAnsi="Times New Roman" w:cs="Times New Roman"/>
          <w:i/>
          <w:iCs/>
          <w:sz w:val="24"/>
          <w:szCs w:val="24"/>
          <w:lang w:val="en-US"/>
        </w:rPr>
        <w:t>Cambridge Dictionary</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Available at: https://dictionary.cambridge.org/dictionary/english/discretion “Choice, or the right to make a choice, based on judgment.”</w:t>
      </w:r>
    </w:p>
    <w:p w14:paraId="1C35FF18" w14:textId="77777777" w:rsidR="001508C8" w:rsidRDefault="001508C8" w:rsidP="001508C8">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Pepper, I.K. (2011). </w:t>
      </w:r>
      <w:r>
        <w:rPr>
          <w:rFonts w:ascii="Times New Roman" w:hAnsi="Times New Roman" w:cs="Times New Roman"/>
          <w:i/>
          <w:iCs/>
          <w:sz w:val="24"/>
          <w:szCs w:val="24"/>
          <w:lang w:val="en-US"/>
        </w:rPr>
        <w:t>Working in Policing</w:t>
      </w:r>
      <w:r>
        <w:rPr>
          <w:rFonts w:ascii="Times New Roman" w:hAnsi="Times New Roman" w:cs="Times New Roman"/>
          <w:sz w:val="24"/>
          <w:szCs w:val="24"/>
          <w:lang w:val="en-US"/>
        </w:rPr>
        <w:t>. Exeter: Learning Matters, p.22.</w:t>
      </w:r>
    </w:p>
    <w:p w14:paraId="5E880D77" w14:textId="77777777" w:rsidR="001508C8" w:rsidRDefault="001508C8" w:rsidP="001508C8">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Richards, L. (2009). </w:t>
      </w:r>
      <w:r>
        <w:rPr>
          <w:rFonts w:ascii="Times New Roman" w:hAnsi="Times New Roman" w:cs="Times New Roman"/>
          <w:i/>
          <w:iCs/>
          <w:sz w:val="24"/>
          <w:szCs w:val="24"/>
          <w:lang w:val="en-US"/>
        </w:rPr>
        <w:t xml:space="preserve">Domestic Abuse, Stalking and Harassment and </w:t>
      </w:r>
      <w:proofErr w:type="spellStart"/>
      <w:r>
        <w:rPr>
          <w:rFonts w:ascii="Times New Roman" w:hAnsi="Times New Roman" w:cs="Times New Roman"/>
          <w:i/>
          <w:iCs/>
          <w:sz w:val="24"/>
          <w:szCs w:val="24"/>
          <w:lang w:val="en-US"/>
        </w:rPr>
        <w:t>Honour</w:t>
      </w:r>
      <w:proofErr w:type="spellEnd"/>
      <w:r>
        <w:rPr>
          <w:rFonts w:ascii="Times New Roman" w:hAnsi="Times New Roman" w:cs="Times New Roman"/>
          <w:i/>
          <w:iCs/>
          <w:sz w:val="24"/>
          <w:szCs w:val="24"/>
          <w:lang w:val="en-US"/>
        </w:rPr>
        <w:t xml:space="preserve"> Based Violence </w:t>
      </w:r>
      <w:r>
        <w:rPr>
          <w:rFonts w:ascii="Times New Roman" w:hAnsi="Times New Roman" w:cs="Times New Roman"/>
          <w:i/>
          <w:iCs/>
          <w:sz w:val="24"/>
          <w:szCs w:val="24"/>
          <w:lang w:val="en-US"/>
        </w:rPr>
        <w:lastRenderedPageBreak/>
        <w:t>(DASH, 2009) Risk Identification and Assessment and Management Model</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Available at: https://www.dashriskchecklist.co.uk/wp-content/uploads/2016/09/DASH-2009.pdf.</w:t>
      </w:r>
    </w:p>
    <w:p w14:paraId="24796E97" w14:textId="77777777" w:rsidR="001508C8" w:rsidRDefault="001508C8" w:rsidP="001508C8">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Sandra Dean Collins and </w:t>
      </w:r>
      <w:proofErr w:type="spellStart"/>
      <w:r>
        <w:rPr>
          <w:rFonts w:ascii="Times New Roman" w:hAnsi="Times New Roman" w:cs="Times New Roman"/>
          <w:sz w:val="24"/>
          <w:szCs w:val="24"/>
          <w:lang w:val="en-US"/>
        </w:rPr>
        <w:t>O’rourke</w:t>
      </w:r>
      <w:proofErr w:type="spellEnd"/>
      <w:r>
        <w:rPr>
          <w:rFonts w:ascii="Times New Roman" w:hAnsi="Times New Roman" w:cs="Times New Roman"/>
          <w:sz w:val="24"/>
          <w:szCs w:val="24"/>
          <w:lang w:val="en-US"/>
        </w:rPr>
        <w:t xml:space="preserve">, J.S. (2009). </w:t>
      </w:r>
      <w:r>
        <w:rPr>
          <w:rFonts w:ascii="Times New Roman" w:hAnsi="Times New Roman" w:cs="Times New Roman"/>
          <w:i/>
          <w:iCs/>
          <w:sz w:val="24"/>
          <w:szCs w:val="24"/>
          <w:lang w:val="en-US"/>
        </w:rPr>
        <w:t>Interpersonal communication : listening and responding</w:t>
      </w:r>
      <w:r>
        <w:rPr>
          <w:rFonts w:ascii="Times New Roman" w:hAnsi="Times New Roman" w:cs="Times New Roman"/>
          <w:sz w:val="24"/>
          <w:szCs w:val="24"/>
          <w:lang w:val="en-US"/>
        </w:rPr>
        <w:t>. Mason, Oh: South-Western Cengage Learning, p.1.</w:t>
      </w:r>
    </w:p>
    <w:p w14:paraId="619460F5" w14:textId="77777777" w:rsidR="001508C8" w:rsidRDefault="001508C8" w:rsidP="001508C8">
      <w:pPr>
        <w:widowControl w:val="0"/>
        <w:spacing w:after="240" w:line="360" w:lineRule="auto"/>
        <w:rPr>
          <w:rFonts w:ascii="Times New Roman" w:hAnsi="Times New Roman" w:cs="Times New Roman"/>
          <w:sz w:val="24"/>
          <w:szCs w:val="24"/>
          <w:lang w:val="en-US"/>
        </w:rPr>
      </w:pPr>
      <w:r>
        <w:rPr>
          <w:rFonts w:ascii="Times New Roman" w:hAnsi="Times New Roman" w:cs="Times New Roman"/>
          <w:i/>
          <w:iCs/>
          <w:sz w:val="24"/>
          <w:szCs w:val="24"/>
          <w:lang w:val="en-US"/>
        </w:rPr>
        <w:t>Theft Act 1968</w:t>
      </w:r>
      <w:r>
        <w:rPr>
          <w:rFonts w:ascii="Times New Roman" w:hAnsi="Times New Roman" w:cs="Times New Roman"/>
          <w:sz w:val="24"/>
          <w:szCs w:val="24"/>
          <w:lang w:val="en-US"/>
        </w:rPr>
        <w:t>.9 (1) (b) [online] Available at: https://www.legislation.gov.uk/ukpga/1968/60/section/9.</w:t>
      </w:r>
    </w:p>
    <w:p w14:paraId="1458897F" w14:textId="77777777" w:rsidR="001508C8" w:rsidRDefault="001508C8" w:rsidP="001508C8">
      <w:pPr>
        <w:widowControl w:val="0"/>
        <w:spacing w:after="240" w:line="360" w:lineRule="auto"/>
        <w:rPr>
          <w:rFonts w:ascii="Times New Roman" w:hAnsi="Times New Roman" w:cs="Times New Roman"/>
          <w:sz w:val="24"/>
          <w:szCs w:val="24"/>
          <w:lang w:val="en-US"/>
        </w:rPr>
      </w:pPr>
      <w:r>
        <w:rPr>
          <w:rFonts w:ascii="Times New Roman" w:hAnsi="Times New Roman" w:cs="Times New Roman"/>
          <w:i/>
          <w:iCs/>
          <w:sz w:val="24"/>
          <w:szCs w:val="24"/>
          <w:lang w:val="en-US"/>
        </w:rPr>
        <w:t>Welsh Language Act 1993</w:t>
      </w:r>
      <w:r>
        <w:rPr>
          <w:rFonts w:ascii="Times New Roman" w:hAnsi="Times New Roman" w:cs="Times New Roman"/>
          <w:sz w:val="24"/>
          <w:szCs w:val="24"/>
          <w:lang w:val="en-US"/>
        </w:rPr>
        <w:t>.5 [online] Available at: https://www.legislation.gov.uk/ukpga/1993/38/section/5.</w:t>
      </w:r>
    </w:p>
    <w:p w14:paraId="239F9598" w14:textId="77777777" w:rsidR="001508C8" w:rsidRDefault="001508C8" w:rsidP="001508C8">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www.app.college.police.uk. (2014). </w:t>
      </w:r>
      <w:r>
        <w:rPr>
          <w:rFonts w:ascii="Times New Roman" w:hAnsi="Times New Roman" w:cs="Times New Roman"/>
          <w:i/>
          <w:iCs/>
          <w:sz w:val="24"/>
          <w:szCs w:val="24"/>
          <w:lang w:val="en-US"/>
        </w:rPr>
        <w:t>Concern for a child</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Available at: https://www.app.college.police.uk/app-content/major-investigation-and-public-protection/child-abuse/concern-for-a-child/#safeguarding-the-childs-welfare [Accessed 4 Nov. 2020].</w:t>
      </w:r>
    </w:p>
    <w:p w14:paraId="3C3AB47F" w14:textId="77777777" w:rsidR="001508C8" w:rsidRDefault="001508C8" w:rsidP="001508C8">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www.pnld.co.uk. (2019). </w:t>
      </w:r>
      <w:r>
        <w:rPr>
          <w:rFonts w:ascii="Times New Roman" w:hAnsi="Times New Roman" w:cs="Times New Roman"/>
          <w:i/>
          <w:iCs/>
          <w:sz w:val="24"/>
          <w:szCs w:val="24"/>
          <w:lang w:val="en-US"/>
        </w:rPr>
        <w:t>Breach of the Peace - Meaning - Arrest - Entry</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Available at: https://www.pnld.co.uk/docportal/content/D447.htm [Accessed 6 Nov. 2020]. “A breach of the peace is committed whenever harm is done, or is likely to be done to a person, or, in his presence to his property, or, whenever a person is in fear of being harmed through an assault, affray, riot or other disturbance.”</w:t>
      </w:r>
    </w:p>
    <w:p w14:paraId="332B4288" w14:textId="77777777" w:rsidR="001508C8" w:rsidRDefault="001508C8" w:rsidP="001508C8">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www.victimsupport.org.uk. (</w:t>
      </w:r>
      <w:proofErr w:type="spellStart"/>
      <w:r>
        <w:rPr>
          <w:rFonts w:ascii="Times New Roman" w:hAnsi="Times New Roman" w:cs="Times New Roman"/>
          <w:sz w:val="24"/>
          <w:szCs w:val="24"/>
          <w:lang w:val="en-US"/>
        </w:rPr>
        <w:t>n.d.</w:t>
      </w:r>
      <w:proofErr w:type="spell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How we can help | Victim Support</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Available at: https://www.victimsupport.org.uk/help-and-support/how-we-can-help.</w:t>
      </w:r>
    </w:p>
    <w:p w14:paraId="43CD64F6" w14:textId="77777777" w:rsidR="001508C8" w:rsidRPr="00270EEB" w:rsidRDefault="001508C8" w:rsidP="00C44446">
      <w:pPr>
        <w:keepNext/>
        <w:spacing w:before="240" w:after="60"/>
        <w:jc w:val="both"/>
        <w:rPr>
          <w:b/>
          <w:sz w:val="24"/>
          <w:szCs w:val="24"/>
        </w:rPr>
      </w:pP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 xml:space="preserve">Will be confirmed through </w:t>
      </w:r>
      <w:proofErr w:type="spellStart"/>
      <w:r w:rsidR="71A8E319" w:rsidRPr="48DF4B50">
        <w:rPr>
          <w:b/>
          <w:bCs/>
          <w:sz w:val="24"/>
          <w:szCs w:val="24"/>
        </w:rPr>
        <w:t>Turnitin</w:t>
      </w:r>
      <w:proofErr w:type="spellEnd"/>
      <w:r w:rsidR="71A8E319" w:rsidRPr="48DF4B50">
        <w:rPr>
          <w:b/>
          <w:bCs/>
          <w:sz w:val="24"/>
          <w:szCs w:val="24"/>
        </w:rPr>
        <w:t>.</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t>
      </w:r>
      <w:proofErr w:type="spellStart"/>
      <w:r w:rsidR="66A3B2E4" w:rsidRPr="48DF4B50">
        <w:rPr>
          <w:sz w:val="24"/>
          <w:szCs w:val="24"/>
        </w:rPr>
        <w:t>wordcount</w:t>
      </w:r>
      <w:proofErr w:type="spellEnd"/>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0B7C7BB" w:rsidR="62FE5CAF" w:rsidRDefault="62FE5CAF" w:rsidP="62FE5CAF">
      <w:pPr>
        <w:jc w:val="both"/>
        <w:rPr>
          <w:sz w:val="24"/>
          <w:szCs w:val="24"/>
        </w:rPr>
      </w:pPr>
      <w:r w:rsidRPr="48DF4B50">
        <w:rPr>
          <w:sz w:val="24"/>
          <w:szCs w:val="24"/>
        </w:rPr>
        <w:t xml:space="preserve">Signed: </w:t>
      </w:r>
      <w:r w:rsidR="00277B8E">
        <w:rPr>
          <w:sz w:val="24"/>
          <w:szCs w:val="24"/>
        </w:rPr>
        <w:t>L. Toomey -</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51551B5" w:rsidR="62FE5CAF" w:rsidRDefault="62FE5CAF" w:rsidP="62FE5CAF">
      <w:pPr>
        <w:jc w:val="both"/>
        <w:rPr>
          <w:sz w:val="24"/>
          <w:szCs w:val="24"/>
        </w:rPr>
      </w:pPr>
      <w:r w:rsidRPr="62FE5CAF">
        <w:rPr>
          <w:sz w:val="24"/>
          <w:szCs w:val="24"/>
        </w:rPr>
        <w:t xml:space="preserve">Date: </w:t>
      </w:r>
      <w:r w:rsidR="00277B8E">
        <w:rPr>
          <w:sz w:val="24"/>
          <w:szCs w:val="24"/>
        </w:rPr>
        <w:t>09/11/20</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0C87B" w14:textId="77777777" w:rsidR="00F077B7" w:rsidRDefault="00F077B7">
      <w:r>
        <w:separator/>
      </w:r>
    </w:p>
  </w:endnote>
  <w:endnote w:type="continuationSeparator" w:id="0">
    <w:p w14:paraId="2856112E" w14:textId="77777777" w:rsidR="00F077B7" w:rsidRDefault="00F077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41AAA685" w:rsidR="00F077B7" w:rsidRDefault="00F077B7">
    <w:pPr>
      <w:pStyle w:val="Footer"/>
      <w:jc w:val="right"/>
    </w:pPr>
    <w:r>
      <w:fldChar w:fldCharType="begin"/>
    </w:r>
    <w:r>
      <w:instrText xml:space="preserve"> PAGE   \* MERGEFORMAT </w:instrText>
    </w:r>
    <w:r>
      <w:fldChar w:fldCharType="separate"/>
    </w:r>
    <w:r w:rsidR="00443A45">
      <w:rPr>
        <w:noProof/>
      </w:rPr>
      <w:t>22</w:t>
    </w:r>
    <w:r>
      <w:rPr>
        <w:noProof/>
      </w:rPr>
      <w:fldChar w:fldCharType="end"/>
    </w:r>
  </w:p>
  <w:p w14:paraId="790812FF" w14:textId="77777777" w:rsidR="00F077B7" w:rsidRPr="00BB5EAA" w:rsidRDefault="00F077B7"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58C76" w14:textId="77777777" w:rsidR="00F077B7" w:rsidRDefault="00F077B7">
      <w:r>
        <w:separator/>
      </w:r>
    </w:p>
  </w:footnote>
  <w:footnote w:type="continuationSeparator" w:id="0">
    <w:p w14:paraId="4ADDD153" w14:textId="77777777" w:rsidR="00F077B7" w:rsidRDefault="00F077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65512F"/>
    <w:multiLevelType w:val="hybridMultilevel"/>
    <w:tmpl w:val="6C821E8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FE3333"/>
    <w:multiLevelType w:val="hybridMultilevel"/>
    <w:tmpl w:val="B50044E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211317"/>
    <w:multiLevelType w:val="hybridMultilevel"/>
    <w:tmpl w:val="3672FB1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5"/>
  </w:num>
  <w:num w:numId="4">
    <w:abstractNumId w:val="3"/>
  </w:num>
  <w:num w:numId="5">
    <w:abstractNumId w:val="7"/>
  </w:num>
  <w:num w:numId="6">
    <w:abstractNumId w:val="6"/>
  </w:num>
  <w:num w:numId="7">
    <w:abstractNumId w:val="4"/>
  </w:num>
  <w:num w:numId="8">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279D"/>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508C8"/>
    <w:rsid w:val="001514EB"/>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77B8E"/>
    <w:rsid w:val="002808EB"/>
    <w:rsid w:val="0028095D"/>
    <w:rsid w:val="00291ADD"/>
    <w:rsid w:val="00294868"/>
    <w:rsid w:val="00295CA1"/>
    <w:rsid w:val="002A291A"/>
    <w:rsid w:val="002A5604"/>
    <w:rsid w:val="002B1701"/>
    <w:rsid w:val="002B23C3"/>
    <w:rsid w:val="002B3B2B"/>
    <w:rsid w:val="002B443A"/>
    <w:rsid w:val="002B5B35"/>
    <w:rsid w:val="002C256A"/>
    <w:rsid w:val="002C496D"/>
    <w:rsid w:val="002D05EB"/>
    <w:rsid w:val="002D2F29"/>
    <w:rsid w:val="002D2FD3"/>
    <w:rsid w:val="002E7017"/>
    <w:rsid w:val="002E733D"/>
    <w:rsid w:val="002F4F6E"/>
    <w:rsid w:val="003015C3"/>
    <w:rsid w:val="0030698D"/>
    <w:rsid w:val="00310BE4"/>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25B"/>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3A45"/>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60AA"/>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2A7C"/>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499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BB6"/>
    <w:rsid w:val="00BC1C22"/>
    <w:rsid w:val="00BC460B"/>
    <w:rsid w:val="00BC5725"/>
    <w:rsid w:val="00BD30B1"/>
    <w:rsid w:val="00BE0CCF"/>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B5443"/>
    <w:rsid w:val="00CC02F1"/>
    <w:rsid w:val="00CC11A6"/>
    <w:rsid w:val="00CC135E"/>
    <w:rsid w:val="00CD5D3F"/>
    <w:rsid w:val="00CF1E90"/>
    <w:rsid w:val="00CF3DB3"/>
    <w:rsid w:val="00CF591D"/>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269"/>
    <w:rsid w:val="00F01F92"/>
    <w:rsid w:val="00F077B7"/>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3289"/>
    <w:rsid w:val="00F6513F"/>
    <w:rsid w:val="00F66272"/>
    <w:rsid w:val="00F709C0"/>
    <w:rsid w:val="00F927A1"/>
    <w:rsid w:val="00F92E4D"/>
    <w:rsid w:val="00FA3764"/>
    <w:rsid w:val="00FA56ED"/>
    <w:rsid w:val="00FB1EB8"/>
    <w:rsid w:val="00FB5FA6"/>
    <w:rsid w:val="00FC1310"/>
    <w:rsid w:val="00FC2FF3"/>
    <w:rsid w:val="00FC3263"/>
    <w:rsid w:val="00FC51F9"/>
    <w:rsid w:val="00FC5B40"/>
    <w:rsid w:val="00FC5FF8"/>
    <w:rsid w:val="00FD3D7C"/>
    <w:rsid w:val="00FD4F8F"/>
    <w:rsid w:val="00FD6182"/>
    <w:rsid w:val="00FE0C16"/>
    <w:rsid w:val="00FE14AD"/>
    <w:rsid w:val="00FE14B1"/>
    <w:rsid w:val="00FF0070"/>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19485FA"/>
    <w:rsid w:val="23ACED75"/>
    <w:rsid w:val="2A42F61B"/>
    <w:rsid w:val="2CBE96A9"/>
    <w:rsid w:val="3046E1AE"/>
    <w:rsid w:val="304BEE5F"/>
    <w:rsid w:val="3077584A"/>
    <w:rsid w:val="35C0F44E"/>
    <w:rsid w:val="361ABD92"/>
    <w:rsid w:val="3C68522F"/>
    <w:rsid w:val="3DA69A18"/>
    <w:rsid w:val="3E31B6E6"/>
    <w:rsid w:val="42A396E4"/>
    <w:rsid w:val="48DF4B50"/>
    <w:rsid w:val="49F02F87"/>
    <w:rsid w:val="4B4EC5DB"/>
    <w:rsid w:val="4CBA31A3"/>
    <w:rsid w:val="4F9DA5F5"/>
    <w:rsid w:val="51B66950"/>
    <w:rsid w:val="540760A0"/>
    <w:rsid w:val="58C48021"/>
    <w:rsid w:val="5E80EEFA"/>
    <w:rsid w:val="5EC7AAAF"/>
    <w:rsid w:val="61D270E8"/>
    <w:rsid w:val="62FE5CAF"/>
    <w:rsid w:val="63CC4F28"/>
    <w:rsid w:val="64D01D80"/>
    <w:rsid w:val="66755AD8"/>
    <w:rsid w:val="66A3B2E4"/>
    <w:rsid w:val="67C817E2"/>
    <w:rsid w:val="6A9C8BFA"/>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F077B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04279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1758919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www.pnld.co.uk" TargetMode="External"/><Relationship Id="rId2" Type="http://schemas.openxmlformats.org/officeDocument/2006/relationships/customXml" Target="../customXml/item2.xml"/><Relationship Id="rId16" Type="http://schemas.openxmlformats.org/officeDocument/2006/relationships/hyperlink" Target="http://www.victimsupport.co.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app.college.olice.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2e89cfda-a374-4413-9f0d-8b601eddeb70"/>
    <ds:schemaRef ds:uri="http://purl.org/dc/terms/"/>
    <ds:schemaRef ds:uri="1ecf5648-3750-43f5-867d-bfaa16e6e17e"/>
    <ds:schemaRef ds:uri="http://www.w3.org/XML/1998/namespace"/>
    <ds:schemaRef ds:uri="http://purl.org/dc/dcmitype/"/>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709A55F2-EF75-491A-B442-D62E935E0D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23</Pages>
  <Words>7772</Words>
  <Characters>41728</Characters>
  <Application>Microsoft Office Word</Application>
  <DocSecurity>0</DocSecurity>
  <Lines>347</Lines>
  <Paragraphs>98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Toomey, Liam</cp:lastModifiedBy>
  <cp:revision>10</cp:revision>
  <cp:lastPrinted>2014-08-26T08:55:00Z</cp:lastPrinted>
  <dcterms:created xsi:type="dcterms:W3CDTF">2020-11-09T10:09:00Z</dcterms:created>
  <dcterms:modified xsi:type="dcterms:W3CDTF">2020-11-09T10:43:00Z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ies>
</file>