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A2A7A" w14:textId="26C38A15" w:rsidR="00C24765" w:rsidRDefault="00C24765" w:rsidP="00BA545F">
      <w:pPr>
        <w:jc w:val="both"/>
      </w:pPr>
      <w:r>
        <w:t>MA Historical Studies: Fact and Fiction Assignment 2 – Independent Research Project.</w:t>
      </w:r>
    </w:p>
    <w:p w14:paraId="5A7AB71F" w14:textId="75D238B5" w:rsidR="002D21D2" w:rsidRDefault="002D21D2" w:rsidP="00BA545F">
      <w:pPr>
        <w:pBdr>
          <w:bottom w:val="single" w:sz="6" w:space="1" w:color="auto"/>
        </w:pBdr>
        <w:jc w:val="both"/>
      </w:pPr>
      <w:r>
        <w:t>M. Youde November 2025.</w:t>
      </w:r>
    </w:p>
    <w:p w14:paraId="2AA51A37" w14:textId="77777777" w:rsidR="002D21D2" w:rsidRDefault="002D21D2" w:rsidP="00BA545F">
      <w:pPr>
        <w:jc w:val="both"/>
      </w:pPr>
    </w:p>
    <w:p w14:paraId="30C22208" w14:textId="62D3F6A8" w:rsidR="00842FD0" w:rsidRPr="00777D59" w:rsidRDefault="00777D59" w:rsidP="00BA545F">
      <w:pPr>
        <w:jc w:val="both"/>
      </w:pPr>
      <w:r>
        <w:t>This project shall examine</w:t>
      </w:r>
      <w:r w:rsidR="00B9234A">
        <w:t xml:space="preserve"> </w:t>
      </w:r>
      <w:r w:rsidR="00B9234A">
        <w:rPr>
          <w:i/>
          <w:iCs/>
        </w:rPr>
        <w:t xml:space="preserve">The Past, </w:t>
      </w:r>
      <w:r w:rsidR="00B9234A">
        <w:t>part one of</w:t>
      </w:r>
      <w:r>
        <w:t xml:space="preserve"> Jan Morris’ </w:t>
      </w:r>
      <w:r w:rsidR="00867702">
        <w:rPr>
          <w:i/>
          <w:iCs/>
        </w:rPr>
        <w:t>A M</w:t>
      </w:r>
      <w:r w:rsidRPr="00777D59">
        <w:rPr>
          <w:i/>
          <w:iCs/>
        </w:rPr>
        <w:t>achynlleth Triad</w:t>
      </w:r>
      <w:r w:rsidR="00B9234A">
        <w:rPr>
          <w:i/>
          <w:iCs/>
        </w:rPr>
        <w:t>,</w:t>
      </w:r>
      <w:r>
        <w:t xml:space="preserve"> and its value as historical narrative</w:t>
      </w:r>
      <w:r w:rsidR="00B9234A">
        <w:t xml:space="preserve">; it shall also aim to </w:t>
      </w:r>
      <w:r w:rsidR="00DF52F8">
        <w:t>identify</w:t>
      </w:r>
      <w:r>
        <w:t xml:space="preserve"> </w:t>
      </w:r>
      <w:r w:rsidR="00B9234A">
        <w:t>Morris’</w:t>
      </w:r>
      <w:r>
        <w:t xml:space="preserve"> potential</w:t>
      </w:r>
      <w:r w:rsidR="00B9234A">
        <w:t xml:space="preserve"> primary historical</w:t>
      </w:r>
      <w:r>
        <w:t xml:space="preserve"> sources</w:t>
      </w:r>
      <w:r w:rsidR="002A63FB">
        <w:t>,</w:t>
      </w:r>
      <w:r w:rsidR="00B9234A">
        <w:t xml:space="preserve"> </w:t>
      </w:r>
      <w:r>
        <w:t>comparing the</w:t>
      </w:r>
      <w:r w:rsidR="00372D82">
        <w:t>m</w:t>
      </w:r>
      <w:r>
        <w:t xml:space="preserve"> to the</w:t>
      </w:r>
      <w:r w:rsidR="002A63FB">
        <w:t>ir treatment in the text</w:t>
      </w:r>
      <w:r w:rsidR="00B9234A">
        <w:t>, and in so doing, construct a speculative bibliography for further reading.</w:t>
      </w:r>
      <w:r w:rsidR="002A63FB">
        <w:t xml:space="preserve"> </w:t>
      </w:r>
    </w:p>
    <w:p w14:paraId="3C4CDE29" w14:textId="2936793B" w:rsidR="00B518FC" w:rsidRDefault="00777D59" w:rsidP="00BA545F">
      <w:pPr>
        <w:jc w:val="both"/>
      </w:pPr>
      <w:r w:rsidRPr="00867702">
        <w:t>The</w:t>
      </w:r>
      <w:r>
        <w:t xml:space="preserve"> </w:t>
      </w:r>
      <w:r w:rsidR="00842FD0" w:rsidRPr="00777D59">
        <w:rPr>
          <w:i/>
          <w:iCs/>
        </w:rPr>
        <w:t>Triad</w:t>
      </w:r>
      <w:r w:rsidR="00842FD0">
        <w:t xml:space="preserve"> is a </w:t>
      </w:r>
      <w:r>
        <w:t xml:space="preserve">primarily </w:t>
      </w:r>
      <w:r w:rsidR="00842FD0">
        <w:t>creative work</w:t>
      </w:r>
      <w:r w:rsidR="00B0230F">
        <w:t xml:space="preserve"> (the sleeve blurb calls its three parts ‘imaginative essays’), </w:t>
      </w:r>
      <w:r w:rsidR="00D71A7A">
        <w:t>focusing on</w:t>
      </w:r>
      <w:r w:rsidR="00842FD0">
        <w:t xml:space="preserve"> the town of Machynlleth at three points in time: the past, present</w:t>
      </w:r>
      <w:r>
        <w:t xml:space="preserve"> (1991)</w:t>
      </w:r>
      <w:r w:rsidR="00842FD0">
        <w:t xml:space="preserve"> and future. </w:t>
      </w:r>
      <w:r w:rsidR="00B0230F">
        <w:rPr>
          <w:rStyle w:val="FootnoteReference"/>
        </w:rPr>
        <w:footnoteReference w:id="1"/>
      </w:r>
      <w:r w:rsidR="00B0230F">
        <w:t xml:space="preserve"> </w:t>
      </w:r>
      <w:r w:rsidR="00842FD0">
        <w:t>There are named characters</w:t>
      </w:r>
      <w:r w:rsidR="0063797C">
        <w:t xml:space="preserve"> – many of which are real</w:t>
      </w:r>
      <w:r w:rsidR="00B421A5">
        <w:t xml:space="preserve"> -</w:t>
      </w:r>
      <w:r w:rsidR="00B9234A">
        <w:t xml:space="preserve"> </w:t>
      </w:r>
      <w:r w:rsidR="00842FD0">
        <w:t xml:space="preserve">but we do not follow them closely, </w:t>
      </w:r>
      <w:r w:rsidR="00B421A5">
        <w:t xml:space="preserve">and </w:t>
      </w:r>
      <w:r w:rsidR="00842FD0">
        <w:t xml:space="preserve">there is no plot; rather, the triad comprises three pen portraits of a place at </w:t>
      </w:r>
      <w:r w:rsidR="00B9234A">
        <w:t>a</w:t>
      </w:r>
      <w:r w:rsidR="00842FD0">
        <w:t xml:space="preserve"> designated point in time. </w:t>
      </w:r>
      <w:r w:rsidR="00521C42" w:rsidRPr="00521C42">
        <w:rPr>
          <w:i/>
          <w:iCs/>
        </w:rPr>
        <w:t>T</w:t>
      </w:r>
      <w:r w:rsidR="00842FD0" w:rsidRPr="00521C42">
        <w:rPr>
          <w:i/>
          <w:iCs/>
        </w:rPr>
        <w:t>he Past</w:t>
      </w:r>
      <w:r w:rsidR="00B421A5">
        <w:t xml:space="preserve"> focuses on </w:t>
      </w:r>
      <w:r w:rsidR="001405F0">
        <w:t xml:space="preserve">Owain Glyndwr’s </w:t>
      </w:r>
      <w:r w:rsidR="00842FD0">
        <w:t xml:space="preserve">1406 parliament during his war of independence; in </w:t>
      </w:r>
      <w:r w:rsidR="00521C42" w:rsidRPr="00521C42">
        <w:rPr>
          <w:i/>
          <w:iCs/>
        </w:rPr>
        <w:t>T</w:t>
      </w:r>
      <w:r w:rsidR="00842FD0" w:rsidRPr="00521C42">
        <w:rPr>
          <w:i/>
          <w:iCs/>
        </w:rPr>
        <w:t>he Present</w:t>
      </w:r>
      <w:r w:rsidR="00842FD0">
        <w:t>, the town celebrates its 700</w:t>
      </w:r>
      <w:r w:rsidR="00842FD0" w:rsidRPr="00842FD0">
        <w:rPr>
          <w:vertAlign w:val="superscript"/>
        </w:rPr>
        <w:t>th</w:t>
      </w:r>
      <w:r w:rsidR="00842FD0">
        <w:t xml:space="preserve"> anniversary and </w:t>
      </w:r>
      <w:r w:rsidR="00842FD0" w:rsidRPr="00521C42">
        <w:rPr>
          <w:i/>
          <w:iCs/>
        </w:rPr>
        <w:t xml:space="preserve">in </w:t>
      </w:r>
      <w:r w:rsidR="00521C42" w:rsidRPr="00521C42">
        <w:rPr>
          <w:i/>
          <w:iCs/>
        </w:rPr>
        <w:t>T</w:t>
      </w:r>
      <w:r w:rsidR="00842FD0" w:rsidRPr="00521C42">
        <w:rPr>
          <w:i/>
          <w:iCs/>
        </w:rPr>
        <w:t>he Future</w:t>
      </w:r>
      <w:r w:rsidR="00842FD0">
        <w:t xml:space="preserve"> its anniversary as the capital of an independent Welsh republic. </w:t>
      </w:r>
      <w:r w:rsidR="0063797C">
        <w:t xml:space="preserve">Themes of Machynlleth’s deep and ancient history, </w:t>
      </w:r>
      <w:proofErr w:type="spellStart"/>
      <w:r w:rsidR="0063797C">
        <w:t>its</w:t>
      </w:r>
      <w:proofErr w:type="spellEnd"/>
      <w:r w:rsidR="0063797C">
        <w:t xml:space="preserve"> almost unchanging permanence, and a sense of destiny realised as the centre of a Welsh nation-state, provide a golden thread through the text</w:t>
      </w:r>
      <w:r w:rsidR="00A76B78">
        <w:t xml:space="preserve"> in which </w:t>
      </w:r>
      <w:r w:rsidR="009B712A">
        <w:t>the town of Machynlleth itself is arguably the main ‘character</w:t>
      </w:r>
      <w:r w:rsidR="00A647A1">
        <w:t>.</w:t>
      </w:r>
      <w:r w:rsidR="009B712A">
        <w:t>’</w:t>
      </w:r>
    </w:p>
    <w:p w14:paraId="35F308BB" w14:textId="4927955D" w:rsidR="00274DE7" w:rsidRDefault="00B9234A" w:rsidP="00BA545F">
      <w:pPr>
        <w:jc w:val="both"/>
      </w:pPr>
      <w:r w:rsidRPr="00B9234A">
        <w:rPr>
          <w:i/>
          <w:iCs/>
        </w:rPr>
        <w:t>T</w:t>
      </w:r>
      <w:r w:rsidR="00476E6F" w:rsidRPr="00B9234A">
        <w:rPr>
          <w:i/>
          <w:iCs/>
        </w:rPr>
        <w:t>he Past</w:t>
      </w:r>
      <w:r>
        <w:t xml:space="preserve"> </w:t>
      </w:r>
      <w:r w:rsidR="003A0AB2">
        <w:t xml:space="preserve">is of interest here due to its </w:t>
      </w:r>
      <w:r w:rsidR="007B19ED">
        <w:t xml:space="preserve">likely </w:t>
      </w:r>
      <w:r w:rsidR="003A0AB2">
        <w:t xml:space="preserve">use of both historical sources and broad historical consensus (namely, that a parliament probably did happen in Machynlleth during the </w:t>
      </w:r>
      <w:r w:rsidR="00AA4D67">
        <w:t>Glyndwr Rising</w:t>
      </w:r>
      <w:r w:rsidR="003A0AB2">
        <w:t>, though there is no hard evidence for this)</w:t>
      </w:r>
      <w:r w:rsidR="002A620E">
        <w:t xml:space="preserve"> to produce something that arguably feels incredibl</w:t>
      </w:r>
      <w:r w:rsidR="0085223B">
        <w:t>y</w:t>
      </w:r>
      <w:r w:rsidR="002A620E">
        <w:t xml:space="preserve"> real</w:t>
      </w:r>
      <w:r w:rsidR="00A01A68">
        <w:t>, even while it is a work of imagination</w:t>
      </w:r>
      <w:r w:rsidR="003A0AB2">
        <w:t>.</w:t>
      </w:r>
      <w:r w:rsidR="00274DE7">
        <w:t xml:space="preserve"> </w:t>
      </w:r>
      <w:r w:rsidR="007A689B">
        <w:t>Morris brings her background as a journalist to bear, reporting on all the small details, gossip and grime. Having reported on the ascent of Everest and war in the Middle East</w:t>
      </w:r>
      <w:r w:rsidR="0071324A">
        <w:t>,</w:t>
      </w:r>
      <w:r w:rsidR="007A689B">
        <w:t xml:space="preserve"> a reader might consider her trusted and incisive. In particular, her reputation for travel writing and portraits of cities lends itself to making her pen portrait of Machynlleth and its events more authoritative.</w:t>
      </w:r>
      <w:r w:rsidR="007A689B">
        <w:rPr>
          <w:rStyle w:val="FootnoteReference"/>
        </w:rPr>
        <w:footnoteReference w:id="2"/>
      </w:r>
    </w:p>
    <w:p w14:paraId="0DB0E6EC" w14:textId="7FAFD69B" w:rsidR="00274DE7" w:rsidRPr="007D7D49" w:rsidRDefault="0085223B" w:rsidP="00BA545F">
      <w:pPr>
        <w:jc w:val="both"/>
        <w:rPr>
          <w:b/>
          <w:bCs/>
        </w:rPr>
      </w:pPr>
      <w:r w:rsidRPr="007D7D49">
        <w:rPr>
          <w:b/>
          <w:bCs/>
        </w:rPr>
        <w:t xml:space="preserve">Research objectives and </w:t>
      </w:r>
      <w:r w:rsidR="00274DE7" w:rsidRPr="007D7D49">
        <w:rPr>
          <w:b/>
          <w:bCs/>
        </w:rPr>
        <w:t>Methodology</w:t>
      </w:r>
    </w:p>
    <w:p w14:paraId="3DF65C74" w14:textId="46952AC5" w:rsidR="00274DE7" w:rsidRPr="002115E7" w:rsidRDefault="00AF2B0A" w:rsidP="00297640">
      <w:pPr>
        <w:jc w:val="both"/>
      </w:pPr>
      <w:r>
        <w:t xml:space="preserve">It is necessary to conduct a critical appreciation of the work, to see beyond </w:t>
      </w:r>
      <w:r w:rsidR="00FF3FB5">
        <w:t>Morris’</w:t>
      </w:r>
      <w:r>
        <w:t xml:space="preserve"> authority as a narrator</w:t>
      </w:r>
      <w:r w:rsidR="00297640">
        <w:t xml:space="preserve"> -</w:t>
      </w:r>
      <w:r>
        <w:t xml:space="preserve"> even if deserved</w:t>
      </w:r>
      <w:r w:rsidR="00297640">
        <w:t xml:space="preserve"> -</w:t>
      </w:r>
      <w:r w:rsidR="00274DE7">
        <w:t xml:space="preserve"> </w:t>
      </w:r>
      <w:r w:rsidR="009B712A">
        <w:t xml:space="preserve">identifying the techniques and conventions </w:t>
      </w:r>
      <w:r w:rsidR="00FF3FB5">
        <w:t xml:space="preserve">she </w:t>
      </w:r>
      <w:r w:rsidR="009B712A">
        <w:t>uses that can be seen as typical for th</w:t>
      </w:r>
      <w:r w:rsidR="001B7AC3">
        <w:t>e</w:t>
      </w:r>
      <w:r w:rsidR="009B712A">
        <w:t xml:space="preserve"> genre</w:t>
      </w:r>
      <w:r w:rsidR="001B7AC3">
        <w:t xml:space="preserve"> of historical fiction</w:t>
      </w:r>
      <w:r w:rsidR="00297640">
        <w:t>.</w:t>
      </w:r>
      <w:r w:rsidR="002115E7">
        <w:t xml:space="preserve"> As a central figure</w:t>
      </w:r>
      <w:r w:rsidR="0010304F">
        <w:t xml:space="preserve">, Owain </w:t>
      </w:r>
      <w:r w:rsidR="002115E7">
        <w:t>Glyndwr – and how Morris portrays him – will also be analysed.</w:t>
      </w:r>
    </w:p>
    <w:p w14:paraId="795C9D9C" w14:textId="20D2C8F9" w:rsidR="00B97844" w:rsidRDefault="00584690" w:rsidP="00BA545F">
      <w:pPr>
        <w:jc w:val="both"/>
      </w:pPr>
      <w:r>
        <w:t xml:space="preserve">While Morris never claims to be writing history - it is unambiguously a creative work – </w:t>
      </w:r>
      <w:r w:rsidR="00E56F94">
        <w:t xml:space="preserve">a strong argument can be made that </w:t>
      </w:r>
      <w:r w:rsidR="00DD0312">
        <w:t>it</w:t>
      </w:r>
      <w:r w:rsidR="00E56F94">
        <w:t xml:space="preserve"> is deeply rooted in a knowledge -</w:t>
      </w:r>
      <w:r w:rsidR="00E77747">
        <w:t xml:space="preserve"> </w:t>
      </w:r>
      <w:r w:rsidR="00E56F94">
        <w:t xml:space="preserve">perhaps even close reading of and reference to </w:t>
      </w:r>
      <w:r w:rsidR="00E77747">
        <w:t>–</w:t>
      </w:r>
      <w:r>
        <w:t xml:space="preserve"> </w:t>
      </w:r>
      <w:r w:rsidR="00E77747">
        <w:t xml:space="preserve">primary historical sources. She names several: </w:t>
      </w:r>
      <w:r>
        <w:t>the 13</w:t>
      </w:r>
      <w:r w:rsidRPr="00584690">
        <w:rPr>
          <w:vertAlign w:val="superscript"/>
        </w:rPr>
        <w:t>th</w:t>
      </w:r>
      <w:r>
        <w:t xml:space="preserve"> century English Royal C</w:t>
      </w:r>
      <w:r w:rsidR="0085223B">
        <w:t>harter</w:t>
      </w:r>
      <w:r>
        <w:t xml:space="preserve"> establishing Machynlleth as a market town</w:t>
      </w:r>
      <w:r w:rsidR="00E77747">
        <w:t>; the</w:t>
      </w:r>
      <w:r>
        <w:t xml:space="preserve"> 15</w:t>
      </w:r>
      <w:r w:rsidRPr="00584690">
        <w:rPr>
          <w:vertAlign w:val="superscript"/>
        </w:rPr>
        <w:t>th</w:t>
      </w:r>
      <w:r>
        <w:t xml:space="preserve"> century praise poetry </w:t>
      </w:r>
      <w:r w:rsidR="00E77747">
        <w:t>of</w:t>
      </w:r>
      <w:r>
        <w:t xml:space="preserve"> Iolo Goch</w:t>
      </w:r>
      <w:r w:rsidR="00E77747">
        <w:t>;</w:t>
      </w:r>
      <w:r>
        <w:t xml:space="preserve"> </w:t>
      </w:r>
      <w:r w:rsidR="00157C8B">
        <w:t>or</w:t>
      </w:r>
      <w:r w:rsidR="0085223B">
        <w:t xml:space="preserve"> </w:t>
      </w:r>
      <w:r>
        <w:t>a letter from Owain Glyndwr</w:t>
      </w:r>
      <w:r w:rsidR="0085223B">
        <w:t xml:space="preserve"> </w:t>
      </w:r>
      <w:r>
        <w:t xml:space="preserve">himself to the King of France. </w:t>
      </w:r>
      <w:r w:rsidR="0076717B">
        <w:t>These shall be presented in a suggested reading list.</w:t>
      </w:r>
      <w:r w:rsidR="0085223B">
        <w:t xml:space="preserve"> </w:t>
      </w:r>
      <w:r w:rsidR="0076717B">
        <w:t>H</w:t>
      </w:r>
      <w:r w:rsidR="0085223B">
        <w:t>ow Morris uses these</w:t>
      </w:r>
      <w:r w:rsidR="0076717B">
        <w:t xml:space="preserve"> sources will also be analysed</w:t>
      </w:r>
      <w:r w:rsidR="006A1C34">
        <w:t xml:space="preserve"> and</w:t>
      </w:r>
      <w:r w:rsidR="0076717B">
        <w:t xml:space="preserve"> </w:t>
      </w:r>
      <w:r w:rsidR="0085223B">
        <w:t>compare</w:t>
      </w:r>
      <w:r w:rsidR="0076717B">
        <w:t>d</w:t>
      </w:r>
      <w:r w:rsidR="0085223B">
        <w:t xml:space="preserve"> </w:t>
      </w:r>
      <w:r w:rsidR="00F66D27">
        <w:t xml:space="preserve">with </w:t>
      </w:r>
      <w:r w:rsidR="0085223B">
        <w:t>the information these sources actually provide</w:t>
      </w:r>
      <w:r w:rsidR="00DE42C5">
        <w:t>, where possible</w:t>
      </w:r>
      <w:r w:rsidR="00F66D27">
        <w:t>.</w:t>
      </w:r>
      <w:r w:rsidR="001F2FBB">
        <w:t xml:space="preserve"> </w:t>
      </w:r>
      <w:r w:rsidR="00F01188">
        <w:t>S</w:t>
      </w:r>
      <w:r w:rsidR="00F24E1B">
        <w:t>ome s</w:t>
      </w:r>
      <w:r w:rsidR="00F01188">
        <w:t xml:space="preserve">econdary literature will also be considered.  </w:t>
      </w:r>
    </w:p>
    <w:p w14:paraId="332DFA91" w14:textId="77777777" w:rsidR="006D50C1" w:rsidRDefault="006D50C1" w:rsidP="00BA545F">
      <w:pPr>
        <w:jc w:val="both"/>
      </w:pPr>
    </w:p>
    <w:p w14:paraId="3C2FC905" w14:textId="47F767F9" w:rsidR="00274DE7" w:rsidRPr="00D207AE" w:rsidRDefault="00274DE7" w:rsidP="00BA545F">
      <w:pPr>
        <w:jc w:val="both"/>
        <w:rPr>
          <w:b/>
          <w:bCs/>
        </w:rPr>
      </w:pPr>
      <w:r w:rsidRPr="00D207AE">
        <w:rPr>
          <w:b/>
          <w:bCs/>
        </w:rPr>
        <w:lastRenderedPageBreak/>
        <w:t>Close reading</w:t>
      </w:r>
    </w:p>
    <w:p w14:paraId="3CABC8BE" w14:textId="5DB95D39" w:rsidR="006408F4" w:rsidRDefault="00521C42" w:rsidP="00BA545F">
      <w:pPr>
        <w:jc w:val="both"/>
      </w:pPr>
      <w:r>
        <w:t xml:space="preserve">If it was at all in doubt that the text is chiefly </w:t>
      </w:r>
      <w:r w:rsidR="00786FDE">
        <w:t>imaginary</w:t>
      </w:r>
      <w:r>
        <w:t xml:space="preserve">, </w:t>
      </w:r>
      <w:r w:rsidR="008343A6">
        <w:rPr>
          <w:i/>
          <w:iCs/>
        </w:rPr>
        <w:t xml:space="preserve">The Past </w:t>
      </w:r>
      <w:r w:rsidR="008343A6">
        <w:t>opens with the word ‘imagine,’ inviting the reader to transport themselves to that time period. This could be seen as a sort of disclaimer</w:t>
      </w:r>
      <w:r w:rsidR="00AD5248">
        <w:t>;</w:t>
      </w:r>
      <w:r w:rsidR="008343A6">
        <w:t xml:space="preserve"> Morris </w:t>
      </w:r>
      <w:r w:rsidR="007E6EEE">
        <w:t xml:space="preserve">is </w:t>
      </w:r>
      <w:r w:rsidR="008343A6">
        <w:t xml:space="preserve">not attempting to represent events factually; but it </w:t>
      </w:r>
      <w:r w:rsidR="00C40BC3">
        <w:t>also arguably gives</w:t>
      </w:r>
      <w:r w:rsidR="00AD5248">
        <w:t xml:space="preserve"> the reader the permission to accept everything that comes after, where pure invention is woven with historical sources. </w:t>
      </w:r>
      <w:r w:rsidR="00FD7D67">
        <w:t xml:space="preserve">In evoking these sources, Morris arguably </w:t>
      </w:r>
      <w:r w:rsidR="00634EB9">
        <w:t>produce</w:t>
      </w:r>
      <w:r w:rsidR="00E57C67">
        <w:t>s</w:t>
      </w:r>
      <w:r w:rsidR="00634EB9">
        <w:t xml:space="preserve"> something that resembles historical writing, but the line between history and fiction is blurred. This is </w:t>
      </w:r>
      <w:r w:rsidR="00E57C67">
        <w:t>perhaps</w:t>
      </w:r>
      <w:r w:rsidR="00634EB9">
        <w:t xml:space="preserve"> the case</w:t>
      </w:r>
      <w:r w:rsidR="003D14B2">
        <w:t xml:space="preserve">, though, </w:t>
      </w:r>
      <w:r w:rsidR="006D5463">
        <w:t>for any</w:t>
      </w:r>
      <w:r w:rsidR="003D14B2">
        <w:t xml:space="preserve"> writing about history. As</w:t>
      </w:r>
      <w:r w:rsidR="003D14B2" w:rsidRPr="003D14B2">
        <w:rPr>
          <w:sz w:val="16"/>
          <w:szCs w:val="16"/>
        </w:rPr>
        <w:t xml:space="preserve"> </w:t>
      </w:r>
      <w:r w:rsidR="003D14B2" w:rsidRPr="003D14B2">
        <w:t>Halttunen</w:t>
      </w:r>
      <w:r w:rsidR="003D14B2">
        <w:t xml:space="preserve"> observes, </w:t>
      </w:r>
      <w:r w:rsidR="007038F6">
        <w:t>‘historians…deal extensively in storytelling</w:t>
      </w:r>
      <w:r w:rsidR="003D14B2">
        <w:t>.</w:t>
      </w:r>
      <w:r w:rsidR="007038F6">
        <w:t>’</w:t>
      </w:r>
      <w:r w:rsidR="003D14B2">
        <w:t xml:space="preserve"> </w:t>
      </w:r>
      <w:r w:rsidR="007038F6">
        <w:rPr>
          <w:rStyle w:val="FootnoteReference"/>
        </w:rPr>
        <w:footnoteReference w:id="3"/>
      </w:r>
      <w:r w:rsidR="003D14B2">
        <w:t xml:space="preserve"> Morris is undoubtedly engaged in storytelling as a practice (even if the text does not </w:t>
      </w:r>
      <w:r w:rsidR="000B65CD">
        <w:t xml:space="preserve">fall within traditional structures of plot or narrative arc) and there is much history here, so perhaps </w:t>
      </w:r>
      <w:r w:rsidR="00030511">
        <w:t xml:space="preserve">the boundary between historical writing and historical fiction is not as defined as we may imagine. </w:t>
      </w:r>
      <w:r w:rsidR="008E4C31">
        <w:t xml:space="preserve">Even Morris’ divergence from traditional narrative </w:t>
      </w:r>
      <w:r w:rsidR="00E14625">
        <w:t>has value for historical writing. Halttunen argues that such e</w:t>
      </w:r>
      <w:r w:rsidR="006408F4">
        <w:t>xperimentation with narrative</w:t>
      </w:r>
      <w:r w:rsidR="00E14625">
        <w:t xml:space="preserve"> </w:t>
      </w:r>
      <w:r w:rsidR="00056205">
        <w:t>is useful in moving past the potentially problematic dichotomy of fiction and non-fiction in historical writing</w:t>
      </w:r>
      <w:r w:rsidR="006408F4">
        <w:t>.</w:t>
      </w:r>
      <w:r w:rsidR="006408F4">
        <w:rPr>
          <w:rStyle w:val="FootnoteReference"/>
        </w:rPr>
        <w:footnoteReference w:id="4"/>
      </w:r>
    </w:p>
    <w:p w14:paraId="391915D4" w14:textId="51A18658" w:rsidR="00521C42" w:rsidRDefault="007038F6" w:rsidP="00BA545F">
      <w:pPr>
        <w:jc w:val="both"/>
      </w:pPr>
      <w:r>
        <w:t xml:space="preserve">In any case, </w:t>
      </w:r>
      <w:r w:rsidR="00AD5248">
        <w:t>the reader</w:t>
      </w:r>
      <w:r>
        <w:t xml:space="preserve"> is arguably put</w:t>
      </w:r>
      <w:r w:rsidR="00AD5248">
        <w:t xml:space="preserve"> at ease </w:t>
      </w:r>
      <w:r>
        <w:t xml:space="preserve">by this invitation </w:t>
      </w:r>
      <w:r w:rsidR="00AD5248">
        <w:t>and entrusts Morris’ narrator with authority.</w:t>
      </w:r>
    </w:p>
    <w:p w14:paraId="421FF961" w14:textId="7C2A5E5F" w:rsidR="00102A6C" w:rsidRDefault="00102A6C" w:rsidP="00102A6C">
      <w:pPr>
        <w:jc w:val="both"/>
      </w:pPr>
      <w:r>
        <w:t>------</w:t>
      </w:r>
    </w:p>
    <w:p w14:paraId="6DAB5144" w14:textId="1C3E45B3" w:rsidR="00D7770B" w:rsidRDefault="001170E6" w:rsidP="00BA545F">
      <w:pPr>
        <w:jc w:val="both"/>
      </w:pPr>
      <w:r>
        <w:t>On</w:t>
      </w:r>
      <w:r w:rsidR="003D671F">
        <w:t>e</w:t>
      </w:r>
      <w:r>
        <w:t xml:space="preserve"> of the themes Morris leans on heavily to both anchor the events of her work and emphasise the importance of its events is a sense of </w:t>
      </w:r>
      <w:r w:rsidRPr="004A5747">
        <w:rPr>
          <w:b/>
          <w:bCs/>
        </w:rPr>
        <w:t>p</w:t>
      </w:r>
      <w:r w:rsidR="00102A6C" w:rsidRPr="004A5747">
        <w:rPr>
          <w:b/>
          <w:bCs/>
        </w:rPr>
        <w:t>ermanence</w:t>
      </w:r>
      <w:r w:rsidR="00804198">
        <w:t>, that Machynlleth has a self-conscious,</w:t>
      </w:r>
      <w:r w:rsidR="00102A6C">
        <w:t xml:space="preserve"> unbroken history and sense of </w:t>
      </w:r>
      <w:r w:rsidR="00804198">
        <w:t xml:space="preserve">itself. This is </w:t>
      </w:r>
      <w:r w:rsidR="00403224">
        <w:t xml:space="preserve">neatly </w:t>
      </w:r>
      <w:r w:rsidR="00804198">
        <w:t xml:space="preserve">expressed in the prologue, where the standing stone known as the </w:t>
      </w:r>
      <w:r w:rsidR="00804198" w:rsidRPr="00804198">
        <w:rPr>
          <w:i/>
          <w:iCs/>
        </w:rPr>
        <w:t>Maen Llwyd</w:t>
      </w:r>
      <w:r w:rsidR="00804198">
        <w:rPr>
          <w:i/>
          <w:iCs/>
        </w:rPr>
        <w:t xml:space="preserve"> </w:t>
      </w:r>
      <w:r w:rsidR="00804198">
        <w:t>is treated almost as a character</w:t>
      </w:r>
      <w:r w:rsidR="00F9481D">
        <w:t>,</w:t>
      </w:r>
      <w:r w:rsidR="00804198">
        <w:t xml:space="preserve"> from whose perspective the reader views not only the centuries of history </w:t>
      </w:r>
      <w:r w:rsidR="00F9481D">
        <w:t xml:space="preserve">the span the events of the </w:t>
      </w:r>
      <w:r w:rsidR="00F9481D">
        <w:rPr>
          <w:i/>
          <w:iCs/>
        </w:rPr>
        <w:t xml:space="preserve">Triad, </w:t>
      </w:r>
      <w:r w:rsidR="00804198">
        <w:t>but also comes to understand the millennia of events that have happened before:</w:t>
      </w:r>
      <w:r w:rsidR="00AD5248">
        <w:t xml:space="preserve"> ‘over the ages it has watched…’</w:t>
      </w:r>
      <w:r w:rsidR="00804198">
        <w:t xml:space="preserve"> </w:t>
      </w:r>
      <w:r w:rsidR="00AD5248">
        <w:rPr>
          <w:rStyle w:val="FootnoteReference"/>
        </w:rPr>
        <w:footnoteReference w:id="5"/>
      </w:r>
      <w:r w:rsidR="00A12B33">
        <w:t xml:space="preserve"> </w:t>
      </w:r>
      <w:r w:rsidR="00D7770B">
        <w:t xml:space="preserve">Morris invokes ancient fortifications, both neolithic and Roman. Not only does this give a sense of security and safety to the town but also continues to reinforce the narrative of Machynlleth as a continuum of Welsh space-time, connecting far back into the deep past. </w:t>
      </w:r>
      <w:r w:rsidR="00D7770B">
        <w:rPr>
          <w:rStyle w:val="FootnoteReference"/>
        </w:rPr>
        <w:footnoteReference w:id="6"/>
      </w:r>
    </w:p>
    <w:p w14:paraId="292F8AC7" w14:textId="6846C71C" w:rsidR="00D5180E" w:rsidRDefault="009A23DF" w:rsidP="00D5180E">
      <w:pPr>
        <w:jc w:val="both"/>
      </w:pPr>
      <w:r>
        <w:t>P</w:t>
      </w:r>
      <w:r w:rsidR="004B0BB0">
        <w:t xml:space="preserve">ermanence is further emphasised in </w:t>
      </w:r>
      <w:r w:rsidR="00A12B33">
        <w:t xml:space="preserve">the language with which </w:t>
      </w:r>
      <w:r w:rsidR="004B0BB0">
        <w:t>Morris describes Machynlleth</w:t>
      </w:r>
      <w:r w:rsidR="00936248">
        <w:t>:</w:t>
      </w:r>
      <w:r w:rsidR="004B0BB0">
        <w:t xml:space="preserve"> </w:t>
      </w:r>
      <w:r w:rsidR="00B52B86">
        <w:t>‘</w:t>
      </w:r>
      <w:r w:rsidR="00B52B86" w:rsidRPr="00A12B33">
        <w:rPr>
          <w:b/>
          <w:bCs/>
        </w:rPr>
        <w:t>indestructibly asserting</w:t>
      </w:r>
      <w:r w:rsidR="00A12B33">
        <w:t xml:space="preserve"> [emphasis added]</w:t>
      </w:r>
      <w:r w:rsidR="00B52B86">
        <w:t xml:space="preserve"> </w:t>
      </w:r>
      <w:r w:rsidR="004B0BB0">
        <w:t>[its]</w:t>
      </w:r>
      <w:r w:rsidR="00B52B86">
        <w:t xml:space="preserve"> significance</w:t>
      </w:r>
      <w:r w:rsidR="004B0BB0">
        <w:t>…</w:t>
      </w:r>
      <w:r w:rsidR="00B52B86">
        <w:t>in the history of Wales</w:t>
      </w:r>
      <w:r w:rsidR="004B0BB0">
        <w:t>.</w:t>
      </w:r>
      <w:r w:rsidR="00B52B86">
        <w:t>’</w:t>
      </w:r>
      <w:r w:rsidR="004B0BB0">
        <w:t xml:space="preserve"> </w:t>
      </w:r>
      <w:r w:rsidR="00B52B86">
        <w:rPr>
          <w:rStyle w:val="FootnoteReference"/>
        </w:rPr>
        <w:footnoteReference w:id="7"/>
      </w:r>
      <w:r w:rsidR="004B0BB0">
        <w:t xml:space="preserve"> </w:t>
      </w:r>
      <w:r w:rsidR="00A9755F">
        <w:t xml:space="preserve">This language links time with place, making Machynlleth feel as sturdy and unending as its ancient fortifications. </w:t>
      </w:r>
      <w:r w:rsidR="00102A6C">
        <w:t xml:space="preserve">Morris spans </w:t>
      </w:r>
      <w:r w:rsidR="003D671F">
        <w:t xml:space="preserve">this </w:t>
      </w:r>
      <w:r w:rsidR="00102A6C">
        <w:t xml:space="preserve">time, connecting </w:t>
      </w:r>
      <w:r w:rsidR="004B0BB0">
        <w:t>her</w:t>
      </w:r>
      <w:r w:rsidR="00102A6C">
        <w:t xml:space="preserve"> medieval portrayal </w:t>
      </w:r>
      <w:r w:rsidR="00AE64FF">
        <w:t>to</w:t>
      </w:r>
      <w:r w:rsidR="00102A6C">
        <w:t xml:space="preserve"> the 19</w:t>
      </w:r>
      <w:r w:rsidR="00102A6C" w:rsidRPr="00F73973">
        <w:rPr>
          <w:vertAlign w:val="superscript"/>
        </w:rPr>
        <w:t>th</w:t>
      </w:r>
      <w:r w:rsidR="00102A6C">
        <w:t xml:space="preserve"> century.</w:t>
      </w:r>
      <w:r w:rsidR="00AE64FF">
        <w:t xml:space="preserve"> References to both Henry Tudor and the Victorian George Barrow, and his </w:t>
      </w:r>
      <w:r w:rsidR="00AE64FF" w:rsidRPr="00D5180E">
        <w:rPr>
          <w:i/>
          <w:iCs/>
        </w:rPr>
        <w:t>Wild Wales</w:t>
      </w:r>
      <w:r w:rsidR="00AE64FF">
        <w:t xml:space="preserve"> book of 1854 (a sign, also, of the travel writer Morris at work) </w:t>
      </w:r>
      <w:r w:rsidR="00D5180E">
        <w:t>arguably allow for her to use the much more available and prolific corpus of modern ‘sources’ such as Barrow to add authenticity to the medieval, for which there is far less.</w:t>
      </w:r>
      <w:r w:rsidR="00D5180E" w:rsidRPr="00D5180E">
        <w:rPr>
          <w:rStyle w:val="FootnoteReference"/>
        </w:rPr>
        <w:t xml:space="preserve"> </w:t>
      </w:r>
      <w:r w:rsidR="00D5180E">
        <w:rPr>
          <w:rStyle w:val="FootnoteReference"/>
        </w:rPr>
        <w:footnoteReference w:id="8"/>
      </w:r>
      <w:r w:rsidR="00D5180E" w:rsidRPr="00D5180E">
        <w:t xml:space="preserve"> </w:t>
      </w:r>
      <w:r w:rsidR="00D5180E">
        <w:t>She also draws on nineteenth century topography to solidify Machynlleth’s ‘regularity’, its permanence.</w:t>
      </w:r>
      <w:r w:rsidR="00D5180E">
        <w:rPr>
          <w:rStyle w:val="FootnoteReference"/>
        </w:rPr>
        <w:footnoteReference w:id="9"/>
      </w:r>
      <w:r w:rsidR="00D5180E">
        <w:t xml:space="preserve"> History, facts, happened here. </w:t>
      </w:r>
    </w:p>
    <w:p w14:paraId="31182F9B" w14:textId="5C7F311B" w:rsidR="00A62D23" w:rsidRDefault="00A6692D" w:rsidP="00102A6C">
      <w:pPr>
        <w:jc w:val="both"/>
      </w:pPr>
      <w:r>
        <w:t xml:space="preserve">Interestingly, this sense of the town being fixed in place, both temporally and </w:t>
      </w:r>
      <w:r w:rsidR="00794AEE">
        <w:t>spatially</w:t>
      </w:r>
      <w:r>
        <w:t xml:space="preserve">, nonetheless allows Morris to place it in within a wider Welsh perspective that is more dynamic </w:t>
      </w:r>
      <w:r>
        <w:lastRenderedPageBreak/>
        <w:t xml:space="preserve">and moving. In this Wales, in which, as we shall see next, the travel writer in Morris can be gleaned, </w:t>
      </w:r>
      <w:r w:rsidR="00F554D4">
        <w:t>‘Machynlleth was always a junction and a meeting-place</w:t>
      </w:r>
      <w:r>
        <w:t>.</w:t>
      </w:r>
      <w:r w:rsidR="00F554D4">
        <w:t>’</w:t>
      </w:r>
      <w:r>
        <w:t xml:space="preserve"> </w:t>
      </w:r>
      <w:r w:rsidR="00F554D4">
        <w:rPr>
          <w:rStyle w:val="FootnoteReference"/>
        </w:rPr>
        <w:footnoteReference w:id="10"/>
      </w:r>
    </w:p>
    <w:p w14:paraId="3D87CB04" w14:textId="4B638399" w:rsidR="00102A6C" w:rsidRDefault="00102A6C" w:rsidP="00BA545F">
      <w:pPr>
        <w:jc w:val="both"/>
      </w:pPr>
      <w:r>
        <w:t>-------</w:t>
      </w:r>
    </w:p>
    <w:p w14:paraId="48E8C836" w14:textId="1E483393" w:rsidR="00E1745A" w:rsidRDefault="00E1745A" w:rsidP="00BA545F">
      <w:pPr>
        <w:jc w:val="both"/>
      </w:pPr>
      <w:r>
        <w:t xml:space="preserve">Morris’ narrator </w:t>
      </w:r>
      <w:r w:rsidRPr="00221395">
        <w:rPr>
          <w:b/>
          <w:bCs/>
        </w:rPr>
        <w:t>travels</w:t>
      </w:r>
      <w:r>
        <w:t xml:space="preserve"> across Wales like an</w:t>
      </w:r>
      <w:r w:rsidR="00BD28B8">
        <w:t xml:space="preserve"> omniscient eye in the sky, zooming in, out and across time and space. </w:t>
      </w:r>
      <w:r>
        <w:t xml:space="preserve">She </w:t>
      </w:r>
      <w:r w:rsidR="00BD28B8">
        <w:t>describes other places along the route to Machynlleth in detail, in the present</w:t>
      </w:r>
      <w:r>
        <w:t xml:space="preserve"> tense;</w:t>
      </w:r>
      <w:r w:rsidR="00BD28B8">
        <w:t xml:space="preserve"> </w:t>
      </w:r>
      <w:r>
        <w:t>places</w:t>
      </w:r>
      <w:r w:rsidR="00BD28B8">
        <w:t xml:space="preserve"> people would </w:t>
      </w:r>
      <w:r w:rsidR="00B52B86">
        <w:t>recognise,</w:t>
      </w:r>
      <w:r w:rsidR="00BD28B8">
        <w:t xml:space="preserve"> and</w:t>
      </w:r>
      <w:r>
        <w:t xml:space="preserve"> this</w:t>
      </w:r>
      <w:r w:rsidR="00BD28B8">
        <w:t xml:space="preserve"> builds trust in her as a narrator.</w:t>
      </w:r>
      <w:r>
        <w:t xml:space="preserve"> </w:t>
      </w:r>
    </w:p>
    <w:p w14:paraId="26FBE15F" w14:textId="1D024CD6" w:rsidR="005C5795" w:rsidRDefault="00E1745A" w:rsidP="00102A6C">
      <w:pPr>
        <w:jc w:val="both"/>
      </w:pPr>
      <w:r>
        <w:t>Pilgrimage features prominently. Machynlleth sits at the b</w:t>
      </w:r>
      <w:r w:rsidR="00102A6C">
        <w:t xml:space="preserve">order </w:t>
      </w:r>
      <w:r w:rsidR="005B0109">
        <w:t xml:space="preserve">of </w:t>
      </w:r>
      <w:r w:rsidR="00102A6C">
        <w:t>the cults of Saints Garmon and Padarn.</w:t>
      </w:r>
      <w:r w:rsidR="00102A6C">
        <w:rPr>
          <w:rStyle w:val="FootnoteReference"/>
        </w:rPr>
        <w:footnoteReference w:id="11"/>
      </w:r>
      <w:r>
        <w:t xml:space="preserve"> The sacred places of </w:t>
      </w:r>
      <w:r w:rsidR="005C5795">
        <w:t>Bardsey</w:t>
      </w:r>
      <w:r>
        <w:t xml:space="preserve"> and </w:t>
      </w:r>
      <w:proofErr w:type="spellStart"/>
      <w:r w:rsidR="005C5795">
        <w:t>Llandderfel</w:t>
      </w:r>
      <w:proofErr w:type="spellEnd"/>
      <w:r>
        <w:t xml:space="preserve"> are reached via Machynlleth. Even the town itself,</w:t>
      </w:r>
      <w:r w:rsidR="005C5795">
        <w:t xml:space="preserve"> with its ‘curative wells, springs, trees, rocks and streams’ </w:t>
      </w:r>
      <w:r>
        <w:t xml:space="preserve">is a destination for </w:t>
      </w:r>
      <w:r w:rsidR="005C5795">
        <w:t>pilgrims</w:t>
      </w:r>
      <w:r>
        <w:t>, who come to</w:t>
      </w:r>
      <w:r w:rsidR="005C5795">
        <w:t xml:space="preserve"> kiss </w:t>
      </w:r>
      <w:r>
        <w:t xml:space="preserve">the </w:t>
      </w:r>
      <w:r w:rsidR="005C5795" w:rsidRPr="00E1745A">
        <w:rPr>
          <w:i/>
          <w:iCs/>
        </w:rPr>
        <w:t>Maen Llwyd</w:t>
      </w:r>
      <w:r w:rsidR="005C5795">
        <w:t>.</w:t>
      </w:r>
      <w:r w:rsidR="005C5795">
        <w:rPr>
          <w:rStyle w:val="FootnoteReference"/>
        </w:rPr>
        <w:footnoteReference w:id="12"/>
      </w:r>
      <w:r w:rsidR="005C5795">
        <w:t xml:space="preserve"> </w:t>
      </w:r>
      <w:r w:rsidR="003B3968">
        <w:t>Pilgrimage is arguably a well-known and</w:t>
      </w:r>
      <w:r w:rsidR="005C5795">
        <w:t xml:space="preserve"> accepted medieval trope</w:t>
      </w:r>
      <w:r w:rsidR="003B3968">
        <w:t>, and readers of historical fiction might feel a sense of familiarity.</w:t>
      </w:r>
      <w:r w:rsidR="005C5795">
        <w:t xml:space="preserve"> </w:t>
      </w:r>
      <w:r w:rsidR="003B3968">
        <w:t>This is</w:t>
      </w:r>
      <w:r w:rsidR="005C5795">
        <w:t xml:space="preserve"> </w:t>
      </w:r>
      <w:r w:rsidR="003B3968">
        <w:t>also perhaps</w:t>
      </w:r>
      <w:r w:rsidR="005C5795">
        <w:t xml:space="preserve"> important for </w:t>
      </w:r>
      <w:r w:rsidR="00784493">
        <w:t>setting the context for the</w:t>
      </w:r>
      <w:r w:rsidR="005C5795">
        <w:t xml:space="preserve"> Glyndwr parliament, </w:t>
      </w:r>
      <w:r w:rsidR="003B3968">
        <w:t xml:space="preserve">or any of the momentous events that draw crowds to Machynlleth </w:t>
      </w:r>
      <w:r w:rsidR="0048157C">
        <w:t>in</w:t>
      </w:r>
      <w:r w:rsidR="003B3968">
        <w:t xml:space="preserve"> the </w:t>
      </w:r>
      <w:r w:rsidR="0048157C">
        <w:rPr>
          <w:i/>
          <w:iCs/>
        </w:rPr>
        <w:t>Triad</w:t>
      </w:r>
      <w:r w:rsidR="003B3968">
        <w:t>; these events are quasi-religious ones, the crowds pilgrims, and the legacy of those events weave themselves into the fabric of Machynlleth’s legend.</w:t>
      </w:r>
    </w:p>
    <w:p w14:paraId="2E95020B" w14:textId="015C8C29" w:rsidR="00102A6C" w:rsidRDefault="00102A6C" w:rsidP="00102A6C">
      <w:pPr>
        <w:jc w:val="both"/>
      </w:pPr>
      <w:r>
        <w:t>------</w:t>
      </w:r>
    </w:p>
    <w:p w14:paraId="5197130E" w14:textId="4DD73C50" w:rsidR="00985100" w:rsidRDefault="00985100" w:rsidP="00985100">
      <w:pPr>
        <w:jc w:val="both"/>
      </w:pPr>
      <w:r>
        <w:t xml:space="preserve">Morris moves from the God’s-eye view to the street level, although her narrator is no less omniscient in its observations. In outlining in </w:t>
      </w:r>
      <w:r w:rsidRPr="00647AE1">
        <w:rPr>
          <w:b/>
          <w:bCs/>
        </w:rPr>
        <w:t>detail</w:t>
      </w:r>
      <w:r>
        <w:t xml:space="preserve"> the small aspects of town life, the text is arguably at its most quintessential as a piece of historical fiction. Across the genre, sights, sounds and smells transport the reader into the scene more vividly, making it more believable even while it is perhaps at its most removed from primary sources, which would not pay much heed to the hustle and bustle of common townsfolk; the craftspeople, professionals, traders, </w:t>
      </w:r>
      <w:r w:rsidR="00647AE1">
        <w:t xml:space="preserve">or </w:t>
      </w:r>
      <w:r>
        <w:t>the relationship of Machynlleth with the port of Derwenlas.</w:t>
      </w:r>
      <w:r>
        <w:rPr>
          <w:rStyle w:val="FootnoteReference"/>
        </w:rPr>
        <w:footnoteReference w:id="13"/>
      </w:r>
    </w:p>
    <w:p w14:paraId="2BC2D249" w14:textId="33E81791" w:rsidR="00985100" w:rsidRPr="009924D7" w:rsidRDefault="00985100" w:rsidP="00985100">
      <w:pPr>
        <w:jc w:val="both"/>
      </w:pPr>
      <w:r>
        <w:t xml:space="preserve">The town is, ‘lively always, with…wagon trains…traders and functionaries.’ </w:t>
      </w:r>
      <w:r>
        <w:rPr>
          <w:rStyle w:val="FootnoteReference"/>
        </w:rPr>
        <w:footnoteReference w:id="14"/>
      </w:r>
      <w:r>
        <w:t xml:space="preserve"> Morris invokes the visceral dirtiness of a medieval town, with a, ‘muddy main thoroughfare…lined with houses and shops, some thatched, some tiles, some built of uncut stones, some of mud and wattle…’</w:t>
      </w:r>
      <w:r>
        <w:rPr>
          <w:rStyle w:val="FootnoteReference"/>
        </w:rPr>
        <w:footnoteReference w:id="15"/>
      </w:r>
      <w:r>
        <w:t xml:space="preserve"> and ‘open drains and mangy dogs, smells, poverty, ignorance, dirt and disease’</w:t>
      </w:r>
      <w:r>
        <w:rPr>
          <w:rStyle w:val="FootnoteReference"/>
        </w:rPr>
        <w:footnoteReference w:id="16"/>
      </w:r>
      <w:r>
        <w:t xml:space="preserve"> She invokes the senses: ‘there is a clanging of hammers </w:t>
      </w:r>
      <w:r w:rsidRPr="009924D7">
        <w:rPr>
          <w:i/>
          <w:iCs/>
        </w:rPr>
        <w:t>perhaps</w:t>
      </w:r>
      <w:r>
        <w:rPr>
          <w:i/>
          <w:iCs/>
        </w:rPr>
        <w:t xml:space="preserve"> </w:t>
      </w:r>
      <w:r>
        <w:t>[emphasis added</w:t>
      </w:r>
      <w:r w:rsidR="0090050B">
        <w:t xml:space="preserve"> - note again Morris’ disclaimer as to the accuracy of her description</w:t>
      </w:r>
      <w:r>
        <w:t xml:space="preserve">], the glow of a forge…shouts of hawkers…haggling, gossiping and complaining.’ </w:t>
      </w:r>
      <w:r>
        <w:rPr>
          <w:rStyle w:val="FootnoteReference"/>
        </w:rPr>
        <w:footnoteReference w:id="17"/>
      </w:r>
      <w:r w:rsidRPr="00216B7B">
        <w:t xml:space="preserve"> </w:t>
      </w:r>
      <w:r w:rsidRPr="004855E9">
        <w:t xml:space="preserve">Clerks with satchels come and go and </w:t>
      </w:r>
      <w:r>
        <w:t xml:space="preserve">there are </w:t>
      </w:r>
      <w:r w:rsidRPr="004855E9">
        <w:t xml:space="preserve">dust covered courtiers, worried market traders, beggars and people seeking favours from </w:t>
      </w:r>
      <w:r>
        <w:t>Glyndwr</w:t>
      </w:r>
      <w:r w:rsidRPr="004855E9">
        <w:t>.</w:t>
      </w:r>
      <w:r>
        <w:t xml:space="preserve"> </w:t>
      </w:r>
      <w:r>
        <w:rPr>
          <w:rStyle w:val="FootnoteReference"/>
        </w:rPr>
        <w:footnoteReference w:id="18"/>
      </w:r>
    </w:p>
    <w:p w14:paraId="3190A9C5" w14:textId="1B4CC143" w:rsidR="001934D3" w:rsidRDefault="00985100" w:rsidP="00985100">
      <w:pPr>
        <w:jc w:val="both"/>
      </w:pPr>
      <w:r>
        <w:t xml:space="preserve">This description is relatively generic; the market, people, roads, buildings could be anywhere, but perhaps this is the point, and makes her Machynlleth </w:t>
      </w:r>
      <w:r>
        <w:rPr>
          <w:i/>
          <w:iCs/>
        </w:rPr>
        <w:t xml:space="preserve">truthful </w:t>
      </w:r>
      <w:r>
        <w:t xml:space="preserve">at least, even if not factual. </w:t>
      </w:r>
      <w:r w:rsidR="001934D3">
        <w:t>There are elements of hyperbole; the town is a ‘travesty of medievalism.’</w:t>
      </w:r>
      <w:r w:rsidR="001934D3">
        <w:rPr>
          <w:rStyle w:val="FootnoteReference"/>
        </w:rPr>
        <w:footnoteReference w:id="19"/>
      </w:r>
      <w:r w:rsidR="001934D3">
        <w:t xml:space="preserve"> Morris acknowledges the generic nature of her own description: ‘every stereotypical image of the Middle Ages flourishes or </w:t>
      </w:r>
      <w:r w:rsidR="001934D3">
        <w:lastRenderedPageBreak/>
        <w:t>festers.’</w:t>
      </w:r>
      <w:r w:rsidR="001934D3">
        <w:rPr>
          <w:rStyle w:val="FootnoteReference"/>
        </w:rPr>
        <w:footnoteReference w:id="20"/>
      </w:r>
      <w:r w:rsidR="001934D3">
        <w:t xml:space="preserve"> Invoking the Black Death, war with France and Papal schism assists the reader in placing Wales, and Machynlleth, in a time and setting</w:t>
      </w:r>
      <w:r w:rsidR="00DF4322">
        <w:t>;</w:t>
      </w:r>
      <w:r w:rsidR="001934D3">
        <w:t xml:space="preserve"> it also builds trust in the knowledge of the narrator.</w:t>
      </w:r>
      <w:r w:rsidR="001934D3">
        <w:rPr>
          <w:rStyle w:val="FootnoteReference"/>
        </w:rPr>
        <w:footnoteReference w:id="21"/>
      </w:r>
    </w:p>
    <w:p w14:paraId="6C09F7F5" w14:textId="39B77C37" w:rsidR="00985100" w:rsidRDefault="00985100" w:rsidP="00985100">
      <w:pPr>
        <w:jc w:val="both"/>
      </w:pPr>
      <w:r>
        <w:t>Morris layer</w:t>
      </w:r>
      <w:r w:rsidR="00FE4302">
        <w:t>s</w:t>
      </w:r>
      <w:r w:rsidR="001934D3">
        <w:t xml:space="preserve"> this</w:t>
      </w:r>
      <w:r>
        <w:t xml:space="preserve"> richly detailed but ultimately stereotypical medieval description </w:t>
      </w:r>
      <w:r w:rsidR="001934D3">
        <w:t xml:space="preserve">and context </w:t>
      </w:r>
      <w:r>
        <w:t>onto the place and people of Machynlleth, fusing recognisable urban geography – the layout of the town (previously established as stable through time by Victorian topography) with believable tropes of the medieval marketplace.</w:t>
      </w:r>
      <w:r>
        <w:rPr>
          <w:rStyle w:val="FootnoteReference"/>
        </w:rPr>
        <w:footnoteReference w:id="22"/>
      </w:r>
    </w:p>
    <w:p w14:paraId="557A701B" w14:textId="28BC1919" w:rsidR="00985100" w:rsidRDefault="00985100" w:rsidP="00985100">
      <w:pPr>
        <w:jc w:val="both"/>
      </w:pPr>
      <w:r>
        <w:t xml:space="preserve">However, Morris also speaks to the particularity of Machynlleth, its Welshness, and this is crucial for the key theme of the piece, the Parliament of Glyndwr. It has, she says, ‘…traditions reaching far back into the past’ and this serves to highlight its Welshness despite English domination, which she describes as a ‘private inheritance… from which the English are excluded.’ </w:t>
      </w:r>
      <w:r>
        <w:rPr>
          <w:rStyle w:val="FootnoteReference"/>
        </w:rPr>
        <w:footnoteReference w:id="23"/>
      </w:r>
      <w:r>
        <w:t xml:space="preserve"> This allows her to ground the larger themes of Welsh independence and the survival of tradition in the generic, widely recognisable and accepted tropes of street-level medieval detail. This</w:t>
      </w:r>
      <w:r w:rsidR="00CF486B">
        <w:t xml:space="preserve"> is also evident in her description of the</w:t>
      </w:r>
      <w:r>
        <w:t xml:space="preserve"> Glyndwr Parliament.</w:t>
      </w:r>
    </w:p>
    <w:p w14:paraId="552BB09F" w14:textId="4D0C5F70" w:rsidR="00985100" w:rsidRDefault="00985100" w:rsidP="00985100">
      <w:pPr>
        <w:jc w:val="both"/>
      </w:pPr>
      <w:r>
        <w:t>She</w:t>
      </w:r>
      <w:r w:rsidRPr="000C3AC6">
        <w:t xml:space="preserve"> describ</w:t>
      </w:r>
      <w:r>
        <w:t>es</w:t>
      </w:r>
      <w:r w:rsidRPr="000C3AC6">
        <w:t xml:space="preserve"> the tents and the campfires</w:t>
      </w:r>
      <w:r>
        <w:t xml:space="preserve"> of Glyndwr’s army</w:t>
      </w:r>
      <w:r w:rsidRPr="000C3AC6">
        <w:t>,</w:t>
      </w:r>
      <w:r>
        <w:t xml:space="preserve"> its</w:t>
      </w:r>
      <w:r w:rsidRPr="000C3AC6">
        <w:t xml:space="preserve"> drinking and singing</w:t>
      </w:r>
      <w:r>
        <w:t>;</w:t>
      </w:r>
      <w:r w:rsidRPr="000C3AC6">
        <w:t xml:space="preserve"> music</w:t>
      </w:r>
      <w:r>
        <w:t xml:space="preserve"> is</w:t>
      </w:r>
      <w:r w:rsidRPr="000C3AC6">
        <w:t xml:space="preserve"> played</w:t>
      </w:r>
      <w:r>
        <w:t xml:space="preserve"> and</w:t>
      </w:r>
      <w:r w:rsidRPr="000C3AC6">
        <w:t xml:space="preserve"> poets come to entertain the crowds</w:t>
      </w:r>
      <w:r>
        <w:t>.</w:t>
      </w:r>
      <w:r w:rsidRPr="000C3AC6">
        <w:t xml:space="preserve"> </w:t>
      </w:r>
      <w:r>
        <w:t>T</w:t>
      </w:r>
      <w:r w:rsidRPr="000C3AC6">
        <w:t xml:space="preserve">he streets and houses get muddier and more torn up as more men and horses arrive. This music, metre and camping might evoke for the reader a festival, making it that more relatable. For certain Welsh readers, it may be more relatable still. Sure enough, Morris directly compares the parliament </w:t>
      </w:r>
      <w:r w:rsidR="00193412">
        <w:t xml:space="preserve">– and Glyndwr’s crowning - </w:t>
      </w:r>
      <w:r w:rsidRPr="000C3AC6">
        <w:t xml:space="preserve">to the </w:t>
      </w:r>
      <w:r>
        <w:t>Eisteddfod</w:t>
      </w:r>
      <w:r w:rsidRPr="000C3AC6">
        <w:t xml:space="preserve">, like the </w:t>
      </w:r>
      <w:r>
        <w:t>‘</w:t>
      </w:r>
      <w:r w:rsidRPr="000C3AC6">
        <w:t>moment of climax of the chairing of a bard</w:t>
      </w:r>
      <w:r>
        <w:t>’</w:t>
      </w:r>
      <w:r w:rsidRPr="000C3AC6">
        <w:t>.</w:t>
      </w:r>
      <w:r>
        <w:t xml:space="preserve"> </w:t>
      </w:r>
      <w:r>
        <w:rPr>
          <w:rStyle w:val="FootnoteReference"/>
        </w:rPr>
        <w:footnoteReference w:id="24"/>
      </w:r>
      <w:r w:rsidRPr="000C3AC6">
        <w:t xml:space="preserve"> There are </w:t>
      </w:r>
      <w:r>
        <w:t>l</w:t>
      </w:r>
      <w:r w:rsidRPr="000C3AC6">
        <w:t>ong</w:t>
      </w:r>
      <w:r>
        <w:t xml:space="preserve"> </w:t>
      </w:r>
      <w:r w:rsidRPr="000C3AC6">
        <w:t>horns to announce the commencement, like the trumpets that announce the chairing ceremonies; Ow</w:t>
      </w:r>
      <w:r>
        <w:t>ai</w:t>
      </w:r>
      <w:r w:rsidRPr="000C3AC6">
        <w:t xml:space="preserve">n sitting beneath the </w:t>
      </w:r>
      <w:r w:rsidRPr="009F2201">
        <w:rPr>
          <w:i/>
          <w:iCs/>
        </w:rPr>
        <w:t>Maen Llwyd</w:t>
      </w:r>
      <w:r w:rsidRPr="000C3AC6">
        <w:t xml:space="preserve"> perhaps evokes the stone circles where the </w:t>
      </w:r>
      <w:r>
        <w:t>Gorsedd</w:t>
      </w:r>
      <w:r w:rsidRPr="000C3AC6">
        <w:t xml:space="preserve"> announces </w:t>
      </w:r>
      <w:r>
        <w:t>an Eisteddfod</w:t>
      </w:r>
      <w:r w:rsidRPr="000C3AC6">
        <w:t xml:space="preserve"> and welcomes new members,</w:t>
      </w:r>
      <w:r>
        <w:rPr>
          <w:rStyle w:val="FootnoteReference"/>
        </w:rPr>
        <w:footnoteReference w:id="25"/>
      </w:r>
      <w:r w:rsidRPr="000C3AC6">
        <w:t xml:space="preserve"> and the c</w:t>
      </w:r>
      <w:r>
        <w:t>all and</w:t>
      </w:r>
      <w:r w:rsidRPr="000C3AC6">
        <w:t xml:space="preserve"> response pledge of loyalty directly copies the bardic ceremony</w:t>
      </w:r>
      <w:r>
        <w:t xml:space="preserve">: ‘A </w:t>
      </w:r>
      <w:proofErr w:type="spellStart"/>
      <w:r>
        <w:t>oes</w:t>
      </w:r>
      <w:proofErr w:type="spellEnd"/>
      <w:r>
        <w:t xml:space="preserve"> </w:t>
      </w:r>
      <w:proofErr w:type="spellStart"/>
      <w:r>
        <w:t>undod</w:t>
      </w:r>
      <w:proofErr w:type="spellEnd"/>
      <w:r>
        <w:t xml:space="preserve">? [Is there unity] / </w:t>
      </w:r>
      <w:proofErr w:type="spellStart"/>
      <w:r>
        <w:t>Undod</w:t>
      </w:r>
      <w:proofErr w:type="spellEnd"/>
      <w:r>
        <w:t xml:space="preserve">! [Unity!]’ draws directly from, ‘A </w:t>
      </w:r>
      <w:proofErr w:type="spellStart"/>
      <w:r>
        <w:t>oes</w:t>
      </w:r>
      <w:proofErr w:type="spellEnd"/>
      <w:r>
        <w:t xml:space="preserve"> </w:t>
      </w:r>
      <w:proofErr w:type="spellStart"/>
      <w:r>
        <w:t>heddwch</w:t>
      </w:r>
      <w:proofErr w:type="spellEnd"/>
      <w:r>
        <w:t xml:space="preserve"> [Is there peace?] / </w:t>
      </w:r>
      <w:proofErr w:type="spellStart"/>
      <w:r>
        <w:t>Heddwch</w:t>
      </w:r>
      <w:proofErr w:type="spellEnd"/>
      <w:r>
        <w:t xml:space="preserve">! [Peace!].’ </w:t>
      </w:r>
      <w:r>
        <w:rPr>
          <w:rStyle w:val="FootnoteReference"/>
        </w:rPr>
        <w:footnoteReference w:id="26"/>
      </w:r>
    </w:p>
    <w:p w14:paraId="4B29C6AD" w14:textId="7659D73F" w:rsidR="006B6B62" w:rsidRDefault="009A3415" w:rsidP="00BA545F">
      <w:pPr>
        <w:jc w:val="both"/>
      </w:pPr>
      <w:r>
        <w:t>------</w:t>
      </w:r>
    </w:p>
    <w:p w14:paraId="2CD95D40" w14:textId="2E7EA26C" w:rsidR="003C5C84" w:rsidRPr="006B6B62" w:rsidRDefault="003C5C84" w:rsidP="00BA545F">
      <w:pPr>
        <w:jc w:val="both"/>
        <w:rPr>
          <w:u w:val="single"/>
        </w:rPr>
      </w:pPr>
      <w:r w:rsidRPr="006B6B62">
        <w:rPr>
          <w:u w:val="single"/>
        </w:rPr>
        <w:t>The war away and at home</w:t>
      </w:r>
    </w:p>
    <w:p w14:paraId="088E9E65" w14:textId="1EF7E596" w:rsidR="006B6B62" w:rsidRDefault="006B6B62" w:rsidP="00BA545F">
      <w:pPr>
        <w:jc w:val="both"/>
      </w:pPr>
      <w:r>
        <w:t>The Glyndwr Rising came to cover the whole of Wales, and no town or village was unaffected. While the Glyndwr Parliament is quite an immediate and direct engagement with this, Morris also builds slowly up to this event, and this gives her the opportunity to do something much more subtle and interesting.</w:t>
      </w:r>
      <w:r w:rsidR="00BE01FE">
        <w:t xml:space="preserve"> Readers most likely </w:t>
      </w:r>
      <w:r w:rsidR="00327A76">
        <w:t xml:space="preserve">would </w:t>
      </w:r>
      <w:r w:rsidR="00BE01FE">
        <w:t>have</w:t>
      </w:r>
      <w:r w:rsidR="00327A76">
        <w:t xml:space="preserve"> </w:t>
      </w:r>
      <w:r w:rsidR="00BE01FE">
        <w:t xml:space="preserve">no direct experience of war, and Morris does not go into much detail about battles or strategy. But people have experience or a sense of war happening elsewhere, both through reportage (recall that Morris was a war reporter in the Middle East) or the social memorialisation of involvement in the world wars (the </w:t>
      </w:r>
      <w:r w:rsidR="00BE01FE">
        <w:rPr>
          <w:i/>
          <w:iCs/>
        </w:rPr>
        <w:t xml:space="preserve">Maen Llwyd </w:t>
      </w:r>
      <w:r w:rsidR="00BE01FE">
        <w:t xml:space="preserve">and a stone cross at the centre of the town both provide perhaps an almost imperceptible link to memorialisation). </w:t>
      </w:r>
    </w:p>
    <w:p w14:paraId="51827CB3" w14:textId="774E43D3" w:rsidR="005A3F25" w:rsidRDefault="00BE01FE" w:rsidP="00BA545F">
      <w:pPr>
        <w:jc w:val="both"/>
      </w:pPr>
      <w:r>
        <w:lastRenderedPageBreak/>
        <w:t xml:space="preserve">Morris starts by distancing the town from the Rising: </w:t>
      </w:r>
      <w:r w:rsidR="0068372B">
        <w:t>‘At first the insurrection happens far from Machynlleth</w:t>
      </w:r>
      <w:r>
        <w:t>.</w:t>
      </w:r>
      <w:r w:rsidR="0068372B">
        <w:t xml:space="preserve">’ </w:t>
      </w:r>
      <w:r w:rsidR="0068372B">
        <w:rPr>
          <w:rStyle w:val="FootnoteReference"/>
        </w:rPr>
        <w:footnoteReference w:id="27"/>
      </w:r>
      <w:r>
        <w:t xml:space="preserve"> Then she notes the slow but steady involvement: </w:t>
      </w:r>
      <w:r w:rsidR="0068372B">
        <w:t>‘A few wild boys slip out of town to join the rebels</w:t>
      </w:r>
      <w:r>
        <w:t>.</w:t>
      </w:r>
      <w:r w:rsidR="0068372B">
        <w:t xml:space="preserve">’ </w:t>
      </w:r>
      <w:r w:rsidR="0068372B">
        <w:rPr>
          <w:rStyle w:val="FootnoteReference"/>
        </w:rPr>
        <w:footnoteReference w:id="28"/>
      </w:r>
      <w:r w:rsidR="0068372B">
        <w:t xml:space="preserve"> </w:t>
      </w:r>
      <w:r>
        <w:t xml:space="preserve">There is talk in the pubs about far off battles and </w:t>
      </w:r>
      <w:r w:rsidR="002F6027">
        <w:t>fewer</w:t>
      </w:r>
      <w:r>
        <w:t xml:space="preserve"> traders come to the town. </w:t>
      </w:r>
      <w:r w:rsidR="0068372B">
        <w:t>Morris paint</w:t>
      </w:r>
      <w:r w:rsidR="00AA7717">
        <w:t>s</w:t>
      </w:r>
      <w:r w:rsidR="0068372B">
        <w:t xml:space="preserve"> a picture of what war means to small places, whether that is the new</w:t>
      </w:r>
      <w:r w:rsidR="00743E35">
        <w:t>s</w:t>
      </w:r>
      <w:r w:rsidR="0068372B">
        <w:t xml:space="preserve"> of events far away, young men trickling off to join the effort,</w:t>
      </w:r>
      <w:r>
        <w:t xml:space="preserve"> or eventually</w:t>
      </w:r>
      <w:r w:rsidR="0068372B">
        <w:t xml:space="preserve"> the army arriving and the massive – but temporary – impact </w:t>
      </w:r>
      <w:r w:rsidR="00A9368C">
        <w:t xml:space="preserve">that has. </w:t>
      </w:r>
      <w:r w:rsidR="00743E35">
        <w:t>It also builds expectation and tension,</w:t>
      </w:r>
      <w:r w:rsidR="00AA7717">
        <w:t xml:space="preserve"> </w:t>
      </w:r>
      <w:r w:rsidR="00743E35">
        <w:t>important for engaging the reader.</w:t>
      </w:r>
    </w:p>
    <w:p w14:paraId="72B4F752" w14:textId="31FC4D75" w:rsidR="004C2342" w:rsidRDefault="004F32B0" w:rsidP="004B1016">
      <w:pPr>
        <w:jc w:val="both"/>
      </w:pPr>
      <w:r>
        <w:t>Rather than fictionalising the experience of a Welsh solider</w:t>
      </w:r>
      <w:r w:rsidR="00452EA0">
        <w:t xml:space="preserve"> during these events,</w:t>
      </w:r>
      <w:r w:rsidR="00940E0D">
        <w:t xml:space="preserve"> </w:t>
      </w:r>
      <w:r>
        <w:t xml:space="preserve">or </w:t>
      </w:r>
      <w:r w:rsidR="00940E0D">
        <w:t xml:space="preserve">writing </w:t>
      </w:r>
      <w:r>
        <w:t xml:space="preserve">a biography of Glyndwr himself, </w:t>
      </w:r>
      <w:r w:rsidR="00424337">
        <w:t xml:space="preserve">Morris maintains Machynlleth as </w:t>
      </w:r>
      <w:r w:rsidR="00940E0D">
        <w:t>her focus</w:t>
      </w:r>
      <w:r w:rsidR="00424337">
        <w:t xml:space="preserve">, </w:t>
      </w:r>
      <w:r w:rsidR="001A733B">
        <w:t>describing</w:t>
      </w:r>
      <w:r w:rsidR="00424337">
        <w:t xml:space="preserve"> the at first fleeting,</w:t>
      </w:r>
      <w:r w:rsidR="00743E35">
        <w:t xml:space="preserve"> then</w:t>
      </w:r>
      <w:r w:rsidR="00424337">
        <w:t xml:space="preserve"> momentous encroachment of war and nation-building on </w:t>
      </w:r>
      <w:r w:rsidR="00370D2F">
        <w:t>it</w:t>
      </w:r>
      <w:r w:rsidR="00424337">
        <w:t>.</w:t>
      </w:r>
      <w:r w:rsidR="00743E35" w:rsidRPr="00743E35">
        <w:t xml:space="preserve"> </w:t>
      </w:r>
      <w:r w:rsidR="00743E35">
        <w:t xml:space="preserve">Again, she invokes sights, sounds, smells, the senses to make it all seem more real. We have images of their banners, ‘smells of sweat and smoke and leather’ and the sounds of weapons clanking and ‘catcalling the girls’ – again, quite a specific scene that makes it more real and believable. </w:t>
      </w:r>
      <w:r w:rsidR="00743E35">
        <w:rPr>
          <w:rStyle w:val="FootnoteReference"/>
        </w:rPr>
        <w:footnoteReference w:id="29"/>
      </w:r>
      <w:r w:rsidR="00743E35">
        <w:t xml:space="preserve"> This builds into a tumult: ‘The town is overwhelmed…what a frenzy we may imagine!’</w:t>
      </w:r>
      <w:r w:rsidR="0016664F">
        <w:t xml:space="preserve"> </w:t>
      </w:r>
      <w:r w:rsidR="00743E35">
        <w:rPr>
          <w:rStyle w:val="FootnoteReference"/>
        </w:rPr>
        <w:footnoteReference w:id="30"/>
      </w:r>
      <w:r w:rsidR="0016664F">
        <w:t xml:space="preserve"> This build-up of activity makes the text </w:t>
      </w:r>
      <w:r w:rsidR="0026596B">
        <w:t>exciting and</w:t>
      </w:r>
      <w:r w:rsidR="0016664F">
        <w:t xml:space="preserve"> reminds us that this is a piece of entertainment.</w:t>
      </w:r>
    </w:p>
    <w:p w14:paraId="5784AD4F" w14:textId="0C017F25" w:rsidR="003C5C84" w:rsidRDefault="003C5C84" w:rsidP="00BA545F">
      <w:pPr>
        <w:jc w:val="both"/>
      </w:pPr>
      <w:r>
        <w:t>-----------</w:t>
      </w:r>
    </w:p>
    <w:p w14:paraId="426BD231" w14:textId="5535869E" w:rsidR="004B1016" w:rsidRPr="00EA0C7D" w:rsidRDefault="004B1016" w:rsidP="004B1016">
      <w:pPr>
        <w:tabs>
          <w:tab w:val="center" w:pos="4513"/>
        </w:tabs>
        <w:jc w:val="both"/>
        <w:rPr>
          <w:u w:val="single"/>
        </w:rPr>
      </w:pPr>
      <w:r w:rsidRPr="00EA0C7D">
        <w:rPr>
          <w:u w:val="single"/>
        </w:rPr>
        <w:t>Glyndwr</w:t>
      </w:r>
    </w:p>
    <w:p w14:paraId="3D6B78B8" w14:textId="08A400D2" w:rsidR="004B1016" w:rsidRPr="00D16D9C" w:rsidRDefault="00EF5F6E" w:rsidP="004B1016">
      <w:pPr>
        <w:jc w:val="both"/>
      </w:pPr>
      <w:r>
        <w:t>We</w:t>
      </w:r>
      <w:r w:rsidR="004B1016">
        <w:t xml:space="preserve"> cannot but give attention to the central figure of Owain Glyndwr. It is worth noting that Morris uses neither direct dialogue (though she reports some recited poems and public proclamations) nor substantive characterisation as tools in this work. </w:t>
      </w:r>
      <w:r w:rsidR="00130DB7">
        <w:t>This</w:t>
      </w:r>
      <w:r w:rsidR="004B1016">
        <w:t xml:space="preserve"> is </w:t>
      </w:r>
      <w:r w:rsidR="00130DB7">
        <w:t>a</w:t>
      </w:r>
      <w:r w:rsidR="004B1016">
        <w:t xml:space="preserve"> departure from historical fiction as a genre, which leans heavily into the words, actions and motivations of the people at the heart of the stories being told. </w:t>
      </w:r>
    </w:p>
    <w:p w14:paraId="5F02F94B" w14:textId="797916FC" w:rsidR="004B1016" w:rsidRDefault="004B1016" w:rsidP="004B1016">
      <w:pPr>
        <w:jc w:val="both"/>
      </w:pPr>
      <w:r>
        <w:t>This lack of dialogue and characterisation – we get almost no sense of internal lives and motivations – makes Glyndwr something of an enigma, a mysterious force moving through the events of the work rather than a character we are meant to feel something for.</w:t>
      </w:r>
      <w:r w:rsidR="00095BAB">
        <w:t xml:space="preserve"> This also lends itself to a popular image of Glyndwr as a supernatural figure, which shall be discussed more presently.</w:t>
      </w:r>
      <w:r>
        <w:t xml:space="preserve"> This distance arguably puts us amongst the townsfolk gathered to see him – we crowd the streets with them hoping for a glance as he moves from building to building. Morris’ narrator becomes both silent observer and commoner on the street. Again, this arguably taps far more into the readers’ experiences of royalty: fleeting glimpses of visits through pressing crowds. </w:t>
      </w:r>
    </w:p>
    <w:p w14:paraId="102292E8" w14:textId="77777777" w:rsidR="004B1016" w:rsidRDefault="004B1016" w:rsidP="004B1016">
      <w:pPr>
        <w:jc w:val="both"/>
      </w:pPr>
      <w:r>
        <w:t>If Glyndwr is not described by his behaviours, words or traits and motivations, then he is arguably given an air in Morris’ description of his</w:t>
      </w:r>
      <w:r w:rsidRPr="00964CB6">
        <w:t xml:space="preserve"> arrival</w:t>
      </w:r>
      <w:r>
        <w:t xml:space="preserve"> and movements. He is</w:t>
      </w:r>
      <w:r w:rsidRPr="00964CB6">
        <w:t xml:space="preserve"> stern, aloof, his comings and goings lack grace and flair.</w:t>
      </w:r>
      <w:r>
        <w:t xml:space="preserve"> His ‘princely flotilla’ is comprised of ‘two small and battered ships’</w:t>
      </w:r>
      <w:r>
        <w:rPr>
          <w:rStyle w:val="FootnoteReference"/>
        </w:rPr>
        <w:footnoteReference w:id="31"/>
      </w:r>
      <w:r w:rsidRPr="005E688B">
        <w:t xml:space="preserve"> </w:t>
      </w:r>
      <w:r>
        <w:t>and he is described as ‘</w:t>
      </w:r>
      <w:r w:rsidRPr="00964CB6">
        <w:t>more guerrilla general than a Prince</w:t>
      </w:r>
      <w:r>
        <w:t xml:space="preserve">’ </w:t>
      </w:r>
      <w:r>
        <w:rPr>
          <w:rStyle w:val="FootnoteReference"/>
        </w:rPr>
        <w:footnoteReference w:id="32"/>
      </w:r>
      <w:r>
        <w:t xml:space="preserve"> His impact on the town is jarring: ‘</w:t>
      </w:r>
      <w:r w:rsidRPr="00964CB6">
        <w:t>If he enters a house he and his men burst through its doors as though in street fighting</w:t>
      </w:r>
      <w:r>
        <w:t xml:space="preserve">’ </w:t>
      </w:r>
      <w:r>
        <w:rPr>
          <w:rStyle w:val="FootnoteReference"/>
        </w:rPr>
        <w:footnoteReference w:id="33"/>
      </w:r>
    </w:p>
    <w:p w14:paraId="196A8DE6" w14:textId="3751CB64" w:rsidR="004B1016" w:rsidRDefault="004B1016" w:rsidP="004B1016">
      <w:pPr>
        <w:jc w:val="both"/>
      </w:pPr>
      <w:r w:rsidRPr="00964CB6">
        <w:t>This lack of kingly decorum and civility, while arguably more believable for a guerrilla force that cannot stay in one place for long</w:t>
      </w:r>
      <w:r>
        <w:t xml:space="preserve">, </w:t>
      </w:r>
      <w:r w:rsidRPr="00964CB6">
        <w:t xml:space="preserve">has </w:t>
      </w:r>
      <w:r>
        <w:t xml:space="preserve">perhaps </w:t>
      </w:r>
      <w:r w:rsidRPr="00964CB6">
        <w:t>another effect. It subverts the reader's expectations, perhaps more conditioned to expect choreographed pageantry, more grandeur</w:t>
      </w:r>
      <w:r>
        <w:t>, or</w:t>
      </w:r>
      <w:r w:rsidRPr="00964CB6">
        <w:t xml:space="preserve"> </w:t>
      </w:r>
      <w:r w:rsidRPr="00964CB6">
        <w:lastRenderedPageBreak/>
        <w:t>for the saviour of Wales to be a figure of assured restraint</w:t>
      </w:r>
      <w:r>
        <w:t>,</w:t>
      </w:r>
      <w:r w:rsidRPr="00964CB6">
        <w:t xml:space="preserve"> calm and dignity. </w:t>
      </w:r>
      <w:r w:rsidRPr="00F12FC5">
        <w:t>Morris</w:t>
      </w:r>
      <w:r>
        <w:t>’</w:t>
      </w:r>
      <w:r w:rsidRPr="00F12FC5">
        <w:t xml:space="preserve"> account of him is brutal and unromantic, noting the sacking of communities and religious sites by the Welsh as well as the English. Some of the damage he has inflicted on his own land is close to </w:t>
      </w:r>
      <w:r>
        <w:t>irr</w:t>
      </w:r>
      <w:r w:rsidRPr="00F12FC5">
        <w:t>eparable</w:t>
      </w:r>
      <w:r>
        <w:t>.</w:t>
      </w:r>
      <w:r>
        <w:rPr>
          <w:rStyle w:val="FootnoteReference"/>
        </w:rPr>
        <w:footnoteReference w:id="34"/>
      </w:r>
      <w:r>
        <w:t xml:space="preserve"> </w:t>
      </w:r>
      <w:r w:rsidRPr="00964CB6">
        <w:t xml:space="preserve">If this experience jars, then it potentially allows for Morris to </w:t>
      </w:r>
      <w:r>
        <w:t>undercut</w:t>
      </w:r>
      <w:r w:rsidRPr="00964CB6">
        <w:t xml:space="preserve"> the foundations and assumptions the reader is basing their imagined history on and allows them to accept hers. </w:t>
      </w:r>
      <w:r>
        <w:t>The reader become</w:t>
      </w:r>
      <w:r w:rsidR="00901EEE">
        <w:t>s</w:t>
      </w:r>
      <w:r>
        <w:t xml:space="preserve"> more reliant on her and her vision of Glyndwr and his parliament.</w:t>
      </w:r>
    </w:p>
    <w:p w14:paraId="27D26C33" w14:textId="17348F59" w:rsidR="004B1016" w:rsidRDefault="004B1016" w:rsidP="004B1016">
      <w:pPr>
        <w:jc w:val="both"/>
      </w:pPr>
      <w:r>
        <w:t>Nonetheless</w:t>
      </w:r>
      <w:r w:rsidRPr="00964CB6">
        <w:t xml:space="preserve"> M</w:t>
      </w:r>
      <w:r>
        <w:t>orris</w:t>
      </w:r>
      <w:r w:rsidRPr="00964CB6">
        <w:t xml:space="preserve"> provides some reassurance</w:t>
      </w:r>
      <w:r>
        <w:t xml:space="preserve"> to those hoping for a heroic vision</w:t>
      </w:r>
      <w:r w:rsidRPr="00964CB6">
        <w:t>, invoking I</w:t>
      </w:r>
      <w:r>
        <w:t>olo</w:t>
      </w:r>
      <w:r w:rsidRPr="00964CB6">
        <w:t xml:space="preserve"> </w:t>
      </w:r>
      <w:r>
        <w:t>Goch</w:t>
      </w:r>
      <w:r w:rsidRPr="00964CB6">
        <w:t>'s</w:t>
      </w:r>
      <w:r w:rsidRPr="00746CDC">
        <w:t xml:space="preserve"> courtly praise of </w:t>
      </w:r>
      <w:r>
        <w:t>Glyndw</w:t>
      </w:r>
      <w:r w:rsidRPr="00746CDC">
        <w:t>r's princely equalities, his generosity.</w:t>
      </w:r>
      <w:r>
        <w:t xml:space="preserve"> This </w:t>
      </w:r>
      <w:r w:rsidRPr="00746CDC">
        <w:t>combin</w:t>
      </w:r>
      <w:r>
        <w:t>ation of</w:t>
      </w:r>
      <w:r w:rsidRPr="00746CDC">
        <w:t xml:space="preserve"> </w:t>
      </w:r>
      <w:r>
        <w:t>M</w:t>
      </w:r>
      <w:r w:rsidRPr="00746CDC">
        <w:t>orris</w:t>
      </w:r>
      <w:r>
        <w:t>’</w:t>
      </w:r>
      <w:r w:rsidRPr="00746CDC">
        <w:t xml:space="preserve"> imagined</w:t>
      </w:r>
      <w:r>
        <w:t xml:space="preserve"> ruffian </w:t>
      </w:r>
      <w:r w:rsidRPr="00746CDC">
        <w:t>Prince with</w:t>
      </w:r>
      <w:r>
        <w:t xml:space="preserve"> her use of</w:t>
      </w:r>
      <w:r w:rsidRPr="00746CDC">
        <w:t xml:space="preserve"> G</w:t>
      </w:r>
      <w:r>
        <w:t>och’s</w:t>
      </w:r>
      <w:r w:rsidRPr="00746CDC">
        <w:t xml:space="preserve"> undoubtedly embellished but</w:t>
      </w:r>
      <w:r>
        <w:t xml:space="preserve"> nonetheless</w:t>
      </w:r>
      <w:r w:rsidRPr="00746CDC">
        <w:t xml:space="preserve"> contemporary </w:t>
      </w:r>
      <w:r>
        <w:t>praise (we shall explore how sources like Iolo are used in the text presently)</w:t>
      </w:r>
      <w:r w:rsidRPr="00746CDC">
        <w:t xml:space="preserve"> </w:t>
      </w:r>
      <w:r>
        <w:t xml:space="preserve">creates as close to a character as we get in the text. The contrasting descriptions of poet and narrator offer an interesting insight into the challenges of narrative history and historical writing more broadly: the depictions of historical figures in the primary sources we have – while not necessarily to be accepted as accurate– </w:t>
      </w:r>
      <w:r w:rsidR="00B923BE">
        <w:t>must</w:t>
      </w:r>
      <w:r>
        <w:t xml:space="preserve"> be balanced with more believable speculative descriptions that are works of the writer’s imagination. </w:t>
      </w:r>
      <w:r w:rsidR="00106EF8">
        <w:t>T</w:t>
      </w:r>
      <w:r>
        <w:t xml:space="preserve">hese invented characterisations and descriptions </w:t>
      </w:r>
      <w:r w:rsidR="00106EF8">
        <w:t xml:space="preserve">still </w:t>
      </w:r>
      <w:r>
        <w:t>make the work feel more truthful for the reader, even when they are not factual.</w:t>
      </w:r>
    </w:p>
    <w:p w14:paraId="3230BAC8" w14:textId="5651F46A" w:rsidR="00B5540F" w:rsidRDefault="00B5540F" w:rsidP="004B1016">
      <w:pPr>
        <w:jc w:val="both"/>
      </w:pPr>
      <w:r w:rsidRPr="002967A3">
        <w:t xml:space="preserve">The rhyme he is ‘said to have extemporised over dinner’ </w:t>
      </w:r>
      <w:r w:rsidR="00F408BD" w:rsidRPr="002967A3">
        <w:t xml:space="preserve">seems to be wholly </w:t>
      </w:r>
      <w:r w:rsidR="00021769">
        <w:t>Morris’ invention</w:t>
      </w:r>
      <w:r w:rsidR="00F408BD" w:rsidRPr="002967A3">
        <w:t>.</w:t>
      </w:r>
      <w:r w:rsidRPr="002967A3">
        <w:t xml:space="preserve"> </w:t>
      </w:r>
      <w:r w:rsidRPr="002967A3">
        <w:rPr>
          <w:rStyle w:val="FootnoteReference"/>
        </w:rPr>
        <w:footnoteReference w:id="35"/>
      </w:r>
      <w:r w:rsidRPr="002967A3">
        <w:t xml:space="preserve"> </w:t>
      </w:r>
      <w:r w:rsidR="00F408BD" w:rsidRPr="002967A3">
        <w:t>Again, the</w:t>
      </w:r>
      <w:r w:rsidRPr="002967A3">
        <w:t xml:space="preserve"> inclusion</w:t>
      </w:r>
      <w:r w:rsidR="00F408BD" w:rsidRPr="002967A3">
        <w:t xml:space="preserve"> of this</w:t>
      </w:r>
      <w:r w:rsidRPr="002967A3">
        <w:t xml:space="preserve"> in the text along with extracts of real medieval poems add</w:t>
      </w:r>
      <w:r w:rsidR="00F408BD" w:rsidRPr="002967A3">
        <w:t>s</w:t>
      </w:r>
      <w:r w:rsidRPr="002967A3">
        <w:t xml:space="preserve"> credibility, mak</w:t>
      </w:r>
      <w:r w:rsidR="00F408BD" w:rsidRPr="002967A3">
        <w:t>ing it</w:t>
      </w:r>
      <w:r w:rsidRPr="002967A3">
        <w:t xml:space="preserve"> </w:t>
      </w:r>
      <w:r w:rsidR="00F408BD" w:rsidRPr="002967A3">
        <w:t>feel</w:t>
      </w:r>
      <w:r w:rsidRPr="002967A3">
        <w:t xml:space="preserve"> more authentic. It also adds </w:t>
      </w:r>
      <w:r w:rsidR="002967A3" w:rsidRPr="002967A3">
        <w:t>a rare bit of</w:t>
      </w:r>
      <w:r w:rsidRPr="002967A3">
        <w:t xml:space="preserve">f characterisation to Glyndwr - composing his own verse to meet the occasion demonstrates his learning and culture. </w:t>
      </w:r>
    </w:p>
    <w:p w14:paraId="010939B6" w14:textId="247D76AD" w:rsidR="00726DAF" w:rsidRDefault="004B1016" w:rsidP="00BA545F">
      <w:pPr>
        <w:jc w:val="both"/>
      </w:pPr>
      <w:r w:rsidRPr="00F12FC5">
        <w:t>Morris</w:t>
      </w:r>
      <w:r>
        <w:t xml:space="preserve"> makes an interesting</w:t>
      </w:r>
      <w:r w:rsidRPr="00F12FC5">
        <w:t xml:space="preserve"> comparison </w:t>
      </w:r>
      <w:r>
        <w:t>between Glyndwr</w:t>
      </w:r>
      <w:r w:rsidRPr="00F12FC5">
        <w:t xml:space="preserve"> with Roger </w:t>
      </w:r>
      <w:r>
        <w:t>C</w:t>
      </w:r>
      <w:r w:rsidRPr="00F12FC5">
        <w:t>asemate</w:t>
      </w:r>
      <w:r>
        <w:t>, a figure from the history and mythology of Irish nationalism and independence.</w:t>
      </w:r>
      <w:r w:rsidRPr="00F12FC5">
        <w:t xml:space="preserve"> Arguably, this thread </w:t>
      </w:r>
      <w:r>
        <w:t>connecting</w:t>
      </w:r>
      <w:r w:rsidRPr="00F12FC5">
        <w:t xml:space="preserve"> </w:t>
      </w:r>
      <w:r>
        <w:t>Glyndwr</w:t>
      </w:r>
      <w:r w:rsidRPr="00F12FC5">
        <w:t xml:space="preserve"> and the Easter rising</w:t>
      </w:r>
      <w:r>
        <w:t xml:space="preserve"> is an indulgence that</w:t>
      </w:r>
      <w:r w:rsidRPr="00F12FC5">
        <w:t xml:space="preserve"> breaks the spell of immersion</w:t>
      </w:r>
      <w:r>
        <w:t xml:space="preserve"> for the reader</w:t>
      </w:r>
      <w:r w:rsidRPr="00F12FC5">
        <w:t xml:space="preserve">, and yet it once again grounds medieval history in modern </w:t>
      </w:r>
      <w:r>
        <w:t xml:space="preserve">parallels for which we have more knowledge and sources. </w:t>
      </w:r>
      <w:r w:rsidRPr="002C1CAB">
        <w:t>Case</w:t>
      </w:r>
      <w:r>
        <w:t xml:space="preserve">mate </w:t>
      </w:r>
      <w:r w:rsidRPr="002C1CAB">
        <w:t xml:space="preserve">was a respected diplomat, </w:t>
      </w:r>
      <w:r>
        <w:t>Glyndwr</w:t>
      </w:r>
      <w:r w:rsidRPr="002C1CAB">
        <w:t xml:space="preserve"> a lawyer. Both were active in their respective British state establishments</w:t>
      </w:r>
      <w:r>
        <w:t>,</w:t>
      </w:r>
      <w:r w:rsidRPr="002C1CAB">
        <w:t xml:space="preserve"> and both </w:t>
      </w:r>
      <w:r>
        <w:t>led</w:t>
      </w:r>
      <w:r w:rsidRPr="002C1CAB">
        <w:t xml:space="preserve"> risings against the crown. Morris </w:t>
      </w:r>
      <w:r>
        <w:t>here</w:t>
      </w:r>
      <w:r w:rsidRPr="002C1CAB">
        <w:t xml:space="preserve"> arguably draws on or, depending on a reader's potential political outlook vis</w:t>
      </w:r>
      <w:r>
        <w:t>-a-vis</w:t>
      </w:r>
      <w:r w:rsidRPr="002C1CAB">
        <w:t xml:space="preserve"> Welsh self-rule, seeks to persuade of a sense of solidarity and fraternity between Welsh and Irish nationalism</w:t>
      </w:r>
      <w:r>
        <w:t xml:space="preserve">. </w:t>
      </w:r>
      <w:r>
        <w:rPr>
          <w:rStyle w:val="FootnoteReference"/>
        </w:rPr>
        <w:footnoteReference w:id="36"/>
      </w:r>
      <w:r>
        <w:t xml:space="preserve"> The primary effect, however, is to ground the figure of Glyndwr in more modern examples to make him feel more believable and his context more relatable.</w:t>
      </w:r>
    </w:p>
    <w:p w14:paraId="4C1C2114" w14:textId="5716AD3E" w:rsidR="00075C41" w:rsidRDefault="004B1016" w:rsidP="0005732F">
      <w:pPr>
        <w:jc w:val="both"/>
      </w:pPr>
      <w:r>
        <w:t>-----------</w:t>
      </w:r>
    </w:p>
    <w:p w14:paraId="7C3E9180" w14:textId="00EAAA79" w:rsidR="00772941" w:rsidRDefault="00772941" w:rsidP="00772941">
      <w:pPr>
        <w:jc w:val="both"/>
      </w:pPr>
      <w:r w:rsidRPr="00D207AE">
        <w:rPr>
          <w:b/>
          <w:bCs/>
        </w:rPr>
        <w:t>Sources</w:t>
      </w:r>
      <w:r w:rsidR="001E0561">
        <w:rPr>
          <w:b/>
          <w:bCs/>
        </w:rPr>
        <w:t xml:space="preserve"> </w:t>
      </w:r>
      <w:r w:rsidR="00D207AE">
        <w:rPr>
          <w:rStyle w:val="FootnoteReference"/>
          <w:b/>
          <w:bCs/>
        </w:rPr>
        <w:footnoteReference w:id="37"/>
      </w:r>
      <w:r w:rsidRPr="00D207AE">
        <w:rPr>
          <w:b/>
          <w:bCs/>
        </w:rPr>
        <w:t xml:space="preserve"> </w:t>
      </w:r>
    </w:p>
    <w:p w14:paraId="0760E6B8" w14:textId="2A8F134A" w:rsidR="00772941" w:rsidRDefault="00772941" w:rsidP="00772941">
      <w:pPr>
        <w:jc w:val="both"/>
      </w:pPr>
      <w:r>
        <w:t>Morris was under no obligation to refer to or lay out any primary or secondary sources she may have used to inform her writing. Nonetheless, it has become more common to see writers of historical fiction provide reading or source lists for the research they have undertaken.</w:t>
      </w:r>
      <w:r w:rsidR="00B91644">
        <w:rPr>
          <w:rStyle w:val="FootnoteReference"/>
        </w:rPr>
        <w:footnoteReference w:id="38"/>
      </w:r>
      <w:r>
        <w:t xml:space="preserve"> This arguably has two effects. First, it provides the reader with a rich resource for delving into the events, people and places featured in a creative work. Second, it enhances the sense of trust the reader gives to the writer, however creatively or imaginatively these sources may have been used. It is possible to </w:t>
      </w:r>
      <w:r w:rsidR="004B1E6C">
        <w:t>suggest</w:t>
      </w:r>
      <w:r>
        <w:t xml:space="preserve"> several sources at work in Morris’ writing, but she does not </w:t>
      </w:r>
      <w:r w:rsidR="00102E81">
        <w:t>provide any</w:t>
      </w:r>
      <w:r>
        <w:t xml:space="preserve"> </w:t>
      </w:r>
      <w:r>
        <w:lastRenderedPageBreak/>
        <w:t xml:space="preserve">commentary or bibliography. However, several sources are referred to in the text itself, and this </w:t>
      </w:r>
      <w:r w:rsidR="00960AEA">
        <w:t>perhaps</w:t>
      </w:r>
      <w:r>
        <w:t xml:space="preserve"> </w:t>
      </w:r>
      <w:r w:rsidR="004C2B42">
        <w:t>has a similar</w:t>
      </w:r>
      <w:r>
        <w:t xml:space="preserve"> effect. If anything, the references to documents</w:t>
      </w:r>
      <w:r w:rsidR="007D3B40">
        <w:t xml:space="preserve">, </w:t>
      </w:r>
      <w:r>
        <w:t>poems and traditions brings them more immediately closer to the reader; Morris is less of a translator or intercessor between history and these sources; she puts them right under the reader’s nose. All the while, we must remember that Morris makes no claims that require supporting documentation or scholarship</w:t>
      </w:r>
      <w:r w:rsidR="007D3B40">
        <w:t>, and f</w:t>
      </w:r>
      <w:r>
        <w:t xml:space="preserve">ootnotes and superscript references might also disrupt the immersive experience </w:t>
      </w:r>
      <w:r w:rsidR="0041051E">
        <w:t>for</w:t>
      </w:r>
      <w:r>
        <w:t xml:space="preserve"> the reader.</w:t>
      </w:r>
    </w:p>
    <w:p w14:paraId="2B7FE734" w14:textId="2E3F7947" w:rsidR="00772941" w:rsidRDefault="00772941" w:rsidP="00772941">
      <w:pPr>
        <w:jc w:val="both"/>
      </w:pPr>
      <w:r>
        <w:t xml:space="preserve">In any case, Halttunen argues that there are ‘qualitative and quantitative limitations of historical documents’ in providing an insight into history, and that they still require creativity and experimentation to bring them alive for the lay reader. </w:t>
      </w:r>
      <w:r>
        <w:rPr>
          <w:rStyle w:val="FootnoteReference"/>
        </w:rPr>
        <w:footnoteReference w:id="39"/>
      </w:r>
      <w:r>
        <w:t xml:space="preserve"> This is undoubtedly what Morris does; to take the first source identified here as an example, the charter establishing a market at Machynlleth in the 13</w:t>
      </w:r>
      <w:r w:rsidRPr="00A72FFB">
        <w:rPr>
          <w:vertAlign w:val="superscript"/>
        </w:rPr>
        <w:t>th</w:t>
      </w:r>
      <w:r>
        <w:t xml:space="preserve"> century. </w:t>
      </w:r>
    </w:p>
    <w:p w14:paraId="64D57EDE" w14:textId="208D8D44" w:rsidR="00772941" w:rsidRDefault="00772941" w:rsidP="00772941">
      <w:pPr>
        <w:jc w:val="both"/>
      </w:pPr>
      <w:r w:rsidRPr="00C31512">
        <w:rPr>
          <w:b/>
          <w:bCs/>
        </w:rPr>
        <w:t>NLW MS 2132B (1868-1899);</w:t>
      </w:r>
      <w:r>
        <w:t xml:space="preserve"> Transcripts by Charles Ashton of various documents</w:t>
      </w:r>
      <w:r w:rsidR="00CA1FBC">
        <w:t>,</w:t>
      </w:r>
      <w:r>
        <w:t xml:space="preserve"> including a 1291 charter by Edward I granting Owen de la Pole a weekly market in Machynlleth; National Library of Wales.</w:t>
      </w:r>
      <w:r>
        <w:rPr>
          <w:rStyle w:val="FootnoteReference"/>
        </w:rPr>
        <w:footnoteReference w:id="40"/>
      </w:r>
    </w:p>
    <w:p w14:paraId="6D7107B4" w14:textId="6632BD29" w:rsidR="00772941" w:rsidRDefault="00772941" w:rsidP="00772941">
      <w:pPr>
        <w:jc w:val="both"/>
      </w:pPr>
      <w:r>
        <w:t xml:space="preserve">This is the likely source Morris would have had access to, rather than the original medieval document (although this may be extant: searches for “Owen de la Pole, Market, Machynlleth” within the National [UK] Archives return results for Royal Rolls from the 1290s, but further information, including whether these are digitised, </w:t>
      </w:r>
      <w:r w:rsidR="00CA1FBC">
        <w:t>is</w:t>
      </w:r>
      <w:r>
        <w:t xml:space="preserve"> behind a paywall. </w:t>
      </w:r>
    </w:p>
    <w:p w14:paraId="2441644D" w14:textId="205BFE5E" w:rsidR="00772941" w:rsidRDefault="00772941" w:rsidP="00772941">
      <w:pPr>
        <w:jc w:val="both"/>
      </w:pPr>
      <w:r>
        <w:t>The document itself would have been light on detail and rather dull in the reading; Morris weaves it into a narrative of the age and permanence of the town and uses it to bestow a certain sense of pedigree on it. This is even with the admission, right there in the narrative itself, that despite the neolithic and Roman ruins (implying previous and continuous settlement), the town has its real foundation in the 13</w:t>
      </w:r>
      <w:r w:rsidRPr="00B52B86">
        <w:rPr>
          <w:vertAlign w:val="superscript"/>
        </w:rPr>
        <w:t>th</w:t>
      </w:r>
      <w:r>
        <w:t xml:space="preserve"> century, with this charter. </w:t>
      </w:r>
      <w:r>
        <w:rPr>
          <w:rStyle w:val="FootnoteReference"/>
        </w:rPr>
        <w:footnoteReference w:id="41"/>
      </w:r>
    </w:p>
    <w:p w14:paraId="7BB1A4A0" w14:textId="23E366B9" w:rsidR="00772941" w:rsidRDefault="00772941" w:rsidP="00772941">
      <w:pPr>
        <w:jc w:val="both"/>
      </w:pPr>
      <w:r>
        <w:t xml:space="preserve">Since this is the first historical record for the town, it is therefore noteworthy that Morris </w:t>
      </w:r>
      <w:r w:rsidR="00D56DB7">
        <w:t>claims</w:t>
      </w:r>
      <w:r>
        <w:t xml:space="preserve"> Glyndwr’s parliament – something we have no contemporary sources for – </w:t>
      </w:r>
      <w:r w:rsidR="00D56DB7">
        <w:t>as</w:t>
      </w:r>
      <w:r>
        <w:t xml:space="preserve"> Machynlleth’s ‘first claim to the attention of history.’ </w:t>
      </w:r>
      <w:r>
        <w:rPr>
          <w:rStyle w:val="FootnoteReference"/>
        </w:rPr>
        <w:footnoteReference w:id="42"/>
      </w:r>
      <w:r>
        <w:t xml:space="preserve">  Here is perhaps a small insight into the contested definition of ‘history’ itself. The parliament is undoubtedly the most significant event in Machynlleth’s history, but the </w:t>
      </w:r>
      <w:r>
        <w:rPr>
          <w:i/>
          <w:iCs/>
        </w:rPr>
        <w:t xml:space="preserve">attention of history </w:t>
      </w:r>
      <w:r>
        <w:t xml:space="preserve">is a subjective value judgement, based on its significance. Yet history is also the study and interpretation of evidence, and the charter is arguably therefore equally significant, if not more so, for being </w:t>
      </w:r>
      <w:r w:rsidR="001B1F4B">
        <w:t>the earliest</w:t>
      </w:r>
      <w:r>
        <w:t xml:space="preserve"> source historians can actually turn their attention </w:t>
      </w:r>
      <w:r w:rsidRPr="000C2A8B">
        <w:rPr>
          <w:i/>
          <w:iCs/>
        </w:rPr>
        <w:t>to</w:t>
      </w:r>
      <w:r>
        <w:t>.</w:t>
      </w:r>
    </w:p>
    <w:p w14:paraId="7443EC0D" w14:textId="77777777" w:rsidR="006913C7" w:rsidRDefault="006913C7" w:rsidP="00772941">
      <w:pPr>
        <w:jc w:val="both"/>
      </w:pPr>
    </w:p>
    <w:p w14:paraId="69059957" w14:textId="6A2FDD96" w:rsidR="00772941" w:rsidRDefault="00772941" w:rsidP="00772941">
      <w:pPr>
        <w:jc w:val="both"/>
      </w:pPr>
      <w:r w:rsidRPr="006E3133">
        <w:rPr>
          <w:b/>
          <w:bCs/>
        </w:rPr>
        <w:t>Jesus College MS. 111</w:t>
      </w:r>
      <w:r>
        <w:rPr>
          <w:b/>
          <w:bCs/>
        </w:rPr>
        <w:t xml:space="preserve"> </w:t>
      </w:r>
      <w:r>
        <w:t xml:space="preserve">(‘Red Book of Hergest’, </w:t>
      </w:r>
      <w:r w:rsidRPr="00904CC2">
        <w:t>1382–1425</w:t>
      </w:r>
      <w:r>
        <w:t>); poems of 15</w:t>
      </w:r>
      <w:r w:rsidRPr="00CC78EF">
        <w:rPr>
          <w:vertAlign w:val="superscript"/>
        </w:rPr>
        <w:t>th</w:t>
      </w:r>
      <w:r>
        <w:t xml:space="preserve"> century poet Iolo Goch.</w:t>
      </w:r>
      <w:r>
        <w:rPr>
          <w:rStyle w:val="FootnoteReference"/>
        </w:rPr>
        <w:footnoteReference w:id="43"/>
      </w:r>
      <w:r>
        <w:t xml:space="preserve"> Translations and edited versions of Iolo’s work have been published, and Morris would have had access to these. The most accessible and available edition is Dafydd Johnson’s University of Wales Press version. </w:t>
      </w:r>
    </w:p>
    <w:p w14:paraId="16D88B54" w14:textId="7ABC5A67" w:rsidR="00772941" w:rsidRDefault="00772941" w:rsidP="00772941">
      <w:pPr>
        <w:jc w:val="both"/>
      </w:pPr>
      <w:r>
        <w:lastRenderedPageBreak/>
        <w:t>Iolo is a key source for Glyndwr, since three of his poems concern him, and were likely composed for him while Iolo was visiting his manor at Sycharth before the Rising. Johnson suggests that Glyndwr was probably not his principal patron, and that he called there on his way back to the court of a more prominent patron.</w:t>
      </w:r>
      <w:r>
        <w:rPr>
          <w:rStyle w:val="FootnoteReference"/>
        </w:rPr>
        <w:footnoteReference w:id="44"/>
      </w:r>
      <w:r>
        <w:t xml:space="preserve"> Since he is the main poetic source for Glyndwr, it makes sense for Morris to choose him as the de facto court bard to Glyndwr’s parliament, but in reality Glyndwr probably patronised another poet at hi</w:t>
      </w:r>
      <w:r w:rsidR="003A5240">
        <w:t>s</w:t>
      </w:r>
      <w:r>
        <w:t xml:space="preserve"> home and we have simply lost these works, if they were ever written. In any case, Johnson suggests Iolo might have already been dead when the rising started.</w:t>
      </w:r>
      <w:r>
        <w:rPr>
          <w:rStyle w:val="FootnoteReference"/>
        </w:rPr>
        <w:footnoteReference w:id="45"/>
      </w:r>
      <w:r>
        <w:t xml:space="preserve"> Even so</w:t>
      </w:r>
      <w:r w:rsidR="0075074E">
        <w:t xml:space="preserve"> it is noteworthy</w:t>
      </w:r>
      <w:r>
        <w:t xml:space="preserve"> that three poems to Glyndwr, one describing Sycharth in palatial detail, another extolling his battle prowess in service of England in its Scottish wars, and a third laying out his descent from multiple Welsh royal lines (therefore making his claim to be heir to all Wales) found their way into a manuscript that was perhaps written during the Rising, or at least very soon after. It is therefore </w:t>
      </w:r>
      <w:r w:rsidR="008C3D91">
        <w:t>reasonable</w:t>
      </w:r>
      <w:r>
        <w:t xml:space="preserve"> for Morris to </w:t>
      </w:r>
      <w:r w:rsidR="008C3D91">
        <w:t>utilise</w:t>
      </w:r>
      <w:r>
        <w:t xml:space="preserve"> Iolo,</w:t>
      </w:r>
      <w:r w:rsidRPr="005D3967">
        <w:t xml:space="preserve"> </w:t>
      </w:r>
      <w:r>
        <w:t xml:space="preserve">though she does not actually use his </w:t>
      </w:r>
      <w:r w:rsidR="00C8272F">
        <w:t>extant poetry</w:t>
      </w:r>
      <w:r>
        <w:t>, instead putting her own words for the occasion in</w:t>
      </w:r>
      <w:r w:rsidR="008676AC">
        <w:t>to</w:t>
      </w:r>
      <w:r>
        <w:t xml:space="preserve"> his mouth.</w:t>
      </w:r>
      <w:r>
        <w:rPr>
          <w:rStyle w:val="FootnoteReference"/>
        </w:rPr>
        <w:footnoteReference w:id="46"/>
      </w:r>
    </w:p>
    <w:p w14:paraId="0C65DE80" w14:textId="557B99C3" w:rsidR="00772941" w:rsidRDefault="00FF6306" w:rsidP="00772941">
      <w:pPr>
        <w:jc w:val="both"/>
      </w:pPr>
      <w:r>
        <w:t>Iolo’s poetry provides a</w:t>
      </w:r>
      <w:r w:rsidR="00772941">
        <w:t>n interesting insight into the popular idea about Glyndwr being a mysterious and magical figure</w:t>
      </w:r>
      <w:r w:rsidR="00F8562C">
        <w:t xml:space="preserve">. </w:t>
      </w:r>
      <w:r w:rsidR="00772941">
        <w:t>Perhaps popularised by Shakespear</w:t>
      </w:r>
      <w:r w:rsidR="003D765E">
        <w:t>e</w:t>
      </w:r>
      <w:r w:rsidR="00772941">
        <w:t xml:space="preserve"> (</w:t>
      </w:r>
      <w:r w:rsidR="00772941">
        <w:rPr>
          <w:i/>
          <w:iCs/>
        </w:rPr>
        <w:t xml:space="preserve">Glendower </w:t>
      </w:r>
      <w:r w:rsidR="00772941">
        <w:t>in Henry IV, Part 1 claims ominously that, ‘I can call spirits from the vasty deep’)</w:t>
      </w:r>
      <w:r w:rsidR="00F8562C">
        <w:t xml:space="preserve">, </w:t>
      </w:r>
      <w:r w:rsidR="00772941">
        <w:rPr>
          <w:rStyle w:val="FootnoteReference"/>
        </w:rPr>
        <w:footnoteReference w:id="47"/>
      </w:r>
      <w:r w:rsidR="00772941">
        <w:t xml:space="preserve"> Morris </w:t>
      </w:r>
      <w:r w:rsidR="00F8562C">
        <w:t>also</w:t>
      </w:r>
      <w:r w:rsidR="00772941">
        <w:t xml:space="preserve"> attributes the ‘supernatural’ to him. </w:t>
      </w:r>
      <w:r w:rsidR="00772941">
        <w:rPr>
          <w:rStyle w:val="FootnoteReference"/>
        </w:rPr>
        <w:footnoteReference w:id="48"/>
      </w:r>
      <w:r w:rsidR="00772941">
        <w:t xml:space="preserve"> Iolo does indeed bestow ‘</w:t>
      </w:r>
      <w:proofErr w:type="spellStart"/>
      <w:r w:rsidR="00772941">
        <w:rPr>
          <w:i/>
          <w:iCs/>
        </w:rPr>
        <w:t>hud</w:t>
      </w:r>
      <w:proofErr w:type="spellEnd"/>
      <w:r w:rsidR="00772941">
        <w:rPr>
          <w:i/>
          <w:iCs/>
        </w:rPr>
        <w:t xml:space="preserve"> </w:t>
      </w:r>
      <w:proofErr w:type="spellStart"/>
      <w:r w:rsidR="00772941">
        <w:rPr>
          <w:i/>
          <w:iCs/>
        </w:rPr>
        <w:t>hydr</w:t>
      </w:r>
      <w:proofErr w:type="spellEnd"/>
      <w:r w:rsidR="00772941">
        <w:rPr>
          <w:i/>
          <w:iCs/>
        </w:rPr>
        <w:t xml:space="preserve">’ </w:t>
      </w:r>
      <w:r w:rsidR="00772941">
        <w:t xml:space="preserve">(strong magic) on Glyndwr. </w:t>
      </w:r>
      <w:r w:rsidR="00772941">
        <w:rPr>
          <w:rStyle w:val="FootnoteReference"/>
        </w:rPr>
        <w:footnoteReference w:id="49"/>
      </w:r>
      <w:r w:rsidR="00772941">
        <w:t xml:space="preserve"> Yet </w:t>
      </w:r>
      <w:r w:rsidR="00313AC8">
        <w:t>he</w:t>
      </w:r>
      <w:r w:rsidR="00772941">
        <w:t xml:space="preserve"> immediately follows up by saying this is a quality of nobles more generally, thereby dispelling this depiction. </w:t>
      </w:r>
      <w:r w:rsidR="00772941">
        <w:rPr>
          <w:rStyle w:val="FootnoteReference"/>
        </w:rPr>
        <w:footnoteReference w:id="50"/>
      </w:r>
    </w:p>
    <w:p w14:paraId="3B1584D4" w14:textId="77777777" w:rsidR="00772941" w:rsidRDefault="00772941" w:rsidP="00772941">
      <w:pPr>
        <w:jc w:val="both"/>
      </w:pPr>
    </w:p>
    <w:p w14:paraId="439598ED" w14:textId="1EB979BB" w:rsidR="00772941" w:rsidRPr="005D24FF" w:rsidRDefault="00772941" w:rsidP="00772941">
      <w:pPr>
        <w:jc w:val="both"/>
      </w:pPr>
      <w:r w:rsidRPr="006E3133">
        <w:rPr>
          <w:b/>
          <w:bCs/>
        </w:rPr>
        <w:t>Jesus College MS. 111</w:t>
      </w:r>
      <w:r>
        <w:rPr>
          <w:b/>
          <w:bCs/>
        </w:rPr>
        <w:t xml:space="preserve"> </w:t>
      </w:r>
      <w:r>
        <w:t xml:space="preserve">(‘Red Book of Hergest’, </w:t>
      </w:r>
      <w:r w:rsidRPr="00904CC2">
        <w:t>1382–1425</w:t>
      </w:r>
      <w:r>
        <w:t>); 13</w:t>
      </w:r>
      <w:r w:rsidRPr="00F334DB">
        <w:rPr>
          <w:vertAlign w:val="superscript"/>
        </w:rPr>
        <w:t>th</w:t>
      </w:r>
      <w:r>
        <w:t xml:space="preserve"> century poems of Gruffudd ab yr </w:t>
      </w:r>
      <w:proofErr w:type="spellStart"/>
      <w:r>
        <w:t>Ynad</w:t>
      </w:r>
      <w:proofErr w:type="spellEnd"/>
      <w:r>
        <w:t xml:space="preserve"> Coch.</w:t>
      </w:r>
      <w:r>
        <w:rPr>
          <w:rStyle w:val="FootnoteReference"/>
        </w:rPr>
        <w:footnoteReference w:id="51"/>
      </w:r>
      <w:r w:rsidR="005D24FF">
        <w:t xml:space="preserve"> Various editions, mostly in Welsh, of the </w:t>
      </w:r>
      <w:proofErr w:type="spellStart"/>
      <w:r w:rsidR="005D24FF">
        <w:rPr>
          <w:i/>
          <w:iCs/>
        </w:rPr>
        <w:t>Beirdd</w:t>
      </w:r>
      <w:proofErr w:type="spellEnd"/>
      <w:r w:rsidR="005D24FF">
        <w:rPr>
          <w:i/>
          <w:iCs/>
        </w:rPr>
        <w:t xml:space="preserve"> y </w:t>
      </w:r>
      <w:proofErr w:type="spellStart"/>
      <w:r w:rsidR="005D24FF">
        <w:rPr>
          <w:i/>
          <w:iCs/>
        </w:rPr>
        <w:t>Twysogion</w:t>
      </w:r>
      <w:proofErr w:type="spellEnd"/>
      <w:r w:rsidR="005D24FF">
        <w:rPr>
          <w:i/>
          <w:iCs/>
        </w:rPr>
        <w:t xml:space="preserve"> </w:t>
      </w:r>
      <w:r w:rsidR="005D24FF">
        <w:t>corpus have been published.</w:t>
      </w:r>
    </w:p>
    <w:p w14:paraId="5D1882C1" w14:textId="77777777" w:rsidR="00772941" w:rsidRDefault="00772941" w:rsidP="00772941">
      <w:pPr>
        <w:jc w:val="both"/>
      </w:pPr>
      <w:r>
        <w:t>Morris uses Gruffudd’s lament for Llywelyn ap Gruffudd to paint a picture of loss and anguish and claims that these feelings are still present and raw more than a century later.</w:t>
      </w:r>
      <w:r>
        <w:rPr>
          <w:rStyle w:val="FootnoteReference"/>
        </w:rPr>
        <w:footnoteReference w:id="52"/>
      </w:r>
      <w:r>
        <w:t xml:space="preserve"> </w:t>
      </w:r>
    </w:p>
    <w:p w14:paraId="105D0AF8" w14:textId="77777777" w:rsidR="00772941" w:rsidRDefault="00772941" w:rsidP="00772941">
      <w:pPr>
        <w:jc w:val="both"/>
      </w:pPr>
    </w:p>
    <w:p w14:paraId="5C7A924D" w14:textId="77777777" w:rsidR="00772941" w:rsidRDefault="00772941" w:rsidP="00772941">
      <w:pPr>
        <w:jc w:val="both"/>
      </w:pPr>
      <w:proofErr w:type="spellStart"/>
      <w:r w:rsidRPr="000B2D73">
        <w:rPr>
          <w:b/>
          <w:bCs/>
        </w:rPr>
        <w:t>Peniarth</w:t>
      </w:r>
      <w:proofErr w:type="spellEnd"/>
      <w:r w:rsidRPr="000B2D73">
        <w:rPr>
          <w:b/>
          <w:bCs/>
        </w:rPr>
        <w:t xml:space="preserve"> MS 111</w:t>
      </w:r>
      <w:r>
        <w:t xml:space="preserve"> (potentially after 1600, copy of earlier MS); Attested 6</w:t>
      </w:r>
      <w:r w:rsidRPr="00207509">
        <w:rPr>
          <w:vertAlign w:val="superscript"/>
        </w:rPr>
        <w:t>th</w:t>
      </w:r>
      <w:r>
        <w:t xml:space="preserve"> century poems of</w:t>
      </w:r>
      <w:r w:rsidRPr="00397310">
        <w:t xml:space="preserve"> </w:t>
      </w:r>
      <w:r>
        <w:t xml:space="preserve">Llywarch Hen. Edited edition available via Internet Archive. </w:t>
      </w:r>
      <w:r>
        <w:rPr>
          <w:rStyle w:val="FootnoteReference"/>
        </w:rPr>
        <w:footnoteReference w:id="53"/>
      </w:r>
    </w:p>
    <w:p w14:paraId="654B7561" w14:textId="77777777" w:rsidR="00772941" w:rsidRDefault="00772941" w:rsidP="00772941">
      <w:pPr>
        <w:jc w:val="both"/>
      </w:pPr>
      <w:r>
        <w:t xml:space="preserve">Morris uses these supposedly ancient poems to convey a sense of remembered greatness, patriotism and the expectation of a deliverer in Glyndwr. </w:t>
      </w:r>
      <w:r>
        <w:rPr>
          <w:rStyle w:val="FootnoteReference"/>
        </w:rPr>
        <w:footnoteReference w:id="54"/>
      </w:r>
      <w:r>
        <w:t xml:space="preserve"> The antiquity of the source might also, for those readers who know how old Llywarch Hen’s work is meant to be, add to the sense of Machynlleth’s connection to deep time.</w:t>
      </w:r>
    </w:p>
    <w:p w14:paraId="1B0FC1E1" w14:textId="77777777" w:rsidR="00607DAB" w:rsidRDefault="00607DAB" w:rsidP="00772941">
      <w:pPr>
        <w:jc w:val="both"/>
      </w:pPr>
    </w:p>
    <w:p w14:paraId="1AE2E92D" w14:textId="7E11D7D8" w:rsidR="00772941" w:rsidRDefault="00772941" w:rsidP="00772941">
      <w:pPr>
        <w:jc w:val="both"/>
      </w:pPr>
      <w:proofErr w:type="spellStart"/>
      <w:r w:rsidRPr="00DB16AC">
        <w:rPr>
          <w:b/>
          <w:bCs/>
        </w:rPr>
        <w:t>Peniarth</w:t>
      </w:r>
      <w:proofErr w:type="spellEnd"/>
      <w:r w:rsidRPr="00DB16AC">
        <w:rPr>
          <w:b/>
          <w:bCs/>
        </w:rPr>
        <w:t xml:space="preserve"> MS 28</w:t>
      </w:r>
      <w:r w:rsidRPr="00DB16AC">
        <w:t xml:space="preserve"> </w:t>
      </w:r>
      <w:r>
        <w:t>(</w:t>
      </w:r>
      <w:r w:rsidRPr="00D60631">
        <w:t>1225</w:t>
      </w:r>
      <w:r>
        <w:t>-1</w:t>
      </w:r>
      <w:r w:rsidRPr="00D60631">
        <w:t>275</w:t>
      </w:r>
      <w:r>
        <w:t xml:space="preserve">); </w:t>
      </w:r>
      <w:proofErr w:type="spellStart"/>
      <w:r>
        <w:t>Cyfraith</w:t>
      </w:r>
      <w:proofErr w:type="spellEnd"/>
      <w:r>
        <w:t xml:space="preserve"> Hywel/ Medieval Welsh Law of Hywel Dda. University of Wales Press’ edition, ‘</w:t>
      </w:r>
      <w:r w:rsidR="004B3B7C">
        <w:t xml:space="preserve">Hywel Dda, </w:t>
      </w:r>
      <w:r>
        <w:t>The Law</w:t>
      </w:r>
      <w:r w:rsidR="004B3B7C">
        <w:t>,’</w:t>
      </w:r>
      <w:r>
        <w:t xml:space="preserve"> is recommended.</w:t>
      </w:r>
    </w:p>
    <w:p w14:paraId="0E181C26" w14:textId="0A8AFF40" w:rsidR="00772941" w:rsidRDefault="002E7BAF" w:rsidP="00772941">
      <w:pPr>
        <w:jc w:val="both"/>
      </w:pPr>
      <w:r>
        <w:t>Morris’</w:t>
      </w:r>
      <w:r w:rsidR="00772941" w:rsidRPr="00A84469">
        <w:t xml:space="preserve"> allusions both to the evolving and emerging institution of the Westminster parliament </w:t>
      </w:r>
      <w:r w:rsidR="005A5E8F">
        <w:t xml:space="preserve">(well documented) </w:t>
      </w:r>
      <w:r w:rsidR="00772941" w:rsidRPr="00A84469">
        <w:t xml:space="preserve">and the </w:t>
      </w:r>
      <w:r w:rsidRPr="00A84469">
        <w:t>pseudo</w:t>
      </w:r>
      <w:r>
        <w:t>-</w:t>
      </w:r>
      <w:r w:rsidRPr="00A84469">
        <w:t xml:space="preserve">historical </w:t>
      </w:r>
      <w:r w:rsidR="00772941" w:rsidRPr="00A84469">
        <w:t>gathering</w:t>
      </w:r>
      <w:r>
        <w:t xml:space="preserve"> </w:t>
      </w:r>
      <w:r w:rsidR="00772941" w:rsidRPr="00A84469">
        <w:t xml:space="preserve">of Wales at </w:t>
      </w:r>
      <w:r w:rsidR="00772941">
        <w:t>W</w:t>
      </w:r>
      <w:r w:rsidR="00772941" w:rsidRPr="00A84469">
        <w:t xml:space="preserve">hitland to codify Welsh law </w:t>
      </w:r>
      <w:r w:rsidR="00772941">
        <w:t>under</w:t>
      </w:r>
      <w:r w:rsidR="00772941" w:rsidRPr="00A84469">
        <w:t xml:space="preserve"> H</w:t>
      </w:r>
      <w:r w:rsidR="00772941">
        <w:t>ywel Dda</w:t>
      </w:r>
      <w:r w:rsidR="00772941" w:rsidRPr="00A84469">
        <w:t xml:space="preserve"> again draw threads between the imaginary and the real to ground the account in a sense of truthfulness and authenticity</w:t>
      </w:r>
      <w:r w:rsidR="00772941">
        <w:t>.</w:t>
      </w:r>
      <w:r w:rsidR="00772941">
        <w:rPr>
          <w:rStyle w:val="FootnoteReference"/>
        </w:rPr>
        <w:footnoteReference w:id="55"/>
      </w:r>
    </w:p>
    <w:p w14:paraId="539FC71F" w14:textId="5ED08587" w:rsidR="00372A5F" w:rsidRDefault="00372A5F" w:rsidP="00372A5F">
      <w:pPr>
        <w:jc w:val="both"/>
      </w:pPr>
      <w:r w:rsidRPr="004C6DCF">
        <w:rPr>
          <w:b/>
          <w:bCs/>
        </w:rPr>
        <w:t xml:space="preserve">Pennal Letter </w:t>
      </w:r>
      <w:r>
        <w:t>(March 31</w:t>
      </w:r>
      <w:r w:rsidRPr="007604EE">
        <w:rPr>
          <w:vertAlign w:val="superscript"/>
        </w:rPr>
        <w:t>st</w:t>
      </w:r>
      <w:r>
        <w:t>, 1406);</w:t>
      </w:r>
      <w:r w:rsidR="006E0B8F">
        <w:rPr>
          <w:rStyle w:val="FootnoteReference"/>
        </w:rPr>
        <w:footnoteReference w:id="56"/>
      </w:r>
      <w:r>
        <w:t xml:space="preserve"> Letter by Glyndwr to the King of France. Original</w:t>
      </w:r>
      <w:r w:rsidR="00305CAF">
        <w:t xml:space="preserve"> is</w:t>
      </w:r>
      <w:r>
        <w:t xml:space="preserve"> held at </w:t>
      </w:r>
      <w:r w:rsidRPr="00A85455">
        <w:t xml:space="preserve">Archives </w:t>
      </w:r>
      <w:proofErr w:type="spellStart"/>
      <w:r w:rsidRPr="00A85455">
        <w:t>Nationales</w:t>
      </w:r>
      <w:proofErr w:type="spellEnd"/>
      <w:r>
        <w:t xml:space="preserve"> in Paris; a facsimile by NLW (though this was made after the </w:t>
      </w:r>
      <w:r>
        <w:rPr>
          <w:i/>
          <w:iCs/>
        </w:rPr>
        <w:t xml:space="preserve">Triad </w:t>
      </w:r>
      <w:r>
        <w:t xml:space="preserve">was published). Canolfan Owain Glyndwr in Machynlleth (the ‘Ty Mawr’ of </w:t>
      </w:r>
      <w:r>
        <w:rPr>
          <w:i/>
          <w:iCs/>
        </w:rPr>
        <w:t>The Triad</w:t>
      </w:r>
      <w:r>
        <w:t>) produces a booklet with the translated text of the letter, and this is very accessible to the casual reader.</w:t>
      </w:r>
    </w:p>
    <w:p w14:paraId="547D6C05" w14:textId="7698023B" w:rsidR="00772941" w:rsidRDefault="00372A5F" w:rsidP="00BA545F">
      <w:pPr>
        <w:jc w:val="both"/>
      </w:pPr>
      <w:r>
        <w:t>The Pennal Letter is arguably the single most important source for the Glyndwr rising. Written, dictated or ordered by Glyndwr himself in the year the Machynlleth Parliament is supposed to have taken place, it is a plea to Glyndwr’s friends abroad - specifically the King of France - to continue to aid him (Morris suggests this foreign ‘i</w:t>
      </w:r>
      <w:r w:rsidRPr="00A6659F">
        <w:t>nterest in Welsh sovereignty is largely an interest in the humiliation of England</w:t>
      </w:r>
      <w:r>
        <w:t>’ but a strong and friendly bond with France is implied in the letter).</w:t>
      </w:r>
      <w:r>
        <w:rPr>
          <w:rStyle w:val="FootnoteReference"/>
        </w:rPr>
        <w:footnoteReference w:id="57"/>
      </w:r>
      <w:r>
        <w:t xml:space="preserve"> It also sets out what many claim is Glyndwr’s programme of government, which Morris uses directly in the text, having Glyndwr lay out this programme at the Machynlleth parliament. </w:t>
      </w:r>
      <w:r>
        <w:rPr>
          <w:rStyle w:val="FootnoteReference"/>
        </w:rPr>
        <w:footnoteReference w:id="58"/>
      </w:r>
      <w:r>
        <w:t xml:space="preserve"> However, this core of this perspective is the letter’s reference to the establishment of two Universities in Wales, in the north and south. </w:t>
      </w:r>
      <w:r w:rsidR="00DA5F1D">
        <w:t>P</w:t>
      </w:r>
      <w:r>
        <w:t>utting this plan into the wider context of the letter, it could arguably be seen not as part of a political manifesto but a religious one. The Pennal letter is primarily concerned with church matters such as the appointment of Bishops and rectors (hence the universities; these would have been primarily for the instruction of clergy), the restoration of the status of St David</w:t>
      </w:r>
      <w:r w:rsidR="00DA5F1D">
        <w:t>’</w:t>
      </w:r>
      <w:r>
        <w:t xml:space="preserve">s as a metropolitan church, and the offer to pledge loyalty to the Avignon Pope rather than the Roman one. </w:t>
      </w:r>
      <w:r>
        <w:rPr>
          <w:rStyle w:val="FootnoteReference"/>
        </w:rPr>
        <w:footnoteReference w:id="59"/>
      </w:r>
      <w:r>
        <w:t xml:space="preserve"> This focus is absent from Morris’ account, and </w:t>
      </w:r>
      <w:r w:rsidR="00AF4F8C">
        <w:t xml:space="preserve">her </w:t>
      </w:r>
      <w:r>
        <w:t>Glyndwr’s vision is a largely secular one.</w:t>
      </w:r>
    </w:p>
    <w:p w14:paraId="7863EFCB" w14:textId="62F5CF3D" w:rsidR="00772941" w:rsidRDefault="00772941" w:rsidP="00BA545F">
      <w:pPr>
        <w:jc w:val="both"/>
      </w:pPr>
      <w:r>
        <w:t>---</w:t>
      </w:r>
    </w:p>
    <w:p w14:paraId="7903D749" w14:textId="77777777" w:rsidR="004F5FD5" w:rsidRPr="00DA7699" w:rsidRDefault="004F5FD5" w:rsidP="004F5FD5">
      <w:pPr>
        <w:rPr>
          <w:b/>
          <w:bCs/>
        </w:rPr>
      </w:pPr>
      <w:r w:rsidRPr="00DA7699">
        <w:rPr>
          <w:b/>
          <w:bCs/>
        </w:rPr>
        <w:t>Concluding comments</w:t>
      </w:r>
    </w:p>
    <w:p w14:paraId="2367176A" w14:textId="62768AA7" w:rsidR="004F5FD5" w:rsidRPr="00D16D9C" w:rsidRDefault="004F5FD5" w:rsidP="004F5FD5">
      <w:pPr>
        <w:jc w:val="both"/>
      </w:pPr>
      <w:r w:rsidRPr="004F4395">
        <w:t>The abruptness of the end of the parliament and the dispersal of Owain’s forces refocuses our attention on Machynlleth as the centre of the text, not Glyndwr. The ultimately doomed rising is very briefly described</w:t>
      </w:r>
      <w:r w:rsidR="00D46441">
        <w:t>, but</w:t>
      </w:r>
      <w:r w:rsidRPr="004F4395">
        <w:t xml:space="preserve"> Machynlleth’s weekly market outlasts all. </w:t>
      </w:r>
      <w:r w:rsidRPr="004F4395">
        <w:rPr>
          <w:rStyle w:val="FootnoteReference"/>
        </w:rPr>
        <w:footnoteReference w:id="60"/>
      </w:r>
      <w:r>
        <w:t xml:space="preserve"> Ultimately, this is not a text about the Glyndwr rising, but about Machynlleth itself, a love letter to it. The Parliament gives Morris an opportunity to make it the centre of the world, placing it at the heart of </w:t>
      </w:r>
      <w:proofErr w:type="spellStart"/>
      <w:r>
        <w:t>Wales’</w:t>
      </w:r>
      <w:proofErr w:type="spellEnd"/>
      <w:r>
        <w:t xml:space="preserve"> journey through time. The events serve the place, not the other way around, and in both this and Morris’ divergence from traditional narrative, characterisation and dialogue it </w:t>
      </w:r>
      <w:r w:rsidR="00415D37">
        <w:t>sits</w:t>
      </w:r>
      <w:r>
        <w:t xml:space="preserve"> uncomfortabl</w:t>
      </w:r>
      <w:r w:rsidR="00415D37">
        <w:t>y</w:t>
      </w:r>
      <w:r>
        <w:t xml:space="preserve"> </w:t>
      </w:r>
      <w:r w:rsidR="00415D37">
        <w:t>at</w:t>
      </w:r>
      <w:r>
        <w:t xml:space="preserve"> either end of the narrative history/historical fiction spectrum. </w:t>
      </w:r>
    </w:p>
    <w:p w14:paraId="44F9F5C7" w14:textId="4C62F67B" w:rsidR="004F5FD5" w:rsidRDefault="004F5FD5" w:rsidP="004F5FD5">
      <w:pPr>
        <w:jc w:val="both"/>
      </w:pPr>
      <w:r>
        <w:t xml:space="preserve">As Halttunen argues, writers of factual history use many </w:t>
      </w:r>
      <w:r w:rsidR="000E7161">
        <w:t xml:space="preserve">of the same </w:t>
      </w:r>
      <w:r>
        <w:t xml:space="preserve">creative conventions as fiction writers, so </w:t>
      </w:r>
      <w:r w:rsidR="000E7161">
        <w:t>Morris’</w:t>
      </w:r>
      <w:r>
        <w:t xml:space="preserve"> imagination does not necessarily dismiss </w:t>
      </w:r>
      <w:r w:rsidR="000E7161">
        <w:rPr>
          <w:i/>
          <w:iCs/>
        </w:rPr>
        <w:t>The Triad</w:t>
      </w:r>
      <w:r>
        <w:t xml:space="preserve"> as a valuable </w:t>
      </w:r>
      <w:r>
        <w:lastRenderedPageBreak/>
        <w:t>contribution to our understanding of history.</w:t>
      </w:r>
      <w:r>
        <w:rPr>
          <w:rStyle w:val="FootnoteReference"/>
        </w:rPr>
        <w:footnoteReference w:id="61"/>
      </w:r>
      <w:r>
        <w:t xml:space="preserve"> Nonetheless, it is also clearly a work of creative fiction, set in a past informed</w:t>
      </w:r>
      <w:r w:rsidR="00ED16D9">
        <w:t xml:space="preserve"> rather than led</w:t>
      </w:r>
      <w:r>
        <w:t xml:space="preserve"> by historical sources, like many other works of historical fiction. Morris makes no claims to history writing</w:t>
      </w:r>
      <w:r w:rsidR="00ED16D9">
        <w:t>,</w:t>
      </w:r>
      <w:r>
        <w:t xml:space="preserve"> </w:t>
      </w:r>
      <w:r w:rsidR="00ED16D9">
        <w:t>b</w:t>
      </w:r>
      <w:r>
        <w:t xml:space="preserve">ut nor is </w:t>
      </w:r>
      <w:r w:rsidR="00ED16D9">
        <w:t>her work</w:t>
      </w:r>
      <w:r>
        <w:t xml:space="preserve"> straightforward historical fiction either. </w:t>
      </w:r>
    </w:p>
    <w:p w14:paraId="212328F3" w14:textId="310801ED" w:rsidR="00A76AD2" w:rsidRDefault="004F5FD5" w:rsidP="00BA545F">
      <w:pPr>
        <w:jc w:val="both"/>
      </w:pPr>
      <w:r>
        <w:t>It arguably bridges both sides of the spectrum and perhaps offers an insight into how creativity and imagination can unlock and enliven history for people. Halttunen puts it well: ‘experiments in historical narrativization have fruitfully opened up…new possibilities…loosening our characteristic death grip on novelistic realism.’</w:t>
      </w:r>
      <w:r w:rsidR="002A21E7">
        <w:t xml:space="preserve"> </w:t>
      </w:r>
      <w:r>
        <w:rPr>
          <w:rStyle w:val="FootnoteReference"/>
        </w:rPr>
        <w:footnoteReference w:id="62"/>
      </w:r>
      <w:r w:rsidR="00F92C7E">
        <w:t xml:space="preserve"> </w:t>
      </w:r>
      <w:r>
        <w:t xml:space="preserve">Ultimately, </w:t>
      </w:r>
      <w:r w:rsidRPr="00552F40">
        <w:t>Morris</w:t>
      </w:r>
      <w:r>
        <w:t xml:space="preserve"> must have the last wor</w:t>
      </w:r>
      <w:r w:rsidR="002A21E7">
        <w:t>d, a</w:t>
      </w:r>
      <w:r>
        <w:t xml:space="preserve">nd she is satisfyingly ambiguous. </w:t>
      </w:r>
      <w:r w:rsidR="00F92C7E">
        <w:t xml:space="preserve">She </w:t>
      </w:r>
      <w:r w:rsidRPr="00552F40">
        <w:t>end</w:t>
      </w:r>
      <w:r w:rsidR="00F92C7E">
        <w:t>s</w:t>
      </w:r>
      <w:r w:rsidRPr="00552F40">
        <w:t xml:space="preserve"> on a </w:t>
      </w:r>
      <w:r>
        <w:t>note of uncertainty,</w:t>
      </w:r>
      <w:r w:rsidRPr="00552F40">
        <w:t xml:space="preserve"> musing on whether the whole </w:t>
      </w:r>
      <w:r w:rsidR="00483C45">
        <w:t>parliament</w:t>
      </w:r>
      <w:r w:rsidRPr="00552F40">
        <w:t xml:space="preserve"> might have all been a dream and never actually happened. </w:t>
      </w:r>
      <w:r w:rsidRPr="00552F40">
        <w:rPr>
          <w:rStyle w:val="FootnoteReference"/>
        </w:rPr>
        <w:footnoteReference w:id="63"/>
      </w:r>
    </w:p>
    <w:p w14:paraId="7EE51FBB" w14:textId="77777777" w:rsidR="00E43824" w:rsidRDefault="00E43824" w:rsidP="00BA545F">
      <w:pPr>
        <w:jc w:val="both"/>
      </w:pPr>
    </w:p>
    <w:p w14:paraId="49A3F47C" w14:textId="384F2C8D" w:rsidR="00E43824" w:rsidRPr="00435CA5" w:rsidRDefault="00153AF6" w:rsidP="00E43824">
      <w:pPr>
        <w:jc w:val="both"/>
        <w:rPr>
          <w:b/>
          <w:bCs/>
        </w:rPr>
      </w:pPr>
      <w:r>
        <w:rPr>
          <w:b/>
          <w:bCs/>
        </w:rPr>
        <w:t xml:space="preserve">Project </w:t>
      </w:r>
      <w:r w:rsidR="00E43824" w:rsidRPr="00435CA5">
        <w:rPr>
          <w:b/>
          <w:bCs/>
        </w:rPr>
        <w:t>Bibliography</w:t>
      </w:r>
    </w:p>
    <w:p w14:paraId="77F6944B" w14:textId="32AAA8A4" w:rsidR="00E43824" w:rsidRDefault="00E43824" w:rsidP="00075BDC">
      <w:pPr>
        <w:ind w:left="142" w:hanging="142"/>
        <w:jc w:val="both"/>
      </w:pPr>
      <w:r>
        <w:t>Halttunen, K</w:t>
      </w:r>
      <w:r w:rsidR="00A33487">
        <w:t>.</w:t>
      </w:r>
      <w:r>
        <w:t xml:space="preserve"> ‘Cultural History and the Challenge of Narrativity,’ in Hunt, L., and Bonnell, V.E. (eds.), </w:t>
      </w:r>
      <w:r w:rsidRPr="00C45EF7">
        <w:rPr>
          <w:i/>
          <w:iCs/>
        </w:rPr>
        <w:t>Beyond the Cultural Turn: New Directions in the Study of Culture</w:t>
      </w:r>
      <w:r>
        <w:t xml:space="preserve"> (Berkeley: University of California Press, 1999), pp. 165-181.</w:t>
      </w:r>
    </w:p>
    <w:p w14:paraId="39798B07" w14:textId="77777777" w:rsidR="00075BDC" w:rsidRDefault="00075BDC" w:rsidP="00075BDC">
      <w:pPr>
        <w:ind w:left="142" w:hanging="142"/>
        <w:jc w:val="both"/>
      </w:pPr>
      <w:r>
        <w:t xml:space="preserve">Jenkins, D. (trans., ed.), </w:t>
      </w:r>
      <w:r w:rsidRPr="006E0B8F">
        <w:rPr>
          <w:i/>
          <w:iCs/>
        </w:rPr>
        <w:t>Hywel Dda, The Law</w:t>
      </w:r>
      <w:r>
        <w:t xml:space="preserve"> (Gomer, 2000).</w:t>
      </w:r>
    </w:p>
    <w:p w14:paraId="61E3C0E2" w14:textId="77038B67" w:rsidR="006E0B8F" w:rsidRDefault="006E0B8F" w:rsidP="00075BDC">
      <w:pPr>
        <w:ind w:left="142" w:hanging="142"/>
        <w:jc w:val="both"/>
      </w:pPr>
      <w:r>
        <w:t xml:space="preserve">Johnson, D. (trans., ed.), </w:t>
      </w:r>
      <w:r>
        <w:rPr>
          <w:i/>
          <w:iCs/>
        </w:rPr>
        <w:t xml:space="preserve">Iolo Goch, Poems </w:t>
      </w:r>
      <w:r>
        <w:t>(</w:t>
      </w:r>
      <w:r w:rsidR="00BD1AEC">
        <w:t>Gomer</w:t>
      </w:r>
      <w:r>
        <w:t xml:space="preserve">, </w:t>
      </w:r>
      <w:r w:rsidR="00BD1AEC">
        <w:t>1993</w:t>
      </w:r>
      <w:r>
        <w:t xml:space="preserve">). </w:t>
      </w:r>
    </w:p>
    <w:p w14:paraId="628E4383" w14:textId="2C0F97F2" w:rsidR="00A33487" w:rsidRDefault="00A33487" w:rsidP="00075BDC">
      <w:pPr>
        <w:ind w:left="142" w:hanging="142"/>
        <w:jc w:val="both"/>
      </w:pPr>
      <w:r>
        <w:t xml:space="preserve">Morris, J., </w:t>
      </w:r>
      <w:r w:rsidR="00181101">
        <w:t>and</w:t>
      </w:r>
      <w:r>
        <w:t xml:space="preserve"> Morris, T. (translator), </w:t>
      </w:r>
      <w:r>
        <w:rPr>
          <w:i/>
          <w:iCs/>
        </w:rPr>
        <w:t xml:space="preserve">A Machynlleth Triad </w:t>
      </w:r>
      <w:r>
        <w:t>(</w:t>
      </w:r>
      <w:r w:rsidR="00181101">
        <w:t>Penguin, 1995</w:t>
      </w:r>
      <w:r>
        <w:t>).</w:t>
      </w:r>
    </w:p>
    <w:p w14:paraId="62802C56" w14:textId="1D037AB2" w:rsidR="006E0B8F" w:rsidRDefault="006E0B8F" w:rsidP="00075BDC">
      <w:pPr>
        <w:ind w:left="142" w:hanging="142"/>
        <w:jc w:val="both"/>
      </w:pPr>
      <w:r w:rsidRPr="006E0B8F">
        <w:rPr>
          <w:i/>
          <w:iCs/>
        </w:rPr>
        <w:t>The Pennal Letter</w:t>
      </w:r>
      <w:r>
        <w:t xml:space="preserve"> (Bilingual Booklet) (Machynlleth: Canolfan Owain Glyndwr, 2007).</w:t>
      </w:r>
    </w:p>
    <w:p w14:paraId="2EE2E6F5" w14:textId="7BFE596E" w:rsidR="00B31A8A" w:rsidRPr="00B31A8A" w:rsidRDefault="00B31A8A" w:rsidP="00BA545F">
      <w:pPr>
        <w:jc w:val="both"/>
        <w:rPr>
          <w:u w:val="single"/>
        </w:rPr>
      </w:pPr>
      <w:r w:rsidRPr="00B31A8A">
        <w:rPr>
          <w:u w:val="single"/>
        </w:rPr>
        <w:t>Websites</w:t>
      </w:r>
    </w:p>
    <w:p w14:paraId="6CA4D4BF" w14:textId="77777777" w:rsidR="00586DD7" w:rsidRDefault="00586DD7" w:rsidP="00586DD7">
      <w:pPr>
        <w:ind w:left="142" w:hanging="142"/>
      </w:pPr>
      <w:r>
        <w:t>‘</w:t>
      </w:r>
      <w:r w:rsidRPr="00621B53">
        <w:t>Jesus College MS. 111</w:t>
      </w:r>
      <w:r>
        <w:t xml:space="preserve">,’ </w:t>
      </w:r>
      <w:r w:rsidRPr="00621B53">
        <w:rPr>
          <w:i/>
          <w:iCs/>
        </w:rPr>
        <w:t>Oxford Libraries Online</w:t>
      </w:r>
      <w:r>
        <w:t xml:space="preserve"> (item description and sample digitisation):</w:t>
      </w:r>
      <w:r w:rsidRPr="00621B53">
        <w:t xml:space="preserve"> </w:t>
      </w:r>
      <w:r>
        <w:t>&lt;</w:t>
      </w:r>
      <w:r w:rsidRPr="00C614A5">
        <w:t>https://digital.bodleian.ox.ac.uk/objects/9bf187bf-f862-4453-bc4f-851f6d3948af/</w:t>
      </w:r>
      <w:r>
        <w:t>&gt; [accessed 20/11/25].</w:t>
      </w:r>
    </w:p>
    <w:p w14:paraId="47A87CD5" w14:textId="77777777" w:rsidR="00586DD7" w:rsidRDefault="00586DD7" w:rsidP="00586DD7">
      <w:pPr>
        <w:ind w:left="142" w:hanging="142"/>
      </w:pPr>
      <w:r>
        <w:t>‘</w:t>
      </w:r>
      <w:r w:rsidRPr="003232D9">
        <w:t>NLW MS 2132B (1868-1899)</w:t>
      </w:r>
      <w:r>
        <w:t xml:space="preserve">,’ </w:t>
      </w:r>
      <w:r w:rsidRPr="003232D9">
        <w:rPr>
          <w:i/>
          <w:iCs/>
        </w:rPr>
        <w:t>National Library of Wales</w:t>
      </w:r>
      <w:r>
        <w:t xml:space="preserve"> (online description for document):</w:t>
      </w:r>
      <w:r w:rsidRPr="003232D9">
        <w:t xml:space="preserve"> </w:t>
      </w:r>
      <w:r>
        <w:t>&lt;</w:t>
      </w:r>
      <w:r w:rsidRPr="003232D9">
        <w:t>https://archivestest.library.wales/index.php/transcripts-33</w:t>
      </w:r>
      <w:r>
        <w:t>&gt; [accessed 10/11/25].</w:t>
      </w:r>
    </w:p>
    <w:p w14:paraId="5F8B7F24" w14:textId="52024270" w:rsidR="00B31A8A" w:rsidRDefault="00C902EC" w:rsidP="00586DD7">
      <w:pPr>
        <w:ind w:left="142" w:hanging="142"/>
      </w:pPr>
      <w:r>
        <w:t>Parker,</w:t>
      </w:r>
      <w:r w:rsidR="00E61E14">
        <w:t xml:space="preserve"> M.,</w:t>
      </w:r>
      <w:r>
        <w:t xml:space="preserve"> </w:t>
      </w:r>
      <w:r w:rsidR="00B31A8A" w:rsidRPr="00B31A8A">
        <w:t>‘Morris, Jan (1926 -2020), writer,’</w:t>
      </w:r>
      <w:r w:rsidR="00B31A8A">
        <w:t xml:space="preserve"> in</w:t>
      </w:r>
      <w:r w:rsidR="00B31A8A" w:rsidRPr="00B31A8A">
        <w:t xml:space="preserve"> </w:t>
      </w:r>
      <w:r w:rsidR="00B31A8A" w:rsidRPr="00B31A8A">
        <w:rPr>
          <w:i/>
          <w:iCs/>
        </w:rPr>
        <w:t xml:space="preserve">Dictionary of Welsh Biography </w:t>
      </w:r>
      <w:r w:rsidR="00B31A8A" w:rsidRPr="00B31A8A">
        <w:t>(</w:t>
      </w:r>
      <w:r w:rsidR="00B31A8A">
        <w:t>online,</w:t>
      </w:r>
      <w:r>
        <w:t xml:space="preserve"> 2024</w:t>
      </w:r>
      <w:r w:rsidR="00B31A8A" w:rsidRPr="00B31A8A">
        <w:t>): &lt;https://biography.wales/article/s15-MORR-JAN-1926?&amp;query=jan%20morris&amp;lang%5b%5d=en&amp;sort=score&amp;order=desc&amp;rows=12&amp;page=1&gt; [accessed 03/11/25].</w:t>
      </w:r>
    </w:p>
    <w:p w14:paraId="4329557C" w14:textId="77777777" w:rsidR="00E61E14" w:rsidRDefault="00E61E14" w:rsidP="00586DD7">
      <w:pPr>
        <w:ind w:left="142" w:hanging="142"/>
      </w:pPr>
      <w:r>
        <w:t xml:space="preserve">Parry, T., ‘Gruffudd ab yr </w:t>
      </w:r>
      <w:proofErr w:type="spellStart"/>
      <w:r>
        <w:t>Ynad</w:t>
      </w:r>
      <w:proofErr w:type="spellEnd"/>
      <w:r>
        <w:t xml:space="preserve"> Coch (</w:t>
      </w:r>
      <w:proofErr w:type="spellStart"/>
      <w:r>
        <w:t>fl</w:t>
      </w:r>
      <w:proofErr w:type="spellEnd"/>
      <w:r>
        <w:t xml:space="preserve"> 1280), poet’, at </w:t>
      </w:r>
      <w:r w:rsidRPr="00B31A8A">
        <w:rPr>
          <w:i/>
          <w:iCs/>
        </w:rPr>
        <w:t xml:space="preserve">Dictionary of Welsh Biography </w:t>
      </w:r>
      <w:r w:rsidRPr="00B31A8A">
        <w:t>(</w:t>
      </w:r>
      <w:r>
        <w:t>online, first published 1959</w:t>
      </w:r>
      <w:r w:rsidRPr="00B31A8A">
        <w:t xml:space="preserve">): </w:t>
      </w:r>
      <w:r>
        <w:t xml:space="preserve"> &lt;</w:t>
      </w:r>
      <w:r w:rsidRPr="00380250">
        <w:t>https://biography.wales/article/s-GRUF-APY-1280</w:t>
      </w:r>
      <w:r>
        <w:t>&gt; [accessed 03/11/25].</w:t>
      </w:r>
    </w:p>
    <w:p w14:paraId="63F4C4E4" w14:textId="3B0F844B" w:rsidR="00E67298" w:rsidRDefault="00C12800" w:rsidP="00586DD7">
      <w:pPr>
        <w:ind w:left="142" w:hanging="142"/>
      </w:pPr>
      <w:r>
        <w:t xml:space="preserve">Shakespeare, W., </w:t>
      </w:r>
      <w:r>
        <w:rPr>
          <w:i/>
          <w:iCs/>
        </w:rPr>
        <w:t xml:space="preserve">Henry IV, Part 1, </w:t>
      </w:r>
      <w:r>
        <w:t>online edition at Folger</w:t>
      </w:r>
      <w:r w:rsidR="008171E1">
        <w:t xml:space="preserve"> Shakespeare Library</w:t>
      </w:r>
      <w:r>
        <w:t xml:space="preserve">: </w:t>
      </w:r>
      <w:r w:rsidR="00E67298">
        <w:t>&lt;</w:t>
      </w:r>
      <w:r w:rsidR="00E67298" w:rsidRPr="00E67298">
        <w:t>https://www.folger.edu/search/?q=I%20can%20call%20spirits%20from%20the%20vasty%20deep&amp;area=works&amp;work=henry-iv-part-1</w:t>
      </w:r>
      <w:r w:rsidR="00E67298">
        <w:t>&gt; [accessed 25/11/25].</w:t>
      </w:r>
    </w:p>
    <w:p w14:paraId="53195D56" w14:textId="4294024E" w:rsidR="009C3662" w:rsidRPr="00A33487" w:rsidRDefault="0098211D" w:rsidP="00586DD7">
      <w:pPr>
        <w:ind w:left="142" w:hanging="142"/>
      </w:pPr>
      <w:r w:rsidRPr="0098211D">
        <w:t>Williams, I</w:t>
      </w:r>
      <w:r>
        <w:t>.</w:t>
      </w:r>
      <w:r w:rsidRPr="0098211D">
        <w:t xml:space="preserve">, </w:t>
      </w:r>
      <w:r w:rsidR="00926F42" w:rsidRPr="00926F42">
        <w:rPr>
          <w:i/>
          <w:iCs/>
        </w:rPr>
        <w:t>Canu Llywarch Hen</w:t>
      </w:r>
      <w:r w:rsidR="00926F42">
        <w:rPr>
          <w:i/>
          <w:iCs/>
        </w:rPr>
        <w:t xml:space="preserve"> </w:t>
      </w:r>
      <w:r w:rsidR="00926F42">
        <w:t>(</w:t>
      </w:r>
      <w:r w:rsidR="00926C19">
        <w:t>Cardiff: University of Wales Press</w:t>
      </w:r>
      <w:r>
        <w:t>,</w:t>
      </w:r>
      <w:r w:rsidRPr="0098211D">
        <w:t>1935</w:t>
      </w:r>
      <w:r w:rsidR="00926F42">
        <w:t>),</w:t>
      </w:r>
      <w:r w:rsidR="00926F42">
        <w:rPr>
          <w:i/>
          <w:iCs/>
        </w:rPr>
        <w:t xml:space="preserve"> </w:t>
      </w:r>
      <w:r w:rsidR="00926F42">
        <w:t xml:space="preserve">Internet Archive: </w:t>
      </w:r>
      <w:r w:rsidR="009C3662">
        <w:t>&lt;</w:t>
      </w:r>
      <w:r w:rsidR="009C3662" w:rsidRPr="009C3662">
        <w:t>https://archive.org/details/canullywarchhen00llyw</w:t>
      </w:r>
      <w:r w:rsidR="009C3662">
        <w:t>&gt; [accessed 27/11/25].</w:t>
      </w:r>
    </w:p>
    <w:sectPr w:rsidR="009C3662" w:rsidRPr="00A334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B0AE0" w14:textId="77777777" w:rsidR="00C137E8" w:rsidRDefault="00C137E8" w:rsidP="00702192">
      <w:pPr>
        <w:spacing w:after="0" w:line="240" w:lineRule="auto"/>
      </w:pPr>
      <w:r>
        <w:separator/>
      </w:r>
    </w:p>
  </w:endnote>
  <w:endnote w:type="continuationSeparator" w:id="0">
    <w:p w14:paraId="016A164F" w14:textId="77777777" w:rsidR="00C137E8" w:rsidRDefault="00C137E8" w:rsidP="0070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62AFA" w14:textId="77777777" w:rsidR="00C137E8" w:rsidRDefault="00C137E8" w:rsidP="00702192">
      <w:pPr>
        <w:spacing w:after="0" w:line="240" w:lineRule="auto"/>
      </w:pPr>
      <w:r>
        <w:separator/>
      </w:r>
    </w:p>
  </w:footnote>
  <w:footnote w:type="continuationSeparator" w:id="0">
    <w:p w14:paraId="686A248C" w14:textId="77777777" w:rsidR="00C137E8" w:rsidRDefault="00C137E8" w:rsidP="00702192">
      <w:pPr>
        <w:spacing w:after="0" w:line="240" w:lineRule="auto"/>
      </w:pPr>
      <w:r>
        <w:continuationSeparator/>
      </w:r>
    </w:p>
  </w:footnote>
  <w:footnote w:id="1">
    <w:p w14:paraId="77EC1919" w14:textId="115FB988" w:rsidR="00B0230F" w:rsidRPr="006E0B8F" w:rsidRDefault="00B0230F" w:rsidP="00B0230F">
      <w:pPr>
        <w:pStyle w:val="FootnoteText"/>
        <w:rPr>
          <w:sz w:val="16"/>
          <w:szCs w:val="16"/>
        </w:rPr>
      </w:pPr>
      <w:r w:rsidRPr="006E0B8F">
        <w:rPr>
          <w:rStyle w:val="FootnoteReference"/>
          <w:sz w:val="16"/>
          <w:szCs w:val="16"/>
        </w:rPr>
        <w:footnoteRef/>
      </w:r>
      <w:r w:rsidRPr="006E0B8F">
        <w:rPr>
          <w:sz w:val="16"/>
          <w:szCs w:val="16"/>
        </w:rPr>
        <w:t xml:space="preserve"> </w:t>
      </w:r>
      <w:r w:rsidR="009C09AC" w:rsidRPr="009C09AC">
        <w:rPr>
          <w:sz w:val="16"/>
          <w:szCs w:val="16"/>
        </w:rPr>
        <w:t xml:space="preserve">Morris, J., and Morris, T. (translator), </w:t>
      </w:r>
      <w:r w:rsidR="009C09AC" w:rsidRPr="009C09AC">
        <w:rPr>
          <w:i/>
          <w:iCs/>
          <w:sz w:val="16"/>
          <w:szCs w:val="16"/>
        </w:rPr>
        <w:t xml:space="preserve">A Machynlleth Triad </w:t>
      </w:r>
      <w:r w:rsidR="009C09AC" w:rsidRPr="009C09AC">
        <w:rPr>
          <w:sz w:val="16"/>
          <w:szCs w:val="16"/>
        </w:rPr>
        <w:t>(Penguin, 1995)</w:t>
      </w:r>
      <w:r w:rsidRPr="006E0B8F">
        <w:rPr>
          <w:sz w:val="16"/>
          <w:szCs w:val="16"/>
        </w:rPr>
        <w:t>, dust jacket.</w:t>
      </w:r>
    </w:p>
  </w:footnote>
  <w:footnote w:id="2">
    <w:p w14:paraId="3FF7DF5A" w14:textId="5F54F6BB" w:rsidR="007A689B" w:rsidRPr="006E0B8F" w:rsidRDefault="007A689B" w:rsidP="007A689B">
      <w:pPr>
        <w:pStyle w:val="FootnoteText"/>
        <w:rPr>
          <w:sz w:val="16"/>
          <w:szCs w:val="16"/>
        </w:rPr>
      </w:pPr>
      <w:r w:rsidRPr="006E0B8F">
        <w:rPr>
          <w:rStyle w:val="FootnoteReference"/>
          <w:sz w:val="16"/>
          <w:szCs w:val="16"/>
        </w:rPr>
        <w:footnoteRef/>
      </w:r>
      <w:r w:rsidRPr="006E0B8F">
        <w:rPr>
          <w:sz w:val="16"/>
          <w:szCs w:val="16"/>
        </w:rPr>
        <w:t xml:space="preserve"> </w:t>
      </w:r>
      <w:r w:rsidR="00D334F3" w:rsidRPr="00D334F3">
        <w:rPr>
          <w:sz w:val="16"/>
          <w:szCs w:val="16"/>
        </w:rPr>
        <w:t xml:space="preserve">Mike Parker, ‘Morris, Jan (1926 -2020), writer,’ in </w:t>
      </w:r>
      <w:r w:rsidR="00D334F3" w:rsidRPr="00D334F3">
        <w:rPr>
          <w:i/>
          <w:iCs/>
          <w:sz w:val="16"/>
          <w:szCs w:val="16"/>
        </w:rPr>
        <w:t xml:space="preserve">Dictionary of Welsh Biography </w:t>
      </w:r>
      <w:r w:rsidR="00D334F3" w:rsidRPr="00D334F3">
        <w:rPr>
          <w:sz w:val="16"/>
          <w:szCs w:val="16"/>
        </w:rPr>
        <w:t>(online, 2024): &lt;https://biography.wales/article/s15-MORR-JAN-1926?&amp;query=jan%20morris&amp;lang%5b%5d=en&amp;sort=score&amp;order=desc&amp;rows=12&amp;page=1&gt; [accessed 03/11/25].</w:t>
      </w:r>
    </w:p>
  </w:footnote>
  <w:footnote w:id="3">
    <w:p w14:paraId="3247B1D8" w14:textId="77777777" w:rsidR="007038F6" w:rsidRPr="006E0B8F" w:rsidRDefault="007038F6" w:rsidP="007038F6">
      <w:pPr>
        <w:spacing w:after="0"/>
        <w:rPr>
          <w:sz w:val="16"/>
          <w:szCs w:val="16"/>
        </w:rPr>
      </w:pPr>
      <w:r w:rsidRPr="006E0B8F">
        <w:rPr>
          <w:rStyle w:val="FootnoteReference"/>
          <w:sz w:val="16"/>
          <w:szCs w:val="16"/>
        </w:rPr>
        <w:footnoteRef/>
      </w:r>
      <w:r w:rsidRPr="006E0B8F">
        <w:rPr>
          <w:sz w:val="16"/>
          <w:szCs w:val="16"/>
        </w:rPr>
        <w:t xml:space="preserve"> </w:t>
      </w:r>
      <w:bookmarkStart w:id="0" w:name="_Hlk214908471"/>
      <w:r w:rsidRPr="006E0B8F">
        <w:rPr>
          <w:sz w:val="16"/>
          <w:szCs w:val="16"/>
        </w:rPr>
        <w:t>Halttunen</w:t>
      </w:r>
      <w:bookmarkEnd w:id="0"/>
      <w:r w:rsidRPr="006E0B8F">
        <w:rPr>
          <w:sz w:val="16"/>
          <w:szCs w:val="16"/>
        </w:rPr>
        <w:t xml:space="preserve">, K, ‘Cultural History and the Challenge of Narrativity,’ in Hunt, L., and Bonnell, V.E. (eds.), </w:t>
      </w:r>
      <w:r w:rsidRPr="006E0B8F">
        <w:rPr>
          <w:i/>
          <w:iCs/>
          <w:sz w:val="16"/>
          <w:szCs w:val="16"/>
        </w:rPr>
        <w:t>Beyond the Cultural Turn: New Directions in the Study of Culture</w:t>
      </w:r>
      <w:r w:rsidRPr="006E0B8F">
        <w:rPr>
          <w:sz w:val="16"/>
          <w:szCs w:val="16"/>
        </w:rPr>
        <w:t xml:space="preserve"> (Berkeley: University of California Press, 1999), pp. 165-181., pp. 165-166.</w:t>
      </w:r>
    </w:p>
  </w:footnote>
  <w:footnote w:id="4">
    <w:p w14:paraId="4A1D5878" w14:textId="3590DFA0" w:rsidR="006408F4" w:rsidRPr="006E0B8F" w:rsidRDefault="006408F4" w:rsidP="006408F4">
      <w:pPr>
        <w:pStyle w:val="FootnoteText"/>
        <w:rPr>
          <w:sz w:val="16"/>
          <w:szCs w:val="16"/>
        </w:rPr>
      </w:pPr>
      <w:r w:rsidRPr="006E0B8F">
        <w:rPr>
          <w:rStyle w:val="FootnoteReference"/>
          <w:sz w:val="16"/>
          <w:szCs w:val="16"/>
        </w:rPr>
        <w:footnoteRef/>
      </w:r>
      <w:r w:rsidRPr="006E0B8F">
        <w:rPr>
          <w:sz w:val="16"/>
          <w:szCs w:val="16"/>
        </w:rPr>
        <w:t xml:space="preserve"> Halttunen, K, ‘Cultural History and the Challenge of Narrativity,’ p. 169.</w:t>
      </w:r>
    </w:p>
  </w:footnote>
  <w:footnote w:id="5">
    <w:p w14:paraId="6E4D73E3" w14:textId="66C181D7" w:rsidR="00AD5248" w:rsidRPr="006E0B8F" w:rsidRDefault="00AD5248" w:rsidP="00AD5248">
      <w:pPr>
        <w:pStyle w:val="FootnoteText"/>
        <w:rPr>
          <w:sz w:val="16"/>
          <w:szCs w:val="16"/>
        </w:rPr>
      </w:pPr>
      <w:r w:rsidRPr="006E0B8F">
        <w:rPr>
          <w:rStyle w:val="FootnoteReference"/>
          <w:sz w:val="16"/>
          <w:szCs w:val="16"/>
        </w:rPr>
        <w:footnoteRef/>
      </w:r>
      <w:r w:rsidRPr="006E0B8F">
        <w:rPr>
          <w:sz w:val="16"/>
          <w:szCs w:val="16"/>
        </w:rPr>
        <w:t xml:space="preserve"> </w:t>
      </w:r>
      <w:r w:rsidR="0095049E">
        <w:rPr>
          <w:sz w:val="16"/>
          <w:szCs w:val="16"/>
        </w:rPr>
        <w:t xml:space="preserve">Morris, J., </w:t>
      </w:r>
      <w:r w:rsidR="0095049E">
        <w:rPr>
          <w:i/>
          <w:iCs/>
          <w:sz w:val="16"/>
          <w:szCs w:val="16"/>
        </w:rPr>
        <w:t>A Machynlleth Triad</w:t>
      </w:r>
      <w:r w:rsidRPr="006E0B8F">
        <w:rPr>
          <w:sz w:val="16"/>
          <w:szCs w:val="16"/>
        </w:rPr>
        <w:t>, p. 3.</w:t>
      </w:r>
    </w:p>
  </w:footnote>
  <w:footnote w:id="6">
    <w:p w14:paraId="5E25013E" w14:textId="61E0C7D5" w:rsidR="00D7770B" w:rsidRPr="006E0B8F" w:rsidRDefault="00D7770B" w:rsidP="00D7770B">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 12.</w:t>
      </w:r>
    </w:p>
  </w:footnote>
  <w:footnote w:id="7">
    <w:p w14:paraId="5790CD06" w14:textId="1196C680" w:rsidR="00B52B86" w:rsidRPr="006E0B8F" w:rsidRDefault="00B52B86">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 4.</w:t>
      </w:r>
    </w:p>
  </w:footnote>
  <w:footnote w:id="8">
    <w:p w14:paraId="27869552" w14:textId="30106703" w:rsidR="00D5180E" w:rsidRPr="006E0B8F" w:rsidRDefault="00D5180E" w:rsidP="00D5180E">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pp. 4-5.</w:t>
      </w:r>
    </w:p>
  </w:footnote>
  <w:footnote w:id="9">
    <w:p w14:paraId="313C2376" w14:textId="16310590" w:rsidR="00D5180E" w:rsidRPr="006E0B8F" w:rsidRDefault="00D5180E" w:rsidP="00D5180E">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 6.</w:t>
      </w:r>
    </w:p>
  </w:footnote>
  <w:footnote w:id="10">
    <w:p w14:paraId="7F00735B" w14:textId="385063C1" w:rsidR="00F554D4" w:rsidRPr="006E0B8F" w:rsidRDefault="00F554D4" w:rsidP="00F554D4">
      <w:pPr>
        <w:pStyle w:val="FootnoteText"/>
        <w:rPr>
          <w:sz w:val="16"/>
          <w:szCs w:val="16"/>
        </w:rPr>
      </w:pPr>
      <w:r w:rsidRPr="006E0B8F">
        <w:rPr>
          <w:rStyle w:val="FootnoteReference"/>
          <w:sz w:val="16"/>
          <w:szCs w:val="16"/>
        </w:rPr>
        <w:footnoteRef/>
      </w:r>
      <w:r w:rsidR="009B2BC9">
        <w:rPr>
          <w:sz w:val="16"/>
          <w:szCs w:val="16"/>
        </w:rPr>
        <w:t xml:space="preserve"> Ibid.</w:t>
      </w:r>
      <w:r w:rsidRPr="006E0B8F">
        <w:rPr>
          <w:sz w:val="16"/>
          <w:szCs w:val="16"/>
        </w:rPr>
        <w:t>, p. 5.</w:t>
      </w:r>
    </w:p>
  </w:footnote>
  <w:footnote w:id="11">
    <w:p w14:paraId="77F5C1D2" w14:textId="60729D72" w:rsidR="00102A6C" w:rsidRPr="006E0B8F" w:rsidRDefault="00102A6C" w:rsidP="00102A6C">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xml:space="preserve">, p. 5. </w:t>
      </w:r>
    </w:p>
  </w:footnote>
  <w:footnote w:id="12">
    <w:p w14:paraId="6821A05C" w14:textId="702F9A65" w:rsidR="005C5795" w:rsidRPr="006E0B8F" w:rsidRDefault="005C5795" w:rsidP="005C5795">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 15.</w:t>
      </w:r>
    </w:p>
  </w:footnote>
  <w:footnote w:id="13">
    <w:p w14:paraId="0823A46C" w14:textId="6A51E3C5" w:rsidR="00985100" w:rsidRPr="006E0B8F" w:rsidRDefault="00985100" w:rsidP="00985100">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 4.</w:t>
      </w:r>
    </w:p>
  </w:footnote>
  <w:footnote w:id="14">
    <w:p w14:paraId="5A6782D9" w14:textId="79AF9B8A" w:rsidR="00985100" w:rsidRPr="006E0B8F" w:rsidRDefault="00985100" w:rsidP="00985100">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p.12.</w:t>
      </w:r>
    </w:p>
  </w:footnote>
  <w:footnote w:id="15">
    <w:p w14:paraId="5013A0D6" w14:textId="44F5645D" w:rsidR="00985100" w:rsidRPr="006E0B8F" w:rsidRDefault="00985100" w:rsidP="00985100">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 13.</w:t>
      </w:r>
    </w:p>
  </w:footnote>
  <w:footnote w:id="16">
    <w:p w14:paraId="1C0E2210" w14:textId="2414C2A6" w:rsidR="00985100" w:rsidRPr="006E0B8F" w:rsidRDefault="00985100" w:rsidP="00985100">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 13.</w:t>
      </w:r>
    </w:p>
  </w:footnote>
  <w:footnote w:id="17">
    <w:p w14:paraId="653D7E00" w14:textId="5EA4590E" w:rsidR="00985100" w:rsidRPr="006E0B8F" w:rsidRDefault="00985100" w:rsidP="00985100">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 13.</w:t>
      </w:r>
    </w:p>
  </w:footnote>
  <w:footnote w:id="18">
    <w:p w14:paraId="0317BD11" w14:textId="216C6F24" w:rsidR="00985100" w:rsidRPr="006E0B8F" w:rsidRDefault="00985100" w:rsidP="00985100">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 22.</w:t>
      </w:r>
    </w:p>
  </w:footnote>
  <w:footnote w:id="19">
    <w:p w14:paraId="0C950218" w14:textId="25E6EC1B" w:rsidR="001934D3" w:rsidRPr="006E0B8F" w:rsidRDefault="001934D3" w:rsidP="001934D3">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 9.</w:t>
      </w:r>
    </w:p>
  </w:footnote>
  <w:footnote w:id="20">
    <w:p w14:paraId="4B7E04FF" w14:textId="41E9B079" w:rsidR="001934D3" w:rsidRPr="006E0B8F" w:rsidRDefault="001934D3" w:rsidP="001934D3">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 9.</w:t>
      </w:r>
    </w:p>
  </w:footnote>
  <w:footnote w:id="21">
    <w:p w14:paraId="3C927FE8" w14:textId="7B154986" w:rsidR="001934D3" w:rsidRPr="006E0B8F" w:rsidRDefault="001934D3" w:rsidP="001934D3">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 9.</w:t>
      </w:r>
    </w:p>
  </w:footnote>
  <w:footnote w:id="22">
    <w:p w14:paraId="40BCDA57" w14:textId="6A6A6A5F" w:rsidR="00985100" w:rsidRPr="006E0B8F" w:rsidRDefault="00985100" w:rsidP="00985100">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 12.</w:t>
      </w:r>
    </w:p>
  </w:footnote>
  <w:footnote w:id="23">
    <w:p w14:paraId="2811190C" w14:textId="387D610E" w:rsidR="00985100" w:rsidRPr="006E0B8F" w:rsidRDefault="00985100" w:rsidP="00985100">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pp. 14-15.</w:t>
      </w:r>
    </w:p>
  </w:footnote>
  <w:footnote w:id="24">
    <w:p w14:paraId="32FA98E2" w14:textId="3C0BEADF" w:rsidR="00985100" w:rsidRPr="006E0B8F" w:rsidRDefault="00985100" w:rsidP="00985100">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 29.</w:t>
      </w:r>
    </w:p>
  </w:footnote>
  <w:footnote w:id="25">
    <w:p w14:paraId="52C7E06E" w14:textId="2485AAD5" w:rsidR="00985100" w:rsidRPr="006E0B8F" w:rsidRDefault="00985100" w:rsidP="00985100">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 30.</w:t>
      </w:r>
    </w:p>
  </w:footnote>
  <w:footnote w:id="26">
    <w:p w14:paraId="58F9BCFE" w14:textId="4D1EC147" w:rsidR="00985100" w:rsidRPr="006E0B8F" w:rsidRDefault="00985100" w:rsidP="00985100">
      <w:pPr>
        <w:pStyle w:val="FootnoteText"/>
        <w:rPr>
          <w:sz w:val="16"/>
          <w:szCs w:val="16"/>
        </w:rPr>
      </w:pPr>
      <w:r w:rsidRPr="006E0B8F">
        <w:rPr>
          <w:rStyle w:val="FootnoteReference"/>
          <w:sz w:val="16"/>
          <w:szCs w:val="16"/>
        </w:rPr>
        <w:footnoteRef/>
      </w:r>
      <w:r w:rsidRPr="006E0B8F">
        <w:rPr>
          <w:sz w:val="16"/>
          <w:szCs w:val="16"/>
        </w:rPr>
        <w:t xml:space="preserve"> </w:t>
      </w:r>
      <w:r w:rsidR="009B2BC9">
        <w:rPr>
          <w:sz w:val="16"/>
          <w:szCs w:val="16"/>
        </w:rPr>
        <w:t>Ibid.</w:t>
      </w:r>
      <w:r w:rsidRPr="006E0B8F">
        <w:rPr>
          <w:sz w:val="16"/>
          <w:szCs w:val="16"/>
        </w:rPr>
        <w:t>, p. 31.</w:t>
      </w:r>
    </w:p>
  </w:footnote>
  <w:footnote w:id="27">
    <w:p w14:paraId="000BF4FD" w14:textId="0019ABFE" w:rsidR="0068372B" w:rsidRPr="006E0B8F" w:rsidRDefault="0068372B">
      <w:pPr>
        <w:pStyle w:val="FootnoteText"/>
        <w:rPr>
          <w:sz w:val="16"/>
          <w:szCs w:val="16"/>
        </w:rPr>
      </w:pPr>
      <w:r w:rsidRPr="006E0B8F">
        <w:rPr>
          <w:rStyle w:val="FootnoteReference"/>
          <w:sz w:val="16"/>
          <w:szCs w:val="16"/>
        </w:rPr>
        <w:footnoteRef/>
      </w:r>
      <w:r w:rsidRPr="006E0B8F">
        <w:rPr>
          <w:sz w:val="16"/>
          <w:szCs w:val="16"/>
        </w:rPr>
        <w:t xml:space="preserve"> </w:t>
      </w:r>
      <w:r w:rsidR="008E4954">
        <w:rPr>
          <w:sz w:val="16"/>
          <w:szCs w:val="16"/>
        </w:rPr>
        <w:t>Ibid.</w:t>
      </w:r>
      <w:r w:rsidRPr="006E0B8F">
        <w:rPr>
          <w:sz w:val="16"/>
          <w:szCs w:val="16"/>
        </w:rPr>
        <w:t>, p. 16.</w:t>
      </w:r>
    </w:p>
  </w:footnote>
  <w:footnote w:id="28">
    <w:p w14:paraId="68A52B26" w14:textId="49C43305" w:rsidR="0068372B" w:rsidRPr="006E0B8F" w:rsidRDefault="0068372B">
      <w:pPr>
        <w:pStyle w:val="FootnoteText"/>
        <w:rPr>
          <w:sz w:val="16"/>
          <w:szCs w:val="16"/>
        </w:rPr>
      </w:pPr>
      <w:r w:rsidRPr="006E0B8F">
        <w:rPr>
          <w:rStyle w:val="FootnoteReference"/>
          <w:sz w:val="16"/>
          <w:szCs w:val="16"/>
        </w:rPr>
        <w:footnoteRef/>
      </w:r>
      <w:r w:rsidRPr="006E0B8F">
        <w:rPr>
          <w:sz w:val="16"/>
          <w:szCs w:val="16"/>
        </w:rPr>
        <w:t xml:space="preserve"> </w:t>
      </w:r>
      <w:r w:rsidR="008E4954">
        <w:rPr>
          <w:sz w:val="16"/>
          <w:szCs w:val="16"/>
        </w:rPr>
        <w:t>Ibid.</w:t>
      </w:r>
      <w:r w:rsidRPr="006E0B8F">
        <w:rPr>
          <w:sz w:val="16"/>
          <w:szCs w:val="16"/>
        </w:rPr>
        <w:t>, p. 16.</w:t>
      </w:r>
    </w:p>
  </w:footnote>
  <w:footnote w:id="29">
    <w:p w14:paraId="2D581A3F" w14:textId="5D145308" w:rsidR="00743E35" w:rsidRPr="006E0B8F" w:rsidRDefault="00743E35" w:rsidP="00743E35">
      <w:pPr>
        <w:pStyle w:val="FootnoteText"/>
        <w:rPr>
          <w:sz w:val="16"/>
          <w:szCs w:val="16"/>
        </w:rPr>
      </w:pPr>
      <w:r w:rsidRPr="006E0B8F">
        <w:rPr>
          <w:rStyle w:val="FootnoteReference"/>
          <w:sz w:val="16"/>
          <w:szCs w:val="16"/>
        </w:rPr>
        <w:footnoteRef/>
      </w:r>
      <w:r w:rsidRPr="006E0B8F">
        <w:rPr>
          <w:sz w:val="16"/>
          <w:szCs w:val="16"/>
        </w:rPr>
        <w:t xml:space="preserve"> </w:t>
      </w:r>
      <w:r w:rsidR="008E4954">
        <w:rPr>
          <w:sz w:val="16"/>
          <w:szCs w:val="16"/>
        </w:rPr>
        <w:t>Ibid.</w:t>
      </w:r>
      <w:r w:rsidRPr="006E0B8F">
        <w:rPr>
          <w:sz w:val="16"/>
          <w:szCs w:val="16"/>
        </w:rPr>
        <w:t>, pp. 17-18.</w:t>
      </w:r>
    </w:p>
  </w:footnote>
  <w:footnote w:id="30">
    <w:p w14:paraId="27F3B2E9" w14:textId="727D53D3" w:rsidR="00743E35" w:rsidRPr="006E0B8F" w:rsidRDefault="00743E35" w:rsidP="00743E35">
      <w:pPr>
        <w:pStyle w:val="FootnoteText"/>
        <w:rPr>
          <w:sz w:val="16"/>
          <w:szCs w:val="16"/>
        </w:rPr>
      </w:pPr>
      <w:r w:rsidRPr="006E0B8F">
        <w:rPr>
          <w:rStyle w:val="FootnoteReference"/>
          <w:sz w:val="16"/>
          <w:szCs w:val="16"/>
        </w:rPr>
        <w:footnoteRef/>
      </w:r>
      <w:r w:rsidRPr="006E0B8F">
        <w:rPr>
          <w:sz w:val="16"/>
          <w:szCs w:val="16"/>
        </w:rPr>
        <w:t xml:space="preserve"> </w:t>
      </w:r>
      <w:r w:rsidR="008E4954">
        <w:rPr>
          <w:sz w:val="16"/>
          <w:szCs w:val="16"/>
        </w:rPr>
        <w:t>Ibid.</w:t>
      </w:r>
      <w:r w:rsidRPr="006E0B8F">
        <w:rPr>
          <w:sz w:val="16"/>
          <w:szCs w:val="16"/>
        </w:rPr>
        <w:t>, p. 18.</w:t>
      </w:r>
    </w:p>
  </w:footnote>
  <w:footnote w:id="31">
    <w:p w14:paraId="358595DC" w14:textId="2EEFF809" w:rsidR="004B1016" w:rsidRPr="006E0B8F" w:rsidRDefault="004B1016" w:rsidP="004B1016">
      <w:pPr>
        <w:pStyle w:val="FootnoteText"/>
        <w:rPr>
          <w:sz w:val="16"/>
          <w:szCs w:val="16"/>
        </w:rPr>
      </w:pPr>
      <w:r w:rsidRPr="006E0B8F">
        <w:rPr>
          <w:rStyle w:val="FootnoteReference"/>
          <w:sz w:val="16"/>
          <w:szCs w:val="16"/>
        </w:rPr>
        <w:footnoteRef/>
      </w:r>
      <w:r w:rsidRPr="006E0B8F">
        <w:rPr>
          <w:sz w:val="16"/>
          <w:szCs w:val="16"/>
        </w:rPr>
        <w:t xml:space="preserve"> </w:t>
      </w:r>
      <w:r w:rsidR="008E4954">
        <w:rPr>
          <w:sz w:val="16"/>
          <w:szCs w:val="16"/>
        </w:rPr>
        <w:t>Ibid.</w:t>
      </w:r>
      <w:r w:rsidRPr="006E0B8F">
        <w:rPr>
          <w:sz w:val="16"/>
          <w:szCs w:val="16"/>
        </w:rPr>
        <w:t>, p. 18.</w:t>
      </w:r>
    </w:p>
  </w:footnote>
  <w:footnote w:id="32">
    <w:p w14:paraId="60D2E473" w14:textId="6346C32A" w:rsidR="004B1016" w:rsidRPr="006E0B8F" w:rsidRDefault="004B1016" w:rsidP="004B1016">
      <w:pPr>
        <w:pStyle w:val="FootnoteText"/>
        <w:rPr>
          <w:sz w:val="16"/>
          <w:szCs w:val="16"/>
        </w:rPr>
      </w:pPr>
      <w:r w:rsidRPr="006E0B8F">
        <w:rPr>
          <w:rStyle w:val="FootnoteReference"/>
          <w:sz w:val="16"/>
          <w:szCs w:val="16"/>
        </w:rPr>
        <w:footnoteRef/>
      </w:r>
      <w:r w:rsidRPr="006E0B8F">
        <w:rPr>
          <w:sz w:val="16"/>
          <w:szCs w:val="16"/>
        </w:rPr>
        <w:t xml:space="preserve"> </w:t>
      </w:r>
      <w:r w:rsidR="008E4954">
        <w:rPr>
          <w:sz w:val="16"/>
          <w:szCs w:val="16"/>
        </w:rPr>
        <w:t>Ibid.</w:t>
      </w:r>
      <w:r w:rsidRPr="006E0B8F">
        <w:rPr>
          <w:sz w:val="16"/>
          <w:szCs w:val="16"/>
        </w:rPr>
        <w:t>, p. 19.</w:t>
      </w:r>
    </w:p>
  </w:footnote>
  <w:footnote w:id="33">
    <w:p w14:paraId="1592ED37" w14:textId="3669DDB9" w:rsidR="004B1016" w:rsidRPr="006E0B8F" w:rsidRDefault="004B1016" w:rsidP="004B1016">
      <w:pPr>
        <w:pStyle w:val="FootnoteText"/>
        <w:rPr>
          <w:sz w:val="16"/>
          <w:szCs w:val="16"/>
        </w:rPr>
      </w:pPr>
      <w:r w:rsidRPr="006E0B8F">
        <w:rPr>
          <w:rStyle w:val="FootnoteReference"/>
          <w:sz w:val="16"/>
          <w:szCs w:val="16"/>
        </w:rPr>
        <w:footnoteRef/>
      </w:r>
      <w:r w:rsidRPr="006E0B8F">
        <w:rPr>
          <w:sz w:val="16"/>
          <w:szCs w:val="16"/>
        </w:rPr>
        <w:t xml:space="preserve"> </w:t>
      </w:r>
      <w:r w:rsidR="008E4954">
        <w:rPr>
          <w:sz w:val="16"/>
          <w:szCs w:val="16"/>
        </w:rPr>
        <w:t>Ibid.</w:t>
      </w:r>
      <w:r w:rsidRPr="006E0B8F">
        <w:rPr>
          <w:sz w:val="16"/>
          <w:szCs w:val="16"/>
        </w:rPr>
        <w:t>, p. 19.</w:t>
      </w:r>
    </w:p>
  </w:footnote>
  <w:footnote w:id="34">
    <w:p w14:paraId="40A31DDD" w14:textId="5A9ABFAA" w:rsidR="004B1016" w:rsidRPr="006E0B8F" w:rsidRDefault="004B1016" w:rsidP="004B1016">
      <w:pPr>
        <w:pStyle w:val="FootnoteText"/>
        <w:rPr>
          <w:sz w:val="16"/>
          <w:szCs w:val="16"/>
        </w:rPr>
      </w:pPr>
      <w:r w:rsidRPr="006E0B8F">
        <w:rPr>
          <w:rStyle w:val="FootnoteReference"/>
          <w:sz w:val="16"/>
          <w:szCs w:val="16"/>
        </w:rPr>
        <w:footnoteRef/>
      </w:r>
      <w:r w:rsidRPr="006E0B8F">
        <w:rPr>
          <w:sz w:val="16"/>
          <w:szCs w:val="16"/>
        </w:rPr>
        <w:t xml:space="preserve"> </w:t>
      </w:r>
      <w:r w:rsidR="008D474A">
        <w:rPr>
          <w:sz w:val="16"/>
          <w:szCs w:val="16"/>
        </w:rPr>
        <w:t>Ibid.</w:t>
      </w:r>
      <w:r w:rsidRPr="006E0B8F">
        <w:rPr>
          <w:sz w:val="16"/>
          <w:szCs w:val="16"/>
        </w:rPr>
        <w:t>, pp. 20-21.</w:t>
      </w:r>
    </w:p>
  </w:footnote>
  <w:footnote w:id="35">
    <w:p w14:paraId="7A7A044F" w14:textId="5F3156F5" w:rsidR="00B5540F" w:rsidRPr="006E0B8F" w:rsidRDefault="00B5540F" w:rsidP="00B5540F">
      <w:pPr>
        <w:pStyle w:val="FootnoteText"/>
        <w:rPr>
          <w:sz w:val="16"/>
          <w:szCs w:val="16"/>
        </w:rPr>
      </w:pPr>
      <w:r w:rsidRPr="006E0B8F">
        <w:rPr>
          <w:rStyle w:val="FootnoteReference"/>
          <w:sz w:val="16"/>
          <w:szCs w:val="16"/>
        </w:rPr>
        <w:footnoteRef/>
      </w:r>
      <w:r w:rsidRPr="006E0B8F">
        <w:rPr>
          <w:sz w:val="16"/>
          <w:szCs w:val="16"/>
        </w:rPr>
        <w:t xml:space="preserve"> </w:t>
      </w:r>
      <w:r w:rsidR="008D474A">
        <w:rPr>
          <w:sz w:val="16"/>
          <w:szCs w:val="16"/>
        </w:rPr>
        <w:t>Ibid.</w:t>
      </w:r>
      <w:r w:rsidRPr="006E0B8F">
        <w:rPr>
          <w:sz w:val="16"/>
          <w:szCs w:val="16"/>
        </w:rPr>
        <w:t>, pp. 26-27.</w:t>
      </w:r>
    </w:p>
  </w:footnote>
  <w:footnote w:id="36">
    <w:p w14:paraId="4CBD7AAE" w14:textId="37948120" w:rsidR="004B1016" w:rsidRPr="006E0B8F" w:rsidRDefault="004B1016" w:rsidP="004B1016">
      <w:pPr>
        <w:pStyle w:val="FootnoteText"/>
        <w:rPr>
          <w:sz w:val="16"/>
          <w:szCs w:val="16"/>
        </w:rPr>
      </w:pPr>
      <w:r w:rsidRPr="006E0B8F">
        <w:rPr>
          <w:rStyle w:val="FootnoteReference"/>
          <w:sz w:val="16"/>
          <w:szCs w:val="16"/>
        </w:rPr>
        <w:footnoteRef/>
      </w:r>
      <w:r w:rsidRPr="006E0B8F">
        <w:rPr>
          <w:sz w:val="16"/>
          <w:szCs w:val="16"/>
        </w:rPr>
        <w:t xml:space="preserve"> </w:t>
      </w:r>
      <w:r w:rsidR="008D474A">
        <w:rPr>
          <w:sz w:val="16"/>
          <w:szCs w:val="16"/>
        </w:rPr>
        <w:t>Ibid.</w:t>
      </w:r>
      <w:r w:rsidRPr="006E0B8F">
        <w:rPr>
          <w:sz w:val="16"/>
          <w:szCs w:val="16"/>
        </w:rPr>
        <w:t>, p. 21.</w:t>
      </w:r>
    </w:p>
  </w:footnote>
  <w:footnote w:id="37">
    <w:p w14:paraId="2C084EF1" w14:textId="3595281F" w:rsidR="00D207AE" w:rsidRPr="006E0B8F" w:rsidRDefault="00D207AE">
      <w:pPr>
        <w:pStyle w:val="FootnoteText"/>
        <w:rPr>
          <w:sz w:val="16"/>
          <w:szCs w:val="16"/>
        </w:rPr>
      </w:pPr>
      <w:r w:rsidRPr="006E0B8F">
        <w:rPr>
          <w:rStyle w:val="FootnoteReference"/>
          <w:sz w:val="16"/>
          <w:szCs w:val="16"/>
        </w:rPr>
        <w:footnoteRef/>
      </w:r>
      <w:r w:rsidRPr="006E0B8F">
        <w:rPr>
          <w:sz w:val="16"/>
          <w:szCs w:val="16"/>
        </w:rPr>
        <w:t xml:space="preserve"> for the sake of expediency, substantial commentary will only be made on several of these sources.</w:t>
      </w:r>
    </w:p>
  </w:footnote>
  <w:footnote w:id="38">
    <w:p w14:paraId="25CFC027" w14:textId="20E020A1" w:rsidR="00B91644" w:rsidRPr="006E0B8F" w:rsidRDefault="00B91644">
      <w:pPr>
        <w:pStyle w:val="FootnoteText"/>
        <w:rPr>
          <w:sz w:val="16"/>
          <w:szCs w:val="16"/>
        </w:rPr>
      </w:pPr>
      <w:r w:rsidRPr="006E0B8F">
        <w:rPr>
          <w:rStyle w:val="FootnoteReference"/>
          <w:sz w:val="16"/>
          <w:szCs w:val="16"/>
        </w:rPr>
        <w:footnoteRef/>
      </w:r>
      <w:r w:rsidRPr="006E0B8F">
        <w:rPr>
          <w:sz w:val="16"/>
          <w:szCs w:val="16"/>
        </w:rPr>
        <w:t xml:space="preserve"> This was noted during module seminars, particularly focusing on Hilary Mantel and her Wolf Hall series</w:t>
      </w:r>
      <w:r w:rsidR="0001342B" w:rsidRPr="006E0B8F">
        <w:rPr>
          <w:sz w:val="16"/>
          <w:szCs w:val="16"/>
        </w:rPr>
        <w:t>.</w:t>
      </w:r>
    </w:p>
  </w:footnote>
  <w:footnote w:id="39">
    <w:p w14:paraId="4DFC8524" w14:textId="799C2463" w:rsidR="00772941" w:rsidRPr="006E0B8F" w:rsidRDefault="00772941" w:rsidP="00772941">
      <w:pPr>
        <w:spacing w:after="0"/>
        <w:rPr>
          <w:sz w:val="16"/>
          <w:szCs w:val="16"/>
        </w:rPr>
      </w:pPr>
      <w:r w:rsidRPr="006E0B8F">
        <w:rPr>
          <w:rStyle w:val="FootnoteReference"/>
          <w:sz w:val="16"/>
          <w:szCs w:val="16"/>
        </w:rPr>
        <w:footnoteRef/>
      </w:r>
      <w:r w:rsidRPr="006E0B8F">
        <w:rPr>
          <w:sz w:val="16"/>
          <w:szCs w:val="16"/>
        </w:rPr>
        <w:t xml:space="preserve"> Halttunen, K, ‘Cultural History and the Challenge of Narrativity,’ p. 165.</w:t>
      </w:r>
    </w:p>
  </w:footnote>
  <w:footnote w:id="40">
    <w:p w14:paraId="6B8C9DC7" w14:textId="4910C50E" w:rsidR="00772941" w:rsidRPr="006E0B8F" w:rsidRDefault="00772941" w:rsidP="00772941">
      <w:pPr>
        <w:pStyle w:val="FootnoteText"/>
        <w:rPr>
          <w:sz w:val="16"/>
          <w:szCs w:val="16"/>
        </w:rPr>
      </w:pPr>
      <w:r w:rsidRPr="006E0B8F">
        <w:rPr>
          <w:rStyle w:val="FootnoteReference"/>
          <w:sz w:val="16"/>
          <w:szCs w:val="16"/>
        </w:rPr>
        <w:footnoteRef/>
      </w:r>
      <w:r w:rsidRPr="006E0B8F">
        <w:rPr>
          <w:sz w:val="16"/>
          <w:szCs w:val="16"/>
        </w:rPr>
        <w:t xml:space="preserve"> </w:t>
      </w:r>
      <w:r w:rsidR="00621B53" w:rsidRPr="00621B53">
        <w:rPr>
          <w:sz w:val="16"/>
          <w:szCs w:val="16"/>
        </w:rPr>
        <w:t xml:space="preserve">‘NLW MS 2132B (1868-1899),’ </w:t>
      </w:r>
      <w:r w:rsidR="00621B53" w:rsidRPr="00621B53">
        <w:rPr>
          <w:i/>
          <w:iCs/>
          <w:sz w:val="16"/>
          <w:szCs w:val="16"/>
        </w:rPr>
        <w:t>National Library of Wales</w:t>
      </w:r>
      <w:r w:rsidR="00621B53" w:rsidRPr="00621B53">
        <w:rPr>
          <w:sz w:val="16"/>
          <w:szCs w:val="16"/>
        </w:rPr>
        <w:t xml:space="preserve"> (online description for document): &lt;https://archivestest.library.wales/index.php/transcripts-33&gt; [accessed 10/11/25].</w:t>
      </w:r>
    </w:p>
  </w:footnote>
  <w:footnote w:id="41">
    <w:p w14:paraId="0C8DC41F" w14:textId="1620F3C3" w:rsidR="00772941" w:rsidRPr="006E0B8F" w:rsidRDefault="00772941" w:rsidP="00772941">
      <w:pPr>
        <w:pStyle w:val="FootnoteText"/>
        <w:rPr>
          <w:sz w:val="16"/>
          <w:szCs w:val="16"/>
        </w:rPr>
      </w:pPr>
      <w:r w:rsidRPr="006E0B8F">
        <w:rPr>
          <w:rStyle w:val="FootnoteReference"/>
          <w:sz w:val="16"/>
          <w:szCs w:val="16"/>
        </w:rPr>
        <w:footnoteRef/>
      </w:r>
      <w:r w:rsidRPr="006E0B8F">
        <w:rPr>
          <w:sz w:val="16"/>
          <w:szCs w:val="16"/>
        </w:rPr>
        <w:t xml:space="preserve"> </w:t>
      </w:r>
      <w:r w:rsidR="008D474A">
        <w:rPr>
          <w:sz w:val="16"/>
          <w:szCs w:val="16"/>
        </w:rPr>
        <w:t xml:space="preserve">Morris, J., </w:t>
      </w:r>
      <w:r w:rsidR="008D474A">
        <w:rPr>
          <w:i/>
          <w:iCs/>
          <w:sz w:val="16"/>
          <w:szCs w:val="16"/>
        </w:rPr>
        <w:t>A Machynlleth Triad</w:t>
      </w:r>
      <w:r w:rsidRPr="006E0B8F">
        <w:rPr>
          <w:sz w:val="16"/>
          <w:szCs w:val="16"/>
        </w:rPr>
        <w:t>, p. 4.</w:t>
      </w:r>
    </w:p>
  </w:footnote>
  <w:footnote w:id="42">
    <w:p w14:paraId="35A9913C" w14:textId="072FC443" w:rsidR="00772941" w:rsidRPr="006E0B8F" w:rsidRDefault="00772941" w:rsidP="00772941">
      <w:pPr>
        <w:pStyle w:val="FootnoteText"/>
        <w:rPr>
          <w:sz w:val="16"/>
          <w:szCs w:val="16"/>
        </w:rPr>
      </w:pPr>
      <w:r w:rsidRPr="006E0B8F">
        <w:rPr>
          <w:rStyle w:val="FootnoteReference"/>
          <w:sz w:val="16"/>
          <w:szCs w:val="16"/>
        </w:rPr>
        <w:footnoteRef/>
      </w:r>
      <w:r w:rsidRPr="006E0B8F">
        <w:rPr>
          <w:sz w:val="16"/>
          <w:szCs w:val="16"/>
        </w:rPr>
        <w:t xml:space="preserve"> </w:t>
      </w:r>
      <w:r w:rsidR="008D474A">
        <w:rPr>
          <w:sz w:val="16"/>
          <w:szCs w:val="16"/>
        </w:rPr>
        <w:t>Ibid.</w:t>
      </w:r>
      <w:r w:rsidRPr="006E0B8F">
        <w:rPr>
          <w:sz w:val="16"/>
          <w:szCs w:val="16"/>
        </w:rPr>
        <w:t>, p. 17.</w:t>
      </w:r>
    </w:p>
  </w:footnote>
  <w:footnote w:id="43">
    <w:p w14:paraId="45357893" w14:textId="1A6D6635" w:rsidR="00772941" w:rsidRPr="006E0B8F" w:rsidRDefault="00772941" w:rsidP="00772941">
      <w:pPr>
        <w:pStyle w:val="FootnoteText"/>
        <w:rPr>
          <w:sz w:val="16"/>
          <w:szCs w:val="16"/>
        </w:rPr>
      </w:pPr>
      <w:r w:rsidRPr="006E0B8F">
        <w:rPr>
          <w:rStyle w:val="FootnoteReference"/>
          <w:sz w:val="16"/>
          <w:szCs w:val="16"/>
        </w:rPr>
        <w:footnoteRef/>
      </w:r>
      <w:r w:rsidRPr="006E0B8F">
        <w:rPr>
          <w:sz w:val="16"/>
          <w:szCs w:val="16"/>
        </w:rPr>
        <w:t xml:space="preserve"> </w:t>
      </w:r>
      <w:r w:rsidR="00621B53" w:rsidRPr="00621B53">
        <w:rPr>
          <w:sz w:val="16"/>
          <w:szCs w:val="16"/>
        </w:rPr>
        <w:t xml:space="preserve">‘Jesus College MS. 111,’ </w:t>
      </w:r>
      <w:r w:rsidR="00621B53" w:rsidRPr="00604FA6">
        <w:rPr>
          <w:i/>
          <w:iCs/>
          <w:sz w:val="16"/>
          <w:szCs w:val="16"/>
        </w:rPr>
        <w:t>Oxford Libraries Online</w:t>
      </w:r>
      <w:r w:rsidR="00621B53" w:rsidRPr="00621B53">
        <w:rPr>
          <w:sz w:val="16"/>
          <w:szCs w:val="16"/>
        </w:rPr>
        <w:t xml:space="preserve"> (item description and sample digitisation): &lt;https://digital.bodleian.ox.ac.uk/objects/9bf187bf-f862-4453-bc4f-851f6d3948af/&gt; [accessed 20/11/25].</w:t>
      </w:r>
    </w:p>
  </w:footnote>
  <w:footnote w:id="44">
    <w:p w14:paraId="2F5F67B6" w14:textId="38AD8569" w:rsidR="00772941" w:rsidRPr="006E0B8F" w:rsidRDefault="00772941" w:rsidP="00772941">
      <w:pPr>
        <w:pStyle w:val="FootnoteText"/>
        <w:rPr>
          <w:sz w:val="16"/>
          <w:szCs w:val="16"/>
        </w:rPr>
      </w:pPr>
      <w:r w:rsidRPr="006E0B8F">
        <w:rPr>
          <w:rStyle w:val="FootnoteReference"/>
          <w:sz w:val="16"/>
          <w:szCs w:val="16"/>
        </w:rPr>
        <w:footnoteRef/>
      </w:r>
      <w:r w:rsidRPr="006E0B8F">
        <w:rPr>
          <w:sz w:val="16"/>
          <w:szCs w:val="16"/>
        </w:rPr>
        <w:t xml:space="preserve"> </w:t>
      </w:r>
      <w:r w:rsidR="00234B36" w:rsidRPr="00234B36">
        <w:rPr>
          <w:sz w:val="16"/>
          <w:szCs w:val="16"/>
        </w:rPr>
        <w:t xml:space="preserve">Johnson, D. (trans., ed.), </w:t>
      </w:r>
      <w:r w:rsidR="00234B36" w:rsidRPr="00234B36">
        <w:rPr>
          <w:i/>
          <w:iCs/>
          <w:sz w:val="16"/>
          <w:szCs w:val="16"/>
        </w:rPr>
        <w:t xml:space="preserve">Iolo Goch, Poems </w:t>
      </w:r>
      <w:r w:rsidR="00234B36" w:rsidRPr="00234B36">
        <w:rPr>
          <w:sz w:val="16"/>
          <w:szCs w:val="16"/>
        </w:rPr>
        <w:t>(Gomer, 1993)</w:t>
      </w:r>
      <w:r w:rsidRPr="006E0B8F">
        <w:rPr>
          <w:sz w:val="16"/>
          <w:szCs w:val="16"/>
        </w:rPr>
        <w:t xml:space="preserve">, </w:t>
      </w:r>
      <w:r w:rsidR="006062B0">
        <w:rPr>
          <w:sz w:val="16"/>
          <w:szCs w:val="16"/>
        </w:rPr>
        <w:t xml:space="preserve">p. </w:t>
      </w:r>
      <w:r w:rsidRPr="006E0B8F">
        <w:rPr>
          <w:sz w:val="16"/>
          <w:szCs w:val="16"/>
        </w:rPr>
        <w:t>ix</w:t>
      </w:r>
      <w:r w:rsidR="006062B0">
        <w:rPr>
          <w:sz w:val="16"/>
          <w:szCs w:val="16"/>
        </w:rPr>
        <w:t>.</w:t>
      </w:r>
    </w:p>
  </w:footnote>
  <w:footnote w:id="45">
    <w:p w14:paraId="7A1A6F74" w14:textId="17B5A61E" w:rsidR="00772941" w:rsidRPr="006E0B8F" w:rsidRDefault="00772941" w:rsidP="00772941">
      <w:pPr>
        <w:pStyle w:val="FootnoteText"/>
        <w:rPr>
          <w:sz w:val="16"/>
          <w:szCs w:val="16"/>
        </w:rPr>
      </w:pPr>
      <w:r w:rsidRPr="006E0B8F">
        <w:rPr>
          <w:rStyle w:val="FootnoteReference"/>
          <w:sz w:val="16"/>
          <w:szCs w:val="16"/>
        </w:rPr>
        <w:footnoteRef/>
      </w:r>
      <w:r w:rsidRPr="006E0B8F">
        <w:rPr>
          <w:sz w:val="16"/>
          <w:szCs w:val="16"/>
        </w:rPr>
        <w:t xml:space="preserve"> </w:t>
      </w:r>
      <w:r w:rsidR="009339E7" w:rsidRPr="009339E7">
        <w:rPr>
          <w:sz w:val="16"/>
          <w:szCs w:val="16"/>
        </w:rPr>
        <w:t>Johnson, D.</w:t>
      </w:r>
      <w:r w:rsidR="009339E7">
        <w:rPr>
          <w:sz w:val="16"/>
          <w:szCs w:val="16"/>
        </w:rPr>
        <w:t xml:space="preserve">, </w:t>
      </w:r>
      <w:r w:rsidR="009339E7" w:rsidRPr="009339E7">
        <w:rPr>
          <w:i/>
          <w:iCs/>
          <w:sz w:val="16"/>
          <w:szCs w:val="16"/>
        </w:rPr>
        <w:t>Iolo Goch, Poems</w:t>
      </w:r>
      <w:r w:rsidRPr="006E0B8F">
        <w:rPr>
          <w:sz w:val="16"/>
          <w:szCs w:val="16"/>
        </w:rPr>
        <w:t>,</w:t>
      </w:r>
      <w:r w:rsidR="009339E7">
        <w:rPr>
          <w:sz w:val="16"/>
          <w:szCs w:val="16"/>
        </w:rPr>
        <w:t xml:space="preserve"> p.</w:t>
      </w:r>
      <w:r w:rsidRPr="006E0B8F">
        <w:rPr>
          <w:sz w:val="16"/>
          <w:szCs w:val="16"/>
        </w:rPr>
        <w:t xml:space="preserve"> ix.</w:t>
      </w:r>
    </w:p>
  </w:footnote>
  <w:footnote w:id="46">
    <w:p w14:paraId="6332BA23" w14:textId="02053079" w:rsidR="00772941" w:rsidRPr="006E0B8F" w:rsidRDefault="00772941" w:rsidP="00772941">
      <w:pPr>
        <w:pStyle w:val="FootnoteText"/>
        <w:rPr>
          <w:sz w:val="16"/>
          <w:szCs w:val="16"/>
        </w:rPr>
      </w:pPr>
      <w:r w:rsidRPr="006E0B8F">
        <w:rPr>
          <w:rStyle w:val="FootnoteReference"/>
          <w:sz w:val="16"/>
          <w:szCs w:val="16"/>
        </w:rPr>
        <w:footnoteRef/>
      </w:r>
      <w:r w:rsidRPr="006E0B8F">
        <w:rPr>
          <w:sz w:val="16"/>
          <w:szCs w:val="16"/>
        </w:rPr>
        <w:t xml:space="preserve"> </w:t>
      </w:r>
      <w:r w:rsidR="00150261">
        <w:rPr>
          <w:sz w:val="16"/>
          <w:szCs w:val="16"/>
        </w:rPr>
        <w:t xml:space="preserve">Morris, J., </w:t>
      </w:r>
      <w:r w:rsidR="00150261">
        <w:rPr>
          <w:i/>
          <w:iCs/>
          <w:sz w:val="16"/>
          <w:szCs w:val="16"/>
        </w:rPr>
        <w:t>A Machynlleth Triad,</w:t>
      </w:r>
      <w:r w:rsidR="00150261" w:rsidRPr="006E0B8F">
        <w:rPr>
          <w:sz w:val="16"/>
          <w:szCs w:val="16"/>
        </w:rPr>
        <w:t xml:space="preserve"> </w:t>
      </w:r>
      <w:r w:rsidRPr="006E0B8F">
        <w:rPr>
          <w:sz w:val="16"/>
          <w:szCs w:val="16"/>
        </w:rPr>
        <w:t>p. 32.</w:t>
      </w:r>
    </w:p>
  </w:footnote>
  <w:footnote w:id="47">
    <w:p w14:paraId="2C1BBA71" w14:textId="7E3E19EB" w:rsidR="00772941" w:rsidRPr="006E0B8F" w:rsidRDefault="00772941" w:rsidP="00772941">
      <w:pPr>
        <w:pStyle w:val="FootnoteText"/>
        <w:rPr>
          <w:sz w:val="16"/>
          <w:szCs w:val="16"/>
        </w:rPr>
      </w:pPr>
      <w:r w:rsidRPr="006E0B8F">
        <w:rPr>
          <w:rStyle w:val="FootnoteReference"/>
          <w:sz w:val="16"/>
          <w:szCs w:val="16"/>
        </w:rPr>
        <w:footnoteRef/>
      </w:r>
      <w:r w:rsidR="00926C19">
        <w:rPr>
          <w:sz w:val="16"/>
          <w:szCs w:val="16"/>
        </w:rPr>
        <w:t xml:space="preserve"> </w:t>
      </w:r>
      <w:r w:rsidR="00380250" w:rsidRPr="00380250">
        <w:rPr>
          <w:sz w:val="16"/>
          <w:szCs w:val="16"/>
        </w:rPr>
        <w:t xml:space="preserve">Shakespeare, W., </w:t>
      </w:r>
      <w:r w:rsidR="00380250" w:rsidRPr="00380250">
        <w:rPr>
          <w:i/>
          <w:iCs/>
          <w:sz w:val="16"/>
          <w:szCs w:val="16"/>
        </w:rPr>
        <w:t xml:space="preserve">Henry IV, Part 1, </w:t>
      </w:r>
      <w:r w:rsidR="00380250" w:rsidRPr="00380250">
        <w:rPr>
          <w:sz w:val="16"/>
          <w:szCs w:val="16"/>
        </w:rPr>
        <w:t>online edition at Folger</w:t>
      </w:r>
      <w:r w:rsidR="003D765E">
        <w:rPr>
          <w:sz w:val="16"/>
          <w:szCs w:val="16"/>
        </w:rPr>
        <w:t xml:space="preserve"> Shakespeare Library</w:t>
      </w:r>
      <w:r w:rsidR="00380250" w:rsidRPr="00380250">
        <w:rPr>
          <w:sz w:val="16"/>
          <w:szCs w:val="16"/>
        </w:rPr>
        <w:t>: &lt;https://www.folger.edu/search/?q=I%20can%20call%20spirits%20from%20the%20vasty%20deep&amp;area=works&amp;work=henry-iv-part-1&gt; [accessed 25/11/25].</w:t>
      </w:r>
    </w:p>
  </w:footnote>
  <w:footnote w:id="48">
    <w:p w14:paraId="3ECC3FD7" w14:textId="09C70069" w:rsidR="00772941" w:rsidRPr="006E0B8F" w:rsidRDefault="00772941" w:rsidP="00772941">
      <w:pPr>
        <w:pStyle w:val="FootnoteText"/>
        <w:rPr>
          <w:sz w:val="16"/>
          <w:szCs w:val="16"/>
        </w:rPr>
      </w:pPr>
      <w:r w:rsidRPr="006E0B8F">
        <w:rPr>
          <w:rStyle w:val="FootnoteReference"/>
          <w:sz w:val="16"/>
          <w:szCs w:val="16"/>
        </w:rPr>
        <w:footnoteRef/>
      </w:r>
      <w:r w:rsidRPr="006E0B8F">
        <w:rPr>
          <w:sz w:val="16"/>
          <w:szCs w:val="16"/>
        </w:rPr>
        <w:t xml:space="preserve"> </w:t>
      </w:r>
      <w:r w:rsidR="00C30A77">
        <w:rPr>
          <w:sz w:val="16"/>
          <w:szCs w:val="16"/>
        </w:rPr>
        <w:t xml:space="preserve">Morris, J., </w:t>
      </w:r>
      <w:r w:rsidR="00C30A77">
        <w:rPr>
          <w:i/>
          <w:iCs/>
          <w:sz w:val="16"/>
          <w:szCs w:val="16"/>
        </w:rPr>
        <w:t>A Machynlleth Triad</w:t>
      </w:r>
      <w:r w:rsidRPr="006E0B8F">
        <w:rPr>
          <w:sz w:val="16"/>
          <w:szCs w:val="16"/>
        </w:rPr>
        <w:t>, p. 21.</w:t>
      </w:r>
    </w:p>
  </w:footnote>
  <w:footnote w:id="49">
    <w:p w14:paraId="3CB9FD30" w14:textId="54F9A976" w:rsidR="00772941" w:rsidRPr="006E0B8F" w:rsidRDefault="00772941" w:rsidP="00772941">
      <w:pPr>
        <w:pStyle w:val="FootnoteText"/>
        <w:rPr>
          <w:sz w:val="16"/>
          <w:szCs w:val="16"/>
        </w:rPr>
      </w:pPr>
      <w:r w:rsidRPr="006E0B8F">
        <w:rPr>
          <w:rStyle w:val="FootnoteReference"/>
          <w:sz w:val="16"/>
          <w:szCs w:val="16"/>
        </w:rPr>
        <w:footnoteRef/>
      </w:r>
      <w:r w:rsidRPr="006E0B8F">
        <w:rPr>
          <w:sz w:val="16"/>
          <w:szCs w:val="16"/>
        </w:rPr>
        <w:t xml:space="preserve"> </w:t>
      </w:r>
      <w:r w:rsidR="006062B0" w:rsidRPr="006062B0">
        <w:rPr>
          <w:sz w:val="16"/>
          <w:szCs w:val="16"/>
        </w:rPr>
        <w:t>Johnson, D.</w:t>
      </w:r>
      <w:r w:rsidR="006062B0">
        <w:rPr>
          <w:sz w:val="16"/>
          <w:szCs w:val="16"/>
        </w:rPr>
        <w:t xml:space="preserve">, </w:t>
      </w:r>
      <w:r w:rsidR="006062B0">
        <w:rPr>
          <w:i/>
          <w:iCs/>
          <w:sz w:val="16"/>
          <w:szCs w:val="16"/>
        </w:rPr>
        <w:t>Iolo G</w:t>
      </w:r>
      <w:r w:rsidR="006062B0" w:rsidRPr="006062B0">
        <w:rPr>
          <w:i/>
          <w:iCs/>
          <w:sz w:val="16"/>
          <w:szCs w:val="16"/>
        </w:rPr>
        <w:t>och, Poems</w:t>
      </w:r>
      <w:r w:rsidR="006062B0">
        <w:rPr>
          <w:i/>
          <w:iCs/>
          <w:sz w:val="16"/>
          <w:szCs w:val="16"/>
        </w:rPr>
        <w:t>,</w:t>
      </w:r>
      <w:r w:rsidR="006062B0" w:rsidRPr="006062B0">
        <w:rPr>
          <w:i/>
          <w:iCs/>
          <w:sz w:val="16"/>
          <w:szCs w:val="16"/>
        </w:rPr>
        <w:t xml:space="preserve"> </w:t>
      </w:r>
      <w:r w:rsidRPr="006E0B8F">
        <w:rPr>
          <w:sz w:val="16"/>
          <w:szCs w:val="16"/>
        </w:rPr>
        <w:t>poem 9, line 1</w:t>
      </w:r>
      <w:r w:rsidR="006062B0">
        <w:rPr>
          <w:sz w:val="16"/>
          <w:szCs w:val="16"/>
        </w:rPr>
        <w:t>.</w:t>
      </w:r>
    </w:p>
  </w:footnote>
  <w:footnote w:id="50">
    <w:p w14:paraId="4632EB5C" w14:textId="53CE0362" w:rsidR="00772941" w:rsidRPr="006E0B8F" w:rsidRDefault="00772941" w:rsidP="00772941">
      <w:pPr>
        <w:pStyle w:val="FootnoteText"/>
        <w:rPr>
          <w:sz w:val="16"/>
          <w:szCs w:val="16"/>
        </w:rPr>
      </w:pPr>
      <w:r w:rsidRPr="006E0B8F">
        <w:rPr>
          <w:rStyle w:val="FootnoteReference"/>
          <w:sz w:val="16"/>
          <w:szCs w:val="16"/>
        </w:rPr>
        <w:footnoteRef/>
      </w:r>
      <w:r w:rsidRPr="006E0B8F">
        <w:rPr>
          <w:sz w:val="16"/>
          <w:szCs w:val="16"/>
        </w:rPr>
        <w:t xml:space="preserve"> </w:t>
      </w:r>
      <w:r w:rsidR="006062B0">
        <w:rPr>
          <w:sz w:val="16"/>
          <w:szCs w:val="16"/>
        </w:rPr>
        <w:t>Ibid.</w:t>
      </w:r>
      <w:r w:rsidRPr="006E0B8F">
        <w:rPr>
          <w:sz w:val="16"/>
          <w:szCs w:val="16"/>
        </w:rPr>
        <w:t>, poem 9, line 2</w:t>
      </w:r>
      <w:r w:rsidR="006062B0">
        <w:rPr>
          <w:sz w:val="16"/>
          <w:szCs w:val="16"/>
        </w:rPr>
        <w:t>.</w:t>
      </w:r>
    </w:p>
  </w:footnote>
  <w:footnote w:id="51">
    <w:p w14:paraId="2A7C08DB" w14:textId="3AD32FFE" w:rsidR="00772941" w:rsidRPr="006E0B8F" w:rsidRDefault="00772941" w:rsidP="00772941">
      <w:pPr>
        <w:pStyle w:val="FootnoteText"/>
        <w:tabs>
          <w:tab w:val="left" w:pos="1564"/>
        </w:tabs>
        <w:rPr>
          <w:sz w:val="16"/>
          <w:szCs w:val="16"/>
        </w:rPr>
      </w:pPr>
      <w:r w:rsidRPr="006E0B8F">
        <w:rPr>
          <w:rStyle w:val="FootnoteReference"/>
          <w:sz w:val="16"/>
          <w:szCs w:val="16"/>
        </w:rPr>
        <w:footnoteRef/>
      </w:r>
      <w:r w:rsidRPr="006E0B8F">
        <w:rPr>
          <w:sz w:val="16"/>
          <w:szCs w:val="16"/>
        </w:rPr>
        <w:t xml:space="preserve"> </w:t>
      </w:r>
      <w:r w:rsidR="009C3662" w:rsidRPr="009C3662">
        <w:rPr>
          <w:sz w:val="16"/>
          <w:szCs w:val="16"/>
        </w:rPr>
        <w:t>‘</w:t>
      </w:r>
      <w:r w:rsidR="007574D8" w:rsidRPr="007574D8">
        <w:rPr>
          <w:sz w:val="16"/>
          <w:szCs w:val="16"/>
        </w:rPr>
        <w:t xml:space="preserve">Parry, T., ‘Gruffudd ab yr </w:t>
      </w:r>
      <w:proofErr w:type="spellStart"/>
      <w:r w:rsidR="007574D8" w:rsidRPr="007574D8">
        <w:rPr>
          <w:sz w:val="16"/>
          <w:szCs w:val="16"/>
        </w:rPr>
        <w:t>Ynad</w:t>
      </w:r>
      <w:proofErr w:type="spellEnd"/>
      <w:r w:rsidR="007574D8" w:rsidRPr="007574D8">
        <w:rPr>
          <w:sz w:val="16"/>
          <w:szCs w:val="16"/>
        </w:rPr>
        <w:t xml:space="preserve"> Coch (</w:t>
      </w:r>
      <w:proofErr w:type="spellStart"/>
      <w:r w:rsidR="007574D8" w:rsidRPr="007574D8">
        <w:rPr>
          <w:sz w:val="16"/>
          <w:szCs w:val="16"/>
        </w:rPr>
        <w:t>fl</w:t>
      </w:r>
      <w:proofErr w:type="spellEnd"/>
      <w:r w:rsidR="007574D8" w:rsidRPr="007574D8">
        <w:rPr>
          <w:sz w:val="16"/>
          <w:szCs w:val="16"/>
        </w:rPr>
        <w:t xml:space="preserve"> 1280), poet’, at </w:t>
      </w:r>
      <w:r w:rsidR="007574D8" w:rsidRPr="007574D8">
        <w:rPr>
          <w:i/>
          <w:iCs/>
          <w:sz w:val="16"/>
          <w:szCs w:val="16"/>
        </w:rPr>
        <w:t xml:space="preserve">Dictionary of Welsh Biography </w:t>
      </w:r>
      <w:r w:rsidR="007574D8" w:rsidRPr="007574D8">
        <w:rPr>
          <w:sz w:val="16"/>
          <w:szCs w:val="16"/>
        </w:rPr>
        <w:t>(online, first published 1959):  &lt;https://biography.wales/article/s-GRUF-APY-1280&gt; [accessed 03/11/25].</w:t>
      </w:r>
      <w:r w:rsidRPr="006E0B8F">
        <w:rPr>
          <w:sz w:val="16"/>
          <w:szCs w:val="16"/>
        </w:rPr>
        <w:tab/>
      </w:r>
    </w:p>
  </w:footnote>
  <w:footnote w:id="52">
    <w:p w14:paraId="736C8AA1" w14:textId="23A42F8A" w:rsidR="00772941" w:rsidRPr="006E0B8F" w:rsidRDefault="00772941" w:rsidP="00772941">
      <w:pPr>
        <w:pStyle w:val="FootnoteText"/>
        <w:rPr>
          <w:sz w:val="16"/>
          <w:szCs w:val="16"/>
        </w:rPr>
      </w:pPr>
      <w:r w:rsidRPr="006E0B8F">
        <w:rPr>
          <w:rStyle w:val="FootnoteReference"/>
          <w:sz w:val="16"/>
          <w:szCs w:val="16"/>
        </w:rPr>
        <w:footnoteRef/>
      </w:r>
      <w:r w:rsidRPr="006E0B8F">
        <w:rPr>
          <w:sz w:val="16"/>
          <w:szCs w:val="16"/>
        </w:rPr>
        <w:t xml:space="preserve"> </w:t>
      </w:r>
      <w:r w:rsidR="0064135C">
        <w:rPr>
          <w:sz w:val="16"/>
          <w:szCs w:val="16"/>
        </w:rPr>
        <w:t xml:space="preserve">Morris, J., </w:t>
      </w:r>
      <w:r w:rsidR="0064135C">
        <w:rPr>
          <w:i/>
          <w:iCs/>
          <w:sz w:val="16"/>
          <w:szCs w:val="16"/>
        </w:rPr>
        <w:t>A Machynlleth Triad</w:t>
      </w:r>
      <w:r w:rsidRPr="006E0B8F">
        <w:rPr>
          <w:sz w:val="16"/>
          <w:szCs w:val="16"/>
        </w:rPr>
        <w:t>, pp. 9-10.</w:t>
      </w:r>
    </w:p>
  </w:footnote>
  <w:footnote w:id="53">
    <w:p w14:paraId="260F30DC" w14:textId="3CAEE695" w:rsidR="00772941" w:rsidRPr="006E0B8F" w:rsidRDefault="00772941" w:rsidP="00772941">
      <w:pPr>
        <w:pStyle w:val="FootnoteText"/>
        <w:rPr>
          <w:sz w:val="16"/>
          <w:szCs w:val="16"/>
        </w:rPr>
      </w:pPr>
      <w:r w:rsidRPr="006E0B8F">
        <w:rPr>
          <w:rStyle w:val="FootnoteReference"/>
          <w:sz w:val="16"/>
          <w:szCs w:val="16"/>
        </w:rPr>
        <w:footnoteRef/>
      </w:r>
      <w:r w:rsidRPr="006E0B8F">
        <w:rPr>
          <w:sz w:val="16"/>
          <w:szCs w:val="16"/>
        </w:rPr>
        <w:t xml:space="preserve"> </w:t>
      </w:r>
      <w:r w:rsidR="00926C19" w:rsidRPr="00926C19">
        <w:rPr>
          <w:sz w:val="16"/>
          <w:szCs w:val="16"/>
        </w:rPr>
        <w:t xml:space="preserve">Williams, I., </w:t>
      </w:r>
      <w:r w:rsidR="00926C19" w:rsidRPr="00926C19">
        <w:rPr>
          <w:i/>
          <w:iCs/>
          <w:sz w:val="16"/>
          <w:szCs w:val="16"/>
        </w:rPr>
        <w:t xml:space="preserve">Canu Llywarch Hen </w:t>
      </w:r>
      <w:r w:rsidR="00926C19" w:rsidRPr="00926C19">
        <w:rPr>
          <w:sz w:val="16"/>
          <w:szCs w:val="16"/>
        </w:rPr>
        <w:t>(Cardiff: University of Wales Press,</w:t>
      </w:r>
      <w:r w:rsidR="00926C19" w:rsidRPr="0098211D">
        <w:rPr>
          <w:sz w:val="16"/>
          <w:szCs w:val="16"/>
        </w:rPr>
        <w:t>1935</w:t>
      </w:r>
      <w:r w:rsidR="00926C19" w:rsidRPr="00926C19">
        <w:rPr>
          <w:sz w:val="16"/>
          <w:szCs w:val="16"/>
        </w:rPr>
        <w:t>),</w:t>
      </w:r>
      <w:r w:rsidR="00926C19" w:rsidRPr="00926C19">
        <w:rPr>
          <w:i/>
          <w:iCs/>
          <w:sz w:val="16"/>
          <w:szCs w:val="16"/>
        </w:rPr>
        <w:t xml:space="preserve"> </w:t>
      </w:r>
      <w:r w:rsidR="00926C19" w:rsidRPr="00926C19">
        <w:rPr>
          <w:sz w:val="16"/>
          <w:szCs w:val="16"/>
        </w:rPr>
        <w:t>Internet Archive: &lt;https://archive.org/details/canullywarchhen00llyw&gt; [accessed 27/11/25].</w:t>
      </w:r>
    </w:p>
  </w:footnote>
  <w:footnote w:id="54">
    <w:p w14:paraId="2FD230D4" w14:textId="327C45D9" w:rsidR="00772941" w:rsidRPr="006E0B8F" w:rsidRDefault="00772941" w:rsidP="00772941">
      <w:pPr>
        <w:pStyle w:val="FootnoteText"/>
        <w:rPr>
          <w:sz w:val="16"/>
          <w:szCs w:val="16"/>
        </w:rPr>
      </w:pPr>
      <w:r w:rsidRPr="006E0B8F">
        <w:rPr>
          <w:rStyle w:val="FootnoteReference"/>
          <w:sz w:val="16"/>
          <w:szCs w:val="16"/>
        </w:rPr>
        <w:footnoteRef/>
      </w:r>
      <w:r w:rsidRPr="006E0B8F">
        <w:rPr>
          <w:sz w:val="16"/>
          <w:szCs w:val="16"/>
        </w:rPr>
        <w:t xml:space="preserve"> </w:t>
      </w:r>
      <w:r w:rsidR="0064135C">
        <w:rPr>
          <w:sz w:val="16"/>
          <w:szCs w:val="16"/>
        </w:rPr>
        <w:t xml:space="preserve">Morris, J., </w:t>
      </w:r>
      <w:r w:rsidR="0064135C">
        <w:rPr>
          <w:i/>
          <w:iCs/>
          <w:sz w:val="16"/>
          <w:szCs w:val="16"/>
        </w:rPr>
        <w:t>A Machynlleth Triad</w:t>
      </w:r>
      <w:r w:rsidRPr="006E0B8F">
        <w:rPr>
          <w:sz w:val="16"/>
          <w:szCs w:val="16"/>
        </w:rPr>
        <w:t>, p. 15.</w:t>
      </w:r>
    </w:p>
  </w:footnote>
  <w:footnote w:id="55">
    <w:p w14:paraId="2DA804BE" w14:textId="2A6CD74D" w:rsidR="00772941" w:rsidRPr="006E0B8F" w:rsidRDefault="00772941" w:rsidP="00772941">
      <w:pPr>
        <w:pStyle w:val="FootnoteText"/>
        <w:rPr>
          <w:sz w:val="16"/>
          <w:szCs w:val="16"/>
        </w:rPr>
      </w:pPr>
      <w:r w:rsidRPr="006E0B8F">
        <w:rPr>
          <w:rStyle w:val="FootnoteReference"/>
          <w:sz w:val="16"/>
          <w:szCs w:val="16"/>
        </w:rPr>
        <w:footnoteRef/>
      </w:r>
      <w:r w:rsidRPr="006E0B8F">
        <w:rPr>
          <w:sz w:val="16"/>
          <w:szCs w:val="16"/>
        </w:rPr>
        <w:t xml:space="preserve"> </w:t>
      </w:r>
      <w:r w:rsidR="00F512C5">
        <w:rPr>
          <w:sz w:val="16"/>
          <w:szCs w:val="16"/>
        </w:rPr>
        <w:t xml:space="preserve">Morris, J., </w:t>
      </w:r>
      <w:r w:rsidR="00F512C5">
        <w:rPr>
          <w:i/>
          <w:iCs/>
          <w:sz w:val="16"/>
          <w:szCs w:val="16"/>
        </w:rPr>
        <w:t>A Machynlleth Triad</w:t>
      </w:r>
      <w:r w:rsidRPr="006E0B8F">
        <w:rPr>
          <w:sz w:val="16"/>
          <w:szCs w:val="16"/>
        </w:rPr>
        <w:t>, p. 24.</w:t>
      </w:r>
    </w:p>
  </w:footnote>
  <w:footnote w:id="56">
    <w:p w14:paraId="009F7EEA" w14:textId="0C9C9E8B" w:rsidR="006E0B8F" w:rsidRPr="006E0B8F" w:rsidRDefault="006E0B8F">
      <w:pPr>
        <w:pStyle w:val="FootnoteText"/>
        <w:rPr>
          <w:sz w:val="16"/>
          <w:szCs w:val="16"/>
        </w:rPr>
      </w:pPr>
      <w:r w:rsidRPr="006E0B8F">
        <w:rPr>
          <w:rStyle w:val="FootnoteReference"/>
          <w:sz w:val="16"/>
          <w:szCs w:val="16"/>
        </w:rPr>
        <w:footnoteRef/>
      </w:r>
      <w:r w:rsidRPr="006E0B8F">
        <w:rPr>
          <w:sz w:val="16"/>
          <w:szCs w:val="16"/>
        </w:rPr>
        <w:t xml:space="preserve"> </w:t>
      </w:r>
      <w:r w:rsidRPr="006E0B8F">
        <w:rPr>
          <w:i/>
          <w:iCs/>
          <w:sz w:val="16"/>
          <w:szCs w:val="16"/>
        </w:rPr>
        <w:t>The Pennal Letter</w:t>
      </w:r>
      <w:r w:rsidRPr="006E0B8F">
        <w:rPr>
          <w:sz w:val="16"/>
          <w:szCs w:val="16"/>
        </w:rPr>
        <w:t xml:space="preserve"> (Bilingual Booklet) (Machynlleth: Canolfan Owain Glyndwr, 2007).</w:t>
      </w:r>
    </w:p>
  </w:footnote>
  <w:footnote w:id="57">
    <w:p w14:paraId="1F8785EC" w14:textId="23DE6F44" w:rsidR="00372A5F" w:rsidRPr="006E0B8F" w:rsidRDefault="00372A5F" w:rsidP="00372A5F">
      <w:pPr>
        <w:pStyle w:val="FootnoteText"/>
        <w:rPr>
          <w:sz w:val="16"/>
          <w:szCs w:val="16"/>
        </w:rPr>
      </w:pPr>
      <w:r w:rsidRPr="006E0B8F">
        <w:rPr>
          <w:rStyle w:val="FootnoteReference"/>
          <w:sz w:val="16"/>
          <w:szCs w:val="16"/>
        </w:rPr>
        <w:footnoteRef/>
      </w:r>
      <w:r w:rsidRPr="006E0B8F">
        <w:rPr>
          <w:sz w:val="16"/>
          <w:szCs w:val="16"/>
        </w:rPr>
        <w:t xml:space="preserve"> </w:t>
      </w:r>
      <w:r w:rsidR="00F512C5">
        <w:rPr>
          <w:sz w:val="16"/>
          <w:szCs w:val="16"/>
        </w:rPr>
        <w:t xml:space="preserve">Morris, J., </w:t>
      </w:r>
      <w:r w:rsidR="00F512C5">
        <w:rPr>
          <w:i/>
          <w:iCs/>
          <w:sz w:val="16"/>
          <w:szCs w:val="16"/>
        </w:rPr>
        <w:t>A Machynlleth Triad</w:t>
      </w:r>
      <w:r w:rsidRPr="006E0B8F">
        <w:rPr>
          <w:sz w:val="16"/>
          <w:szCs w:val="16"/>
        </w:rPr>
        <w:t>, p. 27.</w:t>
      </w:r>
    </w:p>
  </w:footnote>
  <w:footnote w:id="58">
    <w:p w14:paraId="2D297A1D" w14:textId="5A2CC3A3" w:rsidR="00372A5F" w:rsidRPr="006E0B8F" w:rsidRDefault="00372A5F" w:rsidP="00372A5F">
      <w:pPr>
        <w:pStyle w:val="FootnoteText"/>
        <w:rPr>
          <w:sz w:val="16"/>
          <w:szCs w:val="16"/>
        </w:rPr>
      </w:pPr>
      <w:r w:rsidRPr="006E0B8F">
        <w:rPr>
          <w:rStyle w:val="FootnoteReference"/>
          <w:sz w:val="16"/>
          <w:szCs w:val="16"/>
        </w:rPr>
        <w:footnoteRef/>
      </w:r>
      <w:r w:rsidRPr="006E0B8F">
        <w:rPr>
          <w:sz w:val="16"/>
          <w:szCs w:val="16"/>
        </w:rPr>
        <w:t xml:space="preserve"> </w:t>
      </w:r>
      <w:r w:rsidR="00F512C5">
        <w:rPr>
          <w:sz w:val="16"/>
          <w:szCs w:val="16"/>
        </w:rPr>
        <w:t>Ibid.</w:t>
      </w:r>
      <w:r w:rsidRPr="006E0B8F">
        <w:rPr>
          <w:sz w:val="16"/>
          <w:szCs w:val="16"/>
        </w:rPr>
        <w:t>, p. 31.</w:t>
      </w:r>
    </w:p>
  </w:footnote>
  <w:footnote w:id="59">
    <w:p w14:paraId="2B3E7A09" w14:textId="5AE9DFCC" w:rsidR="00372A5F" w:rsidRPr="006E0B8F" w:rsidRDefault="00372A5F" w:rsidP="00372A5F">
      <w:pPr>
        <w:pStyle w:val="FootnoteText"/>
        <w:rPr>
          <w:sz w:val="16"/>
          <w:szCs w:val="16"/>
        </w:rPr>
      </w:pPr>
      <w:r w:rsidRPr="006E0B8F">
        <w:rPr>
          <w:rStyle w:val="FootnoteReference"/>
          <w:sz w:val="16"/>
          <w:szCs w:val="16"/>
        </w:rPr>
        <w:footnoteRef/>
      </w:r>
      <w:r w:rsidRPr="006E0B8F">
        <w:rPr>
          <w:sz w:val="16"/>
          <w:szCs w:val="16"/>
        </w:rPr>
        <w:t xml:space="preserve"> </w:t>
      </w:r>
      <w:r w:rsidR="006E0B8F" w:rsidRPr="006E0B8F">
        <w:rPr>
          <w:i/>
          <w:iCs/>
          <w:sz w:val="16"/>
          <w:szCs w:val="16"/>
        </w:rPr>
        <w:t>The Pennal Letter</w:t>
      </w:r>
      <w:r w:rsidR="006E0B8F" w:rsidRPr="006E0B8F">
        <w:rPr>
          <w:sz w:val="16"/>
          <w:szCs w:val="16"/>
        </w:rPr>
        <w:t xml:space="preserve"> </w:t>
      </w:r>
    </w:p>
  </w:footnote>
  <w:footnote w:id="60">
    <w:p w14:paraId="361BDD80" w14:textId="0AB512CF" w:rsidR="004F5FD5" w:rsidRPr="006E0B8F" w:rsidRDefault="004F5FD5" w:rsidP="004F5FD5">
      <w:pPr>
        <w:pStyle w:val="FootnoteText"/>
        <w:rPr>
          <w:sz w:val="16"/>
          <w:szCs w:val="16"/>
        </w:rPr>
      </w:pPr>
      <w:r w:rsidRPr="006E0B8F">
        <w:rPr>
          <w:rStyle w:val="FootnoteReference"/>
          <w:sz w:val="16"/>
          <w:szCs w:val="16"/>
        </w:rPr>
        <w:footnoteRef/>
      </w:r>
      <w:r w:rsidRPr="006E0B8F">
        <w:rPr>
          <w:sz w:val="16"/>
          <w:szCs w:val="16"/>
        </w:rPr>
        <w:t xml:space="preserve"> </w:t>
      </w:r>
      <w:r w:rsidR="00F512C5">
        <w:rPr>
          <w:sz w:val="16"/>
          <w:szCs w:val="16"/>
        </w:rPr>
        <w:t xml:space="preserve">Morris, J., </w:t>
      </w:r>
      <w:r w:rsidR="00F512C5">
        <w:rPr>
          <w:i/>
          <w:iCs/>
          <w:sz w:val="16"/>
          <w:szCs w:val="16"/>
        </w:rPr>
        <w:t>A Machynlleth Triad</w:t>
      </w:r>
      <w:r w:rsidRPr="006E0B8F">
        <w:rPr>
          <w:sz w:val="16"/>
          <w:szCs w:val="16"/>
        </w:rPr>
        <w:t>, p. 34.</w:t>
      </w:r>
    </w:p>
  </w:footnote>
  <w:footnote w:id="61">
    <w:p w14:paraId="660D480C" w14:textId="193EDA00" w:rsidR="004F5FD5" w:rsidRPr="006E0B8F" w:rsidRDefault="004F5FD5" w:rsidP="004F5FD5">
      <w:pPr>
        <w:pStyle w:val="FootnoteText"/>
        <w:rPr>
          <w:sz w:val="16"/>
          <w:szCs w:val="16"/>
        </w:rPr>
      </w:pPr>
      <w:r w:rsidRPr="006E0B8F">
        <w:rPr>
          <w:rStyle w:val="FootnoteReference"/>
          <w:sz w:val="16"/>
          <w:szCs w:val="16"/>
        </w:rPr>
        <w:footnoteRef/>
      </w:r>
      <w:r w:rsidRPr="006E0B8F">
        <w:rPr>
          <w:sz w:val="16"/>
          <w:szCs w:val="16"/>
        </w:rPr>
        <w:t xml:space="preserve"> Halttunen, K, ‘Cultural History and the Challenge of Narrativity,’ p. 166.</w:t>
      </w:r>
    </w:p>
  </w:footnote>
  <w:footnote w:id="62">
    <w:p w14:paraId="2691D851" w14:textId="44CB7475" w:rsidR="004F5FD5" w:rsidRPr="006E0B8F" w:rsidRDefault="004F5FD5" w:rsidP="004F5FD5">
      <w:pPr>
        <w:pStyle w:val="FootnoteText"/>
        <w:rPr>
          <w:sz w:val="16"/>
          <w:szCs w:val="16"/>
        </w:rPr>
      </w:pPr>
      <w:r w:rsidRPr="006E0B8F">
        <w:rPr>
          <w:rStyle w:val="FootnoteReference"/>
          <w:sz w:val="16"/>
          <w:szCs w:val="16"/>
        </w:rPr>
        <w:footnoteRef/>
      </w:r>
      <w:r w:rsidRPr="006E0B8F">
        <w:rPr>
          <w:sz w:val="16"/>
          <w:szCs w:val="16"/>
        </w:rPr>
        <w:t xml:space="preserve"> </w:t>
      </w:r>
      <w:r w:rsidR="00332E54">
        <w:rPr>
          <w:sz w:val="16"/>
          <w:szCs w:val="16"/>
        </w:rPr>
        <w:t xml:space="preserve">Ibid., </w:t>
      </w:r>
      <w:r w:rsidRPr="006E0B8F">
        <w:rPr>
          <w:sz w:val="16"/>
          <w:szCs w:val="16"/>
        </w:rPr>
        <w:t>p. 177.</w:t>
      </w:r>
    </w:p>
  </w:footnote>
  <w:footnote w:id="63">
    <w:p w14:paraId="44245ABE" w14:textId="0A665458" w:rsidR="004F5FD5" w:rsidRPr="006E0B8F" w:rsidRDefault="004F5FD5" w:rsidP="004F5FD5">
      <w:pPr>
        <w:pStyle w:val="FootnoteText"/>
        <w:rPr>
          <w:sz w:val="16"/>
          <w:szCs w:val="16"/>
        </w:rPr>
      </w:pPr>
      <w:r w:rsidRPr="006E0B8F">
        <w:rPr>
          <w:rStyle w:val="FootnoteReference"/>
          <w:sz w:val="16"/>
          <w:szCs w:val="16"/>
        </w:rPr>
        <w:footnoteRef/>
      </w:r>
      <w:r w:rsidRPr="006E0B8F">
        <w:rPr>
          <w:sz w:val="16"/>
          <w:szCs w:val="16"/>
        </w:rPr>
        <w:t xml:space="preserve"> </w:t>
      </w:r>
      <w:r w:rsidR="008A63C0">
        <w:rPr>
          <w:sz w:val="16"/>
          <w:szCs w:val="16"/>
        </w:rPr>
        <w:t xml:space="preserve">Morris, J., </w:t>
      </w:r>
      <w:r w:rsidR="008A63C0">
        <w:rPr>
          <w:i/>
          <w:iCs/>
          <w:sz w:val="16"/>
          <w:szCs w:val="16"/>
        </w:rPr>
        <w:t>A Machynlleth Triad</w:t>
      </w:r>
      <w:r w:rsidRPr="006E0B8F">
        <w:rPr>
          <w:sz w:val="16"/>
          <w:szCs w:val="16"/>
        </w:rPr>
        <w:t>, p. 34.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72F"/>
    <w:rsid w:val="00007BA3"/>
    <w:rsid w:val="000117FE"/>
    <w:rsid w:val="0001342B"/>
    <w:rsid w:val="00021769"/>
    <w:rsid w:val="00022EF5"/>
    <w:rsid w:val="00026825"/>
    <w:rsid w:val="00030180"/>
    <w:rsid w:val="00030511"/>
    <w:rsid w:val="00040C9D"/>
    <w:rsid w:val="00050AF6"/>
    <w:rsid w:val="00053F26"/>
    <w:rsid w:val="00056205"/>
    <w:rsid w:val="0005732F"/>
    <w:rsid w:val="000656CE"/>
    <w:rsid w:val="00065A4E"/>
    <w:rsid w:val="000730ED"/>
    <w:rsid w:val="00075BDC"/>
    <w:rsid w:val="00075C41"/>
    <w:rsid w:val="0008185D"/>
    <w:rsid w:val="00091245"/>
    <w:rsid w:val="00095BAB"/>
    <w:rsid w:val="000B65CD"/>
    <w:rsid w:val="000C2A2E"/>
    <w:rsid w:val="000C3AC6"/>
    <w:rsid w:val="000E2343"/>
    <w:rsid w:val="000E7161"/>
    <w:rsid w:val="00102A6C"/>
    <w:rsid w:val="00102E81"/>
    <w:rsid w:val="0010304F"/>
    <w:rsid w:val="001031D5"/>
    <w:rsid w:val="00106EF8"/>
    <w:rsid w:val="001170E6"/>
    <w:rsid w:val="00130DB7"/>
    <w:rsid w:val="001317BA"/>
    <w:rsid w:val="001359AF"/>
    <w:rsid w:val="001405F0"/>
    <w:rsid w:val="00142C45"/>
    <w:rsid w:val="0014355B"/>
    <w:rsid w:val="001451AA"/>
    <w:rsid w:val="00150261"/>
    <w:rsid w:val="00153AF6"/>
    <w:rsid w:val="001575C2"/>
    <w:rsid w:val="00157C8B"/>
    <w:rsid w:val="001623F8"/>
    <w:rsid w:val="00162C7B"/>
    <w:rsid w:val="001652C8"/>
    <w:rsid w:val="001652EC"/>
    <w:rsid w:val="0016664F"/>
    <w:rsid w:val="00172323"/>
    <w:rsid w:val="00177DF7"/>
    <w:rsid w:val="00181101"/>
    <w:rsid w:val="0018360C"/>
    <w:rsid w:val="00193412"/>
    <w:rsid w:val="001934D3"/>
    <w:rsid w:val="001A733B"/>
    <w:rsid w:val="001B1F4B"/>
    <w:rsid w:val="001B7AC3"/>
    <w:rsid w:val="001D4BDA"/>
    <w:rsid w:val="001D62D1"/>
    <w:rsid w:val="001E0561"/>
    <w:rsid w:val="001E45B9"/>
    <w:rsid w:val="001F17E6"/>
    <w:rsid w:val="001F2FBB"/>
    <w:rsid w:val="00200DCB"/>
    <w:rsid w:val="00202A70"/>
    <w:rsid w:val="002050CC"/>
    <w:rsid w:val="002115E7"/>
    <w:rsid w:val="0021404E"/>
    <w:rsid w:val="00221395"/>
    <w:rsid w:val="00223060"/>
    <w:rsid w:val="00225E8B"/>
    <w:rsid w:val="002311B4"/>
    <w:rsid w:val="00231235"/>
    <w:rsid w:val="0023483B"/>
    <w:rsid w:val="00234B36"/>
    <w:rsid w:val="00252188"/>
    <w:rsid w:val="00253EDB"/>
    <w:rsid w:val="00256CB1"/>
    <w:rsid w:val="0026596B"/>
    <w:rsid w:val="00274DE7"/>
    <w:rsid w:val="002778AF"/>
    <w:rsid w:val="00282514"/>
    <w:rsid w:val="00292C58"/>
    <w:rsid w:val="002967A3"/>
    <w:rsid w:val="00297095"/>
    <w:rsid w:val="00297640"/>
    <w:rsid w:val="002976DB"/>
    <w:rsid w:val="002A21E7"/>
    <w:rsid w:val="002A5DD4"/>
    <w:rsid w:val="002A620E"/>
    <w:rsid w:val="002A63FB"/>
    <w:rsid w:val="002A7130"/>
    <w:rsid w:val="002B063C"/>
    <w:rsid w:val="002C1CAB"/>
    <w:rsid w:val="002D0D6F"/>
    <w:rsid w:val="002D21D2"/>
    <w:rsid w:val="002D6A59"/>
    <w:rsid w:val="002D7EDF"/>
    <w:rsid w:val="002E34E3"/>
    <w:rsid w:val="002E7BAF"/>
    <w:rsid w:val="002F6027"/>
    <w:rsid w:val="00305CAF"/>
    <w:rsid w:val="00313AC8"/>
    <w:rsid w:val="003232D9"/>
    <w:rsid w:val="003265CE"/>
    <w:rsid w:val="00327A76"/>
    <w:rsid w:val="00332E54"/>
    <w:rsid w:val="00341D90"/>
    <w:rsid w:val="00343507"/>
    <w:rsid w:val="00346D58"/>
    <w:rsid w:val="0035503E"/>
    <w:rsid w:val="00362677"/>
    <w:rsid w:val="0036400E"/>
    <w:rsid w:val="00370D2F"/>
    <w:rsid w:val="00372A5F"/>
    <w:rsid w:val="00372D82"/>
    <w:rsid w:val="003761DB"/>
    <w:rsid w:val="003772F0"/>
    <w:rsid w:val="00380250"/>
    <w:rsid w:val="0038327E"/>
    <w:rsid w:val="003A0AB2"/>
    <w:rsid w:val="003A1E6D"/>
    <w:rsid w:val="003A5240"/>
    <w:rsid w:val="003A7301"/>
    <w:rsid w:val="003B3968"/>
    <w:rsid w:val="003B6E48"/>
    <w:rsid w:val="003C5C84"/>
    <w:rsid w:val="003D14B2"/>
    <w:rsid w:val="003D65F3"/>
    <w:rsid w:val="003D671F"/>
    <w:rsid w:val="003D765E"/>
    <w:rsid w:val="003E34C5"/>
    <w:rsid w:val="003E70A1"/>
    <w:rsid w:val="003F7678"/>
    <w:rsid w:val="00403224"/>
    <w:rsid w:val="0041051E"/>
    <w:rsid w:val="00415D37"/>
    <w:rsid w:val="00417079"/>
    <w:rsid w:val="00421DA2"/>
    <w:rsid w:val="00424337"/>
    <w:rsid w:val="00435CA5"/>
    <w:rsid w:val="00444D28"/>
    <w:rsid w:val="00450FB4"/>
    <w:rsid w:val="00452EA0"/>
    <w:rsid w:val="00457543"/>
    <w:rsid w:val="00476E6F"/>
    <w:rsid w:val="00477311"/>
    <w:rsid w:val="0048157C"/>
    <w:rsid w:val="00483C45"/>
    <w:rsid w:val="00483FA2"/>
    <w:rsid w:val="004855E9"/>
    <w:rsid w:val="00492B12"/>
    <w:rsid w:val="004949BE"/>
    <w:rsid w:val="004966AC"/>
    <w:rsid w:val="004A5747"/>
    <w:rsid w:val="004B0BB0"/>
    <w:rsid w:val="004B1016"/>
    <w:rsid w:val="004B1E6C"/>
    <w:rsid w:val="004B3B7C"/>
    <w:rsid w:val="004C2342"/>
    <w:rsid w:val="004C2B42"/>
    <w:rsid w:val="004C6DD3"/>
    <w:rsid w:val="004D3209"/>
    <w:rsid w:val="004F32B0"/>
    <w:rsid w:val="004F3DF5"/>
    <w:rsid w:val="004F5FD5"/>
    <w:rsid w:val="004F61C7"/>
    <w:rsid w:val="00507FE8"/>
    <w:rsid w:val="00517814"/>
    <w:rsid w:val="0052172F"/>
    <w:rsid w:val="00521C42"/>
    <w:rsid w:val="00525BDE"/>
    <w:rsid w:val="005348D2"/>
    <w:rsid w:val="00545444"/>
    <w:rsid w:val="0055798B"/>
    <w:rsid w:val="00565427"/>
    <w:rsid w:val="00584690"/>
    <w:rsid w:val="00586DD7"/>
    <w:rsid w:val="00587381"/>
    <w:rsid w:val="00593E37"/>
    <w:rsid w:val="005A3F25"/>
    <w:rsid w:val="005A5E8F"/>
    <w:rsid w:val="005B0109"/>
    <w:rsid w:val="005B06C3"/>
    <w:rsid w:val="005C0923"/>
    <w:rsid w:val="005C5795"/>
    <w:rsid w:val="005D24FF"/>
    <w:rsid w:val="005E18DC"/>
    <w:rsid w:val="005E6293"/>
    <w:rsid w:val="00600782"/>
    <w:rsid w:val="00604FA6"/>
    <w:rsid w:val="00605EBC"/>
    <w:rsid w:val="006062B0"/>
    <w:rsid w:val="00607DAB"/>
    <w:rsid w:val="006162F5"/>
    <w:rsid w:val="006166B3"/>
    <w:rsid w:val="00621B53"/>
    <w:rsid w:val="0062256A"/>
    <w:rsid w:val="00623627"/>
    <w:rsid w:val="00632E48"/>
    <w:rsid w:val="00634EB9"/>
    <w:rsid w:val="0063797C"/>
    <w:rsid w:val="006408F4"/>
    <w:rsid w:val="0064135C"/>
    <w:rsid w:val="00646025"/>
    <w:rsid w:val="00647AE1"/>
    <w:rsid w:val="00647E29"/>
    <w:rsid w:val="00653169"/>
    <w:rsid w:val="0066266C"/>
    <w:rsid w:val="0068356D"/>
    <w:rsid w:val="0068372B"/>
    <w:rsid w:val="00686D06"/>
    <w:rsid w:val="006913C7"/>
    <w:rsid w:val="00695145"/>
    <w:rsid w:val="006A1C34"/>
    <w:rsid w:val="006B6B62"/>
    <w:rsid w:val="006C1EEA"/>
    <w:rsid w:val="006C4E28"/>
    <w:rsid w:val="006D0853"/>
    <w:rsid w:val="006D12B8"/>
    <w:rsid w:val="006D21CA"/>
    <w:rsid w:val="006D4E55"/>
    <w:rsid w:val="006D50C1"/>
    <w:rsid w:val="006D5463"/>
    <w:rsid w:val="006E0B8F"/>
    <w:rsid w:val="006E2C1D"/>
    <w:rsid w:val="006E7FE4"/>
    <w:rsid w:val="006F5E11"/>
    <w:rsid w:val="006F6E82"/>
    <w:rsid w:val="006F756C"/>
    <w:rsid w:val="00700E96"/>
    <w:rsid w:val="00702192"/>
    <w:rsid w:val="007038F6"/>
    <w:rsid w:val="007071E0"/>
    <w:rsid w:val="0071324A"/>
    <w:rsid w:val="00724AF9"/>
    <w:rsid w:val="00726DAF"/>
    <w:rsid w:val="00731BCF"/>
    <w:rsid w:val="0073208D"/>
    <w:rsid w:val="007360B7"/>
    <w:rsid w:val="00740312"/>
    <w:rsid w:val="00743E35"/>
    <w:rsid w:val="00746CDC"/>
    <w:rsid w:val="007476A8"/>
    <w:rsid w:val="0075074E"/>
    <w:rsid w:val="00751EFC"/>
    <w:rsid w:val="00753281"/>
    <w:rsid w:val="00755321"/>
    <w:rsid w:val="007574D8"/>
    <w:rsid w:val="00764D4C"/>
    <w:rsid w:val="0076717B"/>
    <w:rsid w:val="007674AF"/>
    <w:rsid w:val="007700B1"/>
    <w:rsid w:val="0077138D"/>
    <w:rsid w:val="00772941"/>
    <w:rsid w:val="0077760D"/>
    <w:rsid w:val="00777D59"/>
    <w:rsid w:val="00784493"/>
    <w:rsid w:val="00786FDE"/>
    <w:rsid w:val="00793E2F"/>
    <w:rsid w:val="00794AEE"/>
    <w:rsid w:val="007A38D9"/>
    <w:rsid w:val="007A689B"/>
    <w:rsid w:val="007B19ED"/>
    <w:rsid w:val="007D1BB9"/>
    <w:rsid w:val="007D3B40"/>
    <w:rsid w:val="007D406D"/>
    <w:rsid w:val="007D7D49"/>
    <w:rsid w:val="007E1899"/>
    <w:rsid w:val="007E6EEE"/>
    <w:rsid w:val="00804198"/>
    <w:rsid w:val="00804A53"/>
    <w:rsid w:val="008059CA"/>
    <w:rsid w:val="00805FA4"/>
    <w:rsid w:val="008171E1"/>
    <w:rsid w:val="00820B40"/>
    <w:rsid w:val="00825A65"/>
    <w:rsid w:val="008279F9"/>
    <w:rsid w:val="008343A6"/>
    <w:rsid w:val="00836DDF"/>
    <w:rsid w:val="00842FD0"/>
    <w:rsid w:val="0085164C"/>
    <w:rsid w:val="0085223B"/>
    <w:rsid w:val="0085760B"/>
    <w:rsid w:val="00864D85"/>
    <w:rsid w:val="008676AC"/>
    <w:rsid w:val="00867702"/>
    <w:rsid w:val="0087159C"/>
    <w:rsid w:val="0087786E"/>
    <w:rsid w:val="008818D3"/>
    <w:rsid w:val="00897622"/>
    <w:rsid w:val="008A190D"/>
    <w:rsid w:val="008A63C0"/>
    <w:rsid w:val="008C1CFD"/>
    <w:rsid w:val="008C3D91"/>
    <w:rsid w:val="008D474A"/>
    <w:rsid w:val="008D7A86"/>
    <w:rsid w:val="008E4954"/>
    <w:rsid w:val="008E4C31"/>
    <w:rsid w:val="0090050B"/>
    <w:rsid w:val="00901EEE"/>
    <w:rsid w:val="0090340D"/>
    <w:rsid w:val="0090790D"/>
    <w:rsid w:val="00914056"/>
    <w:rsid w:val="009265B9"/>
    <w:rsid w:val="00926C19"/>
    <w:rsid w:val="00926F42"/>
    <w:rsid w:val="00927D80"/>
    <w:rsid w:val="009339E7"/>
    <w:rsid w:val="00936248"/>
    <w:rsid w:val="00940E0D"/>
    <w:rsid w:val="0095049E"/>
    <w:rsid w:val="009530DE"/>
    <w:rsid w:val="00960AEA"/>
    <w:rsid w:val="00960BC2"/>
    <w:rsid w:val="00964CB6"/>
    <w:rsid w:val="00966040"/>
    <w:rsid w:val="00970B0D"/>
    <w:rsid w:val="0097569E"/>
    <w:rsid w:val="0098211D"/>
    <w:rsid w:val="00985100"/>
    <w:rsid w:val="009924D7"/>
    <w:rsid w:val="009A23DF"/>
    <w:rsid w:val="009A3415"/>
    <w:rsid w:val="009B2BC9"/>
    <w:rsid w:val="009B57DE"/>
    <w:rsid w:val="009B5CAD"/>
    <w:rsid w:val="009B7017"/>
    <w:rsid w:val="009B712A"/>
    <w:rsid w:val="009C09AC"/>
    <w:rsid w:val="009C3662"/>
    <w:rsid w:val="009C747C"/>
    <w:rsid w:val="009D00AF"/>
    <w:rsid w:val="009E3B77"/>
    <w:rsid w:val="009E740C"/>
    <w:rsid w:val="009F40A2"/>
    <w:rsid w:val="00A01A68"/>
    <w:rsid w:val="00A12B33"/>
    <w:rsid w:val="00A31584"/>
    <w:rsid w:val="00A33056"/>
    <w:rsid w:val="00A33487"/>
    <w:rsid w:val="00A35F10"/>
    <w:rsid w:val="00A41AEC"/>
    <w:rsid w:val="00A43982"/>
    <w:rsid w:val="00A56525"/>
    <w:rsid w:val="00A62D23"/>
    <w:rsid w:val="00A647A1"/>
    <w:rsid w:val="00A64F7E"/>
    <w:rsid w:val="00A6659F"/>
    <w:rsid w:val="00A6692D"/>
    <w:rsid w:val="00A74031"/>
    <w:rsid w:val="00A76AD2"/>
    <w:rsid w:val="00A76B78"/>
    <w:rsid w:val="00A84469"/>
    <w:rsid w:val="00A9368C"/>
    <w:rsid w:val="00A9755F"/>
    <w:rsid w:val="00AA2219"/>
    <w:rsid w:val="00AA4D67"/>
    <w:rsid w:val="00AA636D"/>
    <w:rsid w:val="00AA7717"/>
    <w:rsid w:val="00AB4FDA"/>
    <w:rsid w:val="00AC5457"/>
    <w:rsid w:val="00AD5248"/>
    <w:rsid w:val="00AE64FF"/>
    <w:rsid w:val="00AF2B0A"/>
    <w:rsid w:val="00AF2E0A"/>
    <w:rsid w:val="00AF4F8C"/>
    <w:rsid w:val="00AF7D25"/>
    <w:rsid w:val="00B00755"/>
    <w:rsid w:val="00B0230F"/>
    <w:rsid w:val="00B042CA"/>
    <w:rsid w:val="00B12AB6"/>
    <w:rsid w:val="00B21492"/>
    <w:rsid w:val="00B31A8A"/>
    <w:rsid w:val="00B421A5"/>
    <w:rsid w:val="00B518FC"/>
    <w:rsid w:val="00B52B86"/>
    <w:rsid w:val="00B5540F"/>
    <w:rsid w:val="00B5611A"/>
    <w:rsid w:val="00B703ED"/>
    <w:rsid w:val="00B70DEE"/>
    <w:rsid w:val="00B91644"/>
    <w:rsid w:val="00B9234A"/>
    <w:rsid w:val="00B923BE"/>
    <w:rsid w:val="00B94986"/>
    <w:rsid w:val="00B97844"/>
    <w:rsid w:val="00BA211C"/>
    <w:rsid w:val="00BA545F"/>
    <w:rsid w:val="00BA5EB1"/>
    <w:rsid w:val="00BB0E0A"/>
    <w:rsid w:val="00BD1AEC"/>
    <w:rsid w:val="00BD28B8"/>
    <w:rsid w:val="00BD65BA"/>
    <w:rsid w:val="00BE01FE"/>
    <w:rsid w:val="00BE4627"/>
    <w:rsid w:val="00BE630A"/>
    <w:rsid w:val="00BF5488"/>
    <w:rsid w:val="00BF616A"/>
    <w:rsid w:val="00C11EF6"/>
    <w:rsid w:val="00C12800"/>
    <w:rsid w:val="00C137E8"/>
    <w:rsid w:val="00C220CA"/>
    <w:rsid w:val="00C24765"/>
    <w:rsid w:val="00C27B7E"/>
    <w:rsid w:val="00C30A77"/>
    <w:rsid w:val="00C3339F"/>
    <w:rsid w:val="00C40BC3"/>
    <w:rsid w:val="00C42060"/>
    <w:rsid w:val="00C53B2D"/>
    <w:rsid w:val="00C570F3"/>
    <w:rsid w:val="00C614A5"/>
    <w:rsid w:val="00C71AF5"/>
    <w:rsid w:val="00C73949"/>
    <w:rsid w:val="00C8272F"/>
    <w:rsid w:val="00C902EC"/>
    <w:rsid w:val="00CA1FBC"/>
    <w:rsid w:val="00CC4277"/>
    <w:rsid w:val="00CC64F4"/>
    <w:rsid w:val="00CD60FC"/>
    <w:rsid w:val="00CD6CA0"/>
    <w:rsid w:val="00CE0022"/>
    <w:rsid w:val="00CF486B"/>
    <w:rsid w:val="00D01EEC"/>
    <w:rsid w:val="00D207AE"/>
    <w:rsid w:val="00D25E0E"/>
    <w:rsid w:val="00D26032"/>
    <w:rsid w:val="00D32579"/>
    <w:rsid w:val="00D3295E"/>
    <w:rsid w:val="00D334F3"/>
    <w:rsid w:val="00D3557E"/>
    <w:rsid w:val="00D36E59"/>
    <w:rsid w:val="00D436D6"/>
    <w:rsid w:val="00D46441"/>
    <w:rsid w:val="00D5180E"/>
    <w:rsid w:val="00D542A6"/>
    <w:rsid w:val="00D56DB7"/>
    <w:rsid w:val="00D71A7A"/>
    <w:rsid w:val="00D7770B"/>
    <w:rsid w:val="00D8549E"/>
    <w:rsid w:val="00D91A62"/>
    <w:rsid w:val="00D95268"/>
    <w:rsid w:val="00D9786F"/>
    <w:rsid w:val="00DA5F1D"/>
    <w:rsid w:val="00DA6A0F"/>
    <w:rsid w:val="00DA7699"/>
    <w:rsid w:val="00DB7FC2"/>
    <w:rsid w:val="00DD0312"/>
    <w:rsid w:val="00DD49C9"/>
    <w:rsid w:val="00DE27EB"/>
    <w:rsid w:val="00DE42C5"/>
    <w:rsid w:val="00DF408A"/>
    <w:rsid w:val="00DF4322"/>
    <w:rsid w:val="00DF52F8"/>
    <w:rsid w:val="00E071A6"/>
    <w:rsid w:val="00E12B39"/>
    <w:rsid w:val="00E14625"/>
    <w:rsid w:val="00E14D87"/>
    <w:rsid w:val="00E1745A"/>
    <w:rsid w:val="00E20487"/>
    <w:rsid w:val="00E311D4"/>
    <w:rsid w:val="00E43023"/>
    <w:rsid w:val="00E43824"/>
    <w:rsid w:val="00E531C4"/>
    <w:rsid w:val="00E56F94"/>
    <w:rsid w:val="00E57C67"/>
    <w:rsid w:val="00E605C6"/>
    <w:rsid w:val="00E61E14"/>
    <w:rsid w:val="00E648CD"/>
    <w:rsid w:val="00E67298"/>
    <w:rsid w:val="00E77747"/>
    <w:rsid w:val="00E77803"/>
    <w:rsid w:val="00E91DEF"/>
    <w:rsid w:val="00E96832"/>
    <w:rsid w:val="00EA0C7D"/>
    <w:rsid w:val="00EA5242"/>
    <w:rsid w:val="00EC6E92"/>
    <w:rsid w:val="00ED16D8"/>
    <w:rsid w:val="00ED16D9"/>
    <w:rsid w:val="00ED311E"/>
    <w:rsid w:val="00EE1FDE"/>
    <w:rsid w:val="00EF5F6E"/>
    <w:rsid w:val="00F01188"/>
    <w:rsid w:val="00F12FC5"/>
    <w:rsid w:val="00F171BD"/>
    <w:rsid w:val="00F23314"/>
    <w:rsid w:val="00F24B76"/>
    <w:rsid w:val="00F24E1B"/>
    <w:rsid w:val="00F309FC"/>
    <w:rsid w:val="00F37442"/>
    <w:rsid w:val="00F408BD"/>
    <w:rsid w:val="00F437F7"/>
    <w:rsid w:val="00F512C5"/>
    <w:rsid w:val="00F51359"/>
    <w:rsid w:val="00F554D4"/>
    <w:rsid w:val="00F570F6"/>
    <w:rsid w:val="00F64C8E"/>
    <w:rsid w:val="00F669C6"/>
    <w:rsid w:val="00F66D27"/>
    <w:rsid w:val="00F6767A"/>
    <w:rsid w:val="00F73973"/>
    <w:rsid w:val="00F8562C"/>
    <w:rsid w:val="00F86909"/>
    <w:rsid w:val="00F9129B"/>
    <w:rsid w:val="00F92C7E"/>
    <w:rsid w:val="00F9481D"/>
    <w:rsid w:val="00FA042E"/>
    <w:rsid w:val="00FA3FA3"/>
    <w:rsid w:val="00FC0D20"/>
    <w:rsid w:val="00FD7D67"/>
    <w:rsid w:val="00FE1B98"/>
    <w:rsid w:val="00FE4302"/>
    <w:rsid w:val="00FF3FB5"/>
    <w:rsid w:val="00FF4CF0"/>
    <w:rsid w:val="00FF6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2DC5F2"/>
  <w15:chartTrackingRefBased/>
  <w15:docId w15:val="{482D6290-E512-42F9-8BB8-642D0C477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17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17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17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17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17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17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17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17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17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7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17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17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17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17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17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17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17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172F"/>
    <w:rPr>
      <w:rFonts w:eastAsiaTheme="majorEastAsia" w:cstheme="majorBidi"/>
      <w:color w:val="272727" w:themeColor="text1" w:themeTint="D8"/>
    </w:rPr>
  </w:style>
  <w:style w:type="paragraph" w:styleId="Title">
    <w:name w:val="Title"/>
    <w:basedOn w:val="Normal"/>
    <w:next w:val="Normal"/>
    <w:link w:val="TitleChar"/>
    <w:uiPriority w:val="10"/>
    <w:qFormat/>
    <w:rsid w:val="005217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7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17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17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172F"/>
    <w:pPr>
      <w:spacing w:before="160"/>
      <w:jc w:val="center"/>
    </w:pPr>
    <w:rPr>
      <w:i/>
      <w:iCs/>
      <w:color w:val="404040" w:themeColor="text1" w:themeTint="BF"/>
    </w:rPr>
  </w:style>
  <w:style w:type="character" w:customStyle="1" w:styleId="QuoteChar">
    <w:name w:val="Quote Char"/>
    <w:basedOn w:val="DefaultParagraphFont"/>
    <w:link w:val="Quote"/>
    <w:uiPriority w:val="29"/>
    <w:rsid w:val="0052172F"/>
    <w:rPr>
      <w:i/>
      <w:iCs/>
      <w:color w:val="404040" w:themeColor="text1" w:themeTint="BF"/>
    </w:rPr>
  </w:style>
  <w:style w:type="paragraph" w:styleId="ListParagraph">
    <w:name w:val="List Paragraph"/>
    <w:basedOn w:val="Normal"/>
    <w:uiPriority w:val="34"/>
    <w:qFormat/>
    <w:rsid w:val="0052172F"/>
    <w:pPr>
      <w:ind w:left="720"/>
      <w:contextualSpacing/>
    </w:pPr>
  </w:style>
  <w:style w:type="character" w:styleId="IntenseEmphasis">
    <w:name w:val="Intense Emphasis"/>
    <w:basedOn w:val="DefaultParagraphFont"/>
    <w:uiPriority w:val="21"/>
    <w:qFormat/>
    <w:rsid w:val="0052172F"/>
    <w:rPr>
      <w:i/>
      <w:iCs/>
      <w:color w:val="0F4761" w:themeColor="accent1" w:themeShade="BF"/>
    </w:rPr>
  </w:style>
  <w:style w:type="paragraph" w:styleId="IntenseQuote">
    <w:name w:val="Intense Quote"/>
    <w:basedOn w:val="Normal"/>
    <w:next w:val="Normal"/>
    <w:link w:val="IntenseQuoteChar"/>
    <w:uiPriority w:val="30"/>
    <w:qFormat/>
    <w:rsid w:val="005217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172F"/>
    <w:rPr>
      <w:i/>
      <w:iCs/>
      <w:color w:val="0F4761" w:themeColor="accent1" w:themeShade="BF"/>
    </w:rPr>
  </w:style>
  <w:style w:type="character" w:styleId="IntenseReference">
    <w:name w:val="Intense Reference"/>
    <w:basedOn w:val="DefaultParagraphFont"/>
    <w:uiPriority w:val="32"/>
    <w:qFormat/>
    <w:rsid w:val="0052172F"/>
    <w:rPr>
      <w:b/>
      <w:bCs/>
      <w:smallCaps/>
      <w:color w:val="0F4761" w:themeColor="accent1" w:themeShade="BF"/>
      <w:spacing w:val="5"/>
    </w:rPr>
  </w:style>
  <w:style w:type="character" w:styleId="Hyperlink">
    <w:name w:val="Hyperlink"/>
    <w:basedOn w:val="DefaultParagraphFont"/>
    <w:uiPriority w:val="99"/>
    <w:unhideWhenUsed/>
    <w:rsid w:val="00BD65BA"/>
    <w:rPr>
      <w:color w:val="467886" w:themeColor="hyperlink"/>
      <w:u w:val="single"/>
    </w:rPr>
  </w:style>
  <w:style w:type="character" w:styleId="UnresolvedMention">
    <w:name w:val="Unresolved Mention"/>
    <w:basedOn w:val="DefaultParagraphFont"/>
    <w:uiPriority w:val="99"/>
    <w:semiHidden/>
    <w:unhideWhenUsed/>
    <w:rsid w:val="00BD65BA"/>
    <w:rPr>
      <w:color w:val="605E5C"/>
      <w:shd w:val="clear" w:color="auto" w:fill="E1DFDD"/>
    </w:rPr>
  </w:style>
  <w:style w:type="paragraph" w:styleId="FootnoteText">
    <w:name w:val="footnote text"/>
    <w:basedOn w:val="Normal"/>
    <w:link w:val="FootnoteTextChar"/>
    <w:uiPriority w:val="99"/>
    <w:semiHidden/>
    <w:unhideWhenUsed/>
    <w:rsid w:val="0070219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2192"/>
    <w:rPr>
      <w:sz w:val="20"/>
      <w:szCs w:val="20"/>
    </w:rPr>
  </w:style>
  <w:style w:type="character" w:styleId="FootnoteReference">
    <w:name w:val="footnote reference"/>
    <w:basedOn w:val="DefaultParagraphFont"/>
    <w:uiPriority w:val="99"/>
    <w:semiHidden/>
    <w:unhideWhenUsed/>
    <w:rsid w:val="007021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EEFC4-3004-4803-932A-C18119432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1035</TotalTime>
  <Pages>10</Pages>
  <Words>4823</Words>
  <Characters>25754</Characters>
  <Application>Microsoft Office Word</Application>
  <DocSecurity>0</DocSecurity>
  <Lines>373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Youde (1806027)</dc:creator>
  <cp:keywords/>
  <dc:description/>
  <cp:lastModifiedBy>Matt Youde</cp:lastModifiedBy>
  <cp:revision>465</cp:revision>
  <dcterms:created xsi:type="dcterms:W3CDTF">2025-05-28T19:31:00Z</dcterms:created>
  <dcterms:modified xsi:type="dcterms:W3CDTF">2025-11-28T23:12:00Z</dcterms:modified>
</cp:coreProperties>
</file>