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dgm="http://schemas.openxmlformats.org/drawingml/2006/diagram" xmlns:a14="http://schemas.microsoft.com/office/drawing/2010/main" mc:Ignorable="w14 w15 w16se w16cid w16 w16cex w16sdtdh wp14">
  <w:body>
    <w:p w:rsidRPr="00081B2B" w:rsidR="0079159F" w:rsidP="008D0657" w:rsidRDefault="00A460D6" w14:paraId="4C7DD6C9" w14:textId="77777777">
      <w:pPr>
        <w:spacing w:line="276" w:lineRule="auto"/>
        <w:jc w:val="center"/>
      </w:pPr>
      <w:r w:rsidRPr="00081B2B">
        <w:rPr>
          <w:noProof/>
        </w:rPr>
        <w:drawing>
          <wp:inline distT="0" distB="0" distL="0" distR="0" wp14:anchorId="0604A72B" wp14:editId="7B8DE333">
            <wp:extent cx="2638793" cy="100026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638793" cy="1000265"/>
                    </a:xfrm>
                    <a:prstGeom prst="rect">
                      <a:avLst/>
                    </a:prstGeom>
                  </pic:spPr>
                </pic:pic>
              </a:graphicData>
            </a:graphic>
          </wp:inline>
        </w:drawing>
      </w:r>
    </w:p>
    <w:p w:rsidRPr="00081B2B" w:rsidR="00A460D6" w:rsidP="008D0657" w:rsidRDefault="00A460D6" w14:paraId="12A5B3DD" w14:textId="77777777">
      <w:pPr>
        <w:spacing w:line="276" w:lineRule="auto"/>
        <w:jc w:val="center"/>
        <w:rPr>
          <w:b/>
          <w:sz w:val="30"/>
        </w:rPr>
      </w:pPr>
    </w:p>
    <w:p w:rsidRPr="00081B2B" w:rsidR="008D0657" w:rsidP="008D0657" w:rsidRDefault="0079159F" w14:paraId="79F1ECC3" w14:textId="77777777">
      <w:pPr>
        <w:spacing w:line="276" w:lineRule="auto"/>
        <w:jc w:val="center"/>
        <w:rPr>
          <w:sz w:val="30"/>
        </w:rPr>
      </w:pPr>
      <w:r w:rsidRPr="00081B2B">
        <w:rPr>
          <w:b/>
          <w:sz w:val="30"/>
        </w:rPr>
        <w:t>Programme:</w:t>
      </w:r>
      <w:r w:rsidRPr="00081B2B">
        <w:rPr>
          <w:sz w:val="30"/>
        </w:rPr>
        <w:t xml:space="preserve"> BA (Hons) Business Management</w:t>
      </w:r>
    </w:p>
    <w:p w:rsidRPr="00081B2B" w:rsidR="0079159F" w:rsidP="0079159F" w:rsidRDefault="0079159F" w14:paraId="5114FFFB" w14:textId="77777777">
      <w:pPr>
        <w:spacing w:line="276" w:lineRule="auto"/>
        <w:jc w:val="center"/>
        <w:rPr>
          <w:sz w:val="30"/>
        </w:rPr>
      </w:pPr>
      <w:r w:rsidRPr="00081B2B">
        <w:rPr>
          <w:b/>
          <w:sz w:val="30"/>
        </w:rPr>
        <w:t xml:space="preserve">Module Code: </w:t>
      </w:r>
      <w:r w:rsidRPr="00081B2B">
        <w:rPr>
          <w:sz w:val="30"/>
        </w:rPr>
        <w:t>LCBB4013</w:t>
      </w:r>
    </w:p>
    <w:p w:rsidRPr="00081B2B" w:rsidR="008D0657" w:rsidP="008D0657" w:rsidRDefault="008D0657" w14:paraId="2DAD25DD" w14:textId="77777777">
      <w:pPr>
        <w:spacing w:line="276" w:lineRule="auto"/>
        <w:jc w:val="center"/>
      </w:pPr>
    </w:p>
    <w:p w:rsidRPr="00081B2B" w:rsidR="008D0657" w:rsidP="008D0657" w:rsidRDefault="008D0657" w14:paraId="6692556A" w14:textId="019F5F52">
      <w:pPr>
        <w:spacing w:line="276" w:lineRule="auto"/>
        <w:jc w:val="center"/>
        <w:rPr>
          <w:b/>
          <w:i/>
          <w:sz w:val="42"/>
        </w:rPr>
      </w:pPr>
      <w:r w:rsidRPr="00081B2B">
        <w:rPr>
          <w:b/>
          <w:i/>
          <w:sz w:val="42"/>
        </w:rPr>
        <w:t>Stakeholder Management and Consultation for New Urban Park Developmen</w:t>
      </w:r>
      <w:r w:rsidR="00362FBE">
        <w:rPr>
          <w:b/>
          <w:i/>
          <w:sz w:val="42"/>
        </w:rPr>
        <w:t>t</w:t>
      </w:r>
    </w:p>
    <w:p w:rsidRPr="00081B2B" w:rsidR="008D0657" w:rsidP="008D0657" w:rsidRDefault="008D0657" w14:paraId="16E3C450" w14:textId="77777777">
      <w:pPr>
        <w:jc w:val="center"/>
        <w:rPr>
          <w:b/>
          <w:sz w:val="42"/>
        </w:rPr>
      </w:pPr>
    </w:p>
    <w:p w:rsidRPr="00081B2B" w:rsidR="008D0657" w:rsidP="008D0657" w:rsidRDefault="008D0657" w14:paraId="3AEEEDC1" w14:textId="77777777">
      <w:pPr>
        <w:jc w:val="center"/>
        <w:rPr>
          <w:b/>
          <w:sz w:val="30"/>
        </w:rPr>
      </w:pPr>
    </w:p>
    <w:p w:rsidRPr="00081B2B" w:rsidR="008D0657" w:rsidP="008D0657" w:rsidRDefault="00A460D6" w14:paraId="7B23E3E5" w14:textId="77777777">
      <w:pPr>
        <w:jc w:val="center"/>
        <w:rPr>
          <w:b/>
          <w:i/>
          <w:sz w:val="30"/>
        </w:rPr>
      </w:pPr>
      <w:r w:rsidRPr="00081B2B">
        <w:rPr>
          <w:b/>
          <w:i/>
          <w:sz w:val="30"/>
        </w:rPr>
        <w:t>Submitted by,</w:t>
      </w:r>
    </w:p>
    <w:p w:rsidRPr="00081B2B" w:rsidR="008D0657" w:rsidP="576846B1" w:rsidRDefault="008D0657" w14:paraId="2AEABFC7" w14:textId="62AFBF9C">
      <w:pPr>
        <w:jc w:val="center"/>
        <w:rPr>
          <w:b w:val="1"/>
          <w:bCs w:val="1"/>
          <w:sz w:val="30"/>
          <w:szCs w:val="30"/>
        </w:rPr>
      </w:pPr>
      <w:r w:rsidRPr="576846B1" w:rsidR="008D0657">
        <w:rPr>
          <w:b w:val="1"/>
          <w:bCs w:val="1"/>
          <w:sz w:val="30"/>
          <w:szCs w:val="30"/>
        </w:rPr>
        <w:t xml:space="preserve">Student </w:t>
      </w:r>
      <w:r w:rsidRPr="576846B1" w:rsidR="008D0657">
        <w:rPr>
          <w:b w:val="1"/>
          <w:bCs w:val="1"/>
          <w:sz w:val="30"/>
          <w:szCs w:val="30"/>
        </w:rPr>
        <w:t>name:</w:t>
      </w:r>
      <w:r w:rsidRPr="576846B1" w:rsidR="5A60E79C">
        <w:rPr>
          <w:b w:val="1"/>
          <w:bCs w:val="1"/>
          <w:sz w:val="30"/>
          <w:szCs w:val="30"/>
        </w:rPr>
        <w:t>Mihaela</w:t>
      </w:r>
      <w:r w:rsidRPr="576846B1" w:rsidR="5A60E79C">
        <w:rPr>
          <w:b w:val="1"/>
          <w:bCs w:val="1"/>
          <w:sz w:val="30"/>
          <w:szCs w:val="30"/>
        </w:rPr>
        <w:t>-Mirela Grigore</w:t>
      </w:r>
    </w:p>
    <w:p w:rsidRPr="00081B2B" w:rsidR="008D0657" w:rsidP="576846B1" w:rsidRDefault="008D0657" w14:paraId="0ACC0B3D" w14:textId="0309FC1F">
      <w:pPr>
        <w:jc w:val="center"/>
        <w:rPr>
          <w:b w:val="1"/>
          <w:bCs w:val="1"/>
          <w:sz w:val="30"/>
          <w:szCs w:val="30"/>
        </w:rPr>
      </w:pPr>
      <w:r w:rsidRPr="576846B1" w:rsidR="008D0657">
        <w:rPr>
          <w:b w:val="1"/>
          <w:bCs w:val="1"/>
          <w:sz w:val="30"/>
          <w:szCs w:val="30"/>
        </w:rPr>
        <w:t xml:space="preserve">Student ID: </w:t>
      </w:r>
      <w:r w:rsidRPr="576846B1" w:rsidR="2AB5D035">
        <w:rPr>
          <w:b w:val="1"/>
          <w:bCs w:val="1"/>
          <w:sz w:val="30"/>
          <w:szCs w:val="30"/>
        </w:rPr>
        <w:t>2328068</w:t>
      </w:r>
    </w:p>
    <w:p w:rsidRPr="00081B2B" w:rsidR="00A460D6" w:rsidP="576846B1" w:rsidRDefault="00A460D6" w14:paraId="57979844" w14:textId="1077FDE4">
      <w:pPr>
        <w:pStyle w:val="Normal"/>
        <w:jc w:val="center"/>
        <w:rPr>
          <w:b w:val="1"/>
          <w:bCs w:val="1"/>
          <w:sz w:val="30"/>
          <w:szCs w:val="30"/>
        </w:rPr>
      </w:pPr>
    </w:p>
    <w:p w:rsidRPr="00081B2B" w:rsidR="008D0657" w:rsidRDefault="008D0657" w14:paraId="6DB95858" w14:textId="77777777">
      <w:pPr>
        <w:spacing w:line="276" w:lineRule="auto"/>
        <w:jc w:val="left"/>
        <w:rPr>
          <w:b/>
          <w:sz w:val="30"/>
        </w:rPr>
      </w:pPr>
      <w:r w:rsidRPr="00081B2B">
        <w:rPr>
          <w:b/>
          <w:sz w:val="30"/>
        </w:rPr>
        <w:br w:type="page"/>
      </w:r>
    </w:p>
    <w:sdt>
      <w:sdtPr>
        <w:id w:val="389922240"/>
        <w:docPartObj>
          <w:docPartGallery w:val="Table of Contents"/>
          <w:docPartUnique/>
        </w:docPartObj>
        <w:rPr>
          <w:rFonts w:ascii="Times New Roman" w:hAnsi="Times New Roman" w:eastAsia="Calibri" w:cs="" w:eastAsiaTheme="minorAscii" w:cstheme="minorBidi"/>
          <w:b w:val="0"/>
          <w:bCs w:val="0"/>
          <w:color w:val="auto"/>
          <w:sz w:val="24"/>
          <w:szCs w:val="24"/>
          <w:lang w:val="en-GB" w:eastAsia="en-US"/>
        </w:rPr>
      </w:sdtPr>
      <w:sdtEndPr>
        <w:rPr>
          <w:rFonts w:ascii="Times New Roman" w:hAnsi="Times New Roman" w:eastAsia="Calibri" w:cs="" w:eastAsiaTheme="minorAscii" w:cstheme="minorBidi"/>
          <w:b w:val="0"/>
          <w:bCs w:val="0"/>
          <w:color w:val="auto"/>
          <w:sz w:val="24"/>
          <w:szCs w:val="24"/>
          <w:lang w:val="en-GB" w:eastAsia="en-US"/>
        </w:rPr>
      </w:sdtEndPr>
      <w:sdtContent>
        <w:p w:rsidRPr="00081B2B" w:rsidR="008D0657" w:rsidP="008D0657" w:rsidRDefault="008D0657" w14:paraId="7A7F1A88" w14:textId="77777777">
          <w:pPr>
            <w:pStyle w:val="TOCHeading"/>
            <w:jc w:val="center"/>
            <w:rPr>
              <w:color w:val="auto"/>
              <w:sz w:val="24"/>
              <w:lang w:val="en-GB"/>
            </w:rPr>
          </w:pPr>
          <w:r w:rsidRPr="00081B2B">
            <w:rPr>
              <w:color w:val="auto"/>
              <w:sz w:val="24"/>
              <w:lang w:val="en-GB"/>
            </w:rPr>
            <w:t>Table of Contents</w:t>
          </w:r>
        </w:p>
        <w:p w:rsidRPr="00081B2B" w:rsidR="008D0657" w:rsidRDefault="008D0657" w14:paraId="7929C944" w14:textId="77777777">
          <w:pPr>
            <w:pStyle w:val="TOC1"/>
            <w:tabs>
              <w:tab w:val="right" w:leader="dot" w:pos="9016"/>
            </w:tabs>
            <w:rPr>
              <w:rFonts w:asciiTheme="minorHAnsi" w:hAnsiTheme="minorHAnsi" w:eastAsiaTheme="minorEastAsia"/>
              <w:sz w:val="22"/>
              <w:lang w:eastAsia="en-IN"/>
            </w:rPr>
          </w:pPr>
          <w:r w:rsidRPr="00081B2B">
            <w:fldChar w:fldCharType="begin"/>
          </w:r>
          <w:r w:rsidRPr="00081B2B">
            <w:instrText xml:space="preserve"> TOC \o "1-3" \h \z \u </w:instrText>
          </w:r>
          <w:r w:rsidRPr="00081B2B">
            <w:fldChar w:fldCharType="separate"/>
          </w:r>
          <w:hyperlink w:history="1" w:anchor="_Toc215584287">
            <w:r w:rsidRPr="00081B2B">
              <w:rPr>
                <w:rStyle w:val="Hyperlink"/>
              </w:rPr>
              <w:t>1. Introduction</w:t>
            </w:r>
            <w:r w:rsidRPr="00081B2B">
              <w:rPr>
                <w:webHidden/>
              </w:rPr>
              <w:tab/>
            </w:r>
            <w:r w:rsidRPr="00081B2B">
              <w:rPr>
                <w:webHidden/>
              </w:rPr>
              <w:fldChar w:fldCharType="begin"/>
            </w:r>
            <w:r w:rsidRPr="00081B2B">
              <w:rPr>
                <w:webHidden/>
              </w:rPr>
              <w:instrText xml:space="preserve"> PAGEREF _Toc215584287 \h </w:instrText>
            </w:r>
            <w:r w:rsidRPr="00081B2B">
              <w:rPr>
                <w:webHidden/>
              </w:rPr>
            </w:r>
            <w:r w:rsidRPr="00081B2B">
              <w:rPr>
                <w:webHidden/>
              </w:rPr>
              <w:fldChar w:fldCharType="separate"/>
            </w:r>
            <w:r w:rsidRPr="00081B2B">
              <w:rPr>
                <w:webHidden/>
              </w:rPr>
              <w:t>3</w:t>
            </w:r>
            <w:r w:rsidRPr="00081B2B">
              <w:rPr>
                <w:webHidden/>
              </w:rPr>
              <w:fldChar w:fldCharType="end"/>
            </w:r>
          </w:hyperlink>
        </w:p>
        <w:p w:rsidRPr="00081B2B" w:rsidR="008D0657" w:rsidRDefault="00C6141E" w14:paraId="531B2B44" w14:textId="77777777">
          <w:pPr>
            <w:pStyle w:val="TOC1"/>
            <w:tabs>
              <w:tab w:val="right" w:leader="dot" w:pos="9016"/>
            </w:tabs>
            <w:rPr>
              <w:rFonts w:asciiTheme="minorHAnsi" w:hAnsiTheme="minorHAnsi" w:eastAsiaTheme="minorEastAsia"/>
              <w:sz w:val="22"/>
              <w:lang w:eastAsia="en-IN"/>
            </w:rPr>
          </w:pPr>
          <w:hyperlink w:history="1" w:anchor="_Toc215584288">
            <w:r w:rsidRPr="00081B2B" w:rsidR="008D0657">
              <w:rPr>
                <w:rStyle w:val="Hyperlink"/>
              </w:rPr>
              <w:t>2. Application to include Stakeholder Engagement Strategies</w:t>
            </w:r>
            <w:r w:rsidRPr="00081B2B" w:rsidR="008D0657">
              <w:rPr>
                <w:webHidden/>
              </w:rPr>
              <w:tab/>
            </w:r>
            <w:r w:rsidRPr="00081B2B" w:rsidR="008D0657">
              <w:rPr>
                <w:webHidden/>
              </w:rPr>
              <w:fldChar w:fldCharType="begin"/>
            </w:r>
            <w:r w:rsidRPr="00081B2B" w:rsidR="008D0657">
              <w:rPr>
                <w:webHidden/>
              </w:rPr>
              <w:instrText xml:space="preserve"> PAGEREF _Toc215584288 \h </w:instrText>
            </w:r>
            <w:r w:rsidRPr="00081B2B" w:rsidR="008D0657">
              <w:rPr>
                <w:webHidden/>
              </w:rPr>
            </w:r>
            <w:r w:rsidRPr="00081B2B" w:rsidR="008D0657">
              <w:rPr>
                <w:webHidden/>
              </w:rPr>
              <w:fldChar w:fldCharType="separate"/>
            </w:r>
            <w:r w:rsidRPr="00081B2B" w:rsidR="008D0657">
              <w:rPr>
                <w:webHidden/>
              </w:rPr>
              <w:t>4</w:t>
            </w:r>
            <w:r w:rsidRPr="00081B2B" w:rsidR="008D0657">
              <w:rPr>
                <w:webHidden/>
              </w:rPr>
              <w:fldChar w:fldCharType="end"/>
            </w:r>
          </w:hyperlink>
        </w:p>
        <w:p w:rsidRPr="00081B2B" w:rsidR="008D0657" w:rsidRDefault="00C6141E" w14:paraId="5457A964" w14:textId="77777777">
          <w:pPr>
            <w:pStyle w:val="TOC2"/>
            <w:tabs>
              <w:tab w:val="right" w:leader="dot" w:pos="9016"/>
            </w:tabs>
            <w:rPr>
              <w:rFonts w:asciiTheme="minorHAnsi" w:hAnsiTheme="minorHAnsi" w:eastAsiaTheme="minorEastAsia"/>
              <w:sz w:val="22"/>
              <w:lang w:eastAsia="en-IN"/>
            </w:rPr>
          </w:pPr>
          <w:hyperlink w:history="1" w:anchor="_Toc215584289">
            <w:r w:rsidRPr="00081B2B" w:rsidR="008D0657">
              <w:rPr>
                <w:rStyle w:val="Hyperlink"/>
              </w:rPr>
              <w:t>Stakeholder Power–Influence–Interest Analysis</w:t>
            </w:r>
            <w:r w:rsidRPr="00081B2B" w:rsidR="008D0657">
              <w:rPr>
                <w:webHidden/>
              </w:rPr>
              <w:tab/>
            </w:r>
            <w:r w:rsidRPr="00081B2B" w:rsidR="008D0657">
              <w:rPr>
                <w:webHidden/>
              </w:rPr>
              <w:fldChar w:fldCharType="begin"/>
            </w:r>
            <w:r w:rsidRPr="00081B2B" w:rsidR="008D0657">
              <w:rPr>
                <w:webHidden/>
              </w:rPr>
              <w:instrText xml:space="preserve"> PAGEREF _Toc215584289 \h </w:instrText>
            </w:r>
            <w:r w:rsidRPr="00081B2B" w:rsidR="008D0657">
              <w:rPr>
                <w:webHidden/>
              </w:rPr>
            </w:r>
            <w:r w:rsidRPr="00081B2B" w:rsidR="008D0657">
              <w:rPr>
                <w:webHidden/>
              </w:rPr>
              <w:fldChar w:fldCharType="separate"/>
            </w:r>
            <w:r w:rsidRPr="00081B2B" w:rsidR="008D0657">
              <w:rPr>
                <w:webHidden/>
              </w:rPr>
              <w:t>4</w:t>
            </w:r>
            <w:r w:rsidRPr="00081B2B" w:rsidR="008D0657">
              <w:rPr>
                <w:webHidden/>
              </w:rPr>
              <w:fldChar w:fldCharType="end"/>
            </w:r>
          </w:hyperlink>
        </w:p>
        <w:p w:rsidRPr="00081B2B" w:rsidR="008D0657" w:rsidRDefault="00C6141E" w14:paraId="420A4B6D" w14:textId="77777777">
          <w:pPr>
            <w:pStyle w:val="TOC2"/>
            <w:tabs>
              <w:tab w:val="right" w:leader="dot" w:pos="9016"/>
            </w:tabs>
            <w:rPr>
              <w:rFonts w:asciiTheme="minorHAnsi" w:hAnsiTheme="minorHAnsi" w:eastAsiaTheme="minorEastAsia"/>
              <w:sz w:val="22"/>
              <w:lang w:eastAsia="en-IN"/>
            </w:rPr>
          </w:pPr>
          <w:hyperlink w:history="1" w:anchor="_Toc215584290">
            <w:r w:rsidRPr="00081B2B" w:rsidR="008D0657">
              <w:rPr>
                <w:rStyle w:val="Hyperlink"/>
              </w:rPr>
              <w:t>Stakeholder Mapping and Justification of Quadrant Placement</w:t>
            </w:r>
            <w:r w:rsidRPr="00081B2B" w:rsidR="008D0657">
              <w:rPr>
                <w:webHidden/>
              </w:rPr>
              <w:tab/>
            </w:r>
            <w:r w:rsidRPr="00081B2B" w:rsidR="008D0657">
              <w:rPr>
                <w:webHidden/>
              </w:rPr>
              <w:fldChar w:fldCharType="begin"/>
            </w:r>
            <w:r w:rsidRPr="00081B2B" w:rsidR="008D0657">
              <w:rPr>
                <w:webHidden/>
              </w:rPr>
              <w:instrText xml:space="preserve"> PAGEREF _Toc215584290 \h </w:instrText>
            </w:r>
            <w:r w:rsidRPr="00081B2B" w:rsidR="008D0657">
              <w:rPr>
                <w:webHidden/>
              </w:rPr>
            </w:r>
            <w:r w:rsidRPr="00081B2B" w:rsidR="008D0657">
              <w:rPr>
                <w:webHidden/>
              </w:rPr>
              <w:fldChar w:fldCharType="separate"/>
            </w:r>
            <w:r w:rsidRPr="00081B2B" w:rsidR="008D0657">
              <w:rPr>
                <w:webHidden/>
              </w:rPr>
              <w:t>6</w:t>
            </w:r>
            <w:r w:rsidRPr="00081B2B" w:rsidR="008D0657">
              <w:rPr>
                <w:webHidden/>
              </w:rPr>
              <w:fldChar w:fldCharType="end"/>
            </w:r>
          </w:hyperlink>
        </w:p>
        <w:p w:rsidRPr="00081B2B" w:rsidR="008D0657" w:rsidRDefault="00C6141E" w14:paraId="1FFC763B" w14:textId="77777777">
          <w:pPr>
            <w:pStyle w:val="TOC2"/>
            <w:tabs>
              <w:tab w:val="right" w:leader="dot" w:pos="9016"/>
            </w:tabs>
            <w:rPr>
              <w:rFonts w:asciiTheme="minorHAnsi" w:hAnsiTheme="minorHAnsi" w:eastAsiaTheme="minorEastAsia"/>
              <w:sz w:val="22"/>
              <w:lang w:eastAsia="en-IN"/>
            </w:rPr>
          </w:pPr>
          <w:hyperlink w:history="1" w:anchor="_Toc215584291">
            <w:r w:rsidRPr="00081B2B" w:rsidR="008D0657">
              <w:rPr>
                <w:rStyle w:val="Hyperlink"/>
              </w:rPr>
              <w:t>Communication and Consultation Plan with Justifications</w:t>
            </w:r>
            <w:r w:rsidRPr="00081B2B" w:rsidR="008D0657">
              <w:rPr>
                <w:webHidden/>
              </w:rPr>
              <w:tab/>
            </w:r>
            <w:r w:rsidRPr="00081B2B" w:rsidR="008D0657">
              <w:rPr>
                <w:webHidden/>
              </w:rPr>
              <w:fldChar w:fldCharType="begin"/>
            </w:r>
            <w:r w:rsidRPr="00081B2B" w:rsidR="008D0657">
              <w:rPr>
                <w:webHidden/>
              </w:rPr>
              <w:instrText xml:space="preserve"> PAGEREF _Toc215584291 \h </w:instrText>
            </w:r>
            <w:r w:rsidRPr="00081B2B" w:rsidR="008D0657">
              <w:rPr>
                <w:webHidden/>
              </w:rPr>
            </w:r>
            <w:r w:rsidRPr="00081B2B" w:rsidR="008D0657">
              <w:rPr>
                <w:webHidden/>
              </w:rPr>
              <w:fldChar w:fldCharType="separate"/>
            </w:r>
            <w:r w:rsidRPr="00081B2B" w:rsidR="008D0657">
              <w:rPr>
                <w:webHidden/>
              </w:rPr>
              <w:t>7</w:t>
            </w:r>
            <w:r w:rsidRPr="00081B2B" w:rsidR="008D0657">
              <w:rPr>
                <w:webHidden/>
              </w:rPr>
              <w:fldChar w:fldCharType="end"/>
            </w:r>
          </w:hyperlink>
        </w:p>
        <w:p w:rsidRPr="00081B2B" w:rsidR="008D0657" w:rsidRDefault="00C6141E" w14:paraId="335082E9" w14:textId="77777777">
          <w:pPr>
            <w:pStyle w:val="TOC1"/>
            <w:tabs>
              <w:tab w:val="right" w:leader="dot" w:pos="9016"/>
            </w:tabs>
            <w:rPr>
              <w:rFonts w:asciiTheme="minorHAnsi" w:hAnsiTheme="minorHAnsi" w:eastAsiaTheme="minorEastAsia"/>
              <w:sz w:val="22"/>
              <w:lang w:eastAsia="en-IN"/>
            </w:rPr>
          </w:pPr>
          <w:hyperlink w:history="1" w:anchor="_Toc215584292">
            <w:r w:rsidRPr="00081B2B" w:rsidR="008D0657">
              <w:rPr>
                <w:rStyle w:val="Hyperlink"/>
              </w:rPr>
              <w:t>3. Ethical Considerations in Stakeholder Consultation, Participation and Feedback</w:t>
            </w:r>
            <w:r w:rsidRPr="00081B2B" w:rsidR="008D0657">
              <w:rPr>
                <w:webHidden/>
              </w:rPr>
              <w:tab/>
            </w:r>
            <w:r w:rsidRPr="00081B2B" w:rsidR="008D0657">
              <w:rPr>
                <w:webHidden/>
              </w:rPr>
              <w:fldChar w:fldCharType="begin"/>
            </w:r>
            <w:r w:rsidRPr="00081B2B" w:rsidR="008D0657">
              <w:rPr>
                <w:webHidden/>
              </w:rPr>
              <w:instrText xml:space="preserve"> PAGEREF _Toc215584292 \h </w:instrText>
            </w:r>
            <w:r w:rsidRPr="00081B2B" w:rsidR="008D0657">
              <w:rPr>
                <w:webHidden/>
              </w:rPr>
            </w:r>
            <w:r w:rsidRPr="00081B2B" w:rsidR="008D0657">
              <w:rPr>
                <w:webHidden/>
              </w:rPr>
              <w:fldChar w:fldCharType="separate"/>
            </w:r>
            <w:r w:rsidRPr="00081B2B" w:rsidR="008D0657">
              <w:rPr>
                <w:webHidden/>
              </w:rPr>
              <w:t>10</w:t>
            </w:r>
            <w:r w:rsidRPr="00081B2B" w:rsidR="008D0657">
              <w:rPr>
                <w:webHidden/>
              </w:rPr>
              <w:fldChar w:fldCharType="end"/>
            </w:r>
          </w:hyperlink>
        </w:p>
        <w:p w:rsidRPr="00081B2B" w:rsidR="008D0657" w:rsidRDefault="00C6141E" w14:paraId="32BAF771" w14:textId="77777777">
          <w:pPr>
            <w:pStyle w:val="TOC1"/>
            <w:tabs>
              <w:tab w:val="right" w:leader="dot" w:pos="9016"/>
            </w:tabs>
            <w:rPr>
              <w:rFonts w:asciiTheme="minorHAnsi" w:hAnsiTheme="minorHAnsi" w:eastAsiaTheme="minorEastAsia"/>
              <w:sz w:val="22"/>
              <w:lang w:eastAsia="en-IN"/>
            </w:rPr>
          </w:pPr>
          <w:hyperlink w:history="1" w:anchor="_Toc215584293">
            <w:r w:rsidRPr="00081B2B" w:rsidR="008D0657">
              <w:rPr>
                <w:rStyle w:val="Hyperlink"/>
              </w:rPr>
              <w:t>4. Conclusion and Reflection</w:t>
            </w:r>
            <w:r w:rsidRPr="00081B2B" w:rsidR="008D0657">
              <w:rPr>
                <w:webHidden/>
              </w:rPr>
              <w:tab/>
            </w:r>
            <w:r w:rsidRPr="00081B2B" w:rsidR="008D0657">
              <w:rPr>
                <w:webHidden/>
              </w:rPr>
              <w:fldChar w:fldCharType="begin"/>
            </w:r>
            <w:r w:rsidRPr="00081B2B" w:rsidR="008D0657">
              <w:rPr>
                <w:webHidden/>
              </w:rPr>
              <w:instrText xml:space="preserve"> PAGEREF _Toc215584293 \h </w:instrText>
            </w:r>
            <w:r w:rsidRPr="00081B2B" w:rsidR="008D0657">
              <w:rPr>
                <w:webHidden/>
              </w:rPr>
            </w:r>
            <w:r w:rsidRPr="00081B2B" w:rsidR="008D0657">
              <w:rPr>
                <w:webHidden/>
              </w:rPr>
              <w:fldChar w:fldCharType="separate"/>
            </w:r>
            <w:r w:rsidRPr="00081B2B" w:rsidR="008D0657">
              <w:rPr>
                <w:webHidden/>
              </w:rPr>
              <w:t>11</w:t>
            </w:r>
            <w:r w:rsidRPr="00081B2B" w:rsidR="008D0657">
              <w:rPr>
                <w:webHidden/>
              </w:rPr>
              <w:fldChar w:fldCharType="end"/>
            </w:r>
          </w:hyperlink>
        </w:p>
        <w:p w:rsidRPr="00081B2B" w:rsidR="008D0657" w:rsidRDefault="00C6141E" w14:paraId="49B378E0" w14:textId="77777777">
          <w:pPr>
            <w:pStyle w:val="TOC1"/>
            <w:tabs>
              <w:tab w:val="right" w:leader="dot" w:pos="9016"/>
            </w:tabs>
            <w:rPr>
              <w:rFonts w:asciiTheme="minorHAnsi" w:hAnsiTheme="minorHAnsi" w:eastAsiaTheme="minorEastAsia"/>
              <w:sz w:val="22"/>
              <w:lang w:eastAsia="en-IN"/>
            </w:rPr>
          </w:pPr>
          <w:hyperlink w:history="1" w:anchor="_Toc215584294">
            <w:r w:rsidRPr="00081B2B" w:rsidR="008D0657">
              <w:rPr>
                <w:rStyle w:val="Hyperlink"/>
              </w:rPr>
              <w:t>References</w:t>
            </w:r>
            <w:r w:rsidRPr="00081B2B" w:rsidR="008D0657">
              <w:rPr>
                <w:webHidden/>
              </w:rPr>
              <w:tab/>
            </w:r>
            <w:r w:rsidRPr="00081B2B" w:rsidR="008D0657">
              <w:rPr>
                <w:webHidden/>
              </w:rPr>
              <w:fldChar w:fldCharType="begin"/>
            </w:r>
            <w:r w:rsidRPr="00081B2B" w:rsidR="008D0657">
              <w:rPr>
                <w:webHidden/>
              </w:rPr>
              <w:instrText xml:space="preserve"> PAGEREF _Toc215584294 \h </w:instrText>
            </w:r>
            <w:r w:rsidRPr="00081B2B" w:rsidR="008D0657">
              <w:rPr>
                <w:webHidden/>
              </w:rPr>
            </w:r>
            <w:r w:rsidRPr="00081B2B" w:rsidR="008D0657">
              <w:rPr>
                <w:webHidden/>
              </w:rPr>
              <w:fldChar w:fldCharType="separate"/>
            </w:r>
            <w:r w:rsidRPr="00081B2B" w:rsidR="008D0657">
              <w:rPr>
                <w:webHidden/>
              </w:rPr>
              <w:t>14</w:t>
            </w:r>
            <w:r w:rsidRPr="00081B2B" w:rsidR="008D0657">
              <w:rPr>
                <w:webHidden/>
              </w:rPr>
              <w:fldChar w:fldCharType="end"/>
            </w:r>
          </w:hyperlink>
        </w:p>
        <w:p w:rsidRPr="00081B2B" w:rsidR="008D0657" w:rsidRDefault="008D0657" w14:paraId="05310684" w14:textId="77777777">
          <w:r w:rsidRPr="00081B2B">
            <w:rPr>
              <w:b/>
              <w:bCs/>
            </w:rPr>
            <w:fldChar w:fldCharType="end"/>
          </w:r>
        </w:p>
      </w:sdtContent>
    </w:sdt>
    <w:p w:rsidRPr="00081B2B" w:rsidR="008D0657" w:rsidP="008D0657" w:rsidRDefault="008D0657" w14:paraId="44D3A0F6" w14:textId="77777777">
      <w:pPr>
        <w:rPr>
          <w:b/>
          <w:sz w:val="30"/>
        </w:rPr>
      </w:pPr>
    </w:p>
    <w:p w:rsidRPr="00081B2B" w:rsidR="008D0657" w:rsidRDefault="008D0657" w14:paraId="05D2E140" w14:textId="77777777">
      <w:pPr>
        <w:spacing w:line="276" w:lineRule="auto"/>
        <w:jc w:val="left"/>
        <w:rPr>
          <w:rFonts w:eastAsiaTheme="majorEastAsia" w:cstheme="majorBidi"/>
          <w:b/>
          <w:bCs/>
          <w:szCs w:val="28"/>
        </w:rPr>
      </w:pPr>
      <w:r w:rsidRPr="00081B2B">
        <w:br w:type="page"/>
      </w:r>
    </w:p>
    <w:p w:rsidRPr="00081B2B" w:rsidR="005F1480" w:rsidP="005F1480" w:rsidRDefault="005F1480" w14:paraId="06180C9A" w14:textId="77777777">
      <w:pPr>
        <w:pStyle w:val="Heading1"/>
      </w:pPr>
      <w:bookmarkStart w:name="_Toc215584287" w:id="0"/>
      <w:r w:rsidRPr="00081B2B">
        <w:t>1</w:t>
      </w:r>
      <w:r w:rsidRPr="00081B2B" w:rsidR="002D382D">
        <w:t>. Introduction</w:t>
      </w:r>
      <w:bookmarkEnd w:id="0"/>
      <w:r w:rsidRPr="00081B2B" w:rsidR="002D382D">
        <w:t xml:space="preserve"> </w:t>
      </w:r>
    </w:p>
    <w:p w:rsidRPr="00081B2B" w:rsidR="00F33237" w:rsidP="00C17DA5" w:rsidRDefault="009F436B" w14:paraId="63A813D6" w14:textId="77777777">
      <w:r w:rsidRPr="00081B2B">
        <w:t xml:space="preserve">A new urban park will be developed to provide a variety of recreation opportunities for the community including natural and constructed spaces, walking and cycling trails, playgrounds and event areas. The design concept supports the environment through improved air and water quality, increases the amount of habitat for wildlife and creates a more resilient environment. </w:t>
      </w:r>
      <w:r w:rsidRPr="00081B2B" w:rsidR="00C17DA5">
        <w:t xml:space="preserve">Additionally, it will be a source of fitness, friendship, and mental health for the community. </w:t>
      </w:r>
      <w:r w:rsidRPr="00081B2B" w:rsidR="00F33237">
        <w:t xml:space="preserve">The park aligns with local policies that focus on public health, creating an attractive locality, and providing fair access to green areas after an increased focus on using an 'enhanced prescription' model of health and community development - which has occurred since 2020. Available evidence indicates that improved investment in good quality green space(s) has been shown to mitigate health inequality due to the much higher positive impact of investing in higher quality green spaces located in lower socioeconomic classes compared to higher socioeconomic classes when priorities of how the areas should be managed and designed </w:t>
      </w:r>
      <w:r w:rsidRPr="00081B2B" w:rsidR="00184AF7">
        <w:t>(</w:t>
      </w:r>
      <w:r w:rsidRPr="00081B2B" w:rsidR="00F33237">
        <w:t>Cova Cervilla Bordiu, 2022, p. 9</w:t>
      </w:r>
      <w:r w:rsidRPr="00081B2B" w:rsidR="00184AF7">
        <w:t>)</w:t>
      </w:r>
      <w:r w:rsidRPr="00081B2B" w:rsidR="00F33237">
        <w:t xml:space="preserve">. </w:t>
      </w:r>
    </w:p>
    <w:p w:rsidRPr="00081B2B" w:rsidR="00F33237" w:rsidP="00F33237" w:rsidRDefault="00F33237" w14:paraId="420DD2CE" w14:textId="77777777">
      <w:pPr>
        <w:pStyle w:val="NormalWeb"/>
        <w:jc w:val="center"/>
      </w:pPr>
    </w:p>
    <w:p w:rsidRPr="00081B2B" w:rsidR="00B078D6" w:rsidP="00F33237" w:rsidRDefault="00B078D6" w14:paraId="275D0F6A" w14:textId="77777777">
      <w:pPr>
        <w:pStyle w:val="NormalWeb"/>
        <w:jc w:val="center"/>
      </w:pPr>
      <w:r w:rsidRPr="00081B2B">
        <w:rPr>
          <w:noProof/>
        </w:rPr>
        <w:drawing>
          <wp:inline distT="0" distB="0" distL="0" distR="0" wp14:anchorId="0D521FC7" wp14:editId="2299DFB3">
            <wp:extent cx="4381500" cy="3200400"/>
            <wp:effectExtent l="19050" t="0" r="952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Pr="00081B2B" w:rsidR="00F33237" w:rsidP="00F33237" w:rsidRDefault="00F33237" w14:paraId="38252289" w14:textId="77777777">
      <w:pPr>
        <w:pStyle w:val="NormalWeb"/>
        <w:jc w:val="center"/>
      </w:pPr>
      <w:r w:rsidRPr="00081B2B">
        <w:rPr>
          <w:b/>
        </w:rPr>
        <w:t>Figure</w:t>
      </w:r>
      <w:r w:rsidRPr="00081B2B" w:rsidR="00867E03">
        <w:rPr>
          <w:b/>
        </w:rPr>
        <w:t xml:space="preserve"> 1</w:t>
      </w:r>
      <w:r w:rsidRPr="00081B2B">
        <w:rPr>
          <w:b/>
        </w:rPr>
        <w:t>:</w:t>
      </w:r>
      <w:r w:rsidRPr="00081B2B">
        <w:t xml:space="preserve"> Six Principle Stakeholders </w:t>
      </w:r>
    </w:p>
    <w:p w:rsidRPr="00081B2B" w:rsidR="00F33237" w:rsidP="00F33237" w:rsidRDefault="00F33237" w14:paraId="03AAB11F" w14:textId="77777777">
      <w:pPr>
        <w:pStyle w:val="NormalWeb"/>
        <w:jc w:val="center"/>
        <w:rPr>
          <w:b/>
        </w:rPr>
      </w:pPr>
      <w:r w:rsidRPr="00081B2B">
        <w:rPr>
          <w:b/>
        </w:rPr>
        <w:t>(Source:</w:t>
      </w:r>
      <w:r w:rsidRPr="00081B2B">
        <w:t xml:space="preserve"> Self-developed</w:t>
      </w:r>
      <w:r w:rsidRPr="00081B2B">
        <w:rPr>
          <w:b/>
        </w:rPr>
        <w:t>)</w:t>
      </w:r>
    </w:p>
    <w:p w:rsidR="00081B2B" w:rsidRDefault="00081B2B" w14:paraId="063AD832" w14:textId="77777777">
      <w:pPr>
        <w:spacing w:line="276" w:lineRule="auto"/>
        <w:jc w:val="left"/>
      </w:pPr>
      <w:r>
        <w:br w:type="page"/>
      </w:r>
    </w:p>
    <w:p w:rsidRPr="00081B2B" w:rsidR="00184AF7" w:rsidP="00184AF7" w:rsidRDefault="00184AF7" w14:paraId="4659B373" w14:textId="2E5B78ED">
      <w:r w:rsidRPr="00081B2B">
        <w:t xml:space="preserve">By creating a New Urban Park, </w:t>
      </w:r>
      <w:r w:rsidRPr="00081B2B" w:rsidR="00867E03">
        <w:t>it is</w:t>
      </w:r>
      <w:r w:rsidRPr="00081B2B">
        <w:t xml:space="preserve"> expect</w:t>
      </w:r>
      <w:r w:rsidRPr="00081B2B" w:rsidR="00867E03">
        <w:t>ed</w:t>
      </w:r>
      <w:r w:rsidRPr="00081B2B">
        <w:t xml:space="preserve"> to realise clear benefits for 6 major stakeholder groups who have a vested interest in the design and implementation of this project (i.e., Local Residents will gain improved access to recreational opportunities, physical activity, reduce stress, and practice Social Interaction; The proximity of a quality Urban Green Space, is associated with higher levels of Subjective Well-being and Community Connectedness (van Dinter et al., 2022, p. 49) ); Local Authorities or Councils will also benefit from achieving their Legal Mandate (i.e., improve Public Health, Urban Regeneration and Climate Adaptation). Furthermore, Local Authorities/Councils can expect to generate quantifiable outcomes (i.e., Improved Green Coverage and Increased Enhanced Community Amenities) as a result of this project (OECD, 2020, p. 12). </w:t>
      </w:r>
    </w:p>
    <w:p w:rsidRPr="00081B2B" w:rsidR="00043CA4" w:rsidP="00043CA4" w:rsidRDefault="00043CA4" w14:paraId="7A461DAA" w14:textId="5CEF28CA">
      <w:pPr>
        <w:rPr>
          <w:b/>
          <w:bCs/>
          <w:lang w:eastAsia="en-IN"/>
        </w:rPr>
      </w:pPr>
      <w:r w:rsidRPr="00081B2B">
        <w:rPr>
          <w:lang w:eastAsia="en-IN"/>
        </w:rPr>
        <w:t>Moreover,</w:t>
      </w:r>
      <w:r w:rsidRPr="00081B2B" w:rsidR="000E2836">
        <w:rPr>
          <w:lang w:eastAsia="en-IN"/>
        </w:rPr>
        <w:t xml:space="preserve"> the local businesses and environmental NGOs are the primary beneficiaries of increased foot traffic and economic activities, in the case of the former, and biodiversity projects and education, in the case of the latter. The Contractors on the other side gain through their workforce and selling their services, while healthcare institutions consider the park as a venue for social prescribing and wellbeing programs. </w:t>
      </w:r>
      <w:r w:rsidRPr="00081B2B" w:rsidR="00081B2B">
        <w:rPr>
          <w:lang w:eastAsia="en-IN"/>
        </w:rPr>
        <w:t>Therefore,</w:t>
      </w:r>
      <w:r w:rsidRPr="00081B2B" w:rsidR="000E2836">
        <w:rPr>
          <w:lang w:eastAsia="en-IN"/>
        </w:rPr>
        <w:t xml:space="preserve"> it can be said that, the park creates a trifecta of value through its environmental, social and economic impacts, which are widely distributed among stakeholders.</w:t>
      </w:r>
    </w:p>
    <w:p w:rsidR="00081B2B" w:rsidP="00F33237" w:rsidRDefault="00F33237" w14:paraId="411B0235" w14:textId="77777777">
      <w:pPr>
        <w:pStyle w:val="Heading1"/>
      </w:pPr>
      <w:r w:rsidRPr="00081B2B">
        <w:t xml:space="preserve"> </w:t>
      </w:r>
      <w:bookmarkStart w:name="_Toc215584288" w:id="1"/>
    </w:p>
    <w:p w:rsidR="00081B2B" w:rsidRDefault="00081B2B" w14:paraId="12A88FD4" w14:textId="77777777">
      <w:pPr>
        <w:spacing w:line="276" w:lineRule="auto"/>
        <w:jc w:val="left"/>
        <w:rPr>
          <w:rFonts w:eastAsiaTheme="majorEastAsia" w:cstheme="majorBidi"/>
          <w:b/>
          <w:bCs/>
          <w:szCs w:val="28"/>
        </w:rPr>
      </w:pPr>
      <w:r>
        <w:br w:type="page"/>
      </w:r>
    </w:p>
    <w:p w:rsidRPr="00081B2B" w:rsidR="005F1480" w:rsidP="00F33237" w:rsidRDefault="005F1480" w14:paraId="6EECE942" w14:textId="44307941">
      <w:pPr>
        <w:pStyle w:val="Heading1"/>
      </w:pPr>
      <w:r w:rsidRPr="00081B2B">
        <w:t>2</w:t>
      </w:r>
      <w:r w:rsidRPr="00081B2B" w:rsidR="002D382D">
        <w:t>.</w:t>
      </w:r>
      <w:r w:rsidRPr="00081B2B">
        <w:t xml:space="preserve"> Application to include Stakeholder Engagement Strategies</w:t>
      </w:r>
      <w:bookmarkEnd w:id="1"/>
      <w:r w:rsidRPr="00081B2B">
        <w:t> </w:t>
      </w:r>
    </w:p>
    <w:p w:rsidRPr="00081B2B" w:rsidR="005A613B" w:rsidP="002D382D" w:rsidRDefault="005A613B" w14:paraId="11BD7567" w14:textId="77777777">
      <w:pPr>
        <w:pStyle w:val="Heading2"/>
      </w:pPr>
      <w:bookmarkStart w:name="_Toc215584289" w:id="2"/>
      <w:r w:rsidRPr="00081B2B">
        <w:t>Stakeholder Power–Influence–Interest Analysis</w:t>
      </w:r>
      <w:bookmarkEnd w:id="2"/>
    </w:p>
    <w:p w:rsidRPr="00081B2B" w:rsidR="005A613B" w:rsidP="00574D13" w:rsidRDefault="00574D13" w14:paraId="2C4D9D9A" w14:textId="77777777">
      <w:r w:rsidRPr="00081B2B">
        <w:t>Following Zhu et al. (2024, p. 2865) and according to the informal stakeholder theory standard, the six identified key stakeholders in regard to their power/influence and interest for the project at hand (proposed public park) have been analysed as presented below.</w:t>
      </w:r>
    </w:p>
    <w:p w:rsidRPr="00081B2B" w:rsidR="008D4427" w:rsidP="008D4427" w:rsidRDefault="008D4427" w14:paraId="38A3E4BA" w14:textId="77777777">
      <w:pPr>
        <w:jc w:val="center"/>
      </w:pPr>
      <w:r w:rsidRPr="00081B2B">
        <w:rPr>
          <w:b/>
        </w:rPr>
        <w:t>Table 1:</w:t>
      </w:r>
      <w:r w:rsidRPr="00081B2B">
        <w:t xml:space="preserve"> </w:t>
      </w:r>
      <w:r w:rsidRPr="00081B2B">
        <w:rPr>
          <w:rStyle w:val="Strong"/>
          <w:b w:val="0"/>
          <w:bCs w:val="0"/>
        </w:rPr>
        <w:t>Stakeholder Power–Interest Matrix</w:t>
      </w:r>
    </w:p>
    <w:tbl>
      <w:tblPr>
        <w:tblStyle w:val="TableGrid"/>
        <w:tblW w:w="0" w:type="auto"/>
        <w:tblLook w:val="04A0" w:firstRow="1" w:lastRow="0" w:firstColumn="1" w:lastColumn="0" w:noHBand="0" w:noVBand="1"/>
      </w:tblPr>
      <w:tblGrid>
        <w:gridCol w:w="3347"/>
        <w:gridCol w:w="1678"/>
        <w:gridCol w:w="1083"/>
        <w:gridCol w:w="3134"/>
      </w:tblGrid>
      <w:tr w:rsidRPr="00081B2B" w:rsidR="008D4427" w:rsidTr="008D4427" w14:paraId="572E84EE" w14:textId="77777777">
        <w:tc>
          <w:tcPr>
            <w:tcW w:w="0" w:type="auto"/>
            <w:shd w:val="clear" w:color="auto" w:fill="244061" w:themeFill="accent1" w:themeFillShade="80"/>
            <w:hideMark/>
          </w:tcPr>
          <w:p w:rsidRPr="00081B2B" w:rsidR="005A613B" w:rsidP="00A06F53" w:rsidRDefault="005A613B" w14:paraId="028A8DDD" w14:textId="77777777">
            <w:pPr>
              <w:jc w:val="center"/>
              <w:rPr>
                <w:b/>
                <w:bCs/>
                <w:szCs w:val="24"/>
              </w:rPr>
            </w:pPr>
            <w:r w:rsidRPr="00081B2B">
              <w:rPr>
                <w:rStyle w:val="Strong"/>
              </w:rPr>
              <w:t>Stakeholder</w:t>
            </w:r>
          </w:p>
        </w:tc>
        <w:tc>
          <w:tcPr>
            <w:tcW w:w="0" w:type="auto"/>
            <w:shd w:val="clear" w:color="auto" w:fill="244061" w:themeFill="accent1" w:themeFillShade="80"/>
            <w:hideMark/>
          </w:tcPr>
          <w:p w:rsidRPr="00081B2B" w:rsidR="005A613B" w:rsidP="00A06F53" w:rsidRDefault="005A613B" w14:paraId="1871060B" w14:textId="77777777">
            <w:pPr>
              <w:jc w:val="center"/>
              <w:rPr>
                <w:b/>
                <w:bCs/>
                <w:szCs w:val="24"/>
              </w:rPr>
            </w:pPr>
            <w:r w:rsidRPr="00081B2B">
              <w:rPr>
                <w:rStyle w:val="Strong"/>
              </w:rPr>
              <w:t>Power / Influence</w:t>
            </w:r>
          </w:p>
        </w:tc>
        <w:tc>
          <w:tcPr>
            <w:tcW w:w="0" w:type="auto"/>
            <w:shd w:val="clear" w:color="auto" w:fill="244061" w:themeFill="accent1" w:themeFillShade="80"/>
            <w:hideMark/>
          </w:tcPr>
          <w:p w:rsidRPr="00081B2B" w:rsidR="005A613B" w:rsidP="00A06F53" w:rsidRDefault="005A613B" w14:paraId="430194A9" w14:textId="77777777">
            <w:pPr>
              <w:jc w:val="center"/>
              <w:rPr>
                <w:b/>
                <w:bCs/>
                <w:szCs w:val="24"/>
              </w:rPr>
            </w:pPr>
            <w:r w:rsidRPr="00081B2B">
              <w:rPr>
                <w:rStyle w:val="Strong"/>
              </w:rPr>
              <w:t>Interest</w:t>
            </w:r>
          </w:p>
        </w:tc>
        <w:tc>
          <w:tcPr>
            <w:tcW w:w="0" w:type="auto"/>
            <w:shd w:val="clear" w:color="auto" w:fill="244061" w:themeFill="accent1" w:themeFillShade="80"/>
            <w:hideMark/>
          </w:tcPr>
          <w:p w:rsidRPr="00081B2B" w:rsidR="005A613B" w:rsidP="00A06F53" w:rsidRDefault="005A613B" w14:paraId="2EB0FEDF" w14:textId="77777777">
            <w:pPr>
              <w:jc w:val="center"/>
              <w:rPr>
                <w:b/>
                <w:bCs/>
                <w:szCs w:val="24"/>
              </w:rPr>
            </w:pPr>
            <w:r w:rsidRPr="00081B2B">
              <w:rPr>
                <w:rStyle w:val="Strong"/>
              </w:rPr>
              <w:t>Overall Position</w:t>
            </w:r>
          </w:p>
        </w:tc>
      </w:tr>
      <w:tr w:rsidRPr="00081B2B" w:rsidR="005A613B" w:rsidTr="008D4427" w14:paraId="240AD317" w14:textId="77777777">
        <w:tc>
          <w:tcPr>
            <w:tcW w:w="0" w:type="auto"/>
            <w:hideMark/>
          </w:tcPr>
          <w:p w:rsidRPr="00081B2B" w:rsidR="005A613B" w:rsidP="00A06F53" w:rsidRDefault="005A613B" w14:paraId="2EAE8916" w14:textId="77777777">
            <w:pPr>
              <w:jc w:val="left"/>
              <w:rPr>
                <w:szCs w:val="24"/>
              </w:rPr>
            </w:pPr>
            <w:r w:rsidRPr="00081B2B">
              <w:t>Local Authority / City Council</w:t>
            </w:r>
          </w:p>
        </w:tc>
        <w:tc>
          <w:tcPr>
            <w:tcW w:w="0" w:type="auto"/>
            <w:shd w:val="clear" w:color="auto" w:fill="FF0000"/>
            <w:hideMark/>
          </w:tcPr>
          <w:p w:rsidRPr="00081B2B" w:rsidR="005A613B" w:rsidP="008D4427" w:rsidRDefault="005A613B" w14:paraId="78CDD6AC" w14:textId="77777777">
            <w:pPr>
              <w:jc w:val="center"/>
              <w:rPr>
                <w:b/>
                <w:szCs w:val="24"/>
              </w:rPr>
            </w:pPr>
            <w:r w:rsidRPr="00081B2B">
              <w:rPr>
                <w:b/>
              </w:rPr>
              <w:t>High</w:t>
            </w:r>
          </w:p>
        </w:tc>
        <w:tc>
          <w:tcPr>
            <w:tcW w:w="0" w:type="auto"/>
            <w:shd w:val="clear" w:color="auto" w:fill="FF0000"/>
            <w:hideMark/>
          </w:tcPr>
          <w:p w:rsidRPr="00081B2B" w:rsidR="005A613B" w:rsidP="008D4427" w:rsidRDefault="005A613B" w14:paraId="0BB181D8" w14:textId="77777777">
            <w:pPr>
              <w:jc w:val="center"/>
              <w:rPr>
                <w:b/>
                <w:szCs w:val="24"/>
              </w:rPr>
            </w:pPr>
            <w:r w:rsidRPr="00081B2B">
              <w:rPr>
                <w:b/>
              </w:rPr>
              <w:t>High</w:t>
            </w:r>
          </w:p>
        </w:tc>
        <w:tc>
          <w:tcPr>
            <w:tcW w:w="0" w:type="auto"/>
            <w:hideMark/>
          </w:tcPr>
          <w:p w:rsidRPr="00081B2B" w:rsidR="005A613B" w:rsidP="00A06F53" w:rsidRDefault="005A613B" w14:paraId="33CEEA9A" w14:textId="77777777">
            <w:pPr>
              <w:rPr>
                <w:szCs w:val="24"/>
              </w:rPr>
            </w:pPr>
            <w:r w:rsidRPr="00081B2B">
              <w:rPr>
                <w:rStyle w:val="Strong"/>
              </w:rPr>
              <w:t>Key Player</w:t>
            </w:r>
          </w:p>
        </w:tc>
      </w:tr>
      <w:tr w:rsidRPr="00081B2B" w:rsidR="005A613B" w:rsidTr="008D4427" w14:paraId="763374EB" w14:textId="77777777">
        <w:tc>
          <w:tcPr>
            <w:tcW w:w="0" w:type="auto"/>
            <w:hideMark/>
          </w:tcPr>
          <w:p w:rsidRPr="00081B2B" w:rsidR="005A613B" w:rsidP="00A06F53" w:rsidRDefault="005A613B" w14:paraId="4E50D539" w14:textId="77777777">
            <w:pPr>
              <w:jc w:val="left"/>
              <w:rPr>
                <w:szCs w:val="24"/>
              </w:rPr>
            </w:pPr>
            <w:r w:rsidRPr="00081B2B">
              <w:t>Local Residents</w:t>
            </w:r>
          </w:p>
        </w:tc>
        <w:tc>
          <w:tcPr>
            <w:tcW w:w="0" w:type="auto"/>
            <w:shd w:val="clear" w:color="auto" w:fill="FFFF00"/>
            <w:hideMark/>
          </w:tcPr>
          <w:p w:rsidRPr="00081B2B" w:rsidR="005A613B" w:rsidP="008D4427" w:rsidRDefault="005A613B" w14:paraId="0E10CA92" w14:textId="77777777">
            <w:pPr>
              <w:jc w:val="center"/>
              <w:rPr>
                <w:b/>
                <w:szCs w:val="24"/>
              </w:rPr>
            </w:pPr>
            <w:r w:rsidRPr="00081B2B">
              <w:rPr>
                <w:b/>
              </w:rPr>
              <w:t>Medium</w:t>
            </w:r>
          </w:p>
        </w:tc>
        <w:tc>
          <w:tcPr>
            <w:tcW w:w="0" w:type="auto"/>
            <w:shd w:val="clear" w:color="auto" w:fill="FF0000"/>
            <w:hideMark/>
          </w:tcPr>
          <w:p w:rsidRPr="00081B2B" w:rsidR="005A613B" w:rsidP="008D4427" w:rsidRDefault="005A613B" w14:paraId="3537F4DE" w14:textId="77777777">
            <w:pPr>
              <w:jc w:val="center"/>
              <w:rPr>
                <w:b/>
                <w:szCs w:val="24"/>
              </w:rPr>
            </w:pPr>
            <w:r w:rsidRPr="00081B2B">
              <w:rPr>
                <w:b/>
              </w:rPr>
              <w:t>High</w:t>
            </w:r>
          </w:p>
        </w:tc>
        <w:tc>
          <w:tcPr>
            <w:tcW w:w="0" w:type="auto"/>
            <w:hideMark/>
          </w:tcPr>
          <w:p w:rsidRPr="00081B2B" w:rsidR="005A613B" w:rsidP="00A06F53" w:rsidRDefault="005A613B" w14:paraId="3EB9BA78" w14:textId="77777777">
            <w:pPr>
              <w:rPr>
                <w:szCs w:val="24"/>
              </w:rPr>
            </w:pPr>
            <w:r w:rsidRPr="00081B2B">
              <w:rPr>
                <w:rStyle w:val="Strong"/>
              </w:rPr>
              <w:t>High Interest / Moderate Power</w:t>
            </w:r>
          </w:p>
        </w:tc>
      </w:tr>
      <w:tr w:rsidRPr="00081B2B" w:rsidR="005A613B" w:rsidTr="008D4427" w14:paraId="75DFA612" w14:textId="77777777">
        <w:tc>
          <w:tcPr>
            <w:tcW w:w="0" w:type="auto"/>
            <w:hideMark/>
          </w:tcPr>
          <w:p w:rsidRPr="00081B2B" w:rsidR="005A613B" w:rsidP="00A06F53" w:rsidRDefault="005A613B" w14:paraId="2F1947B8" w14:textId="77777777">
            <w:pPr>
              <w:jc w:val="left"/>
              <w:rPr>
                <w:szCs w:val="24"/>
              </w:rPr>
            </w:pPr>
            <w:r w:rsidRPr="00081B2B">
              <w:t>Local Businesses and Traders</w:t>
            </w:r>
          </w:p>
        </w:tc>
        <w:tc>
          <w:tcPr>
            <w:tcW w:w="0" w:type="auto"/>
            <w:shd w:val="clear" w:color="auto" w:fill="FFFF00"/>
            <w:hideMark/>
          </w:tcPr>
          <w:p w:rsidRPr="00081B2B" w:rsidR="005A613B" w:rsidP="008D4427" w:rsidRDefault="005A613B" w14:paraId="77E12A7E" w14:textId="77777777">
            <w:pPr>
              <w:jc w:val="center"/>
              <w:rPr>
                <w:b/>
                <w:szCs w:val="24"/>
              </w:rPr>
            </w:pPr>
            <w:r w:rsidRPr="00081B2B">
              <w:rPr>
                <w:b/>
              </w:rPr>
              <w:t>Medium</w:t>
            </w:r>
          </w:p>
        </w:tc>
        <w:tc>
          <w:tcPr>
            <w:tcW w:w="0" w:type="auto"/>
            <w:shd w:val="clear" w:color="auto" w:fill="FFFF00"/>
            <w:hideMark/>
          </w:tcPr>
          <w:p w:rsidRPr="00081B2B" w:rsidR="005A613B" w:rsidP="008D4427" w:rsidRDefault="005A613B" w14:paraId="14281D03" w14:textId="77777777">
            <w:pPr>
              <w:jc w:val="center"/>
              <w:rPr>
                <w:b/>
                <w:szCs w:val="24"/>
              </w:rPr>
            </w:pPr>
            <w:r w:rsidRPr="00081B2B">
              <w:rPr>
                <w:b/>
              </w:rPr>
              <w:t>Medium</w:t>
            </w:r>
          </w:p>
        </w:tc>
        <w:tc>
          <w:tcPr>
            <w:tcW w:w="0" w:type="auto"/>
            <w:hideMark/>
          </w:tcPr>
          <w:p w:rsidRPr="00081B2B" w:rsidR="005A613B" w:rsidP="00A06F53" w:rsidRDefault="005A613B" w14:paraId="61EDABAB" w14:textId="77777777">
            <w:pPr>
              <w:rPr>
                <w:szCs w:val="24"/>
              </w:rPr>
            </w:pPr>
            <w:r w:rsidRPr="00081B2B">
              <w:rPr>
                <w:rStyle w:val="Strong"/>
              </w:rPr>
              <w:t>Supportive Medium</w:t>
            </w:r>
          </w:p>
        </w:tc>
      </w:tr>
      <w:tr w:rsidRPr="00081B2B" w:rsidR="005A613B" w:rsidTr="008D4427" w14:paraId="20194594" w14:textId="77777777">
        <w:tc>
          <w:tcPr>
            <w:tcW w:w="0" w:type="auto"/>
            <w:hideMark/>
          </w:tcPr>
          <w:p w:rsidRPr="00081B2B" w:rsidR="005A613B" w:rsidP="00A06F53" w:rsidRDefault="005A613B" w14:paraId="1FF2F069" w14:textId="77777777">
            <w:pPr>
              <w:jc w:val="left"/>
              <w:rPr>
                <w:szCs w:val="24"/>
              </w:rPr>
            </w:pPr>
            <w:r w:rsidRPr="00081B2B">
              <w:t>Environmental and Community NGOs</w:t>
            </w:r>
          </w:p>
        </w:tc>
        <w:tc>
          <w:tcPr>
            <w:tcW w:w="0" w:type="auto"/>
            <w:shd w:val="clear" w:color="auto" w:fill="F79646" w:themeFill="accent6"/>
            <w:hideMark/>
          </w:tcPr>
          <w:p w:rsidRPr="00081B2B" w:rsidR="005A613B" w:rsidP="008D4427" w:rsidRDefault="005A613B" w14:paraId="45FDA6F7" w14:textId="77777777">
            <w:pPr>
              <w:jc w:val="center"/>
              <w:rPr>
                <w:b/>
                <w:szCs w:val="24"/>
              </w:rPr>
            </w:pPr>
            <w:r w:rsidRPr="00081B2B">
              <w:rPr>
                <w:b/>
              </w:rPr>
              <w:t>Low–Medium</w:t>
            </w:r>
          </w:p>
        </w:tc>
        <w:tc>
          <w:tcPr>
            <w:tcW w:w="0" w:type="auto"/>
            <w:shd w:val="clear" w:color="auto" w:fill="FF0000"/>
            <w:hideMark/>
          </w:tcPr>
          <w:p w:rsidRPr="00081B2B" w:rsidR="005A613B" w:rsidP="008D4427" w:rsidRDefault="005A613B" w14:paraId="2EFB1BC3" w14:textId="77777777">
            <w:pPr>
              <w:jc w:val="center"/>
              <w:rPr>
                <w:b/>
                <w:szCs w:val="24"/>
              </w:rPr>
            </w:pPr>
            <w:r w:rsidRPr="00081B2B">
              <w:rPr>
                <w:b/>
              </w:rPr>
              <w:t>High</w:t>
            </w:r>
          </w:p>
        </w:tc>
        <w:tc>
          <w:tcPr>
            <w:tcW w:w="0" w:type="auto"/>
            <w:hideMark/>
          </w:tcPr>
          <w:p w:rsidRPr="00081B2B" w:rsidR="005A613B" w:rsidP="00A06F53" w:rsidRDefault="005A613B" w14:paraId="7264CCFF" w14:textId="77777777">
            <w:pPr>
              <w:rPr>
                <w:szCs w:val="24"/>
              </w:rPr>
            </w:pPr>
            <w:r w:rsidRPr="00081B2B">
              <w:rPr>
                <w:rStyle w:val="Strong"/>
              </w:rPr>
              <w:t>Interested but Limited Power</w:t>
            </w:r>
          </w:p>
        </w:tc>
      </w:tr>
      <w:tr w:rsidRPr="00081B2B" w:rsidR="005A613B" w:rsidTr="008D4427" w14:paraId="1155D638" w14:textId="77777777">
        <w:tc>
          <w:tcPr>
            <w:tcW w:w="0" w:type="auto"/>
            <w:hideMark/>
          </w:tcPr>
          <w:p w:rsidRPr="00081B2B" w:rsidR="005A613B" w:rsidP="00A06F53" w:rsidRDefault="005A613B" w14:paraId="048F0AD2" w14:textId="77777777">
            <w:pPr>
              <w:jc w:val="left"/>
              <w:rPr>
                <w:szCs w:val="24"/>
              </w:rPr>
            </w:pPr>
            <w:r w:rsidRPr="00081B2B">
              <w:t>Construction and Design Contractors</w:t>
            </w:r>
          </w:p>
        </w:tc>
        <w:tc>
          <w:tcPr>
            <w:tcW w:w="0" w:type="auto"/>
            <w:shd w:val="clear" w:color="auto" w:fill="FF0000"/>
            <w:hideMark/>
          </w:tcPr>
          <w:p w:rsidRPr="00081B2B" w:rsidR="005A613B" w:rsidP="008D4427" w:rsidRDefault="005A613B" w14:paraId="7E9EDBC6" w14:textId="77777777">
            <w:pPr>
              <w:jc w:val="center"/>
              <w:rPr>
                <w:b/>
                <w:szCs w:val="24"/>
              </w:rPr>
            </w:pPr>
            <w:r w:rsidRPr="00081B2B">
              <w:rPr>
                <w:b/>
              </w:rPr>
              <w:t>High</w:t>
            </w:r>
          </w:p>
        </w:tc>
        <w:tc>
          <w:tcPr>
            <w:tcW w:w="0" w:type="auto"/>
            <w:shd w:val="clear" w:color="auto" w:fill="FFFF00"/>
            <w:hideMark/>
          </w:tcPr>
          <w:p w:rsidRPr="00081B2B" w:rsidR="005A613B" w:rsidP="008D4427" w:rsidRDefault="005A613B" w14:paraId="2F6231B1" w14:textId="77777777">
            <w:pPr>
              <w:jc w:val="center"/>
              <w:rPr>
                <w:b/>
                <w:szCs w:val="24"/>
              </w:rPr>
            </w:pPr>
            <w:r w:rsidRPr="00081B2B">
              <w:rPr>
                <w:b/>
              </w:rPr>
              <w:t>Medium</w:t>
            </w:r>
          </w:p>
        </w:tc>
        <w:tc>
          <w:tcPr>
            <w:tcW w:w="0" w:type="auto"/>
            <w:hideMark/>
          </w:tcPr>
          <w:p w:rsidRPr="00081B2B" w:rsidR="005A613B" w:rsidP="00A06F53" w:rsidRDefault="005A613B" w14:paraId="65192964" w14:textId="77777777">
            <w:pPr>
              <w:rPr>
                <w:szCs w:val="24"/>
              </w:rPr>
            </w:pPr>
            <w:r w:rsidRPr="00081B2B">
              <w:rPr>
                <w:rStyle w:val="Strong"/>
              </w:rPr>
              <w:t>Powerful but Less Interested Long-term</w:t>
            </w:r>
          </w:p>
        </w:tc>
      </w:tr>
      <w:tr w:rsidRPr="00081B2B" w:rsidR="005A613B" w:rsidTr="008D4427" w14:paraId="199C290A" w14:textId="77777777">
        <w:tc>
          <w:tcPr>
            <w:tcW w:w="0" w:type="auto"/>
            <w:hideMark/>
          </w:tcPr>
          <w:p w:rsidRPr="00081B2B" w:rsidR="005A613B" w:rsidP="00A06F53" w:rsidRDefault="005A613B" w14:paraId="2507E39C" w14:textId="77777777">
            <w:pPr>
              <w:jc w:val="left"/>
              <w:rPr>
                <w:szCs w:val="24"/>
              </w:rPr>
            </w:pPr>
            <w:r w:rsidRPr="00081B2B">
              <w:t>Healthcare and Social Service Organisations</w:t>
            </w:r>
          </w:p>
        </w:tc>
        <w:tc>
          <w:tcPr>
            <w:tcW w:w="0" w:type="auto"/>
            <w:shd w:val="clear" w:color="auto" w:fill="92D050"/>
            <w:hideMark/>
          </w:tcPr>
          <w:p w:rsidRPr="00081B2B" w:rsidR="005A613B" w:rsidP="008D4427" w:rsidRDefault="005A613B" w14:paraId="3AB3932A" w14:textId="77777777">
            <w:pPr>
              <w:jc w:val="center"/>
              <w:rPr>
                <w:b/>
                <w:szCs w:val="24"/>
              </w:rPr>
            </w:pPr>
            <w:r w:rsidRPr="00081B2B">
              <w:rPr>
                <w:b/>
              </w:rPr>
              <w:t>Low</w:t>
            </w:r>
          </w:p>
        </w:tc>
        <w:tc>
          <w:tcPr>
            <w:tcW w:w="0" w:type="auto"/>
            <w:shd w:val="clear" w:color="auto" w:fill="FFFF00"/>
            <w:hideMark/>
          </w:tcPr>
          <w:p w:rsidRPr="00081B2B" w:rsidR="005A613B" w:rsidP="008D4427" w:rsidRDefault="005A613B" w14:paraId="162194A4" w14:textId="77777777">
            <w:pPr>
              <w:jc w:val="center"/>
              <w:rPr>
                <w:b/>
                <w:szCs w:val="24"/>
              </w:rPr>
            </w:pPr>
            <w:r w:rsidRPr="00081B2B">
              <w:rPr>
                <w:b/>
              </w:rPr>
              <w:t>Medium</w:t>
            </w:r>
          </w:p>
        </w:tc>
        <w:tc>
          <w:tcPr>
            <w:tcW w:w="0" w:type="auto"/>
            <w:hideMark/>
          </w:tcPr>
          <w:p w:rsidRPr="00081B2B" w:rsidR="005A613B" w:rsidP="00A06F53" w:rsidRDefault="005A613B" w14:paraId="21501E03" w14:textId="77777777">
            <w:pPr>
              <w:rPr>
                <w:szCs w:val="24"/>
              </w:rPr>
            </w:pPr>
            <w:r w:rsidRPr="00081B2B">
              <w:rPr>
                <w:rStyle w:val="Strong"/>
              </w:rPr>
              <w:t>Low Power, Moderate Interest</w:t>
            </w:r>
          </w:p>
        </w:tc>
      </w:tr>
    </w:tbl>
    <w:p w:rsidRPr="00081B2B" w:rsidR="005A613B" w:rsidP="005A613B" w:rsidRDefault="005A613B" w14:paraId="16DF3735" w14:textId="77777777">
      <w:pPr>
        <w:pStyle w:val="NormalWeb"/>
        <w:rPr>
          <w:rStyle w:val="Strong"/>
          <w:i/>
        </w:rPr>
      </w:pPr>
      <w:r w:rsidRPr="00081B2B">
        <w:rPr>
          <w:rStyle w:val="Strong"/>
          <w:i/>
        </w:rPr>
        <w:t>Rationale for classification:</w:t>
      </w:r>
    </w:p>
    <w:p w:rsidRPr="00081B2B" w:rsidR="00574D13" w:rsidP="00574D13" w:rsidRDefault="00574D13" w14:paraId="0C55A62D" w14:textId="7F378101">
      <w:pPr>
        <w:rPr>
          <w:rFonts w:eastAsia="Times New Roman" w:cs="Times New Roman"/>
          <w:szCs w:val="24"/>
          <w:lang w:eastAsia="en-IN"/>
        </w:rPr>
      </w:pPr>
      <w:r w:rsidRPr="00081B2B">
        <w:rPr>
          <w:rFonts w:eastAsia="Times New Roman" w:cs="Times New Roman"/>
          <w:szCs w:val="24"/>
          <w:lang w:eastAsia="en-IN"/>
        </w:rPr>
        <w:t xml:space="preserve">The Stakeholder Assessment outlines the differing powers and interests of all six Stakeholder Groups. Local Authority/City Council shows the greatest amount of formal influence by having the most control over regulations, budget allotments, and planning authority. Therefore, they fall into the category of high power/high interest (Key Player) stakeholders, in line with previous findings (Oguz, 2022, p.1) related to power-interest relationships within Infrastructure Planning. Local Residents also express a high level of interest since they are the primary users of the </w:t>
      </w:r>
      <w:r w:rsidRPr="00081B2B" w:rsidR="00081B2B">
        <w:rPr>
          <w:rFonts w:eastAsia="Times New Roman" w:cs="Times New Roman"/>
          <w:szCs w:val="24"/>
          <w:lang w:eastAsia="en-IN"/>
        </w:rPr>
        <w:t>park</w:t>
      </w:r>
      <w:r w:rsidRPr="00081B2B">
        <w:rPr>
          <w:rFonts w:eastAsia="Times New Roman" w:cs="Times New Roman"/>
          <w:szCs w:val="24"/>
          <w:lang w:eastAsia="en-IN"/>
        </w:rPr>
        <w:t xml:space="preserve">, and they have a collective Public Voice as a means to realize moderate power. Local Businesses/Traders are classified as moderate power/moderate interest because they can reap economic benefits from the increased visitors to their business establishments. Environmental NGOs and Community NGOs show great concern for the preservation of biodiversity and of the Environment, but they possess </w:t>
      </w:r>
      <w:r w:rsidRPr="00081B2B" w:rsidR="00081B2B">
        <w:rPr>
          <w:rFonts w:eastAsia="Times New Roman" w:cs="Times New Roman"/>
          <w:szCs w:val="24"/>
          <w:lang w:eastAsia="en-IN"/>
        </w:rPr>
        <w:t>limited-service</w:t>
      </w:r>
      <w:r w:rsidRPr="00081B2B">
        <w:rPr>
          <w:rFonts w:eastAsia="Times New Roman" w:cs="Times New Roman"/>
          <w:szCs w:val="24"/>
          <w:lang w:eastAsia="en-IN"/>
        </w:rPr>
        <w:t xml:space="preserve"> power through no statutory authority. </w:t>
      </w:r>
    </w:p>
    <w:p w:rsidRPr="00081B2B" w:rsidR="00574D13" w:rsidP="00574D13" w:rsidRDefault="00574D13" w14:paraId="4CD4CF7C" w14:textId="7B50C699">
      <w:pPr>
        <w:rPr>
          <w:lang w:eastAsia="en-IN"/>
        </w:rPr>
      </w:pPr>
      <w:r w:rsidRPr="00081B2B">
        <w:rPr>
          <w:rFonts w:eastAsia="Times New Roman" w:cs="Times New Roman"/>
          <w:szCs w:val="24"/>
          <w:lang w:eastAsia="en-IN"/>
        </w:rPr>
        <w:t xml:space="preserve">Moreover, the Construction Contractors, as well as Designers, possess significant power in that they have control over project delivery; however, they exhibit a relatively low level of interest for the long term. Healthcare and Social Services Organizations have a legitimate interest in the welfare of their </w:t>
      </w:r>
      <w:r w:rsidRPr="00081B2B" w:rsidR="00081B2B">
        <w:rPr>
          <w:rFonts w:eastAsia="Times New Roman" w:cs="Times New Roman"/>
          <w:szCs w:val="24"/>
          <w:lang w:eastAsia="en-IN"/>
        </w:rPr>
        <w:t>community</w:t>
      </w:r>
      <w:r w:rsidRPr="00081B2B">
        <w:rPr>
          <w:rFonts w:eastAsia="Times New Roman" w:cs="Times New Roman"/>
          <w:szCs w:val="24"/>
          <w:lang w:eastAsia="en-IN"/>
        </w:rPr>
        <w:t xml:space="preserve">; however, they can only exercise limited power over Planning Decisions. </w:t>
      </w:r>
      <w:r w:rsidRPr="00081B2B">
        <w:rPr>
          <w:lang w:eastAsia="en-IN"/>
        </w:rPr>
        <w:t>The way the Stakeholder Assessment was conveyed assists with the establishment of appropriate Engagement/Communication strategies that can be implemented and maintained within the project's framework.</w:t>
      </w:r>
    </w:p>
    <w:p w:rsidRPr="00081B2B" w:rsidR="00926326" w:rsidP="00926326" w:rsidRDefault="00926326" w14:paraId="1B28984C" w14:textId="77777777">
      <w:pPr>
        <w:pStyle w:val="Heading2"/>
      </w:pPr>
      <w:bookmarkStart w:name="_Toc215584290" w:id="3"/>
      <w:r w:rsidRPr="00081B2B">
        <w:t>Stakeholder Mapping and Justification of Quadrant Placement</w:t>
      </w:r>
      <w:bookmarkEnd w:id="3"/>
    </w:p>
    <w:p w:rsidRPr="00081B2B" w:rsidR="00B00F95" w:rsidP="00B00F95" w:rsidRDefault="005665CD" w14:paraId="7F6763B0" w14:textId="77777777">
      <w:pPr>
        <w:jc w:val="center"/>
      </w:pPr>
      <w:r w:rsidRPr="00081B2B">
        <w:rPr>
          <w:noProof/>
          <w:lang w:eastAsia="en-IN"/>
        </w:rPr>
        <w:drawing>
          <wp:inline distT="0" distB="0" distL="0" distR="0" wp14:anchorId="042797AB" wp14:editId="7DF23317">
            <wp:extent cx="3694922" cy="3063834"/>
            <wp:effectExtent l="0" t="0" r="127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p.drawio (2).png"/>
                    <pic:cNvPicPr/>
                  </pic:nvPicPr>
                  <pic:blipFill>
                    <a:blip r:embed="rId14">
                      <a:extLst>
                        <a:ext uri="{28A0092B-C50C-407E-A947-70E740481C1C}">
                          <a14:useLocalDpi xmlns:a14="http://schemas.microsoft.com/office/drawing/2010/main" val="0"/>
                        </a:ext>
                      </a:extLst>
                    </a:blip>
                    <a:stretch>
                      <a:fillRect/>
                    </a:stretch>
                  </pic:blipFill>
                  <pic:spPr>
                    <a:xfrm>
                      <a:off x="0" y="0"/>
                      <a:ext cx="3701470" cy="3069264"/>
                    </a:xfrm>
                    <a:prstGeom prst="rect">
                      <a:avLst/>
                    </a:prstGeom>
                  </pic:spPr>
                </pic:pic>
              </a:graphicData>
            </a:graphic>
          </wp:inline>
        </w:drawing>
      </w:r>
    </w:p>
    <w:p w:rsidRPr="00081B2B" w:rsidR="00B00F95" w:rsidP="00B00F95" w:rsidRDefault="00B00F95" w14:paraId="3C684D1A" w14:textId="77777777">
      <w:pPr>
        <w:jc w:val="center"/>
      </w:pPr>
      <w:r w:rsidRPr="00081B2B">
        <w:rPr>
          <w:b/>
        </w:rPr>
        <w:t>Figure</w:t>
      </w:r>
      <w:r w:rsidRPr="00081B2B" w:rsidR="008D4427">
        <w:rPr>
          <w:b/>
        </w:rPr>
        <w:t xml:space="preserve"> </w:t>
      </w:r>
      <w:r w:rsidRPr="00081B2B" w:rsidR="00867E03">
        <w:rPr>
          <w:b/>
        </w:rPr>
        <w:t>2</w:t>
      </w:r>
      <w:r w:rsidRPr="00081B2B">
        <w:rPr>
          <w:b/>
        </w:rPr>
        <w:t xml:space="preserve">: </w:t>
      </w:r>
      <w:r w:rsidRPr="00081B2B">
        <w:t>Stakeholder Map</w:t>
      </w:r>
    </w:p>
    <w:p w:rsidRPr="00081B2B" w:rsidR="00B00F95" w:rsidP="00B00F95" w:rsidRDefault="00B00F95" w14:paraId="0862A329" w14:textId="77777777">
      <w:pPr>
        <w:jc w:val="center"/>
        <w:rPr>
          <w:b/>
        </w:rPr>
      </w:pPr>
      <w:r w:rsidRPr="00081B2B">
        <w:rPr>
          <w:b/>
        </w:rPr>
        <w:t>(Source:</w:t>
      </w:r>
      <w:r w:rsidRPr="00081B2B">
        <w:t xml:space="preserve"> Self-developed</w:t>
      </w:r>
      <w:r w:rsidRPr="00081B2B">
        <w:rPr>
          <w:b/>
        </w:rPr>
        <w:t>)</w:t>
      </w:r>
    </w:p>
    <w:p w:rsidRPr="00081B2B" w:rsidR="00926326" w:rsidP="008D4427" w:rsidRDefault="0016248B" w14:paraId="4B19FEA9" w14:textId="77777777">
      <w:pPr>
        <w:rPr>
          <w:lang w:eastAsia="en-IN"/>
        </w:rPr>
      </w:pPr>
      <w:r w:rsidRPr="00081B2B">
        <w:rPr>
          <w:rFonts w:eastAsia="Times New Roman" w:cs="Times New Roman"/>
          <w:b/>
          <w:bCs/>
          <w:szCs w:val="24"/>
          <w:lang w:eastAsia="en-IN"/>
        </w:rPr>
        <w:t>High Power / High Interest</w:t>
      </w:r>
      <w:r w:rsidRPr="00081B2B">
        <w:rPr>
          <w:rFonts w:eastAsia="Times New Roman" w:cs="Times New Roman"/>
          <w:szCs w:val="24"/>
          <w:lang w:eastAsia="en-IN"/>
        </w:rPr>
        <w:t>:</w:t>
      </w:r>
      <w:r w:rsidRPr="00081B2B" w:rsidR="008D4427">
        <w:rPr>
          <w:rFonts w:eastAsia="Times New Roman" w:cs="Times New Roman"/>
          <w:szCs w:val="24"/>
          <w:lang w:eastAsia="en-IN"/>
        </w:rPr>
        <w:t xml:space="preserve"> </w:t>
      </w:r>
      <w:r w:rsidRPr="00081B2B" w:rsidR="00926326">
        <w:rPr>
          <w:lang w:eastAsia="en-IN"/>
        </w:rPr>
        <w:t>Because of the legal powers over land use, funding, planning approvals, and enforcement of law, the quadrant is held by the Local Authority or City Council.</w:t>
      </w:r>
      <w:r w:rsidRPr="00081B2B" w:rsidR="000E2836">
        <w:t xml:space="preserve"> </w:t>
      </w:r>
      <w:r w:rsidRPr="00081B2B" w:rsidR="00C17DA5">
        <w:t xml:space="preserve">For the renewal of the park the city council will be responsible, because it has a big influence on how the project moves forward. Also, it takes care making sure the project succeeds and supports these goals. </w:t>
      </w:r>
      <w:r w:rsidRPr="00081B2B" w:rsidR="00C17DA5">
        <w:rPr>
          <w:lang w:eastAsia="en-IN"/>
        </w:rPr>
        <w:t xml:space="preserve"> </w:t>
      </w:r>
      <w:r w:rsidRPr="00081B2B" w:rsidR="00926326">
        <w:rPr>
          <w:lang w:eastAsia="en-IN"/>
        </w:rPr>
        <w:t xml:space="preserve">Therefore, it falls within the category of a "Key Player," and its needs, wants, and concerns must be managed and integrated as part of the Project's Planning and Execution (Oguz, 2022, p. 1). In order to assist in maintaining project alignment and promoting the successful completion of the Project, consultations, progress updates, and opportunities to be involved in making strategic decisions will be helpful. </w:t>
      </w:r>
    </w:p>
    <w:p w:rsidRPr="00081B2B" w:rsidR="00926326" w:rsidP="008D4427" w:rsidRDefault="0016248B" w14:paraId="3F4B7E06" w14:textId="77777777">
      <w:pPr>
        <w:rPr>
          <w:lang w:eastAsia="en-IN"/>
        </w:rPr>
      </w:pPr>
      <w:r w:rsidRPr="00081B2B">
        <w:rPr>
          <w:rFonts w:eastAsia="Times New Roman" w:cs="Times New Roman"/>
          <w:b/>
          <w:bCs/>
          <w:szCs w:val="24"/>
          <w:lang w:eastAsia="en-IN"/>
        </w:rPr>
        <w:t>High Power / Low Interest</w:t>
      </w:r>
      <w:r w:rsidRPr="00081B2B">
        <w:rPr>
          <w:rFonts w:eastAsia="Times New Roman" w:cs="Times New Roman"/>
          <w:szCs w:val="24"/>
          <w:lang w:eastAsia="en-IN"/>
        </w:rPr>
        <w:t xml:space="preserve">: </w:t>
      </w:r>
      <w:r w:rsidRPr="00081B2B" w:rsidR="008D4427">
        <w:rPr>
          <w:rFonts w:eastAsia="Times New Roman" w:cs="Times New Roman"/>
          <w:szCs w:val="24"/>
          <w:lang w:eastAsia="en-IN"/>
        </w:rPr>
        <w:t xml:space="preserve"> </w:t>
      </w:r>
      <w:r w:rsidRPr="00081B2B" w:rsidR="00926326">
        <w:rPr>
          <w:lang w:eastAsia="en-IN"/>
        </w:rPr>
        <w:t xml:space="preserve">The contractors have significant control over project resources, have significant technical expertise, provide the project with design systems and create the products (construction). </w:t>
      </w:r>
      <w:r w:rsidRPr="00081B2B" w:rsidR="000E2836">
        <w:rPr>
          <w:lang w:eastAsia="en-IN"/>
        </w:rPr>
        <w:t xml:space="preserve">The contractors generally have a limited interest in the </w:t>
      </w:r>
      <w:r w:rsidRPr="00081B2B" w:rsidR="000E2836">
        <w:rPr>
          <w:rFonts w:eastAsia="Times New Roman" w:cs="Times New Roman"/>
          <w:szCs w:val="24"/>
          <w:lang w:eastAsia="en-IN"/>
        </w:rPr>
        <w:t xml:space="preserve">long-term social or environmental benefits of the park. Their involvement is mainly driven by contractual duties and project delivery. Therefore, the strategy of the engagement should be focus on keeping them satisfied through clear contracts, timelines and operational communication. </w:t>
      </w:r>
    </w:p>
    <w:p w:rsidRPr="00081B2B" w:rsidR="000E2836" w:rsidP="008D4427" w:rsidRDefault="0016248B" w14:paraId="4E2E83D8" w14:textId="2E1BAA73">
      <w:pPr>
        <w:rPr>
          <w:lang w:eastAsia="en-IN"/>
        </w:rPr>
      </w:pPr>
      <w:r w:rsidRPr="00081B2B">
        <w:rPr>
          <w:rFonts w:eastAsia="Times New Roman" w:cs="Times New Roman"/>
          <w:b/>
          <w:bCs/>
          <w:szCs w:val="24"/>
          <w:lang w:eastAsia="en-IN"/>
        </w:rPr>
        <w:t>Low Power / High Interest</w:t>
      </w:r>
      <w:r w:rsidRPr="00081B2B">
        <w:rPr>
          <w:rFonts w:eastAsia="Times New Roman" w:cs="Times New Roman"/>
          <w:szCs w:val="24"/>
          <w:lang w:eastAsia="en-IN"/>
        </w:rPr>
        <w:t>:</w:t>
      </w:r>
      <w:r w:rsidRPr="00081B2B" w:rsidR="008D4427">
        <w:rPr>
          <w:rFonts w:eastAsia="Times New Roman" w:cs="Times New Roman"/>
          <w:szCs w:val="24"/>
          <w:lang w:eastAsia="en-IN"/>
        </w:rPr>
        <w:t xml:space="preserve"> </w:t>
      </w:r>
      <w:r w:rsidRPr="00081B2B" w:rsidR="00926326">
        <w:rPr>
          <w:lang w:eastAsia="en-IN"/>
        </w:rPr>
        <w:t xml:space="preserve">In the case of the community stakeholders, residents and NGOs in community and the environment are included under the same group. As the principal users and the main beneficiaries, the residents have a strong interest in the </w:t>
      </w:r>
      <w:r w:rsidRPr="00081B2B" w:rsidR="00081B2B">
        <w:rPr>
          <w:lang w:eastAsia="en-IN"/>
        </w:rPr>
        <w:t>park</w:t>
      </w:r>
      <w:r w:rsidRPr="00081B2B" w:rsidR="00926326">
        <w:rPr>
          <w:lang w:eastAsia="en-IN"/>
        </w:rPr>
        <w:t xml:space="preserve"> whereas the NGOs would have concerns over the ecosystem, environmental protection as well as the welfare of the community. Based on the interest of the residents and non-profits, this group would have little power since they do not have formal authority or control of allocation of resources. </w:t>
      </w:r>
      <w:r w:rsidRPr="00081B2B" w:rsidR="000E2836">
        <w:rPr>
          <w:lang w:eastAsia="en-IN"/>
        </w:rPr>
        <w:t xml:space="preserve">The maintaining of the open communication with </w:t>
      </w:r>
      <w:r w:rsidRPr="00081B2B" w:rsidR="000E2836">
        <w:t xml:space="preserve">both groups will help in build trust in the project. </w:t>
      </w:r>
      <w:r w:rsidRPr="00081B2B" w:rsidR="00081B2B">
        <w:t>Additionally,</w:t>
      </w:r>
      <w:r w:rsidRPr="00081B2B" w:rsidR="000E2836">
        <w:t xml:space="preserve"> the sharing of the relevant information will make the process more transparent, which will help in increasing the social acceptance, and will also encourage the long-term support. </w:t>
      </w:r>
    </w:p>
    <w:p w:rsidRPr="00081B2B" w:rsidR="00926326" w:rsidP="008D4427" w:rsidRDefault="0016248B" w14:paraId="6984E33D" w14:textId="77777777">
      <w:pPr>
        <w:rPr>
          <w:lang w:eastAsia="en-IN"/>
        </w:rPr>
      </w:pPr>
      <w:r w:rsidRPr="00081B2B">
        <w:rPr>
          <w:rFonts w:eastAsia="Times New Roman" w:cs="Times New Roman"/>
          <w:b/>
          <w:bCs/>
          <w:szCs w:val="24"/>
          <w:lang w:eastAsia="en-IN"/>
        </w:rPr>
        <w:t>Low Power / Low Interest</w:t>
      </w:r>
      <w:r w:rsidRPr="00081B2B">
        <w:rPr>
          <w:rFonts w:eastAsia="Times New Roman" w:cs="Times New Roman"/>
          <w:szCs w:val="24"/>
          <w:lang w:eastAsia="en-IN"/>
        </w:rPr>
        <w:t>:</w:t>
      </w:r>
      <w:r w:rsidRPr="00081B2B" w:rsidR="008D4427">
        <w:rPr>
          <w:rFonts w:eastAsia="Times New Roman" w:cs="Times New Roman"/>
          <w:szCs w:val="24"/>
          <w:lang w:eastAsia="en-IN"/>
        </w:rPr>
        <w:t xml:space="preserve"> </w:t>
      </w:r>
      <w:r w:rsidRPr="00081B2B" w:rsidR="00926326">
        <w:rPr>
          <w:lang w:eastAsia="en-IN"/>
        </w:rPr>
        <w:t xml:space="preserve">The organizations that are situated in this quadrant include the local businesses and traders, as well as the healthcare/social service organizations. They have very minimal influence upon the planning process, and their interest in the project will always come after other entities with primary benefits and regulatory positions. Their involvement will typically be limited to periodic monitoring via newsletters with infrequent courtesies that keep them informed of the project, with low resource commitment for projects. </w:t>
      </w:r>
    </w:p>
    <w:p w:rsidRPr="00081B2B" w:rsidR="00926326" w:rsidP="00926326" w:rsidRDefault="00926326" w14:paraId="2A0E78F9" w14:textId="77777777">
      <w:pPr>
        <w:pStyle w:val="Heading2"/>
      </w:pPr>
      <w:bookmarkStart w:name="_Toc215584291" w:id="4"/>
      <w:r w:rsidRPr="00081B2B">
        <w:t>Communication and Consultation Plan with Justifications</w:t>
      </w:r>
      <w:bookmarkEnd w:id="4"/>
    </w:p>
    <w:p w:rsidRPr="00081B2B" w:rsidR="000E4243" w:rsidP="000E4243" w:rsidRDefault="000E4243" w14:paraId="0843ABD2" w14:textId="77777777">
      <w:pPr>
        <w:rPr>
          <w:lang w:eastAsia="en-IN"/>
        </w:rPr>
      </w:pPr>
      <w:r w:rsidRPr="00081B2B">
        <w:rPr>
          <w:lang w:eastAsia="en-IN"/>
        </w:rPr>
        <w:t>The communication plan allows stakeholders involved with the project an open avenue for communicating two ways regularly with different avenues to each stakeholder group. Mechanisms for all stakeholders to provide feedback and establish trust with a goal of assisting in the successful implementation of the project are included in this plan and align with industry best practices related to clarity, inclusiveness, and timely communication (Suvvari and Saxena, 2023, p. 205).</w:t>
      </w:r>
    </w:p>
    <w:p w:rsidRPr="00081B2B" w:rsidR="0016248B" w:rsidP="0016248B" w:rsidRDefault="0016248B" w14:paraId="27235615" w14:textId="77777777">
      <w:pPr>
        <w:jc w:val="center"/>
      </w:pPr>
      <w:r w:rsidRPr="00081B2B">
        <w:rPr>
          <w:b/>
        </w:rPr>
        <w:t>Table</w:t>
      </w:r>
      <w:r w:rsidRPr="00081B2B" w:rsidR="008D4427">
        <w:rPr>
          <w:b/>
        </w:rPr>
        <w:t xml:space="preserve"> 2</w:t>
      </w:r>
      <w:r w:rsidRPr="00081B2B">
        <w:rPr>
          <w:b/>
        </w:rPr>
        <w:t>:</w:t>
      </w:r>
      <w:r w:rsidRPr="00081B2B">
        <w:t xml:space="preserve"> Communication Plan Table</w:t>
      </w:r>
    </w:p>
    <w:tbl>
      <w:tblPr>
        <w:tblStyle w:val="TableGrid"/>
        <w:tblW w:w="0" w:type="auto"/>
        <w:tblLook w:val="04A0" w:firstRow="1" w:lastRow="0" w:firstColumn="1" w:lastColumn="0" w:noHBand="0" w:noVBand="1"/>
      </w:tblPr>
      <w:tblGrid>
        <w:gridCol w:w="1851"/>
        <w:gridCol w:w="1918"/>
        <w:gridCol w:w="1669"/>
        <w:gridCol w:w="1981"/>
        <w:gridCol w:w="1823"/>
      </w:tblGrid>
      <w:tr w:rsidRPr="00081B2B" w:rsidR="008D0657" w:rsidTr="008D0657" w14:paraId="4C1BAC73" w14:textId="77777777">
        <w:tc>
          <w:tcPr>
            <w:tcW w:w="0" w:type="auto"/>
            <w:shd w:val="clear" w:color="auto" w:fill="244061" w:themeFill="accent1" w:themeFillShade="80"/>
            <w:hideMark/>
          </w:tcPr>
          <w:p w:rsidRPr="00081B2B" w:rsidR="008D0657" w:rsidP="008D0657" w:rsidRDefault="008D0657" w14:paraId="11AA1F5A" w14:textId="77777777">
            <w:pPr>
              <w:jc w:val="center"/>
              <w:rPr>
                <w:rFonts w:eastAsia="Times New Roman" w:cs="Times New Roman"/>
                <w:b/>
                <w:bCs/>
                <w:szCs w:val="24"/>
                <w:lang w:eastAsia="en-IN"/>
              </w:rPr>
            </w:pPr>
            <w:r w:rsidRPr="00081B2B">
              <w:rPr>
                <w:rFonts w:eastAsia="Times New Roman" w:cs="Times New Roman"/>
                <w:b/>
                <w:bCs/>
                <w:szCs w:val="24"/>
                <w:lang w:eastAsia="en-IN"/>
              </w:rPr>
              <w:t>Stakeholder Group</w:t>
            </w:r>
          </w:p>
        </w:tc>
        <w:tc>
          <w:tcPr>
            <w:tcW w:w="0" w:type="auto"/>
            <w:shd w:val="clear" w:color="auto" w:fill="244061" w:themeFill="accent1" w:themeFillShade="80"/>
            <w:hideMark/>
          </w:tcPr>
          <w:p w:rsidRPr="00081B2B" w:rsidR="008D0657" w:rsidP="008D0657" w:rsidRDefault="008D0657" w14:paraId="46816A41" w14:textId="77777777">
            <w:pPr>
              <w:jc w:val="center"/>
              <w:rPr>
                <w:rFonts w:eastAsia="Times New Roman" w:cs="Times New Roman"/>
                <w:b/>
                <w:bCs/>
                <w:szCs w:val="24"/>
                <w:lang w:eastAsia="en-IN"/>
              </w:rPr>
            </w:pPr>
            <w:r w:rsidRPr="00081B2B">
              <w:rPr>
                <w:rFonts w:eastAsia="Times New Roman" w:cs="Times New Roman"/>
                <w:b/>
                <w:bCs/>
                <w:szCs w:val="24"/>
                <w:lang w:eastAsia="en-IN"/>
              </w:rPr>
              <w:t>Information to Share</w:t>
            </w:r>
          </w:p>
        </w:tc>
        <w:tc>
          <w:tcPr>
            <w:tcW w:w="0" w:type="auto"/>
            <w:shd w:val="clear" w:color="auto" w:fill="244061" w:themeFill="accent1" w:themeFillShade="80"/>
            <w:hideMark/>
          </w:tcPr>
          <w:p w:rsidRPr="00081B2B" w:rsidR="008D0657" w:rsidP="008D0657" w:rsidRDefault="008D0657" w14:paraId="6DD6200B" w14:textId="77777777">
            <w:pPr>
              <w:jc w:val="center"/>
              <w:rPr>
                <w:rFonts w:eastAsia="Times New Roman" w:cs="Times New Roman"/>
                <w:b/>
                <w:bCs/>
                <w:szCs w:val="24"/>
                <w:lang w:eastAsia="en-IN"/>
              </w:rPr>
            </w:pPr>
            <w:r w:rsidRPr="00081B2B">
              <w:rPr>
                <w:rFonts w:eastAsia="Times New Roman" w:cs="Times New Roman"/>
                <w:b/>
                <w:bCs/>
                <w:szCs w:val="24"/>
                <w:lang w:eastAsia="en-IN"/>
              </w:rPr>
              <w:t>Frequency and Timing</w:t>
            </w:r>
          </w:p>
        </w:tc>
        <w:tc>
          <w:tcPr>
            <w:tcW w:w="0" w:type="auto"/>
            <w:shd w:val="clear" w:color="auto" w:fill="244061" w:themeFill="accent1" w:themeFillShade="80"/>
            <w:hideMark/>
          </w:tcPr>
          <w:p w:rsidRPr="00081B2B" w:rsidR="008D0657" w:rsidP="008D0657" w:rsidRDefault="008D0657" w14:paraId="4A983D6E" w14:textId="77777777">
            <w:pPr>
              <w:jc w:val="center"/>
              <w:rPr>
                <w:rFonts w:eastAsia="Times New Roman" w:cs="Times New Roman"/>
                <w:b/>
                <w:bCs/>
                <w:szCs w:val="24"/>
                <w:lang w:eastAsia="en-IN"/>
              </w:rPr>
            </w:pPr>
            <w:r w:rsidRPr="00081B2B">
              <w:rPr>
                <w:rFonts w:eastAsia="Times New Roman" w:cs="Times New Roman"/>
                <w:b/>
                <w:bCs/>
                <w:szCs w:val="24"/>
                <w:lang w:eastAsia="en-IN"/>
              </w:rPr>
              <w:t>Medium of Communication</w:t>
            </w:r>
          </w:p>
        </w:tc>
        <w:tc>
          <w:tcPr>
            <w:tcW w:w="0" w:type="auto"/>
            <w:shd w:val="clear" w:color="auto" w:fill="244061" w:themeFill="accent1" w:themeFillShade="80"/>
            <w:hideMark/>
          </w:tcPr>
          <w:p w:rsidRPr="00081B2B" w:rsidR="008D0657" w:rsidP="008D0657" w:rsidRDefault="008D0657" w14:paraId="4D79937B" w14:textId="77777777">
            <w:pPr>
              <w:jc w:val="center"/>
              <w:rPr>
                <w:rFonts w:eastAsia="Times New Roman" w:cs="Times New Roman"/>
                <w:b/>
                <w:bCs/>
                <w:szCs w:val="24"/>
                <w:lang w:eastAsia="en-IN"/>
              </w:rPr>
            </w:pPr>
            <w:r w:rsidRPr="00081B2B">
              <w:rPr>
                <w:rFonts w:eastAsia="Times New Roman" w:cs="Times New Roman"/>
                <w:b/>
                <w:bCs/>
                <w:szCs w:val="24"/>
                <w:lang w:eastAsia="en-IN"/>
              </w:rPr>
              <w:t>Justification / Purpose</w:t>
            </w:r>
          </w:p>
        </w:tc>
      </w:tr>
      <w:tr w:rsidRPr="00081B2B" w:rsidR="008D0657" w:rsidTr="008D0657" w14:paraId="49B5AFE4" w14:textId="77777777">
        <w:tc>
          <w:tcPr>
            <w:tcW w:w="0" w:type="auto"/>
            <w:hideMark/>
          </w:tcPr>
          <w:p w:rsidRPr="00081B2B" w:rsidR="008D0657" w:rsidP="008D0657" w:rsidRDefault="008D0657" w14:paraId="5CB39EA7" w14:textId="77777777">
            <w:pPr>
              <w:jc w:val="left"/>
              <w:rPr>
                <w:rFonts w:eastAsia="Times New Roman" w:cs="Times New Roman"/>
                <w:b/>
                <w:szCs w:val="24"/>
                <w:lang w:eastAsia="en-IN"/>
              </w:rPr>
            </w:pPr>
            <w:r w:rsidRPr="00081B2B">
              <w:rPr>
                <w:rFonts w:eastAsia="Times New Roman" w:cs="Times New Roman"/>
                <w:b/>
                <w:szCs w:val="24"/>
                <w:lang w:eastAsia="en-IN"/>
              </w:rPr>
              <w:t>Local Authority / City Council</w:t>
            </w:r>
          </w:p>
        </w:tc>
        <w:tc>
          <w:tcPr>
            <w:tcW w:w="0" w:type="auto"/>
            <w:hideMark/>
          </w:tcPr>
          <w:p w:rsidRPr="00081B2B" w:rsidR="008D0657" w:rsidP="008D0657" w:rsidRDefault="008D0657" w14:paraId="71DA5591" w14:textId="77777777">
            <w:pPr>
              <w:jc w:val="left"/>
              <w:rPr>
                <w:rFonts w:eastAsia="Times New Roman" w:cs="Times New Roman"/>
                <w:szCs w:val="24"/>
                <w:lang w:eastAsia="en-IN"/>
              </w:rPr>
            </w:pPr>
            <w:r w:rsidRPr="00081B2B">
              <w:rPr>
                <w:rFonts w:eastAsia="Times New Roman" w:cs="Times New Roman"/>
                <w:szCs w:val="24"/>
                <w:lang w:eastAsia="en-IN"/>
              </w:rPr>
              <w:t>Project plans, compliance updates, timelines and budget progress</w:t>
            </w:r>
          </w:p>
        </w:tc>
        <w:tc>
          <w:tcPr>
            <w:tcW w:w="0" w:type="auto"/>
            <w:hideMark/>
          </w:tcPr>
          <w:p w:rsidRPr="00081B2B" w:rsidR="008D0657" w:rsidP="008D0657" w:rsidRDefault="008D0657" w14:paraId="601180E7" w14:textId="77777777">
            <w:pPr>
              <w:jc w:val="left"/>
              <w:rPr>
                <w:rFonts w:eastAsia="Times New Roman" w:cs="Times New Roman"/>
                <w:szCs w:val="24"/>
                <w:lang w:eastAsia="en-IN"/>
              </w:rPr>
            </w:pPr>
            <w:r w:rsidRPr="00081B2B">
              <w:rPr>
                <w:rFonts w:eastAsia="Times New Roman" w:cs="Times New Roman"/>
                <w:szCs w:val="24"/>
                <w:lang w:eastAsia="en-IN"/>
              </w:rPr>
              <w:t>At major milestones (planning, design sign-off, construction start and review stages)</w:t>
            </w:r>
          </w:p>
        </w:tc>
        <w:tc>
          <w:tcPr>
            <w:tcW w:w="0" w:type="auto"/>
            <w:hideMark/>
          </w:tcPr>
          <w:p w:rsidRPr="00081B2B" w:rsidR="008D0657" w:rsidP="008D0657" w:rsidRDefault="008D0657" w14:paraId="1A8B070C" w14:textId="77777777">
            <w:pPr>
              <w:jc w:val="left"/>
              <w:rPr>
                <w:rFonts w:eastAsia="Times New Roman" w:cs="Times New Roman"/>
                <w:szCs w:val="24"/>
                <w:lang w:eastAsia="en-IN"/>
              </w:rPr>
            </w:pPr>
            <w:r w:rsidRPr="00081B2B">
              <w:rPr>
                <w:rFonts w:eastAsia="Times New Roman" w:cs="Times New Roman"/>
                <w:szCs w:val="24"/>
                <w:lang w:eastAsia="en-IN"/>
              </w:rPr>
              <w:t>Official meetings, reports, email</w:t>
            </w:r>
          </w:p>
        </w:tc>
        <w:tc>
          <w:tcPr>
            <w:tcW w:w="0" w:type="auto"/>
            <w:hideMark/>
          </w:tcPr>
          <w:p w:rsidRPr="00081B2B" w:rsidR="008D0657" w:rsidP="008D0657" w:rsidRDefault="008D0657" w14:paraId="629A04C4" w14:textId="77777777">
            <w:pPr>
              <w:jc w:val="left"/>
              <w:rPr>
                <w:rFonts w:eastAsia="Times New Roman" w:cs="Times New Roman"/>
                <w:szCs w:val="24"/>
                <w:lang w:eastAsia="en-IN"/>
              </w:rPr>
            </w:pPr>
            <w:r w:rsidRPr="00081B2B">
              <w:rPr>
                <w:rFonts w:eastAsia="Times New Roman" w:cs="Times New Roman"/>
                <w:szCs w:val="24"/>
                <w:lang w:eastAsia="en-IN"/>
              </w:rPr>
              <w:t>Ensures accountability, regulatory transparency and supports timely approvals</w:t>
            </w:r>
          </w:p>
        </w:tc>
      </w:tr>
      <w:tr w:rsidRPr="00081B2B" w:rsidR="008D0657" w:rsidTr="008D0657" w14:paraId="6AF56430" w14:textId="77777777">
        <w:tc>
          <w:tcPr>
            <w:tcW w:w="0" w:type="auto"/>
            <w:shd w:val="clear" w:color="auto" w:fill="DBE5F1" w:themeFill="accent1" w:themeFillTint="33"/>
            <w:hideMark/>
          </w:tcPr>
          <w:p w:rsidRPr="00081B2B" w:rsidR="008D0657" w:rsidP="008D0657" w:rsidRDefault="008D0657" w14:paraId="5A298BC1" w14:textId="77777777">
            <w:pPr>
              <w:jc w:val="left"/>
              <w:rPr>
                <w:rFonts w:eastAsia="Times New Roman" w:cs="Times New Roman"/>
                <w:b/>
                <w:szCs w:val="24"/>
                <w:lang w:eastAsia="en-IN"/>
              </w:rPr>
            </w:pPr>
            <w:r w:rsidRPr="00081B2B">
              <w:rPr>
                <w:rFonts w:eastAsia="Times New Roman" w:cs="Times New Roman"/>
                <w:b/>
                <w:szCs w:val="24"/>
                <w:lang w:eastAsia="en-IN"/>
              </w:rPr>
              <w:t>Local Residents</w:t>
            </w:r>
          </w:p>
        </w:tc>
        <w:tc>
          <w:tcPr>
            <w:tcW w:w="0" w:type="auto"/>
            <w:shd w:val="clear" w:color="auto" w:fill="DBE5F1" w:themeFill="accent1" w:themeFillTint="33"/>
            <w:hideMark/>
          </w:tcPr>
          <w:p w:rsidRPr="00081B2B" w:rsidR="008D0657" w:rsidP="008D0657" w:rsidRDefault="008D0657" w14:paraId="06E3415C" w14:textId="77777777">
            <w:pPr>
              <w:jc w:val="left"/>
              <w:rPr>
                <w:rFonts w:eastAsia="Times New Roman" w:cs="Times New Roman"/>
                <w:szCs w:val="24"/>
                <w:lang w:eastAsia="en-IN"/>
              </w:rPr>
            </w:pPr>
            <w:r w:rsidRPr="00081B2B">
              <w:rPr>
                <w:rFonts w:eastAsia="Times New Roman" w:cs="Times New Roman"/>
                <w:szCs w:val="24"/>
                <w:lang w:eastAsia="en-IN"/>
              </w:rPr>
              <w:t>Park design updates, construction progress, safety/access details and event announcements</w:t>
            </w:r>
          </w:p>
        </w:tc>
        <w:tc>
          <w:tcPr>
            <w:tcW w:w="0" w:type="auto"/>
            <w:shd w:val="clear" w:color="auto" w:fill="DBE5F1" w:themeFill="accent1" w:themeFillTint="33"/>
            <w:hideMark/>
          </w:tcPr>
          <w:p w:rsidRPr="00081B2B" w:rsidR="008D0657" w:rsidP="008D0657" w:rsidRDefault="008D0657" w14:paraId="574F1C85" w14:textId="77777777">
            <w:pPr>
              <w:jc w:val="left"/>
              <w:rPr>
                <w:rFonts w:eastAsia="Times New Roman" w:cs="Times New Roman"/>
                <w:szCs w:val="24"/>
                <w:lang w:eastAsia="en-IN"/>
              </w:rPr>
            </w:pPr>
            <w:r w:rsidRPr="00081B2B">
              <w:rPr>
                <w:rFonts w:eastAsia="Times New Roman" w:cs="Times New Roman"/>
                <w:szCs w:val="24"/>
                <w:lang w:eastAsia="en-IN"/>
              </w:rPr>
              <w:t>Bi-monthly during construction; monthly near completion; pre-opening alerts</w:t>
            </w:r>
          </w:p>
        </w:tc>
        <w:tc>
          <w:tcPr>
            <w:tcW w:w="0" w:type="auto"/>
            <w:shd w:val="clear" w:color="auto" w:fill="DBE5F1" w:themeFill="accent1" w:themeFillTint="33"/>
            <w:hideMark/>
          </w:tcPr>
          <w:p w:rsidRPr="00081B2B" w:rsidR="008D0657" w:rsidP="008D0657" w:rsidRDefault="008D0657" w14:paraId="1105F9B4" w14:textId="77777777">
            <w:pPr>
              <w:jc w:val="left"/>
              <w:rPr>
                <w:rFonts w:eastAsia="Times New Roman" w:cs="Times New Roman"/>
                <w:szCs w:val="24"/>
                <w:lang w:eastAsia="en-IN"/>
              </w:rPr>
            </w:pPr>
            <w:r w:rsidRPr="00081B2B">
              <w:rPr>
                <w:rFonts w:eastAsia="Times New Roman" w:cs="Times New Roman"/>
                <w:szCs w:val="24"/>
                <w:lang w:eastAsia="en-IN"/>
              </w:rPr>
              <w:t>Public meetings, local newspaper, social media, bulletins</w:t>
            </w:r>
          </w:p>
        </w:tc>
        <w:tc>
          <w:tcPr>
            <w:tcW w:w="0" w:type="auto"/>
            <w:shd w:val="clear" w:color="auto" w:fill="DBE5F1" w:themeFill="accent1" w:themeFillTint="33"/>
            <w:hideMark/>
          </w:tcPr>
          <w:p w:rsidRPr="00081B2B" w:rsidR="008D0657" w:rsidP="008D0657" w:rsidRDefault="008D0657" w14:paraId="2D492AA2" w14:textId="77777777">
            <w:pPr>
              <w:jc w:val="left"/>
              <w:rPr>
                <w:rFonts w:eastAsia="Times New Roman" w:cs="Times New Roman"/>
                <w:szCs w:val="24"/>
                <w:lang w:eastAsia="en-IN"/>
              </w:rPr>
            </w:pPr>
            <w:r w:rsidRPr="00081B2B">
              <w:rPr>
                <w:rFonts w:eastAsia="Times New Roman" w:cs="Times New Roman"/>
                <w:szCs w:val="24"/>
                <w:lang w:eastAsia="en-IN"/>
              </w:rPr>
              <w:t>Builds trust, encourages participation and enables feedback on community impact</w:t>
            </w:r>
          </w:p>
        </w:tc>
      </w:tr>
      <w:tr w:rsidRPr="00081B2B" w:rsidR="008D0657" w:rsidTr="008D0657" w14:paraId="7ACF2D5B" w14:textId="77777777">
        <w:tc>
          <w:tcPr>
            <w:tcW w:w="0" w:type="auto"/>
            <w:hideMark/>
          </w:tcPr>
          <w:p w:rsidRPr="00081B2B" w:rsidR="008D0657" w:rsidP="008D0657" w:rsidRDefault="008D0657" w14:paraId="63116F62" w14:textId="77777777">
            <w:pPr>
              <w:jc w:val="left"/>
              <w:rPr>
                <w:rFonts w:eastAsia="Times New Roman" w:cs="Times New Roman"/>
                <w:b/>
                <w:szCs w:val="24"/>
                <w:lang w:eastAsia="en-IN"/>
              </w:rPr>
            </w:pPr>
            <w:r w:rsidRPr="00081B2B">
              <w:rPr>
                <w:rFonts w:eastAsia="Times New Roman" w:cs="Times New Roman"/>
                <w:b/>
                <w:szCs w:val="24"/>
                <w:lang w:eastAsia="en-IN"/>
              </w:rPr>
              <w:t>Local Businesses and Traders</w:t>
            </w:r>
          </w:p>
        </w:tc>
        <w:tc>
          <w:tcPr>
            <w:tcW w:w="0" w:type="auto"/>
            <w:hideMark/>
          </w:tcPr>
          <w:p w:rsidRPr="00081B2B" w:rsidR="008D0657" w:rsidP="008D0657" w:rsidRDefault="008D0657" w14:paraId="2EEAFCD0" w14:textId="77777777">
            <w:pPr>
              <w:jc w:val="left"/>
              <w:rPr>
                <w:rFonts w:eastAsia="Times New Roman" w:cs="Times New Roman"/>
                <w:szCs w:val="24"/>
                <w:lang w:eastAsia="en-IN"/>
              </w:rPr>
            </w:pPr>
            <w:r w:rsidRPr="00081B2B">
              <w:rPr>
                <w:rFonts w:eastAsia="Times New Roman" w:cs="Times New Roman"/>
                <w:szCs w:val="24"/>
                <w:lang w:eastAsia="en-IN"/>
              </w:rPr>
              <w:t>Visitor footfall forecasts, construction disruption notices, kiosk/event opportunities</w:t>
            </w:r>
          </w:p>
        </w:tc>
        <w:tc>
          <w:tcPr>
            <w:tcW w:w="0" w:type="auto"/>
            <w:hideMark/>
          </w:tcPr>
          <w:p w:rsidRPr="00081B2B" w:rsidR="008D0657" w:rsidP="008D0657" w:rsidRDefault="008D0657" w14:paraId="07F174DC" w14:textId="77777777">
            <w:pPr>
              <w:jc w:val="left"/>
              <w:rPr>
                <w:rFonts w:eastAsia="Times New Roman" w:cs="Times New Roman"/>
                <w:szCs w:val="24"/>
                <w:lang w:eastAsia="en-IN"/>
              </w:rPr>
            </w:pPr>
            <w:r w:rsidRPr="00081B2B">
              <w:rPr>
                <w:rFonts w:eastAsia="Times New Roman" w:cs="Times New Roman"/>
                <w:szCs w:val="24"/>
                <w:lang w:eastAsia="en-IN"/>
              </w:rPr>
              <w:t>Quarterly; pre-construction notice; event-specific alerts</w:t>
            </w:r>
          </w:p>
        </w:tc>
        <w:tc>
          <w:tcPr>
            <w:tcW w:w="0" w:type="auto"/>
            <w:hideMark/>
          </w:tcPr>
          <w:p w:rsidRPr="00081B2B" w:rsidR="008D0657" w:rsidP="008D0657" w:rsidRDefault="008D0657" w14:paraId="551CBF5D" w14:textId="77777777">
            <w:pPr>
              <w:jc w:val="left"/>
              <w:rPr>
                <w:rFonts w:eastAsia="Times New Roman" w:cs="Times New Roman"/>
                <w:szCs w:val="24"/>
                <w:lang w:eastAsia="en-IN"/>
              </w:rPr>
            </w:pPr>
            <w:r w:rsidRPr="00081B2B">
              <w:rPr>
                <w:rFonts w:eastAsia="Times New Roman" w:cs="Times New Roman"/>
                <w:szCs w:val="24"/>
                <w:lang w:eastAsia="en-IN"/>
              </w:rPr>
              <w:t>Email, letters, business association notifications</w:t>
            </w:r>
          </w:p>
        </w:tc>
        <w:tc>
          <w:tcPr>
            <w:tcW w:w="0" w:type="auto"/>
            <w:hideMark/>
          </w:tcPr>
          <w:p w:rsidRPr="00081B2B" w:rsidR="008D0657" w:rsidP="008D0657" w:rsidRDefault="008D0657" w14:paraId="4AE62967" w14:textId="77777777">
            <w:pPr>
              <w:jc w:val="left"/>
              <w:rPr>
                <w:rFonts w:eastAsia="Times New Roman" w:cs="Times New Roman"/>
                <w:szCs w:val="24"/>
                <w:lang w:eastAsia="en-IN"/>
              </w:rPr>
            </w:pPr>
            <w:r w:rsidRPr="00081B2B">
              <w:rPr>
                <w:rFonts w:eastAsia="Times New Roman" w:cs="Times New Roman"/>
                <w:szCs w:val="24"/>
                <w:lang w:eastAsia="en-IN"/>
              </w:rPr>
              <w:t>Supports planning for economic opportunities and disruption management</w:t>
            </w:r>
          </w:p>
        </w:tc>
      </w:tr>
      <w:tr w:rsidRPr="00081B2B" w:rsidR="008D0657" w:rsidTr="008D0657" w14:paraId="6B8329C7" w14:textId="77777777">
        <w:tc>
          <w:tcPr>
            <w:tcW w:w="0" w:type="auto"/>
            <w:shd w:val="clear" w:color="auto" w:fill="DBE5F1" w:themeFill="accent1" w:themeFillTint="33"/>
            <w:hideMark/>
          </w:tcPr>
          <w:p w:rsidRPr="00081B2B" w:rsidR="008D0657" w:rsidP="008D0657" w:rsidRDefault="008D0657" w14:paraId="790BED32" w14:textId="77777777">
            <w:pPr>
              <w:jc w:val="left"/>
              <w:rPr>
                <w:rFonts w:eastAsia="Times New Roman" w:cs="Times New Roman"/>
                <w:b/>
                <w:szCs w:val="24"/>
                <w:lang w:eastAsia="en-IN"/>
              </w:rPr>
            </w:pPr>
            <w:r w:rsidRPr="00081B2B">
              <w:rPr>
                <w:rFonts w:eastAsia="Times New Roman" w:cs="Times New Roman"/>
                <w:b/>
                <w:szCs w:val="24"/>
                <w:lang w:eastAsia="en-IN"/>
              </w:rPr>
              <w:t>Environmental and Community NGOs</w:t>
            </w:r>
          </w:p>
        </w:tc>
        <w:tc>
          <w:tcPr>
            <w:tcW w:w="0" w:type="auto"/>
            <w:shd w:val="clear" w:color="auto" w:fill="DBE5F1" w:themeFill="accent1" w:themeFillTint="33"/>
            <w:hideMark/>
          </w:tcPr>
          <w:p w:rsidRPr="00081B2B" w:rsidR="008D0657" w:rsidP="008D0657" w:rsidRDefault="008D0657" w14:paraId="5997A228" w14:textId="77777777">
            <w:pPr>
              <w:jc w:val="left"/>
              <w:rPr>
                <w:rFonts w:eastAsia="Times New Roman" w:cs="Times New Roman"/>
                <w:szCs w:val="24"/>
                <w:lang w:eastAsia="en-IN"/>
              </w:rPr>
            </w:pPr>
            <w:r w:rsidRPr="00081B2B">
              <w:rPr>
                <w:rFonts w:eastAsia="Times New Roman" w:cs="Times New Roman"/>
                <w:szCs w:val="24"/>
                <w:lang w:eastAsia="en-IN"/>
              </w:rPr>
              <w:t>Environmental plans, biodiversity actions and volunteering opportunities</w:t>
            </w:r>
          </w:p>
        </w:tc>
        <w:tc>
          <w:tcPr>
            <w:tcW w:w="0" w:type="auto"/>
            <w:shd w:val="clear" w:color="auto" w:fill="DBE5F1" w:themeFill="accent1" w:themeFillTint="33"/>
            <w:hideMark/>
          </w:tcPr>
          <w:p w:rsidRPr="00081B2B" w:rsidR="008D0657" w:rsidP="008D0657" w:rsidRDefault="008D0657" w14:paraId="2934B046" w14:textId="77777777">
            <w:pPr>
              <w:jc w:val="left"/>
              <w:rPr>
                <w:rFonts w:eastAsia="Times New Roman" w:cs="Times New Roman"/>
                <w:szCs w:val="24"/>
                <w:lang w:eastAsia="en-IN"/>
              </w:rPr>
            </w:pPr>
            <w:r w:rsidRPr="00081B2B">
              <w:rPr>
                <w:rFonts w:eastAsia="Times New Roman" w:cs="Times New Roman"/>
                <w:szCs w:val="24"/>
                <w:lang w:eastAsia="en-IN"/>
              </w:rPr>
              <w:t>During design phase; before planting; periodic landscaping updates</w:t>
            </w:r>
          </w:p>
        </w:tc>
        <w:tc>
          <w:tcPr>
            <w:tcW w:w="0" w:type="auto"/>
            <w:shd w:val="clear" w:color="auto" w:fill="DBE5F1" w:themeFill="accent1" w:themeFillTint="33"/>
            <w:hideMark/>
          </w:tcPr>
          <w:p w:rsidRPr="00081B2B" w:rsidR="008D0657" w:rsidP="008D0657" w:rsidRDefault="008D0657" w14:paraId="655B3BCD" w14:textId="77777777">
            <w:pPr>
              <w:jc w:val="left"/>
              <w:rPr>
                <w:rFonts w:eastAsia="Times New Roman" w:cs="Times New Roman"/>
                <w:szCs w:val="24"/>
                <w:lang w:eastAsia="en-IN"/>
              </w:rPr>
            </w:pPr>
            <w:r w:rsidRPr="00081B2B">
              <w:rPr>
                <w:rFonts w:eastAsia="Times New Roman" w:cs="Times New Roman"/>
                <w:szCs w:val="24"/>
                <w:lang w:eastAsia="en-IN"/>
              </w:rPr>
              <w:t>Workshops, newsletters, stakeholder meetings</w:t>
            </w:r>
          </w:p>
        </w:tc>
        <w:tc>
          <w:tcPr>
            <w:tcW w:w="0" w:type="auto"/>
            <w:shd w:val="clear" w:color="auto" w:fill="DBE5F1" w:themeFill="accent1" w:themeFillTint="33"/>
            <w:hideMark/>
          </w:tcPr>
          <w:p w:rsidRPr="00081B2B" w:rsidR="008D0657" w:rsidP="008D0657" w:rsidRDefault="008D0657" w14:paraId="78122786" w14:textId="77777777">
            <w:pPr>
              <w:jc w:val="left"/>
              <w:rPr>
                <w:rFonts w:eastAsia="Times New Roman" w:cs="Times New Roman"/>
                <w:szCs w:val="24"/>
                <w:lang w:eastAsia="en-IN"/>
              </w:rPr>
            </w:pPr>
            <w:r w:rsidRPr="00081B2B">
              <w:rPr>
                <w:rFonts w:eastAsia="Times New Roman" w:cs="Times New Roman"/>
                <w:szCs w:val="24"/>
                <w:lang w:eastAsia="en-IN"/>
              </w:rPr>
              <w:t>Encourages ecological input, transparency and sustainable outcomes</w:t>
            </w:r>
          </w:p>
        </w:tc>
      </w:tr>
      <w:tr w:rsidRPr="00081B2B" w:rsidR="008D0657" w:rsidTr="008D0657" w14:paraId="49B02EFE" w14:textId="77777777">
        <w:tc>
          <w:tcPr>
            <w:tcW w:w="0" w:type="auto"/>
            <w:hideMark/>
          </w:tcPr>
          <w:p w:rsidRPr="00081B2B" w:rsidR="008D0657" w:rsidP="008D0657" w:rsidRDefault="008D0657" w14:paraId="21E698ED" w14:textId="77777777">
            <w:pPr>
              <w:jc w:val="left"/>
              <w:rPr>
                <w:rFonts w:eastAsia="Times New Roman" w:cs="Times New Roman"/>
                <w:b/>
                <w:szCs w:val="24"/>
                <w:lang w:eastAsia="en-IN"/>
              </w:rPr>
            </w:pPr>
            <w:r w:rsidRPr="00081B2B">
              <w:rPr>
                <w:rFonts w:eastAsia="Times New Roman" w:cs="Times New Roman"/>
                <w:b/>
                <w:szCs w:val="24"/>
                <w:lang w:eastAsia="en-IN"/>
              </w:rPr>
              <w:t>Construction and Design Contractors</w:t>
            </w:r>
          </w:p>
        </w:tc>
        <w:tc>
          <w:tcPr>
            <w:tcW w:w="0" w:type="auto"/>
            <w:hideMark/>
          </w:tcPr>
          <w:p w:rsidRPr="00081B2B" w:rsidR="008D0657" w:rsidP="008D0657" w:rsidRDefault="008D0657" w14:paraId="268589A6" w14:textId="77777777">
            <w:pPr>
              <w:jc w:val="left"/>
              <w:rPr>
                <w:rFonts w:eastAsia="Times New Roman" w:cs="Times New Roman"/>
                <w:szCs w:val="24"/>
                <w:lang w:eastAsia="en-IN"/>
              </w:rPr>
            </w:pPr>
            <w:r w:rsidRPr="00081B2B">
              <w:rPr>
                <w:rFonts w:eastAsia="Times New Roman" w:cs="Times New Roman"/>
                <w:szCs w:val="24"/>
                <w:lang w:eastAsia="en-IN"/>
              </w:rPr>
              <w:t xml:space="preserve">Technical specifications, schedules, site </w:t>
            </w:r>
            <w:r w:rsidRPr="00081B2B">
              <w:rPr>
                <w:rFonts w:eastAsia="Times New Roman" w:cs="Times New Roman"/>
                <w:szCs w:val="24"/>
                <w:lang w:eastAsia="en-IN"/>
              </w:rPr>
              <w:t>rules and safety protocols</w:t>
            </w:r>
          </w:p>
        </w:tc>
        <w:tc>
          <w:tcPr>
            <w:tcW w:w="0" w:type="auto"/>
            <w:hideMark/>
          </w:tcPr>
          <w:p w:rsidRPr="00081B2B" w:rsidR="008D0657" w:rsidP="008D0657" w:rsidRDefault="008D0657" w14:paraId="6BFE7F11" w14:textId="77777777">
            <w:pPr>
              <w:jc w:val="left"/>
              <w:rPr>
                <w:rFonts w:eastAsia="Times New Roman" w:cs="Times New Roman"/>
                <w:szCs w:val="24"/>
                <w:lang w:eastAsia="en-IN"/>
              </w:rPr>
            </w:pPr>
            <w:r w:rsidRPr="00081B2B">
              <w:rPr>
                <w:rFonts w:eastAsia="Times New Roman" w:cs="Times New Roman"/>
                <w:szCs w:val="24"/>
                <w:lang w:eastAsia="en-IN"/>
              </w:rPr>
              <w:t xml:space="preserve">Weekly during construction; milestone </w:t>
            </w:r>
            <w:r w:rsidRPr="00081B2B">
              <w:rPr>
                <w:rFonts w:eastAsia="Times New Roman" w:cs="Times New Roman"/>
                <w:szCs w:val="24"/>
                <w:lang w:eastAsia="en-IN"/>
              </w:rPr>
              <w:t>briefings</w:t>
            </w:r>
          </w:p>
        </w:tc>
        <w:tc>
          <w:tcPr>
            <w:tcW w:w="0" w:type="auto"/>
            <w:hideMark/>
          </w:tcPr>
          <w:p w:rsidRPr="00081B2B" w:rsidR="008D0657" w:rsidP="008D0657" w:rsidRDefault="008D0657" w14:paraId="1D5DA03F" w14:textId="77777777">
            <w:pPr>
              <w:jc w:val="left"/>
              <w:rPr>
                <w:rFonts w:eastAsia="Times New Roman" w:cs="Times New Roman"/>
                <w:szCs w:val="24"/>
                <w:lang w:eastAsia="en-IN"/>
              </w:rPr>
            </w:pPr>
            <w:r w:rsidRPr="00081B2B">
              <w:rPr>
                <w:rFonts w:eastAsia="Times New Roman" w:cs="Times New Roman"/>
                <w:szCs w:val="24"/>
                <w:lang w:eastAsia="en-IN"/>
              </w:rPr>
              <w:t>On-site meetings, email, formal instructions</w:t>
            </w:r>
          </w:p>
        </w:tc>
        <w:tc>
          <w:tcPr>
            <w:tcW w:w="0" w:type="auto"/>
            <w:hideMark/>
          </w:tcPr>
          <w:p w:rsidRPr="00081B2B" w:rsidR="008D0657" w:rsidP="008D0657" w:rsidRDefault="008D0657" w14:paraId="2BD9481C" w14:textId="77777777">
            <w:pPr>
              <w:jc w:val="left"/>
              <w:rPr>
                <w:rFonts w:eastAsia="Times New Roman" w:cs="Times New Roman"/>
                <w:szCs w:val="24"/>
                <w:lang w:eastAsia="en-IN"/>
              </w:rPr>
            </w:pPr>
            <w:r w:rsidRPr="00081B2B">
              <w:rPr>
                <w:rFonts w:eastAsia="Times New Roman" w:cs="Times New Roman"/>
                <w:szCs w:val="24"/>
                <w:lang w:eastAsia="en-IN"/>
              </w:rPr>
              <w:t xml:space="preserve">Ensures smooth delivery and clarity of </w:t>
            </w:r>
            <w:r w:rsidRPr="00081B2B">
              <w:rPr>
                <w:rFonts w:eastAsia="Times New Roman" w:cs="Times New Roman"/>
                <w:szCs w:val="24"/>
                <w:lang w:eastAsia="en-IN"/>
              </w:rPr>
              <w:t>expectations</w:t>
            </w:r>
          </w:p>
        </w:tc>
      </w:tr>
      <w:tr w:rsidRPr="00081B2B" w:rsidR="008D0657" w:rsidTr="008D0657" w14:paraId="3B6B4231" w14:textId="77777777">
        <w:tc>
          <w:tcPr>
            <w:tcW w:w="0" w:type="auto"/>
            <w:shd w:val="clear" w:color="auto" w:fill="DBE5F1" w:themeFill="accent1" w:themeFillTint="33"/>
            <w:hideMark/>
          </w:tcPr>
          <w:p w:rsidRPr="00081B2B" w:rsidR="008D0657" w:rsidP="008D0657" w:rsidRDefault="008D0657" w14:paraId="0707916E" w14:textId="77777777">
            <w:pPr>
              <w:jc w:val="left"/>
              <w:rPr>
                <w:rFonts w:eastAsia="Times New Roman" w:cs="Times New Roman"/>
                <w:b/>
                <w:szCs w:val="24"/>
                <w:lang w:eastAsia="en-IN"/>
              </w:rPr>
            </w:pPr>
            <w:r w:rsidRPr="00081B2B">
              <w:rPr>
                <w:rFonts w:eastAsia="Times New Roman" w:cs="Times New Roman"/>
                <w:b/>
                <w:szCs w:val="24"/>
                <w:lang w:eastAsia="en-IN"/>
              </w:rPr>
              <w:t>Healthcare and Social Service Organisations</w:t>
            </w:r>
          </w:p>
        </w:tc>
        <w:tc>
          <w:tcPr>
            <w:tcW w:w="0" w:type="auto"/>
            <w:shd w:val="clear" w:color="auto" w:fill="DBE5F1" w:themeFill="accent1" w:themeFillTint="33"/>
            <w:hideMark/>
          </w:tcPr>
          <w:p w:rsidRPr="00081B2B" w:rsidR="008D0657" w:rsidP="008D0657" w:rsidRDefault="008D0657" w14:paraId="4862E38E" w14:textId="77777777">
            <w:pPr>
              <w:jc w:val="left"/>
              <w:rPr>
                <w:rFonts w:eastAsia="Times New Roman" w:cs="Times New Roman"/>
                <w:szCs w:val="24"/>
                <w:lang w:eastAsia="en-IN"/>
              </w:rPr>
            </w:pPr>
            <w:r w:rsidRPr="00081B2B">
              <w:rPr>
                <w:rFonts w:eastAsia="Times New Roman" w:cs="Times New Roman"/>
                <w:szCs w:val="24"/>
                <w:lang w:eastAsia="en-IN"/>
              </w:rPr>
              <w:t>Access plans, health-programme proposals and social-prescribing opportunities</w:t>
            </w:r>
          </w:p>
        </w:tc>
        <w:tc>
          <w:tcPr>
            <w:tcW w:w="0" w:type="auto"/>
            <w:shd w:val="clear" w:color="auto" w:fill="DBE5F1" w:themeFill="accent1" w:themeFillTint="33"/>
            <w:hideMark/>
          </w:tcPr>
          <w:p w:rsidRPr="00081B2B" w:rsidR="008D0657" w:rsidP="008D0657" w:rsidRDefault="008D0657" w14:paraId="14C09A14" w14:textId="77777777">
            <w:pPr>
              <w:jc w:val="left"/>
              <w:rPr>
                <w:rFonts w:eastAsia="Times New Roman" w:cs="Times New Roman"/>
                <w:szCs w:val="24"/>
                <w:lang w:eastAsia="en-IN"/>
              </w:rPr>
            </w:pPr>
            <w:r w:rsidRPr="00081B2B">
              <w:rPr>
                <w:rFonts w:eastAsia="Times New Roman" w:cs="Times New Roman"/>
                <w:szCs w:val="24"/>
                <w:lang w:eastAsia="en-IN"/>
              </w:rPr>
              <w:t>After planning completion; pre-opening; post-opening periodically</w:t>
            </w:r>
          </w:p>
        </w:tc>
        <w:tc>
          <w:tcPr>
            <w:tcW w:w="0" w:type="auto"/>
            <w:shd w:val="clear" w:color="auto" w:fill="DBE5F1" w:themeFill="accent1" w:themeFillTint="33"/>
            <w:hideMark/>
          </w:tcPr>
          <w:p w:rsidRPr="00081B2B" w:rsidR="008D0657" w:rsidP="008D0657" w:rsidRDefault="008D0657" w14:paraId="3BE39C6D" w14:textId="77777777">
            <w:pPr>
              <w:jc w:val="left"/>
              <w:rPr>
                <w:rFonts w:eastAsia="Times New Roman" w:cs="Times New Roman"/>
                <w:szCs w:val="24"/>
                <w:lang w:eastAsia="en-IN"/>
              </w:rPr>
            </w:pPr>
            <w:r w:rsidRPr="00081B2B">
              <w:rPr>
                <w:rFonts w:eastAsia="Times New Roman" w:cs="Times New Roman"/>
                <w:szCs w:val="24"/>
                <w:lang w:eastAsia="en-IN"/>
              </w:rPr>
              <w:t>Email, letters, stakeholder meetings</w:t>
            </w:r>
          </w:p>
        </w:tc>
        <w:tc>
          <w:tcPr>
            <w:tcW w:w="0" w:type="auto"/>
            <w:shd w:val="clear" w:color="auto" w:fill="DBE5F1" w:themeFill="accent1" w:themeFillTint="33"/>
            <w:hideMark/>
          </w:tcPr>
          <w:p w:rsidRPr="00081B2B" w:rsidR="008D0657" w:rsidP="008D0657" w:rsidRDefault="008D0657" w14:paraId="25F4CD0D" w14:textId="77777777">
            <w:pPr>
              <w:jc w:val="left"/>
              <w:rPr>
                <w:rFonts w:eastAsia="Times New Roman" w:cs="Times New Roman"/>
                <w:szCs w:val="24"/>
                <w:lang w:eastAsia="en-IN"/>
              </w:rPr>
            </w:pPr>
            <w:r w:rsidRPr="00081B2B">
              <w:rPr>
                <w:rFonts w:eastAsia="Times New Roman" w:cs="Times New Roman"/>
                <w:szCs w:val="24"/>
                <w:lang w:eastAsia="en-IN"/>
              </w:rPr>
              <w:t>Supports integration of health services and community wellbeing initiatives</w:t>
            </w:r>
          </w:p>
        </w:tc>
      </w:tr>
    </w:tbl>
    <w:p w:rsidRPr="00081B2B" w:rsidR="0016248B" w:rsidP="00926326" w:rsidRDefault="0016248B" w14:paraId="1CD71CCE" w14:textId="77777777">
      <w:pPr>
        <w:spacing w:before="240"/>
        <w:jc w:val="center"/>
        <w:rPr>
          <w:b/>
          <w:i/>
        </w:rPr>
      </w:pPr>
      <w:r w:rsidRPr="00081B2B">
        <w:rPr>
          <w:b/>
          <w:i/>
        </w:rPr>
        <w:t xml:space="preserve">Consultation Strategy </w:t>
      </w:r>
      <w:r w:rsidRPr="00081B2B" w:rsidR="00ED431C">
        <w:rPr>
          <w:b/>
          <w:i/>
        </w:rPr>
        <w:t>and</w:t>
      </w:r>
      <w:r w:rsidRPr="00081B2B">
        <w:rPr>
          <w:b/>
          <w:i/>
        </w:rPr>
        <w:t xml:space="preserve"> Justifications</w:t>
      </w:r>
    </w:p>
    <w:p w:rsidRPr="00081B2B" w:rsidR="003B7F61" w:rsidP="003B7F61" w:rsidRDefault="003B7F61" w14:paraId="0378DDDC" w14:textId="77777777">
      <w:pPr>
        <w:rPr>
          <w:rStyle w:val="Strong"/>
          <w:b w:val="0"/>
        </w:rPr>
      </w:pPr>
      <w:r w:rsidRPr="00081B2B">
        <w:rPr>
          <w:rStyle w:val="Strong"/>
          <w:b w:val="0"/>
        </w:rPr>
        <w:t>The following principles support the development of effective stakeholder communications:</w:t>
      </w:r>
    </w:p>
    <w:p w:rsidRPr="00081B2B" w:rsidR="003B7F61" w:rsidP="003B7F61" w:rsidRDefault="003B7F61" w14:paraId="4EE3FE4A" w14:textId="77777777">
      <w:pPr>
        <w:pStyle w:val="ListParagraph"/>
        <w:numPr>
          <w:ilvl w:val="0"/>
          <w:numId w:val="4"/>
        </w:numPr>
        <w:rPr>
          <w:rStyle w:val="Strong"/>
          <w:b w:val="0"/>
        </w:rPr>
      </w:pPr>
      <w:r w:rsidRPr="00081B2B">
        <w:rPr>
          <w:rStyle w:val="Strong"/>
          <w:b w:val="0"/>
        </w:rPr>
        <w:t>Feedback loops-two-way communication-is then important. The plan is looking to support not only the dissemination of information but also the collection of feedback through public meetings, workshops and/or by written submission, particularly from resident groups, NGOs and/or social service organisations. Evidence shows that feedback from stakeholders improves the project design and the legitimacy of a project (Joos et al., 2020, p. 477).</w:t>
      </w:r>
    </w:p>
    <w:p w:rsidRPr="00081B2B" w:rsidR="009B3A69" w:rsidP="009B3A69" w:rsidRDefault="003B7F61" w14:paraId="1B9F2DA8" w14:textId="77777777">
      <w:pPr>
        <w:pStyle w:val="ListParagraph"/>
        <w:numPr>
          <w:ilvl w:val="0"/>
          <w:numId w:val="4"/>
        </w:numPr>
        <w:rPr>
          <w:rStyle w:val="Strong"/>
          <w:b w:val="0"/>
        </w:rPr>
      </w:pPr>
      <w:r w:rsidRPr="00081B2B">
        <w:rPr>
          <w:rStyle w:val="Strong"/>
          <w:b w:val="0"/>
        </w:rPr>
        <w:t xml:space="preserve">Selected communication channels should be fitted to the different stakeholder groups' varying communication needs and levels of access. </w:t>
      </w:r>
      <w:r w:rsidRPr="00081B2B" w:rsidR="009B3A69">
        <w:rPr>
          <w:rStyle w:val="Strong"/>
          <w:b w:val="0"/>
        </w:rPr>
        <w:t>The plan will reach stakeholders using formal channels like reports and letters, public channels like meetings and newspapers, and digital channels like email and social media.</w:t>
      </w:r>
    </w:p>
    <w:p w:rsidRPr="00081B2B" w:rsidR="003B7F61" w:rsidP="009B3A69" w:rsidRDefault="003B7F61" w14:paraId="44A75887" w14:textId="77777777">
      <w:pPr>
        <w:pStyle w:val="ListParagraph"/>
        <w:numPr>
          <w:ilvl w:val="0"/>
          <w:numId w:val="4"/>
        </w:numPr>
        <w:rPr>
          <w:rStyle w:val="Strong"/>
          <w:b w:val="0"/>
        </w:rPr>
      </w:pPr>
      <w:r w:rsidRPr="00081B2B">
        <w:rPr>
          <w:rStyle w:val="Strong"/>
          <w:b w:val="0"/>
        </w:rPr>
        <w:t xml:space="preserve">Regular progress and impact reporting to enhance transparency, minimize misinformation, and keep all stakeholders updated on development for potential disruption or opportunities: The usual schedule for updates will also help in maintaining trust and minimizing potential conflicts (World Bank Group, 2023). </w:t>
      </w:r>
    </w:p>
    <w:p w:rsidRPr="00081B2B" w:rsidR="003B7F61" w:rsidP="003B7F61" w:rsidRDefault="003B7F61" w14:paraId="62FC0C5B" w14:textId="77777777">
      <w:pPr>
        <w:pStyle w:val="ListParagraph"/>
        <w:numPr>
          <w:ilvl w:val="0"/>
          <w:numId w:val="4"/>
        </w:numPr>
        <w:rPr>
          <w:rStyle w:val="Strong"/>
          <w:b w:val="0"/>
          <w:bCs w:val="0"/>
        </w:rPr>
      </w:pPr>
      <w:r w:rsidRPr="00081B2B">
        <w:rPr>
          <w:rStyle w:val="Strong"/>
          <w:b w:val="0"/>
          <w:bCs w:val="0"/>
        </w:rPr>
        <w:t xml:space="preserve">Public meetings and community media for accessibility are to be used by the stakeholder groups, such as local residents and NGOs. At the same time, the contractors are technical stakeholders who require clarity and accountability provided through formal structured communication. This will be in line with established recommended strategies for inclusive and culturally appropriate stakeholder communication (Suvvari </w:t>
      </w:r>
      <w:r w:rsidRPr="00081B2B" w:rsidR="008D4427">
        <w:rPr>
          <w:rStyle w:val="Strong"/>
          <w:b w:val="0"/>
          <w:bCs w:val="0"/>
        </w:rPr>
        <w:t>and</w:t>
      </w:r>
      <w:r w:rsidRPr="00081B2B">
        <w:rPr>
          <w:rStyle w:val="Strong"/>
          <w:b w:val="0"/>
          <w:bCs w:val="0"/>
        </w:rPr>
        <w:t xml:space="preserve"> Saxena, 2023, p. 193).</w:t>
      </w:r>
    </w:p>
    <w:p w:rsidRPr="00081B2B" w:rsidR="005F1480" w:rsidP="003B7F61" w:rsidRDefault="005F1480" w14:paraId="7A72ECAD" w14:textId="77777777">
      <w:pPr>
        <w:pStyle w:val="Heading1"/>
      </w:pPr>
      <w:bookmarkStart w:name="_Toc215584292" w:id="5"/>
      <w:r w:rsidRPr="00081B2B">
        <w:t>3</w:t>
      </w:r>
      <w:r w:rsidRPr="00081B2B" w:rsidR="002D382D">
        <w:t>.</w:t>
      </w:r>
      <w:r w:rsidRPr="00081B2B">
        <w:t xml:space="preserve"> </w:t>
      </w:r>
      <w:r w:rsidRPr="00081B2B" w:rsidR="002D382D">
        <w:t>Ethical Considerations in Stakeholder Consultation, Participation and Feedback</w:t>
      </w:r>
      <w:bookmarkEnd w:id="5"/>
      <w:r w:rsidRPr="00081B2B" w:rsidR="002D382D">
        <w:t xml:space="preserve"> </w:t>
      </w:r>
      <w:r w:rsidRPr="00081B2B">
        <w:t> </w:t>
      </w:r>
    </w:p>
    <w:p w:rsidRPr="00081B2B" w:rsidR="00D8236D" w:rsidP="009B3A69" w:rsidRDefault="009B3A69" w14:paraId="25EE9F16" w14:textId="77777777">
      <w:pPr>
        <w:rPr>
          <w:lang w:eastAsia="en-IN"/>
        </w:rPr>
      </w:pPr>
      <w:r w:rsidRPr="00081B2B">
        <w:rPr>
          <w:lang w:eastAsia="en-IN"/>
        </w:rPr>
        <w:t xml:space="preserve">The proposed public park will use both traditional and modern consultation methods. </w:t>
      </w:r>
      <w:r w:rsidRPr="00081B2B" w:rsidR="00716C28">
        <w:rPr>
          <w:lang w:eastAsia="en-IN"/>
        </w:rPr>
        <w:t>T</w:t>
      </w:r>
      <w:r w:rsidRPr="00081B2B" w:rsidR="00C17DA5">
        <w:rPr>
          <w:lang w:eastAsia="en-IN"/>
        </w:rPr>
        <w:t>his includes the use of public forums, workshops, and discussion groups for systematic dialogue, and the opportunity for informal input through</w:t>
      </w:r>
      <w:r w:rsidRPr="00081B2B" w:rsidR="00716C28">
        <w:rPr>
          <w:lang w:eastAsia="en-IN"/>
        </w:rPr>
        <w:t xml:space="preserve"> community exhibits or displays. There will be </w:t>
      </w:r>
      <w:r w:rsidRPr="00081B2B" w:rsidR="00C17DA5">
        <w:rPr>
          <w:lang w:eastAsia="en-IN"/>
        </w:rPr>
        <w:t xml:space="preserve">both online and paper-based survey formats that reach a broad range of demographic backgrounds and user groups. </w:t>
      </w:r>
      <w:r w:rsidRPr="00081B2B" w:rsidR="00D8236D">
        <w:rPr>
          <w:lang w:eastAsia="en-IN"/>
        </w:rPr>
        <w:t>There can be different workshops held for NGOs, health organizations, and business groups to get a better understanding of their sector-specific needs. Key decision-making stakeholders can be approached through structured interviews to share technical and regulatory insights with us. The application of multiple consultation methods not only raises the reliability of results but also guarantees that different viewpoints are captured through triangulation (ICAT, 2020, p.8–29; IEMA, 2023, p.28).</w:t>
      </w:r>
    </w:p>
    <w:p w:rsidRPr="00081B2B" w:rsidR="003B7F61" w:rsidP="002D382D" w:rsidRDefault="003B7F61" w14:paraId="4E59DABF" w14:textId="77777777">
      <w:pPr>
        <w:rPr>
          <w:lang w:eastAsia="en-IN"/>
        </w:rPr>
      </w:pPr>
      <w:r w:rsidRPr="00081B2B">
        <w:rPr>
          <w:lang w:eastAsia="en-IN"/>
        </w:rPr>
        <w:t xml:space="preserve">Data collection must follow ethical procedures, including informed consent, transparency in minimizing the amount of personal information required and protection of the data collected (Ige et al., 2020, p. 2022). The purpose of collecting data must be stated before the commencement of the collection process, including how the information to be collected would be used; contact information about any questions pertaining to how to participate; and that participation in the study is totally on a voluntary basis. In the use of personal information, only the amount required to conduct the analysis would be collected and all personal data collected safely secured until it is needed for analysis. When making reports, anonymise all personal data collected so that it would be impossible to identify who participated in the study. All procedures adopted in data collection shall take into consideration government data ethics guidelines in order to maintain accountability of the researcher and to gain public trust (GDS, 2020, p.3-4). </w:t>
      </w:r>
    </w:p>
    <w:p w:rsidRPr="00081B2B" w:rsidR="003B7F61" w:rsidP="002D382D" w:rsidRDefault="003B7F61" w14:paraId="68299D5D" w14:textId="77777777">
      <w:pPr>
        <w:rPr>
          <w:lang w:eastAsia="en-IN"/>
        </w:rPr>
      </w:pPr>
      <w:r w:rsidRPr="00081B2B">
        <w:rPr>
          <w:lang w:eastAsia="en-IN"/>
        </w:rPr>
        <w:t xml:space="preserve">In order to ensure that bias is mitigated at all levels of the research process, the following methods should be used: a sample design that includes both randomised and non-randomized methods when combining surveys of homes with purposeful outreach methods when reaching out to underrepresented groups in order to not have an unbalanced number of participants (Yang and Kim, 2020, p.625); all of the consultation material contains only neutral terms that do not lead the reader to one conclusion and should be tested before they are distributed for clarity; all facilitation of the meetings includes an experienced facilitator and several options for providing feedback: verbal, written and electronically in order to decrease the effect of dominant participants and the effect of social desirability bias; and all analysis has a </w:t>
      </w:r>
      <w:r w:rsidRPr="00081B2B">
        <w:rPr>
          <w:lang w:eastAsia="en-IN"/>
        </w:rPr>
        <w:t>documented record of the coding process, as well as checks for intercoder reliability for qualitative data (O’Connor and Joffe, 2020, p.1609406919899220).</w:t>
      </w:r>
    </w:p>
    <w:p w:rsidRPr="00081B2B" w:rsidR="002D382D" w:rsidP="002D382D" w:rsidRDefault="002D382D" w14:paraId="1F86D9AB" w14:textId="6D51FF70">
      <w:pPr>
        <w:rPr>
          <w:lang w:eastAsia="en-IN"/>
        </w:rPr>
      </w:pPr>
      <w:r w:rsidRPr="00081B2B">
        <w:rPr>
          <w:lang w:eastAsia="en-IN"/>
        </w:rPr>
        <w:t xml:space="preserve">In order to let everyone participate and to help identify the different types of needs that people have, it is important that DEI (Diversity, Equity and Inclusion) Measures be used. In light of this, DEI measures include: holding meetings in locations that are accessible and scheduling the meetings at different times (Das, 2024, p.1594). Ensuring that meeting materials are available in many different languages; providing childcare and stipends for travelling when possible; and ensuring that the meeting formats we provide are accessible to all people (for instance: in large print, with BSL interpreters, with online captioning) so that all people who require these formats may be able to attend the meetings. The </w:t>
      </w:r>
      <w:r w:rsidRPr="00081B2B" w:rsidR="00081B2B">
        <w:rPr>
          <w:lang w:eastAsia="en-IN"/>
        </w:rPr>
        <w:t>outreach</w:t>
      </w:r>
      <w:r w:rsidRPr="00081B2B">
        <w:rPr>
          <w:lang w:eastAsia="en-IN"/>
        </w:rPr>
        <w:t xml:space="preserve"> to seldom-heard groups should be conducted through community-based organisations and trusted intermediaries with the aim of enhancing trust in the process and improving the potential for high response rates amongst, for example, elderly people, minority ethnic communities, and those on low incomes (Thomson et al., 2024, p. 10).</w:t>
      </w:r>
    </w:p>
    <w:p w:rsidRPr="00081B2B" w:rsidR="002D382D" w:rsidP="002D382D" w:rsidRDefault="002D382D" w14:paraId="135949A5" w14:textId="77777777">
      <w:pPr>
        <w:rPr>
          <w:b/>
          <w:bCs/>
          <w:lang w:eastAsia="en-IN"/>
        </w:rPr>
      </w:pPr>
      <w:r w:rsidRPr="00081B2B">
        <w:rPr>
          <w:lang w:eastAsia="en-IN"/>
        </w:rPr>
        <w:t>To collect and centralise stakeholder feedback, an effective feedback management system will be utilized to log submissions, categorise themes, track decision outcomes and record responses to contributors. The review process should be transparent: this means coding the feedback thematically, assessing the feedback against the technical, legal, and budget constraints of the project, and documenting the decisions made on whether suggestions are adopted, modified or rejected (Onifade et al, 2021). Consultation summaries and responses to participants that clearly state what changes were made based on stakeholder input-and why-should be published and distributed to all stakeholders. This would address how the stakeholder input contributed to decision-making processes and heighten the accountability and legitimacy of the consultation process. On a regular basis, the consultation process should be evaluated against predetermined indicators such as participation rates, demographic diversity, and response turnaround times. Information gathered from evaluations should be used to effect continuous improvements in the process of stakeholder engagement.</w:t>
      </w:r>
    </w:p>
    <w:p w:rsidR="00081B2B" w:rsidRDefault="00081B2B" w14:paraId="5EB604BF" w14:textId="77777777">
      <w:pPr>
        <w:spacing w:line="276" w:lineRule="auto"/>
        <w:jc w:val="left"/>
        <w:rPr>
          <w:rFonts w:eastAsiaTheme="majorEastAsia" w:cstheme="majorBidi"/>
          <w:b/>
          <w:bCs/>
          <w:szCs w:val="28"/>
        </w:rPr>
      </w:pPr>
      <w:bookmarkStart w:name="_Toc215584293" w:id="6"/>
      <w:r>
        <w:br w:type="page"/>
      </w:r>
    </w:p>
    <w:p w:rsidRPr="00081B2B" w:rsidR="005F1480" w:rsidP="005F1480" w:rsidRDefault="005F1480" w14:paraId="636AEE38" w14:textId="7666BEE3">
      <w:pPr>
        <w:pStyle w:val="Heading1"/>
      </w:pPr>
      <w:r w:rsidRPr="00081B2B">
        <w:t>4</w:t>
      </w:r>
      <w:r w:rsidRPr="00081B2B" w:rsidR="002D382D">
        <w:t>.</w:t>
      </w:r>
      <w:r w:rsidRPr="00081B2B">
        <w:t xml:space="preserve"> Conclusion and Reflection</w:t>
      </w:r>
      <w:bookmarkEnd w:id="6"/>
      <w:r w:rsidRPr="00081B2B">
        <w:t xml:space="preserve"> </w:t>
      </w:r>
    </w:p>
    <w:p w:rsidRPr="00081B2B" w:rsidR="002D382D" w:rsidP="002D382D" w:rsidRDefault="002D382D" w14:paraId="1841CBCA" w14:textId="77777777">
      <w:pPr>
        <w:rPr>
          <w:lang w:eastAsia="en-IN"/>
        </w:rPr>
      </w:pPr>
      <w:r w:rsidRPr="00081B2B">
        <w:rPr>
          <w:lang w:eastAsia="en-IN"/>
        </w:rPr>
        <w:t>The creation of a multi-functional urban public park is an example of how successful, sustainable built environment projects are dependent not only on the technical delivery or physical design of the projects, but also upon the depth of engagement with stakeholders involved with the project throughout its lifecycle. Through the involveme</w:t>
      </w:r>
      <w:r w:rsidRPr="00081B2B" w:rsidR="00867E03">
        <w:rPr>
          <w:lang w:eastAsia="en-IN"/>
        </w:rPr>
        <w:t xml:space="preserve">nt of a variety of stakeholders, </w:t>
      </w:r>
      <w:r w:rsidRPr="00081B2B">
        <w:rPr>
          <w:lang w:eastAsia="en-IN"/>
        </w:rPr>
        <w:t>such as city councils, local businesses, contractors, health organisations, environmental NGOs and residents of</w:t>
      </w:r>
      <w:r w:rsidRPr="00081B2B" w:rsidR="00867E03">
        <w:rPr>
          <w:lang w:eastAsia="en-IN"/>
        </w:rPr>
        <w:t xml:space="preserve"> the surrounding neighbourhoods; </w:t>
      </w:r>
      <w:r w:rsidRPr="00081B2B">
        <w:rPr>
          <w:lang w:eastAsia="en-IN"/>
        </w:rPr>
        <w:t>it can be demonstrated that public projects create value for all three dimensions of the Triple Bottom Line (TBL); this means the economic (profitability), social/community (quality of life), and ecological/environmental (environmental sustainability) dimensions. As such, by effectively engaging with stakeholders throughout the project development process, there is an even chance of ensuring that all competing interests are considered, that decisions are based on thorough, well-informed consideration of those interests, and that the project has established legitimacy over the long term.</w:t>
      </w:r>
    </w:p>
    <w:p w:rsidRPr="00081B2B" w:rsidR="002D382D" w:rsidP="002D382D" w:rsidRDefault="002D382D" w14:paraId="2F33B802" w14:textId="77777777">
      <w:pPr>
        <w:rPr>
          <w:lang w:eastAsia="en-IN"/>
        </w:rPr>
      </w:pPr>
      <w:r w:rsidRPr="00081B2B">
        <w:rPr>
          <w:lang w:eastAsia="en-IN"/>
        </w:rPr>
        <w:t>The use of structured stakeholder management tools, such as the power-interest classification, stakeholder map, and communication/consultation strategy, supports this as they allow project owners to prioritise their interactions with various groups and to ensure that they do not overlook any group that could potentially affect the project outcomes or derive benefits from the project. Additionally, building feedback loops into the consultation process further strengthens the building of trust and transparency between stakeholders; this is important for maintaining stakeholder support for project development, construction and completion.</w:t>
      </w:r>
    </w:p>
    <w:p w:rsidRPr="00081B2B" w:rsidR="00867E03" w:rsidP="00867E03" w:rsidRDefault="00867E03" w14:paraId="6E270455" w14:textId="77777777">
      <w:pPr>
        <w:rPr>
          <w:lang w:eastAsia="en-IN"/>
        </w:rPr>
      </w:pPr>
      <w:r w:rsidRPr="00081B2B">
        <w:rPr>
          <w:lang w:eastAsia="en-IN"/>
        </w:rPr>
        <w:t>Stakeholder engagement in this matter is not only a procedural obligation; it is, in essence, a strategic mechanism that effectively contributes to the sustainability of the park. Residents and community organizations provided information on issues related to accessibility, recreation, and biodiversity priorities, which helped to determine a design reflecting local needs and values. Active participation by the city council secured conformance with regulatory frameworks and wider urban development objectives, while NGO input ensured ecological sensitivity. Business and contractor engagement was necessary for feasible implementation and future economic enterprise in the locality. Collectively, these interactions illustrate that stakeholder input fosters more inclusive decision-making, widens the knowledge base of planners, and decreases risks of opposition or delays to the project.</w:t>
      </w:r>
    </w:p>
    <w:p w:rsidRPr="00081B2B" w:rsidR="00867E03" w:rsidP="002D382D" w:rsidRDefault="00867E03" w14:paraId="69DE2863" w14:textId="77777777">
      <w:pPr>
        <w:rPr>
          <w:rFonts w:eastAsia="Times New Roman" w:cs="Times New Roman"/>
          <w:szCs w:val="24"/>
          <w:lang w:eastAsia="en-IN"/>
        </w:rPr>
      </w:pPr>
      <w:r w:rsidRPr="00081B2B">
        <w:rPr>
          <w:rFonts w:eastAsia="Times New Roman" w:cs="Times New Roman"/>
          <w:szCs w:val="24"/>
          <w:lang w:eastAsia="en-IN"/>
        </w:rPr>
        <w:t>Looking back, stakeholder engagement is not a one-off exercise but a continuous process that needs commitment and responsiveness. Systematic classification of stakeholders showed that different levels of power and interest require differentiated communication approaches, and therefore, key players should be closely engaged, high-interest groups should be consulted regularly, while lower-interest groups should be kept informed to avoid disengagement or conflict. Moreover, to be able to keep the legitimacy of participatory processes, ethical considerations should be assured: fair representation, avoidance of any bias, accessibility of participation, and respect for diversity. Consultation processes that are not sufficiently considering linguistic limitations, lack of mobility, socio-economic inequalities, or cultural differences risk reinforcing exclusions and reducing representativeness of project outcomes.</w:t>
      </w:r>
    </w:p>
    <w:p w:rsidRPr="00081B2B" w:rsidR="002D382D" w:rsidP="002D382D" w:rsidRDefault="002D382D" w14:paraId="0AC05362" w14:textId="327548EC">
      <w:pPr>
        <w:rPr>
          <w:lang w:eastAsia="en-IN"/>
        </w:rPr>
      </w:pPr>
      <w:r w:rsidRPr="00081B2B">
        <w:rPr>
          <w:lang w:eastAsia="en-IN"/>
        </w:rPr>
        <w:t xml:space="preserve">The stakeholders' span of contributions has been seen even after the project was completed as per the reflection. The participation and constant interaction of the communities during the project </w:t>
      </w:r>
      <w:r w:rsidRPr="00081B2B" w:rsidR="00081B2B">
        <w:rPr>
          <w:lang w:eastAsia="en-IN"/>
        </w:rPr>
        <w:t>have</w:t>
      </w:r>
      <w:r w:rsidRPr="00081B2B">
        <w:rPr>
          <w:lang w:eastAsia="en-IN"/>
        </w:rPr>
        <w:t xml:space="preserve"> led to their gaining feeling of ownership thus, they are more likely to use and protect the area which means the generation of social, environmental, and economic benefits that are lasting. Hence, engagement is a formal for stewardship, not just approval. It enlarges the social ties, guarantees the park's upkeep through its relevance, and takes the asset as a public good of the people in common. </w:t>
      </w:r>
    </w:p>
    <w:p w:rsidRPr="00081B2B" w:rsidR="008D4427" w:rsidP="002D382D" w:rsidRDefault="002D382D" w14:paraId="0F4B7BEB" w14:textId="77777777">
      <w:pPr>
        <w:rPr>
          <w:lang w:eastAsia="en-IN"/>
        </w:rPr>
      </w:pPr>
      <w:r w:rsidRPr="00081B2B">
        <w:rPr>
          <w:lang w:eastAsia="en-IN"/>
        </w:rPr>
        <w:t>In conclusion, the case has shown that good stakeholder engagement is the key factor for the success of public projects from both the operational and ethical points of view. Stakeholder participation, when backed up by transparency, inclusiveness, and constant feedback, produces resilient design decisions, community trust, long-term sustainability, and operation of the public park as a space that is meaningful and valued by all user groups.</w:t>
      </w:r>
    </w:p>
    <w:p w:rsidRPr="00081B2B" w:rsidR="007E5BC1" w:rsidP="001A18B5" w:rsidRDefault="00B078D6" w14:paraId="5DDDAB61" w14:textId="77777777">
      <w:pPr>
        <w:pStyle w:val="Heading1"/>
      </w:pPr>
      <w:r w:rsidRPr="00081B2B">
        <w:br w:type="page"/>
      </w:r>
      <w:bookmarkStart w:name="_Toc215584294" w:id="7"/>
      <w:r w:rsidRPr="00081B2B">
        <w:t>References</w:t>
      </w:r>
      <w:bookmarkEnd w:id="7"/>
    </w:p>
    <w:p w:rsidRPr="00081B2B" w:rsidR="00081B2B" w:rsidP="003B7F61" w:rsidRDefault="00081B2B" w14:paraId="79AD4019" w14:textId="77777777">
      <w:r w:rsidRPr="00081B2B">
        <w:t xml:space="preserve">Cova Cervilla Bordiu,. (2022). The importance of green infrastructure for health in the post-pandemic era. Available at:  </w:t>
      </w:r>
      <w:hyperlink w:history="1" r:id="rId15">
        <w:r w:rsidRPr="00081B2B">
          <w:rPr>
            <w:rStyle w:val="Hyperlink"/>
          </w:rPr>
          <w:t>https://keep.eu/api/project-attachment/58983/get_file/</w:t>
        </w:r>
      </w:hyperlink>
      <w:r w:rsidRPr="00081B2B">
        <w:t xml:space="preserve"> (Accessed: 2 December 2025).</w:t>
      </w:r>
    </w:p>
    <w:p w:rsidRPr="00081B2B" w:rsidR="00081B2B" w:rsidP="003B7F61" w:rsidRDefault="00081B2B" w14:paraId="0680E8F6" w14:textId="77777777">
      <w:pPr>
        <w:rPr>
          <w:rFonts w:eastAsia="Times New Roman" w:cs="Times New Roman"/>
          <w:szCs w:val="24"/>
          <w:lang w:eastAsia="en-IN"/>
        </w:rPr>
      </w:pPr>
      <w:r w:rsidRPr="00081B2B">
        <w:rPr>
          <w:rFonts w:eastAsia="Times New Roman" w:cs="Times New Roman"/>
          <w:szCs w:val="24"/>
          <w:lang w:eastAsia="en-IN"/>
        </w:rPr>
        <w:t>Das, S., (2024) DIVERSITY, EQUITY, AND INCLUSION (DEI) IN CLINICAL TRIALS.</w:t>
      </w:r>
      <w:r w:rsidRPr="00081B2B">
        <w:t xml:space="preserve"> </w:t>
      </w:r>
      <w:hyperlink w:history="1" r:id="rId16">
        <w:r w:rsidRPr="00081B2B">
          <w:rPr>
            <w:rStyle w:val="Hyperlink"/>
            <w:rFonts w:eastAsia="Times New Roman" w:cs="Times New Roman"/>
            <w:szCs w:val="24"/>
            <w:lang w:eastAsia="en-IN"/>
          </w:rPr>
          <w:t>https://www.researchgate.net/profile/Shriya-Das-5/publication/377494660_DIVERSITY_EQUITY_AND_INCLUSION_DEI_IN_CLINICAL_TRIALS/links/65a9e0c5a59bf45fc9d8c186/Diversity-Equity-and-Inclusion-DEI-in-Clinical-Trials.pdf</w:t>
        </w:r>
      </w:hyperlink>
      <w:r w:rsidRPr="00081B2B">
        <w:rPr>
          <w:rFonts w:eastAsia="Times New Roman" w:cs="Times New Roman"/>
          <w:szCs w:val="24"/>
          <w:lang w:eastAsia="en-IN"/>
        </w:rPr>
        <w:t xml:space="preserve"> </w:t>
      </w:r>
    </w:p>
    <w:p w:rsidRPr="00081B2B" w:rsidR="00081B2B" w:rsidP="003B7F61" w:rsidRDefault="00081B2B" w14:paraId="1A75CBCF" w14:textId="77777777">
      <w:r w:rsidRPr="00081B2B">
        <w:t xml:space="preserve">Felappi, J.F., Sommer, J.H., Falkenberg, T., Terlau, W. and Kötter, T., 2020. Green infrastructure through the lens of “One Health”: A systematic review and integrative framework uncovering synergies and trade-offs between mental health and wildlife support in cities. Science of the Total Environment, 748, p.141589. </w:t>
      </w:r>
      <w:hyperlink w:history="1" r:id="rId17">
        <w:r w:rsidRPr="00081B2B">
          <w:rPr>
            <w:rStyle w:val="Hyperlink"/>
          </w:rPr>
          <w:t>https://www.sciencedirect.com/science/article/pii/S0048969720351184</w:t>
        </w:r>
      </w:hyperlink>
      <w:r w:rsidRPr="00081B2B">
        <w:t xml:space="preserve">  </w:t>
      </w:r>
    </w:p>
    <w:p w:rsidRPr="00081B2B" w:rsidR="00081B2B" w:rsidP="003B7F61" w:rsidRDefault="00081B2B" w14:paraId="34187EA5" w14:textId="77777777">
      <w:pPr>
        <w:rPr>
          <w:rFonts w:eastAsia="Times New Roman" w:cs="Times New Roman"/>
          <w:szCs w:val="24"/>
          <w:lang w:eastAsia="en-IN"/>
        </w:rPr>
      </w:pPr>
      <w:r w:rsidRPr="00081B2B">
        <w:rPr>
          <w:rFonts w:eastAsia="Times New Roman" w:cs="Times New Roman"/>
          <w:szCs w:val="24"/>
          <w:lang w:eastAsia="en-IN"/>
        </w:rPr>
        <w:t xml:space="preserve">GDS (2020). </w:t>
      </w:r>
      <w:r w:rsidRPr="00081B2B">
        <w:rPr>
          <w:rFonts w:eastAsia="Times New Roman" w:cs="Times New Roman"/>
          <w:szCs w:val="24"/>
          <w:lang w:eastAsia="en-IN"/>
        </w:rPr>
        <w:tab/>
      </w:r>
      <w:r w:rsidRPr="00081B2B">
        <w:rPr>
          <w:rFonts w:eastAsia="Times New Roman" w:cs="Times New Roman"/>
          <w:szCs w:val="24"/>
          <w:lang w:eastAsia="en-IN"/>
        </w:rPr>
        <w:t xml:space="preserve">Data Ethics Framework. Available at: </w:t>
      </w:r>
      <w:hyperlink w:history="1" r:id="rId18">
        <w:r w:rsidRPr="00081B2B">
          <w:rPr>
            <w:rStyle w:val="Hyperlink"/>
            <w:rFonts w:eastAsia="Times New Roman" w:cs="Times New Roman"/>
            <w:szCs w:val="24"/>
            <w:lang w:eastAsia="en-IN"/>
          </w:rPr>
          <w:t>https://assets.publishing.service.gov.uk/media/5f74a4958fa8f5188dad0e99/Data_Ethics_Framework_2020.pdf</w:t>
        </w:r>
      </w:hyperlink>
      <w:r w:rsidRPr="00081B2B">
        <w:rPr>
          <w:rFonts w:eastAsia="Times New Roman" w:cs="Times New Roman"/>
          <w:szCs w:val="24"/>
          <w:lang w:eastAsia="en-IN"/>
        </w:rPr>
        <w:t xml:space="preserve">  (Accessed: 2 December 2025).</w:t>
      </w:r>
    </w:p>
    <w:p w:rsidRPr="00081B2B" w:rsidR="00081B2B" w:rsidP="003B7F61" w:rsidRDefault="00081B2B" w14:paraId="2ABF4D7E" w14:textId="77777777">
      <w:pPr>
        <w:rPr>
          <w:rFonts w:eastAsia="Times New Roman" w:cs="Times New Roman"/>
          <w:szCs w:val="24"/>
          <w:lang w:eastAsia="en-IN"/>
        </w:rPr>
      </w:pPr>
      <w:r w:rsidRPr="00081B2B">
        <w:rPr>
          <w:rFonts w:eastAsia="Times New Roman" w:cs="Times New Roman"/>
          <w:szCs w:val="24"/>
          <w:lang w:eastAsia="en-IN"/>
        </w:rPr>
        <w:t xml:space="preserve">ICAT (2020). Stakeholder-Participation-Assessment-Guide. Available at: </w:t>
      </w:r>
      <w:hyperlink w:history="1" r:id="rId19">
        <w:r w:rsidRPr="00081B2B">
          <w:rPr>
            <w:rStyle w:val="Hyperlink"/>
            <w:rFonts w:eastAsia="Times New Roman" w:cs="Times New Roman"/>
            <w:szCs w:val="24"/>
            <w:lang w:eastAsia="en-IN"/>
          </w:rPr>
          <w:t>https://climateactiontransparency.org/wp-content/uploads/2020/04/Stakeholder-Participation-Assessment-Guide.pdf</w:t>
        </w:r>
      </w:hyperlink>
      <w:r w:rsidRPr="00081B2B">
        <w:rPr>
          <w:rFonts w:eastAsia="Times New Roman" w:cs="Times New Roman"/>
          <w:szCs w:val="24"/>
          <w:lang w:eastAsia="en-IN"/>
        </w:rPr>
        <w:t xml:space="preserve">  (Accessed: 2 December 2025).</w:t>
      </w:r>
    </w:p>
    <w:p w:rsidRPr="00081B2B" w:rsidR="00081B2B" w:rsidP="003B7F61" w:rsidRDefault="00081B2B" w14:paraId="080CB48B" w14:textId="77777777">
      <w:pPr>
        <w:rPr>
          <w:rFonts w:eastAsia="Times New Roman" w:cs="Times New Roman"/>
          <w:szCs w:val="24"/>
          <w:lang w:eastAsia="en-IN"/>
        </w:rPr>
      </w:pPr>
      <w:r w:rsidRPr="00081B2B">
        <w:rPr>
          <w:rFonts w:eastAsia="Times New Roman" w:cs="Times New Roman"/>
          <w:szCs w:val="24"/>
          <w:lang w:eastAsia="en-IN"/>
        </w:rPr>
        <w:t>IEMA (2023).</w:t>
      </w:r>
      <w:r w:rsidRPr="00081B2B">
        <w:t xml:space="preserve"> Public Participation, Stakeholder Engagement and Impact Assessment.</w:t>
      </w:r>
      <w:r w:rsidRPr="00081B2B">
        <w:rPr>
          <w:rFonts w:eastAsia="Times New Roman" w:cs="Times New Roman"/>
          <w:szCs w:val="24"/>
          <w:lang w:eastAsia="en-IN"/>
        </w:rPr>
        <w:t xml:space="preserve"> Available at: </w:t>
      </w:r>
      <w:hyperlink w:history="1" r:id="rId20">
        <w:r w:rsidRPr="00081B2B">
          <w:rPr>
            <w:rStyle w:val="Hyperlink"/>
            <w:rFonts w:eastAsia="Times New Roman" w:cs="Times New Roman"/>
            <w:szCs w:val="24"/>
            <w:lang w:eastAsia="en-IN"/>
          </w:rPr>
          <w:t>https://www.iema.net/media/oxrdhkhs/j43497_iema_outook-journal_v15-jan-2023.pdf</w:t>
        </w:r>
      </w:hyperlink>
      <w:r w:rsidRPr="00081B2B">
        <w:rPr>
          <w:rFonts w:eastAsia="Times New Roman" w:cs="Times New Roman"/>
          <w:szCs w:val="24"/>
          <w:lang w:eastAsia="en-IN"/>
        </w:rPr>
        <w:t xml:space="preserve"> (Accessed: 2 December 2025).</w:t>
      </w:r>
    </w:p>
    <w:p w:rsidRPr="00081B2B" w:rsidR="00081B2B" w:rsidP="002D382D" w:rsidRDefault="00081B2B" w14:paraId="6A76DCD6" w14:textId="77777777">
      <w:pPr>
        <w:rPr>
          <w:lang w:eastAsia="en-IN"/>
        </w:rPr>
      </w:pPr>
      <w:r w:rsidRPr="00081B2B">
        <w:rPr>
          <w:lang w:eastAsia="en-IN"/>
        </w:rPr>
        <w:t>Ige, A.B., Chukwurah, N., Idemudia, C. and Adebayo, V.I., 2022. Ethical considerations in data governance: Balancing privacy, security, and transparency in data management. Journal of Ethical Data Practices.[Year unavailable].[Epub ahead of print].</w:t>
      </w:r>
      <w:r w:rsidRPr="00081B2B">
        <w:t xml:space="preserve"> </w:t>
      </w:r>
      <w:hyperlink w:history="1" r:id="rId21">
        <w:r w:rsidRPr="00081B2B">
          <w:rPr>
            <w:rStyle w:val="Hyperlink"/>
            <w:lang w:eastAsia="en-IN"/>
          </w:rPr>
          <w:t>https://www.researchgate.net/profile/Naomi-Chukwurah-3/publication/389815239_Ethical_Considerations_in_Data_Governance_Balancing_Privacy_Security_and_Transparency_in_Data_Management/links/67d30d8c7c5b5569dcbb539e/Ethic</w:t>
        </w:r>
        <w:r w:rsidRPr="00081B2B">
          <w:rPr>
            <w:rStyle w:val="Hyperlink"/>
            <w:lang w:eastAsia="en-IN"/>
          </w:rPr>
          <w:t>al-Considerations-in-Data-Governance-Balancing-Privacy-Security-and-Transparency-in-Data-Management.pdf</w:t>
        </w:r>
      </w:hyperlink>
      <w:r w:rsidRPr="00081B2B">
        <w:rPr>
          <w:lang w:eastAsia="en-IN"/>
        </w:rPr>
        <w:t xml:space="preserve"> </w:t>
      </w:r>
    </w:p>
    <w:p w:rsidRPr="00081B2B" w:rsidR="00081B2B" w:rsidP="003B7F61" w:rsidRDefault="00081B2B" w14:paraId="6D02DB40" w14:textId="77777777">
      <w:r w:rsidRPr="00081B2B">
        <w:t xml:space="preserve">Joos, H.C., zu Knyphausen-Aufseß, D. and Pidun, U., 2020. Project stakeholder management as the integration of stakeholder salience, public participation, and nonmarket strategies. Schmalenbach Business Review, 72(3), pp.447-477. </w:t>
      </w:r>
      <w:hyperlink w:history="1" r:id="rId22">
        <w:r w:rsidRPr="00081B2B">
          <w:rPr>
            <w:rStyle w:val="Hyperlink"/>
          </w:rPr>
          <w:t>https://link.springer.com/article/10.1007/s41464-020-00092-0</w:t>
        </w:r>
      </w:hyperlink>
      <w:r w:rsidRPr="00081B2B">
        <w:t xml:space="preserve">  </w:t>
      </w:r>
    </w:p>
    <w:p w:rsidRPr="00081B2B" w:rsidR="00081B2B" w:rsidP="003B7F61" w:rsidRDefault="00081B2B" w14:paraId="21A21A77" w14:textId="77777777">
      <w:r w:rsidRPr="00081B2B">
        <w:t xml:space="preserve">Mychal Cohen (2022). The Health Benefits of Parks and their Economic Impacts. Available at: </w:t>
      </w:r>
      <w:hyperlink w:history="1" r:id="rId23">
        <w:r w:rsidRPr="00081B2B">
          <w:rPr>
            <w:rStyle w:val="Hyperlink"/>
          </w:rPr>
          <w:t>https://www.urban.org/sites/default/files/2022-03/the-health-benefits-of-parks-and-their-economic-impacts_0.pdf</w:t>
        </w:r>
      </w:hyperlink>
      <w:r w:rsidRPr="00081B2B">
        <w:t xml:space="preserve">  (Accessed: 2 December 2025).</w:t>
      </w:r>
    </w:p>
    <w:p w:rsidRPr="00081B2B" w:rsidR="00081B2B" w:rsidP="003B7F61" w:rsidRDefault="00081B2B" w14:paraId="62DE1694" w14:textId="77777777">
      <w:pPr>
        <w:rPr>
          <w:rFonts w:eastAsia="Times New Roman" w:cs="Times New Roman"/>
          <w:szCs w:val="24"/>
          <w:lang w:eastAsia="en-IN"/>
        </w:rPr>
      </w:pPr>
      <w:r w:rsidRPr="00081B2B">
        <w:rPr>
          <w:rFonts w:eastAsia="Times New Roman" w:cs="Times New Roman"/>
          <w:szCs w:val="24"/>
          <w:lang w:eastAsia="en-IN"/>
        </w:rPr>
        <w:t>O’Connor, C. and Joffe, H., 2020. Intercoder reliability in qualitative research: Debates and practical guidelines. International journal of qualitative methods, 19, p.1609406919899220.</w:t>
      </w:r>
      <w:r w:rsidRPr="00081B2B">
        <w:t xml:space="preserve"> </w:t>
      </w:r>
      <w:hyperlink w:history="1" r:id="rId24">
        <w:r w:rsidRPr="00081B2B">
          <w:rPr>
            <w:rStyle w:val="Hyperlink"/>
            <w:rFonts w:eastAsia="Times New Roman" w:cs="Times New Roman"/>
            <w:szCs w:val="24"/>
            <w:lang w:eastAsia="en-IN"/>
          </w:rPr>
          <w:t>https://scholar.google.com/scholar?output=instlink&amp;q=info:0_7Q8jMvW2sJ:scholar.google.com/&amp;hl=en&amp;as_sdt=0,5&amp;as_ylo=2020&amp;scillfp=6324370345354288591&amp;oi=lle</w:t>
        </w:r>
      </w:hyperlink>
      <w:r w:rsidRPr="00081B2B">
        <w:rPr>
          <w:rFonts w:eastAsia="Times New Roman" w:cs="Times New Roman"/>
          <w:szCs w:val="24"/>
          <w:lang w:eastAsia="en-IN"/>
        </w:rPr>
        <w:t xml:space="preserve"> </w:t>
      </w:r>
    </w:p>
    <w:p w:rsidRPr="00081B2B" w:rsidR="00081B2B" w:rsidP="003B7F61" w:rsidRDefault="00081B2B" w14:paraId="7D151350" w14:textId="77777777">
      <w:r w:rsidRPr="00081B2B">
        <w:t xml:space="preserve">OECD (2020). Green Infrastructure in the Decade for Delivery (EN). Available at: </w:t>
      </w:r>
      <w:hyperlink w:history="1" r:id="rId25">
        <w:r w:rsidRPr="00081B2B">
          <w:rPr>
            <w:rStyle w:val="Hyperlink"/>
          </w:rPr>
          <w:t>https://www.oecd.org/content/dam/oecd/en/publications/reports/2020/10/green-infrastructure-in-the-decade-for-delivery_77c8475c/f51f9256-en.pdf</w:t>
        </w:r>
      </w:hyperlink>
      <w:r w:rsidRPr="00081B2B">
        <w:t xml:space="preserve">  (Accessed: 2 December 2025).</w:t>
      </w:r>
    </w:p>
    <w:p w:rsidRPr="00081B2B" w:rsidR="00081B2B" w:rsidP="003B7F61" w:rsidRDefault="00081B2B" w14:paraId="2C92E551" w14:textId="77777777">
      <w:r w:rsidRPr="00081B2B">
        <w:t xml:space="preserve">Oguz, A. (2022) 5.2 Stakeholder Analysis, Project Management. MSL Academic Endeavors. Available at: </w:t>
      </w:r>
      <w:hyperlink w:history="1" r:id="rId26">
        <w:r w:rsidRPr="00081B2B">
          <w:rPr>
            <w:rStyle w:val="Hyperlink"/>
          </w:rPr>
          <w:t>https://pressbooks.ulib.csuohio.edu/project-management-navigating-the-complexity/chapter/5-2-stakeholder-analysis/</w:t>
        </w:r>
      </w:hyperlink>
      <w:r w:rsidRPr="00081B2B">
        <w:t xml:space="preserve"> (Accessed: 2 December 2025).</w:t>
      </w:r>
    </w:p>
    <w:p w:rsidRPr="00081B2B" w:rsidR="00081B2B" w:rsidP="003B7F61" w:rsidRDefault="00081B2B" w14:paraId="1A7414A4" w14:textId="77777777">
      <w:pPr>
        <w:rPr>
          <w:rFonts w:eastAsia="Times New Roman" w:cs="Times New Roman"/>
          <w:szCs w:val="24"/>
          <w:lang w:eastAsia="en-IN"/>
        </w:rPr>
      </w:pPr>
      <w:r w:rsidRPr="00081B2B">
        <w:rPr>
          <w:rFonts w:eastAsia="Times New Roman" w:cs="Times New Roman"/>
          <w:szCs w:val="24"/>
          <w:lang w:eastAsia="en-IN"/>
        </w:rPr>
        <w:t>Onifade, O., Ochuba, N.A., Eyeregba, M.E. and Ezeh, F.S., Systematic Review of Requirements Gathering and Budget Governance in Public Sector and Nonprofit Project Management.</w:t>
      </w:r>
      <w:r w:rsidRPr="00081B2B">
        <w:t xml:space="preserve"> </w:t>
      </w:r>
      <w:hyperlink w:history="1" r:id="rId27">
        <w:r w:rsidRPr="00081B2B">
          <w:rPr>
            <w:rStyle w:val="Hyperlink"/>
            <w:rFonts w:eastAsia="Times New Roman" w:cs="Times New Roman"/>
            <w:szCs w:val="24"/>
            <w:lang w:eastAsia="en-IN"/>
          </w:rPr>
          <w:t>https://www.researchgate.net/profile/Anfo-Pub-2/publication/392785919_Systematic_Review_of_Requirements_Gathering_and_Budget_Governance_in_Public_Sector_and_Nonprofit_Project_Management/links/6852be587869fe75c55a24f5/Systematic-Review-of-Requirements-Gathering-and-Budget-Governance-in-Public-Sector-and-Nonprofit-Project-Management.pdf</w:t>
        </w:r>
      </w:hyperlink>
    </w:p>
    <w:p w:rsidRPr="00081B2B" w:rsidR="00081B2B" w:rsidP="003B7F61" w:rsidRDefault="00081B2B" w14:paraId="7248A49A" w14:textId="77777777">
      <w:r w:rsidRPr="00081B2B">
        <w:t xml:space="preserve">Rigcert (2024) The Power-Interest grid: a tool for stakeholder identification and management. The Power-Interest grid: a tool for stakeholder identification and management - RIGCERT Education. Available at: </w:t>
      </w:r>
      <w:hyperlink w:history="1" r:id="rId28">
        <w:r w:rsidRPr="00081B2B">
          <w:rPr>
            <w:rStyle w:val="Hyperlink"/>
          </w:rPr>
          <w:t>https://rigcert.education/resources/power-interest-grid-for-stakeholder-identification-and-management</w:t>
        </w:r>
      </w:hyperlink>
      <w:r w:rsidRPr="00081B2B">
        <w:t xml:space="preserve"> (Accessed: 2 December 2025).</w:t>
      </w:r>
    </w:p>
    <w:p w:rsidRPr="00081B2B" w:rsidR="00081B2B" w:rsidP="003B7F61" w:rsidRDefault="00081B2B" w14:paraId="67DF9DA8" w14:textId="77777777">
      <w:r w:rsidRPr="00081B2B">
        <w:t xml:space="preserve">Suvvari, S.K. and Saxena, V.D., 2023. Stakeholder management in projects: Strategies for effective communication. Innovative Research Thoughts, 9(5), pp.188-201. </w:t>
      </w:r>
      <w:hyperlink w:history="1" r:id="rId29">
        <w:r w:rsidRPr="00081B2B">
          <w:rPr>
            <w:rStyle w:val="Hyperlink"/>
          </w:rPr>
          <w:t>https://www.researchgate.net/publication/383829650_Stakeholder_Management_in_Projects_Strategies_for_Effective_Communication</w:t>
        </w:r>
      </w:hyperlink>
      <w:r w:rsidRPr="00081B2B">
        <w:t xml:space="preserve"> </w:t>
      </w:r>
    </w:p>
    <w:p w:rsidRPr="00081B2B" w:rsidR="00081B2B" w:rsidP="003B7F61" w:rsidRDefault="00081B2B" w14:paraId="08B01DA9" w14:textId="77777777">
      <w:pPr>
        <w:rPr>
          <w:rFonts w:eastAsia="Times New Roman" w:cs="Times New Roman"/>
          <w:szCs w:val="24"/>
          <w:lang w:eastAsia="en-IN"/>
        </w:rPr>
      </w:pPr>
      <w:r w:rsidRPr="00081B2B">
        <w:rPr>
          <w:rFonts w:eastAsia="Times New Roman" w:cs="Times New Roman"/>
          <w:szCs w:val="24"/>
          <w:lang w:eastAsia="en-IN"/>
        </w:rPr>
        <w:t>Thomson, R., Lacey, A.J., Nasrawy, M., Boddy, J., Morrice, L. and Brannen, J., 2024. Scoping Longitudinal Qualitative Studies with Seldom-Heard Families.</w:t>
      </w:r>
      <w:r w:rsidRPr="00081B2B">
        <w:t xml:space="preserve"> </w:t>
      </w:r>
      <w:hyperlink w:history="1" r:id="rId30">
        <w:r w:rsidRPr="00081B2B">
          <w:rPr>
            <w:rStyle w:val="Hyperlink"/>
            <w:rFonts w:eastAsia="Times New Roman" w:cs="Times New Roman"/>
            <w:szCs w:val="24"/>
            <w:lang w:eastAsia="en-IN"/>
          </w:rPr>
          <w:t>https://sussex.figshare.com/articles/report/Scoping_Longitudinal_Qualitative_Studies_with_Seldom-Heard_Families/25574778/1/files/46003431.pdf</w:t>
        </w:r>
      </w:hyperlink>
      <w:r w:rsidRPr="00081B2B">
        <w:rPr>
          <w:rFonts w:eastAsia="Times New Roman" w:cs="Times New Roman"/>
          <w:szCs w:val="24"/>
          <w:lang w:eastAsia="en-IN"/>
        </w:rPr>
        <w:t xml:space="preserve"> </w:t>
      </w:r>
    </w:p>
    <w:p w:rsidRPr="00081B2B" w:rsidR="00081B2B" w:rsidP="003B7F61" w:rsidRDefault="00081B2B" w14:paraId="676E97E3" w14:textId="77777777">
      <w:r w:rsidRPr="00081B2B">
        <w:t xml:space="preserve">van Dinter, M., Kools, M., Dane, G., Weijs-Perrée, M., Chamilothori, K., van Leeuwen, E., Borgers, A. and van den Berg, P., 2022. Urban green parks for long-term subjective well-being: empirical relationships between personal characteristics, park characteristics, park use, sense of place, and satisfaction with life in the Netherlands. Sustainability, 14(9), p.4911. </w:t>
      </w:r>
      <w:hyperlink w:history="1" r:id="rId31">
        <w:r w:rsidRPr="00081B2B">
          <w:rPr>
            <w:rStyle w:val="Hyperlink"/>
          </w:rPr>
          <w:t>https://edepot.wur.nl/570436</w:t>
        </w:r>
      </w:hyperlink>
      <w:r w:rsidRPr="00081B2B">
        <w:t xml:space="preserve"> </w:t>
      </w:r>
    </w:p>
    <w:p w:rsidRPr="00081B2B" w:rsidR="00081B2B" w:rsidP="003B7F61" w:rsidRDefault="00081B2B" w14:paraId="18C5C1D9" w14:textId="77777777">
      <w:r w:rsidRPr="00081B2B">
        <w:t xml:space="preserve">World Bank Group (2023). World Bank Document. Available at: </w:t>
      </w:r>
      <w:hyperlink w:history="1" r:id="rId32">
        <w:r w:rsidRPr="00081B2B">
          <w:rPr>
            <w:rStyle w:val="Hyperlink"/>
          </w:rPr>
          <w:t>https://documents1.worldbank.org/curated/en/099090723115518579/pdf/P1729450018b96030b4930665a79d9d3c1.pdf</w:t>
        </w:r>
      </w:hyperlink>
      <w:r w:rsidRPr="00081B2B">
        <w:t xml:space="preserve">  (Accessed: 2 December 2025).</w:t>
      </w:r>
    </w:p>
    <w:p w:rsidRPr="00081B2B" w:rsidR="00081B2B" w:rsidP="003B7F61" w:rsidRDefault="00081B2B" w14:paraId="75AA6843" w14:textId="77777777">
      <w:pPr>
        <w:rPr>
          <w:rFonts w:eastAsia="Times New Roman" w:cs="Times New Roman"/>
          <w:szCs w:val="24"/>
          <w:lang w:eastAsia="en-IN"/>
        </w:rPr>
      </w:pPr>
      <w:r w:rsidRPr="00081B2B">
        <w:rPr>
          <w:rFonts w:eastAsia="Times New Roman" w:cs="Times New Roman"/>
          <w:szCs w:val="24"/>
          <w:lang w:eastAsia="en-IN"/>
        </w:rPr>
        <w:t xml:space="preserve">Yang, S. and Kim, J.K., 2020. Statistical data integration in survey sampling: A review. Japanese Journal of Statistics and Data Science, 3(2), pp.625-650. </w:t>
      </w:r>
      <w:hyperlink w:history="1" r:id="rId33">
        <w:r w:rsidRPr="00081B2B">
          <w:rPr>
            <w:rStyle w:val="Hyperlink"/>
            <w:rFonts w:eastAsia="Times New Roman" w:cs="Times New Roman"/>
            <w:szCs w:val="24"/>
            <w:lang w:eastAsia="en-IN"/>
          </w:rPr>
          <w:t>https://link.springer.com/content/pdf/10.1007/s42081-020-00093-w.pdf</w:t>
        </w:r>
      </w:hyperlink>
      <w:r w:rsidRPr="00081B2B">
        <w:rPr>
          <w:rFonts w:eastAsia="Times New Roman" w:cs="Times New Roman"/>
          <w:szCs w:val="24"/>
          <w:lang w:eastAsia="en-IN"/>
        </w:rPr>
        <w:t xml:space="preserve"> </w:t>
      </w:r>
    </w:p>
    <w:p w:rsidRPr="00081B2B" w:rsidR="00081B2B" w:rsidP="003B7F61" w:rsidRDefault="00081B2B" w14:paraId="256EC8A7" w14:textId="77777777">
      <w:r w:rsidRPr="00081B2B">
        <w:t xml:space="preserve">Zhu, Q., Xi, J., Hu, X., Chong, H.Y., Zhou, Y. and Lyu, S., 2024. Stakeholder Mapping and Analysis of Off-Site Construction Projects: Utilizing a Power–Interest Matrix and the Fuzzy Logic Theory. Buildings, 14(9), p.2865. </w:t>
      </w:r>
      <w:hyperlink w:history="1" r:id="rId34">
        <w:r w:rsidRPr="00081B2B">
          <w:rPr>
            <w:rStyle w:val="Hyperlink"/>
          </w:rPr>
          <w:t xml:space="preserve">https://www.mdpi.com/2075-5309/14/9/2865 </w:t>
        </w:r>
      </w:hyperlink>
      <w:r w:rsidRPr="00081B2B">
        <w:t xml:space="preserve"> </w:t>
      </w:r>
    </w:p>
    <w:p w:rsidRPr="00081B2B" w:rsidR="00B078D6" w:rsidRDefault="00B078D6" w14:paraId="29FDBB3C" w14:textId="77777777"/>
    <w:sectPr w:rsidRPr="00081B2B" w:rsidR="00B078D6" w:rsidSect="0079159F">
      <w:footerReference w:type="default" r:id="rId3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6141E" w:rsidP="008D0657" w:rsidRDefault="00C6141E" w14:paraId="62750B2F" w14:textId="77777777">
      <w:pPr>
        <w:spacing w:after="0" w:line="240" w:lineRule="auto"/>
      </w:pPr>
      <w:r>
        <w:separator/>
      </w:r>
    </w:p>
  </w:endnote>
  <w:endnote w:type="continuationSeparator" w:id="0">
    <w:p w:rsidR="00C6141E" w:rsidP="008D0657" w:rsidRDefault="00C6141E" w14:paraId="534602A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180590"/>
      <w:docPartObj>
        <w:docPartGallery w:val="Page Numbers (Bottom of Page)"/>
        <w:docPartUnique/>
      </w:docPartObj>
    </w:sdtPr>
    <w:sdtEndPr>
      <w:rPr>
        <w:noProof/>
      </w:rPr>
    </w:sdtEndPr>
    <w:sdtContent>
      <w:p w:rsidR="000E2836" w:rsidRDefault="000E2836" w14:paraId="51CE4A8E" w14:textId="77777777">
        <w:pPr>
          <w:pStyle w:val="Footer"/>
          <w:jc w:val="right"/>
        </w:pPr>
        <w:r>
          <w:fldChar w:fldCharType="begin"/>
        </w:r>
        <w:r>
          <w:instrText xml:space="preserve"> PAGE   \* MERGEFORMAT </w:instrText>
        </w:r>
        <w:r>
          <w:fldChar w:fldCharType="separate"/>
        </w:r>
        <w:r w:rsidR="00A460D6">
          <w:rPr>
            <w:noProof/>
          </w:rPr>
          <w:t>1</w:t>
        </w:r>
        <w:r>
          <w:rPr>
            <w:noProof/>
          </w:rPr>
          <w:fldChar w:fldCharType="end"/>
        </w:r>
      </w:p>
    </w:sdtContent>
  </w:sdt>
  <w:p w:rsidR="000E2836" w:rsidRDefault="000E2836" w14:paraId="720F028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6141E" w:rsidP="008D0657" w:rsidRDefault="00C6141E" w14:paraId="772F9C55" w14:textId="77777777">
      <w:pPr>
        <w:spacing w:after="0" w:line="240" w:lineRule="auto"/>
      </w:pPr>
      <w:r>
        <w:separator/>
      </w:r>
    </w:p>
  </w:footnote>
  <w:footnote w:type="continuationSeparator" w:id="0">
    <w:p w:rsidR="00C6141E" w:rsidP="008D0657" w:rsidRDefault="00C6141E" w14:paraId="62D18A2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F7FE7"/>
    <w:multiLevelType w:val="hybridMultilevel"/>
    <w:tmpl w:val="4B56AFBC"/>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2664E5D"/>
    <w:multiLevelType w:val="hybridMultilevel"/>
    <w:tmpl w:val="0E90F6B4"/>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77A745A"/>
    <w:multiLevelType w:val="hybridMultilevel"/>
    <w:tmpl w:val="0282964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36F333E"/>
    <w:multiLevelType w:val="hybridMultilevel"/>
    <w:tmpl w:val="1C8EC8D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43D634B"/>
    <w:multiLevelType w:val="multilevel"/>
    <w:tmpl w:val="E5D601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642C2D54"/>
    <w:multiLevelType w:val="multilevel"/>
    <w:tmpl w:val="4C6889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5"/>
  </w:num>
  <w:num w:numId="2">
    <w:abstractNumId w:val="4"/>
  </w:num>
  <w:num w:numId="3">
    <w:abstractNumId w:val="3"/>
  </w:num>
  <w:num w:numId="4">
    <w:abstractNumId w:val="1"/>
  </w:num>
  <w:num w:numId="5">
    <w:abstractNumId w:val="0"/>
  </w:num>
  <w:num w:numId="6">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F1480"/>
    <w:rsid w:val="00043CA4"/>
    <w:rsid w:val="00081B2B"/>
    <w:rsid w:val="000E2836"/>
    <w:rsid w:val="000E4243"/>
    <w:rsid w:val="0016248B"/>
    <w:rsid w:val="00184AF7"/>
    <w:rsid w:val="001A18B5"/>
    <w:rsid w:val="00202F84"/>
    <w:rsid w:val="002D382D"/>
    <w:rsid w:val="00310368"/>
    <w:rsid w:val="00362FBE"/>
    <w:rsid w:val="0037592D"/>
    <w:rsid w:val="003B7F61"/>
    <w:rsid w:val="00464919"/>
    <w:rsid w:val="00540189"/>
    <w:rsid w:val="005665CD"/>
    <w:rsid w:val="00574D13"/>
    <w:rsid w:val="005A613B"/>
    <w:rsid w:val="005D1A57"/>
    <w:rsid w:val="005F1480"/>
    <w:rsid w:val="00680CDF"/>
    <w:rsid w:val="00716C28"/>
    <w:rsid w:val="0079159F"/>
    <w:rsid w:val="007E5BC1"/>
    <w:rsid w:val="00867E03"/>
    <w:rsid w:val="008D0657"/>
    <w:rsid w:val="008D4427"/>
    <w:rsid w:val="00926326"/>
    <w:rsid w:val="009B3A69"/>
    <w:rsid w:val="009F436B"/>
    <w:rsid w:val="00A06F53"/>
    <w:rsid w:val="00A460D6"/>
    <w:rsid w:val="00AE3755"/>
    <w:rsid w:val="00B00F95"/>
    <w:rsid w:val="00B078D6"/>
    <w:rsid w:val="00C17DA5"/>
    <w:rsid w:val="00C56FCC"/>
    <w:rsid w:val="00C6141E"/>
    <w:rsid w:val="00D8236D"/>
    <w:rsid w:val="00D94222"/>
    <w:rsid w:val="00ED3E71"/>
    <w:rsid w:val="00ED431C"/>
    <w:rsid w:val="00F33237"/>
    <w:rsid w:val="00F90364"/>
    <w:rsid w:val="2AB5D035"/>
    <w:rsid w:val="576846B1"/>
    <w:rsid w:val="5A60E79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6065A4"/>
  <w15:docId w15:val="{AB40AC21-D713-4282-84C7-FE55FE860D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A613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D382D"/>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2D382D"/>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5A613B"/>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90364"/>
    <w:pPr>
      <w:keepNext/>
      <w:keepLines/>
      <w:spacing w:before="200" w:after="0"/>
      <w:outlineLvl w:val="3"/>
    </w:pPr>
    <w:rPr>
      <w:rFonts w:asciiTheme="majorHAnsi" w:hAnsiTheme="majorHAnsi" w:eastAsiaTheme="majorEastAsia" w:cstheme="majorBidi"/>
      <w:b/>
      <w:bCs/>
      <w:i/>
      <w:iCs/>
      <w:color w:val="4F81BD" w:themeColor="accen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5F1480"/>
    <w:pPr>
      <w:spacing w:before="100" w:beforeAutospacing="1" w:after="100" w:afterAutospacing="1" w:line="240" w:lineRule="auto"/>
    </w:pPr>
    <w:rPr>
      <w:rFonts w:eastAsia="Times New Roman" w:cs="Times New Roman"/>
      <w:szCs w:val="24"/>
      <w:lang w:eastAsia="en-IN"/>
    </w:rPr>
  </w:style>
  <w:style w:type="character" w:styleId="Heading1Char" w:customStyle="1">
    <w:name w:val="Heading 1 Char"/>
    <w:basedOn w:val="DefaultParagraphFont"/>
    <w:link w:val="Heading1"/>
    <w:uiPriority w:val="9"/>
    <w:rsid w:val="002D382D"/>
    <w:rPr>
      <w:rFonts w:ascii="Times New Roman" w:hAnsi="Times New Roman" w:eastAsiaTheme="majorEastAsia" w:cstheme="majorBidi"/>
      <w:b/>
      <w:bCs/>
      <w:sz w:val="24"/>
      <w:szCs w:val="28"/>
    </w:rPr>
  </w:style>
  <w:style w:type="character" w:styleId="ms-1" w:customStyle="1">
    <w:name w:val="ms-1"/>
    <w:basedOn w:val="DefaultParagraphFont"/>
    <w:rsid w:val="00F90364"/>
  </w:style>
  <w:style w:type="character" w:styleId="max-w-15ch" w:customStyle="1">
    <w:name w:val="max-w-[15ch]"/>
    <w:basedOn w:val="DefaultParagraphFont"/>
    <w:rsid w:val="00F90364"/>
  </w:style>
  <w:style w:type="character" w:styleId="-me-1" w:customStyle="1">
    <w:name w:val="-me-1"/>
    <w:basedOn w:val="DefaultParagraphFont"/>
    <w:rsid w:val="00F90364"/>
  </w:style>
  <w:style w:type="character" w:styleId="Heading4Char" w:customStyle="1">
    <w:name w:val="Heading 4 Char"/>
    <w:basedOn w:val="DefaultParagraphFont"/>
    <w:link w:val="Heading4"/>
    <w:uiPriority w:val="9"/>
    <w:semiHidden/>
    <w:rsid w:val="00F90364"/>
    <w:rPr>
      <w:rFonts w:asciiTheme="majorHAnsi" w:hAnsiTheme="majorHAnsi" w:eastAsiaTheme="majorEastAsia" w:cstheme="majorBidi"/>
      <w:b/>
      <w:bCs/>
      <w:i/>
      <w:iCs/>
      <w:color w:val="4F81BD" w:themeColor="accent1"/>
    </w:rPr>
  </w:style>
  <w:style w:type="character" w:styleId="Hyperlink">
    <w:name w:val="Hyperlink"/>
    <w:basedOn w:val="DefaultParagraphFont"/>
    <w:uiPriority w:val="99"/>
    <w:unhideWhenUsed/>
    <w:rsid w:val="00F90364"/>
    <w:rPr>
      <w:color w:val="0000FF" w:themeColor="hyperlink"/>
      <w:u w:val="single"/>
    </w:rPr>
  </w:style>
  <w:style w:type="paragraph" w:styleId="BalloonText">
    <w:name w:val="Balloon Text"/>
    <w:basedOn w:val="Normal"/>
    <w:link w:val="BalloonTextChar"/>
    <w:uiPriority w:val="99"/>
    <w:semiHidden/>
    <w:unhideWhenUsed/>
    <w:rsid w:val="00B078D6"/>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B078D6"/>
    <w:rPr>
      <w:rFonts w:ascii="Tahoma" w:hAnsi="Tahoma" w:cs="Tahoma"/>
      <w:sz w:val="16"/>
      <w:szCs w:val="16"/>
    </w:rPr>
  </w:style>
  <w:style w:type="character" w:styleId="Heading3Char" w:customStyle="1">
    <w:name w:val="Heading 3 Char"/>
    <w:basedOn w:val="DefaultParagraphFont"/>
    <w:link w:val="Heading3"/>
    <w:uiPriority w:val="9"/>
    <w:rsid w:val="005A613B"/>
    <w:rPr>
      <w:rFonts w:asciiTheme="majorHAnsi" w:hAnsiTheme="majorHAnsi" w:eastAsiaTheme="majorEastAsia" w:cstheme="majorBidi"/>
      <w:b/>
      <w:bCs/>
      <w:color w:val="4F81BD" w:themeColor="accent1"/>
      <w:sz w:val="24"/>
    </w:rPr>
  </w:style>
  <w:style w:type="character" w:styleId="Strong">
    <w:name w:val="Strong"/>
    <w:basedOn w:val="DefaultParagraphFont"/>
    <w:uiPriority w:val="22"/>
    <w:qFormat/>
    <w:rsid w:val="005A613B"/>
    <w:rPr>
      <w:b/>
      <w:bCs/>
    </w:rPr>
  </w:style>
  <w:style w:type="character" w:styleId="Heading2Char" w:customStyle="1">
    <w:name w:val="Heading 2 Char"/>
    <w:basedOn w:val="DefaultParagraphFont"/>
    <w:link w:val="Heading2"/>
    <w:uiPriority w:val="9"/>
    <w:rsid w:val="002D382D"/>
    <w:rPr>
      <w:rFonts w:ascii="Times New Roman" w:hAnsi="Times New Roman" w:eastAsiaTheme="majorEastAsia" w:cstheme="majorBidi"/>
      <w:b/>
      <w:bCs/>
      <w:sz w:val="24"/>
      <w:szCs w:val="26"/>
    </w:rPr>
  </w:style>
  <w:style w:type="table" w:styleId="TableGrid">
    <w:name w:val="Table Grid"/>
    <w:basedOn w:val="TableNormal"/>
    <w:uiPriority w:val="59"/>
    <w:rsid w:val="005A613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926326"/>
    <w:pPr>
      <w:ind w:left="720"/>
      <w:contextualSpacing/>
    </w:pPr>
  </w:style>
  <w:style w:type="paragraph" w:styleId="TOCHeading">
    <w:name w:val="TOC Heading"/>
    <w:basedOn w:val="Heading1"/>
    <w:next w:val="Normal"/>
    <w:uiPriority w:val="39"/>
    <w:semiHidden/>
    <w:unhideWhenUsed/>
    <w:qFormat/>
    <w:rsid w:val="008D0657"/>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8D0657"/>
    <w:pPr>
      <w:spacing w:after="100"/>
    </w:pPr>
  </w:style>
  <w:style w:type="paragraph" w:styleId="TOC2">
    <w:name w:val="toc 2"/>
    <w:basedOn w:val="Normal"/>
    <w:next w:val="Normal"/>
    <w:autoRedefine/>
    <w:uiPriority w:val="39"/>
    <w:unhideWhenUsed/>
    <w:rsid w:val="008D0657"/>
    <w:pPr>
      <w:spacing w:after="100"/>
      <w:ind w:left="240"/>
    </w:pPr>
  </w:style>
  <w:style w:type="paragraph" w:styleId="Header">
    <w:name w:val="header"/>
    <w:basedOn w:val="Normal"/>
    <w:link w:val="HeaderChar"/>
    <w:uiPriority w:val="99"/>
    <w:unhideWhenUsed/>
    <w:rsid w:val="008D0657"/>
    <w:pPr>
      <w:tabs>
        <w:tab w:val="center" w:pos="4513"/>
        <w:tab w:val="right" w:pos="9026"/>
      </w:tabs>
      <w:spacing w:after="0" w:line="240" w:lineRule="auto"/>
    </w:pPr>
  </w:style>
  <w:style w:type="character" w:styleId="HeaderChar" w:customStyle="1">
    <w:name w:val="Header Char"/>
    <w:basedOn w:val="DefaultParagraphFont"/>
    <w:link w:val="Header"/>
    <w:uiPriority w:val="99"/>
    <w:rsid w:val="008D0657"/>
    <w:rPr>
      <w:rFonts w:ascii="Times New Roman" w:hAnsi="Times New Roman"/>
      <w:sz w:val="24"/>
    </w:rPr>
  </w:style>
  <w:style w:type="paragraph" w:styleId="Footer">
    <w:name w:val="footer"/>
    <w:basedOn w:val="Normal"/>
    <w:link w:val="FooterChar"/>
    <w:uiPriority w:val="99"/>
    <w:unhideWhenUsed/>
    <w:rsid w:val="008D0657"/>
    <w:pPr>
      <w:tabs>
        <w:tab w:val="center" w:pos="4513"/>
        <w:tab w:val="right" w:pos="9026"/>
      </w:tabs>
      <w:spacing w:after="0" w:line="240" w:lineRule="auto"/>
    </w:pPr>
  </w:style>
  <w:style w:type="character" w:styleId="FooterChar" w:customStyle="1">
    <w:name w:val="Footer Char"/>
    <w:basedOn w:val="DefaultParagraphFont"/>
    <w:link w:val="Footer"/>
    <w:uiPriority w:val="99"/>
    <w:rsid w:val="008D065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44390">
      <w:bodyDiv w:val="1"/>
      <w:marLeft w:val="0"/>
      <w:marRight w:val="0"/>
      <w:marTop w:val="0"/>
      <w:marBottom w:val="0"/>
      <w:divBdr>
        <w:top w:val="none" w:sz="0" w:space="0" w:color="auto"/>
        <w:left w:val="none" w:sz="0" w:space="0" w:color="auto"/>
        <w:bottom w:val="none" w:sz="0" w:space="0" w:color="auto"/>
        <w:right w:val="none" w:sz="0" w:space="0" w:color="auto"/>
      </w:divBdr>
    </w:div>
    <w:div w:id="78142059">
      <w:bodyDiv w:val="1"/>
      <w:marLeft w:val="0"/>
      <w:marRight w:val="0"/>
      <w:marTop w:val="0"/>
      <w:marBottom w:val="0"/>
      <w:divBdr>
        <w:top w:val="none" w:sz="0" w:space="0" w:color="auto"/>
        <w:left w:val="none" w:sz="0" w:space="0" w:color="auto"/>
        <w:bottom w:val="none" w:sz="0" w:space="0" w:color="auto"/>
        <w:right w:val="none" w:sz="0" w:space="0" w:color="auto"/>
      </w:divBdr>
    </w:div>
    <w:div w:id="93913415">
      <w:bodyDiv w:val="1"/>
      <w:marLeft w:val="0"/>
      <w:marRight w:val="0"/>
      <w:marTop w:val="0"/>
      <w:marBottom w:val="0"/>
      <w:divBdr>
        <w:top w:val="none" w:sz="0" w:space="0" w:color="auto"/>
        <w:left w:val="none" w:sz="0" w:space="0" w:color="auto"/>
        <w:bottom w:val="none" w:sz="0" w:space="0" w:color="auto"/>
        <w:right w:val="none" w:sz="0" w:space="0" w:color="auto"/>
      </w:divBdr>
    </w:div>
    <w:div w:id="136194731">
      <w:bodyDiv w:val="1"/>
      <w:marLeft w:val="0"/>
      <w:marRight w:val="0"/>
      <w:marTop w:val="0"/>
      <w:marBottom w:val="0"/>
      <w:divBdr>
        <w:top w:val="none" w:sz="0" w:space="0" w:color="auto"/>
        <w:left w:val="none" w:sz="0" w:space="0" w:color="auto"/>
        <w:bottom w:val="none" w:sz="0" w:space="0" w:color="auto"/>
        <w:right w:val="none" w:sz="0" w:space="0" w:color="auto"/>
      </w:divBdr>
    </w:div>
    <w:div w:id="151724523">
      <w:bodyDiv w:val="1"/>
      <w:marLeft w:val="0"/>
      <w:marRight w:val="0"/>
      <w:marTop w:val="0"/>
      <w:marBottom w:val="0"/>
      <w:divBdr>
        <w:top w:val="none" w:sz="0" w:space="0" w:color="auto"/>
        <w:left w:val="none" w:sz="0" w:space="0" w:color="auto"/>
        <w:bottom w:val="none" w:sz="0" w:space="0" w:color="auto"/>
        <w:right w:val="none" w:sz="0" w:space="0" w:color="auto"/>
      </w:divBdr>
    </w:div>
    <w:div w:id="212741264">
      <w:bodyDiv w:val="1"/>
      <w:marLeft w:val="0"/>
      <w:marRight w:val="0"/>
      <w:marTop w:val="0"/>
      <w:marBottom w:val="0"/>
      <w:divBdr>
        <w:top w:val="none" w:sz="0" w:space="0" w:color="auto"/>
        <w:left w:val="none" w:sz="0" w:space="0" w:color="auto"/>
        <w:bottom w:val="none" w:sz="0" w:space="0" w:color="auto"/>
        <w:right w:val="none" w:sz="0" w:space="0" w:color="auto"/>
      </w:divBdr>
    </w:div>
    <w:div w:id="372310153">
      <w:bodyDiv w:val="1"/>
      <w:marLeft w:val="0"/>
      <w:marRight w:val="0"/>
      <w:marTop w:val="0"/>
      <w:marBottom w:val="0"/>
      <w:divBdr>
        <w:top w:val="none" w:sz="0" w:space="0" w:color="auto"/>
        <w:left w:val="none" w:sz="0" w:space="0" w:color="auto"/>
        <w:bottom w:val="none" w:sz="0" w:space="0" w:color="auto"/>
        <w:right w:val="none" w:sz="0" w:space="0" w:color="auto"/>
      </w:divBdr>
    </w:div>
    <w:div w:id="396325394">
      <w:bodyDiv w:val="1"/>
      <w:marLeft w:val="0"/>
      <w:marRight w:val="0"/>
      <w:marTop w:val="0"/>
      <w:marBottom w:val="0"/>
      <w:divBdr>
        <w:top w:val="none" w:sz="0" w:space="0" w:color="auto"/>
        <w:left w:val="none" w:sz="0" w:space="0" w:color="auto"/>
        <w:bottom w:val="none" w:sz="0" w:space="0" w:color="auto"/>
        <w:right w:val="none" w:sz="0" w:space="0" w:color="auto"/>
      </w:divBdr>
    </w:div>
    <w:div w:id="427388654">
      <w:bodyDiv w:val="1"/>
      <w:marLeft w:val="0"/>
      <w:marRight w:val="0"/>
      <w:marTop w:val="0"/>
      <w:marBottom w:val="0"/>
      <w:divBdr>
        <w:top w:val="none" w:sz="0" w:space="0" w:color="auto"/>
        <w:left w:val="none" w:sz="0" w:space="0" w:color="auto"/>
        <w:bottom w:val="none" w:sz="0" w:space="0" w:color="auto"/>
        <w:right w:val="none" w:sz="0" w:space="0" w:color="auto"/>
      </w:divBdr>
      <w:divsChild>
        <w:div w:id="849562843">
          <w:marLeft w:val="0"/>
          <w:marRight w:val="0"/>
          <w:marTop w:val="0"/>
          <w:marBottom w:val="0"/>
          <w:divBdr>
            <w:top w:val="none" w:sz="0" w:space="0" w:color="auto"/>
            <w:left w:val="none" w:sz="0" w:space="0" w:color="auto"/>
            <w:bottom w:val="none" w:sz="0" w:space="0" w:color="auto"/>
            <w:right w:val="none" w:sz="0" w:space="0" w:color="auto"/>
          </w:divBdr>
          <w:divsChild>
            <w:div w:id="1277715694">
              <w:marLeft w:val="0"/>
              <w:marRight w:val="0"/>
              <w:marTop w:val="0"/>
              <w:marBottom w:val="0"/>
              <w:divBdr>
                <w:top w:val="none" w:sz="0" w:space="0" w:color="auto"/>
                <w:left w:val="none" w:sz="0" w:space="0" w:color="auto"/>
                <w:bottom w:val="none" w:sz="0" w:space="0" w:color="auto"/>
                <w:right w:val="none" w:sz="0" w:space="0" w:color="auto"/>
              </w:divBdr>
              <w:divsChild>
                <w:div w:id="1104879380">
                  <w:marLeft w:val="0"/>
                  <w:marRight w:val="0"/>
                  <w:marTop w:val="0"/>
                  <w:marBottom w:val="0"/>
                  <w:divBdr>
                    <w:top w:val="none" w:sz="0" w:space="0" w:color="auto"/>
                    <w:left w:val="none" w:sz="0" w:space="0" w:color="auto"/>
                    <w:bottom w:val="none" w:sz="0" w:space="0" w:color="auto"/>
                    <w:right w:val="none" w:sz="0" w:space="0" w:color="auto"/>
                  </w:divBdr>
                  <w:divsChild>
                    <w:div w:id="1452474670">
                      <w:marLeft w:val="0"/>
                      <w:marRight w:val="0"/>
                      <w:marTop w:val="0"/>
                      <w:marBottom w:val="0"/>
                      <w:divBdr>
                        <w:top w:val="none" w:sz="0" w:space="0" w:color="auto"/>
                        <w:left w:val="none" w:sz="0" w:space="0" w:color="auto"/>
                        <w:bottom w:val="none" w:sz="0" w:space="0" w:color="auto"/>
                        <w:right w:val="none" w:sz="0" w:space="0" w:color="auto"/>
                      </w:divBdr>
                      <w:divsChild>
                        <w:div w:id="1332484624">
                          <w:marLeft w:val="0"/>
                          <w:marRight w:val="0"/>
                          <w:marTop w:val="0"/>
                          <w:marBottom w:val="0"/>
                          <w:divBdr>
                            <w:top w:val="none" w:sz="0" w:space="0" w:color="auto"/>
                            <w:left w:val="none" w:sz="0" w:space="0" w:color="auto"/>
                            <w:bottom w:val="none" w:sz="0" w:space="0" w:color="auto"/>
                            <w:right w:val="none" w:sz="0" w:space="0" w:color="auto"/>
                          </w:divBdr>
                          <w:divsChild>
                            <w:div w:id="81266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9931468">
      <w:bodyDiv w:val="1"/>
      <w:marLeft w:val="0"/>
      <w:marRight w:val="0"/>
      <w:marTop w:val="0"/>
      <w:marBottom w:val="0"/>
      <w:divBdr>
        <w:top w:val="none" w:sz="0" w:space="0" w:color="auto"/>
        <w:left w:val="none" w:sz="0" w:space="0" w:color="auto"/>
        <w:bottom w:val="none" w:sz="0" w:space="0" w:color="auto"/>
        <w:right w:val="none" w:sz="0" w:space="0" w:color="auto"/>
      </w:divBdr>
    </w:div>
    <w:div w:id="437798291">
      <w:bodyDiv w:val="1"/>
      <w:marLeft w:val="0"/>
      <w:marRight w:val="0"/>
      <w:marTop w:val="0"/>
      <w:marBottom w:val="0"/>
      <w:divBdr>
        <w:top w:val="none" w:sz="0" w:space="0" w:color="auto"/>
        <w:left w:val="none" w:sz="0" w:space="0" w:color="auto"/>
        <w:bottom w:val="none" w:sz="0" w:space="0" w:color="auto"/>
        <w:right w:val="none" w:sz="0" w:space="0" w:color="auto"/>
      </w:divBdr>
      <w:divsChild>
        <w:div w:id="311297255">
          <w:marLeft w:val="0"/>
          <w:marRight w:val="0"/>
          <w:marTop w:val="0"/>
          <w:marBottom w:val="0"/>
          <w:divBdr>
            <w:top w:val="none" w:sz="0" w:space="0" w:color="auto"/>
            <w:left w:val="none" w:sz="0" w:space="0" w:color="auto"/>
            <w:bottom w:val="none" w:sz="0" w:space="0" w:color="auto"/>
            <w:right w:val="none" w:sz="0" w:space="0" w:color="auto"/>
          </w:divBdr>
          <w:divsChild>
            <w:div w:id="1153332946">
              <w:marLeft w:val="0"/>
              <w:marRight w:val="0"/>
              <w:marTop w:val="0"/>
              <w:marBottom w:val="0"/>
              <w:divBdr>
                <w:top w:val="none" w:sz="0" w:space="0" w:color="auto"/>
                <w:left w:val="none" w:sz="0" w:space="0" w:color="auto"/>
                <w:bottom w:val="none" w:sz="0" w:space="0" w:color="auto"/>
                <w:right w:val="none" w:sz="0" w:space="0" w:color="auto"/>
              </w:divBdr>
              <w:divsChild>
                <w:div w:id="1118915861">
                  <w:marLeft w:val="0"/>
                  <w:marRight w:val="0"/>
                  <w:marTop w:val="0"/>
                  <w:marBottom w:val="0"/>
                  <w:divBdr>
                    <w:top w:val="none" w:sz="0" w:space="0" w:color="auto"/>
                    <w:left w:val="none" w:sz="0" w:space="0" w:color="auto"/>
                    <w:bottom w:val="none" w:sz="0" w:space="0" w:color="auto"/>
                    <w:right w:val="none" w:sz="0" w:space="0" w:color="auto"/>
                  </w:divBdr>
                  <w:divsChild>
                    <w:div w:id="118570460">
                      <w:marLeft w:val="0"/>
                      <w:marRight w:val="0"/>
                      <w:marTop w:val="0"/>
                      <w:marBottom w:val="0"/>
                      <w:divBdr>
                        <w:top w:val="none" w:sz="0" w:space="0" w:color="auto"/>
                        <w:left w:val="none" w:sz="0" w:space="0" w:color="auto"/>
                        <w:bottom w:val="none" w:sz="0" w:space="0" w:color="auto"/>
                        <w:right w:val="none" w:sz="0" w:space="0" w:color="auto"/>
                      </w:divBdr>
                      <w:divsChild>
                        <w:div w:id="1358000496">
                          <w:marLeft w:val="0"/>
                          <w:marRight w:val="0"/>
                          <w:marTop w:val="0"/>
                          <w:marBottom w:val="0"/>
                          <w:divBdr>
                            <w:top w:val="none" w:sz="0" w:space="0" w:color="auto"/>
                            <w:left w:val="none" w:sz="0" w:space="0" w:color="auto"/>
                            <w:bottom w:val="none" w:sz="0" w:space="0" w:color="auto"/>
                            <w:right w:val="none" w:sz="0" w:space="0" w:color="auto"/>
                          </w:divBdr>
                          <w:divsChild>
                            <w:div w:id="980230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8280904">
      <w:bodyDiv w:val="1"/>
      <w:marLeft w:val="0"/>
      <w:marRight w:val="0"/>
      <w:marTop w:val="0"/>
      <w:marBottom w:val="0"/>
      <w:divBdr>
        <w:top w:val="none" w:sz="0" w:space="0" w:color="auto"/>
        <w:left w:val="none" w:sz="0" w:space="0" w:color="auto"/>
        <w:bottom w:val="none" w:sz="0" w:space="0" w:color="auto"/>
        <w:right w:val="none" w:sz="0" w:space="0" w:color="auto"/>
      </w:divBdr>
      <w:divsChild>
        <w:div w:id="1559970157">
          <w:marLeft w:val="0"/>
          <w:marRight w:val="0"/>
          <w:marTop w:val="0"/>
          <w:marBottom w:val="0"/>
          <w:divBdr>
            <w:top w:val="none" w:sz="0" w:space="0" w:color="auto"/>
            <w:left w:val="none" w:sz="0" w:space="0" w:color="auto"/>
            <w:bottom w:val="none" w:sz="0" w:space="0" w:color="auto"/>
            <w:right w:val="none" w:sz="0" w:space="0" w:color="auto"/>
          </w:divBdr>
          <w:divsChild>
            <w:div w:id="1165438888">
              <w:marLeft w:val="0"/>
              <w:marRight w:val="0"/>
              <w:marTop w:val="0"/>
              <w:marBottom w:val="0"/>
              <w:divBdr>
                <w:top w:val="none" w:sz="0" w:space="0" w:color="auto"/>
                <w:left w:val="none" w:sz="0" w:space="0" w:color="auto"/>
                <w:bottom w:val="none" w:sz="0" w:space="0" w:color="auto"/>
                <w:right w:val="none" w:sz="0" w:space="0" w:color="auto"/>
              </w:divBdr>
              <w:divsChild>
                <w:div w:id="881556671">
                  <w:marLeft w:val="0"/>
                  <w:marRight w:val="0"/>
                  <w:marTop w:val="0"/>
                  <w:marBottom w:val="0"/>
                  <w:divBdr>
                    <w:top w:val="none" w:sz="0" w:space="0" w:color="auto"/>
                    <w:left w:val="none" w:sz="0" w:space="0" w:color="auto"/>
                    <w:bottom w:val="none" w:sz="0" w:space="0" w:color="auto"/>
                    <w:right w:val="none" w:sz="0" w:space="0" w:color="auto"/>
                  </w:divBdr>
                  <w:divsChild>
                    <w:div w:id="1414351291">
                      <w:marLeft w:val="0"/>
                      <w:marRight w:val="0"/>
                      <w:marTop w:val="0"/>
                      <w:marBottom w:val="0"/>
                      <w:divBdr>
                        <w:top w:val="none" w:sz="0" w:space="0" w:color="auto"/>
                        <w:left w:val="none" w:sz="0" w:space="0" w:color="auto"/>
                        <w:bottom w:val="none" w:sz="0" w:space="0" w:color="auto"/>
                        <w:right w:val="none" w:sz="0" w:space="0" w:color="auto"/>
                      </w:divBdr>
                      <w:divsChild>
                        <w:div w:id="222643033">
                          <w:marLeft w:val="0"/>
                          <w:marRight w:val="0"/>
                          <w:marTop w:val="0"/>
                          <w:marBottom w:val="0"/>
                          <w:divBdr>
                            <w:top w:val="none" w:sz="0" w:space="0" w:color="auto"/>
                            <w:left w:val="none" w:sz="0" w:space="0" w:color="auto"/>
                            <w:bottom w:val="none" w:sz="0" w:space="0" w:color="auto"/>
                            <w:right w:val="none" w:sz="0" w:space="0" w:color="auto"/>
                          </w:divBdr>
                          <w:divsChild>
                            <w:div w:id="1173643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0796443">
      <w:bodyDiv w:val="1"/>
      <w:marLeft w:val="0"/>
      <w:marRight w:val="0"/>
      <w:marTop w:val="0"/>
      <w:marBottom w:val="0"/>
      <w:divBdr>
        <w:top w:val="none" w:sz="0" w:space="0" w:color="auto"/>
        <w:left w:val="none" w:sz="0" w:space="0" w:color="auto"/>
        <w:bottom w:val="none" w:sz="0" w:space="0" w:color="auto"/>
        <w:right w:val="none" w:sz="0" w:space="0" w:color="auto"/>
      </w:divBdr>
    </w:div>
    <w:div w:id="548031943">
      <w:bodyDiv w:val="1"/>
      <w:marLeft w:val="0"/>
      <w:marRight w:val="0"/>
      <w:marTop w:val="0"/>
      <w:marBottom w:val="0"/>
      <w:divBdr>
        <w:top w:val="none" w:sz="0" w:space="0" w:color="auto"/>
        <w:left w:val="none" w:sz="0" w:space="0" w:color="auto"/>
        <w:bottom w:val="none" w:sz="0" w:space="0" w:color="auto"/>
        <w:right w:val="none" w:sz="0" w:space="0" w:color="auto"/>
      </w:divBdr>
      <w:divsChild>
        <w:div w:id="1841312002">
          <w:marLeft w:val="0"/>
          <w:marRight w:val="0"/>
          <w:marTop w:val="0"/>
          <w:marBottom w:val="0"/>
          <w:divBdr>
            <w:top w:val="none" w:sz="0" w:space="0" w:color="auto"/>
            <w:left w:val="none" w:sz="0" w:space="0" w:color="auto"/>
            <w:bottom w:val="none" w:sz="0" w:space="0" w:color="auto"/>
            <w:right w:val="none" w:sz="0" w:space="0" w:color="auto"/>
          </w:divBdr>
          <w:divsChild>
            <w:div w:id="1813406860">
              <w:marLeft w:val="0"/>
              <w:marRight w:val="0"/>
              <w:marTop w:val="0"/>
              <w:marBottom w:val="0"/>
              <w:divBdr>
                <w:top w:val="none" w:sz="0" w:space="0" w:color="auto"/>
                <w:left w:val="none" w:sz="0" w:space="0" w:color="auto"/>
                <w:bottom w:val="none" w:sz="0" w:space="0" w:color="auto"/>
                <w:right w:val="none" w:sz="0" w:space="0" w:color="auto"/>
              </w:divBdr>
              <w:divsChild>
                <w:div w:id="1661272777">
                  <w:marLeft w:val="0"/>
                  <w:marRight w:val="0"/>
                  <w:marTop w:val="0"/>
                  <w:marBottom w:val="0"/>
                  <w:divBdr>
                    <w:top w:val="none" w:sz="0" w:space="0" w:color="auto"/>
                    <w:left w:val="none" w:sz="0" w:space="0" w:color="auto"/>
                    <w:bottom w:val="none" w:sz="0" w:space="0" w:color="auto"/>
                    <w:right w:val="none" w:sz="0" w:space="0" w:color="auto"/>
                  </w:divBdr>
                  <w:divsChild>
                    <w:div w:id="1852528962">
                      <w:marLeft w:val="0"/>
                      <w:marRight w:val="0"/>
                      <w:marTop w:val="0"/>
                      <w:marBottom w:val="0"/>
                      <w:divBdr>
                        <w:top w:val="none" w:sz="0" w:space="0" w:color="auto"/>
                        <w:left w:val="none" w:sz="0" w:space="0" w:color="auto"/>
                        <w:bottom w:val="none" w:sz="0" w:space="0" w:color="auto"/>
                        <w:right w:val="none" w:sz="0" w:space="0" w:color="auto"/>
                      </w:divBdr>
                      <w:divsChild>
                        <w:div w:id="154148942">
                          <w:marLeft w:val="0"/>
                          <w:marRight w:val="0"/>
                          <w:marTop w:val="0"/>
                          <w:marBottom w:val="0"/>
                          <w:divBdr>
                            <w:top w:val="none" w:sz="0" w:space="0" w:color="auto"/>
                            <w:left w:val="none" w:sz="0" w:space="0" w:color="auto"/>
                            <w:bottom w:val="none" w:sz="0" w:space="0" w:color="auto"/>
                            <w:right w:val="none" w:sz="0" w:space="0" w:color="auto"/>
                          </w:divBdr>
                          <w:divsChild>
                            <w:div w:id="371197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6891808">
      <w:bodyDiv w:val="1"/>
      <w:marLeft w:val="0"/>
      <w:marRight w:val="0"/>
      <w:marTop w:val="0"/>
      <w:marBottom w:val="0"/>
      <w:divBdr>
        <w:top w:val="none" w:sz="0" w:space="0" w:color="auto"/>
        <w:left w:val="none" w:sz="0" w:space="0" w:color="auto"/>
        <w:bottom w:val="none" w:sz="0" w:space="0" w:color="auto"/>
        <w:right w:val="none" w:sz="0" w:space="0" w:color="auto"/>
      </w:divBdr>
    </w:div>
    <w:div w:id="674917980">
      <w:bodyDiv w:val="1"/>
      <w:marLeft w:val="0"/>
      <w:marRight w:val="0"/>
      <w:marTop w:val="0"/>
      <w:marBottom w:val="0"/>
      <w:divBdr>
        <w:top w:val="none" w:sz="0" w:space="0" w:color="auto"/>
        <w:left w:val="none" w:sz="0" w:space="0" w:color="auto"/>
        <w:bottom w:val="none" w:sz="0" w:space="0" w:color="auto"/>
        <w:right w:val="none" w:sz="0" w:space="0" w:color="auto"/>
      </w:divBdr>
      <w:divsChild>
        <w:div w:id="2026786392">
          <w:marLeft w:val="0"/>
          <w:marRight w:val="0"/>
          <w:marTop w:val="0"/>
          <w:marBottom w:val="0"/>
          <w:divBdr>
            <w:top w:val="none" w:sz="0" w:space="0" w:color="auto"/>
            <w:left w:val="none" w:sz="0" w:space="0" w:color="auto"/>
            <w:bottom w:val="none" w:sz="0" w:space="0" w:color="auto"/>
            <w:right w:val="none" w:sz="0" w:space="0" w:color="auto"/>
          </w:divBdr>
          <w:divsChild>
            <w:div w:id="1641956937">
              <w:marLeft w:val="0"/>
              <w:marRight w:val="0"/>
              <w:marTop w:val="0"/>
              <w:marBottom w:val="0"/>
              <w:divBdr>
                <w:top w:val="none" w:sz="0" w:space="0" w:color="auto"/>
                <w:left w:val="none" w:sz="0" w:space="0" w:color="auto"/>
                <w:bottom w:val="none" w:sz="0" w:space="0" w:color="auto"/>
                <w:right w:val="none" w:sz="0" w:space="0" w:color="auto"/>
              </w:divBdr>
              <w:divsChild>
                <w:div w:id="720440707">
                  <w:marLeft w:val="0"/>
                  <w:marRight w:val="0"/>
                  <w:marTop w:val="0"/>
                  <w:marBottom w:val="0"/>
                  <w:divBdr>
                    <w:top w:val="none" w:sz="0" w:space="0" w:color="auto"/>
                    <w:left w:val="none" w:sz="0" w:space="0" w:color="auto"/>
                    <w:bottom w:val="none" w:sz="0" w:space="0" w:color="auto"/>
                    <w:right w:val="none" w:sz="0" w:space="0" w:color="auto"/>
                  </w:divBdr>
                  <w:divsChild>
                    <w:div w:id="224604288">
                      <w:marLeft w:val="0"/>
                      <w:marRight w:val="0"/>
                      <w:marTop w:val="0"/>
                      <w:marBottom w:val="0"/>
                      <w:divBdr>
                        <w:top w:val="none" w:sz="0" w:space="0" w:color="auto"/>
                        <w:left w:val="none" w:sz="0" w:space="0" w:color="auto"/>
                        <w:bottom w:val="none" w:sz="0" w:space="0" w:color="auto"/>
                        <w:right w:val="none" w:sz="0" w:space="0" w:color="auto"/>
                      </w:divBdr>
                      <w:divsChild>
                        <w:div w:id="1370497147">
                          <w:marLeft w:val="0"/>
                          <w:marRight w:val="0"/>
                          <w:marTop w:val="0"/>
                          <w:marBottom w:val="0"/>
                          <w:divBdr>
                            <w:top w:val="none" w:sz="0" w:space="0" w:color="auto"/>
                            <w:left w:val="none" w:sz="0" w:space="0" w:color="auto"/>
                            <w:bottom w:val="none" w:sz="0" w:space="0" w:color="auto"/>
                            <w:right w:val="none" w:sz="0" w:space="0" w:color="auto"/>
                          </w:divBdr>
                          <w:divsChild>
                            <w:div w:id="1432821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3843789">
      <w:bodyDiv w:val="1"/>
      <w:marLeft w:val="0"/>
      <w:marRight w:val="0"/>
      <w:marTop w:val="0"/>
      <w:marBottom w:val="0"/>
      <w:divBdr>
        <w:top w:val="none" w:sz="0" w:space="0" w:color="auto"/>
        <w:left w:val="none" w:sz="0" w:space="0" w:color="auto"/>
        <w:bottom w:val="none" w:sz="0" w:space="0" w:color="auto"/>
        <w:right w:val="none" w:sz="0" w:space="0" w:color="auto"/>
      </w:divBdr>
    </w:div>
    <w:div w:id="850726669">
      <w:bodyDiv w:val="1"/>
      <w:marLeft w:val="0"/>
      <w:marRight w:val="0"/>
      <w:marTop w:val="0"/>
      <w:marBottom w:val="0"/>
      <w:divBdr>
        <w:top w:val="none" w:sz="0" w:space="0" w:color="auto"/>
        <w:left w:val="none" w:sz="0" w:space="0" w:color="auto"/>
        <w:bottom w:val="none" w:sz="0" w:space="0" w:color="auto"/>
        <w:right w:val="none" w:sz="0" w:space="0" w:color="auto"/>
      </w:divBdr>
    </w:div>
    <w:div w:id="863254620">
      <w:bodyDiv w:val="1"/>
      <w:marLeft w:val="0"/>
      <w:marRight w:val="0"/>
      <w:marTop w:val="0"/>
      <w:marBottom w:val="0"/>
      <w:divBdr>
        <w:top w:val="none" w:sz="0" w:space="0" w:color="auto"/>
        <w:left w:val="none" w:sz="0" w:space="0" w:color="auto"/>
        <w:bottom w:val="none" w:sz="0" w:space="0" w:color="auto"/>
        <w:right w:val="none" w:sz="0" w:space="0" w:color="auto"/>
      </w:divBdr>
    </w:div>
    <w:div w:id="873613945">
      <w:bodyDiv w:val="1"/>
      <w:marLeft w:val="0"/>
      <w:marRight w:val="0"/>
      <w:marTop w:val="0"/>
      <w:marBottom w:val="0"/>
      <w:divBdr>
        <w:top w:val="none" w:sz="0" w:space="0" w:color="auto"/>
        <w:left w:val="none" w:sz="0" w:space="0" w:color="auto"/>
        <w:bottom w:val="none" w:sz="0" w:space="0" w:color="auto"/>
        <w:right w:val="none" w:sz="0" w:space="0" w:color="auto"/>
      </w:divBdr>
    </w:div>
    <w:div w:id="1048644112">
      <w:bodyDiv w:val="1"/>
      <w:marLeft w:val="0"/>
      <w:marRight w:val="0"/>
      <w:marTop w:val="0"/>
      <w:marBottom w:val="0"/>
      <w:divBdr>
        <w:top w:val="none" w:sz="0" w:space="0" w:color="auto"/>
        <w:left w:val="none" w:sz="0" w:space="0" w:color="auto"/>
        <w:bottom w:val="none" w:sz="0" w:space="0" w:color="auto"/>
        <w:right w:val="none" w:sz="0" w:space="0" w:color="auto"/>
      </w:divBdr>
    </w:div>
    <w:div w:id="1150750413">
      <w:bodyDiv w:val="1"/>
      <w:marLeft w:val="0"/>
      <w:marRight w:val="0"/>
      <w:marTop w:val="0"/>
      <w:marBottom w:val="0"/>
      <w:divBdr>
        <w:top w:val="none" w:sz="0" w:space="0" w:color="auto"/>
        <w:left w:val="none" w:sz="0" w:space="0" w:color="auto"/>
        <w:bottom w:val="none" w:sz="0" w:space="0" w:color="auto"/>
        <w:right w:val="none" w:sz="0" w:space="0" w:color="auto"/>
      </w:divBdr>
      <w:divsChild>
        <w:div w:id="1766073158">
          <w:marLeft w:val="0"/>
          <w:marRight w:val="0"/>
          <w:marTop w:val="0"/>
          <w:marBottom w:val="0"/>
          <w:divBdr>
            <w:top w:val="none" w:sz="0" w:space="0" w:color="auto"/>
            <w:left w:val="none" w:sz="0" w:space="0" w:color="auto"/>
            <w:bottom w:val="none" w:sz="0" w:space="0" w:color="auto"/>
            <w:right w:val="none" w:sz="0" w:space="0" w:color="auto"/>
          </w:divBdr>
          <w:divsChild>
            <w:div w:id="1058868945">
              <w:marLeft w:val="0"/>
              <w:marRight w:val="0"/>
              <w:marTop w:val="0"/>
              <w:marBottom w:val="0"/>
              <w:divBdr>
                <w:top w:val="none" w:sz="0" w:space="0" w:color="auto"/>
                <w:left w:val="none" w:sz="0" w:space="0" w:color="auto"/>
                <w:bottom w:val="none" w:sz="0" w:space="0" w:color="auto"/>
                <w:right w:val="none" w:sz="0" w:space="0" w:color="auto"/>
              </w:divBdr>
              <w:divsChild>
                <w:div w:id="6057283">
                  <w:marLeft w:val="0"/>
                  <w:marRight w:val="0"/>
                  <w:marTop w:val="0"/>
                  <w:marBottom w:val="0"/>
                  <w:divBdr>
                    <w:top w:val="none" w:sz="0" w:space="0" w:color="auto"/>
                    <w:left w:val="none" w:sz="0" w:space="0" w:color="auto"/>
                    <w:bottom w:val="none" w:sz="0" w:space="0" w:color="auto"/>
                    <w:right w:val="none" w:sz="0" w:space="0" w:color="auto"/>
                  </w:divBdr>
                  <w:divsChild>
                    <w:div w:id="555164251">
                      <w:marLeft w:val="0"/>
                      <w:marRight w:val="0"/>
                      <w:marTop w:val="0"/>
                      <w:marBottom w:val="0"/>
                      <w:divBdr>
                        <w:top w:val="none" w:sz="0" w:space="0" w:color="auto"/>
                        <w:left w:val="none" w:sz="0" w:space="0" w:color="auto"/>
                        <w:bottom w:val="none" w:sz="0" w:space="0" w:color="auto"/>
                        <w:right w:val="none" w:sz="0" w:space="0" w:color="auto"/>
                      </w:divBdr>
                      <w:divsChild>
                        <w:div w:id="1524707579">
                          <w:marLeft w:val="0"/>
                          <w:marRight w:val="0"/>
                          <w:marTop w:val="0"/>
                          <w:marBottom w:val="0"/>
                          <w:divBdr>
                            <w:top w:val="none" w:sz="0" w:space="0" w:color="auto"/>
                            <w:left w:val="none" w:sz="0" w:space="0" w:color="auto"/>
                            <w:bottom w:val="none" w:sz="0" w:space="0" w:color="auto"/>
                            <w:right w:val="none" w:sz="0" w:space="0" w:color="auto"/>
                          </w:divBdr>
                          <w:divsChild>
                            <w:div w:id="2114543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76769293">
      <w:bodyDiv w:val="1"/>
      <w:marLeft w:val="0"/>
      <w:marRight w:val="0"/>
      <w:marTop w:val="0"/>
      <w:marBottom w:val="0"/>
      <w:divBdr>
        <w:top w:val="none" w:sz="0" w:space="0" w:color="auto"/>
        <w:left w:val="none" w:sz="0" w:space="0" w:color="auto"/>
        <w:bottom w:val="none" w:sz="0" w:space="0" w:color="auto"/>
        <w:right w:val="none" w:sz="0" w:space="0" w:color="auto"/>
      </w:divBdr>
      <w:divsChild>
        <w:div w:id="1979259728">
          <w:marLeft w:val="0"/>
          <w:marRight w:val="0"/>
          <w:marTop w:val="0"/>
          <w:marBottom w:val="0"/>
          <w:divBdr>
            <w:top w:val="none" w:sz="0" w:space="0" w:color="auto"/>
            <w:left w:val="none" w:sz="0" w:space="0" w:color="auto"/>
            <w:bottom w:val="none" w:sz="0" w:space="0" w:color="auto"/>
            <w:right w:val="none" w:sz="0" w:space="0" w:color="auto"/>
          </w:divBdr>
          <w:divsChild>
            <w:div w:id="1764107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936042">
      <w:bodyDiv w:val="1"/>
      <w:marLeft w:val="0"/>
      <w:marRight w:val="0"/>
      <w:marTop w:val="0"/>
      <w:marBottom w:val="0"/>
      <w:divBdr>
        <w:top w:val="none" w:sz="0" w:space="0" w:color="auto"/>
        <w:left w:val="none" w:sz="0" w:space="0" w:color="auto"/>
        <w:bottom w:val="none" w:sz="0" w:space="0" w:color="auto"/>
        <w:right w:val="none" w:sz="0" w:space="0" w:color="auto"/>
      </w:divBdr>
    </w:div>
    <w:div w:id="1229918392">
      <w:bodyDiv w:val="1"/>
      <w:marLeft w:val="0"/>
      <w:marRight w:val="0"/>
      <w:marTop w:val="0"/>
      <w:marBottom w:val="0"/>
      <w:divBdr>
        <w:top w:val="none" w:sz="0" w:space="0" w:color="auto"/>
        <w:left w:val="none" w:sz="0" w:space="0" w:color="auto"/>
        <w:bottom w:val="none" w:sz="0" w:space="0" w:color="auto"/>
        <w:right w:val="none" w:sz="0" w:space="0" w:color="auto"/>
      </w:divBdr>
    </w:div>
    <w:div w:id="1239554923">
      <w:bodyDiv w:val="1"/>
      <w:marLeft w:val="0"/>
      <w:marRight w:val="0"/>
      <w:marTop w:val="0"/>
      <w:marBottom w:val="0"/>
      <w:divBdr>
        <w:top w:val="none" w:sz="0" w:space="0" w:color="auto"/>
        <w:left w:val="none" w:sz="0" w:space="0" w:color="auto"/>
        <w:bottom w:val="none" w:sz="0" w:space="0" w:color="auto"/>
        <w:right w:val="none" w:sz="0" w:space="0" w:color="auto"/>
      </w:divBdr>
      <w:divsChild>
        <w:div w:id="1332296173">
          <w:marLeft w:val="0"/>
          <w:marRight w:val="0"/>
          <w:marTop w:val="0"/>
          <w:marBottom w:val="0"/>
          <w:divBdr>
            <w:top w:val="none" w:sz="0" w:space="0" w:color="auto"/>
            <w:left w:val="none" w:sz="0" w:space="0" w:color="auto"/>
            <w:bottom w:val="none" w:sz="0" w:space="0" w:color="auto"/>
            <w:right w:val="none" w:sz="0" w:space="0" w:color="auto"/>
          </w:divBdr>
          <w:divsChild>
            <w:div w:id="1968852342">
              <w:marLeft w:val="0"/>
              <w:marRight w:val="0"/>
              <w:marTop w:val="0"/>
              <w:marBottom w:val="0"/>
              <w:divBdr>
                <w:top w:val="none" w:sz="0" w:space="0" w:color="auto"/>
                <w:left w:val="none" w:sz="0" w:space="0" w:color="auto"/>
                <w:bottom w:val="none" w:sz="0" w:space="0" w:color="auto"/>
                <w:right w:val="none" w:sz="0" w:space="0" w:color="auto"/>
              </w:divBdr>
              <w:divsChild>
                <w:div w:id="236597982">
                  <w:marLeft w:val="0"/>
                  <w:marRight w:val="0"/>
                  <w:marTop w:val="0"/>
                  <w:marBottom w:val="0"/>
                  <w:divBdr>
                    <w:top w:val="none" w:sz="0" w:space="0" w:color="auto"/>
                    <w:left w:val="none" w:sz="0" w:space="0" w:color="auto"/>
                    <w:bottom w:val="none" w:sz="0" w:space="0" w:color="auto"/>
                    <w:right w:val="none" w:sz="0" w:space="0" w:color="auto"/>
                  </w:divBdr>
                  <w:divsChild>
                    <w:div w:id="1439643689">
                      <w:marLeft w:val="0"/>
                      <w:marRight w:val="0"/>
                      <w:marTop w:val="0"/>
                      <w:marBottom w:val="0"/>
                      <w:divBdr>
                        <w:top w:val="none" w:sz="0" w:space="0" w:color="auto"/>
                        <w:left w:val="none" w:sz="0" w:space="0" w:color="auto"/>
                        <w:bottom w:val="none" w:sz="0" w:space="0" w:color="auto"/>
                        <w:right w:val="none" w:sz="0" w:space="0" w:color="auto"/>
                      </w:divBdr>
                      <w:divsChild>
                        <w:div w:id="1652245941">
                          <w:marLeft w:val="0"/>
                          <w:marRight w:val="0"/>
                          <w:marTop w:val="0"/>
                          <w:marBottom w:val="0"/>
                          <w:divBdr>
                            <w:top w:val="none" w:sz="0" w:space="0" w:color="auto"/>
                            <w:left w:val="none" w:sz="0" w:space="0" w:color="auto"/>
                            <w:bottom w:val="none" w:sz="0" w:space="0" w:color="auto"/>
                            <w:right w:val="none" w:sz="0" w:space="0" w:color="auto"/>
                          </w:divBdr>
                          <w:divsChild>
                            <w:div w:id="1377730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4122389">
      <w:bodyDiv w:val="1"/>
      <w:marLeft w:val="0"/>
      <w:marRight w:val="0"/>
      <w:marTop w:val="0"/>
      <w:marBottom w:val="0"/>
      <w:divBdr>
        <w:top w:val="none" w:sz="0" w:space="0" w:color="auto"/>
        <w:left w:val="none" w:sz="0" w:space="0" w:color="auto"/>
        <w:bottom w:val="none" w:sz="0" w:space="0" w:color="auto"/>
        <w:right w:val="none" w:sz="0" w:space="0" w:color="auto"/>
      </w:divBdr>
    </w:div>
    <w:div w:id="1305620059">
      <w:bodyDiv w:val="1"/>
      <w:marLeft w:val="0"/>
      <w:marRight w:val="0"/>
      <w:marTop w:val="0"/>
      <w:marBottom w:val="0"/>
      <w:divBdr>
        <w:top w:val="none" w:sz="0" w:space="0" w:color="auto"/>
        <w:left w:val="none" w:sz="0" w:space="0" w:color="auto"/>
        <w:bottom w:val="none" w:sz="0" w:space="0" w:color="auto"/>
        <w:right w:val="none" w:sz="0" w:space="0" w:color="auto"/>
      </w:divBdr>
    </w:div>
    <w:div w:id="1362710687">
      <w:bodyDiv w:val="1"/>
      <w:marLeft w:val="0"/>
      <w:marRight w:val="0"/>
      <w:marTop w:val="0"/>
      <w:marBottom w:val="0"/>
      <w:divBdr>
        <w:top w:val="none" w:sz="0" w:space="0" w:color="auto"/>
        <w:left w:val="none" w:sz="0" w:space="0" w:color="auto"/>
        <w:bottom w:val="none" w:sz="0" w:space="0" w:color="auto"/>
        <w:right w:val="none" w:sz="0" w:space="0" w:color="auto"/>
      </w:divBdr>
    </w:div>
    <w:div w:id="1366364423">
      <w:bodyDiv w:val="1"/>
      <w:marLeft w:val="0"/>
      <w:marRight w:val="0"/>
      <w:marTop w:val="0"/>
      <w:marBottom w:val="0"/>
      <w:divBdr>
        <w:top w:val="none" w:sz="0" w:space="0" w:color="auto"/>
        <w:left w:val="none" w:sz="0" w:space="0" w:color="auto"/>
        <w:bottom w:val="none" w:sz="0" w:space="0" w:color="auto"/>
        <w:right w:val="none" w:sz="0" w:space="0" w:color="auto"/>
      </w:divBdr>
    </w:div>
    <w:div w:id="1378701483">
      <w:bodyDiv w:val="1"/>
      <w:marLeft w:val="0"/>
      <w:marRight w:val="0"/>
      <w:marTop w:val="0"/>
      <w:marBottom w:val="0"/>
      <w:divBdr>
        <w:top w:val="none" w:sz="0" w:space="0" w:color="auto"/>
        <w:left w:val="none" w:sz="0" w:space="0" w:color="auto"/>
        <w:bottom w:val="none" w:sz="0" w:space="0" w:color="auto"/>
        <w:right w:val="none" w:sz="0" w:space="0" w:color="auto"/>
      </w:divBdr>
    </w:div>
    <w:div w:id="1441027667">
      <w:bodyDiv w:val="1"/>
      <w:marLeft w:val="0"/>
      <w:marRight w:val="0"/>
      <w:marTop w:val="0"/>
      <w:marBottom w:val="0"/>
      <w:divBdr>
        <w:top w:val="none" w:sz="0" w:space="0" w:color="auto"/>
        <w:left w:val="none" w:sz="0" w:space="0" w:color="auto"/>
        <w:bottom w:val="none" w:sz="0" w:space="0" w:color="auto"/>
        <w:right w:val="none" w:sz="0" w:space="0" w:color="auto"/>
      </w:divBdr>
      <w:divsChild>
        <w:div w:id="195041894">
          <w:marLeft w:val="0"/>
          <w:marRight w:val="0"/>
          <w:marTop w:val="0"/>
          <w:marBottom w:val="0"/>
          <w:divBdr>
            <w:top w:val="none" w:sz="0" w:space="0" w:color="auto"/>
            <w:left w:val="none" w:sz="0" w:space="0" w:color="auto"/>
            <w:bottom w:val="none" w:sz="0" w:space="0" w:color="auto"/>
            <w:right w:val="none" w:sz="0" w:space="0" w:color="auto"/>
          </w:divBdr>
          <w:divsChild>
            <w:div w:id="543367844">
              <w:marLeft w:val="0"/>
              <w:marRight w:val="0"/>
              <w:marTop w:val="0"/>
              <w:marBottom w:val="0"/>
              <w:divBdr>
                <w:top w:val="none" w:sz="0" w:space="0" w:color="auto"/>
                <w:left w:val="none" w:sz="0" w:space="0" w:color="auto"/>
                <w:bottom w:val="none" w:sz="0" w:space="0" w:color="auto"/>
                <w:right w:val="none" w:sz="0" w:space="0" w:color="auto"/>
              </w:divBdr>
              <w:divsChild>
                <w:div w:id="180050137">
                  <w:marLeft w:val="0"/>
                  <w:marRight w:val="0"/>
                  <w:marTop w:val="0"/>
                  <w:marBottom w:val="0"/>
                  <w:divBdr>
                    <w:top w:val="none" w:sz="0" w:space="0" w:color="auto"/>
                    <w:left w:val="none" w:sz="0" w:space="0" w:color="auto"/>
                    <w:bottom w:val="none" w:sz="0" w:space="0" w:color="auto"/>
                    <w:right w:val="none" w:sz="0" w:space="0" w:color="auto"/>
                  </w:divBdr>
                  <w:divsChild>
                    <w:div w:id="2121945798">
                      <w:marLeft w:val="0"/>
                      <w:marRight w:val="0"/>
                      <w:marTop w:val="0"/>
                      <w:marBottom w:val="0"/>
                      <w:divBdr>
                        <w:top w:val="none" w:sz="0" w:space="0" w:color="auto"/>
                        <w:left w:val="none" w:sz="0" w:space="0" w:color="auto"/>
                        <w:bottom w:val="none" w:sz="0" w:space="0" w:color="auto"/>
                        <w:right w:val="none" w:sz="0" w:space="0" w:color="auto"/>
                      </w:divBdr>
                      <w:divsChild>
                        <w:div w:id="479813492">
                          <w:marLeft w:val="0"/>
                          <w:marRight w:val="0"/>
                          <w:marTop w:val="0"/>
                          <w:marBottom w:val="0"/>
                          <w:divBdr>
                            <w:top w:val="none" w:sz="0" w:space="0" w:color="auto"/>
                            <w:left w:val="none" w:sz="0" w:space="0" w:color="auto"/>
                            <w:bottom w:val="none" w:sz="0" w:space="0" w:color="auto"/>
                            <w:right w:val="none" w:sz="0" w:space="0" w:color="auto"/>
                          </w:divBdr>
                          <w:divsChild>
                            <w:div w:id="303321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8669897">
      <w:bodyDiv w:val="1"/>
      <w:marLeft w:val="0"/>
      <w:marRight w:val="0"/>
      <w:marTop w:val="0"/>
      <w:marBottom w:val="0"/>
      <w:divBdr>
        <w:top w:val="none" w:sz="0" w:space="0" w:color="auto"/>
        <w:left w:val="none" w:sz="0" w:space="0" w:color="auto"/>
        <w:bottom w:val="none" w:sz="0" w:space="0" w:color="auto"/>
        <w:right w:val="none" w:sz="0" w:space="0" w:color="auto"/>
      </w:divBdr>
    </w:div>
    <w:div w:id="1543981439">
      <w:bodyDiv w:val="1"/>
      <w:marLeft w:val="0"/>
      <w:marRight w:val="0"/>
      <w:marTop w:val="0"/>
      <w:marBottom w:val="0"/>
      <w:divBdr>
        <w:top w:val="none" w:sz="0" w:space="0" w:color="auto"/>
        <w:left w:val="none" w:sz="0" w:space="0" w:color="auto"/>
        <w:bottom w:val="none" w:sz="0" w:space="0" w:color="auto"/>
        <w:right w:val="none" w:sz="0" w:space="0" w:color="auto"/>
      </w:divBdr>
    </w:div>
    <w:div w:id="1564683879">
      <w:bodyDiv w:val="1"/>
      <w:marLeft w:val="0"/>
      <w:marRight w:val="0"/>
      <w:marTop w:val="0"/>
      <w:marBottom w:val="0"/>
      <w:divBdr>
        <w:top w:val="none" w:sz="0" w:space="0" w:color="auto"/>
        <w:left w:val="none" w:sz="0" w:space="0" w:color="auto"/>
        <w:bottom w:val="none" w:sz="0" w:space="0" w:color="auto"/>
        <w:right w:val="none" w:sz="0" w:space="0" w:color="auto"/>
      </w:divBdr>
    </w:div>
    <w:div w:id="1566992283">
      <w:bodyDiv w:val="1"/>
      <w:marLeft w:val="0"/>
      <w:marRight w:val="0"/>
      <w:marTop w:val="0"/>
      <w:marBottom w:val="0"/>
      <w:divBdr>
        <w:top w:val="none" w:sz="0" w:space="0" w:color="auto"/>
        <w:left w:val="none" w:sz="0" w:space="0" w:color="auto"/>
        <w:bottom w:val="none" w:sz="0" w:space="0" w:color="auto"/>
        <w:right w:val="none" w:sz="0" w:space="0" w:color="auto"/>
      </w:divBdr>
    </w:div>
    <w:div w:id="1591353489">
      <w:bodyDiv w:val="1"/>
      <w:marLeft w:val="0"/>
      <w:marRight w:val="0"/>
      <w:marTop w:val="0"/>
      <w:marBottom w:val="0"/>
      <w:divBdr>
        <w:top w:val="none" w:sz="0" w:space="0" w:color="auto"/>
        <w:left w:val="none" w:sz="0" w:space="0" w:color="auto"/>
        <w:bottom w:val="none" w:sz="0" w:space="0" w:color="auto"/>
        <w:right w:val="none" w:sz="0" w:space="0" w:color="auto"/>
      </w:divBdr>
    </w:div>
    <w:div w:id="1621065354">
      <w:bodyDiv w:val="1"/>
      <w:marLeft w:val="0"/>
      <w:marRight w:val="0"/>
      <w:marTop w:val="0"/>
      <w:marBottom w:val="0"/>
      <w:divBdr>
        <w:top w:val="none" w:sz="0" w:space="0" w:color="auto"/>
        <w:left w:val="none" w:sz="0" w:space="0" w:color="auto"/>
        <w:bottom w:val="none" w:sz="0" w:space="0" w:color="auto"/>
        <w:right w:val="none" w:sz="0" w:space="0" w:color="auto"/>
      </w:divBdr>
    </w:div>
    <w:div w:id="1684935978">
      <w:bodyDiv w:val="1"/>
      <w:marLeft w:val="0"/>
      <w:marRight w:val="0"/>
      <w:marTop w:val="0"/>
      <w:marBottom w:val="0"/>
      <w:divBdr>
        <w:top w:val="none" w:sz="0" w:space="0" w:color="auto"/>
        <w:left w:val="none" w:sz="0" w:space="0" w:color="auto"/>
        <w:bottom w:val="none" w:sz="0" w:space="0" w:color="auto"/>
        <w:right w:val="none" w:sz="0" w:space="0" w:color="auto"/>
      </w:divBdr>
      <w:divsChild>
        <w:div w:id="1061172687">
          <w:marLeft w:val="0"/>
          <w:marRight w:val="0"/>
          <w:marTop w:val="0"/>
          <w:marBottom w:val="0"/>
          <w:divBdr>
            <w:top w:val="none" w:sz="0" w:space="0" w:color="auto"/>
            <w:left w:val="none" w:sz="0" w:space="0" w:color="auto"/>
            <w:bottom w:val="none" w:sz="0" w:space="0" w:color="auto"/>
            <w:right w:val="none" w:sz="0" w:space="0" w:color="auto"/>
          </w:divBdr>
          <w:divsChild>
            <w:div w:id="311181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782018">
      <w:bodyDiv w:val="1"/>
      <w:marLeft w:val="0"/>
      <w:marRight w:val="0"/>
      <w:marTop w:val="0"/>
      <w:marBottom w:val="0"/>
      <w:divBdr>
        <w:top w:val="none" w:sz="0" w:space="0" w:color="auto"/>
        <w:left w:val="none" w:sz="0" w:space="0" w:color="auto"/>
        <w:bottom w:val="none" w:sz="0" w:space="0" w:color="auto"/>
        <w:right w:val="none" w:sz="0" w:space="0" w:color="auto"/>
      </w:divBdr>
    </w:div>
    <w:div w:id="1768767491">
      <w:bodyDiv w:val="1"/>
      <w:marLeft w:val="0"/>
      <w:marRight w:val="0"/>
      <w:marTop w:val="0"/>
      <w:marBottom w:val="0"/>
      <w:divBdr>
        <w:top w:val="none" w:sz="0" w:space="0" w:color="auto"/>
        <w:left w:val="none" w:sz="0" w:space="0" w:color="auto"/>
        <w:bottom w:val="none" w:sz="0" w:space="0" w:color="auto"/>
        <w:right w:val="none" w:sz="0" w:space="0" w:color="auto"/>
      </w:divBdr>
      <w:divsChild>
        <w:div w:id="2106070464">
          <w:marLeft w:val="0"/>
          <w:marRight w:val="0"/>
          <w:marTop w:val="0"/>
          <w:marBottom w:val="0"/>
          <w:divBdr>
            <w:top w:val="none" w:sz="0" w:space="0" w:color="auto"/>
            <w:left w:val="none" w:sz="0" w:space="0" w:color="auto"/>
            <w:bottom w:val="none" w:sz="0" w:space="0" w:color="auto"/>
            <w:right w:val="none" w:sz="0" w:space="0" w:color="auto"/>
          </w:divBdr>
          <w:divsChild>
            <w:div w:id="1014647900">
              <w:marLeft w:val="0"/>
              <w:marRight w:val="0"/>
              <w:marTop w:val="0"/>
              <w:marBottom w:val="0"/>
              <w:divBdr>
                <w:top w:val="none" w:sz="0" w:space="0" w:color="auto"/>
                <w:left w:val="none" w:sz="0" w:space="0" w:color="auto"/>
                <w:bottom w:val="none" w:sz="0" w:space="0" w:color="auto"/>
                <w:right w:val="none" w:sz="0" w:space="0" w:color="auto"/>
              </w:divBdr>
              <w:divsChild>
                <w:div w:id="1490634645">
                  <w:marLeft w:val="0"/>
                  <w:marRight w:val="0"/>
                  <w:marTop w:val="0"/>
                  <w:marBottom w:val="0"/>
                  <w:divBdr>
                    <w:top w:val="none" w:sz="0" w:space="0" w:color="auto"/>
                    <w:left w:val="none" w:sz="0" w:space="0" w:color="auto"/>
                    <w:bottom w:val="none" w:sz="0" w:space="0" w:color="auto"/>
                    <w:right w:val="none" w:sz="0" w:space="0" w:color="auto"/>
                  </w:divBdr>
                  <w:divsChild>
                    <w:div w:id="1819036913">
                      <w:marLeft w:val="0"/>
                      <w:marRight w:val="0"/>
                      <w:marTop w:val="0"/>
                      <w:marBottom w:val="0"/>
                      <w:divBdr>
                        <w:top w:val="none" w:sz="0" w:space="0" w:color="auto"/>
                        <w:left w:val="none" w:sz="0" w:space="0" w:color="auto"/>
                        <w:bottom w:val="none" w:sz="0" w:space="0" w:color="auto"/>
                        <w:right w:val="none" w:sz="0" w:space="0" w:color="auto"/>
                      </w:divBdr>
                      <w:divsChild>
                        <w:div w:id="810486774">
                          <w:marLeft w:val="0"/>
                          <w:marRight w:val="0"/>
                          <w:marTop w:val="0"/>
                          <w:marBottom w:val="0"/>
                          <w:divBdr>
                            <w:top w:val="none" w:sz="0" w:space="0" w:color="auto"/>
                            <w:left w:val="none" w:sz="0" w:space="0" w:color="auto"/>
                            <w:bottom w:val="none" w:sz="0" w:space="0" w:color="auto"/>
                            <w:right w:val="none" w:sz="0" w:space="0" w:color="auto"/>
                          </w:divBdr>
                          <w:divsChild>
                            <w:div w:id="103809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3890708">
      <w:bodyDiv w:val="1"/>
      <w:marLeft w:val="0"/>
      <w:marRight w:val="0"/>
      <w:marTop w:val="0"/>
      <w:marBottom w:val="0"/>
      <w:divBdr>
        <w:top w:val="none" w:sz="0" w:space="0" w:color="auto"/>
        <w:left w:val="none" w:sz="0" w:space="0" w:color="auto"/>
        <w:bottom w:val="none" w:sz="0" w:space="0" w:color="auto"/>
        <w:right w:val="none" w:sz="0" w:space="0" w:color="auto"/>
      </w:divBdr>
    </w:div>
    <w:div w:id="1816069380">
      <w:bodyDiv w:val="1"/>
      <w:marLeft w:val="0"/>
      <w:marRight w:val="0"/>
      <w:marTop w:val="0"/>
      <w:marBottom w:val="0"/>
      <w:divBdr>
        <w:top w:val="none" w:sz="0" w:space="0" w:color="auto"/>
        <w:left w:val="none" w:sz="0" w:space="0" w:color="auto"/>
        <w:bottom w:val="none" w:sz="0" w:space="0" w:color="auto"/>
        <w:right w:val="none" w:sz="0" w:space="0" w:color="auto"/>
      </w:divBdr>
    </w:div>
    <w:div w:id="1849052344">
      <w:bodyDiv w:val="1"/>
      <w:marLeft w:val="0"/>
      <w:marRight w:val="0"/>
      <w:marTop w:val="0"/>
      <w:marBottom w:val="0"/>
      <w:divBdr>
        <w:top w:val="none" w:sz="0" w:space="0" w:color="auto"/>
        <w:left w:val="none" w:sz="0" w:space="0" w:color="auto"/>
        <w:bottom w:val="none" w:sz="0" w:space="0" w:color="auto"/>
        <w:right w:val="none" w:sz="0" w:space="0" w:color="auto"/>
      </w:divBdr>
      <w:divsChild>
        <w:div w:id="33969891">
          <w:marLeft w:val="0"/>
          <w:marRight w:val="0"/>
          <w:marTop w:val="0"/>
          <w:marBottom w:val="0"/>
          <w:divBdr>
            <w:top w:val="none" w:sz="0" w:space="0" w:color="auto"/>
            <w:left w:val="none" w:sz="0" w:space="0" w:color="auto"/>
            <w:bottom w:val="none" w:sz="0" w:space="0" w:color="auto"/>
            <w:right w:val="none" w:sz="0" w:space="0" w:color="auto"/>
          </w:divBdr>
          <w:divsChild>
            <w:div w:id="644359714">
              <w:marLeft w:val="0"/>
              <w:marRight w:val="0"/>
              <w:marTop w:val="0"/>
              <w:marBottom w:val="0"/>
              <w:divBdr>
                <w:top w:val="none" w:sz="0" w:space="0" w:color="auto"/>
                <w:left w:val="none" w:sz="0" w:space="0" w:color="auto"/>
                <w:bottom w:val="none" w:sz="0" w:space="0" w:color="auto"/>
                <w:right w:val="none" w:sz="0" w:space="0" w:color="auto"/>
              </w:divBdr>
              <w:divsChild>
                <w:div w:id="850414004">
                  <w:marLeft w:val="0"/>
                  <w:marRight w:val="0"/>
                  <w:marTop w:val="0"/>
                  <w:marBottom w:val="0"/>
                  <w:divBdr>
                    <w:top w:val="none" w:sz="0" w:space="0" w:color="auto"/>
                    <w:left w:val="none" w:sz="0" w:space="0" w:color="auto"/>
                    <w:bottom w:val="none" w:sz="0" w:space="0" w:color="auto"/>
                    <w:right w:val="none" w:sz="0" w:space="0" w:color="auto"/>
                  </w:divBdr>
                  <w:divsChild>
                    <w:div w:id="1921988066">
                      <w:marLeft w:val="0"/>
                      <w:marRight w:val="0"/>
                      <w:marTop w:val="0"/>
                      <w:marBottom w:val="0"/>
                      <w:divBdr>
                        <w:top w:val="none" w:sz="0" w:space="0" w:color="auto"/>
                        <w:left w:val="none" w:sz="0" w:space="0" w:color="auto"/>
                        <w:bottom w:val="none" w:sz="0" w:space="0" w:color="auto"/>
                        <w:right w:val="none" w:sz="0" w:space="0" w:color="auto"/>
                      </w:divBdr>
                      <w:divsChild>
                        <w:div w:id="1072968590">
                          <w:marLeft w:val="0"/>
                          <w:marRight w:val="0"/>
                          <w:marTop w:val="0"/>
                          <w:marBottom w:val="0"/>
                          <w:divBdr>
                            <w:top w:val="none" w:sz="0" w:space="0" w:color="auto"/>
                            <w:left w:val="none" w:sz="0" w:space="0" w:color="auto"/>
                            <w:bottom w:val="none" w:sz="0" w:space="0" w:color="auto"/>
                            <w:right w:val="none" w:sz="0" w:space="0" w:color="auto"/>
                          </w:divBdr>
                          <w:divsChild>
                            <w:div w:id="114258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9250475">
      <w:bodyDiv w:val="1"/>
      <w:marLeft w:val="0"/>
      <w:marRight w:val="0"/>
      <w:marTop w:val="0"/>
      <w:marBottom w:val="0"/>
      <w:divBdr>
        <w:top w:val="none" w:sz="0" w:space="0" w:color="auto"/>
        <w:left w:val="none" w:sz="0" w:space="0" w:color="auto"/>
        <w:bottom w:val="none" w:sz="0" w:space="0" w:color="auto"/>
        <w:right w:val="none" w:sz="0" w:space="0" w:color="auto"/>
      </w:divBdr>
    </w:div>
    <w:div w:id="1931086058">
      <w:bodyDiv w:val="1"/>
      <w:marLeft w:val="0"/>
      <w:marRight w:val="0"/>
      <w:marTop w:val="0"/>
      <w:marBottom w:val="0"/>
      <w:divBdr>
        <w:top w:val="none" w:sz="0" w:space="0" w:color="auto"/>
        <w:left w:val="none" w:sz="0" w:space="0" w:color="auto"/>
        <w:bottom w:val="none" w:sz="0" w:space="0" w:color="auto"/>
        <w:right w:val="none" w:sz="0" w:space="0" w:color="auto"/>
      </w:divBdr>
      <w:divsChild>
        <w:div w:id="1701584144">
          <w:marLeft w:val="0"/>
          <w:marRight w:val="0"/>
          <w:marTop w:val="0"/>
          <w:marBottom w:val="0"/>
          <w:divBdr>
            <w:top w:val="none" w:sz="0" w:space="0" w:color="auto"/>
            <w:left w:val="none" w:sz="0" w:space="0" w:color="auto"/>
            <w:bottom w:val="none" w:sz="0" w:space="0" w:color="auto"/>
            <w:right w:val="none" w:sz="0" w:space="0" w:color="auto"/>
          </w:divBdr>
          <w:divsChild>
            <w:div w:id="2063363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8988982">
      <w:bodyDiv w:val="1"/>
      <w:marLeft w:val="0"/>
      <w:marRight w:val="0"/>
      <w:marTop w:val="0"/>
      <w:marBottom w:val="0"/>
      <w:divBdr>
        <w:top w:val="none" w:sz="0" w:space="0" w:color="auto"/>
        <w:left w:val="none" w:sz="0" w:space="0" w:color="auto"/>
        <w:bottom w:val="none" w:sz="0" w:space="0" w:color="auto"/>
        <w:right w:val="none" w:sz="0" w:space="0" w:color="auto"/>
      </w:divBdr>
    </w:div>
    <w:div w:id="2075812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microsoft.com/office/2007/relationships/diagramDrawing" Target="diagrams/drawing1.xml" Id="rId13" /><Relationship Type="http://schemas.openxmlformats.org/officeDocument/2006/relationships/hyperlink" Target="https://assets.publishing.service.gov.uk/media/5f74a4958fa8f5188dad0e99/Data_Ethics_Framework_2020.pdf" TargetMode="External" Id="rId18" /><Relationship Type="http://schemas.openxmlformats.org/officeDocument/2006/relationships/hyperlink" Target="https://pressbooks.ulib.csuohio.edu/project-management-navigating-the-complexity/chapter/5-2-stakeholder-analysis/" TargetMode="External" Id="rId26" /><Relationship Type="http://schemas.openxmlformats.org/officeDocument/2006/relationships/hyperlink" Target="https://www.researchgate.net/profile/Naomi-Chukwurah-3/publication/389815239_Ethical_Considerations_in_Data_Governance_Balancing_Privacy_Security_and_Transparency_in_Data_Management/links/67d30d8c7c5b5569dcbb539e/Ethical-Considerations-in-Data-Governance-Balancing-Privacy-Security-and-Transparency-in-Data-Management.pdf" TargetMode="External" Id="rId21" /><Relationship Type="http://schemas.openxmlformats.org/officeDocument/2006/relationships/hyperlink" Target="https://www.mdpi.com/2075-5309/14/9/2865%20" TargetMode="External" Id="rId34" /><Relationship Type="http://schemas.openxmlformats.org/officeDocument/2006/relationships/endnotes" Target="endnotes.xml" Id="rId7" /><Relationship Type="http://schemas.openxmlformats.org/officeDocument/2006/relationships/diagramColors" Target="diagrams/colors1.xml" Id="rId12" /><Relationship Type="http://schemas.openxmlformats.org/officeDocument/2006/relationships/hyperlink" Target="https://www.sciencedirect.com/science/article/pii/S0048969720351184" TargetMode="External" Id="rId17" /><Relationship Type="http://schemas.openxmlformats.org/officeDocument/2006/relationships/hyperlink" Target="https://www.oecd.org/content/dam/oecd/en/publications/reports/2020/10/green-infrastructure-in-the-decade-for-delivery_77c8475c/f51f9256-en.pdf" TargetMode="External" Id="rId25" /><Relationship Type="http://schemas.openxmlformats.org/officeDocument/2006/relationships/hyperlink" Target="https://link.springer.com/content/pdf/10.1007/s42081-020-00093-w.pdf" TargetMode="External" Id="rId33" /><Relationship Type="http://schemas.openxmlformats.org/officeDocument/2006/relationships/numbering" Target="numbering.xml" Id="rId2" /><Relationship Type="http://schemas.openxmlformats.org/officeDocument/2006/relationships/hyperlink" Target="https://www.researchgate.net/profile/Shriya-Das-5/publication/377494660_DIVERSITY_EQUITY_AND_INCLUSION_DEI_IN_CLINICAL_TRIALS/links/65a9e0c5a59bf45fc9d8c186/Diversity-Equity-and-Inclusion-DEI-in-Clinical-Trials.pdf" TargetMode="External" Id="rId16" /><Relationship Type="http://schemas.openxmlformats.org/officeDocument/2006/relationships/hyperlink" Target="https://www.iema.net/media/oxrdhkhs/j43497_iema_outook-journal_v15-jan-2023.pdf" TargetMode="External" Id="rId20" /><Relationship Type="http://schemas.openxmlformats.org/officeDocument/2006/relationships/hyperlink" Target="https://www.researchgate.net/publication/383829650_Stakeholder_Management_in_Projects_Strategies_for_Effective_Communication"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diagramQuickStyle" Target="diagrams/quickStyle1.xml" Id="rId11" /><Relationship Type="http://schemas.openxmlformats.org/officeDocument/2006/relationships/hyperlink" Target="https://scholar.google.com/scholar?output=instlink&amp;q=info:0_7Q8jMvW2sJ:scholar.google.com/&amp;hl=en&amp;as_sdt=0,5&amp;as_ylo=2020&amp;scillfp=6324370345354288591&amp;oi=lle" TargetMode="External" Id="rId24" /><Relationship Type="http://schemas.openxmlformats.org/officeDocument/2006/relationships/hyperlink" Target="https://documents1.worldbank.org/curated/en/099090723115518579/pdf/P1729450018b96030b4930665a79d9d3c1.pdf" TargetMode="External" Id="rId32" /><Relationship Type="http://schemas.openxmlformats.org/officeDocument/2006/relationships/theme" Target="theme/theme1.xml" Id="rId37" /><Relationship Type="http://schemas.openxmlformats.org/officeDocument/2006/relationships/webSettings" Target="webSettings.xml" Id="rId5" /><Relationship Type="http://schemas.openxmlformats.org/officeDocument/2006/relationships/hyperlink" Target="https://keep.eu/api/project-attachment/58983/get_file/" TargetMode="External" Id="rId15" /><Relationship Type="http://schemas.openxmlformats.org/officeDocument/2006/relationships/hyperlink" Target="https://www.urban.org/sites/default/files/2022-03/the-health-benefits-of-parks-and-their-economic-impacts_0.pdf" TargetMode="External" Id="rId23" /><Relationship Type="http://schemas.openxmlformats.org/officeDocument/2006/relationships/hyperlink" Target="https://rigcert.education/resources/power-interest-grid-for-stakeholder-identification-and-management" TargetMode="External" Id="rId28" /><Relationship Type="http://schemas.openxmlformats.org/officeDocument/2006/relationships/fontTable" Target="fontTable.xml" Id="rId36" /><Relationship Type="http://schemas.openxmlformats.org/officeDocument/2006/relationships/diagramLayout" Target="diagrams/layout1.xml" Id="rId10" /><Relationship Type="http://schemas.openxmlformats.org/officeDocument/2006/relationships/hyperlink" Target="https://climateactiontransparency.org/wp-content/uploads/2020/04/Stakeholder-Participation-Assessment-Guide.pdf" TargetMode="External" Id="rId19" /><Relationship Type="http://schemas.openxmlformats.org/officeDocument/2006/relationships/hyperlink" Target="https://edepot.wur.nl/570436" TargetMode="External" Id="rId31" /><Relationship Type="http://schemas.openxmlformats.org/officeDocument/2006/relationships/settings" Target="settings.xml" Id="rId4" /><Relationship Type="http://schemas.openxmlformats.org/officeDocument/2006/relationships/diagramData" Target="diagrams/data1.xml" Id="rId9" /><Relationship Type="http://schemas.openxmlformats.org/officeDocument/2006/relationships/image" Target="media/image2.png" Id="rId14" /><Relationship Type="http://schemas.openxmlformats.org/officeDocument/2006/relationships/hyperlink" Target="https://link.springer.com/article/10.1007/s41464-020-00092-0?utm_source=chatgpt.com" TargetMode="External" Id="rId22" /><Relationship Type="http://schemas.openxmlformats.org/officeDocument/2006/relationships/hyperlink" Target="https://www.researchgate.net/profile/Anfo-Pub-2/publication/392785919_Systematic_Review_of_Requirements_Gathering_and_Budget_Governance_in_Public_Sector_and_Nonprofit_Project_Management/links/6852be587869fe75c55a24f5/Systematic-Review-of-Requirements-Gathering-and-Budget-Governance-in-Public-Sector-and-Nonprofit-Project-Management.pdf" TargetMode="External" Id="rId27" /><Relationship Type="http://schemas.openxmlformats.org/officeDocument/2006/relationships/hyperlink" Target="https://sussex.figshare.com/articles/report/Scoping_Longitudinal_Qualitative_Studies_with_Seldom-Heard_Families/25574778/1/files/46003431.pdf" TargetMode="External" Id="rId30" /><Relationship Type="http://schemas.openxmlformats.org/officeDocument/2006/relationships/footer" Target="footer1.xml" Id="rId35" /><Relationship Type="http://schemas.openxmlformats.org/officeDocument/2006/relationships/image" Target="media/image1.png" Id="rId8" /><Relationship Type="http://schemas.openxmlformats.org/officeDocument/2006/relationships/styles" Target="styles.xml" Id="rId3" /></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24C9C7C-DA0A-4B85-A5AA-5836D16E99B2}" type="doc">
      <dgm:prSet loTypeId="urn:microsoft.com/office/officeart/2008/layout/VerticalCurvedList" loCatId="list" qsTypeId="urn:microsoft.com/office/officeart/2005/8/quickstyle/3d1" qsCatId="3D" csTypeId="urn:microsoft.com/office/officeart/2005/8/colors/colorful5" csCatId="colorful" phldr="1"/>
      <dgm:spPr/>
      <dgm:t>
        <a:bodyPr/>
        <a:lstStyle/>
        <a:p>
          <a:endParaRPr lang="en-IN"/>
        </a:p>
      </dgm:t>
    </dgm:pt>
    <dgm:pt modelId="{08003E89-7E89-4B1C-BD5E-BFD49981E0B9}">
      <dgm:prSet phldrT="[Text]"/>
      <dgm:spPr/>
      <dgm:t>
        <a:bodyPr/>
        <a:lstStyle/>
        <a:p>
          <a:r>
            <a:rPr lang="en-IN" b="1"/>
            <a:t>Local residents</a:t>
          </a:r>
        </a:p>
      </dgm:t>
    </dgm:pt>
    <dgm:pt modelId="{F8D05B4D-A9BA-48D2-9565-A6C0C815932B}" type="parTrans" cxnId="{DECFADF0-DF84-46C2-A4E2-070789EA5DD1}">
      <dgm:prSet/>
      <dgm:spPr/>
      <dgm:t>
        <a:bodyPr/>
        <a:lstStyle/>
        <a:p>
          <a:endParaRPr lang="en-IN" b="1"/>
        </a:p>
      </dgm:t>
    </dgm:pt>
    <dgm:pt modelId="{6B9AB42B-739D-4555-83CF-9D8BC0465587}" type="sibTrans" cxnId="{DECFADF0-DF84-46C2-A4E2-070789EA5DD1}">
      <dgm:prSet/>
      <dgm:spPr/>
      <dgm:t>
        <a:bodyPr/>
        <a:lstStyle/>
        <a:p>
          <a:endParaRPr lang="en-IN" b="1"/>
        </a:p>
      </dgm:t>
    </dgm:pt>
    <dgm:pt modelId="{AE761C0B-76CE-4490-A045-60AFDF936497}">
      <dgm:prSet phldrT="[Text]"/>
      <dgm:spPr/>
      <dgm:t>
        <a:bodyPr/>
        <a:lstStyle/>
        <a:p>
          <a:r>
            <a:rPr lang="en-IN" b="1"/>
            <a:t>Local authority / City Council</a:t>
          </a:r>
        </a:p>
      </dgm:t>
    </dgm:pt>
    <dgm:pt modelId="{2441E600-ED51-46A7-AA4C-6F59A21201B5}" type="parTrans" cxnId="{57D89EDC-339B-4E43-B12C-9AD379381736}">
      <dgm:prSet/>
      <dgm:spPr/>
      <dgm:t>
        <a:bodyPr/>
        <a:lstStyle/>
        <a:p>
          <a:endParaRPr lang="en-IN" b="1"/>
        </a:p>
      </dgm:t>
    </dgm:pt>
    <dgm:pt modelId="{E4EE3F6F-133E-4867-90F9-605C4CFC412E}" type="sibTrans" cxnId="{57D89EDC-339B-4E43-B12C-9AD379381736}">
      <dgm:prSet/>
      <dgm:spPr/>
      <dgm:t>
        <a:bodyPr/>
        <a:lstStyle/>
        <a:p>
          <a:endParaRPr lang="en-IN" b="1"/>
        </a:p>
      </dgm:t>
    </dgm:pt>
    <dgm:pt modelId="{1658E3FA-6904-4E51-9828-AE30630F32D5}">
      <dgm:prSet phldrT="[Text]"/>
      <dgm:spPr/>
      <dgm:t>
        <a:bodyPr/>
        <a:lstStyle/>
        <a:p>
          <a:r>
            <a:rPr lang="en-IN" b="1"/>
            <a:t>Local businesses and Traders</a:t>
          </a:r>
        </a:p>
      </dgm:t>
    </dgm:pt>
    <dgm:pt modelId="{E109350C-29F9-4AB3-8644-DF68D805F84C}" type="parTrans" cxnId="{A86F6EBC-3588-4365-B1FA-ED0EE23224B9}">
      <dgm:prSet/>
      <dgm:spPr/>
      <dgm:t>
        <a:bodyPr/>
        <a:lstStyle/>
        <a:p>
          <a:endParaRPr lang="en-IN" b="1"/>
        </a:p>
      </dgm:t>
    </dgm:pt>
    <dgm:pt modelId="{8747281F-5605-45EF-866F-EAA0C66B6A27}" type="sibTrans" cxnId="{A86F6EBC-3588-4365-B1FA-ED0EE23224B9}">
      <dgm:prSet/>
      <dgm:spPr/>
      <dgm:t>
        <a:bodyPr/>
        <a:lstStyle/>
        <a:p>
          <a:endParaRPr lang="en-IN" b="1"/>
        </a:p>
      </dgm:t>
    </dgm:pt>
    <dgm:pt modelId="{E1182760-FC46-4E85-9F05-49018E7F6D8C}">
      <dgm:prSet/>
      <dgm:spPr/>
      <dgm:t>
        <a:bodyPr/>
        <a:lstStyle/>
        <a:p>
          <a:r>
            <a:rPr lang="en-IN" b="1"/>
            <a:t>Environmental and community NGOs</a:t>
          </a:r>
        </a:p>
      </dgm:t>
    </dgm:pt>
    <dgm:pt modelId="{737C2599-1F26-45CD-884F-D622DA1B1D99}" type="parTrans" cxnId="{D265FD55-2F10-48BB-AFAE-EE4B696E5F97}">
      <dgm:prSet/>
      <dgm:spPr/>
      <dgm:t>
        <a:bodyPr/>
        <a:lstStyle/>
        <a:p>
          <a:endParaRPr lang="en-IN" b="1"/>
        </a:p>
      </dgm:t>
    </dgm:pt>
    <dgm:pt modelId="{5E17C591-48E6-4793-BCD7-BD8D8B3A95F0}" type="sibTrans" cxnId="{D265FD55-2F10-48BB-AFAE-EE4B696E5F97}">
      <dgm:prSet/>
      <dgm:spPr/>
      <dgm:t>
        <a:bodyPr/>
        <a:lstStyle/>
        <a:p>
          <a:endParaRPr lang="en-IN" b="1"/>
        </a:p>
      </dgm:t>
    </dgm:pt>
    <dgm:pt modelId="{16C20F8D-3893-4ECB-80DC-26CEE223D770}">
      <dgm:prSet/>
      <dgm:spPr/>
      <dgm:t>
        <a:bodyPr/>
        <a:lstStyle/>
        <a:p>
          <a:r>
            <a:rPr lang="en-IN" b="1"/>
            <a:t>Construction and Design Contractors</a:t>
          </a:r>
        </a:p>
      </dgm:t>
    </dgm:pt>
    <dgm:pt modelId="{374F296B-63CE-4123-964F-0A70FA6E18A1}" type="parTrans" cxnId="{C8CC69C7-1AA5-4313-92CA-2620C164FDD3}">
      <dgm:prSet/>
      <dgm:spPr/>
      <dgm:t>
        <a:bodyPr/>
        <a:lstStyle/>
        <a:p>
          <a:endParaRPr lang="en-IN" b="1"/>
        </a:p>
      </dgm:t>
    </dgm:pt>
    <dgm:pt modelId="{BF81D353-2510-4A41-BFB2-24126479B035}" type="sibTrans" cxnId="{C8CC69C7-1AA5-4313-92CA-2620C164FDD3}">
      <dgm:prSet/>
      <dgm:spPr/>
      <dgm:t>
        <a:bodyPr/>
        <a:lstStyle/>
        <a:p>
          <a:endParaRPr lang="en-IN" b="1"/>
        </a:p>
      </dgm:t>
    </dgm:pt>
    <dgm:pt modelId="{C23A6692-8E82-4DB1-B33D-9F2E53B1B375}">
      <dgm:prSet/>
      <dgm:spPr/>
      <dgm:t>
        <a:bodyPr/>
        <a:lstStyle/>
        <a:p>
          <a:r>
            <a:rPr lang="en-IN" b="1"/>
            <a:t>Healthcare and Social Service Organisations</a:t>
          </a:r>
        </a:p>
      </dgm:t>
    </dgm:pt>
    <dgm:pt modelId="{7756449A-800D-4158-B148-870373B1FAE9}" type="parTrans" cxnId="{F9F01EE0-262C-4FE8-B17C-4155FAA51914}">
      <dgm:prSet/>
      <dgm:spPr/>
      <dgm:t>
        <a:bodyPr/>
        <a:lstStyle/>
        <a:p>
          <a:endParaRPr lang="en-IN" b="1"/>
        </a:p>
      </dgm:t>
    </dgm:pt>
    <dgm:pt modelId="{2BE26A8F-707D-41D7-9E1E-1D39E4B96B3D}" type="sibTrans" cxnId="{F9F01EE0-262C-4FE8-B17C-4155FAA51914}">
      <dgm:prSet/>
      <dgm:spPr/>
      <dgm:t>
        <a:bodyPr/>
        <a:lstStyle/>
        <a:p>
          <a:endParaRPr lang="en-IN" b="1"/>
        </a:p>
      </dgm:t>
    </dgm:pt>
    <dgm:pt modelId="{5F1CB51F-737D-4F08-AC8B-330852CE6BCE}" type="pres">
      <dgm:prSet presAssocID="{124C9C7C-DA0A-4B85-A5AA-5836D16E99B2}" presName="Name0" presStyleCnt="0">
        <dgm:presLayoutVars>
          <dgm:chMax val="7"/>
          <dgm:chPref val="7"/>
          <dgm:dir/>
        </dgm:presLayoutVars>
      </dgm:prSet>
      <dgm:spPr/>
    </dgm:pt>
    <dgm:pt modelId="{6B74B2A7-B989-4BF2-AD0A-D7ECF19A0F66}" type="pres">
      <dgm:prSet presAssocID="{124C9C7C-DA0A-4B85-A5AA-5836D16E99B2}" presName="Name1" presStyleCnt="0"/>
      <dgm:spPr/>
    </dgm:pt>
    <dgm:pt modelId="{1B2A45B7-C040-4A38-BCE7-2FB68F1973A8}" type="pres">
      <dgm:prSet presAssocID="{124C9C7C-DA0A-4B85-A5AA-5836D16E99B2}" presName="cycle" presStyleCnt="0"/>
      <dgm:spPr/>
    </dgm:pt>
    <dgm:pt modelId="{5103EBF8-5F0F-4D9E-AE18-E5823B68DCF0}" type="pres">
      <dgm:prSet presAssocID="{124C9C7C-DA0A-4B85-A5AA-5836D16E99B2}" presName="srcNode" presStyleLbl="node1" presStyleIdx="0" presStyleCnt="6"/>
      <dgm:spPr/>
    </dgm:pt>
    <dgm:pt modelId="{148C5041-FCA2-4144-8CE8-CF859C3018CD}" type="pres">
      <dgm:prSet presAssocID="{124C9C7C-DA0A-4B85-A5AA-5836D16E99B2}" presName="conn" presStyleLbl="parChTrans1D2" presStyleIdx="0" presStyleCnt="1"/>
      <dgm:spPr/>
    </dgm:pt>
    <dgm:pt modelId="{71964BB6-8C21-47EA-B36F-BDCF042A1D83}" type="pres">
      <dgm:prSet presAssocID="{124C9C7C-DA0A-4B85-A5AA-5836D16E99B2}" presName="extraNode" presStyleLbl="node1" presStyleIdx="0" presStyleCnt="6"/>
      <dgm:spPr/>
    </dgm:pt>
    <dgm:pt modelId="{42CCB123-5FCA-4D75-9575-B626F61433C5}" type="pres">
      <dgm:prSet presAssocID="{124C9C7C-DA0A-4B85-A5AA-5836D16E99B2}" presName="dstNode" presStyleLbl="node1" presStyleIdx="0" presStyleCnt="6"/>
      <dgm:spPr/>
    </dgm:pt>
    <dgm:pt modelId="{4666804F-2DFA-40CB-8E96-814AC727F055}" type="pres">
      <dgm:prSet presAssocID="{08003E89-7E89-4B1C-BD5E-BFD49981E0B9}" presName="text_1" presStyleLbl="node1" presStyleIdx="0" presStyleCnt="6">
        <dgm:presLayoutVars>
          <dgm:bulletEnabled val="1"/>
        </dgm:presLayoutVars>
      </dgm:prSet>
      <dgm:spPr/>
    </dgm:pt>
    <dgm:pt modelId="{780966CE-6379-4728-B293-55383E1F5F59}" type="pres">
      <dgm:prSet presAssocID="{08003E89-7E89-4B1C-BD5E-BFD49981E0B9}" presName="accent_1" presStyleCnt="0"/>
      <dgm:spPr/>
    </dgm:pt>
    <dgm:pt modelId="{EA9335D3-4476-4B92-8DC6-EB93B553353A}" type="pres">
      <dgm:prSet presAssocID="{08003E89-7E89-4B1C-BD5E-BFD49981E0B9}" presName="accentRepeatNode" presStyleLbl="solidFgAcc1" presStyleIdx="0" presStyleCnt="6"/>
      <dgm:spPr/>
    </dgm:pt>
    <dgm:pt modelId="{9F5C54C4-611F-4180-8743-FDC108C51B01}" type="pres">
      <dgm:prSet presAssocID="{AE761C0B-76CE-4490-A045-60AFDF936497}" presName="text_2" presStyleLbl="node1" presStyleIdx="1" presStyleCnt="6">
        <dgm:presLayoutVars>
          <dgm:bulletEnabled val="1"/>
        </dgm:presLayoutVars>
      </dgm:prSet>
      <dgm:spPr/>
    </dgm:pt>
    <dgm:pt modelId="{474E5F24-E044-4359-8AF0-73B4A6270C58}" type="pres">
      <dgm:prSet presAssocID="{AE761C0B-76CE-4490-A045-60AFDF936497}" presName="accent_2" presStyleCnt="0"/>
      <dgm:spPr/>
    </dgm:pt>
    <dgm:pt modelId="{B1F9E9A4-F466-4DE0-9901-59A9E6329D7F}" type="pres">
      <dgm:prSet presAssocID="{AE761C0B-76CE-4490-A045-60AFDF936497}" presName="accentRepeatNode" presStyleLbl="solidFgAcc1" presStyleIdx="1" presStyleCnt="6"/>
      <dgm:spPr/>
    </dgm:pt>
    <dgm:pt modelId="{C3D4011B-0847-4957-8A2E-7E49DD5D2B70}" type="pres">
      <dgm:prSet presAssocID="{1658E3FA-6904-4E51-9828-AE30630F32D5}" presName="text_3" presStyleLbl="node1" presStyleIdx="2" presStyleCnt="6">
        <dgm:presLayoutVars>
          <dgm:bulletEnabled val="1"/>
        </dgm:presLayoutVars>
      </dgm:prSet>
      <dgm:spPr/>
    </dgm:pt>
    <dgm:pt modelId="{9E0304EE-02C7-46D1-84A7-B24BB2E05DAE}" type="pres">
      <dgm:prSet presAssocID="{1658E3FA-6904-4E51-9828-AE30630F32D5}" presName="accent_3" presStyleCnt="0"/>
      <dgm:spPr/>
    </dgm:pt>
    <dgm:pt modelId="{D23CC7F4-9E9B-47A5-BD29-5955B90B3CEA}" type="pres">
      <dgm:prSet presAssocID="{1658E3FA-6904-4E51-9828-AE30630F32D5}" presName="accentRepeatNode" presStyleLbl="solidFgAcc1" presStyleIdx="2" presStyleCnt="6"/>
      <dgm:spPr/>
    </dgm:pt>
    <dgm:pt modelId="{5A08AE07-1387-42CA-A211-E12E305AEF68}" type="pres">
      <dgm:prSet presAssocID="{E1182760-FC46-4E85-9F05-49018E7F6D8C}" presName="text_4" presStyleLbl="node1" presStyleIdx="3" presStyleCnt="6">
        <dgm:presLayoutVars>
          <dgm:bulletEnabled val="1"/>
        </dgm:presLayoutVars>
      </dgm:prSet>
      <dgm:spPr/>
    </dgm:pt>
    <dgm:pt modelId="{F23F870E-BE03-4C3E-A17A-4D4EF733FA41}" type="pres">
      <dgm:prSet presAssocID="{E1182760-FC46-4E85-9F05-49018E7F6D8C}" presName="accent_4" presStyleCnt="0"/>
      <dgm:spPr/>
    </dgm:pt>
    <dgm:pt modelId="{88E65901-052F-4F4F-9662-C2B22B5A9A36}" type="pres">
      <dgm:prSet presAssocID="{E1182760-FC46-4E85-9F05-49018E7F6D8C}" presName="accentRepeatNode" presStyleLbl="solidFgAcc1" presStyleIdx="3" presStyleCnt="6"/>
      <dgm:spPr/>
    </dgm:pt>
    <dgm:pt modelId="{777C0294-D1F6-4813-810E-9A4897461D64}" type="pres">
      <dgm:prSet presAssocID="{16C20F8D-3893-4ECB-80DC-26CEE223D770}" presName="text_5" presStyleLbl="node1" presStyleIdx="4" presStyleCnt="6">
        <dgm:presLayoutVars>
          <dgm:bulletEnabled val="1"/>
        </dgm:presLayoutVars>
      </dgm:prSet>
      <dgm:spPr/>
    </dgm:pt>
    <dgm:pt modelId="{2A1D2D5C-332B-4B59-9F5F-3943ED5B59C1}" type="pres">
      <dgm:prSet presAssocID="{16C20F8D-3893-4ECB-80DC-26CEE223D770}" presName="accent_5" presStyleCnt="0"/>
      <dgm:spPr/>
    </dgm:pt>
    <dgm:pt modelId="{75A07CF6-5F7E-4A52-9B9B-7C613FEE399B}" type="pres">
      <dgm:prSet presAssocID="{16C20F8D-3893-4ECB-80DC-26CEE223D770}" presName="accentRepeatNode" presStyleLbl="solidFgAcc1" presStyleIdx="4" presStyleCnt="6"/>
      <dgm:spPr/>
    </dgm:pt>
    <dgm:pt modelId="{7582D66E-63E9-4131-BB8F-85811B72B015}" type="pres">
      <dgm:prSet presAssocID="{C23A6692-8E82-4DB1-B33D-9F2E53B1B375}" presName="text_6" presStyleLbl="node1" presStyleIdx="5" presStyleCnt="6">
        <dgm:presLayoutVars>
          <dgm:bulletEnabled val="1"/>
        </dgm:presLayoutVars>
      </dgm:prSet>
      <dgm:spPr/>
    </dgm:pt>
    <dgm:pt modelId="{511C5003-FC84-4CDE-AE01-07EB17590232}" type="pres">
      <dgm:prSet presAssocID="{C23A6692-8E82-4DB1-B33D-9F2E53B1B375}" presName="accent_6" presStyleCnt="0"/>
      <dgm:spPr/>
    </dgm:pt>
    <dgm:pt modelId="{A14A4854-4C0A-4CD2-8CBA-B97D5C00E3C8}" type="pres">
      <dgm:prSet presAssocID="{C23A6692-8E82-4DB1-B33D-9F2E53B1B375}" presName="accentRepeatNode" presStyleLbl="solidFgAcc1" presStyleIdx="5" presStyleCnt="6"/>
      <dgm:spPr/>
    </dgm:pt>
  </dgm:ptLst>
  <dgm:cxnLst>
    <dgm:cxn modelId="{E4A9EB25-733B-4C48-947E-AD37F1297C84}" type="presOf" srcId="{08003E89-7E89-4B1C-BD5E-BFD49981E0B9}" destId="{4666804F-2DFA-40CB-8E96-814AC727F055}" srcOrd="0" destOrd="0" presId="urn:microsoft.com/office/officeart/2008/layout/VerticalCurvedList"/>
    <dgm:cxn modelId="{C02EF12E-4269-49CB-AEC7-9F26B7321E88}" type="presOf" srcId="{E1182760-FC46-4E85-9F05-49018E7F6D8C}" destId="{5A08AE07-1387-42CA-A211-E12E305AEF68}" srcOrd="0" destOrd="0" presId="urn:microsoft.com/office/officeart/2008/layout/VerticalCurvedList"/>
    <dgm:cxn modelId="{D3D92361-EA3E-44B7-A5C8-34521E212685}" type="presOf" srcId="{16C20F8D-3893-4ECB-80DC-26CEE223D770}" destId="{777C0294-D1F6-4813-810E-9A4897461D64}" srcOrd="0" destOrd="0" presId="urn:microsoft.com/office/officeart/2008/layout/VerticalCurvedList"/>
    <dgm:cxn modelId="{C63EDF67-6AEC-4684-965A-03381AF93DB2}" type="presOf" srcId="{124C9C7C-DA0A-4B85-A5AA-5836D16E99B2}" destId="{5F1CB51F-737D-4F08-AC8B-330852CE6BCE}" srcOrd="0" destOrd="0" presId="urn:microsoft.com/office/officeart/2008/layout/VerticalCurvedList"/>
    <dgm:cxn modelId="{D265FD55-2F10-48BB-AFAE-EE4B696E5F97}" srcId="{124C9C7C-DA0A-4B85-A5AA-5836D16E99B2}" destId="{E1182760-FC46-4E85-9F05-49018E7F6D8C}" srcOrd="3" destOrd="0" parTransId="{737C2599-1F26-45CD-884F-D622DA1B1D99}" sibTransId="{5E17C591-48E6-4793-BCD7-BD8D8B3A95F0}"/>
    <dgm:cxn modelId="{A16A7F87-9999-4F69-B42F-8EF0A7265DF2}" type="presOf" srcId="{6B9AB42B-739D-4555-83CF-9D8BC0465587}" destId="{148C5041-FCA2-4144-8CE8-CF859C3018CD}" srcOrd="0" destOrd="0" presId="urn:microsoft.com/office/officeart/2008/layout/VerticalCurvedList"/>
    <dgm:cxn modelId="{0A795A8D-931F-41DA-AE40-7EB1469F113B}" type="presOf" srcId="{AE761C0B-76CE-4490-A045-60AFDF936497}" destId="{9F5C54C4-611F-4180-8743-FDC108C51B01}" srcOrd="0" destOrd="0" presId="urn:microsoft.com/office/officeart/2008/layout/VerticalCurvedList"/>
    <dgm:cxn modelId="{A86F6EBC-3588-4365-B1FA-ED0EE23224B9}" srcId="{124C9C7C-DA0A-4B85-A5AA-5836D16E99B2}" destId="{1658E3FA-6904-4E51-9828-AE30630F32D5}" srcOrd="2" destOrd="0" parTransId="{E109350C-29F9-4AB3-8644-DF68D805F84C}" sibTransId="{8747281F-5605-45EF-866F-EAA0C66B6A27}"/>
    <dgm:cxn modelId="{C8CC69C7-1AA5-4313-92CA-2620C164FDD3}" srcId="{124C9C7C-DA0A-4B85-A5AA-5836D16E99B2}" destId="{16C20F8D-3893-4ECB-80DC-26CEE223D770}" srcOrd="4" destOrd="0" parTransId="{374F296B-63CE-4123-964F-0A70FA6E18A1}" sibTransId="{BF81D353-2510-4A41-BFB2-24126479B035}"/>
    <dgm:cxn modelId="{57D89EDC-339B-4E43-B12C-9AD379381736}" srcId="{124C9C7C-DA0A-4B85-A5AA-5836D16E99B2}" destId="{AE761C0B-76CE-4490-A045-60AFDF936497}" srcOrd="1" destOrd="0" parTransId="{2441E600-ED51-46A7-AA4C-6F59A21201B5}" sibTransId="{E4EE3F6F-133E-4867-90F9-605C4CFC412E}"/>
    <dgm:cxn modelId="{EBE40CE0-C842-4D7F-89EC-94FA38D266EF}" type="presOf" srcId="{1658E3FA-6904-4E51-9828-AE30630F32D5}" destId="{C3D4011B-0847-4957-8A2E-7E49DD5D2B70}" srcOrd="0" destOrd="0" presId="urn:microsoft.com/office/officeart/2008/layout/VerticalCurvedList"/>
    <dgm:cxn modelId="{F9F01EE0-262C-4FE8-B17C-4155FAA51914}" srcId="{124C9C7C-DA0A-4B85-A5AA-5836D16E99B2}" destId="{C23A6692-8E82-4DB1-B33D-9F2E53B1B375}" srcOrd="5" destOrd="0" parTransId="{7756449A-800D-4158-B148-870373B1FAE9}" sibTransId="{2BE26A8F-707D-41D7-9E1E-1D39E4B96B3D}"/>
    <dgm:cxn modelId="{4D5A34EB-ADFB-4D8E-BC4D-32AAB771C141}" type="presOf" srcId="{C23A6692-8E82-4DB1-B33D-9F2E53B1B375}" destId="{7582D66E-63E9-4131-BB8F-85811B72B015}" srcOrd="0" destOrd="0" presId="urn:microsoft.com/office/officeart/2008/layout/VerticalCurvedList"/>
    <dgm:cxn modelId="{DECFADF0-DF84-46C2-A4E2-070789EA5DD1}" srcId="{124C9C7C-DA0A-4B85-A5AA-5836D16E99B2}" destId="{08003E89-7E89-4B1C-BD5E-BFD49981E0B9}" srcOrd="0" destOrd="0" parTransId="{F8D05B4D-A9BA-48D2-9565-A6C0C815932B}" sibTransId="{6B9AB42B-739D-4555-83CF-9D8BC0465587}"/>
    <dgm:cxn modelId="{E0CA8D74-968F-4165-8E17-D0A6689D0742}" type="presParOf" srcId="{5F1CB51F-737D-4F08-AC8B-330852CE6BCE}" destId="{6B74B2A7-B989-4BF2-AD0A-D7ECF19A0F66}" srcOrd="0" destOrd="0" presId="urn:microsoft.com/office/officeart/2008/layout/VerticalCurvedList"/>
    <dgm:cxn modelId="{DC8BC703-CA12-493A-8E75-FB374981958E}" type="presParOf" srcId="{6B74B2A7-B989-4BF2-AD0A-D7ECF19A0F66}" destId="{1B2A45B7-C040-4A38-BCE7-2FB68F1973A8}" srcOrd="0" destOrd="0" presId="urn:microsoft.com/office/officeart/2008/layout/VerticalCurvedList"/>
    <dgm:cxn modelId="{61E7AB92-CEDA-43FE-A76E-8CC2B52913EE}" type="presParOf" srcId="{1B2A45B7-C040-4A38-BCE7-2FB68F1973A8}" destId="{5103EBF8-5F0F-4D9E-AE18-E5823B68DCF0}" srcOrd="0" destOrd="0" presId="urn:microsoft.com/office/officeart/2008/layout/VerticalCurvedList"/>
    <dgm:cxn modelId="{B5AE0D24-9469-42F3-A284-900B0BF2CF63}" type="presParOf" srcId="{1B2A45B7-C040-4A38-BCE7-2FB68F1973A8}" destId="{148C5041-FCA2-4144-8CE8-CF859C3018CD}" srcOrd="1" destOrd="0" presId="urn:microsoft.com/office/officeart/2008/layout/VerticalCurvedList"/>
    <dgm:cxn modelId="{208C8B80-F31D-4553-92AE-FDCAB0FFE15C}" type="presParOf" srcId="{1B2A45B7-C040-4A38-BCE7-2FB68F1973A8}" destId="{71964BB6-8C21-47EA-B36F-BDCF042A1D83}" srcOrd="2" destOrd="0" presId="urn:microsoft.com/office/officeart/2008/layout/VerticalCurvedList"/>
    <dgm:cxn modelId="{0A4E971F-6BDE-4106-8EC1-83BDC9D54E35}" type="presParOf" srcId="{1B2A45B7-C040-4A38-BCE7-2FB68F1973A8}" destId="{42CCB123-5FCA-4D75-9575-B626F61433C5}" srcOrd="3" destOrd="0" presId="urn:microsoft.com/office/officeart/2008/layout/VerticalCurvedList"/>
    <dgm:cxn modelId="{938A7EF6-FF5D-4EBF-B446-22D8D8BBA1C7}" type="presParOf" srcId="{6B74B2A7-B989-4BF2-AD0A-D7ECF19A0F66}" destId="{4666804F-2DFA-40CB-8E96-814AC727F055}" srcOrd="1" destOrd="0" presId="urn:microsoft.com/office/officeart/2008/layout/VerticalCurvedList"/>
    <dgm:cxn modelId="{DF36745A-AED5-4B3F-ACDE-1E369760513F}" type="presParOf" srcId="{6B74B2A7-B989-4BF2-AD0A-D7ECF19A0F66}" destId="{780966CE-6379-4728-B293-55383E1F5F59}" srcOrd="2" destOrd="0" presId="urn:microsoft.com/office/officeart/2008/layout/VerticalCurvedList"/>
    <dgm:cxn modelId="{DF8FB88C-D498-4297-A69C-40E4F60F81C2}" type="presParOf" srcId="{780966CE-6379-4728-B293-55383E1F5F59}" destId="{EA9335D3-4476-4B92-8DC6-EB93B553353A}" srcOrd="0" destOrd="0" presId="urn:microsoft.com/office/officeart/2008/layout/VerticalCurvedList"/>
    <dgm:cxn modelId="{FFB7F0E0-0B3D-48AC-8DED-88AA5DF19718}" type="presParOf" srcId="{6B74B2A7-B989-4BF2-AD0A-D7ECF19A0F66}" destId="{9F5C54C4-611F-4180-8743-FDC108C51B01}" srcOrd="3" destOrd="0" presId="urn:microsoft.com/office/officeart/2008/layout/VerticalCurvedList"/>
    <dgm:cxn modelId="{CD70D08C-B130-4ED1-8BA0-623735CFFBD5}" type="presParOf" srcId="{6B74B2A7-B989-4BF2-AD0A-D7ECF19A0F66}" destId="{474E5F24-E044-4359-8AF0-73B4A6270C58}" srcOrd="4" destOrd="0" presId="urn:microsoft.com/office/officeart/2008/layout/VerticalCurvedList"/>
    <dgm:cxn modelId="{82118954-AAB2-4090-AAE2-07F4486B4363}" type="presParOf" srcId="{474E5F24-E044-4359-8AF0-73B4A6270C58}" destId="{B1F9E9A4-F466-4DE0-9901-59A9E6329D7F}" srcOrd="0" destOrd="0" presId="urn:microsoft.com/office/officeart/2008/layout/VerticalCurvedList"/>
    <dgm:cxn modelId="{74F65065-4F58-4E68-A59F-F27AC7CF9D71}" type="presParOf" srcId="{6B74B2A7-B989-4BF2-AD0A-D7ECF19A0F66}" destId="{C3D4011B-0847-4957-8A2E-7E49DD5D2B70}" srcOrd="5" destOrd="0" presId="urn:microsoft.com/office/officeart/2008/layout/VerticalCurvedList"/>
    <dgm:cxn modelId="{7C71233D-F264-49F6-84D7-03EB6317FEC2}" type="presParOf" srcId="{6B74B2A7-B989-4BF2-AD0A-D7ECF19A0F66}" destId="{9E0304EE-02C7-46D1-84A7-B24BB2E05DAE}" srcOrd="6" destOrd="0" presId="urn:microsoft.com/office/officeart/2008/layout/VerticalCurvedList"/>
    <dgm:cxn modelId="{01A6CFFE-0330-4E39-836E-B8898145065E}" type="presParOf" srcId="{9E0304EE-02C7-46D1-84A7-B24BB2E05DAE}" destId="{D23CC7F4-9E9B-47A5-BD29-5955B90B3CEA}" srcOrd="0" destOrd="0" presId="urn:microsoft.com/office/officeart/2008/layout/VerticalCurvedList"/>
    <dgm:cxn modelId="{BCE4F9D4-AD4C-4824-AE07-C3D3C14401AB}" type="presParOf" srcId="{6B74B2A7-B989-4BF2-AD0A-D7ECF19A0F66}" destId="{5A08AE07-1387-42CA-A211-E12E305AEF68}" srcOrd="7" destOrd="0" presId="urn:microsoft.com/office/officeart/2008/layout/VerticalCurvedList"/>
    <dgm:cxn modelId="{B03E4E47-8A8A-448F-816C-F1B1F01FE7F2}" type="presParOf" srcId="{6B74B2A7-B989-4BF2-AD0A-D7ECF19A0F66}" destId="{F23F870E-BE03-4C3E-A17A-4D4EF733FA41}" srcOrd="8" destOrd="0" presId="urn:microsoft.com/office/officeart/2008/layout/VerticalCurvedList"/>
    <dgm:cxn modelId="{810282D1-601B-47FB-89AA-6EB135517200}" type="presParOf" srcId="{F23F870E-BE03-4C3E-A17A-4D4EF733FA41}" destId="{88E65901-052F-4F4F-9662-C2B22B5A9A36}" srcOrd="0" destOrd="0" presId="urn:microsoft.com/office/officeart/2008/layout/VerticalCurvedList"/>
    <dgm:cxn modelId="{D219F6CE-3C5A-46E9-9BC1-4552C8D59CB8}" type="presParOf" srcId="{6B74B2A7-B989-4BF2-AD0A-D7ECF19A0F66}" destId="{777C0294-D1F6-4813-810E-9A4897461D64}" srcOrd="9" destOrd="0" presId="urn:microsoft.com/office/officeart/2008/layout/VerticalCurvedList"/>
    <dgm:cxn modelId="{B315E0A2-2F0E-419A-9527-FD4837AA4F99}" type="presParOf" srcId="{6B74B2A7-B989-4BF2-AD0A-D7ECF19A0F66}" destId="{2A1D2D5C-332B-4B59-9F5F-3943ED5B59C1}" srcOrd="10" destOrd="0" presId="urn:microsoft.com/office/officeart/2008/layout/VerticalCurvedList"/>
    <dgm:cxn modelId="{C9C5C706-2DD1-42FB-8C38-8CA5B91C7FBE}" type="presParOf" srcId="{2A1D2D5C-332B-4B59-9F5F-3943ED5B59C1}" destId="{75A07CF6-5F7E-4A52-9B9B-7C613FEE399B}" srcOrd="0" destOrd="0" presId="urn:microsoft.com/office/officeart/2008/layout/VerticalCurvedList"/>
    <dgm:cxn modelId="{2292EE8F-9593-4401-A036-8111FC25D813}" type="presParOf" srcId="{6B74B2A7-B989-4BF2-AD0A-D7ECF19A0F66}" destId="{7582D66E-63E9-4131-BB8F-85811B72B015}" srcOrd="11" destOrd="0" presId="urn:microsoft.com/office/officeart/2008/layout/VerticalCurvedList"/>
    <dgm:cxn modelId="{063F3A17-EF26-4555-B6AA-17393AC54AEA}" type="presParOf" srcId="{6B74B2A7-B989-4BF2-AD0A-D7ECF19A0F66}" destId="{511C5003-FC84-4CDE-AE01-07EB17590232}" srcOrd="12" destOrd="0" presId="urn:microsoft.com/office/officeart/2008/layout/VerticalCurvedList"/>
    <dgm:cxn modelId="{B9A42DDD-20BB-4335-89EE-C95D15AAC86B}" type="presParOf" srcId="{511C5003-FC84-4CDE-AE01-07EB17590232}" destId="{A14A4854-4C0A-4CD2-8CBA-B97D5C00E3C8}" srcOrd="0" destOrd="0" presId="urn:microsoft.com/office/officeart/2008/layout/VerticalCurvedLis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48C5041-FCA2-4144-8CE8-CF859C3018CD}">
      <dsp:nvSpPr>
        <dsp:cNvPr id="0" name=""/>
        <dsp:cNvSpPr/>
      </dsp:nvSpPr>
      <dsp:spPr>
        <a:xfrm>
          <a:off x="-3617274" y="-555868"/>
          <a:ext cx="4312137" cy="4312137"/>
        </a:xfrm>
        <a:prstGeom prst="blockArc">
          <a:avLst>
            <a:gd name="adj1" fmla="val 18900000"/>
            <a:gd name="adj2" fmla="val 2700000"/>
            <a:gd name="adj3" fmla="val 501"/>
          </a:avLst>
        </a:prstGeom>
        <a:noFill/>
        <a:ln w="25400" cap="flat" cmpd="sng" algn="ctr">
          <a:solidFill>
            <a:schemeClr val="accent6">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4666804F-2DFA-40CB-8E96-814AC727F055}">
      <dsp:nvSpPr>
        <dsp:cNvPr id="0" name=""/>
        <dsp:cNvSpPr/>
      </dsp:nvSpPr>
      <dsp:spPr>
        <a:xfrm>
          <a:off x="260250" y="168533"/>
          <a:ext cx="4079702" cy="336938"/>
        </a:xfrm>
        <a:prstGeom prst="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67445" tIns="40640" rIns="40640" bIns="40640" numCol="1" spcCol="1270" anchor="ctr" anchorCtr="0">
          <a:noAutofit/>
        </a:bodyPr>
        <a:lstStyle/>
        <a:p>
          <a:pPr marL="0" lvl="0" indent="0" algn="l" defTabSz="711200">
            <a:lnSpc>
              <a:spcPct val="90000"/>
            </a:lnSpc>
            <a:spcBef>
              <a:spcPct val="0"/>
            </a:spcBef>
            <a:spcAft>
              <a:spcPct val="35000"/>
            </a:spcAft>
            <a:buNone/>
          </a:pPr>
          <a:r>
            <a:rPr lang="en-IN" sz="1600" b="1" kern="1200"/>
            <a:t>Local residents</a:t>
          </a:r>
        </a:p>
      </dsp:txBody>
      <dsp:txXfrm>
        <a:off x="260250" y="168533"/>
        <a:ext cx="4079702" cy="336938"/>
      </dsp:txXfrm>
    </dsp:sp>
    <dsp:sp modelId="{EA9335D3-4476-4B92-8DC6-EB93B553353A}">
      <dsp:nvSpPr>
        <dsp:cNvPr id="0" name=""/>
        <dsp:cNvSpPr/>
      </dsp:nvSpPr>
      <dsp:spPr>
        <a:xfrm>
          <a:off x="49664" y="126415"/>
          <a:ext cx="421172" cy="421172"/>
        </a:xfrm>
        <a:prstGeom prst="ellipse">
          <a:avLst/>
        </a:prstGeom>
        <a:solidFill>
          <a:schemeClr val="lt1">
            <a:hueOff val="0"/>
            <a:satOff val="0"/>
            <a:lumOff val="0"/>
            <a:alphaOff val="0"/>
          </a:schemeClr>
        </a:solidFill>
        <a:ln w="9525" cap="flat" cmpd="sng" algn="ctr">
          <a:solidFill>
            <a:schemeClr val="accent5">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9F5C54C4-611F-4180-8743-FDC108C51B01}">
      <dsp:nvSpPr>
        <dsp:cNvPr id="0" name=""/>
        <dsp:cNvSpPr/>
      </dsp:nvSpPr>
      <dsp:spPr>
        <a:xfrm>
          <a:off x="537405" y="673876"/>
          <a:ext cx="3802547" cy="336938"/>
        </a:xfrm>
        <a:prstGeom prst="rect">
          <a:avLst/>
        </a:prstGeom>
        <a:gradFill rotWithShape="0">
          <a:gsLst>
            <a:gs pos="0">
              <a:schemeClr val="accent5">
                <a:hueOff val="-1986775"/>
                <a:satOff val="7962"/>
                <a:lumOff val="1726"/>
                <a:alphaOff val="0"/>
                <a:shade val="51000"/>
                <a:satMod val="130000"/>
              </a:schemeClr>
            </a:gs>
            <a:gs pos="80000">
              <a:schemeClr val="accent5">
                <a:hueOff val="-1986775"/>
                <a:satOff val="7962"/>
                <a:lumOff val="1726"/>
                <a:alphaOff val="0"/>
                <a:shade val="93000"/>
                <a:satMod val="130000"/>
              </a:schemeClr>
            </a:gs>
            <a:gs pos="100000">
              <a:schemeClr val="accent5">
                <a:hueOff val="-1986775"/>
                <a:satOff val="7962"/>
                <a:lumOff val="1726"/>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67445" tIns="40640" rIns="40640" bIns="40640" numCol="1" spcCol="1270" anchor="ctr" anchorCtr="0">
          <a:noAutofit/>
        </a:bodyPr>
        <a:lstStyle/>
        <a:p>
          <a:pPr marL="0" lvl="0" indent="0" algn="l" defTabSz="711200">
            <a:lnSpc>
              <a:spcPct val="90000"/>
            </a:lnSpc>
            <a:spcBef>
              <a:spcPct val="0"/>
            </a:spcBef>
            <a:spcAft>
              <a:spcPct val="35000"/>
            </a:spcAft>
            <a:buNone/>
          </a:pPr>
          <a:r>
            <a:rPr lang="en-IN" sz="1600" b="1" kern="1200"/>
            <a:t>Local authority / City Council</a:t>
          </a:r>
        </a:p>
      </dsp:txBody>
      <dsp:txXfrm>
        <a:off x="537405" y="673876"/>
        <a:ext cx="3802547" cy="336938"/>
      </dsp:txXfrm>
    </dsp:sp>
    <dsp:sp modelId="{B1F9E9A4-F466-4DE0-9901-59A9E6329D7F}">
      <dsp:nvSpPr>
        <dsp:cNvPr id="0" name=""/>
        <dsp:cNvSpPr/>
      </dsp:nvSpPr>
      <dsp:spPr>
        <a:xfrm>
          <a:off x="326819" y="631758"/>
          <a:ext cx="421172" cy="421172"/>
        </a:xfrm>
        <a:prstGeom prst="ellipse">
          <a:avLst/>
        </a:prstGeom>
        <a:solidFill>
          <a:schemeClr val="lt1">
            <a:hueOff val="0"/>
            <a:satOff val="0"/>
            <a:lumOff val="0"/>
            <a:alphaOff val="0"/>
          </a:schemeClr>
        </a:solidFill>
        <a:ln w="9525" cap="flat" cmpd="sng" algn="ctr">
          <a:solidFill>
            <a:schemeClr val="accent5">
              <a:hueOff val="-1986775"/>
              <a:satOff val="7962"/>
              <a:lumOff val="1726"/>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C3D4011B-0847-4957-8A2E-7E49DD5D2B70}">
      <dsp:nvSpPr>
        <dsp:cNvPr id="0" name=""/>
        <dsp:cNvSpPr/>
      </dsp:nvSpPr>
      <dsp:spPr>
        <a:xfrm>
          <a:off x="664141" y="1179219"/>
          <a:ext cx="3675811" cy="336938"/>
        </a:xfrm>
        <a:prstGeom prst="rect">
          <a:avLst/>
        </a:prstGeom>
        <a:gradFill rotWithShape="0">
          <a:gsLst>
            <a:gs pos="0">
              <a:schemeClr val="accent5">
                <a:hueOff val="-3973551"/>
                <a:satOff val="15924"/>
                <a:lumOff val="3451"/>
                <a:alphaOff val="0"/>
                <a:shade val="51000"/>
                <a:satMod val="130000"/>
              </a:schemeClr>
            </a:gs>
            <a:gs pos="80000">
              <a:schemeClr val="accent5">
                <a:hueOff val="-3973551"/>
                <a:satOff val="15924"/>
                <a:lumOff val="3451"/>
                <a:alphaOff val="0"/>
                <a:shade val="93000"/>
                <a:satMod val="130000"/>
              </a:schemeClr>
            </a:gs>
            <a:gs pos="100000">
              <a:schemeClr val="accent5">
                <a:hueOff val="-3973551"/>
                <a:satOff val="15924"/>
                <a:lumOff val="3451"/>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67445" tIns="40640" rIns="40640" bIns="40640" numCol="1" spcCol="1270" anchor="ctr" anchorCtr="0">
          <a:noAutofit/>
        </a:bodyPr>
        <a:lstStyle/>
        <a:p>
          <a:pPr marL="0" lvl="0" indent="0" algn="l" defTabSz="711200">
            <a:lnSpc>
              <a:spcPct val="90000"/>
            </a:lnSpc>
            <a:spcBef>
              <a:spcPct val="0"/>
            </a:spcBef>
            <a:spcAft>
              <a:spcPct val="35000"/>
            </a:spcAft>
            <a:buNone/>
          </a:pPr>
          <a:r>
            <a:rPr lang="en-IN" sz="1600" b="1" kern="1200"/>
            <a:t>Local businesses and Traders</a:t>
          </a:r>
        </a:p>
      </dsp:txBody>
      <dsp:txXfrm>
        <a:off x="664141" y="1179219"/>
        <a:ext cx="3675811" cy="336938"/>
      </dsp:txXfrm>
    </dsp:sp>
    <dsp:sp modelId="{D23CC7F4-9E9B-47A5-BD29-5955B90B3CEA}">
      <dsp:nvSpPr>
        <dsp:cNvPr id="0" name=""/>
        <dsp:cNvSpPr/>
      </dsp:nvSpPr>
      <dsp:spPr>
        <a:xfrm>
          <a:off x="453554" y="1137102"/>
          <a:ext cx="421172" cy="421172"/>
        </a:xfrm>
        <a:prstGeom prst="ellipse">
          <a:avLst/>
        </a:prstGeom>
        <a:solidFill>
          <a:schemeClr val="lt1">
            <a:hueOff val="0"/>
            <a:satOff val="0"/>
            <a:lumOff val="0"/>
            <a:alphaOff val="0"/>
          </a:schemeClr>
        </a:solidFill>
        <a:ln w="9525" cap="flat" cmpd="sng" algn="ctr">
          <a:solidFill>
            <a:schemeClr val="accent5">
              <a:hueOff val="-3973551"/>
              <a:satOff val="15924"/>
              <a:lumOff val="3451"/>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5A08AE07-1387-42CA-A211-E12E305AEF68}">
      <dsp:nvSpPr>
        <dsp:cNvPr id="0" name=""/>
        <dsp:cNvSpPr/>
      </dsp:nvSpPr>
      <dsp:spPr>
        <a:xfrm>
          <a:off x="664141" y="1684242"/>
          <a:ext cx="3675811" cy="336938"/>
        </a:xfrm>
        <a:prstGeom prst="rect">
          <a:avLst/>
        </a:prstGeom>
        <a:gradFill rotWithShape="0">
          <a:gsLst>
            <a:gs pos="0">
              <a:schemeClr val="accent5">
                <a:hueOff val="-5960326"/>
                <a:satOff val="23887"/>
                <a:lumOff val="5177"/>
                <a:alphaOff val="0"/>
                <a:shade val="51000"/>
                <a:satMod val="130000"/>
              </a:schemeClr>
            </a:gs>
            <a:gs pos="80000">
              <a:schemeClr val="accent5">
                <a:hueOff val="-5960326"/>
                <a:satOff val="23887"/>
                <a:lumOff val="5177"/>
                <a:alphaOff val="0"/>
                <a:shade val="93000"/>
                <a:satMod val="130000"/>
              </a:schemeClr>
            </a:gs>
            <a:gs pos="100000">
              <a:schemeClr val="accent5">
                <a:hueOff val="-5960326"/>
                <a:satOff val="23887"/>
                <a:lumOff val="5177"/>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67445" tIns="40640" rIns="40640" bIns="40640" numCol="1" spcCol="1270" anchor="ctr" anchorCtr="0">
          <a:noAutofit/>
        </a:bodyPr>
        <a:lstStyle/>
        <a:p>
          <a:pPr marL="0" lvl="0" indent="0" algn="l" defTabSz="711200">
            <a:lnSpc>
              <a:spcPct val="90000"/>
            </a:lnSpc>
            <a:spcBef>
              <a:spcPct val="0"/>
            </a:spcBef>
            <a:spcAft>
              <a:spcPct val="35000"/>
            </a:spcAft>
            <a:buNone/>
          </a:pPr>
          <a:r>
            <a:rPr lang="en-IN" sz="1600" b="1" kern="1200"/>
            <a:t>Environmental and community NGOs</a:t>
          </a:r>
        </a:p>
      </dsp:txBody>
      <dsp:txXfrm>
        <a:off x="664141" y="1684242"/>
        <a:ext cx="3675811" cy="336938"/>
      </dsp:txXfrm>
    </dsp:sp>
    <dsp:sp modelId="{88E65901-052F-4F4F-9662-C2B22B5A9A36}">
      <dsp:nvSpPr>
        <dsp:cNvPr id="0" name=""/>
        <dsp:cNvSpPr/>
      </dsp:nvSpPr>
      <dsp:spPr>
        <a:xfrm>
          <a:off x="453554" y="1642125"/>
          <a:ext cx="421172" cy="421172"/>
        </a:xfrm>
        <a:prstGeom prst="ellipse">
          <a:avLst/>
        </a:prstGeom>
        <a:solidFill>
          <a:schemeClr val="lt1">
            <a:hueOff val="0"/>
            <a:satOff val="0"/>
            <a:lumOff val="0"/>
            <a:alphaOff val="0"/>
          </a:schemeClr>
        </a:solidFill>
        <a:ln w="9525" cap="flat" cmpd="sng" algn="ctr">
          <a:solidFill>
            <a:schemeClr val="accent5">
              <a:hueOff val="-5960326"/>
              <a:satOff val="23887"/>
              <a:lumOff val="5177"/>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777C0294-D1F6-4813-810E-9A4897461D64}">
      <dsp:nvSpPr>
        <dsp:cNvPr id="0" name=""/>
        <dsp:cNvSpPr/>
      </dsp:nvSpPr>
      <dsp:spPr>
        <a:xfrm>
          <a:off x="537405" y="2189585"/>
          <a:ext cx="3802547" cy="336938"/>
        </a:xfrm>
        <a:prstGeom prst="rect">
          <a:avLst/>
        </a:prstGeom>
        <a:gradFill rotWithShape="0">
          <a:gsLst>
            <a:gs pos="0">
              <a:schemeClr val="accent5">
                <a:hueOff val="-7947101"/>
                <a:satOff val="31849"/>
                <a:lumOff val="6902"/>
                <a:alphaOff val="0"/>
                <a:shade val="51000"/>
                <a:satMod val="130000"/>
              </a:schemeClr>
            </a:gs>
            <a:gs pos="80000">
              <a:schemeClr val="accent5">
                <a:hueOff val="-7947101"/>
                <a:satOff val="31849"/>
                <a:lumOff val="6902"/>
                <a:alphaOff val="0"/>
                <a:shade val="93000"/>
                <a:satMod val="130000"/>
              </a:schemeClr>
            </a:gs>
            <a:gs pos="100000">
              <a:schemeClr val="accent5">
                <a:hueOff val="-7947101"/>
                <a:satOff val="31849"/>
                <a:lumOff val="6902"/>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67445" tIns="40640" rIns="40640" bIns="40640" numCol="1" spcCol="1270" anchor="ctr" anchorCtr="0">
          <a:noAutofit/>
        </a:bodyPr>
        <a:lstStyle/>
        <a:p>
          <a:pPr marL="0" lvl="0" indent="0" algn="l" defTabSz="711200">
            <a:lnSpc>
              <a:spcPct val="90000"/>
            </a:lnSpc>
            <a:spcBef>
              <a:spcPct val="0"/>
            </a:spcBef>
            <a:spcAft>
              <a:spcPct val="35000"/>
            </a:spcAft>
            <a:buNone/>
          </a:pPr>
          <a:r>
            <a:rPr lang="en-IN" sz="1600" b="1" kern="1200"/>
            <a:t>Construction and Design Contractors</a:t>
          </a:r>
        </a:p>
      </dsp:txBody>
      <dsp:txXfrm>
        <a:off x="537405" y="2189585"/>
        <a:ext cx="3802547" cy="336938"/>
      </dsp:txXfrm>
    </dsp:sp>
    <dsp:sp modelId="{75A07CF6-5F7E-4A52-9B9B-7C613FEE399B}">
      <dsp:nvSpPr>
        <dsp:cNvPr id="0" name=""/>
        <dsp:cNvSpPr/>
      </dsp:nvSpPr>
      <dsp:spPr>
        <a:xfrm>
          <a:off x="326819" y="2147468"/>
          <a:ext cx="421172" cy="421172"/>
        </a:xfrm>
        <a:prstGeom prst="ellipse">
          <a:avLst/>
        </a:prstGeom>
        <a:solidFill>
          <a:schemeClr val="lt1">
            <a:hueOff val="0"/>
            <a:satOff val="0"/>
            <a:lumOff val="0"/>
            <a:alphaOff val="0"/>
          </a:schemeClr>
        </a:solidFill>
        <a:ln w="9525" cap="flat" cmpd="sng" algn="ctr">
          <a:solidFill>
            <a:schemeClr val="accent5">
              <a:hueOff val="-7947101"/>
              <a:satOff val="31849"/>
              <a:lumOff val="6902"/>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7582D66E-63E9-4131-BB8F-85811B72B015}">
      <dsp:nvSpPr>
        <dsp:cNvPr id="0" name=""/>
        <dsp:cNvSpPr/>
      </dsp:nvSpPr>
      <dsp:spPr>
        <a:xfrm>
          <a:off x="260250" y="2694928"/>
          <a:ext cx="4079702" cy="336938"/>
        </a:xfrm>
        <a:prstGeom prst="rect">
          <a:avLst/>
        </a:prstGeom>
        <a:gradFill rotWithShape="0">
          <a:gsLst>
            <a:gs pos="0">
              <a:schemeClr val="accent5">
                <a:hueOff val="-9933876"/>
                <a:satOff val="39811"/>
                <a:lumOff val="8628"/>
                <a:alphaOff val="0"/>
                <a:shade val="51000"/>
                <a:satMod val="130000"/>
              </a:schemeClr>
            </a:gs>
            <a:gs pos="80000">
              <a:schemeClr val="accent5">
                <a:hueOff val="-9933876"/>
                <a:satOff val="39811"/>
                <a:lumOff val="8628"/>
                <a:alphaOff val="0"/>
                <a:shade val="93000"/>
                <a:satMod val="130000"/>
              </a:schemeClr>
            </a:gs>
            <a:gs pos="100000">
              <a:schemeClr val="accent5">
                <a:hueOff val="-9933876"/>
                <a:satOff val="39811"/>
                <a:lumOff val="8628"/>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67445" tIns="40640" rIns="40640" bIns="40640" numCol="1" spcCol="1270" anchor="ctr" anchorCtr="0">
          <a:noAutofit/>
        </a:bodyPr>
        <a:lstStyle/>
        <a:p>
          <a:pPr marL="0" lvl="0" indent="0" algn="l" defTabSz="711200">
            <a:lnSpc>
              <a:spcPct val="90000"/>
            </a:lnSpc>
            <a:spcBef>
              <a:spcPct val="0"/>
            </a:spcBef>
            <a:spcAft>
              <a:spcPct val="35000"/>
            </a:spcAft>
            <a:buNone/>
          </a:pPr>
          <a:r>
            <a:rPr lang="en-IN" sz="1600" b="1" kern="1200"/>
            <a:t>Healthcare and Social Service Organisations</a:t>
          </a:r>
        </a:p>
      </dsp:txBody>
      <dsp:txXfrm>
        <a:off x="260250" y="2694928"/>
        <a:ext cx="4079702" cy="336938"/>
      </dsp:txXfrm>
    </dsp:sp>
    <dsp:sp modelId="{A14A4854-4C0A-4CD2-8CBA-B97D5C00E3C8}">
      <dsp:nvSpPr>
        <dsp:cNvPr id="0" name=""/>
        <dsp:cNvSpPr/>
      </dsp:nvSpPr>
      <dsp:spPr>
        <a:xfrm>
          <a:off x="49664" y="2652811"/>
          <a:ext cx="421172" cy="421172"/>
        </a:xfrm>
        <a:prstGeom prst="ellipse">
          <a:avLst/>
        </a:prstGeom>
        <a:solidFill>
          <a:schemeClr val="lt1">
            <a:hueOff val="0"/>
            <a:satOff val="0"/>
            <a:lumOff val="0"/>
            <a:alphaOff val="0"/>
          </a:schemeClr>
        </a:solidFill>
        <a:ln w="9525" cap="flat" cmpd="sng" algn="ctr">
          <a:solidFill>
            <a:schemeClr val="accent5">
              <a:hueOff val="-9933876"/>
              <a:satOff val="39811"/>
              <a:lumOff val="8628"/>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507B65-8373-41A6-A46D-6E4A99DBFD7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User</dc:creator>
  <lastModifiedBy>Razvan Sorin Grigore (2328067)</lastModifiedBy>
  <revision>36</revision>
  <dcterms:created xsi:type="dcterms:W3CDTF">2025-12-02T05:39:00.0000000Z</dcterms:created>
  <dcterms:modified xsi:type="dcterms:W3CDTF">2025-12-06T00:25:56.9643034Z</dcterms:modified>
</coreProperties>
</file>