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B38719" w14:textId="77777777" w:rsidR="00B52C38" w:rsidRDefault="00153434" w:rsidP="00153434">
      <w:r>
        <w:rPr>
          <w:noProof/>
        </w:rPr>
        <w:drawing>
          <wp:inline distT="114300" distB="114300" distL="114300" distR="114300" wp14:anchorId="6A679858" wp14:editId="234C67A6">
            <wp:extent cx="1452563" cy="648333"/>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1452563" cy="648333"/>
                    </a:xfrm>
                    <a:prstGeom prst="rect">
                      <a:avLst/>
                    </a:prstGeom>
                    <a:ln/>
                  </pic:spPr>
                </pic:pic>
              </a:graphicData>
            </a:graphic>
          </wp:inline>
        </w:drawing>
      </w:r>
    </w:p>
    <w:p w14:paraId="0752AF9D" w14:textId="0B32B33C" w:rsidR="00B52C38" w:rsidRDefault="009B3FD6" w:rsidP="00153434">
      <w:pPr>
        <w:spacing w:before="1560"/>
        <w:jc w:val="center"/>
      </w:pPr>
      <w:r>
        <w:rPr>
          <w:b/>
          <w:bCs/>
          <w:sz w:val="32"/>
          <w:szCs w:val="32"/>
        </w:rPr>
        <w:t>Stakeholder Engagement for the Launch of ConnectPlus: An AI-Powered Customer Loyalty Platform at Tesco PLC</w:t>
      </w:r>
      <w:r w:rsidR="000C7FE3">
        <w:rPr>
          <w:b/>
          <w:bCs/>
          <w:sz w:val="32"/>
          <w:szCs w:val="32"/>
        </w:rPr>
        <w:t xml:space="preserve">  </w:t>
      </w:r>
    </w:p>
    <w:p w14:paraId="34B9041D" w14:textId="68E57407" w:rsidR="00B52C38" w:rsidRDefault="003405A1" w:rsidP="000C7FE3">
      <w:pPr>
        <w:spacing w:after="200"/>
      </w:pPr>
      <w:r w:rsidRPr="000C7FE3">
        <w:rPr>
          <w:b/>
          <w:bCs/>
          <w:sz w:val="28"/>
          <w:szCs w:val="28"/>
        </w:rPr>
        <w:t>Title</w:t>
      </w:r>
      <w:r>
        <w:t>:</w:t>
      </w:r>
      <w:r>
        <w:rPr>
          <w:b/>
          <w:bCs/>
          <w:sz w:val="32"/>
          <w:szCs w:val="32"/>
        </w:rPr>
        <w:t xml:space="preserve"> An</w:t>
      </w:r>
      <w:r w:rsidR="009B3FD6">
        <w:rPr>
          <w:b/>
          <w:bCs/>
          <w:sz w:val="32"/>
          <w:szCs w:val="32"/>
        </w:rPr>
        <w:t xml:space="preserve"> Individual Report on Stakeholder Engagement</w:t>
      </w:r>
    </w:p>
    <w:p w14:paraId="38DFAED8" w14:textId="77777777" w:rsidR="00B52C38" w:rsidRDefault="009B3FD6">
      <w:pPr>
        <w:jc w:val="center"/>
      </w:pPr>
      <w:r>
        <w:rPr>
          <w:b/>
          <w:bCs/>
          <w:sz w:val="32"/>
          <w:szCs w:val="32"/>
        </w:rPr>
        <w:t>Module: LCLM5001 - Understanding and Engaging Stakeholders</w:t>
      </w:r>
    </w:p>
    <w:p w14:paraId="784353EE" w14:textId="77777777" w:rsidR="00B52C38" w:rsidRDefault="009B3FD6">
      <w:pPr>
        <w:jc w:val="center"/>
      </w:pPr>
      <w:r>
        <w:rPr>
          <w:b/>
          <w:bCs/>
          <w:sz w:val="32"/>
          <w:szCs w:val="32"/>
        </w:rPr>
        <w:t>Prepared for: Board of Directors and Senior Management, Tesco PLC</w:t>
      </w:r>
    </w:p>
    <w:p w14:paraId="49F7CBE5" w14:textId="4E8054B8" w:rsidR="00153434" w:rsidRDefault="00FF08F7">
      <w:pPr>
        <w:jc w:val="center"/>
        <w:rPr>
          <w:b/>
          <w:bCs/>
          <w:sz w:val="32"/>
          <w:szCs w:val="32"/>
        </w:rPr>
      </w:pPr>
      <w:r>
        <w:rPr>
          <w:b/>
          <w:bCs/>
          <w:sz w:val="32"/>
          <w:szCs w:val="32"/>
        </w:rPr>
        <w:t>Name: Sulita Aminta Camara</w:t>
      </w:r>
    </w:p>
    <w:p w14:paraId="08225E8A" w14:textId="787EDFA7" w:rsidR="00FF08F7" w:rsidRDefault="00FF08F7">
      <w:pPr>
        <w:jc w:val="center"/>
        <w:rPr>
          <w:b/>
          <w:bCs/>
          <w:sz w:val="32"/>
          <w:szCs w:val="32"/>
        </w:rPr>
      </w:pPr>
      <w:r>
        <w:rPr>
          <w:b/>
          <w:bCs/>
          <w:sz w:val="32"/>
          <w:szCs w:val="32"/>
        </w:rPr>
        <w:t>ID Number:2438447</w:t>
      </w:r>
    </w:p>
    <w:p w14:paraId="44422069" w14:textId="77777777" w:rsidR="00FF08F7" w:rsidRDefault="00FF08F7">
      <w:pPr>
        <w:jc w:val="center"/>
        <w:rPr>
          <w:b/>
          <w:bCs/>
          <w:sz w:val="32"/>
          <w:szCs w:val="32"/>
        </w:rPr>
      </w:pPr>
    </w:p>
    <w:p w14:paraId="4255E28A" w14:textId="6F7BB9DE" w:rsidR="00153434" w:rsidRDefault="000C7FE3" w:rsidP="000C7FE3">
      <w:pPr>
        <w:tabs>
          <w:tab w:val="left" w:pos="1968"/>
        </w:tabs>
        <w:rPr>
          <w:b/>
          <w:bCs/>
          <w:sz w:val="32"/>
          <w:szCs w:val="32"/>
        </w:rPr>
      </w:pPr>
      <w:r>
        <w:rPr>
          <w:b/>
          <w:bCs/>
          <w:sz w:val="32"/>
          <w:szCs w:val="32"/>
        </w:rPr>
        <w:tab/>
      </w:r>
    </w:p>
    <w:p w14:paraId="73E09382" w14:textId="77777777" w:rsidR="00153434" w:rsidRDefault="00153434">
      <w:pPr>
        <w:jc w:val="center"/>
        <w:rPr>
          <w:b/>
          <w:bCs/>
          <w:sz w:val="32"/>
          <w:szCs w:val="32"/>
        </w:rPr>
      </w:pPr>
    </w:p>
    <w:p w14:paraId="0987D818" w14:textId="4F4921FA" w:rsidR="00B52C38" w:rsidRDefault="009B3FD6">
      <w:pPr>
        <w:jc w:val="center"/>
      </w:pPr>
      <w:r>
        <w:rPr>
          <w:b/>
          <w:bCs/>
          <w:sz w:val="32"/>
          <w:szCs w:val="32"/>
        </w:rPr>
        <w:t>Submitted By</w:t>
      </w:r>
      <w:r w:rsidR="000C7FE3">
        <w:rPr>
          <w:b/>
          <w:bCs/>
          <w:sz w:val="32"/>
          <w:szCs w:val="32"/>
        </w:rPr>
        <w:t>: 18</w:t>
      </w:r>
      <w:r w:rsidR="00FF08F7">
        <w:rPr>
          <w:b/>
          <w:bCs/>
          <w:sz w:val="32"/>
          <w:szCs w:val="32"/>
        </w:rPr>
        <w:t>/08/2026</w:t>
      </w:r>
    </w:p>
    <w:p w14:paraId="3B79B98E" w14:textId="77777777" w:rsidR="00B52C38" w:rsidRDefault="009B3FD6">
      <w:r>
        <w:br w:type="page"/>
      </w:r>
    </w:p>
    <w:p w14:paraId="01D4E278" w14:textId="77777777" w:rsidR="000C7FE3" w:rsidRDefault="000C7FE3"/>
    <w:p w14:paraId="4B4E1F0B" w14:textId="77777777" w:rsidR="000C7FE3" w:rsidRDefault="000C7FE3"/>
    <w:p w14:paraId="0516F6D3" w14:textId="77777777" w:rsidR="000C7FE3" w:rsidRDefault="000C7FE3"/>
    <w:p w14:paraId="7E663A5B" w14:textId="77777777" w:rsidR="000C7FE3" w:rsidRDefault="000C7FE3" w:rsidP="000C7FE3">
      <w:pPr>
        <w:pStyle w:val="Heading1"/>
      </w:pPr>
      <w:bookmarkStart w:id="0" w:name="_Toc236873746"/>
      <w:r>
        <w:t>Executive Summary</w:t>
      </w:r>
      <w:bookmarkEnd w:id="0"/>
    </w:p>
    <w:p w14:paraId="32D9C094" w14:textId="05EB76FB" w:rsidR="000C7FE3" w:rsidRDefault="000C7FE3" w:rsidP="000C7FE3">
      <w:pPr>
        <w:spacing w:after="200"/>
      </w:pPr>
      <w:r>
        <w:t xml:space="preserve">This report considered </w:t>
      </w:r>
      <w:r w:rsidR="00B820C8">
        <w:t>how</w:t>
      </w:r>
      <w:r>
        <w:t xml:space="preserve"> Tesco PLC identified, classified, and engaged its stakeholders who were important in the process of the successful launch of </w:t>
      </w:r>
      <w:r w:rsidR="008C5B81">
        <w:t>Connect Plus</w:t>
      </w:r>
      <w:r>
        <w:t xml:space="preserve">, an innovative customer loyalty and engagement platform using Artificial Intelligence. Writing as the Project Manager for this initiative, this report considered stakeholder identification, classification and engagement based on various stakeholder management theories and models, namely stakeholder theory as defined by Freeman; Mendelow's power/interest matrix; Mitchell, Agle and Wood's salience model; RACI Matrix; and the 4 Cs approach to communication, collaboration, consultation and commitment. In terms of stakeholders, this paper looked at both internal and external stakeholders, including the product development department, marketing, data and information technology, store operations and Board for the internal stakeholders and customers, suppliers, regulatory bodies, technology partners and local communities for the external stakeholders. This report also discussed and evaluated the advantages and disadvantages of sustainable engagement; ethical concerns regarding privacy and fairness of algorithms; and </w:t>
      </w:r>
      <w:r w:rsidR="008C5B81">
        <w:t>real-world</w:t>
      </w:r>
      <w:r>
        <w:t xml:space="preserve"> experiences of Tesco through the history of Clubcard and loyalty schemes of other companies such as Sainsbury's Nectar and Amazon Prime. Finally, a six-month strategy for </w:t>
      </w:r>
      <w:r w:rsidR="00465203">
        <w:t>engaging stakeholders</w:t>
      </w:r>
      <w:r>
        <w:t xml:space="preserve"> in this project was recommended.</w:t>
      </w:r>
    </w:p>
    <w:p w14:paraId="082B3420" w14:textId="77777777" w:rsidR="000C7FE3" w:rsidRDefault="000C7FE3"/>
    <w:p w14:paraId="244DD15A" w14:textId="77777777" w:rsidR="000C7FE3" w:rsidRDefault="000C7FE3"/>
    <w:p w14:paraId="3DFF85E9" w14:textId="77777777" w:rsidR="000C7FE3" w:rsidRDefault="000C7FE3"/>
    <w:p w14:paraId="1F59939E" w14:textId="77777777" w:rsidR="000C7FE3" w:rsidRDefault="000C7FE3"/>
    <w:p w14:paraId="4E82B45E" w14:textId="77777777" w:rsidR="000C7FE3" w:rsidRDefault="000C7FE3"/>
    <w:p w14:paraId="636BDD68" w14:textId="77777777" w:rsidR="000C7FE3" w:rsidRDefault="000C7FE3"/>
    <w:p w14:paraId="45C60FA7" w14:textId="77777777" w:rsidR="000C7FE3" w:rsidRDefault="000C7FE3"/>
    <w:p w14:paraId="497DF67C" w14:textId="77777777" w:rsidR="000C7FE3" w:rsidRDefault="000C7FE3"/>
    <w:p w14:paraId="5D3B2915" w14:textId="77777777" w:rsidR="000C7FE3" w:rsidRDefault="000C7FE3"/>
    <w:p w14:paraId="4A32909D" w14:textId="77777777" w:rsidR="000C7FE3" w:rsidRDefault="000C7FE3"/>
    <w:p w14:paraId="215F638B" w14:textId="77777777" w:rsidR="00837CF4" w:rsidRDefault="00837CF4"/>
    <w:p w14:paraId="3BA9FF58" w14:textId="77777777" w:rsidR="000C7FE3" w:rsidRDefault="000C7FE3"/>
    <w:p w14:paraId="69E487B1" w14:textId="77777777" w:rsidR="000C7FE3" w:rsidRDefault="000C7FE3"/>
    <w:p w14:paraId="6759E2FF" w14:textId="77777777" w:rsidR="000C7FE3" w:rsidRDefault="000C7FE3"/>
    <w:p w14:paraId="47D05633" w14:textId="77777777" w:rsidR="00B52C38" w:rsidRDefault="009B3FD6">
      <w:pPr>
        <w:spacing w:after="200"/>
        <w:jc w:val="center"/>
      </w:pPr>
      <w:r>
        <w:rPr>
          <w:b/>
          <w:bCs/>
          <w:sz w:val="28"/>
          <w:szCs w:val="28"/>
        </w:rPr>
        <w:t>Table of Contents</w:t>
      </w:r>
    </w:p>
    <w:sdt>
      <w:sdtPr>
        <w:alias w:val="Table of Contents"/>
        <w:id w:val="1044870326"/>
      </w:sdtPr>
      <w:sdtEndPr/>
      <w:sdtContent>
        <w:p w14:paraId="1E87C5A9" w14:textId="77777777" w:rsidR="00CB1CAA" w:rsidRDefault="009B3FD6">
          <w:pPr>
            <w:pStyle w:val="TOC1"/>
            <w:tabs>
              <w:tab w:val="right" w:leader="dot" w:pos="9016"/>
            </w:tabs>
            <w:rPr>
              <w:rFonts w:asciiTheme="minorHAnsi" w:eastAsiaTheme="minorEastAsia" w:hAnsiTheme="minorHAnsi" w:cstheme="minorBidi"/>
              <w:noProof/>
              <w:sz w:val="22"/>
              <w:szCs w:val="22"/>
            </w:rPr>
          </w:pPr>
          <w:r>
            <w:fldChar w:fldCharType="begin"/>
          </w:r>
          <w:r>
            <w:instrText>TOC \h \o "1-2"</w:instrText>
          </w:r>
          <w:r>
            <w:fldChar w:fldCharType="separate"/>
          </w:r>
          <w:hyperlink w:anchor="_Toc236873746" w:history="1">
            <w:r w:rsidR="00CB1CAA" w:rsidRPr="00F93C3D">
              <w:rPr>
                <w:rStyle w:val="Hyperlink"/>
                <w:noProof/>
              </w:rPr>
              <w:t>Executive Summary</w:t>
            </w:r>
            <w:r w:rsidR="00CB1CAA">
              <w:rPr>
                <w:noProof/>
              </w:rPr>
              <w:tab/>
            </w:r>
            <w:r w:rsidR="00CB1CAA">
              <w:rPr>
                <w:noProof/>
              </w:rPr>
              <w:fldChar w:fldCharType="begin"/>
            </w:r>
            <w:r w:rsidR="00CB1CAA">
              <w:rPr>
                <w:noProof/>
              </w:rPr>
              <w:instrText xml:space="preserve"> PAGEREF _Toc236873746 \h </w:instrText>
            </w:r>
            <w:r w:rsidR="00CB1CAA">
              <w:rPr>
                <w:noProof/>
              </w:rPr>
            </w:r>
            <w:r w:rsidR="00CB1CAA">
              <w:rPr>
                <w:noProof/>
              </w:rPr>
              <w:fldChar w:fldCharType="separate"/>
            </w:r>
            <w:r w:rsidR="00C07C3D">
              <w:rPr>
                <w:noProof/>
              </w:rPr>
              <w:t>3</w:t>
            </w:r>
            <w:r w:rsidR="00CB1CAA">
              <w:rPr>
                <w:noProof/>
              </w:rPr>
              <w:fldChar w:fldCharType="end"/>
            </w:r>
          </w:hyperlink>
        </w:p>
        <w:p w14:paraId="59B6A3C8" w14:textId="77777777" w:rsidR="00CB1CAA" w:rsidRDefault="00CB1CAA">
          <w:pPr>
            <w:pStyle w:val="TOC1"/>
            <w:tabs>
              <w:tab w:val="right" w:leader="dot" w:pos="9016"/>
            </w:tabs>
            <w:rPr>
              <w:rFonts w:asciiTheme="minorHAnsi" w:eastAsiaTheme="minorEastAsia" w:hAnsiTheme="minorHAnsi" w:cstheme="minorBidi"/>
              <w:noProof/>
              <w:sz w:val="22"/>
              <w:szCs w:val="22"/>
            </w:rPr>
          </w:pPr>
          <w:hyperlink w:anchor="_Toc236873747" w:history="1">
            <w:r w:rsidRPr="00F93C3D">
              <w:rPr>
                <w:rStyle w:val="Hyperlink"/>
                <w:noProof/>
              </w:rPr>
              <w:t>1.0. Introduction to the Chosen Organisation</w:t>
            </w:r>
            <w:r>
              <w:rPr>
                <w:noProof/>
              </w:rPr>
              <w:tab/>
            </w:r>
            <w:r>
              <w:rPr>
                <w:noProof/>
              </w:rPr>
              <w:fldChar w:fldCharType="begin"/>
            </w:r>
            <w:r>
              <w:rPr>
                <w:noProof/>
              </w:rPr>
              <w:instrText xml:space="preserve"> PAGEREF _Toc236873747 \h </w:instrText>
            </w:r>
            <w:r>
              <w:rPr>
                <w:noProof/>
              </w:rPr>
            </w:r>
            <w:r>
              <w:rPr>
                <w:noProof/>
              </w:rPr>
              <w:fldChar w:fldCharType="separate"/>
            </w:r>
            <w:r w:rsidR="00C07C3D">
              <w:rPr>
                <w:noProof/>
              </w:rPr>
              <w:t>3</w:t>
            </w:r>
            <w:r>
              <w:rPr>
                <w:noProof/>
              </w:rPr>
              <w:fldChar w:fldCharType="end"/>
            </w:r>
          </w:hyperlink>
        </w:p>
        <w:p w14:paraId="4EB6231F" w14:textId="77777777" w:rsidR="00CB1CAA" w:rsidRDefault="00CB1CAA">
          <w:pPr>
            <w:pStyle w:val="TOC1"/>
            <w:tabs>
              <w:tab w:val="right" w:leader="dot" w:pos="9016"/>
            </w:tabs>
            <w:rPr>
              <w:rFonts w:asciiTheme="minorHAnsi" w:eastAsiaTheme="minorEastAsia" w:hAnsiTheme="minorHAnsi" w:cstheme="minorBidi"/>
              <w:noProof/>
              <w:sz w:val="22"/>
              <w:szCs w:val="22"/>
            </w:rPr>
          </w:pPr>
          <w:hyperlink w:anchor="_Toc236873748" w:history="1">
            <w:r w:rsidRPr="00F93C3D">
              <w:rPr>
                <w:rStyle w:val="Hyperlink"/>
                <w:noProof/>
              </w:rPr>
              <w:t>2.0. Objectives of the Project (SMART)</w:t>
            </w:r>
            <w:r>
              <w:rPr>
                <w:noProof/>
              </w:rPr>
              <w:tab/>
            </w:r>
            <w:r>
              <w:rPr>
                <w:noProof/>
              </w:rPr>
              <w:fldChar w:fldCharType="begin"/>
            </w:r>
            <w:r>
              <w:rPr>
                <w:noProof/>
              </w:rPr>
              <w:instrText xml:space="preserve"> PAGEREF _Toc236873748 \h </w:instrText>
            </w:r>
            <w:r>
              <w:rPr>
                <w:noProof/>
              </w:rPr>
            </w:r>
            <w:r>
              <w:rPr>
                <w:noProof/>
              </w:rPr>
              <w:fldChar w:fldCharType="separate"/>
            </w:r>
            <w:r w:rsidR="00C07C3D">
              <w:rPr>
                <w:noProof/>
              </w:rPr>
              <w:t>4</w:t>
            </w:r>
            <w:r>
              <w:rPr>
                <w:noProof/>
              </w:rPr>
              <w:fldChar w:fldCharType="end"/>
            </w:r>
          </w:hyperlink>
        </w:p>
        <w:p w14:paraId="3C6E3294" w14:textId="77777777" w:rsidR="00CB1CAA" w:rsidRDefault="00CB1CAA">
          <w:pPr>
            <w:pStyle w:val="TOC1"/>
            <w:tabs>
              <w:tab w:val="right" w:leader="dot" w:pos="9016"/>
            </w:tabs>
            <w:rPr>
              <w:rFonts w:asciiTheme="minorHAnsi" w:eastAsiaTheme="minorEastAsia" w:hAnsiTheme="minorHAnsi" w:cstheme="minorBidi"/>
              <w:noProof/>
              <w:sz w:val="22"/>
              <w:szCs w:val="22"/>
            </w:rPr>
          </w:pPr>
          <w:hyperlink w:anchor="_Toc236873749" w:history="1">
            <w:r w:rsidRPr="00F93C3D">
              <w:rPr>
                <w:rStyle w:val="Hyperlink"/>
                <w:noProof/>
              </w:rPr>
              <w:t>3.0. Identifying Key Stakeholders</w:t>
            </w:r>
            <w:r>
              <w:rPr>
                <w:noProof/>
              </w:rPr>
              <w:tab/>
            </w:r>
            <w:r>
              <w:rPr>
                <w:noProof/>
              </w:rPr>
              <w:fldChar w:fldCharType="begin"/>
            </w:r>
            <w:r>
              <w:rPr>
                <w:noProof/>
              </w:rPr>
              <w:instrText xml:space="preserve"> PAGEREF _Toc236873749 \h </w:instrText>
            </w:r>
            <w:r>
              <w:rPr>
                <w:noProof/>
              </w:rPr>
            </w:r>
            <w:r>
              <w:rPr>
                <w:noProof/>
              </w:rPr>
              <w:fldChar w:fldCharType="separate"/>
            </w:r>
            <w:r w:rsidR="00C07C3D">
              <w:rPr>
                <w:noProof/>
              </w:rPr>
              <w:t>4</w:t>
            </w:r>
            <w:r>
              <w:rPr>
                <w:noProof/>
              </w:rPr>
              <w:fldChar w:fldCharType="end"/>
            </w:r>
          </w:hyperlink>
        </w:p>
        <w:p w14:paraId="6A973B31" w14:textId="77777777" w:rsidR="00CB1CAA" w:rsidRDefault="00CB1CAA">
          <w:pPr>
            <w:pStyle w:val="TOC2"/>
            <w:tabs>
              <w:tab w:val="right" w:leader="dot" w:pos="9016"/>
            </w:tabs>
            <w:rPr>
              <w:rFonts w:asciiTheme="minorHAnsi" w:eastAsiaTheme="minorEastAsia" w:hAnsiTheme="minorHAnsi" w:cstheme="minorBidi"/>
              <w:noProof/>
              <w:sz w:val="22"/>
              <w:szCs w:val="22"/>
            </w:rPr>
          </w:pPr>
          <w:hyperlink w:anchor="_Toc236873750" w:history="1">
            <w:r w:rsidRPr="00F93C3D">
              <w:rPr>
                <w:rStyle w:val="Hyperlink"/>
                <w:noProof/>
              </w:rPr>
              <w:t>3.1. Identification of the Stakeholders</w:t>
            </w:r>
            <w:r>
              <w:rPr>
                <w:noProof/>
              </w:rPr>
              <w:tab/>
            </w:r>
            <w:r>
              <w:rPr>
                <w:noProof/>
              </w:rPr>
              <w:fldChar w:fldCharType="begin"/>
            </w:r>
            <w:r>
              <w:rPr>
                <w:noProof/>
              </w:rPr>
              <w:instrText xml:space="preserve"> PAGEREF _Toc236873750 \h </w:instrText>
            </w:r>
            <w:r>
              <w:rPr>
                <w:noProof/>
              </w:rPr>
            </w:r>
            <w:r>
              <w:rPr>
                <w:noProof/>
              </w:rPr>
              <w:fldChar w:fldCharType="separate"/>
            </w:r>
            <w:r w:rsidR="00C07C3D">
              <w:rPr>
                <w:noProof/>
              </w:rPr>
              <w:t>4</w:t>
            </w:r>
            <w:r>
              <w:rPr>
                <w:noProof/>
              </w:rPr>
              <w:fldChar w:fldCharType="end"/>
            </w:r>
          </w:hyperlink>
        </w:p>
        <w:p w14:paraId="46C6C86D" w14:textId="77777777" w:rsidR="00CB1CAA" w:rsidRDefault="00CB1CAA">
          <w:pPr>
            <w:pStyle w:val="TOC2"/>
            <w:tabs>
              <w:tab w:val="right" w:leader="dot" w:pos="9016"/>
            </w:tabs>
            <w:rPr>
              <w:rFonts w:asciiTheme="minorHAnsi" w:eastAsiaTheme="minorEastAsia" w:hAnsiTheme="minorHAnsi" w:cstheme="minorBidi"/>
              <w:noProof/>
              <w:sz w:val="22"/>
              <w:szCs w:val="22"/>
            </w:rPr>
          </w:pPr>
          <w:hyperlink w:anchor="_Toc236873751" w:history="1">
            <w:r w:rsidRPr="00F93C3D">
              <w:rPr>
                <w:rStyle w:val="Hyperlink"/>
                <w:noProof/>
              </w:rPr>
              <w:t>3.2. Benefits and Challenges</w:t>
            </w:r>
            <w:r>
              <w:rPr>
                <w:noProof/>
              </w:rPr>
              <w:tab/>
            </w:r>
            <w:r>
              <w:rPr>
                <w:noProof/>
              </w:rPr>
              <w:fldChar w:fldCharType="begin"/>
            </w:r>
            <w:r>
              <w:rPr>
                <w:noProof/>
              </w:rPr>
              <w:instrText xml:space="preserve"> PAGEREF _Toc236873751 \h </w:instrText>
            </w:r>
            <w:r>
              <w:rPr>
                <w:noProof/>
              </w:rPr>
            </w:r>
            <w:r>
              <w:rPr>
                <w:noProof/>
              </w:rPr>
              <w:fldChar w:fldCharType="separate"/>
            </w:r>
            <w:r w:rsidR="00C07C3D">
              <w:rPr>
                <w:noProof/>
              </w:rPr>
              <w:t>5</w:t>
            </w:r>
            <w:r>
              <w:rPr>
                <w:noProof/>
              </w:rPr>
              <w:fldChar w:fldCharType="end"/>
            </w:r>
          </w:hyperlink>
        </w:p>
        <w:p w14:paraId="5303E094" w14:textId="77777777" w:rsidR="00CB1CAA" w:rsidRDefault="00CB1CAA">
          <w:pPr>
            <w:pStyle w:val="TOC2"/>
            <w:tabs>
              <w:tab w:val="right" w:leader="dot" w:pos="9016"/>
            </w:tabs>
            <w:rPr>
              <w:rFonts w:asciiTheme="minorHAnsi" w:eastAsiaTheme="minorEastAsia" w:hAnsiTheme="minorHAnsi" w:cstheme="minorBidi"/>
              <w:noProof/>
              <w:sz w:val="22"/>
              <w:szCs w:val="22"/>
            </w:rPr>
          </w:pPr>
          <w:hyperlink w:anchor="_Toc236873752" w:history="1">
            <w:r w:rsidRPr="00F93C3D">
              <w:rPr>
                <w:rStyle w:val="Hyperlink"/>
                <w:noProof/>
              </w:rPr>
              <w:t>3.3. Stakeholder Analysis Tools</w:t>
            </w:r>
            <w:r>
              <w:rPr>
                <w:noProof/>
              </w:rPr>
              <w:tab/>
            </w:r>
            <w:r>
              <w:rPr>
                <w:noProof/>
              </w:rPr>
              <w:fldChar w:fldCharType="begin"/>
            </w:r>
            <w:r>
              <w:rPr>
                <w:noProof/>
              </w:rPr>
              <w:instrText xml:space="preserve"> PAGEREF _Toc236873752 \h </w:instrText>
            </w:r>
            <w:r>
              <w:rPr>
                <w:noProof/>
              </w:rPr>
            </w:r>
            <w:r>
              <w:rPr>
                <w:noProof/>
              </w:rPr>
              <w:fldChar w:fldCharType="separate"/>
            </w:r>
            <w:r w:rsidR="00C07C3D">
              <w:rPr>
                <w:noProof/>
              </w:rPr>
              <w:t>6</w:t>
            </w:r>
            <w:r>
              <w:rPr>
                <w:noProof/>
              </w:rPr>
              <w:fldChar w:fldCharType="end"/>
            </w:r>
          </w:hyperlink>
        </w:p>
        <w:p w14:paraId="56CB6595" w14:textId="77777777" w:rsidR="00CB1CAA" w:rsidRDefault="00CB1CAA">
          <w:pPr>
            <w:pStyle w:val="TOC1"/>
            <w:tabs>
              <w:tab w:val="right" w:leader="dot" w:pos="9016"/>
            </w:tabs>
            <w:rPr>
              <w:rFonts w:asciiTheme="minorHAnsi" w:eastAsiaTheme="minorEastAsia" w:hAnsiTheme="minorHAnsi" w:cstheme="minorBidi"/>
              <w:noProof/>
              <w:sz w:val="22"/>
              <w:szCs w:val="22"/>
            </w:rPr>
          </w:pPr>
          <w:hyperlink w:anchor="_Toc236873753" w:history="1">
            <w:r w:rsidRPr="00F93C3D">
              <w:rPr>
                <w:rStyle w:val="Hyperlink"/>
                <w:noProof/>
              </w:rPr>
              <w:t>4.0. Roles of the Manager in Engaging Stakeholders</w:t>
            </w:r>
            <w:r>
              <w:rPr>
                <w:noProof/>
              </w:rPr>
              <w:tab/>
            </w:r>
            <w:r>
              <w:rPr>
                <w:noProof/>
              </w:rPr>
              <w:fldChar w:fldCharType="begin"/>
            </w:r>
            <w:r>
              <w:rPr>
                <w:noProof/>
              </w:rPr>
              <w:instrText xml:space="preserve"> PAGEREF _Toc236873753 \h </w:instrText>
            </w:r>
            <w:r>
              <w:rPr>
                <w:noProof/>
              </w:rPr>
            </w:r>
            <w:r>
              <w:rPr>
                <w:noProof/>
              </w:rPr>
              <w:fldChar w:fldCharType="separate"/>
            </w:r>
            <w:r w:rsidR="00C07C3D">
              <w:rPr>
                <w:noProof/>
              </w:rPr>
              <w:t>8</w:t>
            </w:r>
            <w:r>
              <w:rPr>
                <w:noProof/>
              </w:rPr>
              <w:fldChar w:fldCharType="end"/>
            </w:r>
          </w:hyperlink>
        </w:p>
        <w:p w14:paraId="5404DA79" w14:textId="77777777" w:rsidR="00CB1CAA" w:rsidRDefault="00CB1CAA">
          <w:pPr>
            <w:pStyle w:val="TOC2"/>
            <w:tabs>
              <w:tab w:val="right" w:leader="dot" w:pos="9016"/>
            </w:tabs>
            <w:rPr>
              <w:rFonts w:asciiTheme="minorHAnsi" w:eastAsiaTheme="minorEastAsia" w:hAnsiTheme="minorHAnsi" w:cstheme="minorBidi"/>
              <w:noProof/>
              <w:sz w:val="22"/>
              <w:szCs w:val="22"/>
            </w:rPr>
          </w:pPr>
          <w:hyperlink w:anchor="_Toc236873754" w:history="1">
            <w:r w:rsidRPr="00F93C3D">
              <w:rPr>
                <w:rStyle w:val="Hyperlink"/>
                <w:noProof/>
              </w:rPr>
              <w:t>4.1. Communication Plan</w:t>
            </w:r>
            <w:r>
              <w:rPr>
                <w:noProof/>
              </w:rPr>
              <w:tab/>
            </w:r>
            <w:r>
              <w:rPr>
                <w:noProof/>
              </w:rPr>
              <w:fldChar w:fldCharType="begin"/>
            </w:r>
            <w:r>
              <w:rPr>
                <w:noProof/>
              </w:rPr>
              <w:instrText xml:space="preserve"> PAGEREF _Toc236873754 \h </w:instrText>
            </w:r>
            <w:r>
              <w:rPr>
                <w:noProof/>
              </w:rPr>
            </w:r>
            <w:r>
              <w:rPr>
                <w:noProof/>
              </w:rPr>
              <w:fldChar w:fldCharType="separate"/>
            </w:r>
            <w:r w:rsidR="00C07C3D">
              <w:rPr>
                <w:noProof/>
              </w:rPr>
              <w:t>8</w:t>
            </w:r>
            <w:r>
              <w:rPr>
                <w:noProof/>
              </w:rPr>
              <w:fldChar w:fldCharType="end"/>
            </w:r>
          </w:hyperlink>
        </w:p>
        <w:p w14:paraId="593E2986" w14:textId="77777777" w:rsidR="00CB1CAA" w:rsidRDefault="00CB1CAA">
          <w:pPr>
            <w:pStyle w:val="TOC2"/>
            <w:tabs>
              <w:tab w:val="right" w:leader="dot" w:pos="9016"/>
            </w:tabs>
            <w:rPr>
              <w:rFonts w:asciiTheme="minorHAnsi" w:eastAsiaTheme="minorEastAsia" w:hAnsiTheme="minorHAnsi" w:cstheme="minorBidi"/>
              <w:noProof/>
              <w:sz w:val="22"/>
              <w:szCs w:val="22"/>
            </w:rPr>
          </w:pPr>
          <w:hyperlink w:anchor="_Toc236873755" w:history="1">
            <w:r w:rsidRPr="00F93C3D">
              <w:rPr>
                <w:rStyle w:val="Hyperlink"/>
                <w:noProof/>
              </w:rPr>
              <w:t>4.2. Level of Engagement</w:t>
            </w:r>
            <w:r>
              <w:rPr>
                <w:noProof/>
              </w:rPr>
              <w:tab/>
            </w:r>
            <w:r>
              <w:rPr>
                <w:noProof/>
              </w:rPr>
              <w:fldChar w:fldCharType="begin"/>
            </w:r>
            <w:r>
              <w:rPr>
                <w:noProof/>
              </w:rPr>
              <w:instrText xml:space="preserve"> PAGEREF _Toc236873755 \h </w:instrText>
            </w:r>
            <w:r>
              <w:rPr>
                <w:noProof/>
              </w:rPr>
            </w:r>
            <w:r>
              <w:rPr>
                <w:noProof/>
              </w:rPr>
              <w:fldChar w:fldCharType="separate"/>
            </w:r>
            <w:r w:rsidR="00C07C3D">
              <w:rPr>
                <w:noProof/>
              </w:rPr>
              <w:t>10</w:t>
            </w:r>
            <w:r>
              <w:rPr>
                <w:noProof/>
              </w:rPr>
              <w:fldChar w:fldCharType="end"/>
            </w:r>
          </w:hyperlink>
        </w:p>
        <w:p w14:paraId="40CBE427" w14:textId="77777777" w:rsidR="00CB1CAA" w:rsidRDefault="00CB1CAA">
          <w:pPr>
            <w:pStyle w:val="TOC2"/>
            <w:tabs>
              <w:tab w:val="right" w:leader="dot" w:pos="9016"/>
            </w:tabs>
            <w:rPr>
              <w:rFonts w:asciiTheme="minorHAnsi" w:eastAsiaTheme="minorEastAsia" w:hAnsiTheme="minorHAnsi" w:cstheme="minorBidi"/>
              <w:noProof/>
              <w:sz w:val="22"/>
              <w:szCs w:val="22"/>
            </w:rPr>
          </w:pPr>
          <w:hyperlink w:anchor="_Toc236873756" w:history="1">
            <w:r w:rsidRPr="00F93C3D">
              <w:rPr>
                <w:rStyle w:val="Hyperlink"/>
                <w:noProof/>
              </w:rPr>
              <w:t>4.3. RACI Matrix</w:t>
            </w:r>
            <w:r>
              <w:rPr>
                <w:noProof/>
              </w:rPr>
              <w:tab/>
            </w:r>
            <w:r>
              <w:rPr>
                <w:noProof/>
              </w:rPr>
              <w:fldChar w:fldCharType="begin"/>
            </w:r>
            <w:r>
              <w:rPr>
                <w:noProof/>
              </w:rPr>
              <w:instrText xml:space="preserve"> PAGEREF _Toc236873756 \h </w:instrText>
            </w:r>
            <w:r>
              <w:rPr>
                <w:noProof/>
              </w:rPr>
            </w:r>
            <w:r>
              <w:rPr>
                <w:noProof/>
              </w:rPr>
              <w:fldChar w:fldCharType="separate"/>
            </w:r>
            <w:r w:rsidR="00C07C3D">
              <w:rPr>
                <w:noProof/>
              </w:rPr>
              <w:t>12</w:t>
            </w:r>
            <w:r>
              <w:rPr>
                <w:noProof/>
              </w:rPr>
              <w:fldChar w:fldCharType="end"/>
            </w:r>
          </w:hyperlink>
        </w:p>
        <w:p w14:paraId="68FC8A47" w14:textId="77777777" w:rsidR="00CB1CAA" w:rsidRDefault="00CB1CAA">
          <w:pPr>
            <w:pStyle w:val="TOC1"/>
            <w:tabs>
              <w:tab w:val="right" w:leader="dot" w:pos="9016"/>
            </w:tabs>
            <w:rPr>
              <w:rFonts w:asciiTheme="minorHAnsi" w:eastAsiaTheme="minorEastAsia" w:hAnsiTheme="minorHAnsi" w:cstheme="minorBidi"/>
              <w:noProof/>
              <w:sz w:val="22"/>
              <w:szCs w:val="22"/>
            </w:rPr>
          </w:pPr>
          <w:hyperlink w:anchor="_Toc236873757" w:history="1">
            <w:r w:rsidRPr="00F93C3D">
              <w:rPr>
                <w:rStyle w:val="Hyperlink"/>
                <w:noProof/>
              </w:rPr>
              <w:t>5.0. Importance of Stakeholder Engagement</w:t>
            </w:r>
            <w:r>
              <w:rPr>
                <w:noProof/>
              </w:rPr>
              <w:tab/>
            </w:r>
            <w:r>
              <w:rPr>
                <w:noProof/>
              </w:rPr>
              <w:fldChar w:fldCharType="begin"/>
            </w:r>
            <w:r>
              <w:rPr>
                <w:noProof/>
              </w:rPr>
              <w:instrText xml:space="preserve"> PAGEREF _Toc236873757 \h </w:instrText>
            </w:r>
            <w:r>
              <w:rPr>
                <w:noProof/>
              </w:rPr>
            </w:r>
            <w:r>
              <w:rPr>
                <w:noProof/>
              </w:rPr>
              <w:fldChar w:fldCharType="separate"/>
            </w:r>
            <w:r w:rsidR="00C07C3D">
              <w:rPr>
                <w:noProof/>
              </w:rPr>
              <w:t>13</w:t>
            </w:r>
            <w:r>
              <w:rPr>
                <w:noProof/>
              </w:rPr>
              <w:fldChar w:fldCharType="end"/>
            </w:r>
          </w:hyperlink>
        </w:p>
        <w:p w14:paraId="3B51A507" w14:textId="77777777" w:rsidR="00CB1CAA" w:rsidRDefault="00CB1CAA">
          <w:pPr>
            <w:pStyle w:val="TOC2"/>
            <w:tabs>
              <w:tab w:val="right" w:leader="dot" w:pos="9016"/>
            </w:tabs>
            <w:rPr>
              <w:rFonts w:asciiTheme="minorHAnsi" w:eastAsiaTheme="minorEastAsia" w:hAnsiTheme="minorHAnsi" w:cstheme="minorBidi"/>
              <w:noProof/>
              <w:sz w:val="22"/>
              <w:szCs w:val="22"/>
            </w:rPr>
          </w:pPr>
          <w:hyperlink w:anchor="_Toc236873758" w:history="1">
            <w:r w:rsidRPr="00F93C3D">
              <w:rPr>
                <w:rStyle w:val="Hyperlink"/>
                <w:noProof/>
              </w:rPr>
              <w:t>5.1. Justification of the Statement</w:t>
            </w:r>
            <w:r>
              <w:rPr>
                <w:noProof/>
              </w:rPr>
              <w:tab/>
            </w:r>
            <w:r>
              <w:rPr>
                <w:noProof/>
              </w:rPr>
              <w:fldChar w:fldCharType="begin"/>
            </w:r>
            <w:r>
              <w:rPr>
                <w:noProof/>
              </w:rPr>
              <w:instrText xml:space="preserve"> PAGEREF _Toc236873758 \h </w:instrText>
            </w:r>
            <w:r>
              <w:rPr>
                <w:noProof/>
              </w:rPr>
            </w:r>
            <w:r>
              <w:rPr>
                <w:noProof/>
              </w:rPr>
              <w:fldChar w:fldCharType="separate"/>
            </w:r>
            <w:r w:rsidR="00C07C3D">
              <w:rPr>
                <w:noProof/>
              </w:rPr>
              <w:t>13</w:t>
            </w:r>
            <w:r>
              <w:rPr>
                <w:noProof/>
              </w:rPr>
              <w:fldChar w:fldCharType="end"/>
            </w:r>
          </w:hyperlink>
        </w:p>
        <w:p w14:paraId="4634D236" w14:textId="77777777" w:rsidR="00CB1CAA" w:rsidRDefault="00CB1CAA">
          <w:pPr>
            <w:pStyle w:val="TOC2"/>
            <w:tabs>
              <w:tab w:val="right" w:leader="dot" w:pos="9016"/>
            </w:tabs>
            <w:rPr>
              <w:rFonts w:asciiTheme="minorHAnsi" w:eastAsiaTheme="minorEastAsia" w:hAnsiTheme="minorHAnsi" w:cstheme="minorBidi"/>
              <w:noProof/>
              <w:sz w:val="22"/>
              <w:szCs w:val="22"/>
            </w:rPr>
          </w:pPr>
          <w:hyperlink w:anchor="_Toc236873759" w:history="1">
            <w:r w:rsidRPr="00F93C3D">
              <w:rPr>
                <w:rStyle w:val="Hyperlink"/>
                <w:noProof/>
              </w:rPr>
              <w:t>5.2. Impact of Sustainable Stakeholder Engagement on Organisational Performance</w:t>
            </w:r>
            <w:r>
              <w:rPr>
                <w:noProof/>
              </w:rPr>
              <w:tab/>
            </w:r>
            <w:r>
              <w:rPr>
                <w:noProof/>
              </w:rPr>
              <w:fldChar w:fldCharType="begin"/>
            </w:r>
            <w:r>
              <w:rPr>
                <w:noProof/>
              </w:rPr>
              <w:instrText xml:space="preserve"> PAGEREF _Toc236873759 \h </w:instrText>
            </w:r>
            <w:r>
              <w:rPr>
                <w:noProof/>
              </w:rPr>
            </w:r>
            <w:r>
              <w:rPr>
                <w:noProof/>
              </w:rPr>
              <w:fldChar w:fldCharType="separate"/>
            </w:r>
            <w:r w:rsidR="00C07C3D">
              <w:rPr>
                <w:noProof/>
              </w:rPr>
              <w:t>13</w:t>
            </w:r>
            <w:r>
              <w:rPr>
                <w:noProof/>
              </w:rPr>
              <w:fldChar w:fldCharType="end"/>
            </w:r>
          </w:hyperlink>
        </w:p>
        <w:p w14:paraId="73714532" w14:textId="77777777" w:rsidR="00CB1CAA" w:rsidRDefault="00CB1CAA">
          <w:pPr>
            <w:pStyle w:val="TOC1"/>
            <w:tabs>
              <w:tab w:val="right" w:leader="dot" w:pos="9016"/>
            </w:tabs>
            <w:rPr>
              <w:rFonts w:asciiTheme="minorHAnsi" w:eastAsiaTheme="minorEastAsia" w:hAnsiTheme="minorHAnsi" w:cstheme="minorBidi"/>
              <w:noProof/>
              <w:sz w:val="22"/>
              <w:szCs w:val="22"/>
            </w:rPr>
          </w:pPr>
          <w:hyperlink w:anchor="_Toc236873760" w:history="1">
            <w:r w:rsidRPr="00F93C3D">
              <w:rPr>
                <w:rStyle w:val="Hyperlink"/>
                <w:noProof/>
              </w:rPr>
              <w:t>6.0. Recommendation</w:t>
            </w:r>
            <w:r>
              <w:rPr>
                <w:noProof/>
              </w:rPr>
              <w:tab/>
            </w:r>
            <w:r>
              <w:rPr>
                <w:noProof/>
              </w:rPr>
              <w:fldChar w:fldCharType="begin"/>
            </w:r>
            <w:r>
              <w:rPr>
                <w:noProof/>
              </w:rPr>
              <w:instrText xml:space="preserve"> PAGEREF _Toc236873760 \h </w:instrText>
            </w:r>
            <w:r>
              <w:rPr>
                <w:noProof/>
              </w:rPr>
            </w:r>
            <w:r>
              <w:rPr>
                <w:noProof/>
              </w:rPr>
              <w:fldChar w:fldCharType="separate"/>
            </w:r>
            <w:r w:rsidR="00C07C3D">
              <w:rPr>
                <w:noProof/>
              </w:rPr>
              <w:t>15</w:t>
            </w:r>
            <w:r>
              <w:rPr>
                <w:noProof/>
              </w:rPr>
              <w:fldChar w:fldCharType="end"/>
            </w:r>
          </w:hyperlink>
        </w:p>
        <w:p w14:paraId="5B78785D" w14:textId="77777777" w:rsidR="00CB1CAA" w:rsidRDefault="00CB1CAA">
          <w:pPr>
            <w:pStyle w:val="TOC1"/>
            <w:tabs>
              <w:tab w:val="right" w:leader="dot" w:pos="9016"/>
            </w:tabs>
            <w:rPr>
              <w:rFonts w:asciiTheme="minorHAnsi" w:eastAsiaTheme="minorEastAsia" w:hAnsiTheme="minorHAnsi" w:cstheme="minorBidi"/>
              <w:noProof/>
              <w:sz w:val="22"/>
              <w:szCs w:val="22"/>
            </w:rPr>
          </w:pPr>
          <w:hyperlink w:anchor="_Toc236873761" w:history="1">
            <w:r w:rsidRPr="00F93C3D">
              <w:rPr>
                <w:rStyle w:val="Hyperlink"/>
                <w:noProof/>
              </w:rPr>
              <w:t>Conclusion</w:t>
            </w:r>
            <w:r>
              <w:rPr>
                <w:noProof/>
              </w:rPr>
              <w:tab/>
            </w:r>
            <w:r>
              <w:rPr>
                <w:noProof/>
              </w:rPr>
              <w:fldChar w:fldCharType="begin"/>
            </w:r>
            <w:r>
              <w:rPr>
                <w:noProof/>
              </w:rPr>
              <w:instrText xml:space="preserve"> PAGEREF _Toc236873761 \h </w:instrText>
            </w:r>
            <w:r>
              <w:rPr>
                <w:noProof/>
              </w:rPr>
            </w:r>
            <w:r>
              <w:rPr>
                <w:noProof/>
              </w:rPr>
              <w:fldChar w:fldCharType="separate"/>
            </w:r>
            <w:r w:rsidR="00C07C3D">
              <w:rPr>
                <w:noProof/>
              </w:rPr>
              <w:t>15</w:t>
            </w:r>
            <w:r>
              <w:rPr>
                <w:noProof/>
              </w:rPr>
              <w:fldChar w:fldCharType="end"/>
            </w:r>
          </w:hyperlink>
        </w:p>
        <w:p w14:paraId="37AE6286" w14:textId="77777777" w:rsidR="00CB1CAA" w:rsidRDefault="00CB1CAA">
          <w:pPr>
            <w:pStyle w:val="TOC1"/>
            <w:tabs>
              <w:tab w:val="right" w:leader="dot" w:pos="9016"/>
            </w:tabs>
            <w:rPr>
              <w:rFonts w:asciiTheme="minorHAnsi" w:eastAsiaTheme="minorEastAsia" w:hAnsiTheme="minorHAnsi" w:cstheme="minorBidi"/>
              <w:noProof/>
              <w:sz w:val="22"/>
              <w:szCs w:val="22"/>
            </w:rPr>
          </w:pPr>
          <w:hyperlink w:anchor="_Toc236873762" w:history="1">
            <w:r w:rsidRPr="00F93C3D">
              <w:rPr>
                <w:rStyle w:val="Hyperlink"/>
                <w:noProof/>
              </w:rPr>
              <w:t>References</w:t>
            </w:r>
            <w:r>
              <w:rPr>
                <w:noProof/>
              </w:rPr>
              <w:tab/>
            </w:r>
            <w:r>
              <w:rPr>
                <w:noProof/>
              </w:rPr>
              <w:fldChar w:fldCharType="begin"/>
            </w:r>
            <w:r>
              <w:rPr>
                <w:noProof/>
              </w:rPr>
              <w:instrText xml:space="preserve"> PAGEREF _Toc236873762 \h </w:instrText>
            </w:r>
            <w:r>
              <w:rPr>
                <w:noProof/>
              </w:rPr>
            </w:r>
            <w:r>
              <w:rPr>
                <w:noProof/>
              </w:rPr>
              <w:fldChar w:fldCharType="separate"/>
            </w:r>
            <w:r w:rsidR="00C07C3D">
              <w:rPr>
                <w:noProof/>
              </w:rPr>
              <w:t>16</w:t>
            </w:r>
            <w:r>
              <w:rPr>
                <w:noProof/>
              </w:rPr>
              <w:fldChar w:fldCharType="end"/>
            </w:r>
          </w:hyperlink>
        </w:p>
        <w:p w14:paraId="3806873F" w14:textId="77777777" w:rsidR="00B52C38" w:rsidRDefault="009B3FD6">
          <w:r>
            <w:fldChar w:fldCharType="end"/>
          </w:r>
        </w:p>
      </w:sdtContent>
    </w:sdt>
    <w:p w14:paraId="6D7F4A2F" w14:textId="77777777" w:rsidR="00B52C38" w:rsidRDefault="009B3FD6">
      <w:r>
        <w:br w:type="page"/>
      </w:r>
    </w:p>
    <w:p w14:paraId="5908F901" w14:textId="391899B7" w:rsidR="00B52C38" w:rsidRDefault="009B3FD6">
      <w:pPr>
        <w:pStyle w:val="Heading1"/>
      </w:pPr>
      <w:bookmarkStart w:id="1" w:name="_Toc236873747"/>
      <w:r>
        <w:lastRenderedPageBreak/>
        <w:t>1.0. Introduction</w:t>
      </w:r>
      <w:bookmarkEnd w:id="1"/>
      <w:r w:rsidR="00465203">
        <w:t>:</w:t>
      </w:r>
    </w:p>
    <w:p w14:paraId="484592B9" w14:textId="77777777" w:rsidR="00B52C38" w:rsidRPr="00B820C8" w:rsidRDefault="009B3FD6">
      <w:pPr>
        <w:spacing w:after="200"/>
        <w:rPr>
          <w:sz w:val="22"/>
          <w:szCs w:val="22"/>
        </w:rPr>
      </w:pPr>
      <w:r w:rsidRPr="00B820C8">
        <w:rPr>
          <w:sz w:val="22"/>
          <w:szCs w:val="22"/>
        </w:rPr>
        <w:t>Tesco PLC is one of the largest retail and e-commerce organizations based in the United Kingdom and offers its services in grocery, general merchandize and financial services within the United Kingdom, Ireland and parts of Central Europe, along with its wholesale and franchise operations in Asia (Tesco PLC, 2023). The organization has a workforce of many hundreds of thousands, serving millions of customers weekly via their store-based and online grocery offerings and Tesco Clubcard, a loyalty program that has been in existence since 1995 and continues to be one of the most recognizable loyalty programs in UK retailing (Humby, Hunt and Phillips, 2008). The corporate purpose of Tesco is to offer better services for customers, communities and the planet every day and Tesco Little Helps Plan reflects its commitments in terms of product, planet, people and community that outline its behaviour toward other stakeholders.</w:t>
      </w:r>
    </w:p>
    <w:p w14:paraId="301AAA9C" w14:textId="77777777" w:rsidR="00B52C38" w:rsidRPr="00B820C8" w:rsidRDefault="009B3FD6">
      <w:pPr>
        <w:spacing w:after="200"/>
        <w:rPr>
          <w:sz w:val="22"/>
          <w:szCs w:val="22"/>
        </w:rPr>
      </w:pPr>
      <w:r w:rsidRPr="00B820C8">
        <w:rPr>
          <w:sz w:val="22"/>
          <w:szCs w:val="22"/>
        </w:rPr>
        <w:t xml:space="preserve">The company is gearing up for the roll-out of ConnectPlus, a customer loyalty and engagement solution leveraging digital technologies such as AI-driven personalisation, mobile reward schemes and data analytics tools for better insights into customers. While this new platform will leverage the Clubcard foundation, it will be much more focused on predicting customers’ behaviour and offering them personalised solutions. The plan is to introduce ConnectPlus first in the core UK business, with the expansion to international markets </w:t>
      </w:r>
      <w:proofErr w:type="gramStart"/>
      <w:r w:rsidRPr="00B820C8">
        <w:rPr>
          <w:sz w:val="22"/>
          <w:szCs w:val="22"/>
        </w:rPr>
        <w:t>following after</w:t>
      </w:r>
      <w:proofErr w:type="gramEnd"/>
      <w:r w:rsidRPr="00B820C8">
        <w:rPr>
          <w:sz w:val="22"/>
          <w:szCs w:val="22"/>
        </w:rPr>
        <w:t xml:space="preserve"> about six months. Since this initiative will affect practically all functions within the company, from product development and marketing to store operations, IT security and supplier relationships, and since it will operate in different regulatory and cultural environments in which the use of data and personal information are subject to different expectations, the success of ConnectPlus will depend not so much on the technological side but on the people whose participation will make the initiative work. Therefore, stakeholder management is taken as the central focus of this report rather than the technological implementation, being considered a strategic management activity (Freeman, 1984; Bryson, 2004).</w:t>
      </w:r>
    </w:p>
    <w:p w14:paraId="0A0FEFA0" w14:textId="77777777" w:rsidR="00B52C38" w:rsidRDefault="009B3FD6">
      <w:pPr>
        <w:pStyle w:val="Heading1"/>
      </w:pPr>
      <w:bookmarkStart w:id="2" w:name="_Toc236873748"/>
      <w:r>
        <w:t>2.0. Objectives of the Project (SMART)</w:t>
      </w:r>
      <w:bookmarkEnd w:id="2"/>
    </w:p>
    <w:p w14:paraId="20689582" w14:textId="77777777" w:rsidR="00B52C38" w:rsidRDefault="009B3FD6">
      <w:pPr>
        <w:spacing w:after="200"/>
      </w:pPr>
      <w:r w:rsidRPr="00B820C8">
        <w:rPr>
          <w:sz w:val="22"/>
          <w:szCs w:val="22"/>
        </w:rPr>
        <w:t xml:space="preserve">Stakeholder engagement objectives for the ConnectPlus launch include the following. First, identification and mapping of all relevant internal and external stakeholders across UK and international markets within four weeks of the project, using two or more accepted stakeholder analysis methods. Second, creation of a communication and engagement plan that will lead to 90 percent of stakeholder participation in consultations before </w:t>
      </w:r>
      <w:proofErr w:type="gramStart"/>
      <w:r w:rsidRPr="00B820C8">
        <w:rPr>
          <w:sz w:val="22"/>
          <w:szCs w:val="22"/>
        </w:rPr>
        <w:t>go</w:t>
      </w:r>
      <w:proofErr w:type="gramEnd"/>
      <w:r w:rsidRPr="00B820C8">
        <w:rPr>
          <w:sz w:val="22"/>
          <w:szCs w:val="22"/>
        </w:rPr>
        <w:t xml:space="preserve"> live. Third, minimising stakeholder-based delays or escalations during the six-month rollout to only two per market, with resolution within ten working days. Fourth, improving trust and satisfaction levels of engaged stakeholders through post-launch surveys conducted within three months of roll-out</w:t>
      </w:r>
      <w:r>
        <w:t>.</w:t>
      </w:r>
    </w:p>
    <w:p w14:paraId="621D4AED" w14:textId="5A2E5C66" w:rsidR="008C5B81" w:rsidRDefault="008C5B81">
      <w:pPr>
        <w:spacing w:after="200"/>
        <w:rPr>
          <w:b/>
          <w:bCs/>
        </w:rPr>
      </w:pPr>
      <w:r w:rsidRPr="008C5B81">
        <w:rPr>
          <w:b/>
          <w:bCs/>
        </w:rPr>
        <w:lastRenderedPageBreak/>
        <w:t>OBJECTIVES:</w:t>
      </w:r>
    </w:p>
    <w:p w14:paraId="4F5B06A1" w14:textId="065D96DC" w:rsidR="008C5B81" w:rsidRPr="00B820C8" w:rsidRDefault="008C5B81">
      <w:pPr>
        <w:spacing w:after="200"/>
        <w:rPr>
          <w:sz w:val="22"/>
          <w:szCs w:val="22"/>
        </w:rPr>
      </w:pPr>
      <w:r w:rsidRPr="00B820C8">
        <w:rPr>
          <w:sz w:val="22"/>
          <w:szCs w:val="22"/>
        </w:rPr>
        <w:t>To increase sales by 5</w:t>
      </w:r>
      <w:r w:rsidR="00465203" w:rsidRPr="00B820C8">
        <w:rPr>
          <w:sz w:val="22"/>
          <w:szCs w:val="22"/>
        </w:rPr>
        <w:t>% in</w:t>
      </w:r>
      <w:r w:rsidRPr="00B820C8">
        <w:rPr>
          <w:sz w:val="22"/>
          <w:szCs w:val="22"/>
        </w:rPr>
        <w:t xml:space="preserve"> the next six months by using Connect Plus </w:t>
      </w:r>
      <w:r w:rsidR="00465203" w:rsidRPr="00B820C8">
        <w:rPr>
          <w:sz w:val="22"/>
          <w:szCs w:val="22"/>
        </w:rPr>
        <w:t>platform</w:t>
      </w:r>
    </w:p>
    <w:p w14:paraId="45D7A280" w14:textId="312BA1C0" w:rsidR="00465203" w:rsidRPr="00B820C8" w:rsidRDefault="00465203">
      <w:pPr>
        <w:spacing w:after="200"/>
        <w:rPr>
          <w:sz w:val="22"/>
          <w:szCs w:val="22"/>
        </w:rPr>
      </w:pPr>
      <w:r w:rsidRPr="00B820C8">
        <w:rPr>
          <w:sz w:val="22"/>
          <w:szCs w:val="22"/>
        </w:rPr>
        <w:t>To increase 3% customer retention in the next six months using Connect Plus platform.</w:t>
      </w:r>
    </w:p>
    <w:p w14:paraId="4B31052E" w14:textId="77777777" w:rsidR="00465203" w:rsidRPr="00B820C8" w:rsidRDefault="00465203">
      <w:pPr>
        <w:spacing w:after="200"/>
        <w:rPr>
          <w:rFonts w:asciiTheme="majorHAnsi" w:hAnsiTheme="majorHAnsi" w:cstheme="majorHAnsi"/>
          <w:strike/>
          <w:sz w:val="22"/>
          <w:szCs w:val="22"/>
        </w:rPr>
      </w:pPr>
    </w:p>
    <w:p w14:paraId="42ECB887" w14:textId="77777777" w:rsidR="008C5B81" w:rsidRPr="008C5B81" w:rsidRDefault="008C5B81">
      <w:pPr>
        <w:spacing w:after="200"/>
      </w:pPr>
    </w:p>
    <w:p w14:paraId="673C6188" w14:textId="77777777" w:rsidR="00B52C38" w:rsidRDefault="009B3FD6">
      <w:pPr>
        <w:pStyle w:val="Heading1"/>
      </w:pPr>
      <w:bookmarkStart w:id="3" w:name="_Toc236873749"/>
      <w:r>
        <w:t>3.0. Identifying Key Stakeholders</w:t>
      </w:r>
      <w:bookmarkEnd w:id="3"/>
    </w:p>
    <w:p w14:paraId="12769F49" w14:textId="77777777" w:rsidR="00B52C38" w:rsidRDefault="009B3FD6">
      <w:pPr>
        <w:pStyle w:val="Heading2"/>
      </w:pPr>
      <w:bookmarkStart w:id="4" w:name="_Toc236873750"/>
      <w:r>
        <w:t>3.1. Identification of the Stakeholders</w:t>
      </w:r>
      <w:bookmarkEnd w:id="4"/>
    </w:p>
    <w:p w14:paraId="6BC9772D" w14:textId="63BDCF41" w:rsidR="00B52C38" w:rsidRPr="00B820C8" w:rsidRDefault="009B3FD6">
      <w:pPr>
        <w:spacing w:after="200"/>
        <w:rPr>
          <w:sz w:val="22"/>
          <w:szCs w:val="22"/>
        </w:rPr>
      </w:pPr>
      <w:r w:rsidRPr="00B820C8">
        <w:rPr>
          <w:sz w:val="22"/>
          <w:szCs w:val="22"/>
        </w:rPr>
        <w:t xml:space="preserve">Accurate identification of stakeholders is the basis of any stakeholder engagement plan because, according to Freeman, a stakeholder can be defined as anyone who can influence or be influenced by the accomplishment of organisational objectives (Freeman, 1984). Therefore, for ConnectPlus, it will be useful to identify stakeholders as either internal or external before conducting further </w:t>
      </w:r>
      <w:r w:rsidR="00CE465C" w:rsidRPr="00B820C8">
        <w:rPr>
          <w:sz w:val="22"/>
          <w:szCs w:val="22"/>
        </w:rPr>
        <w:t xml:space="preserve">analysis. The internal stakeholders are, Board of Directors, Employees, Sales and Marketing dept, IT dept and shareholder’s external stakeholders are Govt, customer, regulatory body, suppliers and communities.  </w:t>
      </w:r>
    </w:p>
    <w:p w14:paraId="2AEDFA60" w14:textId="77777777" w:rsidR="00B52C38" w:rsidRPr="00B820C8" w:rsidRDefault="009B3FD6">
      <w:pPr>
        <w:spacing w:after="200"/>
        <w:rPr>
          <w:sz w:val="22"/>
          <w:szCs w:val="22"/>
        </w:rPr>
      </w:pPr>
      <w:r w:rsidRPr="00B820C8">
        <w:rPr>
          <w:sz w:val="22"/>
          <w:szCs w:val="22"/>
        </w:rPr>
        <w:t>The internal stakeholders will comprise the product development and technology department that will develop and test the AI recommendation engine, the marketing and Clubcard department that will create the reward scheme and announce the product to the customers, the data and information security team that will make sure that the system complies with data protection rules, the store operations personnel who will be in charge of answering customer queries at the point of sales, the customer service and contact centre departments, finance, and senior management together with the Board of Directors, whose responsibility is final for the</w:t>
      </w:r>
      <w:r>
        <w:t xml:space="preserve"> investment and the reputation risks associated with it. </w:t>
      </w:r>
      <w:r w:rsidRPr="00B820C8">
        <w:rPr>
          <w:sz w:val="22"/>
          <w:szCs w:val="22"/>
        </w:rPr>
        <w:t>The external stakeholders will consist of the current and potential Clubcard customers from all markets, the suppliers whose products will be used in the personalization process, the technology partners supplying AI and cloud computing facilities, the regulator, e.g. the Information Commissioner's Office of the UK and its equivalents abroad, the competition with their loyalty offerings, the local communities in the markets where Tesco is operating, trade unions of the store personnel, and interested associations or organizations in the respective industries or of consumers.</w:t>
      </w:r>
    </w:p>
    <w:p w14:paraId="06AB06A0" w14:textId="77777777" w:rsidR="00B52C38" w:rsidRDefault="009B3FD6">
      <w:pPr>
        <w:pStyle w:val="Heading2"/>
      </w:pPr>
      <w:bookmarkStart w:id="5" w:name="_Toc236873751"/>
      <w:r>
        <w:t>3.2. Benefits and Challenges</w:t>
      </w:r>
      <w:bookmarkEnd w:id="5"/>
    </w:p>
    <w:p w14:paraId="6A29E21E" w14:textId="77777777" w:rsidR="00B52C38" w:rsidRPr="00B820C8" w:rsidRDefault="009B3FD6">
      <w:pPr>
        <w:spacing w:after="200"/>
        <w:rPr>
          <w:sz w:val="22"/>
          <w:szCs w:val="22"/>
        </w:rPr>
      </w:pPr>
      <w:r w:rsidRPr="00B820C8">
        <w:rPr>
          <w:sz w:val="22"/>
          <w:szCs w:val="22"/>
        </w:rPr>
        <w:t xml:space="preserve">Stakeholders have different responsibilities in the implementation </w:t>
      </w:r>
      <w:proofErr w:type="gramStart"/>
      <w:r w:rsidRPr="00B820C8">
        <w:rPr>
          <w:sz w:val="22"/>
          <w:szCs w:val="22"/>
        </w:rPr>
        <w:t>process</w:t>
      </w:r>
      <w:proofErr w:type="gramEnd"/>
      <w:r w:rsidRPr="00B820C8">
        <w:rPr>
          <w:sz w:val="22"/>
          <w:szCs w:val="22"/>
        </w:rPr>
        <w:t xml:space="preserve"> and each has a unique contribution to the project along with its own advantages and challenges to deal with. The product development and data science teams </w:t>
      </w:r>
      <w:proofErr w:type="gramStart"/>
      <w:r w:rsidRPr="00B820C8">
        <w:rPr>
          <w:sz w:val="22"/>
          <w:szCs w:val="22"/>
        </w:rPr>
        <w:t>are in charge of</w:t>
      </w:r>
      <w:proofErr w:type="gramEnd"/>
      <w:r w:rsidRPr="00B820C8">
        <w:rPr>
          <w:sz w:val="22"/>
          <w:szCs w:val="22"/>
        </w:rPr>
        <w:t xml:space="preserve"> the design, training and testing of the </w:t>
      </w:r>
      <w:r w:rsidRPr="00B820C8">
        <w:rPr>
          <w:sz w:val="22"/>
          <w:szCs w:val="22"/>
        </w:rPr>
        <w:lastRenderedPageBreak/>
        <w:t>recommendation engine, as well as making sure that it works precisely on all customer segments. Their contribution is critical for the implementation process, although they have the challenge of maintaining the balance between model accuracy and bias, because the incorrectly calibrated algorithm might provide irrelevant recommendations that will undermine the trust of customers (Mittelstadt et al., 2016).</w:t>
      </w:r>
    </w:p>
    <w:p w14:paraId="63D4895D" w14:textId="77777777" w:rsidR="00B52C38" w:rsidRPr="00B820C8" w:rsidRDefault="009B3FD6">
      <w:pPr>
        <w:spacing w:after="200"/>
        <w:rPr>
          <w:sz w:val="22"/>
          <w:szCs w:val="22"/>
        </w:rPr>
      </w:pPr>
      <w:r w:rsidRPr="00B820C8">
        <w:rPr>
          <w:sz w:val="22"/>
          <w:szCs w:val="22"/>
        </w:rPr>
        <w:t xml:space="preserve">Marketing and Clubcard team </w:t>
      </w:r>
      <w:proofErr w:type="gramStart"/>
      <w:r w:rsidRPr="00B820C8">
        <w:rPr>
          <w:sz w:val="22"/>
          <w:szCs w:val="22"/>
        </w:rPr>
        <w:t>is</w:t>
      </w:r>
      <w:proofErr w:type="gramEnd"/>
      <w:r w:rsidRPr="00B820C8">
        <w:rPr>
          <w:sz w:val="22"/>
          <w:szCs w:val="22"/>
        </w:rPr>
        <w:t xml:space="preserve"> responsible for the development of the rewards system as well as the brand voice of ConnectPlus. They are familiar with customer segments and are experienced in running Clubcard promotions, thus there is low risk of implementing something that customers might find confusing or unappealing, although they still need to deal with the challenge of brand consistency in different markets that have different loyalty expectations.</w:t>
      </w:r>
    </w:p>
    <w:p w14:paraId="6BA6A746" w14:textId="77777777" w:rsidR="00B52C38" w:rsidRPr="00B820C8" w:rsidRDefault="009B3FD6">
      <w:pPr>
        <w:spacing w:after="200"/>
        <w:rPr>
          <w:sz w:val="22"/>
          <w:szCs w:val="22"/>
        </w:rPr>
      </w:pPr>
      <w:r w:rsidRPr="00B820C8">
        <w:rPr>
          <w:sz w:val="22"/>
          <w:szCs w:val="22"/>
        </w:rPr>
        <w:t>Operational staff from the stores and their union representative are supposed to support the customer experience in the field of use, and report on any operational issues, and this will be the key benefit since it enables them to spot the issue before it becomes bigger, however, they might resist any changes if the implementation is viewed as an extra work for them without any training, which is a key reason behind employee disengagement during digital transformation (Kotter, 1996).</w:t>
      </w:r>
    </w:p>
    <w:p w14:paraId="736C173F" w14:textId="77777777" w:rsidR="00B52C38" w:rsidRPr="00B820C8" w:rsidRDefault="009B3FD6">
      <w:pPr>
        <w:spacing w:after="200"/>
        <w:rPr>
          <w:sz w:val="22"/>
          <w:szCs w:val="22"/>
        </w:rPr>
      </w:pPr>
      <w:r w:rsidRPr="00B820C8">
        <w:rPr>
          <w:sz w:val="22"/>
          <w:szCs w:val="22"/>
        </w:rPr>
        <w:t xml:space="preserve">Data protection and the legal department is supposed to ensure UK GDPR and similar international regulation compliance, and the management of customer data ethics during personalisation. The benefit is reduced risk; however, the challenge is that the overly cautious approach </w:t>
      </w:r>
      <w:proofErr w:type="gramStart"/>
      <w:r w:rsidRPr="00B820C8">
        <w:rPr>
          <w:sz w:val="22"/>
          <w:szCs w:val="22"/>
        </w:rPr>
        <w:t>in</w:t>
      </w:r>
      <w:proofErr w:type="gramEnd"/>
      <w:r w:rsidRPr="00B820C8">
        <w:rPr>
          <w:sz w:val="22"/>
          <w:szCs w:val="22"/>
        </w:rPr>
        <w:t xml:space="preserve"> data governance might slow down the pace of personalisation feature development that makes ConnectPlus competitive, and there is indeed a conflict of interest in this case.</w:t>
      </w:r>
    </w:p>
    <w:p w14:paraId="14C4BE9B" w14:textId="0241AB52" w:rsidR="00B52C38" w:rsidRDefault="00B820C8">
      <w:pPr>
        <w:spacing w:after="200"/>
      </w:pPr>
      <w:r>
        <w:t>The use of external technology providers that supply cloud computing infrastructure and AI services allows Tesco to leverage their expertise and thus speed up development, but on the other hand creates a dependence problem in the case when their service is affected or the practices of external partners do not meet Tesco's data requirements – the reason why due diligence is crucial in this case (Christopher, Payne and Ballantyne, 2013)</w:t>
      </w:r>
    </w:p>
    <w:p w14:paraId="1DAF317C" w14:textId="77777777" w:rsidR="00B52C38" w:rsidRDefault="009B3FD6">
      <w:pPr>
        <w:spacing w:after="200"/>
      </w:pPr>
      <w:r>
        <w:t>Ultimately, it is the customers who will determine whether ConnectPlus succeeds or fails. The benefit to the customer is greater relevancy and enjoyment out of the process as well as the security that their data is being treated properly; the problem is that different groups of customers, and different markets in different countries, have very differing degrees of acceptance of personalisation using AI technology (Martin, 2018).</w:t>
      </w:r>
    </w:p>
    <w:p w14:paraId="27E756B3" w14:textId="77777777" w:rsidR="00B820C8" w:rsidRDefault="00B820C8">
      <w:pPr>
        <w:spacing w:after="200"/>
      </w:pPr>
    </w:p>
    <w:p w14:paraId="233AAF9A" w14:textId="77777777" w:rsidR="00B820C8" w:rsidRDefault="00B820C8">
      <w:pPr>
        <w:spacing w:after="200"/>
      </w:pPr>
    </w:p>
    <w:p w14:paraId="650A3571" w14:textId="77777777" w:rsidR="00B52C38" w:rsidRDefault="009B3FD6">
      <w:pPr>
        <w:pStyle w:val="Heading2"/>
      </w:pPr>
      <w:bookmarkStart w:id="6" w:name="_Toc236873752"/>
      <w:r>
        <w:lastRenderedPageBreak/>
        <w:t>3.3. Stakeholder Analysis Tools</w:t>
      </w:r>
      <w:bookmarkEnd w:id="6"/>
    </w:p>
    <w:p w14:paraId="53B11042" w14:textId="77777777" w:rsidR="00B52C38" w:rsidRPr="00B820C8" w:rsidRDefault="009B3FD6">
      <w:pPr>
        <w:spacing w:after="200"/>
        <w:rPr>
          <w:sz w:val="22"/>
          <w:szCs w:val="22"/>
        </w:rPr>
      </w:pPr>
      <w:r w:rsidRPr="00B820C8">
        <w:rPr>
          <w:sz w:val="22"/>
          <w:szCs w:val="22"/>
        </w:rPr>
        <w:t xml:space="preserve">There are two methods used to categorize the stakeholders and establish a prioritization process to help develop an order for engaging with them. The first is the power/interest matrix developed by Mendelow, which categorizes the stakeholders using the two axes, their power over the project and their interest in it. The two axes produce four types of stakeholder groups, which are </w:t>
      </w:r>
      <w:proofErr w:type="gramStart"/>
      <w:r w:rsidRPr="00B820C8">
        <w:rPr>
          <w:sz w:val="22"/>
          <w:szCs w:val="22"/>
        </w:rPr>
        <w:t>manage</w:t>
      </w:r>
      <w:proofErr w:type="gramEnd"/>
      <w:r w:rsidRPr="00B820C8">
        <w:rPr>
          <w:sz w:val="22"/>
          <w:szCs w:val="22"/>
        </w:rPr>
        <w:t xml:space="preserve"> closely, keep satisfied, keep informed and monitor (Mendelow, 1991; Johnson, Scholes and Whittington, 2017). Using the matrix on ConnectPlus' stakeholders, the board of directors and the leadership can be put in the manage closely category because of the high power and interest in the project. This is also the category where regulators such as the Information Commissioner's Office fit because despite having low interest </w:t>
      </w:r>
      <w:proofErr w:type="gramStart"/>
      <w:r w:rsidRPr="00B820C8">
        <w:rPr>
          <w:sz w:val="22"/>
          <w:szCs w:val="22"/>
        </w:rPr>
        <w:t>on a daily basis</w:t>
      </w:r>
      <w:proofErr w:type="gramEnd"/>
      <w:r w:rsidRPr="00B820C8">
        <w:rPr>
          <w:sz w:val="22"/>
          <w:szCs w:val="22"/>
        </w:rPr>
        <w:t xml:space="preserve">, they have the power to delay or stop the project entirely should it fail to meet compliance criteria. The customers can also be </w:t>
      </w:r>
      <w:proofErr w:type="gramStart"/>
      <w:r w:rsidRPr="00B820C8">
        <w:rPr>
          <w:sz w:val="22"/>
          <w:szCs w:val="22"/>
        </w:rPr>
        <w:t>seen to</w:t>
      </w:r>
      <w:proofErr w:type="gramEnd"/>
      <w:r w:rsidRPr="00B820C8">
        <w:rPr>
          <w:sz w:val="22"/>
          <w:szCs w:val="22"/>
        </w:rPr>
        <w:t xml:space="preserve"> fit in a little different category than the others because their collective power and interest is what will determine the success of the project, and this should be recognized and managed. While the teams of marketing, products and data work in the manage closely or keep satisfied quadrants according to their seniority level, the suppliers and technological partners are usually kept satisfied with help of contracts and relationships management and the general public or community organizations are kept informed via general communications unless an urgent local matter like data breach issue moves them to the matrix.</w:t>
      </w:r>
    </w:p>
    <w:tbl>
      <w:tblPr>
        <w:tblW w:w="98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00"/>
        <w:gridCol w:w="3600"/>
        <w:gridCol w:w="3600"/>
      </w:tblGrid>
      <w:tr w:rsidR="00B52C38" w14:paraId="70BFA033" w14:textId="77777777">
        <w:tc>
          <w:tcPr>
            <w:tcW w:w="2600" w:type="dxa"/>
            <w:shd w:val="clear" w:color="auto" w:fill="4472C4"/>
            <w:tcMar>
              <w:top w:w="100" w:type="dxa"/>
              <w:left w:w="120" w:type="dxa"/>
              <w:bottom w:w="100" w:type="dxa"/>
              <w:right w:w="120" w:type="dxa"/>
            </w:tcMar>
          </w:tcPr>
          <w:p w14:paraId="4AC99682" w14:textId="77777777" w:rsidR="00B52C38" w:rsidRDefault="009B3FD6">
            <w:r>
              <w:rPr>
                <w:b/>
                <w:bCs/>
                <w:color w:val="FFFFFF"/>
                <w:sz w:val="20"/>
                <w:szCs w:val="20"/>
              </w:rPr>
              <w:t>Quadrant</w:t>
            </w:r>
          </w:p>
        </w:tc>
        <w:tc>
          <w:tcPr>
            <w:tcW w:w="3600" w:type="dxa"/>
            <w:shd w:val="clear" w:color="auto" w:fill="4472C4"/>
            <w:tcMar>
              <w:top w:w="100" w:type="dxa"/>
              <w:left w:w="120" w:type="dxa"/>
              <w:bottom w:w="100" w:type="dxa"/>
              <w:right w:w="120" w:type="dxa"/>
            </w:tcMar>
          </w:tcPr>
          <w:p w14:paraId="329FCD99" w14:textId="77777777" w:rsidR="00B52C38" w:rsidRDefault="009B3FD6">
            <w:r>
              <w:rPr>
                <w:b/>
                <w:bCs/>
                <w:color w:val="FFFFFF"/>
                <w:sz w:val="20"/>
                <w:szCs w:val="20"/>
              </w:rPr>
              <w:t>Stakeholders</w:t>
            </w:r>
          </w:p>
        </w:tc>
        <w:tc>
          <w:tcPr>
            <w:tcW w:w="3600" w:type="dxa"/>
            <w:shd w:val="clear" w:color="auto" w:fill="4472C4"/>
            <w:tcMar>
              <w:top w:w="100" w:type="dxa"/>
              <w:left w:w="120" w:type="dxa"/>
              <w:bottom w:w="100" w:type="dxa"/>
              <w:right w:w="120" w:type="dxa"/>
            </w:tcMar>
          </w:tcPr>
          <w:p w14:paraId="379F2E4A" w14:textId="77777777" w:rsidR="00B52C38" w:rsidRDefault="009B3FD6">
            <w:r>
              <w:rPr>
                <w:b/>
                <w:bCs/>
                <w:color w:val="FFFFFF"/>
                <w:sz w:val="20"/>
                <w:szCs w:val="20"/>
              </w:rPr>
              <w:t>Engagement Strategy</w:t>
            </w:r>
          </w:p>
        </w:tc>
      </w:tr>
      <w:tr w:rsidR="00B52C38" w14:paraId="021D2A87" w14:textId="77777777">
        <w:tc>
          <w:tcPr>
            <w:tcW w:w="2600" w:type="dxa"/>
            <w:tcMar>
              <w:top w:w="100" w:type="dxa"/>
              <w:left w:w="120" w:type="dxa"/>
              <w:bottom w:w="100" w:type="dxa"/>
              <w:right w:w="120" w:type="dxa"/>
            </w:tcMar>
          </w:tcPr>
          <w:p w14:paraId="0271C422" w14:textId="77777777" w:rsidR="00B52C38" w:rsidRDefault="009B3FD6">
            <w:r>
              <w:rPr>
                <w:sz w:val="20"/>
                <w:szCs w:val="20"/>
              </w:rPr>
              <w:t>High Power / High Interest (Manage Closely)</w:t>
            </w:r>
          </w:p>
        </w:tc>
        <w:tc>
          <w:tcPr>
            <w:tcW w:w="3600" w:type="dxa"/>
            <w:tcMar>
              <w:top w:w="100" w:type="dxa"/>
              <w:left w:w="120" w:type="dxa"/>
              <w:bottom w:w="100" w:type="dxa"/>
              <w:right w:w="120" w:type="dxa"/>
            </w:tcMar>
          </w:tcPr>
          <w:p w14:paraId="617E0CB7" w14:textId="77777777" w:rsidR="00B52C38" w:rsidRDefault="009B3FD6">
            <w:r>
              <w:rPr>
                <w:sz w:val="20"/>
                <w:szCs w:val="20"/>
              </w:rPr>
              <w:t>Board of Directors, senior leadership, UK/EU data protection regulators</w:t>
            </w:r>
          </w:p>
        </w:tc>
        <w:tc>
          <w:tcPr>
            <w:tcW w:w="3600" w:type="dxa"/>
            <w:tcMar>
              <w:top w:w="100" w:type="dxa"/>
              <w:left w:w="120" w:type="dxa"/>
              <w:bottom w:w="100" w:type="dxa"/>
              <w:right w:w="120" w:type="dxa"/>
            </w:tcMar>
          </w:tcPr>
          <w:p w14:paraId="3BBAA372" w14:textId="77777777" w:rsidR="00B52C38" w:rsidRDefault="009B3FD6">
            <w:r>
              <w:rPr>
                <w:sz w:val="20"/>
                <w:szCs w:val="20"/>
              </w:rPr>
              <w:t>Regular briefings, direct consultation, formal sign-off on key decisions</w:t>
            </w:r>
          </w:p>
        </w:tc>
      </w:tr>
      <w:tr w:rsidR="00B52C38" w14:paraId="12671D19" w14:textId="77777777">
        <w:tc>
          <w:tcPr>
            <w:tcW w:w="2600" w:type="dxa"/>
            <w:tcMar>
              <w:top w:w="100" w:type="dxa"/>
              <w:left w:w="120" w:type="dxa"/>
              <w:bottom w:w="100" w:type="dxa"/>
              <w:right w:w="120" w:type="dxa"/>
            </w:tcMar>
          </w:tcPr>
          <w:p w14:paraId="33F535EA" w14:textId="77777777" w:rsidR="00B52C38" w:rsidRDefault="009B3FD6">
            <w:r>
              <w:rPr>
                <w:sz w:val="20"/>
                <w:szCs w:val="20"/>
              </w:rPr>
              <w:t>High Power / Low Interest (Keep Satisfied)</w:t>
            </w:r>
          </w:p>
        </w:tc>
        <w:tc>
          <w:tcPr>
            <w:tcW w:w="3600" w:type="dxa"/>
            <w:tcMar>
              <w:top w:w="100" w:type="dxa"/>
              <w:left w:w="120" w:type="dxa"/>
              <w:bottom w:w="100" w:type="dxa"/>
              <w:right w:w="120" w:type="dxa"/>
            </w:tcMar>
          </w:tcPr>
          <w:p w14:paraId="612226AD" w14:textId="77777777" w:rsidR="00B52C38" w:rsidRDefault="009B3FD6">
            <w:r>
              <w:rPr>
                <w:sz w:val="20"/>
                <w:szCs w:val="20"/>
              </w:rPr>
              <w:t>Technology partners, suppliers, finance function</w:t>
            </w:r>
          </w:p>
        </w:tc>
        <w:tc>
          <w:tcPr>
            <w:tcW w:w="3600" w:type="dxa"/>
            <w:tcMar>
              <w:top w:w="100" w:type="dxa"/>
              <w:left w:w="120" w:type="dxa"/>
              <w:bottom w:w="100" w:type="dxa"/>
              <w:right w:w="120" w:type="dxa"/>
            </w:tcMar>
          </w:tcPr>
          <w:p w14:paraId="7632B56D" w14:textId="77777777" w:rsidR="00B52C38" w:rsidRDefault="009B3FD6">
            <w:r>
              <w:rPr>
                <w:sz w:val="20"/>
                <w:szCs w:val="20"/>
              </w:rPr>
              <w:t>Scheduled updates, contractual governance, escalation only when needed</w:t>
            </w:r>
          </w:p>
        </w:tc>
      </w:tr>
      <w:tr w:rsidR="00B52C38" w14:paraId="48DD6242" w14:textId="77777777">
        <w:tc>
          <w:tcPr>
            <w:tcW w:w="2600" w:type="dxa"/>
            <w:tcMar>
              <w:top w:w="100" w:type="dxa"/>
              <w:left w:w="120" w:type="dxa"/>
              <w:bottom w:w="100" w:type="dxa"/>
              <w:right w:w="120" w:type="dxa"/>
            </w:tcMar>
          </w:tcPr>
          <w:p w14:paraId="18D3FD5C" w14:textId="77777777" w:rsidR="00B52C38" w:rsidRDefault="009B3FD6">
            <w:r>
              <w:rPr>
                <w:sz w:val="20"/>
                <w:szCs w:val="20"/>
              </w:rPr>
              <w:t>Low Power / High Interest (Keep Informed)</w:t>
            </w:r>
          </w:p>
        </w:tc>
        <w:tc>
          <w:tcPr>
            <w:tcW w:w="3600" w:type="dxa"/>
            <w:tcMar>
              <w:top w:w="100" w:type="dxa"/>
              <w:left w:w="120" w:type="dxa"/>
              <w:bottom w:w="100" w:type="dxa"/>
              <w:right w:w="120" w:type="dxa"/>
            </w:tcMar>
          </w:tcPr>
          <w:p w14:paraId="17AB6B85" w14:textId="77777777" w:rsidR="00B52C38" w:rsidRDefault="009B3FD6">
            <w:r>
              <w:rPr>
                <w:sz w:val="20"/>
                <w:szCs w:val="20"/>
              </w:rPr>
              <w:t>Clubcard customers, store staff, trade unions, community organisations</w:t>
            </w:r>
          </w:p>
        </w:tc>
        <w:tc>
          <w:tcPr>
            <w:tcW w:w="3600" w:type="dxa"/>
            <w:tcMar>
              <w:top w:w="100" w:type="dxa"/>
              <w:left w:w="120" w:type="dxa"/>
              <w:bottom w:w="100" w:type="dxa"/>
              <w:right w:w="120" w:type="dxa"/>
            </w:tcMar>
          </w:tcPr>
          <w:p w14:paraId="26489087" w14:textId="77777777" w:rsidR="00B52C38" w:rsidRDefault="009B3FD6">
            <w:r>
              <w:rPr>
                <w:sz w:val="20"/>
                <w:szCs w:val="20"/>
              </w:rPr>
              <w:t>Clear, frequent communication; consultation panels; accessible feedback channels</w:t>
            </w:r>
          </w:p>
        </w:tc>
      </w:tr>
      <w:tr w:rsidR="00B52C38" w14:paraId="05F2E709" w14:textId="77777777">
        <w:tc>
          <w:tcPr>
            <w:tcW w:w="2600" w:type="dxa"/>
            <w:tcMar>
              <w:top w:w="100" w:type="dxa"/>
              <w:left w:w="120" w:type="dxa"/>
              <w:bottom w:w="100" w:type="dxa"/>
              <w:right w:w="120" w:type="dxa"/>
            </w:tcMar>
          </w:tcPr>
          <w:p w14:paraId="700F684C" w14:textId="77777777" w:rsidR="00B52C38" w:rsidRDefault="009B3FD6">
            <w:r>
              <w:rPr>
                <w:sz w:val="20"/>
                <w:szCs w:val="20"/>
              </w:rPr>
              <w:t>Low Power / Low Interest (Monitor)</w:t>
            </w:r>
          </w:p>
        </w:tc>
        <w:tc>
          <w:tcPr>
            <w:tcW w:w="3600" w:type="dxa"/>
            <w:tcMar>
              <w:top w:w="100" w:type="dxa"/>
              <w:left w:w="120" w:type="dxa"/>
              <w:bottom w:w="100" w:type="dxa"/>
              <w:right w:w="120" w:type="dxa"/>
            </w:tcMar>
          </w:tcPr>
          <w:p w14:paraId="1A212226" w14:textId="77777777" w:rsidR="00B52C38" w:rsidRDefault="009B3FD6">
            <w:r>
              <w:rPr>
                <w:sz w:val="20"/>
                <w:szCs w:val="20"/>
              </w:rPr>
              <w:t>Wider public, industry commentators, competitors</w:t>
            </w:r>
          </w:p>
        </w:tc>
        <w:tc>
          <w:tcPr>
            <w:tcW w:w="3600" w:type="dxa"/>
            <w:tcMar>
              <w:top w:w="100" w:type="dxa"/>
              <w:left w:w="120" w:type="dxa"/>
              <w:bottom w:w="100" w:type="dxa"/>
              <w:right w:w="120" w:type="dxa"/>
            </w:tcMar>
          </w:tcPr>
          <w:p w14:paraId="0427CD12" w14:textId="77777777" w:rsidR="00B52C38" w:rsidRDefault="009B3FD6">
            <w:r>
              <w:rPr>
                <w:sz w:val="20"/>
                <w:szCs w:val="20"/>
              </w:rPr>
              <w:t>General public communications; periodic monitoring of sentiment</w:t>
            </w:r>
          </w:p>
        </w:tc>
      </w:tr>
    </w:tbl>
    <w:p w14:paraId="52960049" w14:textId="77777777" w:rsidR="00B52C38" w:rsidRDefault="00B52C38">
      <w:pPr>
        <w:spacing w:after="200"/>
      </w:pPr>
    </w:p>
    <w:p w14:paraId="5F95DD50" w14:textId="77777777" w:rsidR="00B52C38" w:rsidRPr="0078738D" w:rsidRDefault="009B3FD6">
      <w:pPr>
        <w:spacing w:after="200"/>
        <w:rPr>
          <w:sz w:val="22"/>
          <w:szCs w:val="22"/>
        </w:rPr>
      </w:pPr>
      <w:r w:rsidRPr="00B820C8">
        <w:rPr>
          <w:sz w:val="22"/>
          <w:szCs w:val="22"/>
        </w:rPr>
        <w:t xml:space="preserve">The second stakeholder framework is the salience model by Mitchell, Agle and Wood (1997) which ranks the stakeholders in terms of their attributes of power, legitimacy and urgency, and identifies them as definitive, dominant, dependent, </w:t>
      </w:r>
      <w:proofErr w:type="gramStart"/>
      <w:r w:rsidRPr="00B820C8">
        <w:rPr>
          <w:sz w:val="22"/>
          <w:szCs w:val="22"/>
        </w:rPr>
        <w:t>dangerous, dormant</w:t>
      </w:r>
      <w:proofErr w:type="gramEnd"/>
      <w:r w:rsidRPr="00B820C8">
        <w:rPr>
          <w:sz w:val="22"/>
          <w:szCs w:val="22"/>
        </w:rPr>
        <w:t xml:space="preserve">, demanding and discretionary based on their number of attributes. Under this framework, the Board and regulators fall under definitive stakeholders since they possess power, legitimacy and urgency, especially once the platform becomes operational </w:t>
      </w:r>
      <w:r w:rsidRPr="00B820C8">
        <w:rPr>
          <w:sz w:val="22"/>
          <w:szCs w:val="22"/>
        </w:rPr>
        <w:lastRenderedPageBreak/>
        <w:t>since any issues related to compliance</w:t>
      </w:r>
      <w:r>
        <w:t xml:space="preserve"> become immediate and urgent</w:t>
      </w:r>
      <w:r w:rsidRPr="0078738D">
        <w:rPr>
          <w:sz w:val="22"/>
          <w:szCs w:val="22"/>
        </w:rPr>
        <w:t xml:space="preserve">. Customers </w:t>
      </w:r>
      <w:proofErr w:type="gramStart"/>
      <w:r w:rsidRPr="0078738D">
        <w:rPr>
          <w:sz w:val="22"/>
          <w:szCs w:val="22"/>
        </w:rPr>
        <w:t>are considered to be</w:t>
      </w:r>
      <w:proofErr w:type="gramEnd"/>
      <w:r w:rsidRPr="0078738D">
        <w:rPr>
          <w:sz w:val="22"/>
          <w:szCs w:val="22"/>
        </w:rPr>
        <w:t xml:space="preserve"> dependent stakeholders who have legitimate interests and once engaged, their interest will become urgent regarding how their data will be handled; however, they lack power except through collective efforts to publicise the issue. Employees and unions </w:t>
      </w:r>
      <w:proofErr w:type="gramStart"/>
      <w:r w:rsidRPr="0078738D">
        <w:rPr>
          <w:sz w:val="22"/>
          <w:szCs w:val="22"/>
        </w:rPr>
        <w:t>are considered to be</w:t>
      </w:r>
      <w:proofErr w:type="gramEnd"/>
      <w:r w:rsidRPr="0078738D">
        <w:rPr>
          <w:sz w:val="22"/>
          <w:szCs w:val="22"/>
        </w:rPr>
        <w:t xml:space="preserve"> dominant stakeholders who have power and legitimacy, </w:t>
      </w:r>
      <w:proofErr w:type="gramStart"/>
      <w:r w:rsidRPr="0078738D">
        <w:rPr>
          <w:sz w:val="22"/>
          <w:szCs w:val="22"/>
        </w:rPr>
        <w:t>however</w:t>
      </w:r>
      <w:proofErr w:type="gramEnd"/>
      <w:r w:rsidRPr="0078738D">
        <w:rPr>
          <w:sz w:val="22"/>
          <w:szCs w:val="22"/>
        </w:rPr>
        <w:t xml:space="preserve"> lack urgency except during organizational changes such as </w:t>
      </w:r>
      <w:proofErr w:type="gramStart"/>
      <w:r w:rsidRPr="0078738D">
        <w:rPr>
          <w:sz w:val="22"/>
          <w:szCs w:val="22"/>
        </w:rPr>
        <w:t>a system</w:t>
      </w:r>
      <w:proofErr w:type="gramEnd"/>
      <w:r w:rsidRPr="0078738D">
        <w:rPr>
          <w:sz w:val="22"/>
          <w:szCs w:val="22"/>
        </w:rPr>
        <w:t xml:space="preserve"> implementation which affects store level operations. Regulatory bodies beyond the ICO, such as sector-specific or overseas data protection authorities, together with local community organisations, are best described as dormant or discretionary stakeholders: both currently hold limited day-to-day interest or urgency in ConnectPlus, yet each possesses a legitimate standing that could quickly convert into a more active, definitive role should a compliance breach or a community-level data concern arise. Using both frameworks gives a more comprehensive view than using either of them alone, in the sense that, whilst the Mendelow framework is good for prioritization in relation to resource allocation in engagement, the salience framework enables us to understand why the priority of a stakeholder changes rapidly, which was the case with customers due to the data misuse issues in several UK firms (Solove, 2021).</w:t>
      </w:r>
    </w:p>
    <w:p w14:paraId="264788D7" w14:textId="5D857C30" w:rsidR="00EF45A2" w:rsidRDefault="00EF45A2">
      <w:pPr>
        <w:spacing w:after="200"/>
        <w:rPr>
          <w:b/>
          <w:bCs/>
        </w:rPr>
      </w:pPr>
      <w:r w:rsidRPr="00EF45A2">
        <w:rPr>
          <w:b/>
          <w:bCs/>
        </w:rPr>
        <w:t>Salience model:</w:t>
      </w:r>
      <w:r>
        <w:rPr>
          <w:b/>
          <w:bCs/>
        </w:rPr>
        <w:t xml:space="preserve">  </w:t>
      </w:r>
    </w:p>
    <w:p w14:paraId="2092199D" w14:textId="57D28944" w:rsidR="0097746C" w:rsidRPr="0078738D" w:rsidRDefault="00EF45A2" w:rsidP="007F64AB">
      <w:pPr>
        <w:spacing w:after="200"/>
        <w:rPr>
          <w:rFonts w:ascii="Abadi ExtraLight" w:hAnsi="Abadi ExtraLight"/>
          <w:b/>
          <w:bCs/>
          <w:sz w:val="22"/>
          <w:szCs w:val="22"/>
        </w:rPr>
      </w:pPr>
      <w:r w:rsidRPr="0078738D">
        <w:rPr>
          <w:rFonts w:ascii="Abadi ExtraLight" w:hAnsi="Abadi ExtraLight"/>
          <w:b/>
          <w:bCs/>
          <w:sz w:val="22"/>
          <w:szCs w:val="22"/>
        </w:rPr>
        <w:t xml:space="preserve">The salience model is a concept used in various fields, including psychology, marketing and communication. It refers to how certain stimuli or information </w:t>
      </w:r>
      <w:r w:rsidR="004121AF" w:rsidRPr="0078738D">
        <w:rPr>
          <w:rFonts w:ascii="Abadi ExtraLight" w:hAnsi="Abadi ExtraLight"/>
          <w:b/>
          <w:bCs/>
          <w:sz w:val="22"/>
          <w:szCs w:val="22"/>
        </w:rPr>
        <w:t>stands</w:t>
      </w:r>
      <w:r w:rsidRPr="0078738D">
        <w:rPr>
          <w:rFonts w:ascii="Abadi ExtraLight" w:hAnsi="Abadi ExtraLight"/>
          <w:b/>
          <w:bCs/>
          <w:sz w:val="22"/>
          <w:szCs w:val="22"/>
        </w:rPr>
        <w:t xml:space="preserve"> out capture attention due to their </w:t>
      </w:r>
      <w:r w:rsidR="007F64AB" w:rsidRPr="0078738D">
        <w:rPr>
          <w:rFonts w:ascii="Abadi ExtraLight" w:hAnsi="Abadi ExtraLight"/>
          <w:b/>
          <w:bCs/>
          <w:sz w:val="22"/>
          <w:szCs w:val="22"/>
        </w:rPr>
        <w:t>prominence</w:t>
      </w:r>
      <w:r w:rsidRPr="0078738D">
        <w:rPr>
          <w:rFonts w:ascii="Abadi ExtraLight" w:hAnsi="Abadi ExtraLight"/>
          <w:b/>
          <w:bCs/>
          <w:sz w:val="22"/>
          <w:szCs w:val="22"/>
        </w:rPr>
        <w:t xml:space="preserve"> or relevance. Here are some </w:t>
      </w:r>
      <w:r w:rsidR="004121AF" w:rsidRPr="0078738D">
        <w:rPr>
          <w:rFonts w:ascii="Abadi ExtraLight" w:hAnsi="Abadi ExtraLight"/>
          <w:b/>
          <w:bCs/>
          <w:sz w:val="22"/>
          <w:szCs w:val="22"/>
        </w:rPr>
        <w:t>keys</w:t>
      </w:r>
      <w:r w:rsidRPr="0078738D">
        <w:rPr>
          <w:rFonts w:ascii="Abadi ExtraLight" w:hAnsi="Abadi ExtraLight"/>
          <w:b/>
          <w:bCs/>
          <w:sz w:val="22"/>
          <w:szCs w:val="22"/>
        </w:rPr>
        <w:t xml:space="preserve"> </w:t>
      </w:r>
      <w:r w:rsidR="004121AF" w:rsidRPr="0078738D">
        <w:rPr>
          <w:rFonts w:ascii="Abadi ExtraLight" w:hAnsi="Abadi ExtraLight"/>
          <w:b/>
          <w:bCs/>
          <w:sz w:val="22"/>
          <w:szCs w:val="22"/>
        </w:rPr>
        <w:t>point about the salience model.</w:t>
      </w:r>
    </w:p>
    <w:p w14:paraId="12CE6ACB" w14:textId="0AE37D15" w:rsidR="007F64AB" w:rsidRPr="0078738D" w:rsidRDefault="007F64AB" w:rsidP="007F64AB">
      <w:pPr>
        <w:spacing w:after="200"/>
        <w:rPr>
          <w:rFonts w:ascii="Abadi ExtraLight" w:hAnsi="Abadi ExtraLight"/>
          <w:sz w:val="22"/>
          <w:szCs w:val="22"/>
        </w:rPr>
      </w:pPr>
      <w:r w:rsidRPr="0078738D">
        <w:rPr>
          <w:rFonts w:ascii="Abadi ExtraLight" w:hAnsi="Abadi ExtraLight"/>
          <w:sz w:val="22"/>
          <w:szCs w:val="22"/>
        </w:rPr>
        <w:t xml:space="preserve">The salience model is crucial in various fields due to </w:t>
      </w:r>
      <w:r w:rsidR="002F1114" w:rsidRPr="0078738D">
        <w:rPr>
          <w:rFonts w:ascii="Abadi ExtraLight" w:hAnsi="Abadi ExtraLight"/>
          <w:sz w:val="22"/>
          <w:szCs w:val="22"/>
        </w:rPr>
        <w:t>its ability to highlight what captures attention and influences decision-making. Here a</w:t>
      </w:r>
      <w:r w:rsidR="00D3671F" w:rsidRPr="0078738D">
        <w:rPr>
          <w:rFonts w:ascii="Abadi ExtraLight" w:hAnsi="Abadi ExtraLight"/>
          <w:sz w:val="22"/>
          <w:szCs w:val="22"/>
        </w:rPr>
        <w:t>re some reasons why the salience model is important:</w:t>
      </w:r>
    </w:p>
    <w:p w14:paraId="0C64DDB1" w14:textId="1A17745E" w:rsidR="00D3671F" w:rsidRDefault="00D3671F" w:rsidP="007F64AB">
      <w:pPr>
        <w:spacing w:after="200"/>
        <w:rPr>
          <w:rFonts w:ascii="Abadi" w:hAnsi="Abadi" w:cstheme="majorHAnsi"/>
          <w:sz w:val="28"/>
          <w:szCs w:val="28"/>
        </w:rPr>
      </w:pPr>
      <w:r>
        <w:rPr>
          <w:rFonts w:ascii="Abadi" w:hAnsi="Abadi" w:cstheme="majorHAnsi"/>
          <w:sz w:val="28"/>
          <w:szCs w:val="28"/>
        </w:rPr>
        <w:t>Enhanced Communication</w:t>
      </w:r>
    </w:p>
    <w:p w14:paraId="485652B1" w14:textId="481EE91C" w:rsidR="00D3671F" w:rsidRDefault="00D3671F" w:rsidP="007F64AB">
      <w:pPr>
        <w:spacing w:after="200"/>
        <w:rPr>
          <w:rFonts w:ascii="Abadi" w:hAnsi="Abadi" w:cstheme="majorHAnsi"/>
          <w:sz w:val="28"/>
          <w:szCs w:val="28"/>
        </w:rPr>
      </w:pPr>
      <w:r>
        <w:rPr>
          <w:rFonts w:ascii="Abadi" w:hAnsi="Abadi" w:cstheme="majorHAnsi"/>
          <w:sz w:val="28"/>
          <w:szCs w:val="28"/>
        </w:rPr>
        <w:t>Improved Decision-Making</w:t>
      </w:r>
    </w:p>
    <w:p w14:paraId="4136B2ED" w14:textId="20B3308C" w:rsidR="00D3671F" w:rsidRDefault="00D3671F" w:rsidP="007F64AB">
      <w:pPr>
        <w:spacing w:after="200"/>
        <w:rPr>
          <w:rFonts w:ascii="Abadi" w:hAnsi="Abadi" w:cstheme="majorHAnsi"/>
          <w:sz w:val="28"/>
          <w:szCs w:val="28"/>
        </w:rPr>
      </w:pPr>
      <w:r>
        <w:rPr>
          <w:rFonts w:ascii="Abadi" w:hAnsi="Abadi" w:cstheme="majorHAnsi"/>
          <w:sz w:val="28"/>
          <w:szCs w:val="28"/>
        </w:rPr>
        <w:t>Marketing Effectivess</w:t>
      </w:r>
    </w:p>
    <w:p w14:paraId="3D813875" w14:textId="6337D7B3" w:rsidR="00D3671F" w:rsidRPr="00D3671F" w:rsidRDefault="00D3671F" w:rsidP="007F64AB">
      <w:pPr>
        <w:spacing w:after="200"/>
        <w:rPr>
          <w:rFonts w:ascii="Abadi" w:hAnsi="Abadi" w:cstheme="majorHAnsi"/>
          <w:sz w:val="28"/>
          <w:szCs w:val="28"/>
        </w:rPr>
      </w:pPr>
    </w:p>
    <w:p w14:paraId="7B09BB29" w14:textId="79F155D9" w:rsidR="007F64AB" w:rsidRPr="007F64AB" w:rsidRDefault="007F64AB" w:rsidP="007F64AB">
      <w:pPr>
        <w:spacing w:after="200"/>
        <w:rPr>
          <w:rFonts w:ascii="Abadi ExtraLight" w:hAnsi="Abadi ExtraLight"/>
          <w:color w:val="000000" w:themeColor="text1"/>
          <w:sz w:val="28"/>
          <w:szCs w:val="28"/>
        </w:rPr>
      </w:pPr>
      <w:r>
        <w:rPr>
          <w:rFonts w:ascii="Abadi ExtraLight" w:hAnsi="Abadi ExtraLight"/>
          <w:color w:val="000000" w:themeColor="text1"/>
          <w:sz w:val="28"/>
          <w:szCs w:val="28"/>
        </w:rPr>
        <w:t xml:space="preserve"> </w:t>
      </w:r>
    </w:p>
    <w:p w14:paraId="4BAD4C92" w14:textId="77777777" w:rsidR="007F64AB" w:rsidRDefault="007F64AB" w:rsidP="007F64AB">
      <w:pPr>
        <w:spacing w:after="200"/>
        <w:rPr>
          <w:rFonts w:ascii="Abadi ExtraLight" w:hAnsi="Abadi ExtraLight"/>
          <w:b/>
          <w:bCs/>
        </w:rPr>
      </w:pPr>
    </w:p>
    <w:p w14:paraId="04C34BBB" w14:textId="77777777" w:rsidR="007F64AB" w:rsidRPr="007F64AB" w:rsidRDefault="007F64AB" w:rsidP="007F64AB">
      <w:pPr>
        <w:spacing w:after="200"/>
        <w:rPr>
          <w:rFonts w:ascii="Abadi ExtraLight" w:hAnsi="Abadi ExtraLight"/>
        </w:rPr>
      </w:pPr>
    </w:p>
    <w:p w14:paraId="3B110172" w14:textId="77777777" w:rsidR="00B52C38" w:rsidRDefault="009B3FD6">
      <w:pPr>
        <w:pStyle w:val="Heading1"/>
      </w:pPr>
      <w:bookmarkStart w:id="7" w:name="_Toc236873753"/>
      <w:r>
        <w:t>4.0. Roles of the Manager in Engaging Stakeholders</w:t>
      </w:r>
      <w:bookmarkEnd w:id="7"/>
    </w:p>
    <w:p w14:paraId="167152B3" w14:textId="77777777" w:rsidR="00B52C38" w:rsidRPr="0078738D" w:rsidRDefault="009B3FD6">
      <w:pPr>
        <w:spacing w:after="200"/>
        <w:rPr>
          <w:sz w:val="22"/>
          <w:szCs w:val="22"/>
        </w:rPr>
      </w:pPr>
      <w:r w:rsidRPr="0078738D">
        <w:rPr>
          <w:sz w:val="22"/>
          <w:szCs w:val="22"/>
        </w:rPr>
        <w:lastRenderedPageBreak/>
        <w:t>As Project Manager, the process of stakeholder engagement for the ConnectPlus project can and should follow four phases: identification and mapping, planning, engagement and monitoring, all based on an appropriate model.</w:t>
      </w:r>
    </w:p>
    <w:p w14:paraId="7B62B6AB" w14:textId="77777777" w:rsidR="00B820C8" w:rsidRDefault="00B820C8">
      <w:pPr>
        <w:spacing w:after="200"/>
      </w:pPr>
    </w:p>
    <w:p w14:paraId="147E602B" w14:textId="77777777" w:rsidR="00B52C38" w:rsidRDefault="009B3FD6">
      <w:pPr>
        <w:pStyle w:val="Heading2"/>
      </w:pPr>
      <w:bookmarkStart w:id="8" w:name="_Toc236873754"/>
      <w:r>
        <w:t>4.1. Communication Plan</w:t>
      </w:r>
      <w:bookmarkEnd w:id="8"/>
    </w:p>
    <w:p w14:paraId="4F3BFB81" w14:textId="77777777" w:rsidR="00B52C38" w:rsidRPr="0078738D" w:rsidRDefault="009B3FD6">
      <w:pPr>
        <w:spacing w:after="200"/>
        <w:rPr>
          <w:sz w:val="22"/>
          <w:szCs w:val="22"/>
        </w:rPr>
      </w:pPr>
      <w:r w:rsidRPr="0078738D">
        <w:rPr>
          <w:sz w:val="22"/>
          <w:szCs w:val="22"/>
        </w:rPr>
        <w:t>Identification and mapping phase uses the stakeholder matrix and salience models described above to form a prioritised list of stakeholders. This list needs to be dynamic rather than static because the salience of the stakeholders will change as the project progresses through the design, piloting and implementation stages (Freeman, Harrison and Wicks, 2007).</w:t>
      </w:r>
    </w:p>
    <w:p w14:paraId="4B2C724F" w14:textId="77777777" w:rsidR="00B52C38" w:rsidRPr="0078738D" w:rsidRDefault="009B3FD6">
      <w:pPr>
        <w:spacing w:after="200"/>
        <w:rPr>
          <w:sz w:val="22"/>
          <w:szCs w:val="22"/>
        </w:rPr>
      </w:pPr>
      <w:r w:rsidRPr="0078738D">
        <w:rPr>
          <w:sz w:val="22"/>
          <w:szCs w:val="22"/>
        </w:rPr>
        <w:t xml:space="preserve">Planning </w:t>
      </w:r>
      <w:proofErr w:type="gramStart"/>
      <w:r w:rsidRPr="0078738D">
        <w:rPr>
          <w:sz w:val="22"/>
          <w:szCs w:val="22"/>
        </w:rPr>
        <w:t>takes into account</w:t>
      </w:r>
      <w:proofErr w:type="gramEnd"/>
      <w:r w:rsidRPr="0078738D">
        <w:rPr>
          <w:sz w:val="22"/>
          <w:szCs w:val="22"/>
        </w:rPr>
        <w:t xml:space="preserve"> the typology of stakeholders </w:t>
      </w:r>
      <w:proofErr w:type="gramStart"/>
      <w:r w:rsidRPr="0078738D">
        <w:rPr>
          <w:sz w:val="22"/>
          <w:szCs w:val="22"/>
        </w:rPr>
        <w:t>in order to</w:t>
      </w:r>
      <w:proofErr w:type="gramEnd"/>
      <w:r w:rsidRPr="0078738D">
        <w:rPr>
          <w:sz w:val="22"/>
          <w:szCs w:val="22"/>
        </w:rPr>
        <w:t xml:space="preserve"> determine the appropriate way to deal with each. The typology suggested by Savage et al. (1991), which classifies stakeholders as supportive, marginal, non-supportive or </w:t>
      </w:r>
      <w:proofErr w:type="gramStart"/>
      <w:r w:rsidRPr="0078738D">
        <w:rPr>
          <w:sz w:val="22"/>
          <w:szCs w:val="22"/>
        </w:rPr>
        <w:t>mixed-blessing</w:t>
      </w:r>
      <w:proofErr w:type="gramEnd"/>
      <w:r w:rsidRPr="0078738D">
        <w:rPr>
          <w:sz w:val="22"/>
          <w:szCs w:val="22"/>
        </w:rPr>
        <w:t xml:space="preserve"> based on their potential to threaten or to cooperate with the organisation, is relevant in this case. In the case of regulators and legal counsel, who are </w:t>
      </w:r>
      <w:proofErr w:type="gramStart"/>
      <w:r w:rsidRPr="0078738D">
        <w:rPr>
          <w:sz w:val="22"/>
          <w:szCs w:val="22"/>
        </w:rPr>
        <w:t>considered as</w:t>
      </w:r>
      <w:proofErr w:type="gramEnd"/>
      <w:r w:rsidRPr="0078738D">
        <w:rPr>
          <w:sz w:val="22"/>
          <w:szCs w:val="22"/>
        </w:rPr>
        <w:t xml:space="preserve"> a threat </w:t>
      </w:r>
      <w:proofErr w:type="gramStart"/>
      <w:r w:rsidRPr="0078738D">
        <w:rPr>
          <w:sz w:val="22"/>
          <w:szCs w:val="22"/>
        </w:rPr>
        <w:t>despite the fact that</w:t>
      </w:r>
      <w:proofErr w:type="gramEnd"/>
      <w:r w:rsidRPr="0078738D">
        <w:rPr>
          <w:sz w:val="22"/>
          <w:szCs w:val="22"/>
        </w:rPr>
        <w:t xml:space="preserve"> they provide legitimacy, the approach will be to get them involved from the very beginning rather than to show them the result of design already done. Staff from stores are considered as a mixed-blessing stakeholder because they can either support or oppose the platform depending on how prepared they </w:t>
      </w:r>
      <w:proofErr w:type="gramStart"/>
      <w:r w:rsidRPr="0078738D">
        <w:rPr>
          <w:sz w:val="22"/>
          <w:szCs w:val="22"/>
        </w:rPr>
        <w:t>are,</w:t>
      </w:r>
      <w:proofErr w:type="gramEnd"/>
      <w:r w:rsidRPr="0078738D">
        <w:rPr>
          <w:sz w:val="22"/>
          <w:szCs w:val="22"/>
        </w:rPr>
        <w:t xml:space="preserve"> thus the approach is to work hard on training and consultation before implementation. Finally, customers are considered supportive although sensitive, so the strategy relies on open communication about data collection and on an easy opt-out from participating, which </w:t>
      </w:r>
      <w:proofErr w:type="gramStart"/>
      <w:r w:rsidRPr="0078738D">
        <w:rPr>
          <w:sz w:val="22"/>
          <w:szCs w:val="22"/>
        </w:rPr>
        <w:t>is</w:t>
      </w:r>
      <w:proofErr w:type="gramEnd"/>
      <w:r w:rsidRPr="0078738D">
        <w:rPr>
          <w:sz w:val="22"/>
          <w:szCs w:val="22"/>
        </w:rPr>
        <w:t xml:space="preserve"> proven to lead to higher participation in privacy calculus research (Dinev and Hart, 2006).</w:t>
      </w:r>
    </w:p>
    <w:p w14:paraId="032A1080" w14:textId="77777777" w:rsidR="00B52C38" w:rsidRPr="0078738D" w:rsidRDefault="009B3FD6">
      <w:pPr>
        <w:spacing w:after="200"/>
      </w:pPr>
      <w:r w:rsidRPr="0078738D">
        <w:t>This typology then forms the basis for the development of an engagement and communication strategy, which will define who needs to be consulted, kept abreast, and/or involved in collaboration, how frequently, and through what media, such as Board briefings, company-wide meetings with the store staff, supplier briefings, or customer communication via the application interface, in-store signs, or emails. This communication strategy must also take into account differences between various markets rather than be issued in a standard form from the central office, since the customers in markets where there is less trust in the usage of personal data due to AI would require more information on the privacy measures and a clearer opt-out process than in markets where the same personalization capabilities have been developed by competing companies already.</w:t>
      </w:r>
    </w:p>
    <w:tbl>
      <w:tblPr>
        <w:tblW w:w="98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98"/>
        <w:gridCol w:w="2198"/>
        <w:gridCol w:w="2398"/>
        <w:gridCol w:w="1599"/>
        <w:gridCol w:w="1607"/>
      </w:tblGrid>
      <w:tr w:rsidR="00B52C38" w14:paraId="79D95945" w14:textId="77777777">
        <w:tc>
          <w:tcPr>
            <w:tcW w:w="2000" w:type="dxa"/>
            <w:shd w:val="clear" w:color="auto" w:fill="4472C4"/>
            <w:tcMar>
              <w:top w:w="100" w:type="dxa"/>
              <w:left w:w="120" w:type="dxa"/>
              <w:bottom w:w="100" w:type="dxa"/>
              <w:right w:w="120" w:type="dxa"/>
            </w:tcMar>
          </w:tcPr>
          <w:p w14:paraId="7FC7C321" w14:textId="77777777" w:rsidR="00B52C38" w:rsidRDefault="009B3FD6">
            <w:r>
              <w:rPr>
                <w:b/>
                <w:bCs/>
                <w:color w:val="FFFFFF"/>
                <w:sz w:val="20"/>
                <w:szCs w:val="20"/>
              </w:rPr>
              <w:lastRenderedPageBreak/>
              <w:t>Phase &amp; Timing</w:t>
            </w:r>
          </w:p>
        </w:tc>
        <w:tc>
          <w:tcPr>
            <w:tcW w:w="2200" w:type="dxa"/>
            <w:shd w:val="clear" w:color="auto" w:fill="4472C4"/>
            <w:tcMar>
              <w:top w:w="100" w:type="dxa"/>
              <w:left w:w="120" w:type="dxa"/>
              <w:bottom w:w="100" w:type="dxa"/>
              <w:right w:w="120" w:type="dxa"/>
            </w:tcMar>
          </w:tcPr>
          <w:p w14:paraId="2D95D7E1" w14:textId="77777777" w:rsidR="00B52C38" w:rsidRDefault="009B3FD6">
            <w:r>
              <w:rPr>
                <w:b/>
                <w:bCs/>
                <w:color w:val="FFFFFF"/>
                <w:sz w:val="20"/>
                <w:szCs w:val="20"/>
              </w:rPr>
              <w:t>Stakeholder Group</w:t>
            </w:r>
          </w:p>
        </w:tc>
        <w:tc>
          <w:tcPr>
            <w:tcW w:w="2400" w:type="dxa"/>
            <w:shd w:val="clear" w:color="auto" w:fill="4472C4"/>
            <w:tcMar>
              <w:top w:w="100" w:type="dxa"/>
              <w:left w:w="120" w:type="dxa"/>
              <w:bottom w:w="100" w:type="dxa"/>
              <w:right w:w="120" w:type="dxa"/>
            </w:tcMar>
          </w:tcPr>
          <w:p w14:paraId="6887AC20" w14:textId="77777777" w:rsidR="00B52C38" w:rsidRDefault="009B3FD6">
            <w:r>
              <w:rPr>
                <w:b/>
                <w:bCs/>
                <w:color w:val="FFFFFF"/>
                <w:sz w:val="20"/>
                <w:szCs w:val="20"/>
              </w:rPr>
              <w:t>Channel</w:t>
            </w:r>
          </w:p>
        </w:tc>
        <w:tc>
          <w:tcPr>
            <w:tcW w:w="1600" w:type="dxa"/>
            <w:shd w:val="clear" w:color="auto" w:fill="4472C4"/>
            <w:tcMar>
              <w:top w:w="100" w:type="dxa"/>
              <w:left w:w="120" w:type="dxa"/>
              <w:bottom w:w="100" w:type="dxa"/>
              <w:right w:w="120" w:type="dxa"/>
            </w:tcMar>
          </w:tcPr>
          <w:p w14:paraId="37E33C37" w14:textId="77777777" w:rsidR="00B52C38" w:rsidRDefault="009B3FD6">
            <w:r>
              <w:rPr>
                <w:b/>
                <w:bCs/>
                <w:color w:val="FFFFFF"/>
                <w:sz w:val="20"/>
                <w:szCs w:val="20"/>
              </w:rPr>
              <w:t>Frequency</w:t>
            </w:r>
          </w:p>
        </w:tc>
        <w:tc>
          <w:tcPr>
            <w:tcW w:w="1600" w:type="dxa"/>
            <w:shd w:val="clear" w:color="auto" w:fill="4472C4"/>
            <w:tcMar>
              <w:top w:w="100" w:type="dxa"/>
              <w:left w:w="120" w:type="dxa"/>
              <w:bottom w:w="100" w:type="dxa"/>
              <w:right w:w="120" w:type="dxa"/>
            </w:tcMar>
          </w:tcPr>
          <w:p w14:paraId="2389D5BC" w14:textId="77777777" w:rsidR="00B52C38" w:rsidRDefault="009B3FD6">
            <w:r>
              <w:rPr>
                <w:b/>
                <w:bCs/>
                <w:color w:val="FFFFFF"/>
                <w:sz w:val="20"/>
                <w:szCs w:val="20"/>
              </w:rPr>
              <w:t>Owner</w:t>
            </w:r>
          </w:p>
        </w:tc>
      </w:tr>
      <w:tr w:rsidR="00B52C38" w14:paraId="43AB859C" w14:textId="77777777">
        <w:tc>
          <w:tcPr>
            <w:tcW w:w="2000" w:type="dxa"/>
            <w:tcMar>
              <w:top w:w="100" w:type="dxa"/>
              <w:left w:w="120" w:type="dxa"/>
              <w:bottom w:w="100" w:type="dxa"/>
              <w:right w:w="120" w:type="dxa"/>
            </w:tcMar>
          </w:tcPr>
          <w:p w14:paraId="2242B350" w14:textId="77777777" w:rsidR="00B52C38" w:rsidRDefault="009B3FD6">
            <w:r>
              <w:rPr>
                <w:sz w:val="20"/>
                <w:szCs w:val="20"/>
              </w:rPr>
              <w:t>Pre-launch (Weeks 1-4)</w:t>
            </w:r>
          </w:p>
        </w:tc>
        <w:tc>
          <w:tcPr>
            <w:tcW w:w="2200" w:type="dxa"/>
            <w:tcMar>
              <w:top w:w="100" w:type="dxa"/>
              <w:left w:w="120" w:type="dxa"/>
              <w:bottom w:w="100" w:type="dxa"/>
              <w:right w:w="120" w:type="dxa"/>
            </w:tcMar>
          </w:tcPr>
          <w:p w14:paraId="73E5D8A7" w14:textId="77777777" w:rsidR="00B52C38" w:rsidRDefault="009B3FD6">
            <w:r>
              <w:rPr>
                <w:sz w:val="20"/>
                <w:szCs w:val="20"/>
              </w:rPr>
              <w:t>Board of Directors, senior leadership</w:t>
            </w:r>
          </w:p>
        </w:tc>
        <w:tc>
          <w:tcPr>
            <w:tcW w:w="2400" w:type="dxa"/>
            <w:tcMar>
              <w:top w:w="100" w:type="dxa"/>
              <w:left w:w="120" w:type="dxa"/>
              <w:bottom w:w="100" w:type="dxa"/>
              <w:right w:w="120" w:type="dxa"/>
            </w:tcMar>
          </w:tcPr>
          <w:p w14:paraId="53B581A4" w14:textId="77777777" w:rsidR="00B52C38" w:rsidRDefault="009B3FD6">
            <w:r>
              <w:rPr>
                <w:sz w:val="20"/>
                <w:szCs w:val="20"/>
              </w:rPr>
              <w:t>Board briefings, formal sign-off documents</w:t>
            </w:r>
          </w:p>
        </w:tc>
        <w:tc>
          <w:tcPr>
            <w:tcW w:w="1600" w:type="dxa"/>
            <w:tcMar>
              <w:top w:w="100" w:type="dxa"/>
              <w:left w:w="120" w:type="dxa"/>
              <w:bottom w:w="100" w:type="dxa"/>
              <w:right w:w="120" w:type="dxa"/>
            </w:tcMar>
          </w:tcPr>
          <w:p w14:paraId="753B5DE5" w14:textId="77777777" w:rsidR="00B52C38" w:rsidRDefault="009B3FD6">
            <w:r>
              <w:rPr>
                <w:sz w:val="20"/>
                <w:szCs w:val="20"/>
              </w:rPr>
              <w:t>Fortnightly</w:t>
            </w:r>
          </w:p>
        </w:tc>
        <w:tc>
          <w:tcPr>
            <w:tcW w:w="1600" w:type="dxa"/>
            <w:tcMar>
              <w:top w:w="100" w:type="dxa"/>
              <w:left w:w="120" w:type="dxa"/>
              <w:bottom w:w="100" w:type="dxa"/>
              <w:right w:w="120" w:type="dxa"/>
            </w:tcMar>
          </w:tcPr>
          <w:p w14:paraId="018E1AEC" w14:textId="77777777" w:rsidR="00B52C38" w:rsidRDefault="009B3FD6">
            <w:r>
              <w:rPr>
                <w:sz w:val="20"/>
                <w:szCs w:val="20"/>
              </w:rPr>
              <w:t>Project Manager</w:t>
            </w:r>
          </w:p>
        </w:tc>
      </w:tr>
      <w:tr w:rsidR="00B52C38" w14:paraId="2DF574EB" w14:textId="77777777">
        <w:tc>
          <w:tcPr>
            <w:tcW w:w="2000" w:type="dxa"/>
            <w:tcMar>
              <w:top w:w="100" w:type="dxa"/>
              <w:left w:w="120" w:type="dxa"/>
              <w:bottom w:w="100" w:type="dxa"/>
              <w:right w:w="120" w:type="dxa"/>
            </w:tcMar>
          </w:tcPr>
          <w:p w14:paraId="26317C27" w14:textId="77777777" w:rsidR="00B52C38" w:rsidRDefault="009B3FD6">
            <w:r>
              <w:rPr>
                <w:sz w:val="20"/>
                <w:szCs w:val="20"/>
              </w:rPr>
              <w:t>Pre-launch (Weeks 1-4)</w:t>
            </w:r>
          </w:p>
        </w:tc>
        <w:tc>
          <w:tcPr>
            <w:tcW w:w="2200" w:type="dxa"/>
            <w:tcMar>
              <w:top w:w="100" w:type="dxa"/>
              <w:left w:w="120" w:type="dxa"/>
              <w:bottom w:w="100" w:type="dxa"/>
              <w:right w:w="120" w:type="dxa"/>
            </w:tcMar>
          </w:tcPr>
          <w:p w14:paraId="5374B83D" w14:textId="77777777" w:rsidR="00B52C38" w:rsidRDefault="009B3FD6">
            <w:r>
              <w:rPr>
                <w:sz w:val="20"/>
                <w:szCs w:val="20"/>
              </w:rPr>
              <w:t>Regulators (ICO and equivalents)</w:t>
            </w:r>
          </w:p>
        </w:tc>
        <w:tc>
          <w:tcPr>
            <w:tcW w:w="2400" w:type="dxa"/>
            <w:tcMar>
              <w:top w:w="100" w:type="dxa"/>
              <w:left w:w="120" w:type="dxa"/>
              <w:bottom w:w="100" w:type="dxa"/>
              <w:right w:w="120" w:type="dxa"/>
            </w:tcMar>
          </w:tcPr>
          <w:p w14:paraId="3FCCCE5B" w14:textId="77777777" w:rsidR="00B52C38" w:rsidRDefault="009B3FD6">
            <w:r>
              <w:rPr>
                <w:sz w:val="20"/>
                <w:szCs w:val="20"/>
              </w:rPr>
              <w:t>Formal consultation letters, compliance meetings</w:t>
            </w:r>
          </w:p>
        </w:tc>
        <w:tc>
          <w:tcPr>
            <w:tcW w:w="1600" w:type="dxa"/>
            <w:tcMar>
              <w:top w:w="100" w:type="dxa"/>
              <w:left w:w="120" w:type="dxa"/>
              <w:bottom w:w="100" w:type="dxa"/>
              <w:right w:w="120" w:type="dxa"/>
            </w:tcMar>
          </w:tcPr>
          <w:p w14:paraId="2F155CDD" w14:textId="77777777" w:rsidR="00B52C38" w:rsidRDefault="009B3FD6">
            <w:r>
              <w:rPr>
                <w:sz w:val="20"/>
                <w:szCs w:val="20"/>
              </w:rPr>
              <w:t>Monthly, or as required</w:t>
            </w:r>
          </w:p>
        </w:tc>
        <w:tc>
          <w:tcPr>
            <w:tcW w:w="1600" w:type="dxa"/>
            <w:tcMar>
              <w:top w:w="100" w:type="dxa"/>
              <w:left w:w="120" w:type="dxa"/>
              <w:bottom w:w="100" w:type="dxa"/>
              <w:right w:w="120" w:type="dxa"/>
            </w:tcMar>
          </w:tcPr>
          <w:p w14:paraId="61986206" w14:textId="77777777" w:rsidR="00B52C38" w:rsidRDefault="009B3FD6">
            <w:r>
              <w:rPr>
                <w:sz w:val="20"/>
                <w:szCs w:val="20"/>
              </w:rPr>
              <w:t>Legal &amp; Data Protection team</w:t>
            </w:r>
          </w:p>
        </w:tc>
      </w:tr>
      <w:tr w:rsidR="00B52C38" w14:paraId="4AE8A3F2" w14:textId="77777777">
        <w:tc>
          <w:tcPr>
            <w:tcW w:w="2000" w:type="dxa"/>
            <w:tcMar>
              <w:top w:w="100" w:type="dxa"/>
              <w:left w:w="120" w:type="dxa"/>
              <w:bottom w:w="100" w:type="dxa"/>
              <w:right w:w="120" w:type="dxa"/>
            </w:tcMar>
          </w:tcPr>
          <w:p w14:paraId="3C933510" w14:textId="77777777" w:rsidR="00B52C38" w:rsidRDefault="009B3FD6">
            <w:r>
              <w:rPr>
                <w:sz w:val="20"/>
                <w:szCs w:val="20"/>
              </w:rPr>
              <w:t>Pilot phase (Months 1-3)</w:t>
            </w:r>
          </w:p>
        </w:tc>
        <w:tc>
          <w:tcPr>
            <w:tcW w:w="2200" w:type="dxa"/>
            <w:tcMar>
              <w:top w:w="100" w:type="dxa"/>
              <w:left w:w="120" w:type="dxa"/>
              <w:bottom w:w="100" w:type="dxa"/>
              <w:right w:w="120" w:type="dxa"/>
            </w:tcMar>
          </w:tcPr>
          <w:p w14:paraId="76676A8B" w14:textId="77777777" w:rsidR="00B52C38" w:rsidRDefault="009B3FD6">
            <w:r>
              <w:rPr>
                <w:sz w:val="20"/>
                <w:szCs w:val="20"/>
              </w:rPr>
              <w:t>Store staff and trade unions</w:t>
            </w:r>
          </w:p>
        </w:tc>
        <w:tc>
          <w:tcPr>
            <w:tcW w:w="2400" w:type="dxa"/>
            <w:tcMar>
              <w:top w:w="100" w:type="dxa"/>
              <w:left w:w="120" w:type="dxa"/>
              <w:bottom w:w="100" w:type="dxa"/>
              <w:right w:w="120" w:type="dxa"/>
            </w:tcMar>
          </w:tcPr>
          <w:p w14:paraId="786F5E7D" w14:textId="77777777" w:rsidR="00B52C38" w:rsidRDefault="009B3FD6">
            <w:r>
              <w:rPr>
                <w:sz w:val="20"/>
                <w:szCs w:val="20"/>
              </w:rPr>
              <w:t>Company-wide meetings, in-store briefings</w:t>
            </w:r>
          </w:p>
        </w:tc>
        <w:tc>
          <w:tcPr>
            <w:tcW w:w="1600" w:type="dxa"/>
            <w:tcMar>
              <w:top w:w="100" w:type="dxa"/>
              <w:left w:w="120" w:type="dxa"/>
              <w:bottom w:w="100" w:type="dxa"/>
              <w:right w:w="120" w:type="dxa"/>
            </w:tcMar>
          </w:tcPr>
          <w:p w14:paraId="6388D553" w14:textId="77777777" w:rsidR="00B52C38" w:rsidRDefault="009B3FD6">
            <w:r>
              <w:rPr>
                <w:sz w:val="20"/>
                <w:szCs w:val="20"/>
              </w:rPr>
              <w:t>Weekly during pilot</w:t>
            </w:r>
          </w:p>
        </w:tc>
        <w:tc>
          <w:tcPr>
            <w:tcW w:w="1600" w:type="dxa"/>
            <w:tcMar>
              <w:top w:w="100" w:type="dxa"/>
              <w:left w:w="120" w:type="dxa"/>
              <w:bottom w:w="100" w:type="dxa"/>
              <w:right w:w="120" w:type="dxa"/>
            </w:tcMar>
          </w:tcPr>
          <w:p w14:paraId="136CAAFF" w14:textId="77777777" w:rsidR="00B52C38" w:rsidRDefault="009B3FD6">
            <w:r>
              <w:rPr>
                <w:sz w:val="20"/>
                <w:szCs w:val="20"/>
              </w:rPr>
              <w:t>Store Operations Manager</w:t>
            </w:r>
          </w:p>
        </w:tc>
      </w:tr>
      <w:tr w:rsidR="00B52C38" w14:paraId="15E50023" w14:textId="77777777">
        <w:tc>
          <w:tcPr>
            <w:tcW w:w="2000" w:type="dxa"/>
            <w:tcMar>
              <w:top w:w="100" w:type="dxa"/>
              <w:left w:w="120" w:type="dxa"/>
              <w:bottom w:w="100" w:type="dxa"/>
              <w:right w:w="120" w:type="dxa"/>
            </w:tcMar>
          </w:tcPr>
          <w:p w14:paraId="59E6544D" w14:textId="77777777" w:rsidR="00B52C38" w:rsidRDefault="009B3FD6">
            <w:r>
              <w:rPr>
                <w:sz w:val="20"/>
                <w:szCs w:val="20"/>
              </w:rPr>
              <w:t>Pilot phase (Months 1-3)</w:t>
            </w:r>
          </w:p>
        </w:tc>
        <w:tc>
          <w:tcPr>
            <w:tcW w:w="2200" w:type="dxa"/>
            <w:tcMar>
              <w:top w:w="100" w:type="dxa"/>
              <w:left w:w="120" w:type="dxa"/>
              <w:bottom w:w="100" w:type="dxa"/>
              <w:right w:w="120" w:type="dxa"/>
            </w:tcMar>
          </w:tcPr>
          <w:p w14:paraId="743D028F" w14:textId="77777777" w:rsidR="00B52C38" w:rsidRDefault="009B3FD6">
            <w:r>
              <w:rPr>
                <w:sz w:val="20"/>
                <w:szCs w:val="20"/>
              </w:rPr>
              <w:t>Suppliers and technology partners</w:t>
            </w:r>
          </w:p>
        </w:tc>
        <w:tc>
          <w:tcPr>
            <w:tcW w:w="2400" w:type="dxa"/>
            <w:tcMar>
              <w:top w:w="100" w:type="dxa"/>
              <w:left w:w="120" w:type="dxa"/>
              <w:bottom w:w="100" w:type="dxa"/>
              <w:right w:w="120" w:type="dxa"/>
            </w:tcMar>
          </w:tcPr>
          <w:p w14:paraId="63981A10" w14:textId="77777777" w:rsidR="00B52C38" w:rsidRDefault="009B3FD6">
            <w:r>
              <w:rPr>
                <w:sz w:val="20"/>
                <w:szCs w:val="20"/>
              </w:rPr>
              <w:t>Supplier briefings, contract review meetings</w:t>
            </w:r>
          </w:p>
        </w:tc>
        <w:tc>
          <w:tcPr>
            <w:tcW w:w="1600" w:type="dxa"/>
            <w:tcMar>
              <w:top w:w="100" w:type="dxa"/>
              <w:left w:w="120" w:type="dxa"/>
              <w:bottom w:w="100" w:type="dxa"/>
              <w:right w:w="120" w:type="dxa"/>
            </w:tcMar>
          </w:tcPr>
          <w:p w14:paraId="5D2CCA3A" w14:textId="77777777" w:rsidR="00B52C38" w:rsidRDefault="009B3FD6">
            <w:r>
              <w:rPr>
                <w:sz w:val="20"/>
                <w:szCs w:val="20"/>
              </w:rPr>
              <w:t>Monthly</w:t>
            </w:r>
          </w:p>
        </w:tc>
        <w:tc>
          <w:tcPr>
            <w:tcW w:w="1600" w:type="dxa"/>
            <w:tcMar>
              <w:top w:w="100" w:type="dxa"/>
              <w:left w:w="120" w:type="dxa"/>
              <w:bottom w:w="100" w:type="dxa"/>
              <w:right w:w="120" w:type="dxa"/>
            </w:tcMar>
          </w:tcPr>
          <w:p w14:paraId="1A56FAEC" w14:textId="77777777" w:rsidR="00B52C38" w:rsidRDefault="009B3FD6">
            <w:r>
              <w:rPr>
                <w:sz w:val="20"/>
                <w:szCs w:val="20"/>
              </w:rPr>
              <w:t>Procurement / IT lead</w:t>
            </w:r>
          </w:p>
        </w:tc>
      </w:tr>
      <w:tr w:rsidR="00B52C38" w14:paraId="7020D423" w14:textId="77777777">
        <w:tc>
          <w:tcPr>
            <w:tcW w:w="2000" w:type="dxa"/>
            <w:tcMar>
              <w:top w:w="100" w:type="dxa"/>
              <w:left w:w="120" w:type="dxa"/>
              <w:bottom w:w="100" w:type="dxa"/>
              <w:right w:w="120" w:type="dxa"/>
            </w:tcMar>
          </w:tcPr>
          <w:p w14:paraId="0D42EE5F" w14:textId="77777777" w:rsidR="00B52C38" w:rsidRDefault="009B3FD6">
            <w:r>
              <w:rPr>
                <w:sz w:val="20"/>
                <w:szCs w:val="20"/>
              </w:rPr>
              <w:t>Rollout (Months 3-6)</w:t>
            </w:r>
          </w:p>
        </w:tc>
        <w:tc>
          <w:tcPr>
            <w:tcW w:w="2200" w:type="dxa"/>
            <w:tcMar>
              <w:top w:w="100" w:type="dxa"/>
              <w:left w:w="120" w:type="dxa"/>
              <w:bottom w:w="100" w:type="dxa"/>
              <w:right w:w="120" w:type="dxa"/>
            </w:tcMar>
          </w:tcPr>
          <w:p w14:paraId="5BBF7A11" w14:textId="77777777" w:rsidR="00B52C38" w:rsidRDefault="009B3FD6">
            <w:r>
              <w:rPr>
                <w:sz w:val="20"/>
                <w:szCs w:val="20"/>
              </w:rPr>
              <w:t>Clubcard customers</w:t>
            </w:r>
          </w:p>
        </w:tc>
        <w:tc>
          <w:tcPr>
            <w:tcW w:w="2400" w:type="dxa"/>
            <w:tcMar>
              <w:top w:w="100" w:type="dxa"/>
              <w:left w:w="120" w:type="dxa"/>
              <w:bottom w:w="100" w:type="dxa"/>
              <w:right w:w="120" w:type="dxa"/>
            </w:tcMar>
          </w:tcPr>
          <w:p w14:paraId="5BBAC9EC" w14:textId="77777777" w:rsidR="00B52C38" w:rsidRDefault="009B3FD6">
            <w:r>
              <w:rPr>
                <w:sz w:val="20"/>
                <w:szCs w:val="20"/>
              </w:rPr>
              <w:t>App notifications, in-store signage, email</w:t>
            </w:r>
          </w:p>
        </w:tc>
        <w:tc>
          <w:tcPr>
            <w:tcW w:w="1600" w:type="dxa"/>
            <w:tcMar>
              <w:top w:w="100" w:type="dxa"/>
              <w:left w:w="120" w:type="dxa"/>
              <w:bottom w:w="100" w:type="dxa"/>
              <w:right w:w="120" w:type="dxa"/>
            </w:tcMar>
          </w:tcPr>
          <w:p w14:paraId="27E14438" w14:textId="77777777" w:rsidR="00B52C38" w:rsidRDefault="009B3FD6">
            <w:r>
              <w:rPr>
                <w:sz w:val="20"/>
                <w:szCs w:val="20"/>
              </w:rPr>
              <w:t>Ongoing, phased by market</w:t>
            </w:r>
          </w:p>
        </w:tc>
        <w:tc>
          <w:tcPr>
            <w:tcW w:w="1600" w:type="dxa"/>
            <w:tcMar>
              <w:top w:w="100" w:type="dxa"/>
              <w:left w:w="120" w:type="dxa"/>
              <w:bottom w:w="100" w:type="dxa"/>
              <w:right w:w="120" w:type="dxa"/>
            </w:tcMar>
          </w:tcPr>
          <w:p w14:paraId="0802D7E3" w14:textId="77777777" w:rsidR="00B52C38" w:rsidRDefault="009B3FD6">
            <w:r>
              <w:rPr>
                <w:sz w:val="20"/>
                <w:szCs w:val="20"/>
              </w:rPr>
              <w:t>Marketing and Clubcard team</w:t>
            </w:r>
          </w:p>
        </w:tc>
      </w:tr>
      <w:tr w:rsidR="00B52C38" w14:paraId="2C2E22FE" w14:textId="77777777">
        <w:tc>
          <w:tcPr>
            <w:tcW w:w="2000" w:type="dxa"/>
            <w:tcMar>
              <w:top w:w="100" w:type="dxa"/>
              <w:left w:w="120" w:type="dxa"/>
              <w:bottom w:w="100" w:type="dxa"/>
              <w:right w:w="120" w:type="dxa"/>
            </w:tcMar>
          </w:tcPr>
          <w:p w14:paraId="36773728" w14:textId="77777777" w:rsidR="00B52C38" w:rsidRDefault="009B3FD6">
            <w:r>
              <w:rPr>
                <w:sz w:val="20"/>
                <w:szCs w:val="20"/>
              </w:rPr>
              <w:t>Rollout (Months 3-6)</w:t>
            </w:r>
          </w:p>
        </w:tc>
        <w:tc>
          <w:tcPr>
            <w:tcW w:w="2200" w:type="dxa"/>
            <w:tcMar>
              <w:top w:w="100" w:type="dxa"/>
              <w:left w:w="120" w:type="dxa"/>
              <w:bottom w:w="100" w:type="dxa"/>
              <w:right w:w="120" w:type="dxa"/>
            </w:tcMar>
          </w:tcPr>
          <w:p w14:paraId="168BB780" w14:textId="77777777" w:rsidR="00B52C38" w:rsidRDefault="009B3FD6">
            <w:r>
              <w:rPr>
                <w:sz w:val="20"/>
                <w:szCs w:val="20"/>
              </w:rPr>
              <w:t>Wider public and community organisations</w:t>
            </w:r>
          </w:p>
        </w:tc>
        <w:tc>
          <w:tcPr>
            <w:tcW w:w="2400" w:type="dxa"/>
            <w:tcMar>
              <w:top w:w="100" w:type="dxa"/>
              <w:left w:w="120" w:type="dxa"/>
              <w:bottom w:w="100" w:type="dxa"/>
              <w:right w:w="120" w:type="dxa"/>
            </w:tcMar>
          </w:tcPr>
          <w:p w14:paraId="090B654C" w14:textId="77777777" w:rsidR="00B52C38" w:rsidRDefault="009B3FD6">
            <w:r>
              <w:rPr>
                <w:sz w:val="20"/>
                <w:szCs w:val="20"/>
              </w:rPr>
              <w:t>General public communications, press releases</w:t>
            </w:r>
          </w:p>
        </w:tc>
        <w:tc>
          <w:tcPr>
            <w:tcW w:w="1600" w:type="dxa"/>
            <w:tcMar>
              <w:top w:w="100" w:type="dxa"/>
              <w:left w:w="120" w:type="dxa"/>
              <w:bottom w:w="100" w:type="dxa"/>
              <w:right w:w="120" w:type="dxa"/>
            </w:tcMar>
          </w:tcPr>
          <w:p w14:paraId="1539C624" w14:textId="77777777" w:rsidR="00B52C38" w:rsidRDefault="009B3FD6">
            <w:r>
              <w:rPr>
                <w:sz w:val="20"/>
                <w:szCs w:val="20"/>
              </w:rPr>
              <w:t>Quarterly, or as needed</w:t>
            </w:r>
          </w:p>
        </w:tc>
        <w:tc>
          <w:tcPr>
            <w:tcW w:w="1600" w:type="dxa"/>
            <w:tcMar>
              <w:top w:w="100" w:type="dxa"/>
              <w:left w:w="120" w:type="dxa"/>
              <w:bottom w:w="100" w:type="dxa"/>
              <w:right w:w="120" w:type="dxa"/>
            </w:tcMar>
          </w:tcPr>
          <w:p w14:paraId="64730906" w14:textId="77777777" w:rsidR="00B52C38" w:rsidRDefault="009B3FD6">
            <w:r>
              <w:rPr>
                <w:sz w:val="20"/>
                <w:szCs w:val="20"/>
              </w:rPr>
              <w:t>Corporate Communications</w:t>
            </w:r>
          </w:p>
        </w:tc>
      </w:tr>
    </w:tbl>
    <w:p w14:paraId="01012EC3" w14:textId="77777777" w:rsidR="00B52C38" w:rsidRPr="0078738D" w:rsidRDefault="009B3FD6">
      <w:pPr>
        <w:spacing w:before="120" w:after="240"/>
        <w:rPr>
          <w:sz w:val="22"/>
          <w:szCs w:val="22"/>
        </w:rPr>
      </w:pPr>
      <w:r w:rsidRPr="0078738D">
        <w:rPr>
          <w:sz w:val="22"/>
          <w:szCs w:val="22"/>
        </w:rPr>
        <w:t>This plan operationalises the stakeholder matrix and salience findings set out in Section 3.3 and is reviewed at each project milestone so that the channel, frequency and owner for each stakeholder group continue to reflect their current level of power, interest and urgency.</w:t>
      </w:r>
    </w:p>
    <w:p w14:paraId="256BA311" w14:textId="77777777" w:rsidR="00B52C38" w:rsidRDefault="009B3FD6">
      <w:pPr>
        <w:pStyle w:val="Heading2"/>
      </w:pPr>
      <w:bookmarkStart w:id="9" w:name="_Toc236873755"/>
      <w:r>
        <w:t>4.2. Level of Engagement</w:t>
      </w:r>
      <w:bookmarkEnd w:id="9"/>
    </w:p>
    <w:p w14:paraId="2D5B8DCF" w14:textId="1506BAF4" w:rsidR="00B52C38" w:rsidRPr="0078738D" w:rsidRDefault="009B3FD6">
      <w:pPr>
        <w:spacing w:after="200"/>
        <w:rPr>
          <w:sz w:val="22"/>
          <w:szCs w:val="22"/>
        </w:rPr>
      </w:pPr>
      <w:r w:rsidRPr="0078738D">
        <w:rPr>
          <w:sz w:val="22"/>
          <w:szCs w:val="22"/>
        </w:rPr>
        <w:t xml:space="preserve">The process of active engagement itself should be organized using the 4Cs framework – communication, collaboration, consultation, and commitment. The first one is needed to make sure that stakeholders receive all necessary information regarding the project and its purposes, minimizing rumours and speculations. Collaboration involves engaging stakeholders, including store employees and suppliers in co-creation processes, for instance, testing the reward scheme in a few selected stores and improving it based on the feedback received from the frontlines before implementing it nationwide, similarly to Tesco’s historical practice of testing Clubcard modifications in a few limited areas before the full-scale release (Humby, Hunt and Phillips, 2008). Consultation is meant to provide an opportunity for stakeholders, especially for regulatory bodies, unions, and consumer groups, to influence the decision-making process, which complies with the participatory principle of AA1000 Stakeholder Engagement Standard (AccountAbility, 2015). </w:t>
      </w:r>
    </w:p>
    <w:p w14:paraId="2C5BF9E2" w14:textId="77777777" w:rsidR="00CB1CAA" w:rsidRDefault="00CB1CAA">
      <w:pPr>
        <w:spacing w:after="200"/>
      </w:pPr>
    </w:p>
    <w:p w14:paraId="5F8E0D5B" w14:textId="77777777" w:rsidR="00CB1CAA" w:rsidRDefault="00CB1CAA">
      <w:pPr>
        <w:spacing w:after="200"/>
      </w:pPr>
    </w:p>
    <w:tbl>
      <w:tblPr>
        <w:tblW w:w="98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1800"/>
        <w:gridCol w:w="3800"/>
        <w:gridCol w:w="1800"/>
      </w:tblGrid>
      <w:tr w:rsidR="00B52C38" w14:paraId="07146B1B" w14:textId="77777777">
        <w:tc>
          <w:tcPr>
            <w:tcW w:w="2400" w:type="dxa"/>
            <w:shd w:val="clear" w:color="auto" w:fill="4472C4"/>
            <w:tcMar>
              <w:top w:w="100" w:type="dxa"/>
              <w:left w:w="120" w:type="dxa"/>
              <w:bottom w:w="100" w:type="dxa"/>
              <w:right w:w="120" w:type="dxa"/>
            </w:tcMar>
          </w:tcPr>
          <w:p w14:paraId="67A351BB" w14:textId="77777777" w:rsidR="00B52C38" w:rsidRDefault="009B3FD6">
            <w:r>
              <w:rPr>
                <w:b/>
                <w:bCs/>
                <w:color w:val="FFFFFF"/>
                <w:sz w:val="20"/>
                <w:szCs w:val="20"/>
              </w:rPr>
              <w:t>Stakeholder Group</w:t>
            </w:r>
          </w:p>
        </w:tc>
        <w:tc>
          <w:tcPr>
            <w:tcW w:w="1800" w:type="dxa"/>
            <w:shd w:val="clear" w:color="auto" w:fill="4472C4"/>
            <w:tcMar>
              <w:top w:w="100" w:type="dxa"/>
              <w:left w:w="120" w:type="dxa"/>
              <w:bottom w:w="100" w:type="dxa"/>
              <w:right w:w="120" w:type="dxa"/>
            </w:tcMar>
          </w:tcPr>
          <w:p w14:paraId="7F836A37" w14:textId="77777777" w:rsidR="00B52C38" w:rsidRDefault="009B3FD6">
            <w:r>
              <w:rPr>
                <w:b/>
                <w:bCs/>
                <w:color w:val="FFFFFF"/>
                <w:sz w:val="20"/>
                <w:szCs w:val="20"/>
              </w:rPr>
              <w:t>Engagement Level</w:t>
            </w:r>
          </w:p>
        </w:tc>
        <w:tc>
          <w:tcPr>
            <w:tcW w:w="3800" w:type="dxa"/>
            <w:shd w:val="clear" w:color="auto" w:fill="4472C4"/>
            <w:tcMar>
              <w:top w:w="100" w:type="dxa"/>
              <w:left w:w="120" w:type="dxa"/>
              <w:bottom w:w="100" w:type="dxa"/>
              <w:right w:w="120" w:type="dxa"/>
            </w:tcMar>
          </w:tcPr>
          <w:p w14:paraId="6F8EC6C6" w14:textId="77777777" w:rsidR="00B52C38" w:rsidRDefault="009B3FD6">
            <w:r>
              <w:rPr>
                <w:b/>
                <w:bCs/>
                <w:color w:val="FFFFFF"/>
                <w:sz w:val="20"/>
                <w:szCs w:val="20"/>
              </w:rPr>
              <w:t>Key Activities</w:t>
            </w:r>
          </w:p>
        </w:tc>
        <w:tc>
          <w:tcPr>
            <w:tcW w:w="1800" w:type="dxa"/>
            <w:shd w:val="clear" w:color="auto" w:fill="4472C4"/>
            <w:tcMar>
              <w:top w:w="100" w:type="dxa"/>
              <w:left w:w="120" w:type="dxa"/>
              <w:bottom w:w="100" w:type="dxa"/>
              <w:right w:w="120" w:type="dxa"/>
            </w:tcMar>
          </w:tcPr>
          <w:p w14:paraId="536C9171" w14:textId="77777777" w:rsidR="00B52C38" w:rsidRDefault="009B3FD6">
            <w:r>
              <w:rPr>
                <w:b/>
                <w:bCs/>
                <w:color w:val="FFFFFF"/>
                <w:sz w:val="20"/>
                <w:szCs w:val="20"/>
              </w:rPr>
              <w:t>Timing</w:t>
            </w:r>
          </w:p>
        </w:tc>
      </w:tr>
      <w:tr w:rsidR="00B52C38" w14:paraId="3D52E6A1" w14:textId="77777777">
        <w:tc>
          <w:tcPr>
            <w:tcW w:w="2400" w:type="dxa"/>
            <w:tcMar>
              <w:top w:w="100" w:type="dxa"/>
              <w:left w:w="120" w:type="dxa"/>
              <w:bottom w:w="100" w:type="dxa"/>
              <w:right w:w="120" w:type="dxa"/>
            </w:tcMar>
          </w:tcPr>
          <w:p w14:paraId="355D9020" w14:textId="77777777" w:rsidR="00B52C38" w:rsidRDefault="009B3FD6">
            <w:r>
              <w:rPr>
                <w:sz w:val="20"/>
                <w:szCs w:val="20"/>
              </w:rPr>
              <w:t>Board of Directors &amp; senior leadership</w:t>
            </w:r>
          </w:p>
        </w:tc>
        <w:tc>
          <w:tcPr>
            <w:tcW w:w="1800" w:type="dxa"/>
            <w:tcMar>
              <w:top w:w="100" w:type="dxa"/>
              <w:left w:w="120" w:type="dxa"/>
              <w:bottom w:w="100" w:type="dxa"/>
              <w:right w:w="120" w:type="dxa"/>
            </w:tcMar>
          </w:tcPr>
          <w:p w14:paraId="616EE0A2" w14:textId="77777777" w:rsidR="00B52C38" w:rsidRDefault="009B3FD6">
            <w:r>
              <w:rPr>
                <w:sz w:val="20"/>
                <w:szCs w:val="20"/>
              </w:rPr>
              <w:t>Collaborate</w:t>
            </w:r>
          </w:p>
        </w:tc>
        <w:tc>
          <w:tcPr>
            <w:tcW w:w="3800" w:type="dxa"/>
            <w:tcMar>
              <w:top w:w="100" w:type="dxa"/>
              <w:left w:w="120" w:type="dxa"/>
              <w:bottom w:w="100" w:type="dxa"/>
              <w:right w:w="120" w:type="dxa"/>
            </w:tcMar>
          </w:tcPr>
          <w:p w14:paraId="75AC8BDA" w14:textId="77777777" w:rsidR="00B52C38" w:rsidRDefault="009B3FD6">
            <w:r>
              <w:rPr>
                <w:sz w:val="20"/>
                <w:szCs w:val="20"/>
              </w:rPr>
              <w:t>Monthly steering group, formal sign-off on key milestones</w:t>
            </w:r>
          </w:p>
        </w:tc>
        <w:tc>
          <w:tcPr>
            <w:tcW w:w="1800" w:type="dxa"/>
            <w:tcMar>
              <w:top w:w="100" w:type="dxa"/>
              <w:left w:w="120" w:type="dxa"/>
              <w:bottom w:w="100" w:type="dxa"/>
              <w:right w:w="120" w:type="dxa"/>
            </w:tcMar>
          </w:tcPr>
          <w:p w14:paraId="777E24B3" w14:textId="77777777" w:rsidR="00B52C38" w:rsidRDefault="009B3FD6">
            <w:r>
              <w:rPr>
                <w:sz w:val="20"/>
                <w:szCs w:val="20"/>
              </w:rPr>
              <w:t>Throughout the six-month rollout</w:t>
            </w:r>
          </w:p>
        </w:tc>
      </w:tr>
      <w:tr w:rsidR="00B52C38" w14:paraId="6D741ABE" w14:textId="77777777">
        <w:tc>
          <w:tcPr>
            <w:tcW w:w="2400" w:type="dxa"/>
            <w:tcMar>
              <w:top w:w="100" w:type="dxa"/>
              <w:left w:w="120" w:type="dxa"/>
              <w:bottom w:w="100" w:type="dxa"/>
              <w:right w:w="120" w:type="dxa"/>
            </w:tcMar>
          </w:tcPr>
          <w:p w14:paraId="30669537" w14:textId="77777777" w:rsidR="00B52C38" w:rsidRDefault="009B3FD6">
            <w:r>
              <w:rPr>
                <w:sz w:val="20"/>
                <w:szCs w:val="20"/>
              </w:rPr>
              <w:t>Regulators (ICO and equivalents)</w:t>
            </w:r>
          </w:p>
        </w:tc>
        <w:tc>
          <w:tcPr>
            <w:tcW w:w="1800" w:type="dxa"/>
            <w:tcMar>
              <w:top w:w="100" w:type="dxa"/>
              <w:left w:w="120" w:type="dxa"/>
              <w:bottom w:w="100" w:type="dxa"/>
              <w:right w:w="120" w:type="dxa"/>
            </w:tcMar>
          </w:tcPr>
          <w:p w14:paraId="6A7739F1" w14:textId="77777777" w:rsidR="00B52C38" w:rsidRDefault="009B3FD6">
            <w:r>
              <w:rPr>
                <w:sz w:val="20"/>
                <w:szCs w:val="20"/>
              </w:rPr>
              <w:t>Consult</w:t>
            </w:r>
          </w:p>
        </w:tc>
        <w:tc>
          <w:tcPr>
            <w:tcW w:w="3800" w:type="dxa"/>
            <w:tcMar>
              <w:top w:w="100" w:type="dxa"/>
              <w:left w:w="120" w:type="dxa"/>
              <w:bottom w:w="100" w:type="dxa"/>
              <w:right w:w="120" w:type="dxa"/>
            </w:tcMar>
          </w:tcPr>
          <w:p w14:paraId="7AF6C005" w14:textId="77777777" w:rsidR="00B52C38" w:rsidRDefault="009B3FD6">
            <w:r>
              <w:rPr>
                <w:sz w:val="20"/>
                <w:szCs w:val="20"/>
              </w:rPr>
              <w:t>Early consultation on data protection design, pre-launch compliance review</w:t>
            </w:r>
          </w:p>
        </w:tc>
        <w:tc>
          <w:tcPr>
            <w:tcW w:w="1800" w:type="dxa"/>
            <w:tcMar>
              <w:top w:w="100" w:type="dxa"/>
              <w:left w:w="120" w:type="dxa"/>
              <w:bottom w:w="100" w:type="dxa"/>
              <w:right w:w="120" w:type="dxa"/>
            </w:tcMar>
          </w:tcPr>
          <w:p w14:paraId="6731681D" w14:textId="77777777" w:rsidR="00B52C38" w:rsidRDefault="009B3FD6">
            <w:r>
              <w:rPr>
                <w:sz w:val="20"/>
                <w:szCs w:val="20"/>
              </w:rPr>
              <w:t>Weeks 1-4, and ahead of each new market entry</w:t>
            </w:r>
          </w:p>
        </w:tc>
      </w:tr>
      <w:tr w:rsidR="00B52C38" w14:paraId="1E02C7DF" w14:textId="77777777">
        <w:tc>
          <w:tcPr>
            <w:tcW w:w="2400" w:type="dxa"/>
            <w:tcMar>
              <w:top w:w="100" w:type="dxa"/>
              <w:left w:w="120" w:type="dxa"/>
              <w:bottom w:w="100" w:type="dxa"/>
              <w:right w:w="120" w:type="dxa"/>
            </w:tcMar>
          </w:tcPr>
          <w:p w14:paraId="1A32CEAE" w14:textId="77777777" w:rsidR="00B52C38" w:rsidRDefault="009B3FD6">
            <w:r>
              <w:rPr>
                <w:sz w:val="20"/>
                <w:szCs w:val="20"/>
              </w:rPr>
              <w:t>Store staff &amp; trade unions</w:t>
            </w:r>
          </w:p>
        </w:tc>
        <w:tc>
          <w:tcPr>
            <w:tcW w:w="1800" w:type="dxa"/>
            <w:tcMar>
              <w:top w:w="100" w:type="dxa"/>
              <w:left w:w="120" w:type="dxa"/>
              <w:bottom w:w="100" w:type="dxa"/>
              <w:right w:w="120" w:type="dxa"/>
            </w:tcMar>
          </w:tcPr>
          <w:p w14:paraId="2A2FB32B" w14:textId="77777777" w:rsidR="00B52C38" w:rsidRDefault="009B3FD6">
            <w:r>
              <w:rPr>
                <w:sz w:val="20"/>
                <w:szCs w:val="20"/>
              </w:rPr>
              <w:t>Involve</w:t>
            </w:r>
          </w:p>
        </w:tc>
        <w:tc>
          <w:tcPr>
            <w:tcW w:w="3800" w:type="dxa"/>
            <w:tcMar>
              <w:top w:w="100" w:type="dxa"/>
              <w:left w:w="120" w:type="dxa"/>
              <w:bottom w:w="100" w:type="dxa"/>
              <w:right w:w="120" w:type="dxa"/>
            </w:tcMar>
          </w:tcPr>
          <w:p w14:paraId="02F936D1" w14:textId="77777777" w:rsidR="00B52C38" w:rsidRDefault="009B3FD6">
            <w:r>
              <w:rPr>
                <w:sz w:val="20"/>
                <w:szCs w:val="20"/>
              </w:rPr>
              <w:t>Co-creation workshops, pilot feedback sessions, training</w:t>
            </w:r>
          </w:p>
        </w:tc>
        <w:tc>
          <w:tcPr>
            <w:tcW w:w="1800" w:type="dxa"/>
            <w:tcMar>
              <w:top w:w="100" w:type="dxa"/>
              <w:left w:w="120" w:type="dxa"/>
              <w:bottom w:w="100" w:type="dxa"/>
              <w:right w:w="120" w:type="dxa"/>
            </w:tcMar>
          </w:tcPr>
          <w:p w14:paraId="2DB89A43" w14:textId="77777777" w:rsidR="00B52C38" w:rsidRDefault="009B3FD6">
            <w:r>
              <w:rPr>
                <w:sz w:val="20"/>
                <w:szCs w:val="20"/>
              </w:rPr>
              <w:t>Weeks 4-12 (pilot phase)</w:t>
            </w:r>
          </w:p>
        </w:tc>
      </w:tr>
      <w:tr w:rsidR="00B52C38" w14:paraId="5969AA81" w14:textId="77777777">
        <w:tc>
          <w:tcPr>
            <w:tcW w:w="2400" w:type="dxa"/>
            <w:tcMar>
              <w:top w:w="100" w:type="dxa"/>
              <w:left w:w="120" w:type="dxa"/>
              <w:bottom w:w="100" w:type="dxa"/>
              <w:right w:w="120" w:type="dxa"/>
            </w:tcMar>
          </w:tcPr>
          <w:p w14:paraId="6BBA8416" w14:textId="77777777" w:rsidR="00B52C38" w:rsidRDefault="009B3FD6">
            <w:r>
              <w:rPr>
                <w:sz w:val="20"/>
                <w:szCs w:val="20"/>
              </w:rPr>
              <w:t>Suppliers &amp; technology partners</w:t>
            </w:r>
          </w:p>
        </w:tc>
        <w:tc>
          <w:tcPr>
            <w:tcW w:w="1800" w:type="dxa"/>
            <w:tcMar>
              <w:top w:w="100" w:type="dxa"/>
              <w:left w:w="120" w:type="dxa"/>
              <w:bottom w:w="100" w:type="dxa"/>
              <w:right w:w="120" w:type="dxa"/>
            </w:tcMar>
          </w:tcPr>
          <w:p w14:paraId="6D6A242B" w14:textId="77777777" w:rsidR="00B52C38" w:rsidRDefault="009B3FD6">
            <w:r>
              <w:rPr>
                <w:sz w:val="20"/>
                <w:szCs w:val="20"/>
              </w:rPr>
              <w:t>Consult / Collaborate</w:t>
            </w:r>
          </w:p>
        </w:tc>
        <w:tc>
          <w:tcPr>
            <w:tcW w:w="3800" w:type="dxa"/>
            <w:tcMar>
              <w:top w:w="100" w:type="dxa"/>
              <w:left w:w="120" w:type="dxa"/>
              <w:bottom w:w="100" w:type="dxa"/>
              <w:right w:w="120" w:type="dxa"/>
            </w:tcMar>
          </w:tcPr>
          <w:p w14:paraId="1BFA8048" w14:textId="77777777" w:rsidR="00B52C38" w:rsidRDefault="009B3FD6">
            <w:r>
              <w:rPr>
                <w:sz w:val="20"/>
                <w:szCs w:val="20"/>
              </w:rPr>
              <w:t>Joint testing of the recommendation engine, contract reviews</w:t>
            </w:r>
          </w:p>
        </w:tc>
        <w:tc>
          <w:tcPr>
            <w:tcW w:w="1800" w:type="dxa"/>
            <w:tcMar>
              <w:top w:w="100" w:type="dxa"/>
              <w:left w:w="120" w:type="dxa"/>
              <w:bottom w:w="100" w:type="dxa"/>
              <w:right w:w="120" w:type="dxa"/>
            </w:tcMar>
          </w:tcPr>
          <w:p w14:paraId="74180AF7" w14:textId="77777777" w:rsidR="00B52C38" w:rsidRDefault="009B3FD6">
            <w:r>
              <w:rPr>
                <w:sz w:val="20"/>
                <w:szCs w:val="20"/>
              </w:rPr>
              <w:t>Ongoing</w:t>
            </w:r>
          </w:p>
        </w:tc>
      </w:tr>
      <w:tr w:rsidR="00B52C38" w14:paraId="71D6088E" w14:textId="77777777">
        <w:tc>
          <w:tcPr>
            <w:tcW w:w="2400" w:type="dxa"/>
            <w:tcMar>
              <w:top w:w="100" w:type="dxa"/>
              <w:left w:w="120" w:type="dxa"/>
              <w:bottom w:w="100" w:type="dxa"/>
              <w:right w:w="120" w:type="dxa"/>
            </w:tcMar>
          </w:tcPr>
          <w:p w14:paraId="45BEEB9B" w14:textId="77777777" w:rsidR="00B52C38" w:rsidRDefault="009B3FD6">
            <w:r>
              <w:rPr>
                <w:sz w:val="20"/>
                <w:szCs w:val="20"/>
              </w:rPr>
              <w:t>Clubcard customers</w:t>
            </w:r>
          </w:p>
        </w:tc>
        <w:tc>
          <w:tcPr>
            <w:tcW w:w="1800" w:type="dxa"/>
            <w:tcMar>
              <w:top w:w="100" w:type="dxa"/>
              <w:left w:w="120" w:type="dxa"/>
              <w:bottom w:w="100" w:type="dxa"/>
              <w:right w:w="120" w:type="dxa"/>
            </w:tcMar>
          </w:tcPr>
          <w:p w14:paraId="486183DB" w14:textId="77777777" w:rsidR="00B52C38" w:rsidRDefault="009B3FD6">
            <w:r>
              <w:rPr>
                <w:sz w:val="20"/>
                <w:szCs w:val="20"/>
              </w:rPr>
              <w:t>Inform / Consult</w:t>
            </w:r>
          </w:p>
        </w:tc>
        <w:tc>
          <w:tcPr>
            <w:tcW w:w="3800" w:type="dxa"/>
            <w:tcMar>
              <w:top w:w="100" w:type="dxa"/>
              <w:left w:w="120" w:type="dxa"/>
              <w:bottom w:w="100" w:type="dxa"/>
              <w:right w:w="120" w:type="dxa"/>
            </w:tcMar>
          </w:tcPr>
          <w:p w14:paraId="600C4DA3" w14:textId="77777777" w:rsidR="00B52C38" w:rsidRDefault="009B3FD6">
            <w:r>
              <w:rPr>
                <w:sz w:val="20"/>
                <w:szCs w:val="20"/>
              </w:rPr>
              <w:t>Opt-in communications, in-app feedback surveys, clear opt-out route</w:t>
            </w:r>
          </w:p>
        </w:tc>
        <w:tc>
          <w:tcPr>
            <w:tcW w:w="1800" w:type="dxa"/>
            <w:tcMar>
              <w:top w:w="100" w:type="dxa"/>
              <w:left w:w="120" w:type="dxa"/>
              <w:bottom w:w="100" w:type="dxa"/>
              <w:right w:w="120" w:type="dxa"/>
            </w:tcMar>
          </w:tcPr>
          <w:p w14:paraId="530B4154" w14:textId="77777777" w:rsidR="00B52C38" w:rsidRDefault="009B3FD6">
            <w:r>
              <w:rPr>
                <w:sz w:val="20"/>
                <w:szCs w:val="20"/>
              </w:rPr>
              <w:t>Pre-launch through rollout</w:t>
            </w:r>
          </w:p>
        </w:tc>
      </w:tr>
      <w:tr w:rsidR="00B52C38" w14:paraId="0E3CCC64" w14:textId="77777777">
        <w:tc>
          <w:tcPr>
            <w:tcW w:w="2400" w:type="dxa"/>
            <w:tcMar>
              <w:top w:w="100" w:type="dxa"/>
              <w:left w:w="120" w:type="dxa"/>
              <w:bottom w:w="100" w:type="dxa"/>
              <w:right w:w="120" w:type="dxa"/>
            </w:tcMar>
          </w:tcPr>
          <w:p w14:paraId="3B133602" w14:textId="77777777" w:rsidR="00B52C38" w:rsidRDefault="009B3FD6">
            <w:r>
              <w:rPr>
                <w:sz w:val="20"/>
                <w:szCs w:val="20"/>
              </w:rPr>
              <w:t>Wider public &amp; community organisations</w:t>
            </w:r>
          </w:p>
        </w:tc>
        <w:tc>
          <w:tcPr>
            <w:tcW w:w="1800" w:type="dxa"/>
            <w:tcMar>
              <w:top w:w="100" w:type="dxa"/>
              <w:left w:w="120" w:type="dxa"/>
              <w:bottom w:w="100" w:type="dxa"/>
              <w:right w:w="120" w:type="dxa"/>
            </w:tcMar>
          </w:tcPr>
          <w:p w14:paraId="6B0BBF78" w14:textId="77777777" w:rsidR="00B52C38" w:rsidRDefault="009B3FD6">
            <w:r>
              <w:rPr>
                <w:sz w:val="20"/>
                <w:szCs w:val="20"/>
              </w:rPr>
              <w:t>Inform</w:t>
            </w:r>
          </w:p>
        </w:tc>
        <w:tc>
          <w:tcPr>
            <w:tcW w:w="3800" w:type="dxa"/>
            <w:tcMar>
              <w:top w:w="100" w:type="dxa"/>
              <w:left w:w="120" w:type="dxa"/>
              <w:bottom w:w="100" w:type="dxa"/>
              <w:right w:w="120" w:type="dxa"/>
            </w:tcMar>
          </w:tcPr>
          <w:p w14:paraId="3CBD4924" w14:textId="77777777" w:rsidR="00B52C38" w:rsidRDefault="009B3FD6">
            <w:r>
              <w:rPr>
                <w:sz w:val="20"/>
                <w:szCs w:val="20"/>
              </w:rPr>
              <w:t>General communications, press updates, local briefings if concerns arise</w:t>
            </w:r>
          </w:p>
        </w:tc>
        <w:tc>
          <w:tcPr>
            <w:tcW w:w="1800" w:type="dxa"/>
            <w:tcMar>
              <w:top w:w="100" w:type="dxa"/>
              <w:left w:w="120" w:type="dxa"/>
              <w:bottom w:w="100" w:type="dxa"/>
              <w:right w:w="120" w:type="dxa"/>
            </w:tcMar>
          </w:tcPr>
          <w:p w14:paraId="44ABCF4E" w14:textId="77777777" w:rsidR="00B52C38" w:rsidRDefault="009B3FD6">
            <w:r>
              <w:rPr>
                <w:sz w:val="20"/>
                <w:szCs w:val="20"/>
              </w:rPr>
              <w:t>Periodic, and reactive as needed</w:t>
            </w:r>
          </w:p>
        </w:tc>
      </w:tr>
    </w:tbl>
    <w:p w14:paraId="4D79BEC4" w14:textId="77777777" w:rsidR="00B52C38" w:rsidRPr="0078738D" w:rsidRDefault="009B3FD6">
      <w:pPr>
        <w:spacing w:before="120" w:after="240"/>
        <w:rPr>
          <w:sz w:val="22"/>
          <w:szCs w:val="22"/>
        </w:rPr>
      </w:pPr>
      <w:r w:rsidRPr="0078738D">
        <w:rPr>
          <w:sz w:val="22"/>
          <w:szCs w:val="22"/>
        </w:rPr>
        <w:t>This engagement plan operationalises the 4Cs framework introduced above, translating each general engagement principle into a specific, time-bound set of activities for every stakeholder group.</w:t>
      </w:r>
    </w:p>
    <w:p w14:paraId="52984602" w14:textId="77777777" w:rsidR="00B52C38" w:rsidRPr="0078738D" w:rsidRDefault="009B3FD6">
      <w:pPr>
        <w:spacing w:after="200"/>
        <w:rPr>
          <w:sz w:val="22"/>
          <w:szCs w:val="22"/>
        </w:rPr>
      </w:pPr>
      <w:r w:rsidRPr="0078738D">
        <w:rPr>
          <w:sz w:val="22"/>
          <w:szCs w:val="22"/>
        </w:rPr>
        <w:t>Conflict is an inevitable part of a project of this scope, and it needs to be planned for, rather than regarded as a failure to engage the stakeholders. Conflict may arise because employees are concerned with the threat to their employment from AI-based personalisation in customer service; suppliers are concerned about how the recommendation of the personalisation tool impacts product visibility; and regulators in countries with more stringent data protection laws than the UK, e.g., certain regions in Europe under GDPR or other countries with AI-specific legislation, may raise compliance objections that the rollout must address. In view of the findings of research carried out by Ackermann and Eden (2011), conflict needs to be identified in terms of interest divergence, managed through a process of structured negotiations, and, if no other choice remains, escalated to higher authorities without stopping the project. This entails setting up a standing stakeholder group comprising representatives of the trade union, data protection, marketing and retail operations</w:t>
      </w:r>
      <w:r>
        <w:t xml:space="preserve"> meeting </w:t>
      </w:r>
      <w:r w:rsidRPr="0078738D">
        <w:rPr>
          <w:sz w:val="22"/>
          <w:szCs w:val="22"/>
        </w:rPr>
        <w:t>periodically during implementation of the project, with escalation to the Project Board in case issues are not settled at working level within an agreed timeframe.</w:t>
      </w:r>
    </w:p>
    <w:p w14:paraId="65B2A357" w14:textId="77777777" w:rsidR="00B52C38" w:rsidRDefault="009B3FD6">
      <w:pPr>
        <w:pStyle w:val="Heading2"/>
      </w:pPr>
      <w:bookmarkStart w:id="10" w:name="_Toc236873756"/>
      <w:r>
        <w:t>4.3. RACI Matrix</w:t>
      </w:r>
      <w:bookmarkEnd w:id="10"/>
    </w:p>
    <w:p w14:paraId="113131AD" w14:textId="77777777" w:rsidR="00B52C38" w:rsidRPr="0078738D" w:rsidRDefault="009B3FD6">
      <w:pPr>
        <w:spacing w:after="200"/>
        <w:rPr>
          <w:sz w:val="22"/>
          <w:szCs w:val="22"/>
        </w:rPr>
      </w:pPr>
      <w:r w:rsidRPr="0078738D">
        <w:rPr>
          <w:sz w:val="22"/>
          <w:szCs w:val="22"/>
        </w:rPr>
        <w:lastRenderedPageBreak/>
        <w:t>A RACI chart (Responsible, Accountable, Consulted, Informed) is designed to clarify ownership at each step in the rollout process. For instance, the Head of Data Science is Responsible for model performance, the Chief Digital Officer is Accountable for the whole platform, the Legal and Data Protection team is Consulted regarding each release that alters how the customer data is managed, and the store managers are Informed about go-live dates and predicted customer questions in their area. Expanding this principle even further, the general manager of the local market is Responsible for the adaptation of the central communication plan into the specific context, while the global Project Board is Accountable for making sure that this adaptation does not compromise the data governance standards of the platform. This clarification is important to avoid one of the most common pitfalls in large-scale projects, when different functions think that somebody else is responsible for making a certain decision, as noted by the Project Management Institute (2021).</w:t>
      </w:r>
    </w:p>
    <w:tbl>
      <w:tblPr>
        <w:tblW w:w="98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00"/>
        <w:gridCol w:w="1700"/>
        <w:gridCol w:w="1700"/>
        <w:gridCol w:w="1700"/>
        <w:gridCol w:w="1700"/>
      </w:tblGrid>
      <w:tr w:rsidR="00B52C38" w14:paraId="5F75ED42" w14:textId="77777777">
        <w:tc>
          <w:tcPr>
            <w:tcW w:w="3000" w:type="dxa"/>
            <w:shd w:val="clear" w:color="auto" w:fill="4472C4"/>
            <w:tcMar>
              <w:top w:w="100" w:type="dxa"/>
              <w:left w:w="120" w:type="dxa"/>
              <w:bottom w:w="100" w:type="dxa"/>
              <w:right w:w="120" w:type="dxa"/>
            </w:tcMar>
          </w:tcPr>
          <w:p w14:paraId="274B70FF" w14:textId="77777777" w:rsidR="00B52C38" w:rsidRDefault="009B3FD6">
            <w:r>
              <w:rPr>
                <w:b/>
                <w:bCs/>
                <w:color w:val="FFFFFF"/>
                <w:sz w:val="20"/>
                <w:szCs w:val="20"/>
              </w:rPr>
              <w:t>Activity</w:t>
            </w:r>
          </w:p>
        </w:tc>
        <w:tc>
          <w:tcPr>
            <w:tcW w:w="1700" w:type="dxa"/>
            <w:shd w:val="clear" w:color="auto" w:fill="4472C4"/>
            <w:tcMar>
              <w:top w:w="100" w:type="dxa"/>
              <w:left w:w="120" w:type="dxa"/>
              <w:bottom w:w="100" w:type="dxa"/>
              <w:right w:w="120" w:type="dxa"/>
            </w:tcMar>
          </w:tcPr>
          <w:p w14:paraId="143AB47D" w14:textId="77777777" w:rsidR="00B52C38" w:rsidRDefault="009B3FD6">
            <w:r>
              <w:rPr>
                <w:b/>
                <w:bCs/>
                <w:color w:val="FFFFFF"/>
                <w:sz w:val="20"/>
                <w:szCs w:val="20"/>
              </w:rPr>
              <w:t>Head of Data Science</w:t>
            </w:r>
          </w:p>
        </w:tc>
        <w:tc>
          <w:tcPr>
            <w:tcW w:w="1700" w:type="dxa"/>
            <w:shd w:val="clear" w:color="auto" w:fill="4472C4"/>
            <w:tcMar>
              <w:top w:w="100" w:type="dxa"/>
              <w:left w:w="120" w:type="dxa"/>
              <w:bottom w:w="100" w:type="dxa"/>
              <w:right w:w="120" w:type="dxa"/>
            </w:tcMar>
          </w:tcPr>
          <w:p w14:paraId="2B2AEEB0" w14:textId="77777777" w:rsidR="00B52C38" w:rsidRDefault="009B3FD6">
            <w:r>
              <w:rPr>
                <w:b/>
                <w:bCs/>
                <w:color w:val="FFFFFF"/>
                <w:sz w:val="20"/>
                <w:szCs w:val="20"/>
              </w:rPr>
              <w:t>Chief Digital Officer</w:t>
            </w:r>
          </w:p>
        </w:tc>
        <w:tc>
          <w:tcPr>
            <w:tcW w:w="1700" w:type="dxa"/>
            <w:shd w:val="clear" w:color="auto" w:fill="4472C4"/>
            <w:tcMar>
              <w:top w:w="100" w:type="dxa"/>
              <w:left w:w="120" w:type="dxa"/>
              <w:bottom w:w="100" w:type="dxa"/>
              <w:right w:w="120" w:type="dxa"/>
            </w:tcMar>
          </w:tcPr>
          <w:p w14:paraId="29139029" w14:textId="77777777" w:rsidR="00B52C38" w:rsidRDefault="009B3FD6">
            <w:r>
              <w:rPr>
                <w:b/>
                <w:bCs/>
                <w:color w:val="FFFFFF"/>
                <w:sz w:val="20"/>
                <w:szCs w:val="20"/>
              </w:rPr>
              <w:t>Legal &amp; Data Protection</w:t>
            </w:r>
          </w:p>
        </w:tc>
        <w:tc>
          <w:tcPr>
            <w:tcW w:w="1700" w:type="dxa"/>
            <w:shd w:val="clear" w:color="auto" w:fill="4472C4"/>
            <w:tcMar>
              <w:top w:w="100" w:type="dxa"/>
              <w:left w:w="120" w:type="dxa"/>
              <w:bottom w:w="100" w:type="dxa"/>
              <w:right w:w="120" w:type="dxa"/>
            </w:tcMar>
          </w:tcPr>
          <w:p w14:paraId="6E8E2D8A" w14:textId="77777777" w:rsidR="00B52C38" w:rsidRDefault="009B3FD6">
            <w:r>
              <w:rPr>
                <w:b/>
                <w:bCs/>
                <w:color w:val="FFFFFF"/>
                <w:sz w:val="20"/>
                <w:szCs w:val="20"/>
              </w:rPr>
              <w:t>Store Managers</w:t>
            </w:r>
          </w:p>
        </w:tc>
      </w:tr>
      <w:tr w:rsidR="00B52C38" w14:paraId="342EACCD" w14:textId="77777777">
        <w:tc>
          <w:tcPr>
            <w:tcW w:w="3000" w:type="dxa"/>
            <w:tcMar>
              <w:top w:w="100" w:type="dxa"/>
              <w:left w:w="120" w:type="dxa"/>
              <w:bottom w:w="100" w:type="dxa"/>
              <w:right w:w="120" w:type="dxa"/>
            </w:tcMar>
          </w:tcPr>
          <w:p w14:paraId="4A1BECFE" w14:textId="77777777" w:rsidR="00B52C38" w:rsidRDefault="009B3FD6">
            <w:r>
              <w:rPr>
                <w:sz w:val="20"/>
                <w:szCs w:val="20"/>
              </w:rPr>
              <w:t>AI model design and testing</w:t>
            </w:r>
          </w:p>
        </w:tc>
        <w:tc>
          <w:tcPr>
            <w:tcW w:w="1700" w:type="dxa"/>
            <w:tcMar>
              <w:top w:w="100" w:type="dxa"/>
              <w:left w:w="120" w:type="dxa"/>
              <w:bottom w:w="100" w:type="dxa"/>
              <w:right w:w="120" w:type="dxa"/>
            </w:tcMar>
          </w:tcPr>
          <w:p w14:paraId="2C5FBB52" w14:textId="77777777" w:rsidR="00B52C38" w:rsidRDefault="009B3FD6">
            <w:r>
              <w:rPr>
                <w:sz w:val="20"/>
                <w:szCs w:val="20"/>
              </w:rPr>
              <w:t>R</w:t>
            </w:r>
          </w:p>
        </w:tc>
        <w:tc>
          <w:tcPr>
            <w:tcW w:w="1700" w:type="dxa"/>
            <w:tcMar>
              <w:top w:w="100" w:type="dxa"/>
              <w:left w:w="120" w:type="dxa"/>
              <w:bottom w:w="100" w:type="dxa"/>
              <w:right w:w="120" w:type="dxa"/>
            </w:tcMar>
          </w:tcPr>
          <w:p w14:paraId="6FA1F39B" w14:textId="77777777" w:rsidR="00B52C38" w:rsidRDefault="009B3FD6">
            <w:r>
              <w:rPr>
                <w:sz w:val="20"/>
                <w:szCs w:val="20"/>
              </w:rPr>
              <w:t>A</w:t>
            </w:r>
          </w:p>
        </w:tc>
        <w:tc>
          <w:tcPr>
            <w:tcW w:w="1700" w:type="dxa"/>
            <w:tcMar>
              <w:top w:w="100" w:type="dxa"/>
              <w:left w:w="120" w:type="dxa"/>
              <w:bottom w:w="100" w:type="dxa"/>
              <w:right w:w="120" w:type="dxa"/>
            </w:tcMar>
          </w:tcPr>
          <w:p w14:paraId="330B71B4" w14:textId="77777777" w:rsidR="00B52C38" w:rsidRDefault="009B3FD6">
            <w:r>
              <w:rPr>
                <w:sz w:val="20"/>
                <w:szCs w:val="20"/>
              </w:rPr>
              <w:t>C</w:t>
            </w:r>
          </w:p>
        </w:tc>
        <w:tc>
          <w:tcPr>
            <w:tcW w:w="1700" w:type="dxa"/>
            <w:tcMar>
              <w:top w:w="100" w:type="dxa"/>
              <w:left w:w="120" w:type="dxa"/>
              <w:bottom w:w="100" w:type="dxa"/>
              <w:right w:w="120" w:type="dxa"/>
            </w:tcMar>
          </w:tcPr>
          <w:p w14:paraId="5915CB8C" w14:textId="77777777" w:rsidR="00B52C38" w:rsidRDefault="009B3FD6">
            <w:r>
              <w:rPr>
                <w:sz w:val="20"/>
                <w:szCs w:val="20"/>
              </w:rPr>
              <w:t>I</w:t>
            </w:r>
          </w:p>
        </w:tc>
      </w:tr>
      <w:tr w:rsidR="00B52C38" w14:paraId="0C875879" w14:textId="77777777">
        <w:tc>
          <w:tcPr>
            <w:tcW w:w="3000" w:type="dxa"/>
            <w:tcMar>
              <w:top w:w="100" w:type="dxa"/>
              <w:left w:w="120" w:type="dxa"/>
              <w:bottom w:w="100" w:type="dxa"/>
              <w:right w:w="120" w:type="dxa"/>
            </w:tcMar>
          </w:tcPr>
          <w:p w14:paraId="7DA8005F" w14:textId="77777777" w:rsidR="00B52C38" w:rsidRDefault="009B3FD6">
            <w:r>
              <w:rPr>
                <w:sz w:val="20"/>
                <w:szCs w:val="20"/>
              </w:rPr>
              <w:t>Data governance and compliance sign-off</w:t>
            </w:r>
          </w:p>
        </w:tc>
        <w:tc>
          <w:tcPr>
            <w:tcW w:w="1700" w:type="dxa"/>
            <w:tcMar>
              <w:top w:w="100" w:type="dxa"/>
              <w:left w:w="120" w:type="dxa"/>
              <w:bottom w:w="100" w:type="dxa"/>
              <w:right w:w="120" w:type="dxa"/>
            </w:tcMar>
          </w:tcPr>
          <w:p w14:paraId="31233CCA" w14:textId="77777777" w:rsidR="00B52C38" w:rsidRDefault="009B3FD6">
            <w:r>
              <w:rPr>
                <w:sz w:val="20"/>
                <w:szCs w:val="20"/>
              </w:rPr>
              <w:t>C</w:t>
            </w:r>
          </w:p>
        </w:tc>
        <w:tc>
          <w:tcPr>
            <w:tcW w:w="1700" w:type="dxa"/>
            <w:tcMar>
              <w:top w:w="100" w:type="dxa"/>
              <w:left w:w="120" w:type="dxa"/>
              <w:bottom w:w="100" w:type="dxa"/>
              <w:right w:w="120" w:type="dxa"/>
            </w:tcMar>
          </w:tcPr>
          <w:p w14:paraId="2FDFEA06" w14:textId="77777777" w:rsidR="00B52C38" w:rsidRDefault="009B3FD6">
            <w:r>
              <w:rPr>
                <w:sz w:val="20"/>
                <w:szCs w:val="20"/>
              </w:rPr>
              <w:t>A</w:t>
            </w:r>
          </w:p>
        </w:tc>
        <w:tc>
          <w:tcPr>
            <w:tcW w:w="1700" w:type="dxa"/>
            <w:tcMar>
              <w:top w:w="100" w:type="dxa"/>
              <w:left w:w="120" w:type="dxa"/>
              <w:bottom w:w="100" w:type="dxa"/>
              <w:right w:w="120" w:type="dxa"/>
            </w:tcMar>
          </w:tcPr>
          <w:p w14:paraId="3C21BD73" w14:textId="77777777" w:rsidR="00B52C38" w:rsidRDefault="009B3FD6">
            <w:r>
              <w:rPr>
                <w:sz w:val="20"/>
                <w:szCs w:val="20"/>
              </w:rPr>
              <w:t>R</w:t>
            </w:r>
          </w:p>
        </w:tc>
        <w:tc>
          <w:tcPr>
            <w:tcW w:w="1700" w:type="dxa"/>
            <w:tcMar>
              <w:top w:w="100" w:type="dxa"/>
              <w:left w:w="120" w:type="dxa"/>
              <w:bottom w:w="100" w:type="dxa"/>
              <w:right w:w="120" w:type="dxa"/>
            </w:tcMar>
          </w:tcPr>
          <w:p w14:paraId="756DB360" w14:textId="77777777" w:rsidR="00B52C38" w:rsidRDefault="009B3FD6">
            <w:r>
              <w:rPr>
                <w:sz w:val="20"/>
                <w:szCs w:val="20"/>
              </w:rPr>
              <w:t>I</w:t>
            </w:r>
          </w:p>
        </w:tc>
      </w:tr>
      <w:tr w:rsidR="00B52C38" w14:paraId="69DAA9CA" w14:textId="77777777">
        <w:tc>
          <w:tcPr>
            <w:tcW w:w="3000" w:type="dxa"/>
            <w:tcMar>
              <w:top w:w="100" w:type="dxa"/>
              <w:left w:w="120" w:type="dxa"/>
              <w:bottom w:w="100" w:type="dxa"/>
              <w:right w:w="120" w:type="dxa"/>
            </w:tcMar>
          </w:tcPr>
          <w:p w14:paraId="3F59D154" w14:textId="77777777" w:rsidR="00B52C38" w:rsidRDefault="009B3FD6">
            <w:r>
              <w:rPr>
                <w:sz w:val="20"/>
                <w:szCs w:val="20"/>
              </w:rPr>
              <w:t>Rewards structure design</w:t>
            </w:r>
          </w:p>
        </w:tc>
        <w:tc>
          <w:tcPr>
            <w:tcW w:w="1700" w:type="dxa"/>
            <w:tcMar>
              <w:top w:w="100" w:type="dxa"/>
              <w:left w:w="120" w:type="dxa"/>
              <w:bottom w:w="100" w:type="dxa"/>
              <w:right w:w="120" w:type="dxa"/>
            </w:tcMar>
          </w:tcPr>
          <w:p w14:paraId="73C06645" w14:textId="77777777" w:rsidR="00B52C38" w:rsidRDefault="009B3FD6">
            <w:r>
              <w:rPr>
                <w:sz w:val="20"/>
                <w:szCs w:val="20"/>
              </w:rPr>
              <w:t>C</w:t>
            </w:r>
          </w:p>
        </w:tc>
        <w:tc>
          <w:tcPr>
            <w:tcW w:w="1700" w:type="dxa"/>
            <w:tcMar>
              <w:top w:w="100" w:type="dxa"/>
              <w:left w:w="120" w:type="dxa"/>
              <w:bottom w:w="100" w:type="dxa"/>
              <w:right w:w="120" w:type="dxa"/>
            </w:tcMar>
          </w:tcPr>
          <w:p w14:paraId="37204E57" w14:textId="77777777" w:rsidR="00B52C38" w:rsidRDefault="009B3FD6">
            <w:r>
              <w:rPr>
                <w:sz w:val="20"/>
                <w:szCs w:val="20"/>
              </w:rPr>
              <w:t>A</w:t>
            </w:r>
          </w:p>
        </w:tc>
        <w:tc>
          <w:tcPr>
            <w:tcW w:w="1700" w:type="dxa"/>
            <w:tcMar>
              <w:top w:w="100" w:type="dxa"/>
              <w:left w:w="120" w:type="dxa"/>
              <w:bottom w:w="100" w:type="dxa"/>
              <w:right w:w="120" w:type="dxa"/>
            </w:tcMar>
          </w:tcPr>
          <w:p w14:paraId="6D6A4162" w14:textId="77777777" w:rsidR="00B52C38" w:rsidRDefault="009B3FD6">
            <w:r>
              <w:rPr>
                <w:sz w:val="20"/>
                <w:szCs w:val="20"/>
              </w:rPr>
              <w:t>C</w:t>
            </w:r>
          </w:p>
        </w:tc>
        <w:tc>
          <w:tcPr>
            <w:tcW w:w="1700" w:type="dxa"/>
            <w:tcMar>
              <w:top w:w="100" w:type="dxa"/>
              <w:left w:w="120" w:type="dxa"/>
              <w:bottom w:w="100" w:type="dxa"/>
              <w:right w:w="120" w:type="dxa"/>
            </w:tcMar>
          </w:tcPr>
          <w:p w14:paraId="205B4E61" w14:textId="77777777" w:rsidR="00B52C38" w:rsidRDefault="009B3FD6">
            <w:r>
              <w:rPr>
                <w:sz w:val="20"/>
                <w:szCs w:val="20"/>
              </w:rPr>
              <w:t>C</w:t>
            </w:r>
          </w:p>
        </w:tc>
      </w:tr>
      <w:tr w:rsidR="00B52C38" w14:paraId="3B6A3BB1" w14:textId="77777777">
        <w:tc>
          <w:tcPr>
            <w:tcW w:w="3000" w:type="dxa"/>
            <w:tcMar>
              <w:top w:w="100" w:type="dxa"/>
              <w:left w:w="120" w:type="dxa"/>
              <w:bottom w:w="100" w:type="dxa"/>
              <w:right w:w="120" w:type="dxa"/>
            </w:tcMar>
          </w:tcPr>
          <w:p w14:paraId="04B0A053" w14:textId="77777777" w:rsidR="00B52C38" w:rsidRDefault="009B3FD6">
            <w:r>
              <w:rPr>
                <w:sz w:val="20"/>
                <w:szCs w:val="20"/>
              </w:rPr>
              <w:t>Store-level rollout and training</w:t>
            </w:r>
          </w:p>
        </w:tc>
        <w:tc>
          <w:tcPr>
            <w:tcW w:w="1700" w:type="dxa"/>
            <w:tcMar>
              <w:top w:w="100" w:type="dxa"/>
              <w:left w:w="120" w:type="dxa"/>
              <w:bottom w:w="100" w:type="dxa"/>
              <w:right w:w="120" w:type="dxa"/>
            </w:tcMar>
          </w:tcPr>
          <w:p w14:paraId="07033FE3" w14:textId="77777777" w:rsidR="00B52C38" w:rsidRDefault="009B3FD6">
            <w:r>
              <w:rPr>
                <w:sz w:val="20"/>
                <w:szCs w:val="20"/>
              </w:rPr>
              <w:t>I</w:t>
            </w:r>
          </w:p>
        </w:tc>
        <w:tc>
          <w:tcPr>
            <w:tcW w:w="1700" w:type="dxa"/>
            <w:tcMar>
              <w:top w:w="100" w:type="dxa"/>
              <w:left w:w="120" w:type="dxa"/>
              <w:bottom w:w="100" w:type="dxa"/>
              <w:right w:w="120" w:type="dxa"/>
            </w:tcMar>
          </w:tcPr>
          <w:p w14:paraId="22B68FA1" w14:textId="77777777" w:rsidR="00B52C38" w:rsidRDefault="009B3FD6">
            <w:r>
              <w:rPr>
                <w:sz w:val="20"/>
                <w:szCs w:val="20"/>
              </w:rPr>
              <w:t>A</w:t>
            </w:r>
          </w:p>
        </w:tc>
        <w:tc>
          <w:tcPr>
            <w:tcW w:w="1700" w:type="dxa"/>
            <w:tcMar>
              <w:top w:w="100" w:type="dxa"/>
              <w:left w:w="120" w:type="dxa"/>
              <w:bottom w:w="100" w:type="dxa"/>
              <w:right w:w="120" w:type="dxa"/>
            </w:tcMar>
          </w:tcPr>
          <w:p w14:paraId="50B0D4C0" w14:textId="77777777" w:rsidR="00B52C38" w:rsidRDefault="009B3FD6">
            <w:r>
              <w:rPr>
                <w:sz w:val="20"/>
                <w:szCs w:val="20"/>
              </w:rPr>
              <w:t>I</w:t>
            </w:r>
          </w:p>
        </w:tc>
        <w:tc>
          <w:tcPr>
            <w:tcW w:w="1700" w:type="dxa"/>
            <w:tcMar>
              <w:top w:w="100" w:type="dxa"/>
              <w:left w:w="120" w:type="dxa"/>
              <w:bottom w:w="100" w:type="dxa"/>
              <w:right w:w="120" w:type="dxa"/>
            </w:tcMar>
          </w:tcPr>
          <w:p w14:paraId="2ADEAB9C" w14:textId="77777777" w:rsidR="00B52C38" w:rsidRDefault="009B3FD6">
            <w:r>
              <w:rPr>
                <w:sz w:val="20"/>
                <w:szCs w:val="20"/>
              </w:rPr>
              <w:t>R</w:t>
            </w:r>
          </w:p>
        </w:tc>
      </w:tr>
      <w:tr w:rsidR="00B52C38" w14:paraId="7008C8C4" w14:textId="77777777">
        <w:tc>
          <w:tcPr>
            <w:tcW w:w="3000" w:type="dxa"/>
            <w:tcMar>
              <w:top w:w="100" w:type="dxa"/>
              <w:left w:w="120" w:type="dxa"/>
              <w:bottom w:w="100" w:type="dxa"/>
              <w:right w:w="120" w:type="dxa"/>
            </w:tcMar>
          </w:tcPr>
          <w:p w14:paraId="7580BBBB" w14:textId="77777777" w:rsidR="00B52C38" w:rsidRDefault="009B3FD6">
            <w:r>
              <w:rPr>
                <w:sz w:val="20"/>
                <w:szCs w:val="20"/>
              </w:rPr>
              <w:t>Customer communications</w:t>
            </w:r>
          </w:p>
        </w:tc>
        <w:tc>
          <w:tcPr>
            <w:tcW w:w="1700" w:type="dxa"/>
            <w:tcMar>
              <w:top w:w="100" w:type="dxa"/>
              <w:left w:w="120" w:type="dxa"/>
              <w:bottom w:w="100" w:type="dxa"/>
              <w:right w:w="120" w:type="dxa"/>
            </w:tcMar>
          </w:tcPr>
          <w:p w14:paraId="66AEEB3E" w14:textId="77777777" w:rsidR="00B52C38" w:rsidRDefault="009B3FD6">
            <w:r>
              <w:rPr>
                <w:sz w:val="20"/>
                <w:szCs w:val="20"/>
              </w:rPr>
              <w:t>I</w:t>
            </w:r>
          </w:p>
        </w:tc>
        <w:tc>
          <w:tcPr>
            <w:tcW w:w="1700" w:type="dxa"/>
            <w:tcMar>
              <w:top w:w="100" w:type="dxa"/>
              <w:left w:w="120" w:type="dxa"/>
              <w:bottom w:w="100" w:type="dxa"/>
              <w:right w:w="120" w:type="dxa"/>
            </w:tcMar>
          </w:tcPr>
          <w:p w14:paraId="5F83A288" w14:textId="77777777" w:rsidR="00B52C38" w:rsidRDefault="009B3FD6">
            <w:r>
              <w:rPr>
                <w:sz w:val="20"/>
                <w:szCs w:val="20"/>
              </w:rPr>
              <w:t>A</w:t>
            </w:r>
          </w:p>
        </w:tc>
        <w:tc>
          <w:tcPr>
            <w:tcW w:w="1700" w:type="dxa"/>
            <w:tcMar>
              <w:top w:w="100" w:type="dxa"/>
              <w:left w:w="120" w:type="dxa"/>
              <w:bottom w:w="100" w:type="dxa"/>
              <w:right w:w="120" w:type="dxa"/>
            </w:tcMar>
          </w:tcPr>
          <w:p w14:paraId="57FF22A8" w14:textId="77777777" w:rsidR="00B52C38" w:rsidRDefault="009B3FD6">
            <w:r>
              <w:rPr>
                <w:sz w:val="20"/>
                <w:szCs w:val="20"/>
              </w:rPr>
              <w:t>C</w:t>
            </w:r>
          </w:p>
        </w:tc>
        <w:tc>
          <w:tcPr>
            <w:tcW w:w="1700" w:type="dxa"/>
            <w:tcMar>
              <w:top w:w="100" w:type="dxa"/>
              <w:left w:w="120" w:type="dxa"/>
              <w:bottom w:w="100" w:type="dxa"/>
              <w:right w:w="120" w:type="dxa"/>
            </w:tcMar>
          </w:tcPr>
          <w:p w14:paraId="71E16C68" w14:textId="77777777" w:rsidR="00B52C38" w:rsidRDefault="009B3FD6">
            <w:r>
              <w:rPr>
                <w:sz w:val="20"/>
                <w:szCs w:val="20"/>
              </w:rPr>
              <w:t>C</w:t>
            </w:r>
          </w:p>
        </w:tc>
      </w:tr>
    </w:tbl>
    <w:p w14:paraId="7CF28212" w14:textId="6509E4BB" w:rsidR="00D3671F" w:rsidRPr="00AB391B" w:rsidRDefault="009B3FD6">
      <w:pPr>
        <w:spacing w:before="120" w:after="240"/>
        <w:rPr>
          <w:i/>
          <w:iCs/>
        </w:rPr>
      </w:pPr>
      <w:r>
        <w:rPr>
          <w:i/>
          <w:iCs/>
        </w:rPr>
        <w:t>R = Responsible, A = Accountable, C = Consulted, I = Informed.</w:t>
      </w:r>
      <w:r w:rsidR="00D3671F" w:rsidRPr="00395162">
        <w:rPr>
          <w:b/>
          <w:bCs/>
          <w:i/>
          <w:iCs/>
        </w:rPr>
        <w:t xml:space="preserve"> </w:t>
      </w:r>
    </w:p>
    <w:p w14:paraId="56606E27" w14:textId="77777777" w:rsidR="00395162" w:rsidRDefault="00395162">
      <w:pPr>
        <w:spacing w:before="120" w:after="240"/>
        <w:rPr>
          <w:b/>
          <w:bCs/>
          <w:i/>
          <w:iCs/>
        </w:rPr>
      </w:pPr>
    </w:p>
    <w:tbl>
      <w:tblPr>
        <w:tblStyle w:val="TableGrid"/>
        <w:tblW w:w="0" w:type="auto"/>
        <w:tblLook w:val="04A0" w:firstRow="1" w:lastRow="0" w:firstColumn="1" w:lastColumn="0" w:noHBand="0" w:noVBand="1"/>
      </w:tblPr>
      <w:tblGrid>
        <w:gridCol w:w="3005"/>
        <w:gridCol w:w="3005"/>
        <w:gridCol w:w="3006"/>
      </w:tblGrid>
      <w:tr w:rsidR="00395162" w14:paraId="0CC668CF" w14:textId="77777777" w:rsidTr="00395162">
        <w:tc>
          <w:tcPr>
            <w:tcW w:w="3005" w:type="dxa"/>
          </w:tcPr>
          <w:p w14:paraId="50E639F1" w14:textId="731BB3B9" w:rsidR="00395162" w:rsidRDefault="00395162">
            <w:pPr>
              <w:spacing w:before="120" w:after="240"/>
              <w:rPr>
                <w:b/>
                <w:bCs/>
              </w:rPr>
            </w:pPr>
            <w:r>
              <w:rPr>
                <w:b/>
                <w:bCs/>
              </w:rPr>
              <w:t xml:space="preserve">4C element </w:t>
            </w:r>
          </w:p>
        </w:tc>
        <w:tc>
          <w:tcPr>
            <w:tcW w:w="3005" w:type="dxa"/>
          </w:tcPr>
          <w:p w14:paraId="2B49A1D4" w14:textId="7D4CF1EE" w:rsidR="00395162" w:rsidRDefault="00395162">
            <w:pPr>
              <w:spacing w:before="120" w:after="240"/>
              <w:rPr>
                <w:b/>
                <w:bCs/>
              </w:rPr>
            </w:pPr>
            <w:r>
              <w:rPr>
                <w:b/>
                <w:bCs/>
              </w:rPr>
              <w:t>Application TO Connect Plus</w:t>
            </w:r>
          </w:p>
        </w:tc>
        <w:tc>
          <w:tcPr>
            <w:tcW w:w="3006" w:type="dxa"/>
          </w:tcPr>
          <w:p w14:paraId="42D1FC3C" w14:textId="36F490E1" w:rsidR="00395162" w:rsidRDefault="00395162">
            <w:pPr>
              <w:spacing w:before="120" w:after="240"/>
              <w:rPr>
                <w:b/>
                <w:bCs/>
              </w:rPr>
            </w:pPr>
            <w:r>
              <w:rPr>
                <w:b/>
                <w:bCs/>
              </w:rPr>
              <w:t>Key stakeholders</w:t>
            </w:r>
          </w:p>
        </w:tc>
      </w:tr>
      <w:tr w:rsidR="00395162" w14:paraId="379C483C" w14:textId="77777777" w:rsidTr="00395162">
        <w:tc>
          <w:tcPr>
            <w:tcW w:w="3005" w:type="dxa"/>
          </w:tcPr>
          <w:p w14:paraId="32AF8CF7" w14:textId="7D065604" w:rsidR="00395162" w:rsidRDefault="00395162">
            <w:pPr>
              <w:spacing w:before="120" w:after="240"/>
              <w:rPr>
                <w:b/>
                <w:bCs/>
              </w:rPr>
            </w:pPr>
            <w:r>
              <w:rPr>
                <w:b/>
                <w:bCs/>
              </w:rPr>
              <w:t xml:space="preserve">Communication </w:t>
            </w:r>
          </w:p>
        </w:tc>
        <w:tc>
          <w:tcPr>
            <w:tcW w:w="3005" w:type="dxa"/>
          </w:tcPr>
          <w:p w14:paraId="13BFA950" w14:textId="320F3E66" w:rsidR="00395162" w:rsidRDefault="00395162">
            <w:pPr>
              <w:spacing w:before="120" w:after="240"/>
              <w:rPr>
                <w:b/>
                <w:bCs/>
              </w:rPr>
            </w:pPr>
            <w:r>
              <w:rPr>
                <w:b/>
                <w:bCs/>
              </w:rPr>
              <w:t xml:space="preserve">Provide clear information about progress, platform benefits, customer data </w:t>
            </w:r>
            <w:r w:rsidR="0095021D">
              <w:rPr>
                <w:b/>
                <w:bCs/>
              </w:rPr>
              <w:t>use training and launch arrangements.</w:t>
            </w:r>
          </w:p>
        </w:tc>
        <w:tc>
          <w:tcPr>
            <w:tcW w:w="3006" w:type="dxa"/>
          </w:tcPr>
          <w:p w14:paraId="3ACF23C6" w14:textId="2BF92869" w:rsidR="00395162" w:rsidRDefault="0095021D">
            <w:pPr>
              <w:spacing w:before="120" w:after="240"/>
              <w:rPr>
                <w:b/>
                <w:bCs/>
              </w:rPr>
            </w:pPr>
            <w:r>
              <w:rPr>
                <w:b/>
                <w:bCs/>
              </w:rPr>
              <w:t>Board of Directors, customers, employees, investors and regulators.</w:t>
            </w:r>
          </w:p>
        </w:tc>
      </w:tr>
      <w:tr w:rsidR="00395162" w14:paraId="4C95F19A" w14:textId="77777777" w:rsidTr="00395162">
        <w:tc>
          <w:tcPr>
            <w:tcW w:w="3005" w:type="dxa"/>
          </w:tcPr>
          <w:p w14:paraId="018BEF75" w14:textId="427D4A37" w:rsidR="00395162" w:rsidRDefault="00395162">
            <w:pPr>
              <w:spacing w:before="120" w:after="240"/>
              <w:rPr>
                <w:b/>
                <w:bCs/>
              </w:rPr>
            </w:pPr>
            <w:r>
              <w:rPr>
                <w:b/>
                <w:bCs/>
              </w:rPr>
              <w:t xml:space="preserve">Collaboration </w:t>
            </w:r>
          </w:p>
        </w:tc>
        <w:tc>
          <w:tcPr>
            <w:tcW w:w="3005" w:type="dxa"/>
          </w:tcPr>
          <w:p w14:paraId="706DFDD2" w14:textId="491F358D" w:rsidR="00395162" w:rsidRDefault="0095021D">
            <w:pPr>
              <w:spacing w:before="120" w:after="240"/>
              <w:rPr>
                <w:b/>
                <w:bCs/>
              </w:rPr>
            </w:pPr>
            <w:r>
              <w:rPr>
                <w:b/>
                <w:bCs/>
              </w:rPr>
              <w:t xml:space="preserve">Coordinate technical development, marketing, customer service, compliance and </w:t>
            </w:r>
            <w:r>
              <w:rPr>
                <w:b/>
                <w:bCs/>
              </w:rPr>
              <w:lastRenderedPageBreak/>
              <w:t>international rollout activities.</w:t>
            </w:r>
          </w:p>
        </w:tc>
        <w:tc>
          <w:tcPr>
            <w:tcW w:w="3006" w:type="dxa"/>
          </w:tcPr>
          <w:p w14:paraId="46AF4279" w14:textId="6F52A42B" w:rsidR="00395162" w:rsidRDefault="00AB391B">
            <w:pPr>
              <w:spacing w:before="120" w:after="240"/>
              <w:rPr>
                <w:b/>
                <w:bCs/>
              </w:rPr>
            </w:pPr>
            <w:r>
              <w:rPr>
                <w:b/>
                <w:bCs/>
              </w:rPr>
              <w:lastRenderedPageBreak/>
              <w:t xml:space="preserve">IT, marketing, CRM, legal, data analytics, store </w:t>
            </w:r>
            <w:r>
              <w:rPr>
                <w:b/>
                <w:bCs/>
              </w:rPr>
              <w:lastRenderedPageBreak/>
              <w:t xml:space="preserve">operations and technology providers. </w:t>
            </w:r>
          </w:p>
        </w:tc>
      </w:tr>
      <w:tr w:rsidR="00395162" w14:paraId="48F7F195" w14:textId="77777777" w:rsidTr="00395162">
        <w:tc>
          <w:tcPr>
            <w:tcW w:w="3005" w:type="dxa"/>
          </w:tcPr>
          <w:p w14:paraId="2F626C06" w14:textId="20EC2A13" w:rsidR="00395162" w:rsidRDefault="00395162">
            <w:pPr>
              <w:spacing w:before="120" w:after="240"/>
              <w:rPr>
                <w:b/>
                <w:bCs/>
              </w:rPr>
            </w:pPr>
            <w:r>
              <w:rPr>
                <w:b/>
                <w:bCs/>
              </w:rPr>
              <w:lastRenderedPageBreak/>
              <w:t>Consultation</w:t>
            </w:r>
          </w:p>
        </w:tc>
        <w:tc>
          <w:tcPr>
            <w:tcW w:w="3005" w:type="dxa"/>
          </w:tcPr>
          <w:p w14:paraId="6DD6FC2B" w14:textId="43531091" w:rsidR="00395162" w:rsidRDefault="00B03DC8">
            <w:pPr>
              <w:spacing w:before="120" w:after="240"/>
              <w:rPr>
                <w:b/>
                <w:bCs/>
              </w:rPr>
            </w:pPr>
            <w:r>
              <w:rPr>
                <w:b/>
                <w:bCs/>
              </w:rPr>
              <w:t>Gather feedback through customer pilots, employee workshops, regulatory reviews and supplier discussions.</w:t>
            </w:r>
          </w:p>
        </w:tc>
        <w:tc>
          <w:tcPr>
            <w:tcW w:w="3006" w:type="dxa"/>
          </w:tcPr>
          <w:p w14:paraId="6B94DD3A" w14:textId="0E3E14D9" w:rsidR="00395162" w:rsidRDefault="00AB391B">
            <w:pPr>
              <w:spacing w:before="120" w:after="240"/>
              <w:rPr>
                <w:b/>
                <w:bCs/>
              </w:rPr>
            </w:pPr>
            <w:r>
              <w:rPr>
                <w:b/>
                <w:bCs/>
              </w:rPr>
              <w:t xml:space="preserve">Customers, retail </w:t>
            </w:r>
            <w:r w:rsidR="00ED7487">
              <w:rPr>
                <w:b/>
                <w:bCs/>
              </w:rPr>
              <w:t xml:space="preserve"> employees, regulators and technology partners. </w:t>
            </w:r>
          </w:p>
        </w:tc>
      </w:tr>
    </w:tbl>
    <w:p w14:paraId="51579968" w14:textId="77777777" w:rsidR="00395162" w:rsidRPr="00395162" w:rsidRDefault="00395162">
      <w:pPr>
        <w:spacing w:before="120" w:after="240"/>
        <w:rPr>
          <w:b/>
          <w:bCs/>
        </w:rPr>
      </w:pPr>
    </w:p>
    <w:p w14:paraId="57B4DAFB" w14:textId="6045CE79" w:rsidR="0078738D" w:rsidRPr="0078738D" w:rsidRDefault="009B3FD6">
      <w:pPr>
        <w:pStyle w:val="Heading1"/>
      </w:pPr>
      <w:bookmarkStart w:id="11" w:name="_Toc236873757"/>
      <w:r>
        <w:t>5.0. Importance of Stakeholder Engagement</w:t>
      </w:r>
      <w:bookmarkEnd w:id="11"/>
    </w:p>
    <w:p w14:paraId="3E3B70FD" w14:textId="77777777" w:rsidR="007D27D4" w:rsidRPr="007D27D4" w:rsidRDefault="007D27D4">
      <w:pPr>
        <w:pStyle w:val="Heading1"/>
        <w:rPr>
          <w:rFonts w:ascii="Abadi ExtraLight" w:hAnsi="Abadi ExtraLight"/>
        </w:rPr>
      </w:pPr>
    </w:p>
    <w:p w14:paraId="37728C74" w14:textId="77777777" w:rsidR="00B52C38" w:rsidRDefault="009B3FD6">
      <w:pPr>
        <w:pStyle w:val="Heading2"/>
      </w:pPr>
      <w:bookmarkStart w:id="12" w:name="_Toc236873758"/>
      <w:r>
        <w:t>5.1. Justification of the Statement</w:t>
      </w:r>
      <w:bookmarkEnd w:id="12"/>
    </w:p>
    <w:p w14:paraId="40831116" w14:textId="77777777" w:rsidR="00B52C38" w:rsidRDefault="009B3FD6">
      <w:pPr>
        <w:spacing w:after="200"/>
      </w:pPr>
      <w:r>
        <w:t>Long-term engagement of stakeholders is not only an exercise of risk mitigation; it is now well understood as a key driver of business performance. As Donaldson and Preston (1995) argue, companies that manage stakeholder relationships effectively outperform those that do not, because trust and cooperation make decision-making cheaper and faster. For ConnectPlus, this applies in several ways.</w:t>
      </w:r>
    </w:p>
    <w:p w14:paraId="7F3355C0" w14:textId="77777777" w:rsidR="00B52C38" w:rsidRDefault="009B3FD6">
      <w:pPr>
        <w:pStyle w:val="Heading2"/>
      </w:pPr>
      <w:bookmarkStart w:id="13" w:name="_Toc236873759"/>
      <w:r>
        <w:t>5.2. Impact of Sustainable Stakeholder Engagement on Organisational Performance</w:t>
      </w:r>
      <w:bookmarkEnd w:id="13"/>
    </w:p>
    <w:p w14:paraId="6F6DA201" w14:textId="77777777" w:rsidR="00B52C38" w:rsidRDefault="009B3FD6">
      <w:pPr>
        <w:spacing w:after="200"/>
      </w:pPr>
      <w:r>
        <w:t xml:space="preserve">First, effective engagement with customers on the subject of data use and personalization will increase the opt-in rate and usage of the platform which, in turn, will determine the amount and quality of data available for improving the AI recommendation engine and create a positive cycle of trust and product effectiveness. On the other hand, the lack of engagement runs the risk of repeating the reputational damage of other retailers due to data misuse controversy when their customers boycotted the loyalty program (Solove, 2021; Martin, 2018). Second, engagement with the store staff early and involving them in the process of designing ConnectPlus will make them more supportive of the change and help to ensure better customer service at the launch in line with Kotter's (1996) assertion that participation is one of the most efficient methods of overcoming the resistance to change. Third, collaboration with the suppliers on how the personalized recommendations impact product visibility will improve the commercial relationship and will be consistent with Tesco's strategic goal of sustainability in </w:t>
      </w:r>
      <w:r>
        <w:lastRenderedPageBreak/>
        <w:t>the supply chain (Tesco PLC, 2023). Fourth, from the perspective of strategy, consistent engagement will help to differentiate the brand in an increasingly crowded loyalty market. Similar programs like Sainsbury's Nectar, which is now jointly operated by Nectar360 data &amp; insight division, and other overseas loyalty programs like Amazon Prime have already proven that consumers react favourably to loyalty programs that appear to be highly personalized rather than generic but that such personalization should be achieved via regular and consistently managed use of data instead of being provided as an outcome of one successful launch (Kotler and Keller, 2016). This point is illustrated by Tesco's Clubcard programme itself, where its successful operation throughout the years was not about any particular technological innovation but about continuous and effectively managed use of consumer data (Humby, Hunt and Phillips, 2008).</w:t>
      </w:r>
    </w:p>
    <w:p w14:paraId="5BECF8EC" w14:textId="77777777" w:rsidR="00B52C38" w:rsidRDefault="009B3FD6">
      <w:pPr>
        <w:spacing w:after="200"/>
      </w:pPr>
      <w:r>
        <w:t>A link also exists between the quality of engagement and the lifetime value of the customer. When personalization is accepted and trusted, then customers are likely to consolidate their purchases at a single store and will continue to be loyal for an extended period, thereby increasing the monetary return on the investment in the AI system. On the other hand, where trust is lacking, the immediate loss of the opt-out customers is just one element of the problem, because negative experiences are often shared in public and can impact negatively the willingness of customers who have not been directly impacted, thus supporting the observation of Rowley (1997).</w:t>
      </w:r>
    </w:p>
    <w:p w14:paraId="2D16599E" w14:textId="77777777" w:rsidR="00B52C38" w:rsidRDefault="009B3FD6">
      <w:pPr>
        <w:spacing w:after="200"/>
      </w:pPr>
      <w:r>
        <w:t xml:space="preserve">Nevertheless, there are actual expenses and risks of sustainability that have to be considered realistically rather than simply dismissed. Extensive consultation takes time and resources, and in a fast-moving competitive environment where rival loyalty programmes continue to invest heavily in their own AI-driven personalisation, excessive caution could delay Tesco's time to market and erode first-mover advantage (Kotler and Keller, 2016). However, there is an important ethical aspect that goes beyond just business performance. Personalization using artificial intelligence poses certain questions related to possible algorithmic discrimination, whether some groups of customers will get poorer recommendations or higher prices, as well as the question of transparency of how their data will influence their experience (Mittelstadt et al., 2016). Treating ethical aspects as a simple compliance checklist without actually integrating them into the design process will most likely result in insufficient levels of trust for sustainable performance. A network approach to stakeholders as proposed by Rowley (1997) can be used here because it highlights the fact that no stakeholders operate independently of one another, and a problem with one stakeholder could easily cause problems with the entire </w:t>
      </w:r>
      <w:r>
        <w:lastRenderedPageBreak/>
        <w:t>group of stakeholders, including investors and even the Board. The conclusion drawn from this discussion is that the performance benefits of stakeholder engagement, namely greater customer trust, higher platform adoption, stronger employee commitment and better supplier cooperation, should certainly outweigh the costs of a more cautious approach to engagement.</w:t>
      </w:r>
    </w:p>
    <w:p w14:paraId="4D78BABE" w14:textId="77777777" w:rsidR="00B52C38" w:rsidRDefault="009B3FD6" w:rsidP="00CB1CAA">
      <w:pPr>
        <w:pStyle w:val="Heading1"/>
        <w:keepNext/>
      </w:pPr>
      <w:bookmarkStart w:id="14" w:name="_Toc236873760"/>
      <w:r>
        <w:t>6.0. Recommendation</w:t>
      </w:r>
      <w:bookmarkEnd w:id="14"/>
    </w:p>
    <w:p w14:paraId="2BA0FBA4" w14:textId="77777777" w:rsidR="00B52C38" w:rsidRPr="0078738D" w:rsidRDefault="009B3FD6">
      <w:pPr>
        <w:spacing w:after="200"/>
        <w:rPr>
          <w:sz w:val="22"/>
          <w:szCs w:val="22"/>
        </w:rPr>
      </w:pPr>
      <w:r w:rsidRPr="0078738D">
        <w:rPr>
          <w:sz w:val="22"/>
          <w:szCs w:val="22"/>
        </w:rPr>
        <w:t xml:space="preserve">The success of ConnectPlus depends as much on how well Tesco engages its internal and external stakeholders </w:t>
      </w:r>
      <w:proofErr w:type="gramStart"/>
      <w:r w:rsidRPr="0078738D">
        <w:rPr>
          <w:sz w:val="22"/>
          <w:szCs w:val="22"/>
        </w:rPr>
        <w:t>as</w:t>
      </w:r>
      <w:proofErr w:type="gramEnd"/>
      <w:r w:rsidRPr="0078738D">
        <w:rPr>
          <w:sz w:val="22"/>
          <w:szCs w:val="22"/>
        </w:rPr>
        <w:t xml:space="preserve"> on the AI technology itself. There are three key recommendations which can be drawn from this report. First, the company must formalise the stakeholder register and RACI matrix before the pilot phase </w:t>
      </w:r>
      <w:proofErr w:type="gramStart"/>
      <w:r w:rsidRPr="0078738D">
        <w:rPr>
          <w:sz w:val="22"/>
          <w:szCs w:val="22"/>
        </w:rPr>
        <w:t>starts, and</w:t>
      </w:r>
      <w:proofErr w:type="gramEnd"/>
      <w:r w:rsidRPr="0078738D">
        <w:rPr>
          <w:sz w:val="22"/>
          <w:szCs w:val="22"/>
        </w:rPr>
        <w:t xml:space="preserve"> update the stakeholder salience at every project milestone and not at just one point. Second, a phased and market-specific approach should be used to implement the project so that the stakeholder engagement strategy, especially when it comes to consent for using the data and communicating with the stakeholders, can be tailored to the local conditions and not based on the one template used all over the world. Lastly, a standing cross-functional stakeholder working group, with representatives from data protection, marketing, store operations and the trade union, should be established for the full duration of the six-month roll-out, with a clear escalation route to the Project Board for issues that cannot be resolved at working level within an agreed timeframe.</w:t>
      </w:r>
    </w:p>
    <w:p w14:paraId="59E29CA4" w14:textId="77777777" w:rsidR="00B52C38" w:rsidRDefault="009B3FD6">
      <w:pPr>
        <w:pStyle w:val="Heading1"/>
      </w:pPr>
      <w:bookmarkStart w:id="15" w:name="_Toc236873761"/>
      <w:r>
        <w:t>Conclusion</w:t>
      </w:r>
      <w:bookmarkEnd w:id="15"/>
    </w:p>
    <w:p w14:paraId="65A02627" w14:textId="77777777" w:rsidR="00153434" w:rsidRPr="0078738D" w:rsidRDefault="009B3FD6">
      <w:pPr>
        <w:spacing w:after="200"/>
        <w:rPr>
          <w:sz w:val="22"/>
          <w:szCs w:val="22"/>
        </w:rPr>
      </w:pPr>
      <w:r w:rsidRPr="0078738D">
        <w:rPr>
          <w:sz w:val="22"/>
          <w:szCs w:val="22"/>
        </w:rPr>
        <w:t>To sum up, stakeholder theory together with the models mentioned above used in this report, such as Mendelow's model, the salience model, the 4Cs and RACI, form an appropriate foundation upon which the management of a wide variety of interests associated with the introduction of ConnectPlus is based. If implemented correctly, these tools can ensure not only low risks during implementation but also ethically and legally correct usage of customers' information. For Tesco specifically, the return on this approach is a stronger and more durable Clubcard loyalty base, richer first-party data with which to sharpen ConnectPlus's personalisation over time, and a more defensible competitive position against rival loyalty schemes such as Sainsbury's Nectar and Amazon Prime, all achieved without</w:t>
      </w:r>
      <w:r>
        <w:t xml:space="preserve"> </w:t>
      </w:r>
      <w:r w:rsidRPr="0078738D">
        <w:rPr>
          <w:sz w:val="22"/>
          <w:szCs w:val="22"/>
        </w:rPr>
        <w:t xml:space="preserve">exposing the business to the reputational and regulatory risk that a poorly managed rollout would bring.    </w:t>
      </w:r>
    </w:p>
    <w:p w14:paraId="4BE4998F" w14:textId="77777777" w:rsidR="00153434" w:rsidRPr="0078738D" w:rsidRDefault="00153434">
      <w:pPr>
        <w:rPr>
          <w:sz w:val="22"/>
          <w:szCs w:val="22"/>
        </w:rPr>
      </w:pPr>
      <w:r w:rsidRPr="0078738D">
        <w:rPr>
          <w:sz w:val="22"/>
          <w:szCs w:val="22"/>
        </w:rPr>
        <w:br w:type="page"/>
      </w:r>
    </w:p>
    <w:p w14:paraId="1BE3D24D" w14:textId="77777777" w:rsidR="00B52C38" w:rsidRDefault="009B3FD6">
      <w:pPr>
        <w:pStyle w:val="Heading1"/>
      </w:pPr>
      <w:bookmarkStart w:id="16" w:name="_Toc236873762"/>
      <w:r>
        <w:lastRenderedPageBreak/>
        <w:t>References</w:t>
      </w:r>
      <w:bookmarkEnd w:id="16"/>
    </w:p>
    <w:p w14:paraId="0E07952A" w14:textId="77777777" w:rsidR="00B52C38" w:rsidRPr="0078738D" w:rsidRDefault="009B3FD6">
      <w:pPr>
        <w:spacing w:after="160"/>
        <w:ind w:left="720" w:hanging="720"/>
        <w:rPr>
          <w:sz w:val="22"/>
          <w:szCs w:val="22"/>
        </w:rPr>
      </w:pPr>
      <w:r w:rsidRPr="0078738D">
        <w:rPr>
          <w:sz w:val="22"/>
          <w:szCs w:val="22"/>
        </w:rPr>
        <w:t xml:space="preserve">AccountAbility (2015) </w:t>
      </w:r>
      <w:r w:rsidRPr="0078738D">
        <w:rPr>
          <w:i/>
          <w:iCs/>
          <w:sz w:val="22"/>
          <w:szCs w:val="22"/>
        </w:rPr>
        <w:t>AA1000 Stakeholder Engagement Standard 2015</w:t>
      </w:r>
      <w:r w:rsidRPr="0078738D">
        <w:rPr>
          <w:sz w:val="22"/>
          <w:szCs w:val="22"/>
        </w:rPr>
        <w:t>. London: AccountAbility.</w:t>
      </w:r>
    </w:p>
    <w:p w14:paraId="53F220C8" w14:textId="77777777" w:rsidR="00B52C38" w:rsidRPr="0078738D" w:rsidRDefault="009B3FD6">
      <w:pPr>
        <w:spacing w:after="160"/>
        <w:ind w:left="720" w:hanging="720"/>
        <w:rPr>
          <w:sz w:val="22"/>
          <w:szCs w:val="22"/>
        </w:rPr>
      </w:pPr>
      <w:r w:rsidRPr="0078738D">
        <w:rPr>
          <w:sz w:val="22"/>
          <w:szCs w:val="22"/>
        </w:rPr>
        <w:t xml:space="preserve">Ackermann, F. and Eden, C. (2011) 'Strategic management of stakeholders: Theory and practice', </w:t>
      </w:r>
      <w:r w:rsidRPr="0078738D">
        <w:rPr>
          <w:i/>
          <w:iCs/>
          <w:sz w:val="22"/>
          <w:szCs w:val="22"/>
        </w:rPr>
        <w:t>Long Range Planning</w:t>
      </w:r>
      <w:r w:rsidRPr="0078738D">
        <w:rPr>
          <w:sz w:val="22"/>
          <w:szCs w:val="22"/>
        </w:rPr>
        <w:t>, 44(3), pp. 179-196.</w:t>
      </w:r>
    </w:p>
    <w:p w14:paraId="0AE07F29" w14:textId="77777777" w:rsidR="00B52C38" w:rsidRPr="0078738D" w:rsidRDefault="009B3FD6">
      <w:pPr>
        <w:spacing w:after="160"/>
        <w:ind w:left="720" w:hanging="720"/>
        <w:rPr>
          <w:sz w:val="22"/>
          <w:szCs w:val="22"/>
        </w:rPr>
      </w:pPr>
      <w:r w:rsidRPr="0078738D">
        <w:rPr>
          <w:sz w:val="22"/>
          <w:szCs w:val="22"/>
        </w:rPr>
        <w:t xml:space="preserve">Ashcroft, J. (2017) </w:t>
      </w:r>
      <w:r w:rsidRPr="0078738D">
        <w:rPr>
          <w:i/>
          <w:iCs/>
          <w:sz w:val="22"/>
          <w:szCs w:val="22"/>
        </w:rPr>
        <w:t>The Relational Lens: Understanding, Measuring, and Managing Stakeholder Relationships</w:t>
      </w:r>
      <w:r w:rsidRPr="0078738D">
        <w:rPr>
          <w:sz w:val="22"/>
          <w:szCs w:val="22"/>
        </w:rPr>
        <w:t>. Cambridge: Cambridge University Press.</w:t>
      </w:r>
    </w:p>
    <w:p w14:paraId="617B0DF3" w14:textId="77777777" w:rsidR="00B52C38" w:rsidRPr="0078738D" w:rsidRDefault="009B3FD6">
      <w:pPr>
        <w:spacing w:after="160"/>
        <w:ind w:left="720" w:hanging="720"/>
        <w:rPr>
          <w:sz w:val="22"/>
          <w:szCs w:val="22"/>
        </w:rPr>
      </w:pPr>
      <w:r w:rsidRPr="0078738D">
        <w:rPr>
          <w:sz w:val="22"/>
          <w:szCs w:val="22"/>
        </w:rPr>
        <w:t xml:space="preserve">Bryson, J.M. (2004) 'What to do when stakeholders matter: Stakeholder identification and analysis techniques', </w:t>
      </w:r>
      <w:r w:rsidRPr="0078738D">
        <w:rPr>
          <w:i/>
          <w:iCs/>
          <w:sz w:val="22"/>
          <w:szCs w:val="22"/>
        </w:rPr>
        <w:t>Public Management Review</w:t>
      </w:r>
      <w:r w:rsidRPr="0078738D">
        <w:rPr>
          <w:sz w:val="22"/>
          <w:szCs w:val="22"/>
        </w:rPr>
        <w:t>, 6(1), pp. 21-53.</w:t>
      </w:r>
    </w:p>
    <w:p w14:paraId="48D31D1C" w14:textId="77777777" w:rsidR="00B52C38" w:rsidRPr="0078738D" w:rsidRDefault="009B3FD6">
      <w:pPr>
        <w:spacing w:after="160"/>
        <w:ind w:left="720" w:hanging="720"/>
        <w:rPr>
          <w:sz w:val="22"/>
          <w:szCs w:val="22"/>
        </w:rPr>
      </w:pPr>
      <w:r w:rsidRPr="0078738D">
        <w:rPr>
          <w:sz w:val="22"/>
          <w:szCs w:val="22"/>
        </w:rPr>
        <w:t xml:space="preserve">Christopher, M., Payne, A. and Ballantyne, D. (2013) </w:t>
      </w:r>
      <w:r w:rsidRPr="0078738D">
        <w:rPr>
          <w:i/>
          <w:iCs/>
          <w:sz w:val="22"/>
          <w:szCs w:val="22"/>
        </w:rPr>
        <w:t>Relationship Marketing: Creating Stakeholder Value</w:t>
      </w:r>
      <w:r w:rsidRPr="0078738D">
        <w:rPr>
          <w:sz w:val="22"/>
          <w:szCs w:val="22"/>
        </w:rPr>
        <w:t>. Saint Louis: Taylor and Francis.</w:t>
      </w:r>
    </w:p>
    <w:p w14:paraId="6610A259" w14:textId="77777777" w:rsidR="00B52C38" w:rsidRPr="0078738D" w:rsidRDefault="009B3FD6">
      <w:pPr>
        <w:spacing w:after="160"/>
        <w:ind w:left="720" w:hanging="720"/>
        <w:rPr>
          <w:sz w:val="22"/>
          <w:szCs w:val="22"/>
        </w:rPr>
      </w:pPr>
      <w:r w:rsidRPr="0078738D">
        <w:rPr>
          <w:sz w:val="22"/>
          <w:szCs w:val="22"/>
        </w:rPr>
        <w:t xml:space="preserve">Clarkson, M.B.E. (1995) 'A stakeholder framework for analyzing and evaluating corporate social performance', </w:t>
      </w:r>
      <w:r w:rsidRPr="0078738D">
        <w:rPr>
          <w:i/>
          <w:iCs/>
          <w:sz w:val="22"/>
          <w:szCs w:val="22"/>
        </w:rPr>
        <w:t>Academy of Management Review</w:t>
      </w:r>
      <w:r w:rsidRPr="0078738D">
        <w:rPr>
          <w:sz w:val="22"/>
          <w:szCs w:val="22"/>
        </w:rPr>
        <w:t>, 20(1), pp. 92-117.</w:t>
      </w:r>
    </w:p>
    <w:p w14:paraId="27310EBE" w14:textId="77777777" w:rsidR="00B52C38" w:rsidRPr="0078738D" w:rsidRDefault="009B3FD6">
      <w:pPr>
        <w:spacing w:after="160"/>
        <w:ind w:left="720" w:hanging="720"/>
        <w:rPr>
          <w:sz w:val="22"/>
          <w:szCs w:val="22"/>
        </w:rPr>
      </w:pPr>
      <w:r w:rsidRPr="0078738D">
        <w:rPr>
          <w:sz w:val="22"/>
          <w:szCs w:val="22"/>
        </w:rPr>
        <w:t xml:space="preserve">Dinev, T. and Hart, P. (2006) 'An extended privacy calculus model for e-commerce transactions', </w:t>
      </w:r>
      <w:r w:rsidRPr="0078738D">
        <w:rPr>
          <w:i/>
          <w:iCs/>
          <w:sz w:val="22"/>
          <w:szCs w:val="22"/>
        </w:rPr>
        <w:t>Information Systems Research</w:t>
      </w:r>
      <w:r w:rsidRPr="0078738D">
        <w:rPr>
          <w:sz w:val="22"/>
          <w:szCs w:val="22"/>
        </w:rPr>
        <w:t>, 17(1), pp. 61-80.</w:t>
      </w:r>
    </w:p>
    <w:p w14:paraId="200F63C5" w14:textId="77777777" w:rsidR="00B52C38" w:rsidRPr="0078738D" w:rsidRDefault="009B3FD6">
      <w:pPr>
        <w:spacing w:after="160"/>
        <w:ind w:left="720" w:hanging="720"/>
        <w:rPr>
          <w:sz w:val="22"/>
          <w:szCs w:val="22"/>
        </w:rPr>
      </w:pPr>
      <w:r w:rsidRPr="0078738D">
        <w:rPr>
          <w:sz w:val="22"/>
          <w:szCs w:val="22"/>
        </w:rPr>
        <w:t xml:space="preserve">Donaldson, T. and Preston, L.E. (1995) 'The stakeholder theory of the corporation: Concepts, evidence, and implications', </w:t>
      </w:r>
      <w:r w:rsidRPr="0078738D">
        <w:rPr>
          <w:i/>
          <w:iCs/>
          <w:sz w:val="22"/>
          <w:szCs w:val="22"/>
        </w:rPr>
        <w:t>Academy of Management Review</w:t>
      </w:r>
      <w:r w:rsidRPr="0078738D">
        <w:rPr>
          <w:sz w:val="22"/>
          <w:szCs w:val="22"/>
        </w:rPr>
        <w:t>, 20(1), pp. 65-91.</w:t>
      </w:r>
    </w:p>
    <w:p w14:paraId="097340C1" w14:textId="77777777" w:rsidR="00B52C38" w:rsidRPr="0078738D" w:rsidRDefault="009B3FD6">
      <w:pPr>
        <w:spacing w:after="160"/>
        <w:ind w:left="720" w:hanging="720"/>
        <w:rPr>
          <w:sz w:val="22"/>
          <w:szCs w:val="22"/>
        </w:rPr>
      </w:pPr>
      <w:r w:rsidRPr="0078738D">
        <w:rPr>
          <w:sz w:val="22"/>
          <w:szCs w:val="22"/>
        </w:rPr>
        <w:t xml:space="preserve">Freeman, R.E. (1984) </w:t>
      </w:r>
      <w:r w:rsidRPr="0078738D">
        <w:rPr>
          <w:i/>
          <w:iCs/>
          <w:sz w:val="22"/>
          <w:szCs w:val="22"/>
        </w:rPr>
        <w:t>Strategic Management: A Stakeholder Approach</w:t>
      </w:r>
      <w:r w:rsidRPr="0078738D">
        <w:rPr>
          <w:sz w:val="22"/>
          <w:szCs w:val="22"/>
        </w:rPr>
        <w:t>. Boston: Pitman.</w:t>
      </w:r>
    </w:p>
    <w:p w14:paraId="2587EAD5" w14:textId="77777777" w:rsidR="00B52C38" w:rsidRPr="0078738D" w:rsidRDefault="009B3FD6">
      <w:pPr>
        <w:spacing w:after="160"/>
        <w:ind w:left="720" w:hanging="720"/>
        <w:rPr>
          <w:sz w:val="22"/>
          <w:szCs w:val="22"/>
        </w:rPr>
      </w:pPr>
      <w:r w:rsidRPr="0078738D">
        <w:rPr>
          <w:sz w:val="22"/>
          <w:szCs w:val="22"/>
        </w:rPr>
        <w:t xml:space="preserve">Freeman, R.E., Harrison, J.S. and Wicks, A.C. (2007) </w:t>
      </w:r>
      <w:r w:rsidRPr="0078738D">
        <w:rPr>
          <w:i/>
          <w:iCs/>
          <w:sz w:val="22"/>
          <w:szCs w:val="22"/>
        </w:rPr>
        <w:t>Managing for Stakeholders: Survival, Reputation, and Success</w:t>
      </w:r>
      <w:r w:rsidRPr="0078738D">
        <w:rPr>
          <w:sz w:val="22"/>
          <w:szCs w:val="22"/>
        </w:rPr>
        <w:t>. New Haven: Yale University Press.</w:t>
      </w:r>
    </w:p>
    <w:p w14:paraId="6A48A220" w14:textId="77777777" w:rsidR="00B52C38" w:rsidRPr="0078738D" w:rsidRDefault="009B3FD6">
      <w:pPr>
        <w:spacing w:after="160"/>
        <w:ind w:left="720" w:hanging="720"/>
        <w:rPr>
          <w:sz w:val="22"/>
          <w:szCs w:val="22"/>
        </w:rPr>
      </w:pPr>
      <w:r w:rsidRPr="0078738D">
        <w:rPr>
          <w:sz w:val="22"/>
          <w:szCs w:val="22"/>
        </w:rPr>
        <w:t xml:space="preserve">Greenwood, M. (2007) 'Stakeholder engagement: Beyond the myth of corporate responsibility', </w:t>
      </w:r>
      <w:r w:rsidRPr="0078738D">
        <w:rPr>
          <w:i/>
          <w:iCs/>
          <w:sz w:val="22"/>
          <w:szCs w:val="22"/>
        </w:rPr>
        <w:t>Journal of Business Ethics</w:t>
      </w:r>
      <w:r w:rsidRPr="0078738D">
        <w:rPr>
          <w:sz w:val="22"/>
          <w:szCs w:val="22"/>
        </w:rPr>
        <w:t>, 74(4), pp. 315-327.</w:t>
      </w:r>
    </w:p>
    <w:p w14:paraId="7F80A107" w14:textId="77777777" w:rsidR="00B52C38" w:rsidRPr="0078738D" w:rsidRDefault="009B3FD6">
      <w:pPr>
        <w:spacing w:after="160"/>
        <w:ind w:left="720" w:hanging="720"/>
        <w:rPr>
          <w:sz w:val="22"/>
          <w:szCs w:val="22"/>
        </w:rPr>
      </w:pPr>
      <w:r w:rsidRPr="0078738D">
        <w:rPr>
          <w:sz w:val="22"/>
          <w:szCs w:val="22"/>
        </w:rPr>
        <w:t xml:space="preserve">Humby, C., Hunt, T. and Phillips, T. (2008) </w:t>
      </w:r>
      <w:r w:rsidRPr="0078738D">
        <w:rPr>
          <w:i/>
          <w:iCs/>
          <w:sz w:val="22"/>
          <w:szCs w:val="22"/>
        </w:rPr>
        <w:t>Scoring Points: How Tesco Continues to Win Customer Loyalty</w:t>
      </w:r>
      <w:r w:rsidRPr="0078738D">
        <w:rPr>
          <w:sz w:val="22"/>
          <w:szCs w:val="22"/>
        </w:rPr>
        <w:t>. 2nd edn. London: Kogan Page.</w:t>
      </w:r>
    </w:p>
    <w:p w14:paraId="04AE8FF8" w14:textId="77777777" w:rsidR="00B52C38" w:rsidRPr="0078738D" w:rsidRDefault="009B3FD6">
      <w:pPr>
        <w:spacing w:after="160"/>
        <w:ind w:left="720" w:hanging="720"/>
        <w:rPr>
          <w:sz w:val="22"/>
          <w:szCs w:val="22"/>
        </w:rPr>
      </w:pPr>
      <w:r w:rsidRPr="0078738D">
        <w:rPr>
          <w:sz w:val="22"/>
          <w:szCs w:val="22"/>
        </w:rPr>
        <w:t xml:space="preserve">Johnson, G., Scholes, K. and Whittington, R. (2017) </w:t>
      </w:r>
      <w:r w:rsidRPr="0078738D">
        <w:rPr>
          <w:i/>
          <w:iCs/>
          <w:sz w:val="22"/>
          <w:szCs w:val="22"/>
        </w:rPr>
        <w:t>Exploring Strategy: Text and Cases</w:t>
      </w:r>
      <w:r w:rsidRPr="0078738D">
        <w:rPr>
          <w:sz w:val="22"/>
          <w:szCs w:val="22"/>
        </w:rPr>
        <w:t>. 11th edn. Harlow: Pearson.</w:t>
      </w:r>
    </w:p>
    <w:p w14:paraId="37D5CB7A" w14:textId="77777777" w:rsidR="00B52C38" w:rsidRPr="0078738D" w:rsidRDefault="009B3FD6">
      <w:pPr>
        <w:spacing w:after="160"/>
        <w:ind w:left="720" w:hanging="720"/>
        <w:rPr>
          <w:sz w:val="22"/>
          <w:szCs w:val="22"/>
        </w:rPr>
      </w:pPr>
      <w:r w:rsidRPr="0078738D">
        <w:rPr>
          <w:sz w:val="22"/>
          <w:szCs w:val="22"/>
        </w:rPr>
        <w:t xml:space="preserve">Kotler, P. and Keller, K.L. (2016) </w:t>
      </w:r>
      <w:r w:rsidRPr="0078738D">
        <w:rPr>
          <w:i/>
          <w:iCs/>
          <w:sz w:val="22"/>
          <w:szCs w:val="22"/>
        </w:rPr>
        <w:t>Marketing Management</w:t>
      </w:r>
      <w:r w:rsidRPr="0078738D">
        <w:rPr>
          <w:sz w:val="22"/>
          <w:szCs w:val="22"/>
        </w:rPr>
        <w:t>. 15th edn. Harlow: Pearson.</w:t>
      </w:r>
    </w:p>
    <w:p w14:paraId="1FEBCB82" w14:textId="77777777" w:rsidR="00B52C38" w:rsidRPr="0078738D" w:rsidRDefault="009B3FD6">
      <w:pPr>
        <w:spacing w:after="160"/>
        <w:ind w:left="720" w:hanging="720"/>
        <w:rPr>
          <w:sz w:val="22"/>
          <w:szCs w:val="22"/>
        </w:rPr>
      </w:pPr>
      <w:r w:rsidRPr="0078738D">
        <w:rPr>
          <w:sz w:val="22"/>
          <w:szCs w:val="22"/>
        </w:rPr>
        <w:t xml:space="preserve">Kotter, J.P. (1996) </w:t>
      </w:r>
      <w:r w:rsidRPr="0078738D">
        <w:rPr>
          <w:i/>
          <w:iCs/>
          <w:sz w:val="22"/>
          <w:szCs w:val="22"/>
        </w:rPr>
        <w:t>Leading Change</w:t>
      </w:r>
      <w:r w:rsidRPr="0078738D">
        <w:rPr>
          <w:sz w:val="22"/>
          <w:szCs w:val="22"/>
        </w:rPr>
        <w:t>. Boston: Harvard Business School Press.</w:t>
      </w:r>
    </w:p>
    <w:p w14:paraId="33EAF8F1" w14:textId="77777777" w:rsidR="00B52C38" w:rsidRPr="0078738D" w:rsidRDefault="009B3FD6">
      <w:pPr>
        <w:spacing w:after="160"/>
        <w:ind w:left="720" w:hanging="720"/>
        <w:rPr>
          <w:sz w:val="22"/>
          <w:szCs w:val="22"/>
        </w:rPr>
      </w:pPr>
      <w:r w:rsidRPr="0078738D">
        <w:rPr>
          <w:sz w:val="22"/>
          <w:szCs w:val="22"/>
        </w:rPr>
        <w:t xml:space="preserve">Martin, K. (2018) 'The penalty for privacy violations: How privacy violations impact trust online', </w:t>
      </w:r>
      <w:r w:rsidRPr="0078738D">
        <w:rPr>
          <w:i/>
          <w:iCs/>
          <w:sz w:val="22"/>
          <w:szCs w:val="22"/>
        </w:rPr>
        <w:t>Journal of Business Research</w:t>
      </w:r>
      <w:r w:rsidRPr="0078738D">
        <w:rPr>
          <w:sz w:val="22"/>
          <w:szCs w:val="22"/>
        </w:rPr>
        <w:t>, 82, pp. 103-116.</w:t>
      </w:r>
    </w:p>
    <w:p w14:paraId="585D10AA" w14:textId="77777777" w:rsidR="00B52C38" w:rsidRPr="0078738D" w:rsidRDefault="009B3FD6">
      <w:pPr>
        <w:spacing w:after="160"/>
        <w:ind w:left="720" w:hanging="720"/>
        <w:rPr>
          <w:sz w:val="22"/>
          <w:szCs w:val="22"/>
        </w:rPr>
      </w:pPr>
      <w:r w:rsidRPr="0078738D">
        <w:rPr>
          <w:sz w:val="22"/>
          <w:szCs w:val="22"/>
        </w:rPr>
        <w:lastRenderedPageBreak/>
        <w:t>Mendelow, A. (1991) 'Stakeholder mapping', paper presented at the 2nd International Conference on Information Systems, Cambridge, MA.</w:t>
      </w:r>
    </w:p>
    <w:p w14:paraId="05551ECE" w14:textId="77777777" w:rsidR="00B52C38" w:rsidRPr="0078738D" w:rsidRDefault="009B3FD6">
      <w:pPr>
        <w:spacing w:after="160"/>
        <w:ind w:left="720" w:hanging="720"/>
        <w:rPr>
          <w:sz w:val="22"/>
          <w:szCs w:val="22"/>
        </w:rPr>
      </w:pPr>
      <w:r w:rsidRPr="0078738D">
        <w:rPr>
          <w:sz w:val="22"/>
          <w:szCs w:val="22"/>
        </w:rPr>
        <w:t xml:space="preserve">Mitchell, R.K., Agle, B.R. and Wood, D.J. (1997) 'Toward a theory of stakeholder identification and salience: Defining the principle of who and what really counts', </w:t>
      </w:r>
      <w:r w:rsidRPr="0078738D">
        <w:rPr>
          <w:i/>
          <w:iCs/>
          <w:sz w:val="22"/>
          <w:szCs w:val="22"/>
        </w:rPr>
        <w:t>Academy of Management Review</w:t>
      </w:r>
      <w:r w:rsidRPr="0078738D">
        <w:rPr>
          <w:sz w:val="22"/>
          <w:szCs w:val="22"/>
        </w:rPr>
        <w:t>, 22(4), pp. 853-886.</w:t>
      </w:r>
    </w:p>
    <w:p w14:paraId="2D8B7E88" w14:textId="77777777" w:rsidR="00B52C38" w:rsidRPr="0078738D" w:rsidRDefault="009B3FD6">
      <w:pPr>
        <w:spacing w:after="160"/>
        <w:ind w:left="720" w:hanging="720"/>
        <w:rPr>
          <w:sz w:val="22"/>
          <w:szCs w:val="22"/>
        </w:rPr>
      </w:pPr>
      <w:r w:rsidRPr="0078738D">
        <w:rPr>
          <w:sz w:val="22"/>
          <w:szCs w:val="22"/>
        </w:rPr>
        <w:t xml:space="preserve">Mittelstadt, B.D., Allo, P., Taddeo, M., Wachter, S. and Floridi, L. (2016) 'The ethics of algorithms: Mapping the debate', </w:t>
      </w:r>
      <w:r w:rsidRPr="0078738D">
        <w:rPr>
          <w:i/>
          <w:iCs/>
          <w:sz w:val="22"/>
          <w:szCs w:val="22"/>
        </w:rPr>
        <w:t>Big Data &amp; Society</w:t>
      </w:r>
      <w:r w:rsidRPr="0078738D">
        <w:rPr>
          <w:sz w:val="22"/>
          <w:szCs w:val="22"/>
        </w:rPr>
        <w:t>, 3(2), pp. 1-21.</w:t>
      </w:r>
    </w:p>
    <w:p w14:paraId="5B81FC00" w14:textId="77777777" w:rsidR="00B52C38" w:rsidRPr="0078738D" w:rsidRDefault="009B3FD6">
      <w:pPr>
        <w:spacing w:after="160"/>
        <w:ind w:left="720" w:hanging="720"/>
        <w:rPr>
          <w:sz w:val="22"/>
          <w:szCs w:val="22"/>
        </w:rPr>
      </w:pPr>
      <w:r w:rsidRPr="0078738D">
        <w:rPr>
          <w:sz w:val="22"/>
          <w:szCs w:val="22"/>
        </w:rPr>
        <w:t xml:space="preserve">Post, J.E., Preston, L.E. and Sachs, S. (2002) </w:t>
      </w:r>
      <w:r w:rsidRPr="0078738D">
        <w:rPr>
          <w:i/>
          <w:iCs/>
          <w:sz w:val="22"/>
          <w:szCs w:val="22"/>
        </w:rPr>
        <w:t>Redefining the Corporation: Stakeholder Management and Organizational Wealth</w:t>
      </w:r>
      <w:r w:rsidRPr="0078738D">
        <w:rPr>
          <w:sz w:val="22"/>
          <w:szCs w:val="22"/>
        </w:rPr>
        <w:t>. Stanford: Stanford University Press.</w:t>
      </w:r>
    </w:p>
    <w:p w14:paraId="24AD689D" w14:textId="77777777" w:rsidR="00B52C38" w:rsidRPr="0078738D" w:rsidRDefault="009B3FD6">
      <w:pPr>
        <w:spacing w:after="160"/>
        <w:ind w:left="720" w:hanging="720"/>
        <w:rPr>
          <w:sz w:val="22"/>
          <w:szCs w:val="22"/>
        </w:rPr>
      </w:pPr>
      <w:r w:rsidRPr="0078738D">
        <w:rPr>
          <w:sz w:val="22"/>
          <w:szCs w:val="22"/>
        </w:rPr>
        <w:t xml:space="preserve">Project Management Institute (2021) </w:t>
      </w:r>
      <w:r w:rsidRPr="0078738D">
        <w:rPr>
          <w:i/>
          <w:iCs/>
          <w:sz w:val="22"/>
          <w:szCs w:val="22"/>
        </w:rPr>
        <w:t>A Guide to the Project Management Body of Knowledge (PMBOK Guide)</w:t>
      </w:r>
      <w:r w:rsidRPr="0078738D">
        <w:rPr>
          <w:sz w:val="22"/>
          <w:szCs w:val="22"/>
        </w:rPr>
        <w:t>. 7th edn. Newtown Square: Project Management Institute.</w:t>
      </w:r>
    </w:p>
    <w:p w14:paraId="2B9315FE" w14:textId="77777777" w:rsidR="00B52C38" w:rsidRPr="0078738D" w:rsidRDefault="009B3FD6">
      <w:pPr>
        <w:spacing w:after="160"/>
        <w:ind w:left="720" w:hanging="720"/>
        <w:rPr>
          <w:sz w:val="22"/>
          <w:szCs w:val="22"/>
        </w:rPr>
      </w:pPr>
      <w:r w:rsidRPr="0078738D">
        <w:rPr>
          <w:sz w:val="22"/>
          <w:szCs w:val="22"/>
        </w:rPr>
        <w:t xml:space="preserve">Rowley, T.J. (1997) 'Moving beyond dyadic ties: A network theory of stakeholder influences', </w:t>
      </w:r>
      <w:r w:rsidRPr="0078738D">
        <w:rPr>
          <w:i/>
          <w:iCs/>
          <w:sz w:val="22"/>
          <w:szCs w:val="22"/>
        </w:rPr>
        <w:t>Academy of Management Review</w:t>
      </w:r>
      <w:r w:rsidRPr="0078738D">
        <w:rPr>
          <w:sz w:val="22"/>
          <w:szCs w:val="22"/>
        </w:rPr>
        <w:t>, 22(4), pp. 887-910.</w:t>
      </w:r>
    </w:p>
    <w:p w14:paraId="44BF8BA3" w14:textId="77777777" w:rsidR="00B52C38" w:rsidRPr="0078738D" w:rsidRDefault="009B3FD6">
      <w:pPr>
        <w:spacing w:after="160"/>
        <w:ind w:left="720" w:hanging="720"/>
        <w:rPr>
          <w:sz w:val="22"/>
          <w:szCs w:val="22"/>
        </w:rPr>
      </w:pPr>
      <w:r w:rsidRPr="0078738D">
        <w:rPr>
          <w:sz w:val="22"/>
          <w:szCs w:val="22"/>
        </w:rPr>
        <w:t xml:space="preserve">Savage, G.T., Nix, T.W., Whitehead, C.J. and Blair, J.D. (1991) 'Strategies for assessing and managing organizational stakeholders', </w:t>
      </w:r>
      <w:r w:rsidRPr="0078738D">
        <w:rPr>
          <w:i/>
          <w:iCs/>
          <w:sz w:val="22"/>
          <w:szCs w:val="22"/>
        </w:rPr>
        <w:t>Academy of Management Executive</w:t>
      </w:r>
      <w:r w:rsidRPr="0078738D">
        <w:rPr>
          <w:sz w:val="22"/>
          <w:szCs w:val="22"/>
        </w:rPr>
        <w:t>, 5(2), pp. 61-75.</w:t>
      </w:r>
    </w:p>
    <w:p w14:paraId="035CC84E" w14:textId="77777777" w:rsidR="00B52C38" w:rsidRPr="0078738D" w:rsidRDefault="009B3FD6">
      <w:pPr>
        <w:spacing w:after="160"/>
        <w:ind w:left="720" w:hanging="720"/>
        <w:rPr>
          <w:sz w:val="22"/>
          <w:szCs w:val="22"/>
        </w:rPr>
      </w:pPr>
      <w:r w:rsidRPr="0078738D">
        <w:rPr>
          <w:sz w:val="22"/>
          <w:szCs w:val="22"/>
        </w:rPr>
        <w:t xml:space="preserve">Solove, D.J. (2021) 'The myth of the privacy paradox', </w:t>
      </w:r>
      <w:r w:rsidRPr="0078738D">
        <w:rPr>
          <w:i/>
          <w:iCs/>
          <w:sz w:val="22"/>
          <w:szCs w:val="22"/>
        </w:rPr>
        <w:t>George Washington Law Review</w:t>
      </w:r>
      <w:r w:rsidRPr="0078738D">
        <w:rPr>
          <w:sz w:val="22"/>
          <w:szCs w:val="22"/>
        </w:rPr>
        <w:t>, 89(1), pp. 1-51.</w:t>
      </w:r>
    </w:p>
    <w:p w14:paraId="197D14E1" w14:textId="77777777" w:rsidR="00B52C38" w:rsidRPr="0078738D" w:rsidRDefault="009B3FD6">
      <w:pPr>
        <w:spacing w:after="160"/>
        <w:ind w:left="720" w:hanging="720"/>
        <w:rPr>
          <w:sz w:val="22"/>
          <w:szCs w:val="22"/>
        </w:rPr>
      </w:pPr>
      <w:r w:rsidRPr="0078738D">
        <w:rPr>
          <w:sz w:val="22"/>
          <w:szCs w:val="22"/>
        </w:rPr>
        <w:t xml:space="preserve">Tesco PLC (2023) </w:t>
      </w:r>
      <w:r w:rsidRPr="0078738D">
        <w:rPr>
          <w:i/>
          <w:iCs/>
          <w:sz w:val="22"/>
          <w:szCs w:val="22"/>
        </w:rPr>
        <w:t>Annual Report and Financial Statements 2023</w:t>
      </w:r>
      <w:r w:rsidRPr="0078738D">
        <w:rPr>
          <w:sz w:val="22"/>
          <w:szCs w:val="22"/>
        </w:rPr>
        <w:t>. Welwyn Garden City: Tesco PLC.</w:t>
      </w:r>
    </w:p>
    <w:sectPr w:rsidR="00B52C38" w:rsidRPr="0078738D">
      <w:footerReference w:type="default" r:id="rId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27C3B8" w14:textId="77777777" w:rsidR="002A2497" w:rsidRDefault="002A2497">
      <w:pPr>
        <w:spacing w:line="240" w:lineRule="auto"/>
      </w:pPr>
      <w:r>
        <w:separator/>
      </w:r>
    </w:p>
  </w:endnote>
  <w:endnote w:type="continuationSeparator" w:id="0">
    <w:p w14:paraId="46250F40" w14:textId="77777777" w:rsidR="002A2497" w:rsidRDefault="002A249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badi ExtraLight">
    <w:charset w:val="00"/>
    <w:family w:val="swiss"/>
    <w:pitch w:val="variable"/>
    <w:sig w:usb0="80000003" w:usb1="00000000" w:usb2="00000000" w:usb3="00000000" w:csb0="00000093" w:csb1="00000000"/>
  </w:font>
  <w:font w:name="Abadi">
    <w:charset w:val="00"/>
    <w:family w:val="swiss"/>
    <w:pitch w:val="variable"/>
    <w:sig w:usb0="80000003"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07FEBD" w14:textId="77777777" w:rsidR="00B52C38" w:rsidRDefault="009B3FD6">
    <w:pPr>
      <w:jc w:val="right"/>
    </w:pPr>
    <w:r>
      <w:rPr>
        <w:sz w:val="22"/>
        <w:szCs w:val="22"/>
      </w:rPr>
      <w:fldChar w:fldCharType="begin"/>
    </w:r>
    <w:r>
      <w:rPr>
        <w:sz w:val="22"/>
        <w:szCs w:val="22"/>
      </w:rPr>
      <w:instrText>PAGE</w:instrText>
    </w:r>
    <w:r>
      <w:rPr>
        <w:sz w:val="22"/>
        <w:szCs w:val="22"/>
      </w:rPr>
      <w:fldChar w:fldCharType="separate"/>
    </w:r>
    <w:r w:rsidR="00C07C3D">
      <w:rPr>
        <w:noProof/>
        <w:sz w:val="22"/>
        <w:szCs w:val="22"/>
      </w:rPr>
      <w:t>2</w:t>
    </w:r>
    <w:r>
      <w:rPr>
        <w:sz w:val="22"/>
        <w:szCs w:val="22"/>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58DF25" w14:textId="77777777" w:rsidR="002A2497" w:rsidRDefault="002A2497">
      <w:pPr>
        <w:spacing w:line="240" w:lineRule="auto"/>
      </w:pPr>
      <w:r>
        <w:separator/>
      </w:r>
    </w:p>
  </w:footnote>
  <w:footnote w:type="continuationSeparator" w:id="0">
    <w:p w14:paraId="08C665F5" w14:textId="77777777" w:rsidR="002A2497" w:rsidRDefault="002A249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F13417"/>
    <w:multiLevelType w:val="hybridMultilevel"/>
    <w:tmpl w:val="065C6CB6"/>
    <w:lvl w:ilvl="0" w:tplc="07D49722">
      <w:start w:val="1"/>
      <w:numFmt w:val="bullet"/>
      <w:lvlText w:val="●"/>
      <w:lvlJc w:val="left"/>
      <w:pPr>
        <w:ind w:left="720" w:hanging="360"/>
      </w:pPr>
    </w:lvl>
    <w:lvl w:ilvl="1" w:tplc="8D6259EE">
      <w:start w:val="1"/>
      <w:numFmt w:val="bullet"/>
      <w:lvlText w:val="○"/>
      <w:lvlJc w:val="left"/>
      <w:pPr>
        <w:ind w:left="1440" w:hanging="360"/>
      </w:pPr>
    </w:lvl>
    <w:lvl w:ilvl="2" w:tplc="74CE75E6">
      <w:start w:val="1"/>
      <w:numFmt w:val="bullet"/>
      <w:lvlText w:val="■"/>
      <w:lvlJc w:val="left"/>
      <w:pPr>
        <w:ind w:left="2160" w:hanging="360"/>
      </w:pPr>
    </w:lvl>
    <w:lvl w:ilvl="3" w:tplc="6CBE5680">
      <w:start w:val="1"/>
      <w:numFmt w:val="bullet"/>
      <w:lvlText w:val="●"/>
      <w:lvlJc w:val="left"/>
      <w:pPr>
        <w:ind w:left="2880" w:hanging="360"/>
      </w:pPr>
    </w:lvl>
    <w:lvl w:ilvl="4" w:tplc="EC7040D2">
      <w:start w:val="1"/>
      <w:numFmt w:val="bullet"/>
      <w:lvlText w:val="○"/>
      <w:lvlJc w:val="left"/>
      <w:pPr>
        <w:ind w:left="3600" w:hanging="360"/>
      </w:pPr>
    </w:lvl>
    <w:lvl w:ilvl="5" w:tplc="4BAC8590">
      <w:start w:val="1"/>
      <w:numFmt w:val="bullet"/>
      <w:lvlText w:val="■"/>
      <w:lvlJc w:val="left"/>
      <w:pPr>
        <w:ind w:left="4320" w:hanging="360"/>
      </w:pPr>
    </w:lvl>
    <w:lvl w:ilvl="6" w:tplc="6D163DB0">
      <w:start w:val="1"/>
      <w:numFmt w:val="bullet"/>
      <w:lvlText w:val="●"/>
      <w:lvlJc w:val="left"/>
      <w:pPr>
        <w:ind w:left="5040" w:hanging="360"/>
      </w:pPr>
    </w:lvl>
    <w:lvl w:ilvl="7" w:tplc="E7A8DD58">
      <w:start w:val="1"/>
      <w:numFmt w:val="bullet"/>
      <w:lvlText w:val="●"/>
      <w:lvlJc w:val="left"/>
      <w:pPr>
        <w:ind w:left="5760" w:hanging="360"/>
      </w:pPr>
    </w:lvl>
    <w:lvl w:ilvl="8" w:tplc="F74CBF9C">
      <w:start w:val="1"/>
      <w:numFmt w:val="bullet"/>
      <w:lvlText w:val="●"/>
      <w:lvlJc w:val="left"/>
      <w:pPr>
        <w:ind w:left="6480" w:hanging="360"/>
      </w:pPr>
    </w:lvl>
  </w:abstractNum>
  <w:num w:numId="1" w16cid:durableId="530725125">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srQ0MrMwNrAwMTM3NTdQ0lEKTi0uzszPAykwrgUAUbQLLywAAAA="/>
  </w:docVars>
  <w:rsids>
    <w:rsidRoot w:val="00B52C38"/>
    <w:rsid w:val="00012931"/>
    <w:rsid w:val="0004502D"/>
    <w:rsid w:val="000C7FE3"/>
    <w:rsid w:val="00153434"/>
    <w:rsid w:val="001E7161"/>
    <w:rsid w:val="002A2497"/>
    <w:rsid w:val="002F1114"/>
    <w:rsid w:val="003405A1"/>
    <w:rsid w:val="00395162"/>
    <w:rsid w:val="004121AF"/>
    <w:rsid w:val="00465203"/>
    <w:rsid w:val="00537A60"/>
    <w:rsid w:val="0058753B"/>
    <w:rsid w:val="0078738D"/>
    <w:rsid w:val="007D27D4"/>
    <w:rsid w:val="007F64AB"/>
    <w:rsid w:val="00837CF4"/>
    <w:rsid w:val="008C5B81"/>
    <w:rsid w:val="008F47CB"/>
    <w:rsid w:val="0095021D"/>
    <w:rsid w:val="0097746C"/>
    <w:rsid w:val="009B3FD6"/>
    <w:rsid w:val="00A053BF"/>
    <w:rsid w:val="00AA1394"/>
    <w:rsid w:val="00AB391B"/>
    <w:rsid w:val="00B03DC8"/>
    <w:rsid w:val="00B52C38"/>
    <w:rsid w:val="00B820C8"/>
    <w:rsid w:val="00C07C3D"/>
    <w:rsid w:val="00C73D3B"/>
    <w:rsid w:val="00CB1CAA"/>
    <w:rsid w:val="00CE465C"/>
    <w:rsid w:val="00D04572"/>
    <w:rsid w:val="00D3671F"/>
    <w:rsid w:val="00E330C5"/>
    <w:rsid w:val="00E5308F"/>
    <w:rsid w:val="00E812DA"/>
    <w:rsid w:val="00ED7487"/>
    <w:rsid w:val="00EF45A2"/>
    <w:rsid w:val="00F17BF7"/>
    <w:rsid w:val="00FF08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8B3A9B"/>
  <w15:docId w15:val="{8DC5517E-AFAF-4A23-8F59-55DDFB2E9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qFormat/>
    <w:pPr>
      <w:spacing w:before="280" w:after="200"/>
      <w:jc w:val="left"/>
      <w:outlineLvl w:val="0"/>
    </w:pPr>
    <w:rPr>
      <w:b/>
      <w:bCs/>
      <w:sz w:val="28"/>
      <w:szCs w:val="28"/>
    </w:rPr>
  </w:style>
  <w:style w:type="paragraph" w:styleId="Heading2">
    <w:name w:val="heading 2"/>
    <w:qFormat/>
    <w:pPr>
      <w:spacing w:before="240" w:after="200"/>
      <w:jc w:val="left"/>
      <w:outlineLvl w:val="1"/>
    </w:pPr>
    <w:rPr>
      <w:b/>
      <w:bCs/>
      <w:sz w:val="26"/>
      <w:szCs w:val="26"/>
    </w:rPr>
  </w:style>
  <w:style w:type="paragraph" w:styleId="Heading3">
    <w:name w:val="heading 3"/>
    <w:qFormat/>
    <w:pPr>
      <w:outlineLvl w:val="2"/>
    </w:pPr>
    <w:rPr>
      <w:color w:val="1F4D78"/>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line="240" w:lineRule="auto"/>
    </w:pPr>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153434"/>
    <w:pPr>
      <w:spacing w:after="100"/>
    </w:pPr>
  </w:style>
  <w:style w:type="paragraph" w:styleId="TOC2">
    <w:name w:val="toc 2"/>
    <w:basedOn w:val="Normal"/>
    <w:next w:val="Normal"/>
    <w:autoRedefine/>
    <w:uiPriority w:val="39"/>
    <w:unhideWhenUsed/>
    <w:rsid w:val="00153434"/>
    <w:pPr>
      <w:spacing w:after="100"/>
      <w:ind w:left="240"/>
    </w:pPr>
  </w:style>
  <w:style w:type="table" w:styleId="TableGrid">
    <w:name w:val="Table Grid"/>
    <w:basedOn w:val="TableNormal"/>
    <w:uiPriority w:val="39"/>
    <w:rsid w:val="00395162"/>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5401</Words>
  <Characters>30792</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Sulita Aminta Camara (2438447)</cp:lastModifiedBy>
  <cp:revision>2</cp:revision>
  <dcterms:created xsi:type="dcterms:W3CDTF">2026-08-14T10:44:00Z</dcterms:created>
  <dcterms:modified xsi:type="dcterms:W3CDTF">2026-08-14T10:44:00Z</dcterms:modified>
</cp:coreProperties>
</file>