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F9447" w14:textId="77777777" w:rsidR="00541B6A" w:rsidRDefault="00702F4F">
      <w:pPr>
        <w:spacing w:before="200"/>
        <w:ind w:firstLine="720"/>
        <w:jc w:val="center"/>
        <w:rPr>
          <w:rFonts w:cs="Arial"/>
          <w:b/>
          <w:sz w:val="22"/>
          <w:szCs w:val="22"/>
        </w:rPr>
      </w:pPr>
      <w:r>
        <w:rPr>
          <w:rFonts w:cs="Arial"/>
          <w:b/>
          <w:sz w:val="22"/>
          <w:szCs w:val="22"/>
        </w:rPr>
        <w:t>PG1 - FULL RESEARCH PROPOSAL</w:t>
      </w:r>
    </w:p>
    <w:p w14:paraId="35086466" w14:textId="77777777" w:rsidR="00541B6A" w:rsidRDefault="00541B6A">
      <w:pPr>
        <w:rPr>
          <w:rFonts w:cs="Arial"/>
          <w:b/>
          <w:sz w:val="22"/>
          <w:szCs w:val="22"/>
        </w:rPr>
      </w:pPr>
    </w:p>
    <w:tbl>
      <w:tblPr>
        <w:tblStyle w:val="TableGrid"/>
        <w:tblW w:w="9776" w:type="dxa"/>
        <w:tblLook w:val="04A0" w:firstRow="1" w:lastRow="0" w:firstColumn="1" w:lastColumn="0" w:noHBand="0" w:noVBand="1"/>
      </w:tblPr>
      <w:tblGrid>
        <w:gridCol w:w="9776"/>
      </w:tblGrid>
      <w:tr w:rsidR="00541B6A" w14:paraId="13457C36" w14:textId="77777777">
        <w:tc>
          <w:tcPr>
            <w:tcW w:w="9776" w:type="dxa"/>
          </w:tcPr>
          <w:p w14:paraId="1E007998" w14:textId="77777777" w:rsidR="00541B6A" w:rsidRDefault="00702F4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Part Two. </w:t>
            </w:r>
            <w:r>
              <w:rPr>
                <w:rFonts w:cs="Arial"/>
                <w:bCs/>
                <w:sz w:val="22"/>
                <w:szCs w:val="22"/>
              </w:rPr>
              <w:t xml:space="preserve">Return the completed form to the </w:t>
            </w:r>
            <w:r>
              <w:rPr>
                <w:rFonts w:cs="Arial"/>
                <w:b/>
                <w:bCs/>
                <w:sz w:val="22"/>
                <w:szCs w:val="22"/>
              </w:rPr>
              <w:t xml:space="preserve">Academic Office </w:t>
            </w:r>
            <w:hyperlink r:id="rId12" w:history="1">
              <w:r>
                <w:rPr>
                  <w:rStyle w:val="Hyperlink"/>
                  <w:rFonts w:cs="Arial"/>
                  <w:sz w:val="22"/>
                  <w:szCs w:val="22"/>
                </w:rPr>
                <w:t>pgresearch@uwtsd.ac.uk</w:t>
              </w:r>
            </w:hyperlink>
            <w:r>
              <w:rPr>
                <w:rFonts w:cs="Arial"/>
                <w:b/>
                <w:bCs/>
                <w:sz w:val="22"/>
                <w:szCs w:val="22"/>
              </w:rPr>
              <w:t xml:space="preserve">. </w:t>
            </w:r>
          </w:p>
        </w:tc>
      </w:tr>
    </w:tbl>
    <w:p w14:paraId="6BBADBBC" w14:textId="77777777" w:rsidR="00541B6A" w:rsidRDefault="00541B6A">
      <w:pPr>
        <w:rPr>
          <w:rFonts w:cs="Arial"/>
          <w:b/>
          <w:sz w:val="22"/>
          <w:szCs w:val="22"/>
        </w:rPr>
      </w:pPr>
    </w:p>
    <w:p w14:paraId="7A8CBD5E" w14:textId="77777777" w:rsidR="00541B6A" w:rsidRDefault="00702F4F">
      <w:pPr>
        <w:spacing w:before="240"/>
        <w:rPr>
          <w:rFonts w:cs="Arial"/>
          <w:b/>
          <w:sz w:val="22"/>
          <w:szCs w:val="22"/>
        </w:rPr>
      </w:pPr>
      <w:r>
        <w:rPr>
          <w:rFonts w:cs="Arial"/>
          <w:b/>
          <w:sz w:val="22"/>
          <w:szCs w:val="22"/>
        </w:rPr>
        <w:t xml:space="preserve">Student Details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5"/>
        <w:gridCol w:w="2056"/>
        <w:gridCol w:w="2835"/>
        <w:gridCol w:w="2835"/>
      </w:tblGrid>
      <w:tr w:rsidR="00541B6A" w14:paraId="10A55451" w14:textId="77777777">
        <w:tc>
          <w:tcPr>
            <w:tcW w:w="4111" w:type="dxa"/>
            <w:gridSpan w:val="2"/>
            <w:shd w:val="clear" w:color="auto" w:fill="F2F2F2" w:themeFill="background1" w:themeFillShade="F2"/>
          </w:tcPr>
          <w:p w14:paraId="0449CBF1" w14:textId="77777777" w:rsidR="00541B6A" w:rsidRDefault="00702F4F">
            <w:pPr>
              <w:tabs>
                <w:tab w:val="center" w:pos="2202"/>
              </w:tabs>
              <w:rPr>
                <w:rFonts w:cs="Arial"/>
                <w:sz w:val="22"/>
                <w:szCs w:val="22"/>
              </w:rPr>
            </w:pPr>
            <w:r>
              <w:rPr>
                <w:rFonts w:cs="Arial"/>
                <w:sz w:val="22"/>
                <w:szCs w:val="22"/>
              </w:rPr>
              <w:t>Student Family / Surname:</w:t>
            </w:r>
          </w:p>
          <w:p w14:paraId="1E219BB8" w14:textId="77777777" w:rsidR="00541B6A" w:rsidRDefault="00541B6A">
            <w:pPr>
              <w:rPr>
                <w:rFonts w:cs="Arial"/>
                <w:sz w:val="22"/>
                <w:szCs w:val="22"/>
              </w:rPr>
            </w:pPr>
          </w:p>
        </w:tc>
        <w:tc>
          <w:tcPr>
            <w:tcW w:w="5670" w:type="dxa"/>
            <w:gridSpan w:val="2"/>
            <w:shd w:val="clear" w:color="auto" w:fill="auto"/>
          </w:tcPr>
          <w:p w14:paraId="0A5F9A0B" w14:textId="5EC3F332" w:rsidR="00541B6A" w:rsidRDefault="00541B6A">
            <w:pPr>
              <w:rPr>
                <w:rFonts w:eastAsia="SimSun" w:cs="Arial"/>
                <w:sz w:val="22"/>
                <w:szCs w:val="22"/>
                <w:lang w:val="en-US" w:eastAsia="zh-CN"/>
              </w:rPr>
            </w:pPr>
          </w:p>
        </w:tc>
      </w:tr>
      <w:tr w:rsidR="00541B6A" w14:paraId="4A67E12D" w14:textId="77777777">
        <w:tc>
          <w:tcPr>
            <w:tcW w:w="4111" w:type="dxa"/>
            <w:gridSpan w:val="2"/>
            <w:shd w:val="clear" w:color="auto" w:fill="F2F2F2" w:themeFill="background1" w:themeFillShade="F2"/>
          </w:tcPr>
          <w:p w14:paraId="31A0635F" w14:textId="77777777" w:rsidR="00541B6A" w:rsidRDefault="00702F4F">
            <w:pPr>
              <w:rPr>
                <w:rFonts w:cs="Arial"/>
                <w:sz w:val="22"/>
                <w:szCs w:val="22"/>
              </w:rPr>
            </w:pPr>
            <w:r>
              <w:rPr>
                <w:rFonts w:cs="Arial"/>
                <w:sz w:val="22"/>
                <w:szCs w:val="22"/>
              </w:rPr>
              <w:t>Student Given / First name:</w:t>
            </w:r>
          </w:p>
          <w:p w14:paraId="7110F2F9" w14:textId="77777777" w:rsidR="00541B6A" w:rsidRDefault="00541B6A">
            <w:pPr>
              <w:rPr>
                <w:rFonts w:cs="Arial"/>
                <w:sz w:val="22"/>
                <w:szCs w:val="22"/>
              </w:rPr>
            </w:pPr>
          </w:p>
        </w:tc>
        <w:tc>
          <w:tcPr>
            <w:tcW w:w="5670" w:type="dxa"/>
            <w:gridSpan w:val="2"/>
            <w:shd w:val="clear" w:color="auto" w:fill="auto"/>
          </w:tcPr>
          <w:p w14:paraId="324634E4" w14:textId="10DF3A15" w:rsidR="00541B6A" w:rsidRDefault="00541B6A">
            <w:pPr>
              <w:rPr>
                <w:rFonts w:eastAsia="SimSun" w:cs="Arial"/>
                <w:sz w:val="22"/>
                <w:szCs w:val="22"/>
                <w:lang w:val="en-US" w:eastAsia="zh-CN"/>
              </w:rPr>
            </w:pPr>
          </w:p>
        </w:tc>
      </w:tr>
      <w:tr w:rsidR="00541B6A" w14:paraId="09D1EE68" w14:textId="77777777">
        <w:tc>
          <w:tcPr>
            <w:tcW w:w="4111" w:type="dxa"/>
            <w:gridSpan w:val="2"/>
            <w:shd w:val="clear" w:color="auto" w:fill="F2F2F2" w:themeFill="background1" w:themeFillShade="F2"/>
          </w:tcPr>
          <w:p w14:paraId="0E3646BB" w14:textId="77777777" w:rsidR="00541B6A" w:rsidRDefault="00702F4F">
            <w:pPr>
              <w:rPr>
                <w:rFonts w:cs="Arial"/>
                <w:sz w:val="22"/>
                <w:szCs w:val="22"/>
              </w:rPr>
            </w:pPr>
            <w:r>
              <w:rPr>
                <w:rFonts w:cs="Arial"/>
                <w:sz w:val="22"/>
                <w:szCs w:val="22"/>
              </w:rPr>
              <w:t>Student Number</w:t>
            </w:r>
          </w:p>
          <w:p w14:paraId="53441D12" w14:textId="77777777" w:rsidR="00541B6A" w:rsidRDefault="00541B6A">
            <w:pPr>
              <w:tabs>
                <w:tab w:val="center" w:pos="2202"/>
              </w:tabs>
              <w:rPr>
                <w:rFonts w:cs="Arial"/>
                <w:sz w:val="22"/>
                <w:szCs w:val="22"/>
              </w:rPr>
            </w:pPr>
          </w:p>
        </w:tc>
        <w:tc>
          <w:tcPr>
            <w:tcW w:w="5670" w:type="dxa"/>
            <w:gridSpan w:val="2"/>
            <w:shd w:val="clear" w:color="auto" w:fill="auto"/>
          </w:tcPr>
          <w:p w14:paraId="771C0AA9" w14:textId="0A94FDF4" w:rsidR="00541B6A" w:rsidRDefault="00541B6A">
            <w:pPr>
              <w:rPr>
                <w:rFonts w:eastAsia="SimSun" w:cs="Arial"/>
                <w:sz w:val="22"/>
                <w:szCs w:val="22"/>
                <w:lang w:val="en-US" w:eastAsia="zh-CN"/>
              </w:rPr>
            </w:pPr>
          </w:p>
        </w:tc>
      </w:tr>
      <w:tr w:rsidR="00541B6A" w14:paraId="59E9E603" w14:textId="77777777">
        <w:trPr>
          <w:trHeight w:val="413"/>
        </w:trPr>
        <w:tc>
          <w:tcPr>
            <w:tcW w:w="4111" w:type="dxa"/>
            <w:gridSpan w:val="2"/>
            <w:shd w:val="clear" w:color="auto" w:fill="F2F2F2" w:themeFill="background1" w:themeFillShade="F2"/>
          </w:tcPr>
          <w:p w14:paraId="55B3CCBE" w14:textId="77777777" w:rsidR="00541B6A" w:rsidRDefault="00702F4F">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Institute</w:t>
            </w:r>
          </w:p>
        </w:tc>
        <w:tc>
          <w:tcPr>
            <w:tcW w:w="5670" w:type="dxa"/>
            <w:gridSpan w:val="2"/>
            <w:shd w:val="clear" w:color="auto" w:fill="auto"/>
          </w:tcPr>
          <w:p w14:paraId="6DC2815E" w14:textId="77777777" w:rsidR="00541B6A" w:rsidRDefault="00702F4F">
            <w:pPr>
              <w:rPr>
                <w:rFonts w:cs="Arial"/>
                <w:sz w:val="22"/>
                <w:szCs w:val="22"/>
              </w:rPr>
            </w:pPr>
            <w:r>
              <w:rPr>
                <w:rFonts w:cs="Arial" w:hint="eastAsia"/>
                <w:sz w:val="22"/>
                <w:szCs w:val="22"/>
                <w:lang w:eastAsia="zh-CN"/>
              </w:rPr>
              <w:t>I</w:t>
            </w:r>
            <w:r>
              <w:rPr>
                <w:rFonts w:cs="Arial"/>
                <w:sz w:val="22"/>
                <w:szCs w:val="22"/>
                <w:lang w:eastAsia="zh-CN"/>
              </w:rPr>
              <w:t>MH Swansea</w:t>
            </w:r>
          </w:p>
        </w:tc>
      </w:tr>
      <w:tr w:rsidR="00541B6A" w14:paraId="4C41F228" w14:textId="77777777">
        <w:trPr>
          <w:trHeight w:val="413"/>
        </w:trPr>
        <w:tc>
          <w:tcPr>
            <w:tcW w:w="4111" w:type="dxa"/>
            <w:gridSpan w:val="2"/>
            <w:shd w:val="clear" w:color="auto" w:fill="F2F2F2" w:themeFill="background1" w:themeFillShade="F2"/>
          </w:tcPr>
          <w:p w14:paraId="7D29EC75" w14:textId="77777777" w:rsidR="00541B6A" w:rsidRDefault="00702F4F">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Partner Institute (if appropriate)</w:t>
            </w:r>
          </w:p>
        </w:tc>
        <w:tc>
          <w:tcPr>
            <w:tcW w:w="5670" w:type="dxa"/>
            <w:gridSpan w:val="2"/>
            <w:shd w:val="clear" w:color="auto" w:fill="auto"/>
          </w:tcPr>
          <w:p w14:paraId="4C614FDF" w14:textId="77777777" w:rsidR="00541B6A" w:rsidRDefault="00541B6A">
            <w:pPr>
              <w:rPr>
                <w:rFonts w:cs="Arial"/>
                <w:sz w:val="22"/>
                <w:szCs w:val="22"/>
              </w:rPr>
            </w:pPr>
          </w:p>
        </w:tc>
      </w:tr>
      <w:tr w:rsidR="00541B6A" w14:paraId="3A42A4F0" w14:textId="77777777">
        <w:tc>
          <w:tcPr>
            <w:tcW w:w="2055" w:type="dxa"/>
            <w:shd w:val="clear" w:color="auto" w:fill="F2F2F2" w:themeFill="background1" w:themeFillShade="F2"/>
          </w:tcPr>
          <w:p w14:paraId="18F3C1B3" w14:textId="77777777" w:rsidR="00541B6A" w:rsidRDefault="00702F4F">
            <w:pPr>
              <w:rPr>
                <w:rFonts w:cs="Arial"/>
                <w:sz w:val="22"/>
                <w:szCs w:val="22"/>
              </w:rPr>
            </w:pPr>
            <w:r>
              <w:rPr>
                <w:rFonts w:cs="Arial"/>
                <w:sz w:val="22"/>
                <w:szCs w:val="22"/>
              </w:rPr>
              <w:t>Start Date</w:t>
            </w:r>
          </w:p>
        </w:tc>
        <w:tc>
          <w:tcPr>
            <w:tcW w:w="2056" w:type="dxa"/>
            <w:shd w:val="clear" w:color="auto" w:fill="FFFFFF" w:themeFill="background1"/>
          </w:tcPr>
          <w:p w14:paraId="5A5AA959" w14:textId="77777777" w:rsidR="00541B6A" w:rsidRDefault="00541B6A">
            <w:pPr>
              <w:rPr>
                <w:rFonts w:cs="Arial"/>
                <w:sz w:val="22"/>
                <w:szCs w:val="22"/>
              </w:rPr>
            </w:pPr>
          </w:p>
        </w:tc>
        <w:tc>
          <w:tcPr>
            <w:tcW w:w="2835" w:type="dxa"/>
            <w:shd w:val="clear" w:color="auto" w:fill="F2F2F2" w:themeFill="background1" w:themeFillShade="F2"/>
          </w:tcPr>
          <w:p w14:paraId="631F9372" w14:textId="77777777" w:rsidR="00541B6A" w:rsidRDefault="00541B6A">
            <w:pPr>
              <w:rPr>
                <w:rFonts w:cs="Arial"/>
                <w:sz w:val="22"/>
                <w:szCs w:val="22"/>
              </w:rPr>
            </w:pPr>
          </w:p>
        </w:tc>
        <w:tc>
          <w:tcPr>
            <w:tcW w:w="2835" w:type="dxa"/>
            <w:shd w:val="clear" w:color="auto" w:fill="auto"/>
          </w:tcPr>
          <w:p w14:paraId="4D686DA1" w14:textId="77777777" w:rsidR="00541B6A" w:rsidRDefault="00541B6A">
            <w:pPr>
              <w:rPr>
                <w:rFonts w:cs="Arial"/>
                <w:sz w:val="22"/>
                <w:szCs w:val="22"/>
              </w:rPr>
            </w:pPr>
          </w:p>
        </w:tc>
      </w:tr>
      <w:tr w:rsidR="00541B6A" w14:paraId="1E2774C9" w14:textId="77777777">
        <w:tc>
          <w:tcPr>
            <w:tcW w:w="4111" w:type="dxa"/>
            <w:gridSpan w:val="2"/>
            <w:shd w:val="clear" w:color="auto" w:fill="F2F2F2" w:themeFill="background1" w:themeFillShade="F2"/>
          </w:tcPr>
          <w:p w14:paraId="29BE50CC" w14:textId="77777777" w:rsidR="00541B6A" w:rsidRDefault="00702F4F">
            <w:pPr>
              <w:rPr>
                <w:rFonts w:cs="Arial"/>
                <w:sz w:val="22"/>
                <w:szCs w:val="22"/>
              </w:rPr>
            </w:pPr>
            <w:r>
              <w:rPr>
                <w:rFonts w:cs="Arial"/>
                <w:sz w:val="22"/>
                <w:szCs w:val="22"/>
              </w:rPr>
              <w:t>Mode of Study</w:t>
            </w:r>
          </w:p>
          <w:p w14:paraId="052E7223" w14:textId="77777777" w:rsidR="00541B6A" w:rsidRDefault="00541B6A">
            <w:pPr>
              <w:rPr>
                <w:rFonts w:cs="Arial"/>
                <w:sz w:val="22"/>
                <w:szCs w:val="22"/>
              </w:rPr>
            </w:pPr>
          </w:p>
        </w:tc>
        <w:tc>
          <w:tcPr>
            <w:tcW w:w="2835" w:type="dxa"/>
            <w:shd w:val="clear" w:color="auto" w:fill="auto"/>
          </w:tcPr>
          <w:p w14:paraId="61DD5BE4" w14:textId="77777777" w:rsidR="00541B6A" w:rsidRDefault="00702F4F">
            <w:pPr>
              <w:rPr>
                <w:rFonts w:cs="Arial"/>
                <w:sz w:val="22"/>
                <w:szCs w:val="22"/>
              </w:rPr>
            </w:pPr>
            <w:r>
              <w:rPr>
                <w:rFonts w:cs="Arial"/>
                <w:sz w:val="22"/>
                <w:szCs w:val="22"/>
              </w:rPr>
              <w:t xml:space="preserve">Part time   </w:t>
            </w:r>
            <w:sdt>
              <w:sdtPr>
                <w:rPr>
                  <w:rFonts w:cs="Arial"/>
                  <w:sz w:val="22"/>
                  <w:szCs w:val="22"/>
                </w:rPr>
                <w:id w:val="714779916"/>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2835" w:type="dxa"/>
            <w:shd w:val="clear" w:color="auto" w:fill="auto"/>
          </w:tcPr>
          <w:p w14:paraId="041B15FE" w14:textId="77777777" w:rsidR="00541B6A" w:rsidRDefault="00702F4F">
            <w:pPr>
              <w:rPr>
                <w:rFonts w:cs="Arial"/>
                <w:sz w:val="22"/>
                <w:szCs w:val="22"/>
              </w:rPr>
            </w:pPr>
            <w:r>
              <w:rPr>
                <w:rFonts w:cs="Arial"/>
                <w:sz w:val="22"/>
                <w:szCs w:val="22"/>
              </w:rPr>
              <w:t xml:space="preserve">Full time   </w:t>
            </w:r>
            <w:sdt>
              <w:sdtPr>
                <w:rPr>
                  <w:rFonts w:cs="Arial"/>
                  <w:sz w:val="22"/>
                  <w:szCs w:val="22"/>
                </w:rPr>
                <w:id w:val="324639206"/>
                <w14:checkbox>
                  <w14:checked w14:val="1"/>
                  <w14:checkedState w14:val="2612" w14:font="MS Gothic"/>
                  <w14:uncheckedState w14:val="2610" w14:font="MS Gothic"/>
                </w14:checkbox>
              </w:sdtPr>
              <w:sdtEndPr/>
              <w:sdtContent>
                <w:r>
                  <w:rPr>
                    <w:rFonts w:ascii="MS Gothic" w:eastAsia="MS Gothic" w:hAnsi="MS Gothic" w:cs="Arial"/>
                    <w:sz w:val="22"/>
                    <w:szCs w:val="22"/>
                  </w:rPr>
                  <w:t>☒</w:t>
                </w:r>
              </w:sdtContent>
            </w:sdt>
          </w:p>
        </w:tc>
      </w:tr>
    </w:tbl>
    <w:tbl>
      <w:tblPr>
        <w:tblStyle w:val="TableGrid"/>
        <w:tblW w:w="9747" w:type="dxa"/>
        <w:tblLayout w:type="fixed"/>
        <w:tblLook w:val="04A0" w:firstRow="1" w:lastRow="0" w:firstColumn="1" w:lastColumn="0" w:noHBand="0" w:noVBand="1"/>
      </w:tblPr>
      <w:tblGrid>
        <w:gridCol w:w="1623"/>
        <w:gridCol w:w="1660"/>
        <w:gridCol w:w="1648"/>
        <w:gridCol w:w="1662"/>
        <w:gridCol w:w="1629"/>
        <w:gridCol w:w="1525"/>
      </w:tblGrid>
      <w:tr w:rsidR="00541B6A" w14:paraId="4BC57AA9" w14:textId="77777777">
        <w:tc>
          <w:tcPr>
            <w:tcW w:w="1623" w:type="dxa"/>
            <w:shd w:val="clear" w:color="auto" w:fill="F2F2F2" w:themeFill="background1" w:themeFillShade="F2"/>
          </w:tcPr>
          <w:p w14:paraId="6AB80FBE" w14:textId="77777777" w:rsidR="00541B6A" w:rsidRDefault="00702F4F">
            <w:pPr>
              <w:rPr>
                <w:rFonts w:cs="Arial"/>
                <w:sz w:val="22"/>
                <w:szCs w:val="22"/>
              </w:rPr>
            </w:pPr>
            <w:r>
              <w:rPr>
                <w:rFonts w:cs="Arial"/>
                <w:sz w:val="22"/>
                <w:szCs w:val="22"/>
              </w:rPr>
              <w:t>PhD</w:t>
            </w:r>
          </w:p>
          <w:p w14:paraId="3240EC3A" w14:textId="77777777" w:rsidR="00541B6A" w:rsidRDefault="00702F4F">
            <w:pPr>
              <w:rPr>
                <w:rFonts w:cs="Arial"/>
                <w:sz w:val="22"/>
                <w:szCs w:val="22"/>
              </w:rPr>
            </w:pPr>
            <w:r>
              <w:rPr>
                <w:rFonts w:cs="Arial"/>
                <w:sz w:val="22"/>
                <w:szCs w:val="22"/>
              </w:rPr>
              <w:t>by Research</w:t>
            </w:r>
          </w:p>
        </w:tc>
        <w:tc>
          <w:tcPr>
            <w:tcW w:w="1660" w:type="dxa"/>
            <w:shd w:val="clear" w:color="auto" w:fill="F2F2F2" w:themeFill="background1" w:themeFillShade="F2"/>
          </w:tcPr>
          <w:p w14:paraId="7FB33EBD" w14:textId="77777777" w:rsidR="00541B6A" w:rsidRDefault="00702F4F">
            <w:pPr>
              <w:rPr>
                <w:rFonts w:cs="Arial"/>
                <w:sz w:val="22"/>
                <w:szCs w:val="22"/>
              </w:rPr>
            </w:pPr>
            <w:r>
              <w:rPr>
                <w:rFonts w:cs="Arial"/>
                <w:sz w:val="22"/>
                <w:szCs w:val="22"/>
              </w:rPr>
              <w:t xml:space="preserve">PhD </w:t>
            </w:r>
          </w:p>
          <w:p w14:paraId="1A7AD86A" w14:textId="77777777" w:rsidR="00541B6A" w:rsidRDefault="00702F4F">
            <w:pPr>
              <w:rPr>
                <w:rFonts w:cs="Arial"/>
                <w:sz w:val="22"/>
                <w:szCs w:val="22"/>
              </w:rPr>
            </w:pPr>
            <w:r>
              <w:rPr>
                <w:rFonts w:cs="Arial"/>
                <w:sz w:val="22"/>
                <w:szCs w:val="22"/>
              </w:rPr>
              <w:t>Practice Based</w:t>
            </w:r>
          </w:p>
        </w:tc>
        <w:tc>
          <w:tcPr>
            <w:tcW w:w="1648" w:type="dxa"/>
            <w:shd w:val="clear" w:color="auto" w:fill="F2F2F2" w:themeFill="background1" w:themeFillShade="F2"/>
          </w:tcPr>
          <w:p w14:paraId="75CD28CE" w14:textId="77777777" w:rsidR="00541B6A" w:rsidRDefault="00702F4F">
            <w:pPr>
              <w:rPr>
                <w:rFonts w:cs="Arial"/>
                <w:sz w:val="22"/>
                <w:szCs w:val="22"/>
              </w:rPr>
            </w:pPr>
            <w:r>
              <w:rPr>
                <w:rFonts w:cs="Arial"/>
                <w:sz w:val="22"/>
                <w:szCs w:val="22"/>
              </w:rPr>
              <w:t xml:space="preserve">PhD by </w:t>
            </w:r>
          </w:p>
          <w:p w14:paraId="5AA35FEB" w14:textId="77777777" w:rsidR="00541B6A" w:rsidRDefault="00702F4F">
            <w:pPr>
              <w:rPr>
                <w:rFonts w:cs="Arial"/>
                <w:sz w:val="22"/>
                <w:szCs w:val="22"/>
              </w:rPr>
            </w:pPr>
            <w:r>
              <w:rPr>
                <w:rFonts w:cs="Arial"/>
                <w:sz w:val="22"/>
                <w:szCs w:val="22"/>
              </w:rPr>
              <w:t>Published Works</w:t>
            </w:r>
          </w:p>
        </w:tc>
        <w:tc>
          <w:tcPr>
            <w:tcW w:w="1662" w:type="dxa"/>
            <w:shd w:val="clear" w:color="auto" w:fill="F2F2F2" w:themeFill="background1" w:themeFillShade="F2"/>
          </w:tcPr>
          <w:p w14:paraId="48A3A897" w14:textId="77777777" w:rsidR="00541B6A" w:rsidRDefault="00702F4F">
            <w:pPr>
              <w:rPr>
                <w:rFonts w:cs="Arial"/>
                <w:sz w:val="22"/>
                <w:szCs w:val="22"/>
              </w:rPr>
            </w:pPr>
            <w:r>
              <w:rPr>
                <w:rFonts w:cs="Arial"/>
                <w:sz w:val="22"/>
                <w:szCs w:val="22"/>
              </w:rPr>
              <w:t>Professional Doctorate</w:t>
            </w:r>
          </w:p>
          <w:p w14:paraId="49878A1D" w14:textId="77777777" w:rsidR="00541B6A" w:rsidRDefault="00702F4F">
            <w:pPr>
              <w:rPr>
                <w:rFonts w:cs="Arial"/>
                <w:sz w:val="22"/>
                <w:szCs w:val="22"/>
              </w:rPr>
            </w:pPr>
            <w:r>
              <w:rPr>
                <w:rFonts w:cs="Arial"/>
                <w:szCs w:val="22"/>
              </w:rPr>
              <w:t xml:space="preserve">(including DBA, </w:t>
            </w:r>
            <w:proofErr w:type="spellStart"/>
            <w:r>
              <w:rPr>
                <w:rFonts w:cs="Arial"/>
                <w:szCs w:val="22"/>
              </w:rPr>
              <w:t>DProf</w:t>
            </w:r>
            <w:proofErr w:type="spellEnd"/>
            <w:r>
              <w:rPr>
                <w:rFonts w:cs="Arial"/>
                <w:szCs w:val="22"/>
              </w:rPr>
              <w:t>, Ed D)</w:t>
            </w:r>
          </w:p>
        </w:tc>
        <w:tc>
          <w:tcPr>
            <w:tcW w:w="1629" w:type="dxa"/>
            <w:shd w:val="clear" w:color="auto" w:fill="F2F2F2" w:themeFill="background1" w:themeFillShade="F2"/>
          </w:tcPr>
          <w:p w14:paraId="6FCA4B88" w14:textId="77777777" w:rsidR="00541B6A" w:rsidRDefault="00702F4F">
            <w:pPr>
              <w:rPr>
                <w:rFonts w:cs="Arial"/>
                <w:sz w:val="22"/>
                <w:szCs w:val="22"/>
              </w:rPr>
            </w:pPr>
            <w:r>
              <w:rPr>
                <w:rFonts w:cs="Arial"/>
                <w:sz w:val="22"/>
                <w:szCs w:val="22"/>
              </w:rPr>
              <w:t>MPhil by Research</w:t>
            </w:r>
          </w:p>
          <w:p w14:paraId="3EC087CF" w14:textId="77777777" w:rsidR="00541B6A" w:rsidRDefault="00541B6A">
            <w:pPr>
              <w:rPr>
                <w:rFonts w:cs="Arial"/>
                <w:sz w:val="22"/>
                <w:szCs w:val="22"/>
              </w:rPr>
            </w:pPr>
          </w:p>
        </w:tc>
        <w:tc>
          <w:tcPr>
            <w:tcW w:w="1525" w:type="dxa"/>
            <w:shd w:val="clear" w:color="auto" w:fill="F2F2F2" w:themeFill="background1" w:themeFillShade="F2"/>
          </w:tcPr>
          <w:p w14:paraId="7B26DD26" w14:textId="77777777" w:rsidR="00541B6A" w:rsidRDefault="00702F4F">
            <w:pPr>
              <w:rPr>
                <w:rFonts w:cs="Arial"/>
                <w:sz w:val="22"/>
                <w:szCs w:val="22"/>
              </w:rPr>
            </w:pPr>
            <w:r>
              <w:rPr>
                <w:rFonts w:cs="Arial"/>
                <w:sz w:val="22"/>
                <w:szCs w:val="22"/>
              </w:rPr>
              <w:t>MPhil</w:t>
            </w:r>
          </w:p>
          <w:p w14:paraId="1CFEE98D" w14:textId="77777777" w:rsidR="00541B6A" w:rsidRDefault="00702F4F">
            <w:pPr>
              <w:rPr>
                <w:rFonts w:cs="Arial"/>
                <w:sz w:val="22"/>
                <w:szCs w:val="22"/>
              </w:rPr>
            </w:pPr>
            <w:r>
              <w:rPr>
                <w:rFonts w:cs="Arial"/>
                <w:sz w:val="22"/>
                <w:szCs w:val="22"/>
              </w:rPr>
              <w:t xml:space="preserve">Practice Based </w:t>
            </w:r>
          </w:p>
          <w:p w14:paraId="7A528BAE" w14:textId="77777777" w:rsidR="00541B6A" w:rsidRDefault="00541B6A">
            <w:pPr>
              <w:rPr>
                <w:rFonts w:cs="Arial"/>
                <w:sz w:val="22"/>
                <w:szCs w:val="22"/>
              </w:rPr>
            </w:pPr>
          </w:p>
        </w:tc>
      </w:tr>
      <w:tr w:rsidR="00541B6A" w14:paraId="08337235" w14:textId="77777777">
        <w:tc>
          <w:tcPr>
            <w:tcW w:w="1623" w:type="dxa"/>
          </w:tcPr>
          <w:sdt>
            <w:sdtPr>
              <w:rPr>
                <w:rFonts w:cs="Arial"/>
                <w:sz w:val="22"/>
                <w:szCs w:val="22"/>
              </w:rPr>
              <w:id w:val="-614514286"/>
              <w14:checkbox>
                <w14:checked w14:val="0"/>
                <w14:checkedState w14:val="2612" w14:font="MS Gothic"/>
                <w14:uncheckedState w14:val="2610" w14:font="MS Gothic"/>
              </w14:checkbox>
            </w:sdtPr>
            <w:sdtEndPr/>
            <w:sdtContent>
              <w:p w14:paraId="71FF8753" w14:textId="77777777" w:rsidR="00541B6A" w:rsidRDefault="00702F4F">
                <w:pPr>
                  <w:jc w:val="center"/>
                  <w:rPr>
                    <w:rFonts w:cs="Arial"/>
                    <w:sz w:val="22"/>
                    <w:szCs w:val="22"/>
                  </w:rPr>
                </w:pPr>
                <w:r>
                  <w:rPr>
                    <w:rFonts w:ascii="MS Gothic" w:eastAsia="MS Gothic" w:hAnsi="MS Gothic" w:cs="Arial"/>
                    <w:sz w:val="22"/>
                    <w:szCs w:val="22"/>
                  </w:rPr>
                  <w:t>☐</w:t>
                </w:r>
              </w:p>
            </w:sdtContent>
          </w:sdt>
          <w:p w14:paraId="72F76480" w14:textId="77777777" w:rsidR="00541B6A" w:rsidRDefault="00541B6A">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EndPr/>
          <w:sdtContent>
            <w:tc>
              <w:tcPr>
                <w:tcW w:w="1660" w:type="dxa"/>
              </w:tcPr>
              <w:p w14:paraId="17D76B54" w14:textId="77777777" w:rsidR="00541B6A" w:rsidRDefault="00702F4F">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sdtContent>
            <w:tc>
              <w:tcPr>
                <w:tcW w:w="1648" w:type="dxa"/>
              </w:tcPr>
              <w:p w14:paraId="3E3D2D7D" w14:textId="77777777" w:rsidR="00541B6A" w:rsidRDefault="00702F4F">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165786334"/>
            <w14:checkbox>
              <w14:checked w14:val="1"/>
              <w14:checkedState w14:val="2612" w14:font="MS Gothic"/>
              <w14:uncheckedState w14:val="2610" w14:font="MS Gothic"/>
            </w14:checkbox>
          </w:sdtPr>
          <w:sdtEndPr/>
          <w:sdtContent>
            <w:tc>
              <w:tcPr>
                <w:tcW w:w="1662" w:type="dxa"/>
              </w:tcPr>
              <w:p w14:paraId="4C06E22F" w14:textId="77777777" w:rsidR="00541B6A" w:rsidRDefault="00702F4F">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sdtContent>
            <w:tc>
              <w:tcPr>
                <w:tcW w:w="1629" w:type="dxa"/>
              </w:tcPr>
              <w:p w14:paraId="3F2013BE" w14:textId="77777777" w:rsidR="00541B6A" w:rsidRDefault="00702F4F">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sdtContent>
            <w:tc>
              <w:tcPr>
                <w:tcW w:w="1525" w:type="dxa"/>
              </w:tcPr>
              <w:p w14:paraId="4CA244BA" w14:textId="77777777" w:rsidR="00541B6A" w:rsidRDefault="00702F4F">
                <w:pPr>
                  <w:jc w:val="center"/>
                  <w:rPr>
                    <w:rFonts w:cs="Arial"/>
                    <w:sz w:val="22"/>
                    <w:szCs w:val="22"/>
                  </w:rPr>
                </w:pPr>
                <w:r>
                  <w:rPr>
                    <w:rFonts w:ascii="MS Gothic" w:eastAsia="MS Gothic" w:hAnsi="MS Gothic" w:cs="Arial"/>
                    <w:sz w:val="22"/>
                    <w:szCs w:val="22"/>
                  </w:rPr>
                  <w:t>☐</w:t>
                </w:r>
              </w:p>
            </w:tc>
          </w:sdtContent>
        </w:sdt>
      </w:tr>
      <w:tr w:rsidR="00541B6A" w14:paraId="2E56C919" w14:textId="77777777">
        <w:tc>
          <w:tcPr>
            <w:tcW w:w="1623" w:type="dxa"/>
            <w:shd w:val="clear" w:color="auto" w:fill="D9D9D9" w:themeFill="background1" w:themeFillShade="D9"/>
          </w:tcPr>
          <w:p w14:paraId="38B11E8A" w14:textId="77777777" w:rsidR="00541B6A" w:rsidRDefault="00702F4F">
            <w:pPr>
              <w:jc w:val="center"/>
              <w:rPr>
                <w:rFonts w:cs="Arial"/>
                <w:sz w:val="22"/>
                <w:szCs w:val="22"/>
              </w:rPr>
            </w:pPr>
            <w:r>
              <w:rPr>
                <w:rFonts w:cs="Arial"/>
                <w:sz w:val="22"/>
                <w:szCs w:val="22"/>
              </w:rPr>
              <w:t>MA by Research</w:t>
            </w:r>
          </w:p>
        </w:tc>
        <w:tc>
          <w:tcPr>
            <w:tcW w:w="1660" w:type="dxa"/>
            <w:shd w:val="clear" w:color="auto" w:fill="D9D9D9" w:themeFill="background1" w:themeFillShade="D9"/>
          </w:tcPr>
          <w:p w14:paraId="7DED7250" w14:textId="77777777" w:rsidR="00541B6A" w:rsidRDefault="00702F4F">
            <w:pPr>
              <w:jc w:val="center"/>
              <w:rPr>
                <w:rFonts w:cs="Arial"/>
                <w:sz w:val="22"/>
                <w:szCs w:val="22"/>
              </w:rPr>
            </w:pPr>
            <w:r>
              <w:rPr>
                <w:rFonts w:cs="Arial"/>
                <w:sz w:val="22"/>
                <w:szCs w:val="22"/>
              </w:rPr>
              <w:t>MSc by Research</w:t>
            </w:r>
          </w:p>
        </w:tc>
        <w:tc>
          <w:tcPr>
            <w:tcW w:w="1648" w:type="dxa"/>
            <w:shd w:val="clear" w:color="auto" w:fill="D9D9D9" w:themeFill="background1" w:themeFillShade="D9"/>
          </w:tcPr>
          <w:p w14:paraId="194773A1" w14:textId="77777777" w:rsidR="00541B6A" w:rsidRDefault="00702F4F">
            <w:pPr>
              <w:jc w:val="center"/>
              <w:rPr>
                <w:rFonts w:cs="Arial"/>
                <w:sz w:val="22"/>
                <w:szCs w:val="22"/>
              </w:rPr>
            </w:pPr>
            <w:proofErr w:type="spellStart"/>
            <w:r>
              <w:rPr>
                <w:rFonts w:cs="Arial"/>
                <w:sz w:val="22"/>
                <w:szCs w:val="22"/>
              </w:rPr>
              <w:t>MRes</w:t>
            </w:r>
            <w:proofErr w:type="spellEnd"/>
          </w:p>
        </w:tc>
        <w:tc>
          <w:tcPr>
            <w:tcW w:w="1662" w:type="dxa"/>
            <w:shd w:val="clear" w:color="auto" w:fill="D9D9D9" w:themeFill="background1" w:themeFillShade="D9"/>
          </w:tcPr>
          <w:p w14:paraId="652BB809" w14:textId="77777777" w:rsidR="00541B6A" w:rsidRDefault="00541B6A">
            <w:pPr>
              <w:jc w:val="center"/>
              <w:rPr>
                <w:rFonts w:cs="Arial"/>
                <w:sz w:val="22"/>
                <w:szCs w:val="22"/>
              </w:rPr>
            </w:pPr>
          </w:p>
        </w:tc>
        <w:tc>
          <w:tcPr>
            <w:tcW w:w="1629" w:type="dxa"/>
            <w:shd w:val="clear" w:color="auto" w:fill="D9D9D9" w:themeFill="background1" w:themeFillShade="D9"/>
          </w:tcPr>
          <w:p w14:paraId="59401539" w14:textId="77777777" w:rsidR="00541B6A" w:rsidRDefault="00541B6A">
            <w:pPr>
              <w:jc w:val="center"/>
              <w:rPr>
                <w:rFonts w:cs="Arial"/>
                <w:sz w:val="22"/>
                <w:szCs w:val="22"/>
              </w:rPr>
            </w:pPr>
          </w:p>
        </w:tc>
        <w:tc>
          <w:tcPr>
            <w:tcW w:w="1525" w:type="dxa"/>
            <w:shd w:val="clear" w:color="auto" w:fill="D9D9D9" w:themeFill="background1" w:themeFillShade="D9"/>
          </w:tcPr>
          <w:p w14:paraId="0A7B1163" w14:textId="77777777" w:rsidR="00541B6A" w:rsidRDefault="00541B6A">
            <w:pPr>
              <w:jc w:val="center"/>
              <w:rPr>
                <w:rFonts w:cs="Arial"/>
                <w:sz w:val="22"/>
                <w:szCs w:val="22"/>
              </w:rPr>
            </w:pPr>
          </w:p>
        </w:tc>
      </w:tr>
      <w:tr w:rsidR="00541B6A" w14:paraId="686AF4B6" w14:textId="77777777">
        <w:tc>
          <w:tcPr>
            <w:tcW w:w="1623" w:type="dxa"/>
          </w:tcPr>
          <w:sdt>
            <w:sdtPr>
              <w:rPr>
                <w:rFonts w:cs="Arial"/>
                <w:sz w:val="22"/>
                <w:szCs w:val="22"/>
              </w:rPr>
              <w:id w:val="-159323972"/>
              <w14:checkbox>
                <w14:checked w14:val="0"/>
                <w14:checkedState w14:val="2612" w14:font="MS Gothic"/>
                <w14:uncheckedState w14:val="2610" w14:font="MS Gothic"/>
              </w14:checkbox>
            </w:sdtPr>
            <w:sdtEndPr/>
            <w:sdtContent>
              <w:p w14:paraId="526D9E85" w14:textId="77777777" w:rsidR="00541B6A" w:rsidRDefault="00702F4F">
                <w:pPr>
                  <w:jc w:val="center"/>
                  <w:rPr>
                    <w:rFonts w:cs="Arial"/>
                    <w:sz w:val="22"/>
                    <w:szCs w:val="22"/>
                  </w:rPr>
                </w:pPr>
                <w:r>
                  <w:rPr>
                    <w:rFonts w:ascii="MS Gothic" w:eastAsia="MS Gothic" w:hAnsi="MS Gothic" w:cs="Arial"/>
                    <w:sz w:val="22"/>
                    <w:szCs w:val="22"/>
                  </w:rPr>
                  <w:t>☐</w:t>
                </w:r>
              </w:p>
            </w:sdtContent>
          </w:sdt>
          <w:p w14:paraId="5267375F" w14:textId="77777777" w:rsidR="00541B6A" w:rsidRDefault="00541B6A">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sdtContent>
              <w:p w14:paraId="5CC4164B" w14:textId="77777777" w:rsidR="00541B6A" w:rsidRDefault="00702F4F">
                <w:pPr>
                  <w:jc w:val="center"/>
                  <w:rPr>
                    <w:rFonts w:cs="Arial"/>
                    <w:sz w:val="22"/>
                    <w:szCs w:val="22"/>
                  </w:rPr>
                </w:pPr>
                <w:r>
                  <w:rPr>
                    <w:rFonts w:ascii="MS Gothic" w:eastAsia="MS Gothic" w:hAnsi="MS Gothic" w:cs="Arial"/>
                    <w:sz w:val="22"/>
                    <w:szCs w:val="22"/>
                  </w:rPr>
                  <w:t>☐</w:t>
                </w:r>
              </w:p>
            </w:sdtContent>
          </w:sdt>
          <w:p w14:paraId="699832D4" w14:textId="77777777" w:rsidR="00541B6A" w:rsidRDefault="00541B6A">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sdtContent>
              <w:p w14:paraId="0EE2EB53" w14:textId="77777777" w:rsidR="00541B6A" w:rsidRDefault="00702F4F">
                <w:pPr>
                  <w:jc w:val="center"/>
                  <w:rPr>
                    <w:rFonts w:cs="Arial"/>
                    <w:sz w:val="22"/>
                    <w:szCs w:val="22"/>
                  </w:rPr>
                </w:pPr>
                <w:r>
                  <w:rPr>
                    <w:rFonts w:ascii="MS Gothic" w:eastAsia="MS Gothic" w:hAnsi="MS Gothic" w:cs="Arial"/>
                    <w:sz w:val="22"/>
                    <w:szCs w:val="22"/>
                  </w:rPr>
                  <w:t>☐</w:t>
                </w:r>
              </w:p>
            </w:sdtContent>
          </w:sdt>
          <w:p w14:paraId="326A8FBE" w14:textId="77777777" w:rsidR="00541B6A" w:rsidRDefault="00541B6A">
            <w:pPr>
              <w:jc w:val="center"/>
              <w:rPr>
                <w:rFonts w:cs="Arial"/>
                <w:sz w:val="22"/>
                <w:szCs w:val="22"/>
              </w:rPr>
            </w:pPr>
          </w:p>
        </w:tc>
        <w:tc>
          <w:tcPr>
            <w:tcW w:w="1662" w:type="dxa"/>
          </w:tcPr>
          <w:p w14:paraId="3D193587" w14:textId="77777777" w:rsidR="00541B6A" w:rsidRDefault="00541B6A">
            <w:pPr>
              <w:jc w:val="center"/>
              <w:rPr>
                <w:rFonts w:cs="Arial"/>
                <w:sz w:val="22"/>
                <w:szCs w:val="22"/>
              </w:rPr>
            </w:pPr>
          </w:p>
        </w:tc>
        <w:tc>
          <w:tcPr>
            <w:tcW w:w="1629" w:type="dxa"/>
          </w:tcPr>
          <w:p w14:paraId="0B275D27" w14:textId="77777777" w:rsidR="00541B6A" w:rsidRDefault="00541B6A">
            <w:pPr>
              <w:jc w:val="center"/>
              <w:rPr>
                <w:rFonts w:cs="Arial"/>
                <w:sz w:val="22"/>
                <w:szCs w:val="22"/>
              </w:rPr>
            </w:pPr>
          </w:p>
        </w:tc>
        <w:tc>
          <w:tcPr>
            <w:tcW w:w="1525" w:type="dxa"/>
          </w:tcPr>
          <w:p w14:paraId="002D643C" w14:textId="77777777" w:rsidR="00541B6A" w:rsidRDefault="00541B6A">
            <w:pPr>
              <w:jc w:val="center"/>
              <w:rPr>
                <w:rFonts w:cs="Arial"/>
                <w:sz w:val="22"/>
                <w:szCs w:val="22"/>
              </w:rPr>
            </w:pPr>
          </w:p>
        </w:tc>
      </w:tr>
    </w:tbl>
    <w:p w14:paraId="6A3ADCAF" w14:textId="77777777" w:rsidR="00541B6A" w:rsidRDefault="00541B6A">
      <w:pPr>
        <w:ind w:left="180" w:hanging="270"/>
        <w:rPr>
          <w:rFonts w:cs="Arial"/>
          <w:b/>
          <w:sz w:val="22"/>
          <w:szCs w:val="22"/>
        </w:rPr>
      </w:pPr>
    </w:p>
    <w:p w14:paraId="6F310362" w14:textId="77777777" w:rsidR="00541B6A" w:rsidRDefault="00541B6A">
      <w:pPr>
        <w:rPr>
          <w:rFonts w:cs="Arial"/>
          <w:sz w:val="22"/>
          <w:szCs w:val="22"/>
        </w:rPr>
      </w:pPr>
    </w:p>
    <w:p w14:paraId="465BB053" w14:textId="77777777" w:rsidR="00541B6A" w:rsidRDefault="00702F4F">
      <w:pPr>
        <w:ind w:left="-142"/>
        <w:rPr>
          <w:rFonts w:cs="Arial"/>
          <w:bCs/>
          <w:sz w:val="22"/>
          <w:szCs w:val="22"/>
        </w:rPr>
      </w:pPr>
      <w:r>
        <w:rPr>
          <w:rFonts w:cs="Arial"/>
          <w:b/>
          <w:bCs/>
          <w:sz w:val="22"/>
          <w:szCs w:val="22"/>
        </w:rPr>
        <w:t>Proposed Research</w:t>
      </w:r>
    </w:p>
    <w:p w14:paraId="46884561" w14:textId="77777777" w:rsidR="00541B6A" w:rsidRDefault="00541B6A">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541B6A" w14:paraId="7DEB7AAE" w14:textId="77777777">
        <w:trPr>
          <w:trHeight w:val="397"/>
        </w:trPr>
        <w:tc>
          <w:tcPr>
            <w:tcW w:w="9781" w:type="dxa"/>
            <w:shd w:val="clear" w:color="auto" w:fill="F2F2F2" w:themeFill="background1" w:themeFillShade="F2"/>
            <w:vAlign w:val="center"/>
          </w:tcPr>
          <w:p w14:paraId="74DA8349" w14:textId="77777777" w:rsidR="00541B6A" w:rsidRDefault="00702F4F">
            <w:pPr>
              <w:rPr>
                <w:rFonts w:cs="Arial"/>
                <w:sz w:val="22"/>
                <w:szCs w:val="22"/>
              </w:rPr>
            </w:pPr>
            <w:r>
              <w:rPr>
                <w:rFonts w:cs="Arial"/>
                <w:sz w:val="22"/>
                <w:szCs w:val="22"/>
              </w:rPr>
              <w:t xml:space="preserve">Current Proposed Title (20 / 30 </w:t>
            </w:r>
            <w:r>
              <w:rPr>
                <w:rFonts w:cs="Arial"/>
                <w:sz w:val="22"/>
                <w:szCs w:val="22"/>
              </w:rPr>
              <w:t>words):</w:t>
            </w:r>
          </w:p>
        </w:tc>
      </w:tr>
      <w:tr w:rsidR="00541B6A" w14:paraId="0323991A" w14:textId="77777777">
        <w:trPr>
          <w:trHeight w:val="487"/>
        </w:trPr>
        <w:tc>
          <w:tcPr>
            <w:tcW w:w="9781" w:type="dxa"/>
            <w:vAlign w:val="center"/>
          </w:tcPr>
          <w:p w14:paraId="4DCE6C75" w14:textId="77777777" w:rsidR="00541B6A" w:rsidRDefault="00702F4F">
            <w:pPr>
              <w:rPr>
                <w:rFonts w:eastAsiaTheme="minorEastAsia" w:cs="Arial"/>
                <w:sz w:val="22"/>
                <w:szCs w:val="22"/>
                <w:lang w:val="en-US" w:eastAsia="zh-CN"/>
              </w:rPr>
            </w:pPr>
            <w:r>
              <w:rPr>
                <w:rFonts w:eastAsiaTheme="minorEastAsia" w:cs="Arial" w:hint="eastAsia"/>
                <w:sz w:val="22"/>
                <w:szCs w:val="22"/>
                <w:lang w:val="en-US" w:eastAsia="zh-CN"/>
              </w:rPr>
              <w:t>The study on organizational sensemaking through the sustainable management of Fujian opera troupes based on the reconstruction of urban-rural culture in China</w:t>
            </w:r>
          </w:p>
        </w:tc>
      </w:tr>
      <w:tr w:rsidR="00541B6A" w14:paraId="6F9534FF" w14:textId="77777777">
        <w:trPr>
          <w:trHeight w:val="397"/>
        </w:trPr>
        <w:tc>
          <w:tcPr>
            <w:tcW w:w="9781" w:type="dxa"/>
            <w:shd w:val="clear" w:color="auto" w:fill="F2F2F2" w:themeFill="background1" w:themeFillShade="F2"/>
            <w:vAlign w:val="center"/>
          </w:tcPr>
          <w:p w14:paraId="07B530B2" w14:textId="77777777" w:rsidR="00541B6A" w:rsidRDefault="00702F4F">
            <w:pPr>
              <w:rPr>
                <w:rFonts w:cs="Arial"/>
                <w:sz w:val="22"/>
                <w:szCs w:val="22"/>
              </w:rPr>
            </w:pPr>
            <w:r>
              <w:rPr>
                <w:rFonts w:cs="Arial"/>
                <w:sz w:val="22"/>
                <w:szCs w:val="22"/>
              </w:rPr>
              <w:t xml:space="preserve"> </w:t>
            </w:r>
          </w:p>
          <w:p w14:paraId="4D19E39F" w14:textId="77777777" w:rsidR="00541B6A" w:rsidRDefault="00702F4F">
            <w:pPr>
              <w:rPr>
                <w:rFonts w:cs="Arial"/>
                <w:sz w:val="22"/>
                <w:szCs w:val="22"/>
              </w:rPr>
            </w:pPr>
            <w:r>
              <w:rPr>
                <w:rFonts w:cs="Arial"/>
                <w:sz w:val="22"/>
                <w:szCs w:val="22"/>
              </w:rPr>
              <w:t>Background &amp; Context (approx. 500 words)</w:t>
            </w:r>
          </w:p>
          <w:p w14:paraId="753E3C1E" w14:textId="77777777" w:rsidR="00541B6A" w:rsidRDefault="00541B6A">
            <w:pPr>
              <w:rPr>
                <w:rFonts w:cs="Arial"/>
                <w:sz w:val="22"/>
                <w:szCs w:val="22"/>
              </w:rPr>
            </w:pPr>
          </w:p>
        </w:tc>
      </w:tr>
      <w:tr w:rsidR="00541B6A" w14:paraId="5B7ACF59" w14:textId="77777777">
        <w:trPr>
          <w:trHeight w:val="397"/>
        </w:trPr>
        <w:tc>
          <w:tcPr>
            <w:tcW w:w="9781" w:type="dxa"/>
            <w:vAlign w:val="center"/>
          </w:tcPr>
          <w:p w14:paraId="4A1EFC45" w14:textId="77777777" w:rsidR="00541B6A" w:rsidRDefault="00541B6A">
            <w:pPr>
              <w:autoSpaceDE w:val="0"/>
              <w:autoSpaceDN w:val="0"/>
              <w:adjustRightInd w:val="0"/>
              <w:contextualSpacing/>
              <w:rPr>
                <w:rFonts w:cs="Arial"/>
                <w:sz w:val="22"/>
                <w:szCs w:val="22"/>
              </w:rPr>
            </w:pPr>
          </w:p>
          <w:p w14:paraId="21C0B09F" w14:textId="77777777" w:rsidR="00541B6A" w:rsidRDefault="00702F4F">
            <w:pPr>
              <w:autoSpaceDE w:val="0"/>
              <w:autoSpaceDN w:val="0"/>
              <w:adjustRightInd w:val="0"/>
              <w:spacing w:line="360" w:lineRule="auto"/>
              <w:contextualSpacing/>
              <w:rPr>
                <w:rFonts w:eastAsiaTheme="minorEastAsia" w:cs="Arial"/>
                <w:b/>
                <w:bCs/>
                <w:i/>
                <w:iCs/>
                <w:sz w:val="22"/>
                <w:szCs w:val="22"/>
                <w:lang w:eastAsia="zh-CN"/>
              </w:rPr>
            </w:pPr>
            <w:r>
              <w:rPr>
                <w:rFonts w:eastAsiaTheme="minorEastAsia" w:cs="Arial"/>
                <w:b/>
                <w:bCs/>
                <w:i/>
                <w:iCs/>
                <w:sz w:val="22"/>
                <w:szCs w:val="22"/>
                <w:lang w:eastAsia="zh-CN"/>
              </w:rPr>
              <w:t xml:space="preserve">Chinese cultural strategy </w:t>
            </w:r>
          </w:p>
          <w:p w14:paraId="78447729" w14:textId="77777777" w:rsidR="00541B6A" w:rsidRDefault="00702F4F">
            <w:pPr>
              <w:autoSpaceDE w:val="0"/>
              <w:autoSpaceDN w:val="0"/>
              <w:adjustRightInd w:val="0"/>
              <w:spacing w:line="360" w:lineRule="auto"/>
              <w:contextualSpacing/>
              <w:rPr>
                <w:rFonts w:eastAsiaTheme="minorEastAsia" w:cs="Arial"/>
                <w:sz w:val="22"/>
                <w:szCs w:val="22"/>
                <w:lang w:eastAsia="zh-CN"/>
              </w:rPr>
            </w:pPr>
            <w:r>
              <w:rPr>
                <w:rFonts w:eastAsiaTheme="minorEastAsia" w:cs="Arial"/>
                <w:sz w:val="22"/>
                <w:szCs w:val="22"/>
                <w:lang w:eastAsia="zh-CN"/>
              </w:rPr>
              <w:t>Since the reform and open policy in China, culture industries have occupied an increasing proportion in economic growth (</w:t>
            </w:r>
            <w:hyperlink r:id="rId13" w:history="1">
              <w:r>
                <w:rPr>
                  <w:rFonts w:eastAsiaTheme="minorEastAsia" w:cs="Arial"/>
                  <w:sz w:val="22"/>
                  <w:szCs w:val="22"/>
                  <w:lang w:eastAsia="zh-CN"/>
                </w:rPr>
                <w:t>National</w:t>
              </w:r>
            </w:hyperlink>
            <w:r>
              <w:rPr>
                <w:rFonts w:eastAsiaTheme="minorEastAsia" w:cs="Arial"/>
                <w:sz w:val="22"/>
                <w:szCs w:val="22"/>
                <w:lang w:eastAsia="zh-CN"/>
              </w:rPr>
              <w:t> </w:t>
            </w:r>
            <w:hyperlink r:id="rId14" w:history="1">
              <w:r>
                <w:rPr>
                  <w:rFonts w:eastAsiaTheme="minorEastAsia" w:cs="Arial"/>
                  <w:sz w:val="22"/>
                  <w:szCs w:val="22"/>
                  <w:lang w:eastAsia="zh-CN"/>
                </w:rPr>
                <w:t>Bureau</w:t>
              </w:r>
            </w:hyperlink>
            <w:r>
              <w:rPr>
                <w:rFonts w:eastAsiaTheme="minorEastAsia" w:cs="Arial"/>
                <w:sz w:val="22"/>
                <w:szCs w:val="22"/>
                <w:lang w:eastAsia="zh-CN"/>
              </w:rPr>
              <w:t> </w:t>
            </w:r>
            <w:hyperlink r:id="rId15" w:history="1">
              <w:r>
                <w:rPr>
                  <w:rFonts w:eastAsiaTheme="minorEastAsia" w:cs="Arial"/>
                  <w:sz w:val="22"/>
                  <w:szCs w:val="22"/>
                  <w:lang w:eastAsia="zh-CN"/>
                </w:rPr>
                <w:t>of</w:t>
              </w:r>
            </w:hyperlink>
            <w:r>
              <w:rPr>
                <w:rFonts w:eastAsiaTheme="minorEastAsia" w:cs="Arial"/>
                <w:sz w:val="22"/>
                <w:szCs w:val="22"/>
                <w:lang w:eastAsia="zh-CN"/>
              </w:rPr>
              <w:t> </w:t>
            </w:r>
            <w:hyperlink r:id="rId16" w:history="1">
              <w:r>
                <w:rPr>
                  <w:rFonts w:eastAsiaTheme="minorEastAsia" w:cs="Arial"/>
                  <w:sz w:val="22"/>
                  <w:szCs w:val="22"/>
                  <w:lang w:eastAsia="zh-CN"/>
                </w:rPr>
                <w:t>Statistics</w:t>
              </w:r>
            </w:hyperlink>
            <w:r>
              <w:rPr>
                <w:rFonts w:eastAsiaTheme="minorEastAsia" w:cs="Arial"/>
                <w:sz w:val="22"/>
                <w:szCs w:val="22"/>
                <w:lang w:eastAsia="zh-CN"/>
              </w:rPr>
              <w:t>, 2021). In recent 40 years, the Chinese government pointed out a series of cultural events, policies, and strategies to boom the cultural market, and “cultural industry” became one of the national development strategie</w:t>
            </w:r>
            <w:r>
              <w:rPr>
                <w:rFonts w:eastAsiaTheme="minorEastAsia" w:cs="Arial"/>
                <w:sz w:val="22"/>
                <w:szCs w:val="22"/>
                <w:lang w:eastAsia="zh-CN"/>
              </w:rPr>
              <w:t>s in 2000 (</w:t>
            </w:r>
            <w:r>
              <w:rPr>
                <w:rFonts w:cs="Arial"/>
                <w:color w:val="000000"/>
                <w:sz w:val="22"/>
                <w:szCs w:val="22"/>
                <w:shd w:val="clear" w:color="auto" w:fill="FFFFFF"/>
              </w:rPr>
              <w:t>The Political Bureau of the CPC</w:t>
            </w:r>
            <w:r>
              <w:rPr>
                <w:rFonts w:eastAsiaTheme="minorEastAsia" w:cs="Arial"/>
                <w:sz w:val="22"/>
                <w:szCs w:val="22"/>
                <w:lang w:eastAsia="zh-CN"/>
              </w:rPr>
              <w:t xml:space="preserve">, 2000). In the local cultural industry, the sectors of culture and </w:t>
            </w:r>
            <w:r>
              <w:rPr>
                <w:rFonts w:eastAsiaTheme="minorEastAsia" w:cs="Arial"/>
                <w:sz w:val="22"/>
                <w:szCs w:val="22"/>
                <w:lang w:eastAsia="zh-CN"/>
              </w:rPr>
              <w:lastRenderedPageBreak/>
              <w:t xml:space="preserve">fiancé improved sustainable development of the cultural industry with local characteristics, highlighting </w:t>
            </w:r>
            <w:hyperlink r:id="rId17" w:history="1">
              <w:r>
                <w:rPr>
                  <w:rFonts w:eastAsiaTheme="minorEastAsia" w:cs="Arial"/>
                  <w:sz w:val="22"/>
                  <w:szCs w:val="22"/>
                  <w:lang w:eastAsia="zh-CN"/>
                </w:rPr>
                <w:t>cultural</w:t>
              </w:r>
            </w:hyperlink>
            <w:r>
              <w:rPr>
                <w:rFonts w:eastAsiaTheme="minorEastAsia" w:cs="Arial"/>
                <w:sz w:val="22"/>
                <w:szCs w:val="22"/>
                <w:lang w:eastAsia="zh-CN"/>
              </w:rPr>
              <w:t> </w:t>
            </w:r>
            <w:hyperlink r:id="rId18" w:history="1">
              <w:r>
                <w:rPr>
                  <w:rFonts w:eastAsiaTheme="minorEastAsia" w:cs="Arial"/>
                  <w:sz w:val="22"/>
                  <w:szCs w:val="22"/>
                  <w:lang w:eastAsia="zh-CN"/>
                </w:rPr>
                <w:t>inheritance</w:t>
              </w:r>
            </w:hyperlink>
            <w:r>
              <w:rPr>
                <w:rFonts w:eastAsiaTheme="minorEastAsia" w:cs="Arial"/>
                <w:sz w:val="22"/>
                <w:szCs w:val="22"/>
                <w:lang w:eastAsia="zh-CN"/>
              </w:rPr>
              <w:t xml:space="preserve">, ethnic identity, and pluralistic integration and market orientation (The State Council the People's Republic of China, 2014). In recent years, focusing on regional culture and </w:t>
            </w:r>
            <w:r>
              <w:rPr>
                <w:rFonts w:eastAsiaTheme="minorEastAsia" w:cs="Arial"/>
                <w:sz w:val="22"/>
                <w:szCs w:val="22"/>
                <w:lang w:eastAsia="zh-CN"/>
              </w:rPr>
              <w:t>ecology, the exploration of pluralistic stakeholders (</w:t>
            </w:r>
            <w:proofErr w:type="spellStart"/>
            <w:r>
              <w:rPr>
                <w:rFonts w:eastAsiaTheme="minorEastAsia" w:cs="Arial"/>
                <w:sz w:val="22"/>
                <w:szCs w:val="22"/>
                <w:lang w:eastAsia="zh-CN"/>
              </w:rPr>
              <w:t>Flagestad</w:t>
            </w:r>
            <w:proofErr w:type="spellEnd"/>
            <w:r>
              <w:rPr>
                <w:rFonts w:eastAsiaTheme="minorEastAsia" w:cs="Arial"/>
                <w:sz w:val="22"/>
                <w:szCs w:val="22"/>
                <w:lang w:eastAsia="zh-CN"/>
              </w:rPr>
              <w:t xml:space="preserve"> and Hope, 2001), such as cultural tourism emphasizing performing industry, Creative and Cultural Entrepreneurship, religion et al, becomes an</w:t>
            </w:r>
            <w:r>
              <w:rPr>
                <w:rFonts w:eastAsiaTheme="minorEastAsia" w:cs="Arial" w:hint="eastAsia"/>
                <w:sz w:val="22"/>
                <w:szCs w:val="22"/>
                <w:lang w:val="en-US" w:eastAsia="zh-CN"/>
              </w:rPr>
              <w:t xml:space="preserve"> important issue </w:t>
            </w:r>
            <w:r>
              <w:rPr>
                <w:rFonts w:eastAsiaTheme="minorEastAsia" w:cs="Arial"/>
                <w:sz w:val="22"/>
                <w:szCs w:val="22"/>
                <w:lang w:eastAsia="zh-CN"/>
              </w:rPr>
              <w:t>in the academic field and business</w:t>
            </w:r>
            <w:r>
              <w:rPr>
                <w:rFonts w:eastAsiaTheme="minorEastAsia" w:cs="Arial"/>
                <w:sz w:val="22"/>
                <w:szCs w:val="22"/>
                <w:lang w:eastAsia="zh-CN"/>
              </w:rPr>
              <w:t xml:space="preserve"> society (Hunter, 2020). Based on the positive policies and demands of the cultural market, performing industries, such as Dynamic Yunnan, interplay with the local ecologic environment and rural folkways, to discover a new way (</w:t>
            </w:r>
            <w:proofErr w:type="spellStart"/>
            <w:r>
              <w:rPr>
                <w:rFonts w:eastAsiaTheme="minorEastAsia" w:cs="Arial"/>
                <w:sz w:val="22"/>
                <w:szCs w:val="22"/>
                <w:lang w:eastAsia="zh-CN"/>
              </w:rPr>
              <w:t>Su</w:t>
            </w:r>
            <w:proofErr w:type="spellEnd"/>
            <w:r>
              <w:rPr>
                <w:rFonts w:eastAsiaTheme="minorEastAsia" w:cs="Arial"/>
                <w:sz w:val="22"/>
                <w:szCs w:val="22"/>
                <w:lang w:eastAsia="zh-CN"/>
              </w:rPr>
              <w:t xml:space="preserve">, 2019). </w:t>
            </w:r>
          </w:p>
          <w:p w14:paraId="759C50F5" w14:textId="77777777" w:rsidR="00541B6A" w:rsidRDefault="00702F4F">
            <w:pPr>
              <w:autoSpaceDE w:val="0"/>
              <w:autoSpaceDN w:val="0"/>
              <w:adjustRightInd w:val="0"/>
              <w:spacing w:line="360" w:lineRule="auto"/>
              <w:contextualSpacing/>
              <w:rPr>
                <w:rFonts w:eastAsiaTheme="minorEastAsia" w:cs="Arial"/>
                <w:sz w:val="22"/>
                <w:szCs w:val="22"/>
                <w:lang w:eastAsia="zh-CN"/>
              </w:rPr>
            </w:pPr>
            <w:r>
              <w:rPr>
                <w:rFonts w:eastAsiaTheme="minorEastAsia" w:cs="Arial"/>
                <w:sz w:val="22"/>
                <w:szCs w:val="22"/>
                <w:lang w:eastAsia="zh-CN"/>
              </w:rPr>
              <w:t xml:space="preserve">Following trends of cultural strategy, intangible cultural heritage as cultural capital has become a key stakeholder in tourism and other relevant industries (Chen et al., 2020). The Fujian opera which is the </w:t>
            </w:r>
            <w:hyperlink r:id="rId19" w:history="1">
              <w:r>
                <w:rPr>
                  <w:rFonts w:eastAsiaTheme="minorEastAsia" w:cs="Arial"/>
                  <w:sz w:val="22"/>
                  <w:szCs w:val="22"/>
                  <w:lang w:eastAsia="zh-CN"/>
                </w:rPr>
                <w:t>national</w:t>
              </w:r>
            </w:hyperlink>
            <w:r>
              <w:rPr>
                <w:rFonts w:eastAsiaTheme="minorEastAsia" w:cs="Arial"/>
                <w:sz w:val="22"/>
                <w:szCs w:val="22"/>
                <w:lang w:eastAsia="zh-CN"/>
              </w:rPr>
              <w:t> </w:t>
            </w:r>
            <w:hyperlink r:id="rId20" w:history="1">
              <w:r>
                <w:rPr>
                  <w:rFonts w:eastAsiaTheme="minorEastAsia" w:cs="Arial"/>
                  <w:sz w:val="22"/>
                  <w:szCs w:val="22"/>
                  <w:lang w:eastAsia="zh-CN"/>
                </w:rPr>
                <w:t>intangible</w:t>
              </w:r>
            </w:hyperlink>
            <w:r>
              <w:rPr>
                <w:rFonts w:eastAsiaTheme="minorEastAsia" w:cs="Arial"/>
                <w:sz w:val="22"/>
                <w:szCs w:val="22"/>
                <w:lang w:eastAsia="zh-CN"/>
              </w:rPr>
              <w:t> </w:t>
            </w:r>
            <w:hyperlink r:id="rId21" w:history="1">
              <w:r>
                <w:rPr>
                  <w:rFonts w:eastAsiaTheme="minorEastAsia" w:cs="Arial"/>
                  <w:sz w:val="22"/>
                  <w:szCs w:val="22"/>
                  <w:lang w:eastAsia="zh-CN"/>
                </w:rPr>
                <w:t>cultural</w:t>
              </w:r>
            </w:hyperlink>
            <w:r>
              <w:rPr>
                <w:rFonts w:eastAsiaTheme="minorEastAsia" w:cs="Arial"/>
                <w:sz w:val="22"/>
                <w:szCs w:val="22"/>
                <w:lang w:eastAsia="zh-CN"/>
              </w:rPr>
              <w:t> </w:t>
            </w:r>
            <w:hyperlink r:id="rId22" w:history="1">
              <w:r>
                <w:rPr>
                  <w:rFonts w:eastAsiaTheme="minorEastAsia" w:cs="Arial"/>
                  <w:sz w:val="22"/>
                  <w:szCs w:val="22"/>
                  <w:lang w:eastAsia="zh-CN"/>
                </w:rPr>
                <w:t>heritage</w:t>
              </w:r>
            </w:hyperlink>
            <w:r>
              <w:rPr>
                <w:rFonts w:eastAsiaTheme="minorEastAsia" w:cs="Arial"/>
                <w:sz w:val="22"/>
                <w:szCs w:val="22"/>
                <w:lang w:eastAsia="zh-CN"/>
              </w:rPr>
              <w:t xml:space="preserve"> is a part of regional musical industries, including many </w:t>
            </w:r>
            <w:r>
              <w:rPr>
                <w:sz w:val="22"/>
                <w:szCs w:val="22"/>
              </w:rPr>
              <w:t>small and flexible NGO and private opera organizations in eastern Fujian. These troupes perf</w:t>
            </w:r>
            <w:r>
              <w:rPr>
                <w:sz w:val="22"/>
                <w:szCs w:val="22"/>
              </w:rPr>
              <w:t>ormed mainly in the street or public halls of those famous hometowns of overseas Chinese in the past (Soon, 2000), but as a rural play, existed not only in the context of rural folkways and religions but also in the international market of Southeast Asia r</w:t>
            </w:r>
            <w:r>
              <w:rPr>
                <w:sz w:val="22"/>
                <w:szCs w:val="22"/>
              </w:rPr>
              <w:t>egion, USA, and so on (Soon, 2007; Cropsey, 2002) to continue specific ethics and customs from rural China (</w:t>
            </w:r>
            <w:proofErr w:type="spellStart"/>
            <w:r>
              <w:rPr>
                <w:sz w:val="22"/>
                <w:szCs w:val="22"/>
              </w:rPr>
              <w:t>Oxfeld</w:t>
            </w:r>
            <w:proofErr w:type="spellEnd"/>
            <w:r>
              <w:rPr>
                <w:sz w:val="22"/>
                <w:szCs w:val="22"/>
              </w:rPr>
              <w:t>, 2017).</w:t>
            </w:r>
            <w:r>
              <w:rPr>
                <w:rFonts w:eastAsiaTheme="minorEastAsia" w:hint="eastAsia"/>
                <w:sz w:val="22"/>
                <w:szCs w:val="22"/>
                <w:lang w:eastAsia="zh-CN"/>
              </w:rPr>
              <w:t xml:space="preserve"> </w:t>
            </w:r>
            <w:r>
              <w:rPr>
                <w:rFonts w:eastAsiaTheme="minorEastAsia" w:cs="Arial"/>
                <w:sz w:val="22"/>
                <w:szCs w:val="22"/>
                <w:lang w:eastAsia="zh-CN"/>
              </w:rPr>
              <w:t>Although it is difficult to find evidence that these practices contribute to the sustainable development of culture or ecology actual</w:t>
            </w:r>
            <w:r>
              <w:rPr>
                <w:rFonts w:eastAsiaTheme="minorEastAsia" w:cs="Arial"/>
                <w:sz w:val="22"/>
                <w:szCs w:val="22"/>
                <w:lang w:eastAsia="zh-CN"/>
              </w:rPr>
              <w:t>ly (</w:t>
            </w:r>
            <w:proofErr w:type="spellStart"/>
            <w:r>
              <w:rPr>
                <w:rFonts w:eastAsiaTheme="minorEastAsia" w:cs="Arial"/>
                <w:sz w:val="22"/>
                <w:szCs w:val="22"/>
                <w:lang w:eastAsia="zh-CN"/>
              </w:rPr>
              <w:t>Sørensen</w:t>
            </w:r>
            <w:proofErr w:type="spellEnd"/>
            <w:r>
              <w:rPr>
                <w:rFonts w:eastAsiaTheme="minorEastAsia" w:cs="Arial"/>
                <w:sz w:val="22"/>
                <w:szCs w:val="22"/>
                <w:lang w:eastAsia="zh-CN"/>
              </w:rPr>
              <w:t xml:space="preserve"> and </w:t>
            </w:r>
            <w:proofErr w:type="spellStart"/>
            <w:r>
              <w:rPr>
                <w:rFonts w:eastAsiaTheme="minorEastAsia" w:cs="Arial"/>
                <w:sz w:val="22"/>
                <w:szCs w:val="22"/>
                <w:lang w:eastAsia="zh-CN"/>
              </w:rPr>
              <w:t>Bærenholdt</w:t>
            </w:r>
            <w:proofErr w:type="spellEnd"/>
            <w:r>
              <w:rPr>
                <w:rFonts w:eastAsiaTheme="minorEastAsia" w:cs="Arial"/>
                <w:sz w:val="22"/>
                <w:szCs w:val="22"/>
                <w:lang w:eastAsia="zh-CN"/>
              </w:rPr>
              <w:t>, 2020), sustainability for Fujian Opera seems to be a comprehensive matter of ideology, cultural identity, local ecology, and branding creation in a specific area (</w:t>
            </w:r>
            <w:proofErr w:type="spellStart"/>
            <w:r>
              <w:rPr>
                <w:rFonts w:eastAsiaTheme="minorEastAsia" w:cs="Arial"/>
                <w:sz w:val="22"/>
                <w:szCs w:val="22"/>
                <w:lang w:eastAsia="zh-CN"/>
              </w:rPr>
              <w:t>Sørensen</w:t>
            </w:r>
            <w:proofErr w:type="spellEnd"/>
            <w:r>
              <w:rPr>
                <w:rFonts w:eastAsiaTheme="minorEastAsia" w:cs="Arial"/>
                <w:sz w:val="22"/>
                <w:szCs w:val="22"/>
                <w:lang w:eastAsia="zh-CN"/>
              </w:rPr>
              <w:t xml:space="preserve">, and </w:t>
            </w:r>
            <w:proofErr w:type="spellStart"/>
            <w:r>
              <w:rPr>
                <w:rFonts w:eastAsiaTheme="minorEastAsia" w:cs="Arial"/>
                <w:sz w:val="22"/>
                <w:szCs w:val="22"/>
                <w:lang w:eastAsia="zh-CN"/>
              </w:rPr>
              <w:t>Grindsted</w:t>
            </w:r>
            <w:proofErr w:type="spellEnd"/>
            <w:r>
              <w:rPr>
                <w:rFonts w:eastAsiaTheme="minorEastAsia" w:cs="Arial"/>
                <w:sz w:val="22"/>
                <w:szCs w:val="22"/>
                <w:lang w:eastAsia="zh-CN"/>
              </w:rPr>
              <w:t xml:space="preserve">, 2021). </w:t>
            </w:r>
          </w:p>
          <w:p w14:paraId="08DACAF5" w14:textId="77777777" w:rsidR="00541B6A" w:rsidRDefault="00702F4F">
            <w:pPr>
              <w:autoSpaceDE w:val="0"/>
              <w:autoSpaceDN w:val="0"/>
              <w:adjustRightInd w:val="0"/>
              <w:spacing w:line="360" w:lineRule="auto"/>
              <w:contextualSpacing/>
              <w:rPr>
                <w:rFonts w:eastAsiaTheme="minorEastAsia" w:cs="Arial"/>
                <w:sz w:val="22"/>
                <w:szCs w:val="22"/>
                <w:lang w:val="en-US" w:eastAsia="zh-CN"/>
              </w:rPr>
            </w:pPr>
            <w:r>
              <w:rPr>
                <w:rFonts w:eastAsiaTheme="minorEastAsia" w:cs="Arial" w:hint="eastAsia"/>
                <w:sz w:val="22"/>
                <w:szCs w:val="22"/>
                <w:lang w:val="en-US" w:eastAsia="zh-CN"/>
              </w:rPr>
              <w:t xml:space="preserve">With the reform of </w:t>
            </w:r>
            <w:r>
              <w:rPr>
                <w:rFonts w:eastAsiaTheme="minorEastAsia" w:cs="Arial"/>
                <w:sz w:val="22"/>
                <w:szCs w:val="22"/>
                <w:lang w:val="en-US" w:eastAsia="zh-CN"/>
              </w:rPr>
              <w:t xml:space="preserve">the </w:t>
            </w:r>
            <w:r>
              <w:rPr>
                <w:rFonts w:eastAsiaTheme="minorEastAsia" w:cs="Arial" w:hint="eastAsia"/>
                <w:sz w:val="22"/>
                <w:szCs w:val="22"/>
                <w:lang w:val="en-US" w:eastAsia="zh-CN"/>
              </w:rPr>
              <w:t xml:space="preserve">Chinese </w:t>
            </w:r>
            <w:r>
              <w:rPr>
                <w:rFonts w:eastAsiaTheme="minorEastAsia" w:cs="Arial" w:hint="eastAsia"/>
                <w:sz w:val="22"/>
                <w:szCs w:val="22"/>
                <w:lang w:val="en-US" w:eastAsia="zh-CN"/>
              </w:rPr>
              <w:t xml:space="preserve">rural economy, the dual urban-rural structure is upgrading rapidly from separation to integration focusing on the small town construction (Wu, 2016, pp. 228-231). </w:t>
            </w:r>
            <w:r>
              <w:rPr>
                <w:rFonts w:eastAsiaTheme="minorEastAsia" w:cs="Arial"/>
                <w:sz w:val="22"/>
                <w:szCs w:val="22"/>
                <w:lang w:val="en-US" w:eastAsia="zh-CN"/>
              </w:rPr>
              <w:t>Modernization in China inevitably</w:t>
            </w:r>
            <w:r>
              <w:rPr>
                <w:rFonts w:eastAsiaTheme="minorEastAsia" w:cs="Arial" w:hint="eastAsia"/>
                <w:sz w:val="22"/>
                <w:szCs w:val="22"/>
                <w:lang w:val="en-US" w:eastAsia="zh-CN"/>
              </w:rPr>
              <w:t xml:space="preserve"> brings transformation of rural culture, especially includin</w:t>
            </w:r>
            <w:r>
              <w:rPr>
                <w:rFonts w:eastAsiaTheme="minorEastAsia" w:cs="Arial" w:hint="eastAsia"/>
                <w:sz w:val="22"/>
                <w:szCs w:val="22"/>
                <w:lang w:val="en-US" w:eastAsia="zh-CN"/>
              </w:rPr>
              <w:t>g folk music (Louie, 2008, pp. 253-270). Experiencing feudal society, the new China and modernization construction, the traditional dramas as one of the most important performing art of folk music reform continuously catering to the dynamic demands of poli</w:t>
            </w:r>
            <w:r>
              <w:rPr>
                <w:rFonts w:eastAsiaTheme="minorEastAsia" w:cs="Arial" w:hint="eastAsia"/>
                <w:sz w:val="22"/>
                <w:szCs w:val="22"/>
                <w:lang w:val="en-US" w:eastAsia="zh-CN"/>
              </w:rPr>
              <w:t>tics, market, folkways, culture</w:t>
            </w:r>
            <w:r>
              <w:rPr>
                <w:rFonts w:eastAsiaTheme="minorEastAsia" w:cs="Arial"/>
                <w:sz w:val="22"/>
                <w:szCs w:val="22"/>
                <w:lang w:val="en-US" w:eastAsia="zh-CN"/>
              </w:rPr>
              <w:t>,</w:t>
            </w:r>
            <w:r>
              <w:rPr>
                <w:rFonts w:eastAsiaTheme="minorEastAsia" w:cs="Arial" w:hint="eastAsia"/>
                <w:sz w:val="22"/>
                <w:szCs w:val="22"/>
                <w:lang w:val="en-US" w:eastAsia="zh-CN"/>
              </w:rPr>
              <w:t xml:space="preserve"> and social structure (Buss, 1922; Louie, 2008). Thus, the development of Fujian opera troupes exists obvious differences and similarit</w:t>
            </w:r>
            <w:r>
              <w:rPr>
                <w:rFonts w:eastAsiaTheme="minorEastAsia" w:cs="Arial"/>
                <w:sz w:val="22"/>
                <w:szCs w:val="22"/>
                <w:lang w:val="en-US" w:eastAsia="zh-CN"/>
              </w:rPr>
              <w:t>ies</w:t>
            </w:r>
            <w:r>
              <w:rPr>
                <w:rFonts w:eastAsiaTheme="minorEastAsia" w:cs="Arial" w:hint="eastAsia"/>
                <w:sz w:val="22"/>
                <w:szCs w:val="22"/>
                <w:lang w:val="en-US" w:eastAsia="zh-CN"/>
              </w:rPr>
              <w:t xml:space="preserve"> between city and rural areas, as well as the digital world and ritual space (</w:t>
            </w:r>
            <w:proofErr w:type="spellStart"/>
            <w:r>
              <w:rPr>
                <w:rFonts w:eastAsiaTheme="minorEastAsia" w:cs="Arial" w:hint="eastAsia"/>
                <w:sz w:val="22"/>
                <w:szCs w:val="22"/>
                <w:lang w:val="en-US" w:eastAsia="zh-CN"/>
              </w:rPr>
              <w:t>Avorgbed</w:t>
            </w:r>
            <w:r>
              <w:rPr>
                <w:rFonts w:eastAsiaTheme="minorEastAsia" w:cs="Arial" w:hint="eastAsia"/>
                <w:sz w:val="22"/>
                <w:szCs w:val="22"/>
                <w:lang w:val="en-US" w:eastAsia="zh-CN"/>
              </w:rPr>
              <w:t>or</w:t>
            </w:r>
            <w:proofErr w:type="spellEnd"/>
            <w:r>
              <w:rPr>
                <w:rFonts w:eastAsiaTheme="minorEastAsia" w:cs="Arial" w:hint="eastAsia"/>
                <w:sz w:val="22"/>
                <w:szCs w:val="22"/>
                <w:lang w:val="en-US" w:eastAsia="zh-CN"/>
              </w:rPr>
              <w:t>, 2014), which means more complete sensemaking (</w:t>
            </w:r>
            <w:proofErr w:type="spellStart"/>
            <w:r>
              <w:rPr>
                <w:rFonts w:eastAsiaTheme="minorEastAsia" w:cs="Arial"/>
                <w:sz w:val="22"/>
                <w:szCs w:val="22"/>
                <w:lang w:val="en-US" w:eastAsia="zh-CN"/>
              </w:rPr>
              <w:t>Maitlis</w:t>
            </w:r>
            <w:proofErr w:type="spellEnd"/>
            <w:r>
              <w:rPr>
                <w:rFonts w:eastAsiaTheme="minorEastAsia" w:cs="Arial" w:hint="eastAsia"/>
                <w:sz w:val="22"/>
                <w:szCs w:val="22"/>
                <w:lang w:val="en-US" w:eastAsia="zh-CN"/>
              </w:rPr>
              <w:t xml:space="preserve"> and</w:t>
            </w:r>
            <w:r>
              <w:rPr>
                <w:rFonts w:eastAsiaTheme="minorEastAsia" w:cs="Arial"/>
                <w:sz w:val="22"/>
                <w:szCs w:val="22"/>
                <w:lang w:val="en-US" w:eastAsia="zh-CN"/>
              </w:rPr>
              <w:t xml:space="preserve"> Christianson,</w:t>
            </w:r>
            <w:r>
              <w:rPr>
                <w:rFonts w:eastAsiaTheme="minorEastAsia" w:cs="Arial" w:hint="eastAsia"/>
                <w:sz w:val="22"/>
                <w:szCs w:val="22"/>
                <w:lang w:val="en-US" w:eastAsia="zh-CN"/>
              </w:rPr>
              <w:t xml:space="preserve"> 2014) in this industry encompass complex social process and issues, such as urban-rural relationships, cultural strategy following changes, different contexts in modern China and m</w:t>
            </w:r>
            <w:r>
              <w:rPr>
                <w:rFonts w:eastAsiaTheme="minorEastAsia" w:cs="Arial" w:hint="eastAsia"/>
                <w:sz w:val="22"/>
                <w:szCs w:val="22"/>
                <w:lang w:val="en-US" w:eastAsia="zh-CN"/>
              </w:rPr>
              <w:t>ultiple stakeholders.</w:t>
            </w:r>
          </w:p>
          <w:p w14:paraId="4CA8C789" w14:textId="77777777" w:rsidR="00541B6A" w:rsidRDefault="00541B6A">
            <w:pPr>
              <w:autoSpaceDE w:val="0"/>
              <w:autoSpaceDN w:val="0"/>
              <w:adjustRightInd w:val="0"/>
              <w:spacing w:line="360" w:lineRule="auto"/>
              <w:contextualSpacing/>
              <w:rPr>
                <w:rFonts w:eastAsiaTheme="minorEastAsia" w:cs="Arial"/>
                <w:sz w:val="22"/>
                <w:szCs w:val="22"/>
                <w:lang w:val="en-US" w:eastAsia="zh-CN"/>
              </w:rPr>
            </w:pPr>
          </w:p>
          <w:p w14:paraId="01FBA4E5" w14:textId="77777777" w:rsidR="00541B6A" w:rsidRDefault="00702F4F">
            <w:pPr>
              <w:autoSpaceDE w:val="0"/>
              <w:autoSpaceDN w:val="0"/>
              <w:adjustRightInd w:val="0"/>
              <w:spacing w:line="360" w:lineRule="auto"/>
              <w:contextualSpacing/>
              <w:rPr>
                <w:rFonts w:eastAsiaTheme="minorEastAsia" w:cs="Arial"/>
                <w:b/>
                <w:bCs/>
                <w:i/>
                <w:iCs/>
                <w:sz w:val="22"/>
                <w:szCs w:val="22"/>
                <w:lang w:val="en-US" w:eastAsia="zh-CN"/>
              </w:rPr>
            </w:pPr>
            <w:r>
              <w:rPr>
                <w:rFonts w:eastAsiaTheme="minorEastAsia" w:cs="Arial"/>
                <w:b/>
                <w:bCs/>
                <w:i/>
                <w:iCs/>
                <w:sz w:val="22"/>
                <w:szCs w:val="22"/>
                <w:lang w:eastAsia="zh-CN"/>
              </w:rPr>
              <w:t xml:space="preserve">Sustainable management in the Fujian opera </w:t>
            </w:r>
            <w:r>
              <w:rPr>
                <w:rFonts w:eastAsiaTheme="minorEastAsia" w:cs="Arial" w:hint="eastAsia"/>
                <w:b/>
                <w:bCs/>
                <w:i/>
                <w:iCs/>
                <w:sz w:val="22"/>
                <w:szCs w:val="22"/>
                <w:lang w:val="en-US" w:eastAsia="zh-CN"/>
              </w:rPr>
              <w:t>troupes</w:t>
            </w:r>
          </w:p>
          <w:p w14:paraId="2DF19BAA" w14:textId="77777777" w:rsidR="00541B6A" w:rsidRDefault="00702F4F">
            <w:pPr>
              <w:autoSpaceDE w:val="0"/>
              <w:autoSpaceDN w:val="0"/>
              <w:adjustRightInd w:val="0"/>
              <w:spacing w:line="360" w:lineRule="auto"/>
              <w:contextualSpacing/>
              <w:rPr>
                <w:rFonts w:eastAsiaTheme="minorEastAsia" w:cs="Arial"/>
                <w:sz w:val="22"/>
                <w:szCs w:val="22"/>
                <w:lang w:val="en-US" w:eastAsia="zh-CN"/>
              </w:rPr>
            </w:pPr>
            <w:r>
              <w:rPr>
                <w:rFonts w:eastAsiaTheme="minorEastAsia" w:cs="Arial"/>
                <w:sz w:val="22"/>
                <w:szCs w:val="22"/>
                <w:lang w:eastAsia="zh-CN"/>
              </w:rPr>
              <w:lastRenderedPageBreak/>
              <w:t xml:space="preserve">Based on the development of “industrial ecology” (Frosch and </w:t>
            </w:r>
            <w:proofErr w:type="spellStart"/>
            <w:r>
              <w:rPr>
                <w:rFonts w:eastAsiaTheme="minorEastAsia" w:cs="Arial"/>
                <w:sz w:val="22"/>
                <w:szCs w:val="22"/>
                <w:lang w:eastAsia="zh-CN"/>
              </w:rPr>
              <w:t>Gallopoulos</w:t>
            </w:r>
            <w:proofErr w:type="spellEnd"/>
            <w:r>
              <w:rPr>
                <w:rFonts w:eastAsiaTheme="minorEastAsia" w:cs="Arial"/>
                <w:sz w:val="22"/>
                <w:szCs w:val="22"/>
                <w:lang w:eastAsia="zh-CN"/>
              </w:rPr>
              <w:t xml:space="preserve">, 1989), the ecosystem as the model of industrial activities has pluralistic senses, encompassing </w:t>
            </w:r>
            <w:r>
              <w:rPr>
                <w:rFonts w:eastAsiaTheme="minorEastAsia" w:cs="Arial"/>
                <w:sz w:val="22"/>
                <w:szCs w:val="22"/>
                <w:lang w:eastAsia="zh-CN"/>
              </w:rPr>
              <w:t>carrying capability and resilience et al. (</w:t>
            </w:r>
            <w:r>
              <w:t>Ayres and Ayres, 2002, p. 4</w:t>
            </w:r>
            <w:r>
              <w:rPr>
                <w:rFonts w:eastAsiaTheme="minorEastAsia" w:cs="Arial"/>
                <w:sz w:val="22"/>
                <w:szCs w:val="22"/>
                <w:lang w:eastAsia="zh-CN"/>
              </w:rPr>
              <w:t>). Considering the Corporation's sustainability, transforming the business model of ecologically sustainable development to redefine social concerns (</w:t>
            </w:r>
            <w:proofErr w:type="spellStart"/>
            <w:r>
              <w:rPr>
                <w:rFonts w:cs="Arial"/>
                <w:color w:val="222222"/>
                <w:sz w:val="22"/>
                <w:szCs w:val="22"/>
                <w:shd w:val="clear" w:color="auto" w:fill="FFFFFF"/>
              </w:rPr>
              <w:t>Ergene</w:t>
            </w:r>
            <w:proofErr w:type="spellEnd"/>
            <w:r>
              <w:rPr>
                <w:rFonts w:cs="Arial"/>
                <w:color w:val="222222"/>
                <w:sz w:val="22"/>
                <w:szCs w:val="22"/>
                <w:shd w:val="clear" w:color="auto" w:fill="FFFFFF"/>
              </w:rPr>
              <w:t>, Banerjee, and Hoffman, 2021</w:t>
            </w:r>
            <w:r>
              <w:rPr>
                <w:rFonts w:eastAsiaTheme="minorEastAsia" w:cs="Arial"/>
                <w:sz w:val="22"/>
                <w:szCs w:val="22"/>
                <w:lang w:eastAsia="zh-CN"/>
              </w:rPr>
              <w:t>)</w:t>
            </w:r>
            <w:r>
              <w:rPr>
                <w:rFonts w:eastAsiaTheme="minorEastAsia" w:cs="Arial"/>
                <w:sz w:val="22"/>
                <w:szCs w:val="22"/>
                <w:lang w:eastAsia="zh-CN"/>
              </w:rPr>
              <w:t>, integrates pluralistic stakeholders, and creates sustainable value (</w:t>
            </w:r>
            <w:r>
              <w:rPr>
                <w:rFonts w:cs="Arial"/>
                <w:color w:val="222222"/>
                <w:sz w:val="22"/>
                <w:szCs w:val="22"/>
                <w:shd w:val="clear" w:color="auto" w:fill="FFFFFF"/>
              </w:rPr>
              <w:t xml:space="preserve">Van </w:t>
            </w:r>
            <w:proofErr w:type="spellStart"/>
            <w:r>
              <w:rPr>
                <w:rFonts w:cs="Arial"/>
                <w:color w:val="222222"/>
                <w:sz w:val="22"/>
                <w:szCs w:val="22"/>
                <w:shd w:val="clear" w:color="auto" w:fill="FFFFFF"/>
              </w:rPr>
              <w:t>Marrewijk</w:t>
            </w:r>
            <w:proofErr w:type="spellEnd"/>
            <w:r>
              <w:rPr>
                <w:rFonts w:cs="Arial"/>
                <w:color w:val="222222"/>
                <w:sz w:val="22"/>
                <w:szCs w:val="22"/>
                <w:shd w:val="clear" w:color="auto" w:fill="FFFFFF"/>
              </w:rPr>
              <w:t xml:space="preserve"> and </w:t>
            </w:r>
            <w:proofErr w:type="spellStart"/>
            <w:r>
              <w:rPr>
                <w:rFonts w:cs="Arial"/>
                <w:color w:val="222222"/>
                <w:sz w:val="22"/>
                <w:szCs w:val="22"/>
                <w:shd w:val="clear" w:color="auto" w:fill="FFFFFF"/>
              </w:rPr>
              <w:t>Werre</w:t>
            </w:r>
            <w:proofErr w:type="spellEnd"/>
            <w:r>
              <w:rPr>
                <w:rFonts w:cs="Arial"/>
                <w:color w:val="222222"/>
                <w:sz w:val="22"/>
                <w:szCs w:val="22"/>
                <w:shd w:val="clear" w:color="auto" w:fill="FFFFFF"/>
              </w:rPr>
              <w:t xml:space="preserve">, 2003; </w:t>
            </w:r>
            <w:proofErr w:type="spellStart"/>
            <w:r>
              <w:rPr>
                <w:rFonts w:cs="Arial"/>
                <w:color w:val="222222"/>
                <w:sz w:val="22"/>
                <w:szCs w:val="22"/>
                <w:shd w:val="clear" w:color="auto" w:fill="FFFFFF"/>
              </w:rPr>
              <w:t>Orefice</w:t>
            </w:r>
            <w:proofErr w:type="spellEnd"/>
            <w:r>
              <w:rPr>
                <w:rFonts w:cs="Arial"/>
                <w:color w:val="222222"/>
                <w:sz w:val="22"/>
                <w:szCs w:val="22"/>
                <w:shd w:val="clear" w:color="auto" w:fill="FFFFFF"/>
              </w:rPr>
              <w:t xml:space="preserve"> and Nyarko, 2021</w:t>
            </w:r>
            <w:r>
              <w:rPr>
                <w:rFonts w:eastAsiaTheme="minorEastAsia" w:cs="Arial"/>
                <w:sz w:val="22"/>
                <w:szCs w:val="22"/>
                <w:lang w:eastAsia="zh-CN"/>
              </w:rPr>
              <w:t xml:space="preserve">). As cultural heritage, the core target for the Fujian Opera </w:t>
            </w:r>
            <w:r>
              <w:rPr>
                <w:rFonts w:eastAsiaTheme="minorEastAsia" w:cs="Arial" w:hint="eastAsia"/>
                <w:sz w:val="22"/>
                <w:szCs w:val="22"/>
                <w:lang w:val="en-US" w:eastAsia="zh-CN"/>
              </w:rPr>
              <w:t>troupe</w:t>
            </w:r>
            <w:r>
              <w:rPr>
                <w:rFonts w:eastAsiaTheme="minorEastAsia" w:cs="Arial"/>
                <w:sz w:val="22"/>
                <w:szCs w:val="22"/>
                <w:lang w:eastAsia="zh-CN"/>
              </w:rPr>
              <w:t xml:space="preserve">s is to realize sustainable development, facing </w:t>
            </w:r>
            <w:r>
              <w:rPr>
                <w:i/>
                <w:iCs/>
                <w:sz w:val="22"/>
                <w:szCs w:val="22"/>
              </w:rPr>
              <w:t>audiences’ pref</w:t>
            </w:r>
            <w:r>
              <w:rPr>
                <w:i/>
                <w:iCs/>
                <w:sz w:val="22"/>
                <w:szCs w:val="22"/>
              </w:rPr>
              <w:t>erences</w:t>
            </w:r>
            <w:r>
              <w:rPr>
                <w:sz w:val="22"/>
                <w:szCs w:val="22"/>
              </w:rPr>
              <w:t xml:space="preserve"> and </w:t>
            </w:r>
            <w:r>
              <w:rPr>
                <w:i/>
                <w:iCs/>
                <w:sz w:val="22"/>
                <w:szCs w:val="22"/>
              </w:rPr>
              <w:t>demand-side change</w:t>
            </w:r>
            <w:r>
              <w:rPr>
                <w:sz w:val="22"/>
                <w:szCs w:val="22"/>
              </w:rPr>
              <w:t xml:space="preserve"> (</w:t>
            </w:r>
            <w:proofErr w:type="spellStart"/>
            <w:r>
              <w:rPr>
                <w:sz w:val="22"/>
                <w:szCs w:val="22"/>
              </w:rPr>
              <w:t>Vinokurova</w:t>
            </w:r>
            <w:proofErr w:type="spellEnd"/>
            <w:r>
              <w:rPr>
                <w:sz w:val="22"/>
                <w:szCs w:val="22"/>
              </w:rPr>
              <w:t xml:space="preserve">, 2019; WANG, al et, 2020) in the digital era. </w:t>
            </w:r>
            <w:r>
              <w:rPr>
                <w:rFonts w:eastAsiaTheme="minorEastAsia" w:cs="Arial"/>
                <w:sz w:val="22"/>
                <w:szCs w:val="22"/>
                <w:lang w:eastAsia="zh-CN"/>
              </w:rPr>
              <w:t xml:space="preserve">Since the Fujian Opera industry has long-term history, sensing the changes in the dynamic capability for those troupes is useful to deal with challenges and formulate </w:t>
            </w:r>
            <w:r>
              <w:rPr>
                <w:rFonts w:eastAsiaTheme="minorEastAsia" w:cs="Arial"/>
                <w:sz w:val="22"/>
                <w:szCs w:val="22"/>
                <w:lang w:eastAsia="zh-CN"/>
              </w:rPr>
              <w:t>strategy (</w:t>
            </w:r>
            <w:r>
              <w:rPr>
                <w:sz w:val="22"/>
                <w:szCs w:val="22"/>
              </w:rPr>
              <w:t xml:space="preserve">Eisenhardt and Martin, 2000; </w:t>
            </w:r>
            <w:r>
              <w:rPr>
                <w:rFonts w:eastAsiaTheme="minorEastAsia" w:cs="Arial"/>
                <w:sz w:val="22"/>
                <w:szCs w:val="22"/>
                <w:lang w:eastAsia="zh-CN"/>
              </w:rPr>
              <w:t>Teece, 2018).</w:t>
            </w:r>
            <w:r>
              <w:rPr>
                <w:rFonts w:eastAsiaTheme="minorEastAsia" w:cs="Arial" w:hint="eastAsia"/>
                <w:sz w:val="22"/>
                <w:szCs w:val="22"/>
                <w:lang w:val="en-US" w:eastAsia="zh-CN"/>
              </w:rPr>
              <w:t xml:space="preserve"> The Fujian opera troupes often have similar factors in the perspective of contexts with British symphony orchestras well suited to sensemaking research, including cultural environment, powerful networks</w:t>
            </w:r>
            <w:r>
              <w:rPr>
                <w:rFonts w:eastAsiaTheme="minorEastAsia" w:cs="Arial"/>
                <w:sz w:val="22"/>
                <w:szCs w:val="22"/>
                <w:lang w:val="en-US" w:eastAsia="zh-CN"/>
              </w:rPr>
              <w:t>,</w:t>
            </w:r>
            <w:r>
              <w:rPr>
                <w:rFonts w:eastAsiaTheme="minorEastAsia" w:cs="Arial" w:hint="eastAsia"/>
                <w:sz w:val="22"/>
                <w:szCs w:val="22"/>
                <w:lang w:val="en-US" w:eastAsia="zh-CN"/>
              </w:rPr>
              <w:t xml:space="preserve"> and multiple stakeholders (</w:t>
            </w:r>
            <w:proofErr w:type="spellStart"/>
            <w:r>
              <w:rPr>
                <w:rFonts w:eastAsiaTheme="minorEastAsia" w:cs="Arial"/>
                <w:sz w:val="22"/>
                <w:szCs w:val="22"/>
                <w:lang w:val="en-US" w:eastAsia="zh-CN"/>
              </w:rPr>
              <w:t>Maitlis</w:t>
            </w:r>
            <w:proofErr w:type="spellEnd"/>
            <w:r>
              <w:rPr>
                <w:rFonts w:eastAsiaTheme="minorEastAsia" w:cs="Arial" w:hint="eastAsia"/>
                <w:sz w:val="22"/>
                <w:szCs w:val="22"/>
                <w:lang w:val="en-US" w:eastAsia="zh-CN"/>
              </w:rPr>
              <w:t>, 2005) to overcome the dark time (</w:t>
            </w:r>
            <w:proofErr w:type="spellStart"/>
            <w:r>
              <w:rPr>
                <w:rFonts w:eastAsiaTheme="minorEastAsia" w:cs="Arial"/>
                <w:sz w:val="22"/>
                <w:szCs w:val="22"/>
                <w:lang w:val="en-US" w:eastAsia="zh-CN"/>
              </w:rPr>
              <w:t>Maitlis</w:t>
            </w:r>
            <w:proofErr w:type="spellEnd"/>
            <w:r>
              <w:rPr>
                <w:rFonts w:eastAsiaTheme="minorEastAsia" w:cs="Arial" w:hint="eastAsia"/>
                <w:sz w:val="22"/>
                <w:szCs w:val="22"/>
                <w:lang w:val="en-US" w:eastAsia="zh-CN"/>
              </w:rPr>
              <w:t xml:space="preserve"> and </w:t>
            </w:r>
            <w:r>
              <w:rPr>
                <w:rFonts w:eastAsiaTheme="minorEastAsia" w:cs="Arial"/>
                <w:sz w:val="22"/>
                <w:szCs w:val="22"/>
                <w:lang w:val="en-US" w:eastAsia="zh-CN"/>
              </w:rPr>
              <w:t>Lawrence</w:t>
            </w:r>
            <w:r>
              <w:rPr>
                <w:rFonts w:eastAsiaTheme="minorEastAsia" w:cs="Arial" w:hint="eastAsia"/>
                <w:sz w:val="22"/>
                <w:szCs w:val="22"/>
                <w:lang w:val="en-US" w:eastAsia="zh-CN"/>
              </w:rPr>
              <w:t xml:space="preserve">, 2003).  Therefore, sensing </w:t>
            </w:r>
            <w:r>
              <w:rPr>
                <w:rFonts w:eastAsiaTheme="minorEastAsia" w:cs="Arial"/>
                <w:sz w:val="22"/>
                <w:szCs w:val="22"/>
                <w:lang w:val="en-US" w:eastAsia="zh-CN"/>
              </w:rPr>
              <w:t xml:space="preserve">the </w:t>
            </w:r>
            <w:r>
              <w:rPr>
                <w:rFonts w:eastAsiaTheme="minorEastAsia" w:cs="Arial" w:hint="eastAsia"/>
                <w:sz w:val="22"/>
                <w:szCs w:val="22"/>
                <w:lang w:val="en-US" w:eastAsia="zh-CN"/>
              </w:rPr>
              <w:t>social process for the Fujian Opera troupes creates powerful relationships with sustainable strategy (</w:t>
            </w:r>
            <w:proofErr w:type="spellStart"/>
            <w:r>
              <w:rPr>
                <w:rFonts w:eastAsiaTheme="minorEastAsia" w:cs="Arial" w:hint="eastAsia"/>
                <w:sz w:val="22"/>
                <w:szCs w:val="22"/>
                <w:lang w:val="en-US" w:eastAsia="zh-CN"/>
              </w:rPr>
              <w:t>Gioia</w:t>
            </w:r>
            <w:proofErr w:type="spellEnd"/>
            <w:r>
              <w:rPr>
                <w:rFonts w:eastAsiaTheme="minorEastAsia" w:cs="Arial" w:hint="eastAsia"/>
                <w:sz w:val="22"/>
                <w:szCs w:val="22"/>
                <w:lang w:val="en-US" w:eastAsia="zh-CN"/>
              </w:rPr>
              <w:t xml:space="preserve"> and </w:t>
            </w:r>
            <w:proofErr w:type="spellStart"/>
            <w:r>
              <w:rPr>
                <w:rFonts w:eastAsiaTheme="minorEastAsia" w:cs="Arial" w:hint="eastAsia"/>
                <w:sz w:val="22"/>
                <w:szCs w:val="22"/>
                <w:lang w:val="en-US" w:eastAsia="zh-CN"/>
              </w:rPr>
              <w:t>Chittipeddi</w:t>
            </w:r>
            <w:proofErr w:type="spellEnd"/>
            <w:r>
              <w:rPr>
                <w:rFonts w:eastAsiaTheme="minorEastAsia" w:cs="Arial" w:hint="eastAsia"/>
                <w:sz w:val="22"/>
                <w:szCs w:val="22"/>
                <w:lang w:val="en-US" w:eastAsia="zh-CN"/>
              </w:rPr>
              <w:t>, 1991).</w:t>
            </w:r>
          </w:p>
          <w:p w14:paraId="28EDA4A0" w14:textId="77777777" w:rsidR="00541B6A" w:rsidRDefault="00702F4F">
            <w:pPr>
              <w:autoSpaceDE w:val="0"/>
              <w:autoSpaceDN w:val="0"/>
              <w:adjustRightInd w:val="0"/>
              <w:spacing w:line="360" w:lineRule="auto"/>
              <w:contextualSpacing/>
              <w:rPr>
                <w:rFonts w:eastAsiaTheme="minorEastAsia" w:cs="Arial"/>
                <w:sz w:val="22"/>
                <w:szCs w:val="22"/>
                <w:lang w:eastAsia="zh-CN"/>
              </w:rPr>
            </w:pPr>
            <w:r>
              <w:rPr>
                <w:rFonts w:eastAsia="SimSun" w:hint="eastAsia"/>
                <w:sz w:val="22"/>
                <w:szCs w:val="22"/>
                <w:lang w:val="en-US" w:eastAsia="zh-CN"/>
              </w:rPr>
              <w:t>I</w:t>
            </w:r>
            <w:r>
              <w:rPr>
                <w:sz w:val="22"/>
                <w:szCs w:val="22"/>
              </w:rPr>
              <w:t>t is significant to explore sustainable management for regional opera industries due to compatible sensemaking systems (</w:t>
            </w:r>
            <w:proofErr w:type="spellStart"/>
            <w:r>
              <w:rPr>
                <w:rFonts w:cs="Arial"/>
                <w:color w:val="222222"/>
                <w:sz w:val="22"/>
                <w:szCs w:val="22"/>
                <w:shd w:val="clear" w:color="auto" w:fill="FFFFFF"/>
              </w:rPr>
              <w:t>Skilton</w:t>
            </w:r>
            <w:proofErr w:type="spellEnd"/>
            <w:r>
              <w:rPr>
                <w:rFonts w:cs="Arial"/>
                <w:color w:val="222222"/>
                <w:sz w:val="22"/>
                <w:szCs w:val="22"/>
                <w:shd w:val="clear" w:color="auto" w:fill="FFFFFF"/>
              </w:rPr>
              <w:t xml:space="preserve"> and Purdy, 2017</w:t>
            </w:r>
            <w:r>
              <w:rPr>
                <w:sz w:val="22"/>
                <w:szCs w:val="22"/>
              </w:rPr>
              <w:t>).</w:t>
            </w:r>
            <w:r>
              <w:rPr>
                <w:rFonts w:eastAsiaTheme="minorEastAsia" w:cs="Arial" w:hint="eastAsia"/>
                <w:sz w:val="22"/>
                <w:szCs w:val="22"/>
                <w:lang w:eastAsia="zh-CN"/>
              </w:rPr>
              <w:t xml:space="preserve"> </w:t>
            </w:r>
            <w:r>
              <w:rPr>
                <w:rFonts w:eastAsiaTheme="minorEastAsia" w:cs="Arial"/>
                <w:sz w:val="22"/>
                <w:szCs w:val="22"/>
                <w:lang w:eastAsia="zh-CN"/>
              </w:rPr>
              <w:t>The sustainable development of Fujian Opera expected more understanding of sensemaking to interpret equivocali</w:t>
            </w:r>
            <w:r>
              <w:rPr>
                <w:rFonts w:eastAsiaTheme="minorEastAsia" w:cs="Arial"/>
                <w:sz w:val="22"/>
                <w:szCs w:val="22"/>
                <w:lang w:eastAsia="zh-CN"/>
              </w:rPr>
              <w:t xml:space="preserve">ty in the process of overcoming dilemmas (Dwyer, Hardy, and Maguire, 2021). </w:t>
            </w:r>
            <w:proofErr w:type="spellStart"/>
            <w:r>
              <w:rPr>
                <w:rFonts w:eastAsiaTheme="minorEastAsia" w:cs="Arial"/>
                <w:sz w:val="22"/>
                <w:szCs w:val="22"/>
                <w:lang w:eastAsia="zh-CN"/>
              </w:rPr>
              <w:t>Introna</w:t>
            </w:r>
            <w:proofErr w:type="spellEnd"/>
            <w:r>
              <w:rPr>
                <w:rFonts w:eastAsiaTheme="minorEastAsia" w:cs="Arial"/>
                <w:sz w:val="22"/>
                <w:szCs w:val="22"/>
                <w:lang w:eastAsia="zh-CN"/>
              </w:rPr>
              <w:t xml:space="preserve"> (2019) highlighted the temporality of sensemaking which meant that it is important to understand the relationship between retrospective and prospective sensemaking (</w:t>
            </w:r>
            <w:proofErr w:type="spellStart"/>
            <w:r>
              <w:rPr>
                <w:rFonts w:eastAsiaTheme="minorEastAsia" w:cs="Arial"/>
                <w:sz w:val="22"/>
                <w:szCs w:val="22"/>
                <w:lang w:eastAsia="zh-CN"/>
              </w:rPr>
              <w:t>Maitlis</w:t>
            </w:r>
            <w:proofErr w:type="spellEnd"/>
            <w:r>
              <w:rPr>
                <w:rFonts w:eastAsiaTheme="minorEastAsia" w:cs="Arial"/>
                <w:sz w:val="22"/>
                <w:szCs w:val="22"/>
                <w:lang w:eastAsia="zh-CN"/>
              </w:rPr>
              <w:t xml:space="preserve"> and Christianson, 2014). Therefore, Sensemaking in the Fujian Opera industry emphasizes understanding the meaning construction of social processes in Chinese rural areas (Brown et al., 2014; Sandberg and </w:t>
            </w:r>
            <w:proofErr w:type="spellStart"/>
            <w:r>
              <w:rPr>
                <w:rFonts w:eastAsiaTheme="minorEastAsia" w:cs="Arial"/>
                <w:sz w:val="22"/>
                <w:szCs w:val="22"/>
                <w:lang w:eastAsia="zh-CN"/>
              </w:rPr>
              <w:t>Tsoukas</w:t>
            </w:r>
            <w:proofErr w:type="spellEnd"/>
            <w:r>
              <w:rPr>
                <w:rFonts w:eastAsiaTheme="minorEastAsia" w:cs="Arial"/>
                <w:sz w:val="22"/>
                <w:szCs w:val="22"/>
                <w:lang w:eastAsia="zh-CN"/>
              </w:rPr>
              <w:t>, 2015) to capture essential features of cha</w:t>
            </w:r>
            <w:r>
              <w:rPr>
                <w:rFonts w:eastAsiaTheme="minorEastAsia" w:cs="Arial"/>
                <w:sz w:val="22"/>
                <w:szCs w:val="22"/>
                <w:lang w:eastAsia="zh-CN"/>
              </w:rPr>
              <w:t>nges and grasp strategic initiatives (</w:t>
            </w:r>
            <w:proofErr w:type="spellStart"/>
            <w:r>
              <w:rPr>
                <w:rFonts w:eastAsiaTheme="minorEastAsia" w:cs="Arial"/>
                <w:sz w:val="22"/>
                <w:szCs w:val="22"/>
                <w:lang w:eastAsia="zh-CN"/>
              </w:rPr>
              <w:t>Maitlis</w:t>
            </w:r>
            <w:proofErr w:type="spellEnd"/>
            <w:r>
              <w:rPr>
                <w:rFonts w:eastAsiaTheme="minorEastAsia" w:cs="Arial"/>
                <w:sz w:val="22"/>
                <w:szCs w:val="22"/>
                <w:lang w:eastAsia="zh-CN"/>
              </w:rPr>
              <w:t xml:space="preserve"> and Christianson, 2014). In the continuous process, prospective sensemaking (</w:t>
            </w:r>
            <w:proofErr w:type="spellStart"/>
            <w:r>
              <w:rPr>
                <w:rFonts w:eastAsiaTheme="minorEastAsia" w:cs="Arial"/>
                <w:sz w:val="22"/>
                <w:szCs w:val="22"/>
                <w:lang w:eastAsia="zh-CN"/>
              </w:rPr>
              <w:t>Konlechner</w:t>
            </w:r>
            <w:proofErr w:type="spellEnd"/>
            <w:r>
              <w:rPr>
                <w:rFonts w:eastAsiaTheme="minorEastAsia" w:cs="Arial"/>
                <w:sz w:val="22"/>
                <w:szCs w:val="22"/>
                <w:lang w:eastAsia="zh-CN"/>
              </w:rPr>
              <w:t>, et al., 2019) develops the system for pluralistic stakeholder value (</w:t>
            </w:r>
            <w:proofErr w:type="spellStart"/>
            <w:r>
              <w:rPr>
                <w:rFonts w:cs="Arial"/>
                <w:color w:val="222222"/>
                <w:sz w:val="22"/>
                <w:szCs w:val="22"/>
                <w:shd w:val="clear" w:color="auto" w:fill="FFFFFF"/>
              </w:rPr>
              <w:t>Skilton</w:t>
            </w:r>
            <w:proofErr w:type="spellEnd"/>
            <w:r>
              <w:rPr>
                <w:rFonts w:cs="Arial"/>
                <w:color w:val="222222"/>
                <w:sz w:val="22"/>
                <w:szCs w:val="22"/>
                <w:shd w:val="clear" w:color="auto" w:fill="FFFFFF"/>
              </w:rPr>
              <w:t xml:space="preserve"> and Purdy, 2017; </w:t>
            </w:r>
            <w:proofErr w:type="spellStart"/>
            <w:r>
              <w:rPr>
                <w:rFonts w:eastAsiaTheme="minorEastAsia" w:cs="Arial"/>
                <w:sz w:val="22"/>
                <w:szCs w:val="22"/>
                <w:lang w:eastAsia="zh-CN"/>
              </w:rPr>
              <w:t>Schormair</w:t>
            </w:r>
            <w:proofErr w:type="spellEnd"/>
            <w:r>
              <w:rPr>
                <w:rFonts w:eastAsiaTheme="minorEastAsia" w:cs="Arial"/>
                <w:sz w:val="22"/>
                <w:szCs w:val="22"/>
                <w:lang w:eastAsia="zh-CN"/>
              </w:rPr>
              <w:t xml:space="preserve"> and Gilbert, 2020</w:t>
            </w:r>
            <w:r>
              <w:rPr>
                <w:rFonts w:eastAsiaTheme="minorEastAsia" w:cs="Arial"/>
                <w:sz w:val="22"/>
                <w:szCs w:val="22"/>
                <w:lang w:eastAsia="zh-CN"/>
              </w:rPr>
              <w:t xml:space="preserve">), which guides to conceptualize organizational sustainability and balance value conflicts (Patzer, </w:t>
            </w:r>
            <w:proofErr w:type="spellStart"/>
            <w:r>
              <w:rPr>
                <w:rFonts w:eastAsiaTheme="minorEastAsia" w:cs="Arial"/>
                <w:sz w:val="22"/>
                <w:szCs w:val="22"/>
                <w:lang w:eastAsia="zh-CN"/>
              </w:rPr>
              <w:t>Voegtlin</w:t>
            </w:r>
            <w:proofErr w:type="spellEnd"/>
            <w:r>
              <w:rPr>
                <w:rFonts w:eastAsiaTheme="minorEastAsia" w:cs="Arial"/>
                <w:sz w:val="22"/>
                <w:szCs w:val="22"/>
                <w:lang w:eastAsia="zh-CN"/>
              </w:rPr>
              <w:t xml:space="preserve">, and Scherer, 2018; </w:t>
            </w:r>
            <w:proofErr w:type="spellStart"/>
            <w:r>
              <w:rPr>
                <w:rFonts w:eastAsiaTheme="minorEastAsia" w:cs="Arial"/>
                <w:sz w:val="22"/>
                <w:szCs w:val="22"/>
                <w:lang w:eastAsia="zh-CN"/>
              </w:rPr>
              <w:t>Dentoni</w:t>
            </w:r>
            <w:proofErr w:type="spellEnd"/>
            <w:r>
              <w:rPr>
                <w:rFonts w:eastAsiaTheme="minorEastAsia" w:cs="Arial"/>
                <w:sz w:val="22"/>
                <w:szCs w:val="22"/>
                <w:lang w:eastAsia="zh-CN"/>
              </w:rPr>
              <w:t>, Bitzer, and Schouten, 2018).</w:t>
            </w:r>
          </w:p>
          <w:p w14:paraId="3FD14CC4" w14:textId="77777777" w:rsidR="00541B6A" w:rsidRDefault="00702F4F">
            <w:pPr>
              <w:spacing w:line="360" w:lineRule="auto"/>
              <w:rPr>
                <w:rFonts w:eastAsiaTheme="minorEastAsia" w:cs="Arial"/>
                <w:sz w:val="22"/>
                <w:szCs w:val="22"/>
                <w:lang w:eastAsia="zh-CN"/>
              </w:rPr>
            </w:pPr>
            <w:bookmarkStart w:id="0" w:name="OLE_LINK5"/>
            <w:r>
              <w:rPr>
                <w:rFonts w:eastAsiaTheme="minorEastAsia" w:cs="Arial"/>
                <w:sz w:val="22"/>
                <w:szCs w:val="22"/>
                <w:lang w:eastAsia="zh-CN"/>
              </w:rPr>
              <w:t>This research focuses on</w:t>
            </w:r>
            <w:r>
              <w:rPr>
                <w:rFonts w:eastAsiaTheme="minorEastAsia" w:cs="Arial" w:hint="eastAsia"/>
                <w:sz w:val="22"/>
                <w:szCs w:val="22"/>
                <w:lang w:val="en-US" w:eastAsia="zh-CN"/>
              </w:rPr>
              <w:t xml:space="preserve"> sensing </w:t>
            </w:r>
            <w:r>
              <w:rPr>
                <w:rFonts w:eastAsiaTheme="minorEastAsia" w:cs="Arial"/>
                <w:sz w:val="22"/>
                <w:szCs w:val="22"/>
                <w:lang w:val="en-US" w:eastAsia="zh-CN"/>
              </w:rPr>
              <w:t xml:space="preserve">the </w:t>
            </w:r>
            <w:r>
              <w:rPr>
                <w:rFonts w:eastAsiaTheme="minorEastAsia" w:cs="Arial" w:hint="eastAsia"/>
                <w:sz w:val="22"/>
                <w:szCs w:val="22"/>
                <w:lang w:val="en-US" w:eastAsia="zh-CN"/>
              </w:rPr>
              <w:t>main issues in the process of</w:t>
            </w:r>
            <w:r>
              <w:rPr>
                <w:rFonts w:eastAsiaTheme="minorEastAsia" w:cs="Arial"/>
                <w:sz w:val="22"/>
                <w:szCs w:val="22"/>
                <w:lang w:eastAsia="zh-CN"/>
              </w:rPr>
              <w:t xml:space="preserve"> sustainable developmen</w:t>
            </w:r>
            <w:r>
              <w:rPr>
                <w:rFonts w:eastAsiaTheme="minorEastAsia" w:cs="Arial"/>
                <w:sz w:val="22"/>
                <w:szCs w:val="22"/>
                <w:lang w:eastAsia="zh-CN"/>
              </w:rPr>
              <w:t xml:space="preserve">t </w:t>
            </w:r>
            <w:r>
              <w:rPr>
                <w:rFonts w:eastAsiaTheme="minorEastAsia" w:cs="Arial" w:hint="eastAsia"/>
                <w:sz w:val="22"/>
                <w:szCs w:val="22"/>
                <w:lang w:val="en-US" w:eastAsia="zh-CN"/>
              </w:rPr>
              <w:t>for</w:t>
            </w:r>
            <w:r>
              <w:rPr>
                <w:rFonts w:eastAsiaTheme="minorEastAsia" w:cs="Arial"/>
                <w:sz w:val="22"/>
                <w:szCs w:val="22"/>
                <w:lang w:eastAsia="zh-CN"/>
              </w:rPr>
              <w:t xml:space="preserve"> the Fujian opera </w:t>
            </w:r>
            <w:r>
              <w:rPr>
                <w:rFonts w:eastAsiaTheme="minorEastAsia" w:cs="Arial" w:hint="eastAsia"/>
                <w:sz w:val="22"/>
                <w:szCs w:val="22"/>
                <w:lang w:val="en-US" w:eastAsia="zh-CN"/>
              </w:rPr>
              <w:t xml:space="preserve">troupes based on the </w:t>
            </w:r>
            <w:r>
              <w:rPr>
                <w:rFonts w:eastAsiaTheme="minorEastAsia" w:cs="Arial"/>
                <w:sz w:val="22"/>
                <w:szCs w:val="22"/>
                <w:lang w:eastAsia="zh-CN"/>
              </w:rPr>
              <w:t xml:space="preserve">changeable </w:t>
            </w:r>
            <w:r>
              <w:rPr>
                <w:rFonts w:eastAsiaTheme="minorEastAsia" w:cs="Arial" w:hint="eastAsia"/>
                <w:sz w:val="22"/>
                <w:szCs w:val="22"/>
                <w:lang w:val="en-US" w:eastAsia="zh-CN"/>
              </w:rPr>
              <w:t xml:space="preserve">strategies and </w:t>
            </w:r>
            <w:r>
              <w:rPr>
                <w:rFonts w:eastAsiaTheme="minorEastAsia" w:cs="Arial"/>
                <w:sz w:val="22"/>
                <w:szCs w:val="22"/>
                <w:lang w:eastAsia="zh-CN"/>
              </w:rPr>
              <w:t>pluralistic stakeholders</w:t>
            </w:r>
            <w:r>
              <w:rPr>
                <w:rFonts w:eastAsiaTheme="minorEastAsia" w:cs="Arial" w:hint="eastAsia"/>
                <w:sz w:val="22"/>
                <w:szCs w:val="22"/>
                <w:lang w:val="en-US" w:eastAsia="zh-CN"/>
              </w:rPr>
              <w:t xml:space="preserve"> </w:t>
            </w:r>
            <w:r>
              <w:rPr>
                <w:rFonts w:eastAsiaTheme="minorEastAsia" w:cs="Arial"/>
                <w:sz w:val="22"/>
                <w:szCs w:val="22"/>
                <w:lang w:eastAsia="zh-CN"/>
              </w:rPr>
              <w:t>(Brown, Colville, and Pye, 2015) to foresee</w:t>
            </w:r>
            <w:r>
              <w:rPr>
                <w:rFonts w:eastAsiaTheme="minorEastAsia" w:cs="Arial" w:hint="eastAsia"/>
                <w:sz w:val="22"/>
                <w:szCs w:val="22"/>
                <w:lang w:val="en-US" w:eastAsia="zh-CN"/>
              </w:rPr>
              <w:t xml:space="preserve"> multiple sense</w:t>
            </w:r>
            <w:r>
              <w:rPr>
                <w:rFonts w:eastAsiaTheme="minorEastAsia" w:cs="Arial"/>
                <w:sz w:val="22"/>
                <w:szCs w:val="22"/>
                <w:lang w:val="en-US" w:eastAsia="zh-CN"/>
              </w:rPr>
              <w:t xml:space="preserve"> </w:t>
            </w:r>
            <w:r>
              <w:rPr>
                <w:rFonts w:eastAsiaTheme="minorEastAsia" w:cs="Arial" w:hint="eastAsia"/>
                <w:sz w:val="22"/>
                <w:szCs w:val="22"/>
                <w:lang w:val="en-US" w:eastAsia="zh-CN"/>
              </w:rPr>
              <w:t>giving strateg</w:t>
            </w:r>
            <w:r>
              <w:rPr>
                <w:rFonts w:eastAsiaTheme="minorEastAsia" w:cs="Arial"/>
                <w:sz w:val="22"/>
                <w:szCs w:val="22"/>
                <w:lang w:val="en-US" w:eastAsia="zh-CN"/>
              </w:rPr>
              <w:t>ies</w:t>
            </w:r>
            <w:r>
              <w:rPr>
                <w:rFonts w:eastAsiaTheme="minorEastAsia" w:cs="Arial" w:hint="eastAsia"/>
                <w:sz w:val="22"/>
                <w:szCs w:val="22"/>
                <w:lang w:val="en-US" w:eastAsia="zh-CN"/>
              </w:rPr>
              <w:t xml:space="preserve"> in the future.</w:t>
            </w:r>
            <w:r>
              <w:rPr>
                <w:rFonts w:eastAsiaTheme="minorEastAsia" w:cs="Arial"/>
                <w:sz w:val="22"/>
                <w:szCs w:val="22"/>
                <w:lang w:eastAsia="zh-CN"/>
              </w:rPr>
              <w:t xml:space="preserve"> </w:t>
            </w:r>
            <w:bookmarkEnd w:id="0"/>
            <w:r>
              <w:rPr>
                <w:rFonts w:eastAsiaTheme="minorEastAsia" w:cs="Arial" w:hint="eastAsia"/>
                <w:sz w:val="22"/>
                <w:szCs w:val="22"/>
                <w:lang w:val="en-US" w:eastAsia="zh-CN"/>
              </w:rPr>
              <w:t>S</w:t>
            </w:r>
            <w:r>
              <w:rPr>
                <w:rFonts w:eastAsiaTheme="minorEastAsia" w:cs="Arial"/>
                <w:sz w:val="22"/>
                <w:szCs w:val="22"/>
                <w:lang w:eastAsia="zh-CN"/>
              </w:rPr>
              <w:t xml:space="preserve">o </w:t>
            </w:r>
            <w:r>
              <w:rPr>
                <w:rFonts w:eastAsiaTheme="minorEastAsia" w:cs="Arial" w:hint="eastAsia"/>
                <w:sz w:val="22"/>
                <w:szCs w:val="22"/>
                <w:lang w:val="en-US" w:eastAsia="zh-CN"/>
              </w:rPr>
              <w:t>b</w:t>
            </w:r>
            <w:proofErr w:type="spellStart"/>
            <w:r>
              <w:rPr>
                <w:rFonts w:eastAsiaTheme="minorEastAsia" w:cs="Arial"/>
                <w:sz w:val="22"/>
                <w:szCs w:val="22"/>
                <w:lang w:eastAsia="zh-CN"/>
              </w:rPr>
              <w:t>ased</w:t>
            </w:r>
            <w:proofErr w:type="spellEnd"/>
            <w:r>
              <w:rPr>
                <w:rFonts w:eastAsiaTheme="minorEastAsia" w:cs="Arial"/>
                <w:sz w:val="22"/>
                <w:szCs w:val="22"/>
                <w:lang w:eastAsia="zh-CN"/>
              </w:rPr>
              <w:t xml:space="preserve"> on the comprehensive exploration, the possible theoretical f</w:t>
            </w:r>
            <w:r>
              <w:rPr>
                <w:rFonts w:eastAsiaTheme="minorEastAsia" w:cs="Arial"/>
                <w:sz w:val="22"/>
                <w:szCs w:val="22"/>
                <w:lang w:eastAsia="zh-CN"/>
              </w:rPr>
              <w:t xml:space="preserve">ramework will combine business models of sustainable value creation (Dawkins, 2015; </w:t>
            </w:r>
            <w:proofErr w:type="spellStart"/>
            <w:r>
              <w:rPr>
                <w:rFonts w:eastAsiaTheme="minorEastAsia" w:cs="Arial"/>
                <w:sz w:val="22"/>
                <w:szCs w:val="22"/>
                <w:lang w:eastAsia="zh-CN"/>
              </w:rPr>
              <w:t>Breidbach</w:t>
            </w:r>
            <w:proofErr w:type="spellEnd"/>
            <w:r>
              <w:rPr>
                <w:rFonts w:eastAsiaTheme="minorEastAsia" w:cs="Arial"/>
                <w:sz w:val="22"/>
                <w:szCs w:val="22"/>
                <w:lang w:eastAsia="zh-CN"/>
              </w:rPr>
              <w:t xml:space="preserve"> and Maglio, 2016; Chandler, 2017), which highlights strategic innovation, and sensemaking (Dwyer, Hardy and Maguire, 2021; Whiteman </w:t>
            </w:r>
            <w:r>
              <w:rPr>
                <w:rFonts w:eastAsiaTheme="minorEastAsia" w:cs="Arial"/>
                <w:sz w:val="22"/>
                <w:szCs w:val="22"/>
                <w:lang w:eastAsia="zh-CN"/>
              </w:rPr>
              <w:lastRenderedPageBreak/>
              <w:t>and Cooper, 2011; Weick, Sutcl</w:t>
            </w:r>
            <w:r>
              <w:rPr>
                <w:rFonts w:eastAsiaTheme="minorEastAsia" w:cs="Arial"/>
                <w:sz w:val="22"/>
                <w:szCs w:val="22"/>
                <w:lang w:eastAsia="zh-CN"/>
              </w:rPr>
              <w:t xml:space="preserve">iffe and Obstfeld, 2005; </w:t>
            </w:r>
            <w:r>
              <w:rPr>
                <w:rFonts w:cs="Arial"/>
                <w:sz w:val="22"/>
                <w:szCs w:val="22"/>
                <w:lang w:eastAsia="zh-CN"/>
              </w:rPr>
              <w:t>Weick, 1995</w:t>
            </w:r>
            <w:r>
              <w:rPr>
                <w:rFonts w:eastAsiaTheme="minorEastAsia" w:cs="Arial"/>
                <w:sz w:val="22"/>
                <w:szCs w:val="22"/>
                <w:lang w:eastAsia="zh-CN"/>
              </w:rPr>
              <w:t>), emphasizing interpretation and cases analysis.</w:t>
            </w:r>
          </w:p>
        </w:tc>
      </w:tr>
      <w:tr w:rsidR="00541B6A" w14:paraId="376D2D68" w14:textId="77777777">
        <w:trPr>
          <w:trHeight w:val="397"/>
        </w:trPr>
        <w:tc>
          <w:tcPr>
            <w:tcW w:w="9781" w:type="dxa"/>
            <w:shd w:val="clear" w:color="auto" w:fill="F2F2F2" w:themeFill="background1" w:themeFillShade="F2"/>
            <w:vAlign w:val="center"/>
          </w:tcPr>
          <w:p w14:paraId="11716280" w14:textId="77777777" w:rsidR="00541B6A" w:rsidRDefault="00541B6A">
            <w:pPr>
              <w:rPr>
                <w:rFonts w:cs="Arial"/>
                <w:sz w:val="22"/>
                <w:szCs w:val="22"/>
              </w:rPr>
            </w:pPr>
          </w:p>
          <w:p w14:paraId="45DC81D2" w14:textId="77777777" w:rsidR="00541B6A" w:rsidRDefault="00702F4F">
            <w:pPr>
              <w:rPr>
                <w:rFonts w:cs="Arial"/>
                <w:sz w:val="22"/>
                <w:szCs w:val="22"/>
              </w:rPr>
            </w:pPr>
            <w:r>
              <w:rPr>
                <w:rFonts w:cs="Arial"/>
                <w:sz w:val="22"/>
                <w:szCs w:val="22"/>
              </w:rPr>
              <w:t>Aims and Objectives (approx.. 250 – 500 words)</w:t>
            </w:r>
          </w:p>
        </w:tc>
      </w:tr>
      <w:tr w:rsidR="00541B6A" w14:paraId="7BAF267C" w14:textId="77777777">
        <w:trPr>
          <w:trHeight w:val="397"/>
        </w:trPr>
        <w:tc>
          <w:tcPr>
            <w:tcW w:w="9781" w:type="dxa"/>
            <w:vAlign w:val="center"/>
          </w:tcPr>
          <w:p w14:paraId="7273B9A2" w14:textId="77777777" w:rsidR="00541B6A" w:rsidRDefault="00702F4F">
            <w:pPr>
              <w:autoSpaceDE w:val="0"/>
              <w:autoSpaceDN w:val="0"/>
              <w:adjustRightInd w:val="0"/>
              <w:spacing w:line="400" w:lineRule="atLeast"/>
              <w:contextualSpacing/>
              <w:rPr>
                <w:rFonts w:cs="Arial"/>
                <w:b/>
                <w:bCs/>
                <w:i/>
                <w:iCs/>
                <w:sz w:val="22"/>
                <w:szCs w:val="22"/>
                <w:lang w:eastAsia="zh-CN"/>
              </w:rPr>
            </w:pPr>
            <w:r>
              <w:rPr>
                <w:rFonts w:cs="Arial"/>
                <w:b/>
                <w:bCs/>
                <w:i/>
                <w:iCs/>
                <w:sz w:val="22"/>
                <w:szCs w:val="22"/>
                <w:lang w:eastAsia="zh-CN"/>
              </w:rPr>
              <w:t xml:space="preserve">Research aim: </w:t>
            </w:r>
          </w:p>
          <w:p w14:paraId="5CA5674C" w14:textId="77777777" w:rsidR="00541B6A" w:rsidRDefault="00702F4F">
            <w:pPr>
              <w:autoSpaceDE w:val="0"/>
              <w:autoSpaceDN w:val="0"/>
              <w:adjustRightInd w:val="0"/>
              <w:spacing w:line="400" w:lineRule="atLeast"/>
              <w:contextualSpacing/>
              <w:rPr>
                <w:rFonts w:cs="Arial"/>
                <w:sz w:val="22"/>
                <w:szCs w:val="22"/>
                <w:lang w:eastAsia="zh-CN"/>
              </w:rPr>
            </w:pPr>
            <w:r>
              <w:rPr>
                <w:rFonts w:cs="Arial"/>
                <w:sz w:val="22"/>
                <w:szCs w:val="22"/>
                <w:lang w:eastAsia="zh-CN"/>
              </w:rPr>
              <w:t xml:space="preserve">This research aims to </w:t>
            </w:r>
            <w:r>
              <w:rPr>
                <w:rFonts w:cs="Arial" w:hint="eastAsia"/>
                <w:sz w:val="22"/>
                <w:szCs w:val="22"/>
                <w:lang w:val="en-US" w:eastAsia="zh-CN"/>
              </w:rPr>
              <w:t>investigate</w:t>
            </w:r>
            <w:r>
              <w:rPr>
                <w:rFonts w:cs="Arial"/>
                <w:sz w:val="22"/>
                <w:szCs w:val="22"/>
                <w:lang w:eastAsia="zh-CN"/>
              </w:rPr>
              <w:t xml:space="preserve"> </w:t>
            </w:r>
            <w:bookmarkStart w:id="1" w:name="OLE_LINK10"/>
            <w:r>
              <w:rPr>
                <w:rFonts w:cs="Arial"/>
                <w:sz w:val="22"/>
                <w:szCs w:val="22"/>
                <w:lang w:eastAsia="zh-CN"/>
              </w:rPr>
              <w:t xml:space="preserve">the </w:t>
            </w:r>
            <w:r>
              <w:rPr>
                <w:rFonts w:cs="Arial" w:hint="eastAsia"/>
                <w:sz w:val="22"/>
                <w:szCs w:val="22"/>
                <w:lang w:val="en-US" w:eastAsia="zh-CN"/>
              </w:rPr>
              <w:t>organizational sensemaking</w:t>
            </w:r>
            <w:bookmarkEnd w:id="1"/>
            <w:r>
              <w:rPr>
                <w:rFonts w:cs="Arial" w:hint="eastAsia"/>
                <w:sz w:val="22"/>
                <w:szCs w:val="22"/>
                <w:lang w:val="en-US" w:eastAsia="zh-CN"/>
              </w:rPr>
              <w:t xml:space="preserve"> t</w:t>
            </w:r>
            <w:bookmarkStart w:id="2" w:name="OLE_LINK9"/>
            <w:r>
              <w:rPr>
                <w:rFonts w:cs="Arial" w:hint="eastAsia"/>
                <w:sz w:val="22"/>
                <w:szCs w:val="22"/>
                <w:lang w:val="en-US" w:eastAsia="zh-CN"/>
              </w:rPr>
              <w:t xml:space="preserve">hrough the sustainable </w:t>
            </w:r>
            <w:r>
              <w:rPr>
                <w:rFonts w:cs="Arial" w:hint="eastAsia"/>
                <w:sz w:val="22"/>
                <w:szCs w:val="22"/>
                <w:lang w:val="en-US" w:eastAsia="zh-CN"/>
              </w:rPr>
              <w:t>management</w:t>
            </w:r>
            <w:r>
              <w:rPr>
                <w:rFonts w:cs="Arial"/>
                <w:sz w:val="22"/>
                <w:szCs w:val="22"/>
                <w:lang w:eastAsia="zh-CN"/>
              </w:rPr>
              <w:t xml:space="preserve"> </w:t>
            </w:r>
            <w:r>
              <w:rPr>
                <w:rFonts w:cs="Arial" w:hint="eastAsia"/>
                <w:sz w:val="22"/>
                <w:szCs w:val="22"/>
                <w:lang w:val="en-US" w:eastAsia="zh-CN"/>
              </w:rPr>
              <w:t xml:space="preserve">of the </w:t>
            </w:r>
            <w:r>
              <w:rPr>
                <w:rFonts w:cs="Arial"/>
                <w:sz w:val="22"/>
                <w:szCs w:val="22"/>
                <w:lang w:eastAsia="zh-CN"/>
              </w:rPr>
              <w:t>Fujian Opera</w:t>
            </w:r>
            <w:r>
              <w:rPr>
                <w:rFonts w:cs="Arial" w:hint="eastAsia"/>
                <w:sz w:val="22"/>
                <w:szCs w:val="22"/>
                <w:lang w:val="en-US" w:eastAsia="zh-CN"/>
              </w:rPr>
              <w:t xml:space="preserve"> Troupes</w:t>
            </w:r>
            <w:bookmarkEnd w:id="2"/>
            <w:r>
              <w:rPr>
                <w:rFonts w:cs="Arial" w:hint="eastAsia"/>
                <w:sz w:val="22"/>
                <w:szCs w:val="22"/>
                <w:lang w:val="en-US" w:eastAsia="zh-CN"/>
              </w:rPr>
              <w:t xml:space="preserve"> among diverse stakeholders based on</w:t>
            </w:r>
            <w:r>
              <w:rPr>
                <w:rFonts w:cs="Arial"/>
                <w:sz w:val="22"/>
                <w:szCs w:val="22"/>
                <w:lang w:eastAsia="zh-CN"/>
              </w:rPr>
              <w:t xml:space="preserve"> the</w:t>
            </w:r>
            <w:r>
              <w:rPr>
                <w:rFonts w:cs="Arial" w:hint="eastAsia"/>
                <w:sz w:val="22"/>
                <w:szCs w:val="22"/>
                <w:lang w:val="en-US" w:eastAsia="zh-CN"/>
              </w:rPr>
              <w:t xml:space="preserve"> reconstruction</w:t>
            </w:r>
            <w:r>
              <w:rPr>
                <w:rFonts w:cs="Arial"/>
                <w:sz w:val="22"/>
                <w:szCs w:val="22"/>
                <w:lang w:eastAsia="zh-CN"/>
              </w:rPr>
              <w:t xml:space="preserve"> of </w:t>
            </w:r>
            <w:r>
              <w:rPr>
                <w:rFonts w:cs="Arial" w:hint="eastAsia"/>
                <w:sz w:val="22"/>
                <w:szCs w:val="22"/>
                <w:lang w:val="en-US" w:eastAsia="zh-CN"/>
              </w:rPr>
              <w:t>dual urban-rural</w:t>
            </w:r>
            <w:r>
              <w:rPr>
                <w:rFonts w:cs="Arial"/>
                <w:sz w:val="22"/>
                <w:szCs w:val="22"/>
                <w:lang w:eastAsia="zh-CN"/>
              </w:rPr>
              <w:t xml:space="preserve"> </w:t>
            </w:r>
            <w:r>
              <w:rPr>
                <w:rFonts w:cs="Arial" w:hint="eastAsia"/>
                <w:sz w:val="22"/>
                <w:szCs w:val="22"/>
                <w:lang w:val="en-US" w:eastAsia="zh-CN"/>
              </w:rPr>
              <w:t>culture in China</w:t>
            </w:r>
            <w:r>
              <w:rPr>
                <w:rFonts w:cs="Arial"/>
                <w:sz w:val="22"/>
                <w:szCs w:val="22"/>
                <w:lang w:eastAsia="zh-CN"/>
              </w:rPr>
              <w:t>.</w:t>
            </w:r>
          </w:p>
          <w:p w14:paraId="5078BABB" w14:textId="77777777" w:rsidR="00541B6A" w:rsidRDefault="00541B6A">
            <w:pPr>
              <w:autoSpaceDE w:val="0"/>
              <w:autoSpaceDN w:val="0"/>
              <w:adjustRightInd w:val="0"/>
              <w:spacing w:line="400" w:lineRule="atLeast"/>
              <w:contextualSpacing/>
              <w:rPr>
                <w:rFonts w:cs="Arial"/>
                <w:sz w:val="22"/>
                <w:szCs w:val="22"/>
                <w:lang w:eastAsia="zh-CN"/>
              </w:rPr>
            </w:pPr>
          </w:p>
          <w:p w14:paraId="42A075E5" w14:textId="77777777" w:rsidR="00541B6A" w:rsidRDefault="00702F4F">
            <w:pPr>
              <w:autoSpaceDE w:val="0"/>
              <w:autoSpaceDN w:val="0"/>
              <w:adjustRightInd w:val="0"/>
              <w:spacing w:line="400" w:lineRule="atLeast"/>
              <w:contextualSpacing/>
              <w:rPr>
                <w:rFonts w:cs="Arial"/>
                <w:b/>
                <w:bCs/>
                <w:i/>
                <w:iCs/>
                <w:sz w:val="22"/>
                <w:szCs w:val="22"/>
                <w:lang w:eastAsia="zh-CN"/>
              </w:rPr>
            </w:pPr>
            <w:r>
              <w:rPr>
                <w:rFonts w:cs="Arial"/>
                <w:b/>
                <w:bCs/>
                <w:i/>
                <w:iCs/>
                <w:sz w:val="22"/>
                <w:szCs w:val="22"/>
                <w:lang w:eastAsia="zh-CN"/>
              </w:rPr>
              <w:t>Research objectives:</w:t>
            </w:r>
          </w:p>
          <w:p w14:paraId="20D7A37E" w14:textId="77777777" w:rsidR="00541B6A" w:rsidRDefault="00702F4F">
            <w:pPr>
              <w:autoSpaceDE w:val="0"/>
              <w:autoSpaceDN w:val="0"/>
              <w:adjustRightInd w:val="0"/>
              <w:spacing w:line="400" w:lineRule="atLeast"/>
              <w:contextualSpacing/>
              <w:rPr>
                <w:rFonts w:cs="Arial"/>
                <w:sz w:val="22"/>
                <w:szCs w:val="22"/>
                <w:lang w:eastAsia="zh-CN"/>
              </w:rPr>
            </w:pPr>
            <w:r>
              <w:rPr>
                <w:rFonts w:cs="Arial"/>
                <w:sz w:val="22"/>
                <w:szCs w:val="22"/>
                <w:lang w:eastAsia="zh-CN"/>
              </w:rPr>
              <w:t>The objectives are as follows to obtain the research aim:</w:t>
            </w:r>
          </w:p>
          <w:p w14:paraId="0BA7CF53" w14:textId="77777777" w:rsidR="00541B6A" w:rsidRDefault="00702F4F">
            <w:pPr>
              <w:pStyle w:val="ListParagraph"/>
              <w:numPr>
                <w:ilvl w:val="0"/>
                <w:numId w:val="1"/>
              </w:numPr>
              <w:autoSpaceDE w:val="0"/>
              <w:autoSpaceDN w:val="0"/>
              <w:adjustRightInd w:val="0"/>
              <w:spacing w:line="400" w:lineRule="atLeast"/>
              <w:contextualSpacing/>
              <w:rPr>
                <w:rFonts w:cs="Arial"/>
                <w:sz w:val="22"/>
                <w:szCs w:val="22"/>
                <w:lang w:eastAsia="zh-CN"/>
              </w:rPr>
            </w:pPr>
            <w:r>
              <w:rPr>
                <w:rFonts w:cs="Arial"/>
                <w:sz w:val="22"/>
                <w:szCs w:val="22"/>
                <w:lang w:eastAsia="zh-CN"/>
              </w:rPr>
              <w:t xml:space="preserve">To </w:t>
            </w:r>
            <w:r>
              <w:rPr>
                <w:rFonts w:cs="Arial" w:hint="eastAsia"/>
                <w:sz w:val="22"/>
                <w:szCs w:val="22"/>
                <w:lang w:val="en-US" w:eastAsia="zh-CN"/>
              </w:rPr>
              <w:t>identify</w:t>
            </w:r>
            <w:r>
              <w:rPr>
                <w:rFonts w:cs="Arial"/>
                <w:sz w:val="22"/>
                <w:szCs w:val="22"/>
                <w:lang w:eastAsia="zh-CN"/>
              </w:rPr>
              <w:t xml:space="preserve"> the</w:t>
            </w:r>
            <w:r>
              <w:rPr>
                <w:rFonts w:cs="Arial" w:hint="eastAsia"/>
                <w:sz w:val="22"/>
                <w:szCs w:val="22"/>
                <w:lang w:val="en-US" w:eastAsia="zh-CN"/>
              </w:rPr>
              <w:t xml:space="preserve"> key challenges</w:t>
            </w:r>
            <w:r>
              <w:rPr>
                <w:rFonts w:cs="Arial"/>
                <w:sz w:val="22"/>
                <w:szCs w:val="22"/>
                <w:lang w:eastAsia="zh-CN"/>
              </w:rPr>
              <w:t xml:space="preserve"> in the</w:t>
            </w:r>
            <w:r>
              <w:rPr>
                <w:rFonts w:cs="Arial" w:hint="eastAsia"/>
                <w:sz w:val="22"/>
                <w:szCs w:val="22"/>
                <w:lang w:val="en-US" w:eastAsia="zh-CN"/>
              </w:rPr>
              <w:t xml:space="preserve"> sustai</w:t>
            </w:r>
            <w:r>
              <w:rPr>
                <w:rFonts w:cs="Arial" w:hint="eastAsia"/>
                <w:sz w:val="22"/>
                <w:szCs w:val="22"/>
                <w:lang w:val="en-US" w:eastAsia="zh-CN"/>
              </w:rPr>
              <w:t>nable management of</w:t>
            </w:r>
            <w:r>
              <w:rPr>
                <w:rFonts w:cs="Arial"/>
                <w:sz w:val="22"/>
                <w:szCs w:val="22"/>
                <w:lang w:eastAsia="zh-CN"/>
              </w:rPr>
              <w:t xml:space="preserve"> Fujian Opera </w:t>
            </w:r>
            <w:r>
              <w:rPr>
                <w:rFonts w:cs="Arial" w:hint="eastAsia"/>
                <w:sz w:val="22"/>
                <w:szCs w:val="22"/>
                <w:lang w:val="en-US" w:eastAsia="zh-CN"/>
              </w:rPr>
              <w:t xml:space="preserve">Troupes </w:t>
            </w:r>
            <w:bookmarkStart w:id="3" w:name="OLE_LINK8"/>
            <w:r>
              <w:rPr>
                <w:rFonts w:cs="Arial" w:hint="eastAsia"/>
                <w:sz w:val="22"/>
                <w:szCs w:val="22"/>
                <w:lang w:val="en-US" w:eastAsia="zh-CN"/>
              </w:rPr>
              <w:t>based on the</w:t>
            </w:r>
            <w:r>
              <w:rPr>
                <w:rFonts w:cs="Arial"/>
                <w:sz w:val="22"/>
                <w:szCs w:val="22"/>
                <w:lang w:eastAsia="zh-CN"/>
              </w:rPr>
              <w:t xml:space="preserve"> reconstruction of </w:t>
            </w:r>
            <w:r>
              <w:rPr>
                <w:rFonts w:cs="Arial" w:hint="eastAsia"/>
                <w:sz w:val="22"/>
                <w:szCs w:val="22"/>
                <w:lang w:val="en-US" w:eastAsia="zh-CN"/>
              </w:rPr>
              <w:t>urban-rural</w:t>
            </w:r>
            <w:r>
              <w:rPr>
                <w:rFonts w:cs="Arial"/>
                <w:sz w:val="22"/>
                <w:szCs w:val="22"/>
                <w:lang w:eastAsia="zh-CN"/>
              </w:rPr>
              <w:t xml:space="preserve"> </w:t>
            </w:r>
            <w:r>
              <w:rPr>
                <w:rFonts w:cs="Arial" w:hint="eastAsia"/>
                <w:sz w:val="22"/>
                <w:szCs w:val="22"/>
                <w:lang w:val="en-US" w:eastAsia="zh-CN"/>
              </w:rPr>
              <w:t>culture in China</w:t>
            </w:r>
            <w:bookmarkEnd w:id="3"/>
            <w:r>
              <w:rPr>
                <w:rFonts w:cs="Arial"/>
                <w:sz w:val="22"/>
                <w:szCs w:val="22"/>
                <w:lang w:eastAsia="zh-CN"/>
              </w:rPr>
              <w:t xml:space="preserve">.  </w:t>
            </w:r>
          </w:p>
          <w:p w14:paraId="3FC95F9F" w14:textId="77777777" w:rsidR="00541B6A" w:rsidRDefault="00702F4F">
            <w:pPr>
              <w:pStyle w:val="ListParagraph"/>
              <w:numPr>
                <w:ilvl w:val="0"/>
                <w:numId w:val="1"/>
              </w:numPr>
              <w:autoSpaceDE w:val="0"/>
              <w:autoSpaceDN w:val="0"/>
              <w:adjustRightInd w:val="0"/>
              <w:spacing w:line="400" w:lineRule="atLeast"/>
              <w:contextualSpacing/>
              <w:rPr>
                <w:rFonts w:cs="Arial"/>
                <w:sz w:val="22"/>
                <w:szCs w:val="22"/>
                <w:lang w:eastAsia="zh-CN"/>
              </w:rPr>
            </w:pPr>
            <w:r>
              <w:rPr>
                <w:rFonts w:cs="Arial" w:hint="eastAsia"/>
                <w:sz w:val="22"/>
                <w:szCs w:val="22"/>
                <w:lang w:val="en-US" w:eastAsia="zh-CN"/>
              </w:rPr>
              <w:t xml:space="preserve">To investigate sustainable strategies among </w:t>
            </w:r>
            <w:r>
              <w:rPr>
                <w:rFonts w:cs="Arial"/>
                <w:sz w:val="22"/>
                <w:szCs w:val="22"/>
                <w:lang w:eastAsia="zh-CN"/>
              </w:rPr>
              <w:t>pluralistic stakeholders</w:t>
            </w:r>
            <w:r>
              <w:rPr>
                <w:rFonts w:cs="Arial" w:hint="eastAsia"/>
                <w:sz w:val="22"/>
                <w:szCs w:val="22"/>
                <w:lang w:val="en-US" w:eastAsia="zh-CN"/>
              </w:rPr>
              <w:t xml:space="preserve"> </w:t>
            </w:r>
            <w:r>
              <w:rPr>
                <w:rFonts w:eastAsiaTheme="minorEastAsia" w:cs="Arial" w:hint="eastAsia"/>
                <w:sz w:val="22"/>
                <w:szCs w:val="22"/>
                <w:lang w:val="en-US" w:eastAsia="zh-CN"/>
              </w:rPr>
              <w:t xml:space="preserve">by </w:t>
            </w:r>
            <w:r>
              <w:rPr>
                <w:rFonts w:cs="Arial"/>
                <w:sz w:val="22"/>
                <w:szCs w:val="22"/>
                <w:lang w:eastAsia="zh-CN"/>
              </w:rPr>
              <w:t>retrospective and prospective sensemaking</w:t>
            </w:r>
            <w:r>
              <w:rPr>
                <w:rFonts w:cs="Arial" w:hint="eastAsia"/>
                <w:sz w:val="22"/>
                <w:szCs w:val="22"/>
                <w:lang w:val="en-US" w:eastAsia="zh-CN"/>
              </w:rPr>
              <w:t xml:space="preserve"> to overcome these challenges in urban </w:t>
            </w:r>
            <w:r>
              <w:rPr>
                <w:rFonts w:cs="Arial" w:hint="eastAsia"/>
                <w:sz w:val="22"/>
                <w:szCs w:val="22"/>
                <w:lang w:val="en-US" w:eastAsia="zh-CN"/>
              </w:rPr>
              <w:t>and rural troupes.</w:t>
            </w:r>
          </w:p>
          <w:p w14:paraId="2B6620A5" w14:textId="77777777" w:rsidR="00541B6A" w:rsidRDefault="00702F4F">
            <w:pPr>
              <w:pStyle w:val="ListParagraph"/>
              <w:numPr>
                <w:ilvl w:val="0"/>
                <w:numId w:val="1"/>
              </w:numPr>
              <w:autoSpaceDE w:val="0"/>
              <w:autoSpaceDN w:val="0"/>
              <w:adjustRightInd w:val="0"/>
              <w:spacing w:line="400" w:lineRule="atLeast"/>
              <w:contextualSpacing/>
              <w:rPr>
                <w:rFonts w:cs="Arial"/>
                <w:sz w:val="22"/>
                <w:szCs w:val="22"/>
                <w:lang w:eastAsia="zh-CN"/>
              </w:rPr>
            </w:pPr>
            <w:r>
              <w:rPr>
                <w:rFonts w:eastAsiaTheme="minorEastAsia" w:cs="Arial"/>
                <w:sz w:val="22"/>
                <w:szCs w:val="22"/>
                <w:lang w:eastAsia="zh-CN"/>
              </w:rPr>
              <w:t xml:space="preserve">To </w:t>
            </w:r>
            <w:r>
              <w:rPr>
                <w:rFonts w:eastAsiaTheme="minorEastAsia" w:cs="Arial" w:hint="eastAsia"/>
                <w:sz w:val="22"/>
                <w:szCs w:val="22"/>
                <w:lang w:val="en-US" w:eastAsia="zh-CN"/>
              </w:rPr>
              <w:t xml:space="preserve">examine whether these </w:t>
            </w:r>
            <w:r>
              <w:rPr>
                <w:rFonts w:cs="Arial" w:hint="eastAsia"/>
                <w:sz w:val="22"/>
                <w:szCs w:val="22"/>
                <w:lang w:val="en-US" w:eastAsia="zh-CN"/>
              </w:rPr>
              <w:t>sustainable strategies</w:t>
            </w:r>
            <w:r>
              <w:rPr>
                <w:rFonts w:cs="Arial"/>
                <w:sz w:val="22"/>
                <w:szCs w:val="22"/>
                <w:lang w:eastAsia="zh-CN"/>
              </w:rPr>
              <w:t xml:space="preserve"> </w:t>
            </w:r>
            <w:r>
              <w:rPr>
                <w:rFonts w:cs="Arial" w:hint="eastAsia"/>
                <w:sz w:val="22"/>
                <w:szCs w:val="22"/>
                <w:lang w:val="en-US" w:eastAsia="zh-CN"/>
              </w:rPr>
              <w:t xml:space="preserve">are significant for the </w:t>
            </w:r>
            <w:r>
              <w:rPr>
                <w:rFonts w:cs="Arial"/>
                <w:sz w:val="22"/>
                <w:szCs w:val="22"/>
                <w:lang w:eastAsia="zh-CN"/>
              </w:rPr>
              <w:t>Fujian Opera</w:t>
            </w:r>
            <w:r>
              <w:rPr>
                <w:rFonts w:cs="Arial" w:hint="eastAsia"/>
                <w:sz w:val="22"/>
                <w:szCs w:val="22"/>
                <w:lang w:val="en-US" w:eastAsia="zh-CN"/>
              </w:rPr>
              <w:t xml:space="preserve"> Troupes in rural and urban areas to overcome those key challenges</w:t>
            </w:r>
            <w:r>
              <w:rPr>
                <w:rFonts w:cs="Arial"/>
                <w:sz w:val="22"/>
                <w:szCs w:val="22"/>
                <w:lang w:eastAsia="zh-CN"/>
              </w:rPr>
              <w:t>.</w:t>
            </w:r>
          </w:p>
          <w:p w14:paraId="07FF112B" w14:textId="77777777" w:rsidR="00541B6A" w:rsidRDefault="00702F4F">
            <w:pPr>
              <w:pStyle w:val="ListParagraph"/>
              <w:numPr>
                <w:ilvl w:val="0"/>
                <w:numId w:val="1"/>
              </w:numPr>
              <w:autoSpaceDE w:val="0"/>
              <w:autoSpaceDN w:val="0"/>
              <w:adjustRightInd w:val="0"/>
              <w:spacing w:line="400" w:lineRule="atLeast"/>
              <w:contextualSpacing/>
              <w:rPr>
                <w:rFonts w:cs="Arial"/>
                <w:sz w:val="22"/>
                <w:szCs w:val="22"/>
                <w:lang w:eastAsia="zh-CN"/>
              </w:rPr>
            </w:pPr>
            <w:r>
              <w:rPr>
                <w:rFonts w:eastAsiaTheme="minorEastAsia" w:cs="Arial"/>
                <w:sz w:val="22"/>
                <w:szCs w:val="22"/>
                <w:lang w:eastAsia="zh-CN"/>
              </w:rPr>
              <w:t xml:space="preserve">To </w:t>
            </w:r>
            <w:r>
              <w:rPr>
                <w:rFonts w:eastAsiaTheme="minorEastAsia" w:cs="Arial" w:hint="eastAsia"/>
                <w:sz w:val="22"/>
                <w:szCs w:val="22"/>
                <w:lang w:val="en-US" w:eastAsia="zh-CN"/>
              </w:rPr>
              <w:t>evaluate</w:t>
            </w:r>
            <w:r>
              <w:rPr>
                <w:rFonts w:eastAsiaTheme="minorEastAsia" w:cs="Arial"/>
                <w:sz w:val="22"/>
                <w:szCs w:val="22"/>
                <w:lang w:eastAsia="zh-CN"/>
              </w:rPr>
              <w:t xml:space="preserve"> the sustainable </w:t>
            </w:r>
            <w:r>
              <w:rPr>
                <w:rFonts w:eastAsiaTheme="minorEastAsia" w:cs="Arial" w:hint="eastAsia"/>
                <w:sz w:val="22"/>
                <w:szCs w:val="22"/>
                <w:lang w:val="en-US" w:eastAsia="zh-CN"/>
              </w:rPr>
              <w:t xml:space="preserve">strategies </w:t>
            </w:r>
            <w:r>
              <w:rPr>
                <w:rFonts w:eastAsiaTheme="minorEastAsia" w:cs="Arial"/>
                <w:sz w:val="22"/>
                <w:szCs w:val="22"/>
                <w:lang w:eastAsia="zh-CN"/>
              </w:rPr>
              <w:t xml:space="preserve">of the Fujian Opera </w:t>
            </w:r>
            <w:r>
              <w:rPr>
                <w:rFonts w:eastAsiaTheme="minorEastAsia" w:cs="Arial" w:hint="eastAsia"/>
                <w:sz w:val="22"/>
                <w:szCs w:val="22"/>
                <w:lang w:val="en-US" w:eastAsia="zh-CN"/>
              </w:rPr>
              <w:t>Troupes</w:t>
            </w:r>
            <w:r>
              <w:rPr>
                <w:rFonts w:eastAsiaTheme="minorEastAsia" w:cs="Arial"/>
                <w:sz w:val="22"/>
                <w:szCs w:val="22"/>
                <w:lang w:eastAsia="zh-CN"/>
              </w:rPr>
              <w:t xml:space="preserve"> </w:t>
            </w:r>
            <w:r>
              <w:rPr>
                <w:rFonts w:eastAsiaTheme="minorEastAsia" w:cs="Arial" w:hint="eastAsia"/>
                <w:sz w:val="22"/>
                <w:szCs w:val="22"/>
                <w:lang w:val="en-US" w:eastAsia="zh-CN"/>
              </w:rPr>
              <w:t>with the transform</w:t>
            </w:r>
            <w:r>
              <w:rPr>
                <w:rFonts w:eastAsiaTheme="minorEastAsia" w:cs="Arial" w:hint="eastAsia"/>
                <w:sz w:val="22"/>
                <w:szCs w:val="22"/>
                <w:lang w:val="en-US" w:eastAsia="zh-CN"/>
              </w:rPr>
              <w:t>ation of urban-rural culture rapidly in the future.</w:t>
            </w:r>
          </w:p>
          <w:p w14:paraId="5F424D13" w14:textId="77777777" w:rsidR="00541B6A" w:rsidRDefault="00541B6A">
            <w:pPr>
              <w:autoSpaceDE w:val="0"/>
              <w:autoSpaceDN w:val="0"/>
              <w:adjustRightInd w:val="0"/>
              <w:spacing w:line="400" w:lineRule="atLeast"/>
              <w:contextualSpacing/>
              <w:rPr>
                <w:rFonts w:cs="Arial"/>
                <w:b/>
                <w:bCs/>
                <w:i/>
                <w:iCs/>
                <w:sz w:val="22"/>
                <w:szCs w:val="22"/>
                <w:lang w:eastAsia="zh-CN"/>
              </w:rPr>
            </w:pPr>
          </w:p>
          <w:p w14:paraId="0D93C36C" w14:textId="77777777" w:rsidR="00541B6A" w:rsidRDefault="00702F4F">
            <w:pPr>
              <w:autoSpaceDE w:val="0"/>
              <w:autoSpaceDN w:val="0"/>
              <w:adjustRightInd w:val="0"/>
              <w:spacing w:line="400" w:lineRule="atLeast"/>
              <w:contextualSpacing/>
              <w:rPr>
                <w:rFonts w:cs="Arial"/>
                <w:b/>
                <w:bCs/>
                <w:i/>
                <w:iCs/>
                <w:sz w:val="22"/>
                <w:szCs w:val="22"/>
                <w:lang w:eastAsia="zh-CN"/>
              </w:rPr>
            </w:pPr>
            <w:r>
              <w:rPr>
                <w:rFonts w:cs="Arial"/>
                <w:b/>
                <w:bCs/>
                <w:i/>
                <w:iCs/>
                <w:sz w:val="22"/>
                <w:szCs w:val="22"/>
                <w:lang w:eastAsia="zh-CN"/>
              </w:rPr>
              <w:t>Research questions:</w:t>
            </w:r>
          </w:p>
          <w:p w14:paraId="78BCC0D3" w14:textId="77777777" w:rsidR="00541B6A" w:rsidRDefault="00702F4F">
            <w:pPr>
              <w:autoSpaceDE w:val="0"/>
              <w:autoSpaceDN w:val="0"/>
              <w:adjustRightInd w:val="0"/>
              <w:spacing w:line="400" w:lineRule="atLeast"/>
              <w:contextualSpacing/>
              <w:rPr>
                <w:rFonts w:cs="Arial"/>
                <w:sz w:val="22"/>
                <w:szCs w:val="22"/>
                <w:lang w:eastAsia="zh-CN"/>
              </w:rPr>
            </w:pPr>
            <w:r>
              <w:rPr>
                <w:rFonts w:cs="Arial"/>
                <w:sz w:val="22"/>
                <w:szCs w:val="22"/>
                <w:lang w:eastAsia="zh-CN"/>
              </w:rPr>
              <w:t xml:space="preserve">According to the aim and objectives above, the research questions are as follows: </w:t>
            </w:r>
          </w:p>
          <w:p w14:paraId="7C3E6080" w14:textId="77777777" w:rsidR="00541B6A" w:rsidRDefault="00702F4F">
            <w:pPr>
              <w:autoSpaceDE w:val="0"/>
              <w:autoSpaceDN w:val="0"/>
              <w:adjustRightInd w:val="0"/>
              <w:spacing w:line="400" w:lineRule="atLeast"/>
              <w:contextualSpacing/>
              <w:rPr>
                <w:rFonts w:cs="Arial"/>
                <w:sz w:val="22"/>
                <w:szCs w:val="22"/>
                <w:lang w:eastAsia="zh-CN"/>
              </w:rPr>
            </w:pPr>
            <w:r>
              <w:rPr>
                <w:rFonts w:cs="Arial"/>
                <w:sz w:val="22"/>
                <w:szCs w:val="22"/>
                <w:lang w:eastAsia="zh-CN"/>
              </w:rPr>
              <w:t xml:space="preserve">Q1: </w:t>
            </w:r>
            <w:r>
              <w:rPr>
                <w:rFonts w:cs="Arial" w:hint="eastAsia"/>
                <w:sz w:val="22"/>
                <w:szCs w:val="22"/>
                <w:lang w:val="en-US" w:eastAsia="zh-CN"/>
              </w:rPr>
              <w:t>What</w:t>
            </w:r>
            <w:r>
              <w:rPr>
                <w:rFonts w:cs="Arial"/>
                <w:sz w:val="22"/>
                <w:szCs w:val="22"/>
                <w:lang w:eastAsia="zh-CN"/>
              </w:rPr>
              <w:t xml:space="preserve"> </w:t>
            </w:r>
            <w:r>
              <w:rPr>
                <w:rFonts w:cs="Arial" w:hint="eastAsia"/>
                <w:sz w:val="22"/>
                <w:szCs w:val="22"/>
                <w:lang w:val="en-US" w:eastAsia="zh-CN"/>
              </w:rPr>
              <w:t>are</w:t>
            </w:r>
            <w:r>
              <w:rPr>
                <w:rFonts w:cs="Arial"/>
                <w:sz w:val="22"/>
                <w:szCs w:val="22"/>
                <w:lang w:eastAsia="zh-CN"/>
              </w:rPr>
              <w:t xml:space="preserve"> the </w:t>
            </w:r>
            <w:r>
              <w:rPr>
                <w:rFonts w:cs="Arial" w:hint="eastAsia"/>
                <w:sz w:val="22"/>
                <w:szCs w:val="22"/>
                <w:lang w:val="en-US" w:eastAsia="zh-CN"/>
              </w:rPr>
              <w:t>key challenges</w:t>
            </w:r>
            <w:r>
              <w:rPr>
                <w:rFonts w:cs="Arial"/>
                <w:sz w:val="22"/>
                <w:szCs w:val="22"/>
                <w:lang w:eastAsia="zh-CN"/>
              </w:rPr>
              <w:t xml:space="preserve"> </w:t>
            </w:r>
            <w:r>
              <w:rPr>
                <w:rFonts w:cs="Arial" w:hint="eastAsia"/>
                <w:sz w:val="22"/>
                <w:szCs w:val="22"/>
                <w:lang w:val="en-US" w:eastAsia="zh-CN"/>
              </w:rPr>
              <w:t>triggered by the</w:t>
            </w:r>
            <w:r>
              <w:rPr>
                <w:rFonts w:cs="Arial"/>
                <w:sz w:val="22"/>
                <w:szCs w:val="22"/>
                <w:lang w:eastAsia="zh-CN"/>
              </w:rPr>
              <w:t xml:space="preserve"> </w:t>
            </w:r>
            <w:r>
              <w:rPr>
                <w:rFonts w:cs="Arial" w:hint="eastAsia"/>
                <w:sz w:val="22"/>
                <w:szCs w:val="22"/>
                <w:lang w:val="en-US" w:eastAsia="zh-CN"/>
              </w:rPr>
              <w:t xml:space="preserve">organizational </w:t>
            </w:r>
            <w:r>
              <w:rPr>
                <w:rFonts w:cs="Arial"/>
                <w:sz w:val="22"/>
                <w:szCs w:val="22"/>
                <w:lang w:eastAsia="zh-CN"/>
              </w:rPr>
              <w:t xml:space="preserve">sensemaking </w:t>
            </w:r>
            <w:r>
              <w:rPr>
                <w:rFonts w:cs="Arial" w:hint="eastAsia"/>
                <w:sz w:val="22"/>
                <w:szCs w:val="22"/>
                <w:lang w:val="en-US" w:eastAsia="zh-CN"/>
              </w:rPr>
              <w:t xml:space="preserve">through the sustainable management of </w:t>
            </w:r>
            <w:r>
              <w:rPr>
                <w:rFonts w:cs="Arial"/>
                <w:sz w:val="22"/>
                <w:szCs w:val="22"/>
                <w:lang w:eastAsia="zh-CN"/>
              </w:rPr>
              <w:t xml:space="preserve">the Fujian Opera </w:t>
            </w:r>
            <w:r>
              <w:rPr>
                <w:rFonts w:cs="Arial" w:hint="eastAsia"/>
                <w:sz w:val="22"/>
                <w:szCs w:val="22"/>
                <w:lang w:val="en-US" w:eastAsia="zh-CN"/>
              </w:rPr>
              <w:t>Troupes based on the</w:t>
            </w:r>
            <w:r>
              <w:rPr>
                <w:rFonts w:cs="Arial"/>
                <w:sz w:val="22"/>
                <w:szCs w:val="22"/>
                <w:lang w:eastAsia="zh-CN"/>
              </w:rPr>
              <w:t xml:space="preserve"> reconstruction of </w:t>
            </w:r>
            <w:r>
              <w:rPr>
                <w:rFonts w:cs="Arial" w:hint="eastAsia"/>
                <w:sz w:val="22"/>
                <w:szCs w:val="22"/>
                <w:lang w:val="en-US" w:eastAsia="zh-CN"/>
              </w:rPr>
              <w:t>urban-rural</w:t>
            </w:r>
            <w:r>
              <w:rPr>
                <w:rFonts w:cs="Arial"/>
                <w:sz w:val="22"/>
                <w:szCs w:val="22"/>
                <w:lang w:eastAsia="zh-CN"/>
              </w:rPr>
              <w:t xml:space="preserve"> </w:t>
            </w:r>
            <w:r>
              <w:rPr>
                <w:rFonts w:cs="Arial" w:hint="eastAsia"/>
                <w:sz w:val="22"/>
                <w:szCs w:val="22"/>
                <w:lang w:val="en-US" w:eastAsia="zh-CN"/>
              </w:rPr>
              <w:t>culture in China</w:t>
            </w:r>
            <w:r>
              <w:rPr>
                <w:rFonts w:cs="Arial"/>
                <w:sz w:val="22"/>
                <w:szCs w:val="22"/>
                <w:lang w:eastAsia="zh-CN"/>
              </w:rPr>
              <w:t>?</w:t>
            </w:r>
          </w:p>
          <w:p w14:paraId="00090677" w14:textId="77777777" w:rsidR="00541B6A" w:rsidRDefault="00702F4F">
            <w:pPr>
              <w:autoSpaceDE w:val="0"/>
              <w:autoSpaceDN w:val="0"/>
              <w:adjustRightInd w:val="0"/>
              <w:spacing w:line="400" w:lineRule="atLeast"/>
              <w:contextualSpacing/>
              <w:rPr>
                <w:rFonts w:cs="Arial"/>
                <w:strike/>
                <w:color w:val="FF0000"/>
                <w:sz w:val="22"/>
                <w:szCs w:val="22"/>
                <w:lang w:eastAsia="zh-CN"/>
              </w:rPr>
            </w:pPr>
            <w:r>
              <w:rPr>
                <w:rFonts w:cs="Arial"/>
                <w:sz w:val="22"/>
                <w:szCs w:val="22"/>
                <w:lang w:eastAsia="zh-CN"/>
              </w:rPr>
              <w:t xml:space="preserve">Q2: How do those </w:t>
            </w:r>
            <w:r>
              <w:rPr>
                <w:rFonts w:eastAsia="SimSun" w:cs="Arial" w:hint="eastAsia"/>
                <w:sz w:val="22"/>
                <w:szCs w:val="22"/>
                <w:lang w:val="en-US" w:eastAsia="zh-CN"/>
              </w:rPr>
              <w:t>pluralistic stakeholders</w:t>
            </w:r>
            <w:r>
              <w:rPr>
                <w:rFonts w:cs="Arial"/>
                <w:sz w:val="22"/>
                <w:szCs w:val="22"/>
                <w:lang w:eastAsia="zh-CN"/>
              </w:rPr>
              <w:t xml:space="preserve"> understand the </w:t>
            </w:r>
            <w:r>
              <w:rPr>
                <w:rFonts w:cs="Arial" w:hint="eastAsia"/>
                <w:sz w:val="22"/>
                <w:szCs w:val="22"/>
                <w:lang w:val="en-US" w:eastAsia="zh-CN"/>
              </w:rPr>
              <w:t xml:space="preserve">sustainable strategies of the </w:t>
            </w:r>
            <w:r>
              <w:rPr>
                <w:rFonts w:cs="Arial"/>
                <w:sz w:val="22"/>
                <w:szCs w:val="22"/>
                <w:lang w:eastAsia="zh-CN"/>
              </w:rPr>
              <w:t xml:space="preserve">Fujian Opera </w:t>
            </w:r>
            <w:r>
              <w:rPr>
                <w:rFonts w:cs="Arial" w:hint="eastAsia"/>
                <w:sz w:val="22"/>
                <w:szCs w:val="22"/>
                <w:lang w:val="en-US" w:eastAsia="zh-CN"/>
              </w:rPr>
              <w:t>troupes</w:t>
            </w:r>
            <w:r>
              <w:rPr>
                <w:rFonts w:cs="Arial"/>
                <w:sz w:val="22"/>
                <w:szCs w:val="22"/>
                <w:lang w:eastAsia="zh-CN"/>
              </w:rPr>
              <w:t xml:space="preserve"> based on their past expe</w:t>
            </w:r>
            <w:r>
              <w:rPr>
                <w:rFonts w:cs="Arial"/>
                <w:sz w:val="22"/>
                <w:szCs w:val="22"/>
                <w:lang w:eastAsia="zh-CN"/>
              </w:rPr>
              <w:t xml:space="preserve">riences and future expectation in </w:t>
            </w:r>
            <w:r>
              <w:rPr>
                <w:rFonts w:cs="Arial" w:hint="eastAsia"/>
                <w:sz w:val="22"/>
                <w:szCs w:val="22"/>
                <w:lang w:val="en-US" w:eastAsia="zh-CN"/>
              </w:rPr>
              <w:t>provincial</w:t>
            </w:r>
            <w:r>
              <w:rPr>
                <w:rFonts w:cs="Arial"/>
                <w:sz w:val="22"/>
                <w:szCs w:val="22"/>
                <w:lang w:eastAsia="zh-CN"/>
              </w:rPr>
              <w:t xml:space="preserve"> troupes</w:t>
            </w:r>
            <w:r>
              <w:rPr>
                <w:rFonts w:cs="Arial" w:hint="eastAsia"/>
                <w:sz w:val="22"/>
                <w:szCs w:val="22"/>
                <w:lang w:val="en-US" w:eastAsia="zh-CN"/>
              </w:rPr>
              <w:t xml:space="preserve"> and rural troupes</w:t>
            </w:r>
            <w:r>
              <w:rPr>
                <w:rFonts w:cs="Arial"/>
                <w:sz w:val="22"/>
                <w:szCs w:val="22"/>
                <w:lang w:eastAsia="zh-CN"/>
              </w:rPr>
              <w:t>?</w:t>
            </w:r>
          </w:p>
          <w:p w14:paraId="7549AF5C" w14:textId="77777777" w:rsidR="00541B6A" w:rsidRDefault="00702F4F">
            <w:pPr>
              <w:spacing w:line="400" w:lineRule="exact"/>
              <w:rPr>
                <w:rFonts w:eastAsiaTheme="minorEastAsia" w:cs="Arial"/>
                <w:sz w:val="22"/>
                <w:szCs w:val="22"/>
                <w:lang w:val="en-US" w:eastAsia="zh-CN"/>
              </w:rPr>
            </w:pPr>
            <w:r>
              <w:rPr>
                <w:rFonts w:cs="Arial"/>
                <w:sz w:val="22"/>
                <w:szCs w:val="22"/>
                <w:lang w:val="en-US"/>
              </w:rPr>
              <w:t xml:space="preserve">Q3: </w:t>
            </w:r>
            <w:r>
              <w:rPr>
                <w:rFonts w:eastAsia="SimSun" w:cs="Arial" w:hint="eastAsia"/>
                <w:sz w:val="22"/>
                <w:szCs w:val="22"/>
                <w:lang w:val="en-US" w:eastAsia="zh-CN"/>
              </w:rPr>
              <w:t>What</w:t>
            </w:r>
            <w:r>
              <w:rPr>
                <w:rFonts w:eastAsiaTheme="minorEastAsia" w:cs="Arial"/>
                <w:sz w:val="22"/>
                <w:szCs w:val="22"/>
                <w:lang w:val="en-US" w:eastAsia="zh-CN"/>
              </w:rPr>
              <w:t xml:space="preserve"> </w:t>
            </w:r>
            <w:r>
              <w:rPr>
                <w:rFonts w:eastAsiaTheme="minorEastAsia" w:cs="Arial" w:hint="eastAsia"/>
                <w:sz w:val="22"/>
                <w:szCs w:val="22"/>
                <w:lang w:val="en-US" w:eastAsia="zh-CN"/>
              </w:rPr>
              <w:t>are</w:t>
            </w:r>
            <w:r>
              <w:rPr>
                <w:rFonts w:eastAsiaTheme="minorEastAsia" w:cs="Arial"/>
                <w:sz w:val="22"/>
                <w:szCs w:val="22"/>
                <w:lang w:val="en-US" w:eastAsia="zh-CN"/>
              </w:rPr>
              <w:t xml:space="preserve"> the</w:t>
            </w:r>
            <w:r>
              <w:rPr>
                <w:rFonts w:eastAsiaTheme="minorEastAsia" w:cs="Arial" w:hint="eastAsia"/>
                <w:sz w:val="22"/>
                <w:szCs w:val="22"/>
                <w:lang w:val="en-US" w:eastAsia="zh-CN"/>
              </w:rPr>
              <w:t xml:space="preserve"> meaningful strategies for the</w:t>
            </w:r>
            <w:r>
              <w:rPr>
                <w:rFonts w:eastAsiaTheme="minorEastAsia" w:cs="Arial"/>
                <w:sz w:val="22"/>
                <w:szCs w:val="22"/>
                <w:lang w:val="en-US" w:eastAsia="zh-CN"/>
              </w:rPr>
              <w:t xml:space="preserve"> pluralistic </w:t>
            </w:r>
            <w:r>
              <w:rPr>
                <w:rFonts w:eastAsiaTheme="minorEastAsia" w:cs="Arial" w:hint="eastAsia"/>
                <w:sz w:val="22"/>
                <w:szCs w:val="22"/>
                <w:lang w:val="en-US" w:eastAsia="zh-CN"/>
              </w:rPr>
              <w:t xml:space="preserve">stakeholders to improve the sustainable development of these Fujian opera troupes in </w:t>
            </w:r>
            <w:r>
              <w:rPr>
                <w:rFonts w:eastAsiaTheme="minorEastAsia" w:cs="Arial"/>
                <w:sz w:val="22"/>
                <w:szCs w:val="22"/>
                <w:lang w:val="en-US" w:eastAsia="zh-CN"/>
              </w:rPr>
              <w:t xml:space="preserve">the </w:t>
            </w:r>
            <w:r>
              <w:rPr>
                <w:rFonts w:eastAsiaTheme="minorEastAsia" w:cs="Arial" w:hint="eastAsia"/>
                <w:sz w:val="22"/>
                <w:szCs w:val="22"/>
                <w:lang w:val="en-US" w:eastAsia="zh-CN"/>
              </w:rPr>
              <w:t>rural and urban area</w:t>
            </w:r>
            <w:r>
              <w:rPr>
                <w:rFonts w:eastAsiaTheme="minorEastAsia" w:cs="Arial"/>
                <w:sz w:val="22"/>
                <w:szCs w:val="22"/>
                <w:lang w:val="en-US" w:eastAsia="zh-CN"/>
              </w:rPr>
              <w:t>s</w:t>
            </w:r>
            <w:r>
              <w:rPr>
                <w:rFonts w:eastAsiaTheme="minorEastAsia" w:cs="Arial" w:hint="eastAsia"/>
                <w:sz w:val="22"/>
                <w:szCs w:val="22"/>
                <w:lang w:val="en-US" w:eastAsia="zh-CN"/>
              </w:rPr>
              <w:t>?</w:t>
            </w:r>
          </w:p>
          <w:p w14:paraId="26D95C1A" w14:textId="77777777" w:rsidR="00541B6A" w:rsidRDefault="00702F4F">
            <w:pPr>
              <w:spacing w:line="400" w:lineRule="exact"/>
              <w:rPr>
                <w:rFonts w:eastAsiaTheme="minorEastAsia" w:cs="Arial"/>
                <w:sz w:val="22"/>
                <w:szCs w:val="22"/>
                <w:lang w:val="en-US" w:eastAsia="zh-CN"/>
              </w:rPr>
            </w:pPr>
            <w:r>
              <w:rPr>
                <w:rFonts w:eastAsiaTheme="minorEastAsia" w:cs="Arial" w:hint="eastAsia"/>
                <w:sz w:val="22"/>
                <w:szCs w:val="22"/>
                <w:lang w:val="en-US" w:eastAsia="zh-CN"/>
              </w:rPr>
              <w:t>Q</w:t>
            </w:r>
            <w:r>
              <w:rPr>
                <w:rFonts w:eastAsiaTheme="minorEastAsia" w:cs="Arial"/>
                <w:sz w:val="22"/>
                <w:szCs w:val="22"/>
                <w:lang w:val="en-US" w:eastAsia="zh-CN"/>
              </w:rPr>
              <w:t xml:space="preserve">4: </w:t>
            </w:r>
            <w:r>
              <w:rPr>
                <w:rFonts w:eastAsiaTheme="minorEastAsia" w:cs="Arial" w:hint="eastAsia"/>
                <w:sz w:val="22"/>
                <w:szCs w:val="22"/>
                <w:lang w:val="en-US" w:eastAsia="zh-CN"/>
              </w:rPr>
              <w:t>What will be the sustainable strategies of the Fujian Opera Troupes as the local cultural industry to overcome the continuous cultural trans</w:t>
            </w:r>
            <w:r>
              <w:rPr>
                <w:rFonts w:eastAsiaTheme="minorEastAsia" w:cs="Arial" w:hint="eastAsia"/>
                <w:sz w:val="22"/>
                <w:szCs w:val="22"/>
                <w:lang w:val="en-US" w:eastAsia="zh-CN"/>
              </w:rPr>
              <w:t>formation in the future</w:t>
            </w:r>
            <w:r>
              <w:rPr>
                <w:rFonts w:cs="Arial"/>
                <w:sz w:val="22"/>
                <w:szCs w:val="22"/>
                <w:lang w:val="en-US"/>
              </w:rPr>
              <w:t>?</w:t>
            </w:r>
            <w:r>
              <w:rPr>
                <w:rFonts w:eastAsia="SimSun" w:cs="Arial" w:hint="eastAsia"/>
                <w:sz w:val="22"/>
                <w:szCs w:val="22"/>
                <w:lang w:val="en-US" w:eastAsia="zh-CN"/>
              </w:rPr>
              <w:t xml:space="preserve"> </w:t>
            </w:r>
          </w:p>
        </w:tc>
      </w:tr>
      <w:tr w:rsidR="00541B6A" w14:paraId="6086CECA" w14:textId="77777777">
        <w:trPr>
          <w:trHeight w:val="397"/>
        </w:trPr>
        <w:tc>
          <w:tcPr>
            <w:tcW w:w="9781" w:type="dxa"/>
            <w:shd w:val="clear" w:color="auto" w:fill="F2F2F2" w:themeFill="background1" w:themeFillShade="F2"/>
            <w:vAlign w:val="center"/>
          </w:tcPr>
          <w:p w14:paraId="09646979" w14:textId="77777777" w:rsidR="00541B6A" w:rsidRDefault="00541B6A">
            <w:pPr>
              <w:rPr>
                <w:rFonts w:cs="Arial"/>
                <w:sz w:val="22"/>
                <w:szCs w:val="22"/>
              </w:rPr>
            </w:pPr>
          </w:p>
          <w:p w14:paraId="6C2EF556" w14:textId="77777777" w:rsidR="00541B6A" w:rsidRDefault="00702F4F">
            <w:pPr>
              <w:rPr>
                <w:rFonts w:cs="Arial"/>
                <w:sz w:val="22"/>
                <w:szCs w:val="22"/>
              </w:rPr>
            </w:pPr>
            <w:r>
              <w:rPr>
                <w:rFonts w:cs="Arial"/>
                <w:sz w:val="22"/>
                <w:szCs w:val="22"/>
              </w:rPr>
              <w:t xml:space="preserve">Proposed plan of work including timetable </w:t>
            </w:r>
          </w:p>
        </w:tc>
      </w:tr>
      <w:tr w:rsidR="00541B6A" w14:paraId="7C348536" w14:textId="77777777">
        <w:trPr>
          <w:trHeight w:val="397"/>
        </w:trPr>
        <w:tc>
          <w:tcPr>
            <w:tcW w:w="9781" w:type="dxa"/>
          </w:tcPr>
          <w:p w14:paraId="2EB8009D" w14:textId="77777777" w:rsidR="00541B6A" w:rsidRDefault="00702F4F">
            <w:pPr>
              <w:rPr>
                <w:rFonts w:cs="Arial"/>
                <w:i/>
                <w:sz w:val="22"/>
                <w:szCs w:val="22"/>
              </w:rPr>
            </w:pPr>
            <w:r>
              <w:rPr>
                <w:rFonts w:cs="Arial"/>
                <w:i/>
                <w:sz w:val="22"/>
                <w:szCs w:val="22"/>
              </w:rPr>
              <w:t>Proposed plan of work</w:t>
            </w:r>
          </w:p>
          <w:p w14:paraId="63FC49B8" w14:textId="77777777" w:rsidR="00541B6A" w:rsidRDefault="00541B6A">
            <w:pPr>
              <w:rPr>
                <w:rFonts w:cs="Arial"/>
                <w:sz w:val="22"/>
                <w:szCs w:val="22"/>
              </w:rPr>
            </w:pPr>
          </w:p>
          <w:p w14:paraId="60A50B02" w14:textId="77777777" w:rsidR="00541B6A" w:rsidRDefault="00702F4F">
            <w:pPr>
              <w:rPr>
                <w:rFonts w:cs="Arial"/>
                <w:sz w:val="22"/>
                <w:szCs w:val="22"/>
              </w:rPr>
            </w:pPr>
            <w:r>
              <w:rPr>
                <w:rFonts w:cs="Arial"/>
                <w:sz w:val="22"/>
                <w:szCs w:val="22"/>
              </w:rPr>
              <w:t xml:space="preserve">In this section, you will need to complete a proposed plan of your work explaining the timeline for key elements of the thesis. This can be set out as a </w:t>
            </w:r>
            <w:r>
              <w:rPr>
                <w:rFonts w:cs="Arial"/>
                <w:sz w:val="22"/>
                <w:szCs w:val="22"/>
              </w:rPr>
              <w:t xml:space="preserve">table like below or as a </w:t>
            </w:r>
            <w:proofErr w:type="spellStart"/>
            <w:r>
              <w:rPr>
                <w:rFonts w:cs="Arial"/>
                <w:sz w:val="22"/>
                <w:szCs w:val="22"/>
              </w:rPr>
              <w:t>gantt</w:t>
            </w:r>
            <w:proofErr w:type="spellEnd"/>
            <w:r>
              <w:rPr>
                <w:rFonts w:cs="Arial"/>
                <w:sz w:val="22"/>
                <w:szCs w:val="22"/>
              </w:rPr>
              <w:t xml:space="preserve"> chart (for example)</w:t>
            </w:r>
          </w:p>
          <w:p w14:paraId="36A42C89" w14:textId="77777777" w:rsidR="00541B6A" w:rsidRDefault="00541B6A">
            <w:pPr>
              <w:rPr>
                <w:rFonts w:cs="Arial"/>
                <w:sz w:val="22"/>
                <w:szCs w:val="22"/>
              </w:rPr>
            </w:pPr>
          </w:p>
          <w:p w14:paraId="534D5152" w14:textId="77777777" w:rsidR="00541B6A" w:rsidRDefault="00702F4F">
            <w:pPr>
              <w:rPr>
                <w:rFonts w:cs="Arial"/>
                <w:sz w:val="22"/>
                <w:szCs w:val="22"/>
              </w:rPr>
            </w:pPr>
            <w:r>
              <w:rPr>
                <w:rFonts w:cs="Arial"/>
                <w:sz w:val="22"/>
                <w:szCs w:val="22"/>
              </w:rPr>
              <w:t>This plan should indicate that the research will be completed by the end of the fee paying period (the minimum period of candidature.</w:t>
            </w:r>
          </w:p>
          <w:p w14:paraId="5835908D" w14:textId="77777777" w:rsidR="00541B6A" w:rsidRDefault="00541B6A">
            <w:pPr>
              <w:rPr>
                <w:rFonts w:cs="Arial"/>
                <w:sz w:val="22"/>
                <w:szCs w:val="22"/>
              </w:rPr>
            </w:pPr>
          </w:p>
          <w:tbl>
            <w:tblPr>
              <w:tblStyle w:val="TableGrid"/>
              <w:tblW w:w="0" w:type="auto"/>
              <w:tblLayout w:type="fixed"/>
              <w:tblLook w:val="04A0" w:firstRow="1" w:lastRow="0" w:firstColumn="1" w:lastColumn="0" w:noHBand="0" w:noVBand="1"/>
            </w:tblPr>
            <w:tblGrid>
              <w:gridCol w:w="4777"/>
              <w:gridCol w:w="4778"/>
            </w:tblGrid>
            <w:tr w:rsidR="00541B6A" w14:paraId="259D868B" w14:textId="77777777">
              <w:tc>
                <w:tcPr>
                  <w:tcW w:w="4777" w:type="dxa"/>
                </w:tcPr>
                <w:p w14:paraId="19F7624B" w14:textId="77777777" w:rsidR="00541B6A" w:rsidRDefault="00702F4F">
                  <w:pPr>
                    <w:rPr>
                      <w:rFonts w:cs="Arial"/>
                      <w:sz w:val="22"/>
                      <w:szCs w:val="22"/>
                    </w:rPr>
                  </w:pPr>
                  <w:r>
                    <w:rPr>
                      <w:rFonts w:cs="Arial"/>
                      <w:sz w:val="22"/>
                      <w:szCs w:val="22"/>
                    </w:rPr>
                    <w:t xml:space="preserve">Planned Development (e.g. submission of form, completion of </w:t>
                  </w:r>
                  <w:r>
                    <w:rPr>
                      <w:rFonts w:cs="Arial"/>
                      <w:sz w:val="22"/>
                      <w:szCs w:val="22"/>
                    </w:rPr>
                    <w:t>chapter, submission of thesis)</w:t>
                  </w:r>
                </w:p>
              </w:tc>
              <w:tc>
                <w:tcPr>
                  <w:tcW w:w="4778" w:type="dxa"/>
                </w:tcPr>
                <w:p w14:paraId="42828E65" w14:textId="77777777" w:rsidR="00541B6A" w:rsidRDefault="00702F4F">
                  <w:pPr>
                    <w:rPr>
                      <w:rFonts w:cs="Arial"/>
                      <w:sz w:val="22"/>
                      <w:szCs w:val="22"/>
                    </w:rPr>
                  </w:pPr>
                  <w:r>
                    <w:rPr>
                      <w:rFonts w:cs="Arial"/>
                      <w:sz w:val="22"/>
                      <w:szCs w:val="22"/>
                    </w:rPr>
                    <w:t>Target Date</w:t>
                  </w:r>
                </w:p>
              </w:tc>
            </w:tr>
            <w:tr w:rsidR="00541B6A" w14:paraId="432137D0" w14:textId="77777777">
              <w:tc>
                <w:tcPr>
                  <w:tcW w:w="4777" w:type="dxa"/>
                </w:tcPr>
                <w:p w14:paraId="273F51C6" w14:textId="77777777" w:rsidR="00541B6A" w:rsidRDefault="00702F4F">
                  <w:pPr>
                    <w:rPr>
                      <w:rFonts w:cs="Arial"/>
                      <w:sz w:val="22"/>
                      <w:szCs w:val="22"/>
                    </w:rPr>
                  </w:pPr>
                  <w:r>
                    <w:rPr>
                      <w:rFonts w:cs="Arial"/>
                      <w:sz w:val="22"/>
                      <w:szCs w:val="22"/>
                      <w:lang w:eastAsia="zh-CN"/>
                    </w:rPr>
                    <w:t>S</w:t>
                  </w:r>
                  <w:r>
                    <w:rPr>
                      <w:rFonts w:cs="Arial" w:hint="eastAsia"/>
                      <w:sz w:val="22"/>
                      <w:szCs w:val="22"/>
                      <w:lang w:eastAsia="zh-CN"/>
                    </w:rPr>
                    <w:t>ubmission of the proposal form</w:t>
                  </w:r>
                </w:p>
              </w:tc>
              <w:tc>
                <w:tcPr>
                  <w:tcW w:w="4778" w:type="dxa"/>
                </w:tcPr>
                <w:p w14:paraId="4330D326" w14:textId="77777777" w:rsidR="00541B6A" w:rsidRDefault="00702F4F">
                  <w:pPr>
                    <w:rPr>
                      <w:rFonts w:cs="Arial"/>
                      <w:sz w:val="22"/>
                      <w:szCs w:val="22"/>
                    </w:rPr>
                  </w:pPr>
                  <w:bookmarkStart w:id="4" w:name="OLE_LINK4"/>
                  <w:r>
                    <w:rPr>
                      <w:rFonts w:cs="Arial" w:hint="eastAsia"/>
                      <w:sz w:val="22"/>
                      <w:szCs w:val="22"/>
                      <w:lang w:eastAsia="zh-CN"/>
                    </w:rPr>
                    <w:t>Jan</w:t>
                  </w:r>
                  <w:bookmarkEnd w:id="4"/>
                  <w:r>
                    <w:rPr>
                      <w:rFonts w:cs="Arial" w:hint="eastAsia"/>
                      <w:sz w:val="22"/>
                      <w:szCs w:val="22"/>
                      <w:lang w:val="en-US" w:eastAsia="zh-CN"/>
                    </w:rPr>
                    <w:t>.</w:t>
                  </w:r>
                  <w:r>
                    <w:rPr>
                      <w:rFonts w:cs="Arial" w:hint="eastAsia"/>
                      <w:sz w:val="22"/>
                      <w:szCs w:val="22"/>
                      <w:lang w:eastAsia="zh-CN"/>
                    </w:rPr>
                    <w:t xml:space="preserve"> 202</w:t>
                  </w:r>
                  <w:r>
                    <w:rPr>
                      <w:rFonts w:cs="Arial"/>
                      <w:sz w:val="22"/>
                      <w:szCs w:val="22"/>
                      <w:lang w:eastAsia="zh-CN"/>
                    </w:rPr>
                    <w:t>2</w:t>
                  </w:r>
                </w:p>
              </w:tc>
            </w:tr>
            <w:tr w:rsidR="00541B6A" w14:paraId="72F4BEF6" w14:textId="77777777">
              <w:tc>
                <w:tcPr>
                  <w:tcW w:w="4777" w:type="dxa"/>
                </w:tcPr>
                <w:p w14:paraId="6C670CB0" w14:textId="77777777" w:rsidR="00541B6A" w:rsidRDefault="00702F4F">
                  <w:pPr>
                    <w:rPr>
                      <w:rFonts w:cs="Arial"/>
                      <w:sz w:val="22"/>
                      <w:szCs w:val="22"/>
                    </w:rPr>
                  </w:pPr>
                  <w:r>
                    <w:rPr>
                      <w:rFonts w:cs="Arial"/>
                      <w:sz w:val="22"/>
                      <w:szCs w:val="22"/>
                      <w:lang w:eastAsia="zh-CN"/>
                    </w:rPr>
                    <w:t>L</w:t>
                  </w:r>
                  <w:r>
                    <w:rPr>
                      <w:rFonts w:cs="Arial" w:hint="eastAsia"/>
                      <w:sz w:val="22"/>
                      <w:szCs w:val="22"/>
                      <w:lang w:eastAsia="zh-CN"/>
                    </w:rPr>
                    <w:t>iterature review</w:t>
                  </w:r>
                  <w:r>
                    <w:rPr>
                      <w:rFonts w:cs="Arial"/>
                      <w:sz w:val="22"/>
                      <w:szCs w:val="22"/>
                      <w:lang w:eastAsia="zh-CN"/>
                    </w:rPr>
                    <w:t>, first draft</w:t>
                  </w:r>
                </w:p>
              </w:tc>
              <w:tc>
                <w:tcPr>
                  <w:tcW w:w="4778" w:type="dxa"/>
                </w:tcPr>
                <w:p w14:paraId="485EABE1" w14:textId="77777777" w:rsidR="00541B6A" w:rsidRDefault="00702F4F">
                  <w:pPr>
                    <w:rPr>
                      <w:rFonts w:cs="Arial"/>
                      <w:sz w:val="22"/>
                      <w:szCs w:val="22"/>
                    </w:rPr>
                  </w:pPr>
                  <w:r>
                    <w:rPr>
                      <w:rFonts w:cs="Arial"/>
                      <w:sz w:val="22"/>
                      <w:szCs w:val="22"/>
                      <w:lang w:eastAsia="zh-CN"/>
                    </w:rPr>
                    <w:t>April</w:t>
                  </w:r>
                  <w:r>
                    <w:rPr>
                      <w:rFonts w:cs="Arial" w:hint="eastAsia"/>
                      <w:sz w:val="22"/>
                      <w:szCs w:val="22"/>
                      <w:lang w:val="en-US" w:eastAsia="zh-CN"/>
                    </w:rPr>
                    <w:t>.</w:t>
                  </w:r>
                  <w:r>
                    <w:rPr>
                      <w:rFonts w:cs="Arial" w:hint="eastAsia"/>
                      <w:sz w:val="22"/>
                      <w:szCs w:val="22"/>
                      <w:lang w:eastAsia="zh-CN"/>
                    </w:rPr>
                    <w:t xml:space="preserve"> 202</w:t>
                  </w:r>
                  <w:r>
                    <w:rPr>
                      <w:rFonts w:cs="Arial"/>
                      <w:sz w:val="22"/>
                      <w:szCs w:val="22"/>
                      <w:lang w:eastAsia="zh-CN"/>
                    </w:rPr>
                    <w:t>2</w:t>
                  </w:r>
                </w:p>
              </w:tc>
            </w:tr>
            <w:tr w:rsidR="00541B6A" w14:paraId="3226352A" w14:textId="77777777">
              <w:tc>
                <w:tcPr>
                  <w:tcW w:w="4777" w:type="dxa"/>
                </w:tcPr>
                <w:p w14:paraId="324ED69C" w14:textId="77777777" w:rsidR="00541B6A" w:rsidRDefault="00702F4F">
                  <w:pPr>
                    <w:rPr>
                      <w:rFonts w:cs="Arial"/>
                      <w:sz w:val="22"/>
                      <w:szCs w:val="22"/>
                    </w:rPr>
                  </w:pPr>
                  <w:r>
                    <w:rPr>
                      <w:rFonts w:cs="Arial"/>
                      <w:sz w:val="22"/>
                      <w:szCs w:val="22"/>
                      <w:lang w:eastAsia="zh-CN"/>
                    </w:rPr>
                    <w:t>Literature review,</w:t>
                  </w:r>
                  <w:r>
                    <w:rPr>
                      <w:rFonts w:cs="Arial" w:hint="eastAsia"/>
                      <w:sz w:val="22"/>
                      <w:szCs w:val="22"/>
                      <w:lang w:eastAsia="zh-CN"/>
                    </w:rPr>
                    <w:t xml:space="preserve"> final version</w:t>
                  </w:r>
                </w:p>
              </w:tc>
              <w:tc>
                <w:tcPr>
                  <w:tcW w:w="4778" w:type="dxa"/>
                </w:tcPr>
                <w:p w14:paraId="158BE03D" w14:textId="77777777" w:rsidR="00541B6A" w:rsidRDefault="00702F4F">
                  <w:pPr>
                    <w:rPr>
                      <w:rFonts w:cs="Arial"/>
                      <w:sz w:val="22"/>
                      <w:szCs w:val="22"/>
                    </w:rPr>
                  </w:pPr>
                  <w:r>
                    <w:rPr>
                      <w:rFonts w:cs="Arial" w:hint="eastAsia"/>
                      <w:sz w:val="22"/>
                      <w:szCs w:val="22"/>
                      <w:lang w:val="en-US" w:eastAsia="zh-CN"/>
                    </w:rPr>
                    <w:t>May</w:t>
                  </w:r>
                  <w:r>
                    <w:rPr>
                      <w:rFonts w:cs="Arial" w:hint="eastAsia"/>
                      <w:sz w:val="22"/>
                      <w:szCs w:val="22"/>
                      <w:lang w:eastAsia="zh-CN"/>
                    </w:rPr>
                    <w:t xml:space="preserve"> 202</w:t>
                  </w:r>
                  <w:r>
                    <w:rPr>
                      <w:rFonts w:cs="Arial"/>
                      <w:sz w:val="22"/>
                      <w:szCs w:val="22"/>
                      <w:lang w:eastAsia="zh-CN"/>
                    </w:rPr>
                    <w:t>2</w:t>
                  </w:r>
                </w:p>
              </w:tc>
            </w:tr>
            <w:tr w:rsidR="00541B6A" w14:paraId="3EE65318" w14:textId="77777777">
              <w:tc>
                <w:tcPr>
                  <w:tcW w:w="4777" w:type="dxa"/>
                </w:tcPr>
                <w:p w14:paraId="7ED25E27" w14:textId="77777777" w:rsidR="00541B6A" w:rsidRDefault="00702F4F">
                  <w:pPr>
                    <w:rPr>
                      <w:rFonts w:cs="Arial"/>
                      <w:sz w:val="22"/>
                      <w:szCs w:val="22"/>
                      <w:lang w:val="en-US"/>
                    </w:rPr>
                  </w:pPr>
                  <w:r>
                    <w:rPr>
                      <w:rFonts w:cs="Arial" w:hint="eastAsia"/>
                      <w:sz w:val="22"/>
                      <w:szCs w:val="22"/>
                      <w:lang w:eastAsia="zh-CN"/>
                    </w:rPr>
                    <w:t>Methodology</w:t>
                  </w:r>
                  <w:r>
                    <w:rPr>
                      <w:rFonts w:cs="Arial"/>
                      <w:sz w:val="22"/>
                      <w:szCs w:val="22"/>
                      <w:lang w:eastAsia="zh-CN"/>
                    </w:rPr>
                    <w:t xml:space="preserve"> chapter</w:t>
                  </w:r>
                  <w:r>
                    <w:rPr>
                      <w:rFonts w:cs="Arial" w:hint="eastAsia"/>
                      <w:sz w:val="22"/>
                      <w:szCs w:val="22"/>
                      <w:lang w:val="en-US" w:eastAsia="zh-CN"/>
                    </w:rPr>
                    <w:t xml:space="preserve">, </w:t>
                  </w:r>
                  <w:r>
                    <w:rPr>
                      <w:rFonts w:cs="Arial"/>
                      <w:sz w:val="22"/>
                      <w:szCs w:val="22"/>
                      <w:lang w:eastAsia="zh-CN"/>
                    </w:rPr>
                    <w:t>first draft</w:t>
                  </w:r>
                </w:p>
              </w:tc>
              <w:tc>
                <w:tcPr>
                  <w:tcW w:w="4778" w:type="dxa"/>
                </w:tcPr>
                <w:p w14:paraId="6772EC76" w14:textId="77777777" w:rsidR="00541B6A" w:rsidRDefault="00702F4F">
                  <w:pPr>
                    <w:rPr>
                      <w:rFonts w:cs="Arial"/>
                      <w:sz w:val="22"/>
                      <w:szCs w:val="22"/>
                    </w:rPr>
                  </w:pPr>
                  <w:r>
                    <w:rPr>
                      <w:rFonts w:cs="Arial"/>
                      <w:sz w:val="22"/>
                      <w:szCs w:val="22"/>
                      <w:lang w:eastAsia="zh-CN"/>
                    </w:rPr>
                    <w:t>Dec</w:t>
                  </w:r>
                  <w:r>
                    <w:rPr>
                      <w:rFonts w:cs="Arial" w:hint="eastAsia"/>
                      <w:sz w:val="22"/>
                      <w:szCs w:val="22"/>
                      <w:lang w:eastAsia="zh-CN"/>
                    </w:rPr>
                    <w:t>. 202</w:t>
                  </w:r>
                  <w:r>
                    <w:rPr>
                      <w:rFonts w:cs="Arial"/>
                      <w:sz w:val="22"/>
                      <w:szCs w:val="22"/>
                      <w:lang w:eastAsia="zh-CN"/>
                    </w:rPr>
                    <w:t>2</w:t>
                  </w:r>
                </w:p>
              </w:tc>
            </w:tr>
            <w:tr w:rsidR="00541B6A" w14:paraId="0CC52212" w14:textId="77777777">
              <w:tc>
                <w:tcPr>
                  <w:tcW w:w="4777" w:type="dxa"/>
                </w:tcPr>
                <w:p w14:paraId="250E8C99" w14:textId="77777777" w:rsidR="00541B6A" w:rsidRDefault="00702F4F">
                  <w:pPr>
                    <w:rPr>
                      <w:rFonts w:cs="Arial"/>
                      <w:sz w:val="22"/>
                      <w:szCs w:val="22"/>
                      <w:lang w:val="en-US" w:eastAsia="zh-CN"/>
                    </w:rPr>
                  </w:pPr>
                  <w:r>
                    <w:rPr>
                      <w:rFonts w:cs="Arial" w:hint="eastAsia"/>
                      <w:sz w:val="22"/>
                      <w:szCs w:val="22"/>
                      <w:lang w:eastAsia="zh-CN"/>
                    </w:rPr>
                    <w:t>Methodology</w:t>
                  </w:r>
                  <w:r>
                    <w:rPr>
                      <w:rFonts w:cs="Arial"/>
                      <w:sz w:val="22"/>
                      <w:szCs w:val="22"/>
                      <w:lang w:eastAsia="zh-CN"/>
                    </w:rPr>
                    <w:t xml:space="preserve"> chapter</w:t>
                  </w:r>
                  <w:r>
                    <w:rPr>
                      <w:rFonts w:cs="Arial" w:hint="eastAsia"/>
                      <w:sz w:val="22"/>
                      <w:szCs w:val="22"/>
                      <w:lang w:val="en-US" w:eastAsia="zh-CN"/>
                    </w:rPr>
                    <w:t xml:space="preserve">, final </w:t>
                  </w:r>
                  <w:r>
                    <w:rPr>
                      <w:rFonts w:cs="Arial" w:hint="eastAsia"/>
                      <w:sz w:val="22"/>
                      <w:szCs w:val="22"/>
                      <w:lang w:val="en-US" w:eastAsia="zh-CN"/>
                    </w:rPr>
                    <w:t>version</w:t>
                  </w:r>
                </w:p>
              </w:tc>
              <w:tc>
                <w:tcPr>
                  <w:tcW w:w="4778" w:type="dxa"/>
                </w:tcPr>
                <w:p w14:paraId="3A348AFF" w14:textId="77777777" w:rsidR="00541B6A" w:rsidRDefault="00702F4F">
                  <w:pPr>
                    <w:rPr>
                      <w:rFonts w:cs="Arial"/>
                      <w:sz w:val="22"/>
                      <w:szCs w:val="22"/>
                      <w:lang w:val="en-US" w:eastAsia="zh-CN"/>
                    </w:rPr>
                  </w:pPr>
                  <w:r>
                    <w:rPr>
                      <w:rFonts w:cs="Arial" w:hint="eastAsia"/>
                      <w:sz w:val="22"/>
                      <w:szCs w:val="22"/>
                      <w:lang w:eastAsia="zh-CN"/>
                    </w:rPr>
                    <w:t>Jan</w:t>
                  </w:r>
                  <w:r>
                    <w:rPr>
                      <w:rFonts w:cs="Arial" w:hint="eastAsia"/>
                      <w:sz w:val="22"/>
                      <w:szCs w:val="22"/>
                      <w:lang w:val="en-US" w:eastAsia="zh-CN"/>
                    </w:rPr>
                    <w:t>. 2023</w:t>
                  </w:r>
                </w:p>
              </w:tc>
            </w:tr>
            <w:tr w:rsidR="00541B6A" w14:paraId="25BBEB95" w14:textId="77777777">
              <w:tc>
                <w:tcPr>
                  <w:tcW w:w="4777" w:type="dxa"/>
                </w:tcPr>
                <w:p w14:paraId="01B8C052" w14:textId="77777777" w:rsidR="00541B6A" w:rsidRDefault="00702F4F">
                  <w:pPr>
                    <w:rPr>
                      <w:rFonts w:cs="Arial"/>
                      <w:sz w:val="22"/>
                      <w:szCs w:val="22"/>
                      <w:lang w:eastAsia="zh-CN"/>
                    </w:rPr>
                  </w:pPr>
                  <w:r>
                    <w:rPr>
                      <w:rFonts w:cs="Arial"/>
                      <w:sz w:val="22"/>
                      <w:szCs w:val="22"/>
                      <w:lang w:eastAsia="zh-CN"/>
                    </w:rPr>
                    <w:t>Write up Findings and Discussion</w:t>
                  </w:r>
                </w:p>
              </w:tc>
              <w:tc>
                <w:tcPr>
                  <w:tcW w:w="4778" w:type="dxa"/>
                </w:tcPr>
                <w:p w14:paraId="27B6AA9C" w14:textId="77777777" w:rsidR="00541B6A" w:rsidRDefault="00702F4F">
                  <w:pPr>
                    <w:rPr>
                      <w:rFonts w:cs="Arial"/>
                      <w:sz w:val="22"/>
                      <w:szCs w:val="22"/>
                      <w:lang w:eastAsia="zh-CN"/>
                    </w:rPr>
                  </w:pPr>
                  <w:r>
                    <w:rPr>
                      <w:rFonts w:cs="Arial"/>
                      <w:sz w:val="22"/>
                      <w:szCs w:val="22"/>
                      <w:lang w:eastAsia="zh-CN"/>
                    </w:rPr>
                    <w:t>March.</w:t>
                  </w:r>
                  <w:r>
                    <w:rPr>
                      <w:rFonts w:cs="Arial" w:hint="eastAsia"/>
                      <w:sz w:val="22"/>
                      <w:szCs w:val="22"/>
                      <w:lang w:eastAsia="zh-CN"/>
                    </w:rPr>
                    <w:t xml:space="preserve"> 202</w:t>
                  </w:r>
                  <w:r>
                    <w:rPr>
                      <w:rFonts w:cs="Arial"/>
                      <w:sz w:val="22"/>
                      <w:szCs w:val="22"/>
                      <w:lang w:eastAsia="zh-CN"/>
                    </w:rPr>
                    <w:t>3</w:t>
                  </w:r>
                </w:p>
              </w:tc>
            </w:tr>
            <w:tr w:rsidR="00541B6A" w14:paraId="092AB0C5" w14:textId="77777777">
              <w:tc>
                <w:tcPr>
                  <w:tcW w:w="4777" w:type="dxa"/>
                </w:tcPr>
                <w:p w14:paraId="3549737E" w14:textId="77777777" w:rsidR="00541B6A" w:rsidRDefault="00702F4F">
                  <w:pPr>
                    <w:rPr>
                      <w:rFonts w:cs="Arial"/>
                      <w:sz w:val="22"/>
                      <w:szCs w:val="22"/>
                      <w:lang w:eastAsia="zh-CN"/>
                    </w:rPr>
                  </w:pPr>
                  <w:r>
                    <w:rPr>
                      <w:rFonts w:cs="Arial"/>
                      <w:sz w:val="22"/>
                      <w:szCs w:val="22"/>
                      <w:lang w:eastAsia="zh-CN"/>
                    </w:rPr>
                    <w:t>Completion of</w:t>
                  </w:r>
                  <w:r>
                    <w:rPr>
                      <w:rFonts w:cs="Arial" w:hint="eastAsia"/>
                      <w:sz w:val="22"/>
                      <w:szCs w:val="22"/>
                      <w:lang w:eastAsia="zh-CN"/>
                    </w:rPr>
                    <w:t xml:space="preserve"> conclusion </w:t>
                  </w:r>
                </w:p>
              </w:tc>
              <w:tc>
                <w:tcPr>
                  <w:tcW w:w="4778" w:type="dxa"/>
                </w:tcPr>
                <w:p w14:paraId="5DE083BC" w14:textId="77777777" w:rsidR="00541B6A" w:rsidRDefault="00702F4F">
                  <w:pPr>
                    <w:rPr>
                      <w:rFonts w:cs="Arial"/>
                      <w:sz w:val="22"/>
                      <w:szCs w:val="22"/>
                      <w:lang w:eastAsia="zh-CN"/>
                    </w:rPr>
                  </w:pPr>
                  <w:r>
                    <w:rPr>
                      <w:rFonts w:cs="Arial"/>
                      <w:sz w:val="22"/>
                      <w:szCs w:val="22"/>
                      <w:lang w:eastAsia="zh-CN"/>
                    </w:rPr>
                    <w:t>April</w:t>
                  </w:r>
                  <w:r>
                    <w:rPr>
                      <w:rFonts w:cs="Arial" w:hint="eastAsia"/>
                      <w:sz w:val="22"/>
                      <w:szCs w:val="22"/>
                      <w:lang w:val="en-US" w:eastAsia="zh-CN"/>
                    </w:rPr>
                    <w:t>.</w:t>
                  </w:r>
                  <w:r>
                    <w:rPr>
                      <w:rFonts w:cs="Arial" w:hint="eastAsia"/>
                      <w:sz w:val="22"/>
                      <w:szCs w:val="22"/>
                      <w:lang w:eastAsia="zh-CN"/>
                    </w:rPr>
                    <w:t xml:space="preserve"> 202</w:t>
                  </w:r>
                  <w:r>
                    <w:rPr>
                      <w:rFonts w:cs="Arial"/>
                      <w:sz w:val="22"/>
                      <w:szCs w:val="22"/>
                      <w:lang w:eastAsia="zh-CN"/>
                    </w:rPr>
                    <w:t>3</w:t>
                  </w:r>
                </w:p>
              </w:tc>
            </w:tr>
            <w:tr w:rsidR="00541B6A" w14:paraId="56B8BA68" w14:textId="77777777">
              <w:tc>
                <w:tcPr>
                  <w:tcW w:w="4777" w:type="dxa"/>
                </w:tcPr>
                <w:p w14:paraId="45CC3781" w14:textId="77777777" w:rsidR="00541B6A" w:rsidRDefault="00702F4F">
                  <w:pPr>
                    <w:rPr>
                      <w:rFonts w:cs="Arial"/>
                      <w:sz w:val="22"/>
                      <w:szCs w:val="22"/>
                      <w:lang w:eastAsia="zh-CN"/>
                    </w:rPr>
                  </w:pPr>
                  <w:r>
                    <w:rPr>
                      <w:rFonts w:cs="Arial"/>
                      <w:sz w:val="22"/>
                      <w:szCs w:val="22"/>
                      <w:lang w:val="cy-GB"/>
                    </w:rPr>
                    <w:t>Check and review</w:t>
                  </w:r>
                </w:p>
              </w:tc>
              <w:tc>
                <w:tcPr>
                  <w:tcW w:w="4778" w:type="dxa"/>
                </w:tcPr>
                <w:p w14:paraId="467A23B5" w14:textId="77777777" w:rsidR="00541B6A" w:rsidRDefault="00702F4F">
                  <w:pPr>
                    <w:rPr>
                      <w:rFonts w:cs="Arial"/>
                      <w:sz w:val="22"/>
                      <w:szCs w:val="22"/>
                      <w:lang w:eastAsia="zh-CN"/>
                    </w:rPr>
                  </w:pPr>
                  <w:r>
                    <w:rPr>
                      <w:rFonts w:cs="Arial"/>
                      <w:sz w:val="22"/>
                      <w:szCs w:val="22"/>
                      <w:lang w:eastAsia="zh-CN"/>
                    </w:rPr>
                    <w:t>May</w:t>
                  </w:r>
                  <w:r>
                    <w:rPr>
                      <w:rFonts w:cs="Arial" w:hint="eastAsia"/>
                      <w:sz w:val="22"/>
                      <w:szCs w:val="22"/>
                      <w:lang w:eastAsia="zh-CN"/>
                    </w:rPr>
                    <w:t xml:space="preserve"> 202</w:t>
                  </w:r>
                  <w:r>
                    <w:rPr>
                      <w:rFonts w:cs="Arial"/>
                      <w:sz w:val="22"/>
                      <w:szCs w:val="22"/>
                      <w:lang w:eastAsia="zh-CN"/>
                    </w:rPr>
                    <w:t>3</w:t>
                  </w:r>
                </w:p>
              </w:tc>
            </w:tr>
            <w:tr w:rsidR="00541B6A" w14:paraId="2F147922" w14:textId="77777777">
              <w:tc>
                <w:tcPr>
                  <w:tcW w:w="4777" w:type="dxa"/>
                </w:tcPr>
                <w:p w14:paraId="07D417F4" w14:textId="77777777" w:rsidR="00541B6A" w:rsidRDefault="00702F4F">
                  <w:pPr>
                    <w:rPr>
                      <w:rFonts w:cs="Arial"/>
                      <w:sz w:val="22"/>
                      <w:szCs w:val="22"/>
                      <w:lang w:val="cy-GB"/>
                    </w:rPr>
                  </w:pPr>
                  <w:r>
                    <w:rPr>
                      <w:rFonts w:cs="Arial"/>
                      <w:sz w:val="22"/>
                      <w:szCs w:val="22"/>
                      <w:lang w:eastAsia="zh-CN"/>
                    </w:rPr>
                    <w:t>S</w:t>
                  </w:r>
                  <w:r>
                    <w:rPr>
                      <w:rFonts w:cs="Arial" w:hint="eastAsia"/>
                      <w:sz w:val="22"/>
                      <w:szCs w:val="22"/>
                      <w:lang w:eastAsia="zh-CN"/>
                    </w:rPr>
                    <w:t>ubmission of thesis</w:t>
                  </w:r>
                </w:p>
              </w:tc>
              <w:tc>
                <w:tcPr>
                  <w:tcW w:w="4778" w:type="dxa"/>
                </w:tcPr>
                <w:p w14:paraId="6EA79BE4" w14:textId="77777777" w:rsidR="00541B6A" w:rsidRDefault="00702F4F">
                  <w:pPr>
                    <w:rPr>
                      <w:rFonts w:cs="Arial"/>
                      <w:sz w:val="22"/>
                      <w:szCs w:val="22"/>
                      <w:lang w:eastAsia="zh-CN"/>
                    </w:rPr>
                  </w:pPr>
                  <w:bookmarkStart w:id="5" w:name="OLE_LINK3"/>
                  <w:r>
                    <w:rPr>
                      <w:rFonts w:cs="Arial"/>
                      <w:sz w:val="22"/>
                      <w:szCs w:val="22"/>
                      <w:lang w:eastAsia="zh-CN"/>
                    </w:rPr>
                    <w:t>May</w:t>
                  </w:r>
                  <w:bookmarkEnd w:id="5"/>
                  <w:r>
                    <w:rPr>
                      <w:rFonts w:cs="Arial" w:hint="eastAsia"/>
                      <w:sz w:val="22"/>
                      <w:szCs w:val="22"/>
                      <w:lang w:eastAsia="zh-CN"/>
                    </w:rPr>
                    <w:t xml:space="preserve"> 202</w:t>
                  </w:r>
                  <w:r>
                    <w:rPr>
                      <w:rFonts w:cs="Arial"/>
                      <w:sz w:val="22"/>
                      <w:szCs w:val="22"/>
                      <w:lang w:eastAsia="zh-CN"/>
                    </w:rPr>
                    <w:t>3</w:t>
                  </w:r>
                </w:p>
              </w:tc>
            </w:tr>
          </w:tbl>
          <w:p w14:paraId="3F77D835" w14:textId="77777777" w:rsidR="00541B6A" w:rsidRDefault="00541B6A">
            <w:pPr>
              <w:rPr>
                <w:rFonts w:cs="Arial"/>
                <w:sz w:val="22"/>
                <w:szCs w:val="22"/>
              </w:rPr>
            </w:pPr>
          </w:p>
          <w:p w14:paraId="73AE2E56" w14:textId="77777777" w:rsidR="00541B6A" w:rsidRDefault="00541B6A">
            <w:pPr>
              <w:rPr>
                <w:rFonts w:cs="Arial"/>
                <w:sz w:val="22"/>
                <w:szCs w:val="22"/>
              </w:rPr>
            </w:pPr>
          </w:p>
        </w:tc>
      </w:tr>
      <w:tr w:rsidR="00541B6A" w14:paraId="183762DA" w14:textId="77777777">
        <w:trPr>
          <w:trHeight w:val="397"/>
        </w:trPr>
        <w:tc>
          <w:tcPr>
            <w:tcW w:w="9781" w:type="dxa"/>
            <w:shd w:val="clear" w:color="auto" w:fill="F2F2F2" w:themeFill="background1" w:themeFillShade="F2"/>
            <w:vAlign w:val="center"/>
          </w:tcPr>
          <w:p w14:paraId="05E75F15" w14:textId="77777777" w:rsidR="00541B6A" w:rsidRDefault="00702F4F">
            <w:pPr>
              <w:rPr>
                <w:rFonts w:cs="Arial"/>
                <w:sz w:val="22"/>
                <w:szCs w:val="22"/>
              </w:rPr>
            </w:pPr>
            <w:r>
              <w:rPr>
                <w:rFonts w:cs="Arial"/>
                <w:sz w:val="22"/>
                <w:szCs w:val="22"/>
              </w:rPr>
              <w:lastRenderedPageBreak/>
              <w:t>Proposed methodology (approx. 500 words):</w:t>
            </w:r>
          </w:p>
        </w:tc>
      </w:tr>
      <w:tr w:rsidR="00541B6A" w14:paraId="3289E267" w14:textId="77777777">
        <w:trPr>
          <w:trHeight w:val="397"/>
        </w:trPr>
        <w:tc>
          <w:tcPr>
            <w:tcW w:w="9781" w:type="dxa"/>
            <w:vAlign w:val="center"/>
          </w:tcPr>
          <w:p w14:paraId="1FD7FDD8" w14:textId="77777777" w:rsidR="00541B6A" w:rsidRDefault="00541B6A">
            <w:pPr>
              <w:rPr>
                <w:rFonts w:eastAsia="SimSun" w:cs="Arial"/>
                <w:sz w:val="22"/>
                <w:szCs w:val="22"/>
                <w:lang w:val="en-US" w:eastAsia="zh-CN"/>
              </w:rPr>
            </w:pPr>
          </w:p>
          <w:p w14:paraId="3C32073C" w14:textId="77777777" w:rsidR="00541B6A" w:rsidRDefault="00702F4F">
            <w:pPr>
              <w:spacing w:line="360" w:lineRule="auto"/>
              <w:rPr>
                <w:rFonts w:cs="Arial"/>
                <w:b/>
                <w:bCs/>
                <w:i/>
                <w:iCs/>
                <w:sz w:val="22"/>
                <w:szCs w:val="22"/>
                <w:lang w:eastAsia="zh-CN"/>
              </w:rPr>
            </w:pPr>
            <w:r>
              <w:rPr>
                <w:rFonts w:cs="Arial"/>
                <w:b/>
                <w:bCs/>
                <w:i/>
                <w:iCs/>
                <w:sz w:val="22"/>
                <w:szCs w:val="22"/>
                <w:lang w:eastAsia="zh-CN"/>
              </w:rPr>
              <w:t>Research philosophy:</w:t>
            </w:r>
          </w:p>
          <w:p w14:paraId="664C5260" w14:textId="77777777" w:rsidR="00541B6A" w:rsidRDefault="00702F4F">
            <w:pPr>
              <w:spacing w:line="360" w:lineRule="auto"/>
              <w:rPr>
                <w:rFonts w:cs="Arial"/>
                <w:sz w:val="22"/>
                <w:szCs w:val="22"/>
                <w:lang w:eastAsia="zh-CN"/>
              </w:rPr>
            </w:pPr>
            <w:r>
              <w:rPr>
                <w:rFonts w:cs="Arial"/>
                <w:sz w:val="22"/>
                <w:szCs w:val="22"/>
                <w:lang w:eastAsia="zh-CN"/>
              </w:rPr>
              <w:t xml:space="preserve">This research uses </w:t>
            </w:r>
            <w:r>
              <w:rPr>
                <w:rFonts w:cs="Arial"/>
                <w:b/>
                <w:bCs/>
                <w:i/>
                <w:iCs/>
                <w:sz w:val="22"/>
                <w:szCs w:val="22"/>
                <w:lang w:eastAsia="zh-CN"/>
              </w:rPr>
              <w:t>mixed methods</w:t>
            </w:r>
            <w:r>
              <w:rPr>
                <w:rFonts w:cs="Arial"/>
                <w:sz w:val="22"/>
                <w:szCs w:val="22"/>
                <w:lang w:eastAsia="zh-CN"/>
              </w:rPr>
              <w:t xml:space="preserve"> (</w:t>
            </w:r>
            <w:r>
              <w:rPr>
                <w:rFonts w:cs="Arial"/>
                <w:sz w:val="22"/>
                <w:szCs w:val="22"/>
              </w:rPr>
              <w:t>Creswell and Plano Clark, 2017</w:t>
            </w:r>
            <w:r>
              <w:rPr>
                <w:rFonts w:cs="Arial"/>
                <w:sz w:val="22"/>
                <w:szCs w:val="22"/>
                <w:lang w:eastAsia="zh-CN"/>
              </w:rPr>
              <w:t xml:space="preserve">; Saunders, 2016), impacted by the philosophical underpinnings of </w:t>
            </w:r>
            <w:r>
              <w:rPr>
                <w:rFonts w:cs="Arial"/>
                <w:b/>
                <w:bCs/>
                <w:i/>
                <w:iCs/>
                <w:sz w:val="22"/>
                <w:szCs w:val="22"/>
                <w:lang w:eastAsia="zh-CN"/>
              </w:rPr>
              <w:t>Pragmatism</w:t>
            </w:r>
            <w:r>
              <w:rPr>
                <w:rFonts w:cs="Arial"/>
                <w:sz w:val="22"/>
                <w:szCs w:val="22"/>
                <w:lang w:eastAsia="zh-CN"/>
              </w:rPr>
              <w:t xml:space="preserve"> (Cassell and Cunliffe, 2018), to integrate two types of data and research design (Creswell and Creswell, 2018).</w:t>
            </w:r>
          </w:p>
          <w:p w14:paraId="190114F4" w14:textId="77777777" w:rsidR="00541B6A" w:rsidRDefault="00541B6A">
            <w:pPr>
              <w:spacing w:line="360" w:lineRule="auto"/>
              <w:rPr>
                <w:rFonts w:cs="Arial"/>
                <w:sz w:val="22"/>
                <w:szCs w:val="22"/>
                <w:lang w:eastAsia="zh-CN"/>
              </w:rPr>
            </w:pPr>
          </w:p>
          <w:p w14:paraId="598D9394" w14:textId="77777777" w:rsidR="00541B6A" w:rsidRDefault="00702F4F">
            <w:pPr>
              <w:spacing w:line="360" w:lineRule="auto"/>
              <w:rPr>
                <w:rFonts w:cs="Arial"/>
                <w:sz w:val="22"/>
                <w:szCs w:val="22"/>
                <w:lang w:eastAsia="zh-CN"/>
              </w:rPr>
            </w:pPr>
            <w:r>
              <w:rPr>
                <w:rFonts w:cs="Arial"/>
                <w:sz w:val="22"/>
                <w:szCs w:val="22"/>
                <w:lang w:eastAsia="zh-CN"/>
              </w:rPr>
              <w:t>1)</w:t>
            </w:r>
            <w:r>
              <w:rPr>
                <w:rFonts w:cs="Arial"/>
                <w:i/>
                <w:iCs/>
                <w:sz w:val="22"/>
                <w:szCs w:val="22"/>
                <w:lang w:eastAsia="zh-CN"/>
              </w:rPr>
              <w:t xml:space="preserve"> </w:t>
            </w:r>
            <w:r>
              <w:rPr>
                <w:rFonts w:cs="Arial"/>
                <w:b/>
                <w:bCs/>
                <w:i/>
                <w:iCs/>
                <w:sz w:val="22"/>
                <w:szCs w:val="22"/>
                <w:lang w:eastAsia="zh-CN"/>
              </w:rPr>
              <w:t>Ontologically</w:t>
            </w:r>
            <w:r>
              <w:rPr>
                <w:rFonts w:cs="Arial"/>
                <w:sz w:val="22"/>
                <w:szCs w:val="22"/>
                <w:lang w:eastAsia="zh-CN"/>
              </w:rPr>
              <w:t xml:space="preserve">, the sustainable development of the Fujian Opera </w:t>
            </w:r>
            <w:r>
              <w:rPr>
                <w:rFonts w:cs="Arial" w:hint="eastAsia"/>
                <w:sz w:val="22"/>
                <w:szCs w:val="22"/>
                <w:lang w:val="en-US" w:eastAsia="zh-CN"/>
              </w:rPr>
              <w:t>Troupe</w:t>
            </w:r>
            <w:r>
              <w:rPr>
                <w:rFonts w:cs="Arial"/>
                <w:sz w:val="22"/>
                <w:szCs w:val="22"/>
                <w:lang w:eastAsia="zh-CN"/>
              </w:rPr>
              <w:t xml:space="preserve"> not only refers to the complexity of the organizational changes process (</w:t>
            </w:r>
            <w:proofErr w:type="spellStart"/>
            <w:r>
              <w:rPr>
                <w:rFonts w:cs="Arial"/>
                <w:sz w:val="22"/>
                <w:szCs w:val="22"/>
                <w:lang w:eastAsia="zh-CN"/>
              </w:rPr>
              <w:t>Rosness</w:t>
            </w:r>
            <w:proofErr w:type="spellEnd"/>
            <w:r>
              <w:rPr>
                <w:rFonts w:cs="Arial"/>
                <w:sz w:val="22"/>
                <w:szCs w:val="22"/>
                <w:lang w:eastAsia="zh-CN"/>
              </w:rPr>
              <w:t xml:space="preserve"> et al., 2016; Flick et al., 2004) in Chinese society but also connects to pluralistic stakeholders from </w:t>
            </w:r>
            <w:r>
              <w:rPr>
                <w:rFonts w:cs="Arial"/>
                <w:sz w:val="22"/>
                <w:szCs w:val="22"/>
                <w:lang w:eastAsia="zh-CN"/>
              </w:rPr>
              <w:t>external and internal worlds, so the reality is continuous and changeable in the future (Menand, 2001), which tends to the subjective point.</w:t>
            </w:r>
          </w:p>
          <w:p w14:paraId="276384C9" w14:textId="77777777" w:rsidR="00541B6A" w:rsidRDefault="00702F4F">
            <w:pPr>
              <w:spacing w:line="360" w:lineRule="auto"/>
              <w:rPr>
                <w:rFonts w:eastAsiaTheme="minorEastAsia" w:cs="Arial"/>
                <w:sz w:val="22"/>
                <w:szCs w:val="22"/>
                <w:lang w:eastAsia="zh-CN"/>
              </w:rPr>
            </w:pPr>
            <w:r>
              <w:rPr>
                <w:rFonts w:cs="Arial"/>
                <w:sz w:val="22"/>
                <w:szCs w:val="22"/>
                <w:lang w:eastAsia="zh-CN"/>
              </w:rPr>
              <w:t>2)</w:t>
            </w:r>
            <w:r>
              <w:rPr>
                <w:rFonts w:cs="Arial"/>
                <w:b/>
                <w:bCs/>
                <w:i/>
                <w:iCs/>
                <w:sz w:val="22"/>
                <w:szCs w:val="22"/>
                <w:lang w:eastAsia="zh-CN"/>
              </w:rPr>
              <w:t xml:space="preserve"> Epistemologically</w:t>
            </w:r>
            <w:r>
              <w:rPr>
                <w:rFonts w:cs="Arial"/>
                <w:sz w:val="22"/>
                <w:szCs w:val="22"/>
                <w:lang w:eastAsia="zh-CN"/>
              </w:rPr>
              <w:t xml:space="preserve">, this research focuses on the </w:t>
            </w:r>
            <w:bookmarkStart w:id="6" w:name="OLE_LINK6"/>
            <w:r>
              <w:rPr>
                <w:rFonts w:cs="Arial"/>
                <w:sz w:val="22"/>
                <w:szCs w:val="22"/>
                <w:lang w:eastAsia="zh-CN"/>
              </w:rPr>
              <w:t>equivocality</w:t>
            </w:r>
            <w:bookmarkEnd w:id="6"/>
            <w:r>
              <w:rPr>
                <w:rFonts w:cs="Arial"/>
                <w:sz w:val="22"/>
                <w:szCs w:val="22"/>
                <w:lang w:eastAsia="zh-CN"/>
              </w:rPr>
              <w:t xml:space="preserve"> (Whiteman and Cooper, 2011; Sandberg and </w:t>
            </w:r>
            <w:proofErr w:type="spellStart"/>
            <w:r>
              <w:rPr>
                <w:rFonts w:cs="Arial"/>
                <w:sz w:val="22"/>
                <w:szCs w:val="22"/>
                <w:lang w:eastAsia="zh-CN"/>
              </w:rPr>
              <w:t>Tsoukas</w:t>
            </w:r>
            <w:proofErr w:type="spellEnd"/>
            <w:r>
              <w:rPr>
                <w:rFonts w:cs="Arial"/>
                <w:sz w:val="22"/>
                <w:szCs w:val="22"/>
                <w:lang w:eastAsia="zh-CN"/>
              </w:rPr>
              <w:t>, 2</w:t>
            </w:r>
            <w:r>
              <w:rPr>
                <w:rFonts w:cs="Arial"/>
                <w:sz w:val="22"/>
                <w:szCs w:val="22"/>
                <w:lang w:eastAsia="zh-CN"/>
              </w:rPr>
              <w:t xml:space="preserve">015) which interrupt inheritance and development of the Fujian Opera, forcing </w:t>
            </w:r>
            <w:r>
              <w:rPr>
                <w:rFonts w:cs="Arial"/>
                <w:color w:val="222222"/>
                <w:sz w:val="22"/>
                <w:szCs w:val="22"/>
                <w:shd w:val="clear" w:color="auto" w:fill="FFFFFF"/>
              </w:rPr>
              <w:t>actors in this industry to give rise to multiple interpretations (Weick, Sutcliffe and Obstfeld, 2005; Weick, 1993)</w:t>
            </w:r>
            <w:r>
              <w:rPr>
                <w:rFonts w:cs="Arial"/>
                <w:sz w:val="22"/>
                <w:szCs w:val="22"/>
                <w:lang w:eastAsia="zh-CN"/>
              </w:rPr>
              <w:t xml:space="preserve">  for continuously existing. Therefore, this research explores </w:t>
            </w:r>
            <w:r>
              <w:rPr>
                <w:rFonts w:cs="Arial"/>
                <w:sz w:val="22"/>
                <w:szCs w:val="22"/>
                <w:lang w:eastAsia="zh-CN"/>
              </w:rPr>
              <w:t xml:space="preserve">sustainable strategy with a more complete understanding of the changeable </w:t>
            </w:r>
            <w:proofErr w:type="spellStart"/>
            <w:r>
              <w:rPr>
                <w:rFonts w:cs="Arial"/>
                <w:sz w:val="22"/>
                <w:szCs w:val="22"/>
                <w:lang w:eastAsia="zh-CN"/>
              </w:rPr>
              <w:t>phenomenons</w:t>
            </w:r>
            <w:proofErr w:type="spellEnd"/>
            <w:r>
              <w:rPr>
                <w:rFonts w:cs="Arial"/>
                <w:sz w:val="22"/>
                <w:szCs w:val="22"/>
                <w:lang w:eastAsia="zh-CN"/>
              </w:rPr>
              <w:t xml:space="preserve"> of marginalized industries (Creswell and Creswell, 2018, p. 298) in the business society combining complex implications and compatible perspectives (</w:t>
            </w:r>
            <w:r>
              <w:rPr>
                <w:rFonts w:cs="Arial"/>
                <w:color w:val="222222"/>
                <w:sz w:val="22"/>
                <w:szCs w:val="22"/>
                <w:shd w:val="clear" w:color="auto" w:fill="FFFFFF"/>
              </w:rPr>
              <w:t>Cassell and Cunliffe,</w:t>
            </w:r>
            <w:r>
              <w:rPr>
                <w:rFonts w:cs="Arial"/>
                <w:color w:val="222222"/>
                <w:sz w:val="22"/>
                <w:szCs w:val="22"/>
                <w:shd w:val="clear" w:color="auto" w:fill="FFFFFF"/>
              </w:rPr>
              <w:t xml:space="preserve"> 2018, </w:t>
            </w:r>
            <w:r>
              <w:rPr>
                <w:rFonts w:cs="Arial"/>
                <w:sz w:val="22"/>
                <w:szCs w:val="22"/>
                <w:lang w:eastAsia="zh-CN"/>
              </w:rPr>
              <w:t>p. 107).</w:t>
            </w:r>
          </w:p>
          <w:p w14:paraId="2FE9DBB4" w14:textId="77777777" w:rsidR="00541B6A" w:rsidRDefault="00702F4F">
            <w:pPr>
              <w:spacing w:line="360" w:lineRule="auto"/>
              <w:rPr>
                <w:rFonts w:cs="Arial"/>
                <w:sz w:val="22"/>
                <w:szCs w:val="22"/>
                <w:lang w:eastAsia="zh-CN"/>
              </w:rPr>
            </w:pPr>
            <w:r>
              <w:rPr>
                <w:rFonts w:cs="Arial"/>
                <w:sz w:val="22"/>
                <w:szCs w:val="22"/>
                <w:lang w:eastAsia="zh-CN"/>
              </w:rPr>
              <w:lastRenderedPageBreak/>
              <w:t>3)</w:t>
            </w:r>
            <w:r>
              <w:rPr>
                <w:rFonts w:cs="Arial"/>
                <w:b/>
                <w:bCs/>
                <w:i/>
                <w:iCs/>
                <w:sz w:val="22"/>
                <w:szCs w:val="22"/>
                <w:lang w:eastAsia="zh-CN"/>
              </w:rPr>
              <w:t xml:space="preserve"> Axiologically</w:t>
            </w:r>
            <w:r>
              <w:rPr>
                <w:rFonts w:cs="Arial"/>
                <w:sz w:val="22"/>
                <w:szCs w:val="22"/>
                <w:lang w:eastAsia="zh-CN"/>
              </w:rPr>
              <w:t xml:space="preserve">, the exploration of the Fujian opera </w:t>
            </w:r>
            <w:r>
              <w:rPr>
                <w:rFonts w:cs="Arial" w:hint="eastAsia"/>
                <w:sz w:val="22"/>
                <w:szCs w:val="22"/>
                <w:lang w:val="en-US" w:eastAsia="zh-CN"/>
              </w:rPr>
              <w:t>troupes</w:t>
            </w:r>
            <w:r>
              <w:rPr>
                <w:rFonts w:cs="Arial"/>
                <w:sz w:val="22"/>
                <w:szCs w:val="22"/>
                <w:lang w:eastAsia="zh-CN"/>
              </w:rPr>
              <w:t xml:space="preserve"> captures the </w:t>
            </w:r>
            <w:r>
              <w:rPr>
                <w:rFonts w:cs="Arial" w:hint="eastAsia"/>
                <w:sz w:val="22"/>
                <w:szCs w:val="22"/>
                <w:lang w:val="en-US" w:eastAsia="zh-CN"/>
              </w:rPr>
              <w:t>administrative process and interaction of multi-stakeholders</w:t>
            </w:r>
            <w:r>
              <w:rPr>
                <w:rFonts w:cs="Arial"/>
                <w:sz w:val="22"/>
                <w:szCs w:val="22"/>
                <w:lang w:eastAsia="zh-CN"/>
              </w:rPr>
              <w:t xml:space="preserve">. As a pragmatist, mixed methods are appropriate to investigate regular and radical changes </w:t>
            </w:r>
            <w:r>
              <w:rPr>
                <w:rFonts w:cs="Arial" w:hint="eastAsia"/>
                <w:sz w:val="22"/>
                <w:szCs w:val="22"/>
                <w:lang w:val="en-US" w:eastAsia="zh-CN"/>
              </w:rPr>
              <w:t>for sensemaki</w:t>
            </w:r>
            <w:r>
              <w:rPr>
                <w:rFonts w:cs="Arial" w:hint="eastAsia"/>
                <w:sz w:val="22"/>
                <w:szCs w:val="22"/>
                <w:lang w:val="en-US" w:eastAsia="zh-CN"/>
              </w:rPr>
              <w:t xml:space="preserve">ng and equivocality </w:t>
            </w:r>
            <w:r>
              <w:rPr>
                <w:rFonts w:cs="Arial"/>
                <w:sz w:val="22"/>
                <w:szCs w:val="22"/>
                <w:lang w:eastAsia="zh-CN"/>
              </w:rPr>
              <w:t>(Cassell and Cunliffe, 2018</w:t>
            </w:r>
            <w:r>
              <w:rPr>
                <w:rFonts w:cs="Arial" w:hint="eastAsia"/>
                <w:sz w:val="22"/>
                <w:szCs w:val="22"/>
                <w:lang w:val="en-US" w:eastAsia="zh-CN"/>
              </w:rPr>
              <w:t>;  Dwyer, et al, 2021</w:t>
            </w:r>
            <w:r>
              <w:rPr>
                <w:rFonts w:cs="Arial"/>
                <w:sz w:val="22"/>
                <w:szCs w:val="22"/>
                <w:lang w:eastAsia="zh-CN"/>
              </w:rPr>
              <w:t>) according to research questions. Meantime, the researcher can use multiple approaches in future research.</w:t>
            </w:r>
          </w:p>
          <w:p w14:paraId="399E4336" w14:textId="77777777" w:rsidR="00541B6A" w:rsidRDefault="00541B6A">
            <w:pPr>
              <w:spacing w:line="360" w:lineRule="auto"/>
              <w:rPr>
                <w:rFonts w:cs="Arial"/>
                <w:sz w:val="22"/>
                <w:szCs w:val="22"/>
                <w:lang w:eastAsia="zh-CN"/>
              </w:rPr>
            </w:pPr>
          </w:p>
          <w:p w14:paraId="078538A6" w14:textId="77777777" w:rsidR="00541B6A" w:rsidRDefault="00702F4F">
            <w:pPr>
              <w:spacing w:line="400" w:lineRule="exact"/>
              <w:rPr>
                <w:rFonts w:cs="Arial"/>
                <w:b/>
                <w:bCs/>
                <w:i/>
                <w:iCs/>
                <w:sz w:val="22"/>
                <w:szCs w:val="22"/>
                <w:lang w:eastAsia="zh-CN"/>
              </w:rPr>
            </w:pPr>
            <w:r>
              <w:rPr>
                <w:rFonts w:cs="Arial"/>
                <w:b/>
                <w:bCs/>
                <w:i/>
                <w:iCs/>
                <w:sz w:val="22"/>
                <w:szCs w:val="22"/>
                <w:lang w:eastAsia="zh-CN"/>
              </w:rPr>
              <w:t>Research methodology:</w:t>
            </w:r>
          </w:p>
          <w:p w14:paraId="1CDAFD77" w14:textId="77777777" w:rsidR="00541B6A" w:rsidRDefault="00702F4F">
            <w:pPr>
              <w:spacing w:line="400" w:lineRule="exact"/>
              <w:rPr>
                <w:rFonts w:cs="Arial"/>
                <w:sz w:val="22"/>
                <w:szCs w:val="22"/>
                <w:lang w:val="en-US" w:eastAsia="zh-CN"/>
              </w:rPr>
            </w:pPr>
            <w:r>
              <w:rPr>
                <w:rFonts w:cs="Arial"/>
                <w:sz w:val="22"/>
                <w:szCs w:val="22"/>
                <w:lang w:eastAsia="zh-CN"/>
              </w:rPr>
              <w:t>This research will conduct the mixed-methods evaluation d</w:t>
            </w:r>
            <w:r>
              <w:rPr>
                <w:rFonts w:cs="Arial"/>
                <w:sz w:val="22"/>
                <w:szCs w:val="22"/>
                <w:lang w:eastAsia="zh-CN"/>
              </w:rPr>
              <w:t>esign (</w:t>
            </w:r>
            <w:r>
              <w:rPr>
                <w:rFonts w:cs="Arial"/>
                <w:sz w:val="22"/>
                <w:szCs w:val="22"/>
              </w:rPr>
              <w:t>Creswell and Plano Clark, 2017</w:t>
            </w:r>
            <w:r>
              <w:rPr>
                <w:rFonts w:cs="Arial"/>
                <w:sz w:val="22"/>
                <w:szCs w:val="22"/>
                <w:lang w:eastAsia="zh-CN"/>
              </w:rPr>
              <w:t xml:space="preserve">). </w:t>
            </w:r>
            <w:r>
              <w:rPr>
                <w:rFonts w:cs="Arial"/>
                <w:sz w:val="22"/>
                <w:szCs w:val="22"/>
                <w:lang w:val="en-US" w:eastAsia="zh-CN"/>
              </w:rPr>
              <w:t>the future research will be designed by the type of sequential exploratory (</w:t>
            </w:r>
            <w:proofErr w:type="spellStart"/>
            <w:r>
              <w:rPr>
                <w:rFonts w:cs="Arial" w:hint="eastAsia"/>
                <w:sz w:val="22"/>
                <w:szCs w:val="22"/>
                <w:lang w:val="en-US"/>
              </w:rPr>
              <w:t>QUAL→</w:t>
            </w:r>
            <w:r>
              <w:rPr>
                <w:rFonts w:cs="Arial"/>
                <w:sz w:val="22"/>
                <w:szCs w:val="22"/>
                <w:lang w:val="en-US"/>
              </w:rPr>
              <w:t>Q</w:t>
            </w:r>
            <w:r>
              <w:rPr>
                <w:rFonts w:cs="Arial" w:hint="eastAsia"/>
                <w:sz w:val="22"/>
                <w:szCs w:val="22"/>
                <w:lang w:val="en-US"/>
              </w:rPr>
              <w:t>uan</w:t>
            </w:r>
            <w:proofErr w:type="spellEnd"/>
            <w:r>
              <w:rPr>
                <w:rFonts w:cs="Arial"/>
                <w:sz w:val="22"/>
                <w:szCs w:val="22"/>
                <w:lang w:val="en-US" w:eastAsia="zh-CN"/>
              </w:rPr>
              <w:t>) (</w:t>
            </w:r>
            <w:r>
              <w:rPr>
                <w:rFonts w:cs="Arial"/>
                <w:sz w:val="22"/>
                <w:szCs w:val="22"/>
                <w:lang w:eastAsia="zh-CN"/>
              </w:rPr>
              <w:t xml:space="preserve">Creswell and Creswell, 2018, p. 300; </w:t>
            </w:r>
            <w:r>
              <w:rPr>
                <w:rFonts w:cs="Arial"/>
                <w:sz w:val="22"/>
                <w:szCs w:val="22"/>
              </w:rPr>
              <w:t>Johnson and Onwuegbuzie, 2004</w:t>
            </w:r>
            <w:r>
              <w:rPr>
                <w:rFonts w:cs="Arial"/>
                <w:sz w:val="22"/>
                <w:szCs w:val="22"/>
                <w:lang w:val="en-US" w:eastAsia="zh-CN"/>
              </w:rPr>
              <w:t xml:space="preserve">), which begin with qualitative approaches and </w:t>
            </w:r>
            <w:r>
              <w:rPr>
                <w:rFonts w:cs="Arial"/>
                <w:sz w:val="22"/>
                <w:szCs w:val="22"/>
                <w:lang w:val="en-US" w:eastAsia="zh-CN"/>
              </w:rPr>
              <w:t>induction logic (</w:t>
            </w:r>
            <w:proofErr w:type="spellStart"/>
            <w:r>
              <w:rPr>
                <w:rFonts w:cs="Arial"/>
                <w:color w:val="222222"/>
                <w:sz w:val="22"/>
                <w:szCs w:val="22"/>
                <w:shd w:val="clear" w:color="auto" w:fill="FFFFFF"/>
              </w:rPr>
              <w:t>Nastasi</w:t>
            </w:r>
            <w:proofErr w:type="spellEnd"/>
            <w:r>
              <w:rPr>
                <w:rFonts w:cs="Arial"/>
                <w:color w:val="222222"/>
                <w:sz w:val="22"/>
                <w:szCs w:val="22"/>
                <w:shd w:val="clear" w:color="auto" w:fill="FFFFFF"/>
              </w:rPr>
              <w:t>, 2007</w:t>
            </w:r>
            <w:r>
              <w:rPr>
                <w:rFonts w:cs="Arial"/>
                <w:sz w:val="22"/>
                <w:szCs w:val="22"/>
                <w:lang w:val="en-US" w:eastAsia="zh-CN"/>
              </w:rPr>
              <w:t xml:space="preserve">), combining </w:t>
            </w:r>
            <w:r>
              <w:rPr>
                <w:rFonts w:cs="Arial" w:hint="eastAsia"/>
                <w:sz w:val="22"/>
                <w:szCs w:val="22"/>
                <w:lang w:val="en-US" w:eastAsia="zh-CN"/>
              </w:rPr>
              <w:t>two</w:t>
            </w:r>
            <w:r>
              <w:rPr>
                <w:rFonts w:cs="Arial"/>
                <w:sz w:val="22"/>
                <w:szCs w:val="22"/>
                <w:lang w:val="en-US" w:eastAsia="zh-CN"/>
              </w:rPr>
              <w:t xml:space="preserve"> phases. </w:t>
            </w:r>
            <w:r>
              <w:rPr>
                <w:rFonts w:cs="Arial" w:hint="eastAsia"/>
                <w:sz w:val="22"/>
                <w:szCs w:val="22"/>
                <w:lang w:val="en-US" w:eastAsia="zh-CN"/>
              </w:rPr>
              <w:t>Th</w:t>
            </w:r>
            <w:r>
              <w:rPr>
                <w:rFonts w:cs="Arial"/>
                <w:sz w:val="22"/>
                <w:szCs w:val="22"/>
                <w:lang w:val="en-US" w:eastAsia="zh-CN"/>
              </w:rPr>
              <w:t>ese</w:t>
            </w:r>
            <w:r>
              <w:rPr>
                <w:rFonts w:cs="Arial" w:hint="eastAsia"/>
                <w:sz w:val="22"/>
                <w:szCs w:val="22"/>
                <w:lang w:val="en-US" w:eastAsia="zh-CN"/>
              </w:rPr>
              <w:t xml:space="preserve"> </w:t>
            </w:r>
            <w:r>
              <w:rPr>
                <w:rFonts w:cs="Arial"/>
                <w:sz w:val="22"/>
                <w:szCs w:val="22"/>
                <w:lang w:val="en-US" w:eastAsia="zh-CN"/>
              </w:rPr>
              <w:t>are</w:t>
            </w:r>
            <w:r>
              <w:rPr>
                <w:rFonts w:cs="Arial" w:hint="eastAsia"/>
                <w:sz w:val="22"/>
                <w:szCs w:val="22"/>
                <w:lang w:val="en-US" w:eastAsia="zh-CN"/>
              </w:rPr>
              <w:t xml:space="preserve"> not the new methods </w:t>
            </w:r>
            <w:r>
              <w:rPr>
                <w:rFonts w:cs="Arial"/>
                <w:sz w:val="22"/>
                <w:szCs w:val="22"/>
                <w:lang w:val="en-US" w:eastAsia="zh-CN"/>
              </w:rPr>
              <w:t>that</w:t>
            </w:r>
            <w:r>
              <w:rPr>
                <w:rFonts w:cs="Arial" w:hint="eastAsia"/>
                <w:sz w:val="22"/>
                <w:szCs w:val="22"/>
                <w:lang w:val="en-US" w:eastAsia="zh-CN"/>
              </w:rPr>
              <w:t xml:space="preserve"> are used in sensemaking perspectives (</w:t>
            </w:r>
            <w:proofErr w:type="spellStart"/>
            <w:r>
              <w:rPr>
                <w:rFonts w:eastAsia="SimSun" w:cs="Arial" w:hint="eastAsia"/>
                <w:sz w:val="22"/>
                <w:szCs w:val="22"/>
                <w:lang w:val="en-US" w:eastAsia="zh-CN"/>
              </w:rPr>
              <w:t>Gioia</w:t>
            </w:r>
            <w:proofErr w:type="spellEnd"/>
            <w:r>
              <w:rPr>
                <w:rFonts w:eastAsia="SimSun" w:cs="Arial" w:hint="eastAsia"/>
                <w:sz w:val="22"/>
                <w:szCs w:val="22"/>
                <w:lang w:val="en-US" w:eastAsia="zh-CN"/>
              </w:rPr>
              <w:t xml:space="preserve"> and Thomas, 1996; Putnam and Sorenson, 1982</w:t>
            </w:r>
            <w:r>
              <w:rPr>
                <w:rFonts w:cs="Arial" w:hint="eastAsia"/>
                <w:sz w:val="22"/>
                <w:szCs w:val="22"/>
                <w:lang w:val="en-US" w:eastAsia="zh-CN"/>
              </w:rPr>
              <w:t xml:space="preserve">) but have been less usual recently. </w:t>
            </w:r>
            <w:r>
              <w:rPr>
                <w:rFonts w:cs="Arial"/>
                <w:sz w:val="22"/>
                <w:szCs w:val="22"/>
                <w:lang w:val="en-US"/>
              </w:rPr>
              <w:t>To facilitate reasonable convergence of me</w:t>
            </w:r>
            <w:r>
              <w:rPr>
                <w:rFonts w:cs="Arial"/>
                <w:sz w:val="22"/>
                <w:szCs w:val="22"/>
                <w:lang w:val="en-US"/>
              </w:rPr>
              <w:t xml:space="preserve">thods, the </w:t>
            </w:r>
            <w:r>
              <w:rPr>
                <w:rFonts w:eastAsia="SimSun" w:cs="Arial" w:hint="eastAsia"/>
                <w:sz w:val="22"/>
                <w:szCs w:val="22"/>
                <w:lang w:val="en-US" w:eastAsia="zh-CN"/>
              </w:rPr>
              <w:t>case study</w:t>
            </w:r>
            <w:r>
              <w:rPr>
                <w:rFonts w:cs="Arial"/>
                <w:sz w:val="22"/>
                <w:szCs w:val="22"/>
                <w:lang w:val="en-US"/>
              </w:rPr>
              <w:t xml:space="preserve"> will be the dominant method to explore the dynamic sensemaking for sustainable development of the Fujian Opera </w:t>
            </w:r>
            <w:r>
              <w:rPr>
                <w:rFonts w:eastAsia="SimSun" w:cs="Arial" w:hint="eastAsia"/>
                <w:sz w:val="22"/>
                <w:szCs w:val="22"/>
                <w:lang w:val="en-US" w:eastAsia="zh-CN"/>
              </w:rPr>
              <w:t>Troupes</w:t>
            </w:r>
            <w:r>
              <w:rPr>
                <w:rFonts w:cs="Arial"/>
                <w:sz w:val="22"/>
                <w:szCs w:val="22"/>
                <w:lang w:val="en-US"/>
              </w:rPr>
              <w:t>.</w:t>
            </w:r>
            <w:r>
              <w:rPr>
                <w:rFonts w:cs="Arial" w:hint="eastAsia"/>
                <w:sz w:val="22"/>
                <w:szCs w:val="22"/>
                <w:lang w:val="en-US" w:eastAsia="zh-CN"/>
              </w:rPr>
              <w:t xml:space="preserve"> </w:t>
            </w:r>
            <w:r>
              <w:rPr>
                <w:rFonts w:cs="Arial"/>
                <w:sz w:val="22"/>
                <w:szCs w:val="22"/>
                <w:lang w:val="en-US" w:eastAsia="zh-CN"/>
              </w:rPr>
              <w:t>However, the quantitative method is also inevitable to examine the possible relationships based on the fieldwork a</w:t>
            </w:r>
            <w:r>
              <w:rPr>
                <w:rFonts w:cs="Arial"/>
                <w:sz w:val="22"/>
                <w:szCs w:val="22"/>
                <w:lang w:val="en-US" w:eastAsia="zh-CN"/>
              </w:rPr>
              <w:t>nd data from qualitative exploration (</w:t>
            </w:r>
            <w:r>
              <w:rPr>
                <w:rFonts w:cs="Arial"/>
                <w:sz w:val="22"/>
                <w:szCs w:val="22"/>
                <w:lang w:eastAsia="zh-CN"/>
              </w:rPr>
              <w:t>Cassell and Cunliffe, 2018</w:t>
            </w:r>
            <w:r>
              <w:rPr>
                <w:rFonts w:cs="Arial"/>
                <w:sz w:val="22"/>
                <w:szCs w:val="22"/>
                <w:lang w:val="en-US" w:eastAsia="zh-CN"/>
              </w:rPr>
              <w:t xml:space="preserve">). </w:t>
            </w:r>
          </w:p>
          <w:p w14:paraId="183A8ACF" w14:textId="77777777" w:rsidR="00541B6A" w:rsidRDefault="00702F4F">
            <w:pPr>
              <w:spacing w:line="400" w:lineRule="exact"/>
              <w:rPr>
                <w:rFonts w:cs="Arial"/>
                <w:sz w:val="22"/>
                <w:szCs w:val="22"/>
                <w:lang w:val="en-US" w:eastAsia="zh-CN"/>
              </w:rPr>
            </w:pPr>
            <w:r>
              <w:rPr>
                <w:rFonts w:cs="Arial"/>
                <w:sz w:val="22"/>
                <w:szCs w:val="22"/>
                <w:lang w:val="en-US" w:eastAsia="zh-CN"/>
              </w:rPr>
              <w:t>Therefore,</w:t>
            </w:r>
            <w:r>
              <w:rPr>
                <w:rFonts w:cs="Arial"/>
                <w:b/>
                <w:bCs/>
                <w:i/>
                <w:iCs/>
                <w:sz w:val="22"/>
                <w:szCs w:val="22"/>
                <w:lang w:val="en-US" w:eastAsia="zh-CN"/>
              </w:rPr>
              <w:t xml:space="preserve"> the first phase</w:t>
            </w:r>
            <w:r>
              <w:rPr>
                <w:rFonts w:cs="Arial"/>
                <w:sz w:val="22"/>
                <w:szCs w:val="22"/>
                <w:lang w:val="en-US" w:eastAsia="zh-CN"/>
              </w:rPr>
              <w:t xml:space="preserve"> is the qualitative data </w:t>
            </w:r>
            <w:r>
              <w:rPr>
                <w:rFonts w:eastAsiaTheme="minorEastAsia" w:cs="Arial"/>
                <w:sz w:val="22"/>
                <w:szCs w:val="22"/>
                <w:lang w:eastAsia="zh-CN"/>
              </w:rPr>
              <w:t>collection and analysis</w:t>
            </w:r>
            <w:r>
              <w:rPr>
                <w:rFonts w:eastAsiaTheme="minorEastAsia" w:cs="Arial" w:hint="eastAsia"/>
                <w:sz w:val="22"/>
                <w:szCs w:val="22"/>
                <w:lang w:val="en-US" w:eastAsia="zh-CN"/>
              </w:rPr>
              <w:t xml:space="preserve"> </w:t>
            </w:r>
            <w:r>
              <w:rPr>
                <w:rFonts w:cs="Arial"/>
                <w:sz w:val="22"/>
                <w:szCs w:val="22"/>
                <w:lang w:val="en-US" w:eastAsia="zh-CN"/>
              </w:rPr>
              <w:t xml:space="preserve">with </w:t>
            </w:r>
            <w:r>
              <w:rPr>
                <w:rFonts w:cs="Arial"/>
                <w:sz w:val="22"/>
                <w:szCs w:val="22"/>
                <w:lang w:eastAsia="zh-CN"/>
              </w:rPr>
              <w:t xml:space="preserve">multiple approaches to investigate the </w:t>
            </w:r>
            <w:r>
              <w:rPr>
                <w:rFonts w:cs="Arial" w:hint="eastAsia"/>
                <w:sz w:val="22"/>
                <w:szCs w:val="22"/>
                <w:lang w:val="en-US" w:eastAsia="zh-CN"/>
              </w:rPr>
              <w:t xml:space="preserve">main issues and relevant strategies in </w:t>
            </w:r>
            <w:r>
              <w:rPr>
                <w:rFonts w:cs="Arial"/>
                <w:sz w:val="22"/>
                <w:szCs w:val="22"/>
                <w:lang w:val="en-US" w:eastAsia="zh-CN"/>
              </w:rPr>
              <w:t xml:space="preserve">the </w:t>
            </w:r>
            <w:r>
              <w:rPr>
                <w:rFonts w:cs="Arial"/>
                <w:sz w:val="22"/>
                <w:szCs w:val="22"/>
                <w:lang w:eastAsia="zh-CN"/>
              </w:rPr>
              <w:t>organizational changes pro</w:t>
            </w:r>
            <w:r>
              <w:rPr>
                <w:rFonts w:cs="Arial"/>
                <w:sz w:val="22"/>
                <w:szCs w:val="22"/>
                <w:lang w:eastAsia="zh-CN"/>
              </w:rPr>
              <w:t xml:space="preserve">cess, which also captures in-depth understanding and distinctive characteristics. After capturing the cues and codes </w:t>
            </w:r>
            <w:r>
              <w:rPr>
                <w:rFonts w:cs="Arial"/>
                <w:sz w:val="22"/>
                <w:szCs w:val="22"/>
                <w:lang w:val="en-US" w:eastAsia="zh-CN"/>
              </w:rPr>
              <w:t>from the semi-structured interviews, observation, etc</w:t>
            </w:r>
            <w:r>
              <w:rPr>
                <w:rFonts w:cs="Arial" w:hint="eastAsia"/>
                <w:sz w:val="22"/>
                <w:szCs w:val="22"/>
                <w:lang w:val="en-US" w:eastAsia="zh-CN"/>
              </w:rPr>
              <w:t>.,</w:t>
            </w:r>
            <w:r>
              <w:rPr>
                <w:rFonts w:cs="Arial"/>
                <w:sz w:val="22"/>
                <w:szCs w:val="22"/>
                <w:lang w:val="en-US" w:eastAsia="zh-CN"/>
              </w:rPr>
              <w:t xml:space="preserve"> </w:t>
            </w:r>
            <w:r>
              <w:rPr>
                <w:rFonts w:cs="Arial" w:hint="eastAsia"/>
                <w:sz w:val="22"/>
                <w:szCs w:val="22"/>
                <w:lang w:val="en-US" w:eastAsia="zh-CN"/>
              </w:rPr>
              <w:t>t</w:t>
            </w:r>
            <w:r>
              <w:rPr>
                <w:rFonts w:cs="Arial"/>
                <w:sz w:val="22"/>
                <w:szCs w:val="22"/>
                <w:lang w:val="en-US" w:eastAsia="zh-CN"/>
              </w:rPr>
              <w:t xml:space="preserve">he </w:t>
            </w:r>
            <w:r>
              <w:rPr>
                <w:rFonts w:cs="Arial" w:hint="eastAsia"/>
                <w:sz w:val="22"/>
                <w:szCs w:val="22"/>
                <w:lang w:val="en-US" w:eastAsia="zh-CN"/>
              </w:rPr>
              <w:t>analysis</w:t>
            </w:r>
            <w:r>
              <w:rPr>
                <w:rFonts w:cs="Arial"/>
                <w:sz w:val="22"/>
                <w:szCs w:val="22"/>
                <w:lang w:val="en-US" w:eastAsia="zh-CN"/>
              </w:rPr>
              <w:t xml:space="preserve"> phase focuses on the </w:t>
            </w:r>
            <w:bookmarkStart w:id="7" w:name="OLE_LINK7"/>
            <w:r>
              <w:rPr>
                <w:rFonts w:cs="Arial"/>
                <w:sz w:val="22"/>
                <w:szCs w:val="22"/>
                <w:lang w:val="en-US" w:eastAsia="zh-CN"/>
              </w:rPr>
              <w:t>equivocality</w:t>
            </w:r>
            <w:bookmarkEnd w:id="7"/>
            <w:r>
              <w:rPr>
                <w:rFonts w:cs="Arial"/>
                <w:sz w:val="22"/>
                <w:szCs w:val="22"/>
                <w:lang w:val="en-US" w:eastAsia="zh-CN"/>
              </w:rPr>
              <w:t xml:space="preserve"> of the cases analyzing dynamic sensemaking connecting </w:t>
            </w:r>
            <w:r>
              <w:rPr>
                <w:rFonts w:cs="Arial" w:hint="eastAsia"/>
                <w:sz w:val="22"/>
                <w:szCs w:val="22"/>
                <w:lang w:val="en-US" w:eastAsia="zh-CN"/>
              </w:rPr>
              <w:t>with</w:t>
            </w:r>
            <w:r>
              <w:rPr>
                <w:rFonts w:cs="Arial"/>
                <w:sz w:val="22"/>
                <w:szCs w:val="22"/>
                <w:lang w:val="en-US" w:eastAsia="zh-CN"/>
              </w:rPr>
              <w:t xml:space="preserve"> </w:t>
            </w:r>
            <w:r>
              <w:rPr>
                <w:rFonts w:cs="Arial" w:hint="eastAsia"/>
                <w:sz w:val="22"/>
                <w:szCs w:val="22"/>
                <w:lang w:val="en-US" w:eastAsia="zh-CN"/>
              </w:rPr>
              <w:t xml:space="preserve">sustainable strategies of </w:t>
            </w:r>
            <w:r>
              <w:rPr>
                <w:rFonts w:cs="Arial"/>
                <w:sz w:val="22"/>
                <w:szCs w:val="22"/>
                <w:lang w:val="en-US" w:eastAsia="zh-CN"/>
              </w:rPr>
              <w:t>multiple stakeholders</w:t>
            </w:r>
            <w:r>
              <w:rPr>
                <w:rFonts w:cs="Arial" w:hint="eastAsia"/>
                <w:sz w:val="22"/>
                <w:szCs w:val="22"/>
                <w:lang w:val="en-US" w:eastAsia="zh-CN"/>
              </w:rPr>
              <w:t xml:space="preserve"> to provide </w:t>
            </w:r>
            <w:r>
              <w:rPr>
                <w:rFonts w:cs="Arial"/>
                <w:sz w:val="22"/>
                <w:szCs w:val="22"/>
                <w:lang w:val="en-US" w:eastAsia="zh-CN"/>
              </w:rPr>
              <w:t xml:space="preserve">a </w:t>
            </w:r>
            <w:r>
              <w:rPr>
                <w:rFonts w:cs="Arial" w:hint="eastAsia"/>
                <w:sz w:val="22"/>
                <w:szCs w:val="22"/>
                <w:lang w:val="en-US" w:eastAsia="zh-CN"/>
              </w:rPr>
              <w:t xml:space="preserve">database by </w:t>
            </w:r>
            <w:r>
              <w:rPr>
                <w:rFonts w:cs="Arial"/>
                <w:sz w:val="22"/>
                <w:szCs w:val="22"/>
                <w:lang w:val="en-US" w:eastAsia="zh-CN"/>
              </w:rPr>
              <w:t>‘</w:t>
            </w:r>
            <w:r>
              <w:rPr>
                <w:rFonts w:cs="Arial" w:hint="eastAsia"/>
                <w:sz w:val="22"/>
                <w:szCs w:val="22"/>
                <w:lang w:val="en-US" w:eastAsia="zh-CN"/>
              </w:rPr>
              <w:t>thick</w:t>
            </w:r>
            <w:r>
              <w:rPr>
                <w:rFonts w:cs="Arial"/>
                <w:sz w:val="22"/>
                <w:szCs w:val="22"/>
                <w:lang w:val="en-US" w:eastAsia="zh-CN"/>
              </w:rPr>
              <w:t>’</w:t>
            </w:r>
            <w:r>
              <w:rPr>
                <w:rFonts w:cs="Arial" w:hint="eastAsia"/>
                <w:sz w:val="22"/>
                <w:szCs w:val="22"/>
                <w:lang w:val="en-US" w:eastAsia="zh-CN"/>
              </w:rPr>
              <w:t xml:space="preserve"> description (</w:t>
            </w:r>
            <w:proofErr w:type="spellStart"/>
            <w:r>
              <w:rPr>
                <w:rFonts w:cs="Arial" w:hint="eastAsia"/>
                <w:sz w:val="22"/>
                <w:szCs w:val="22"/>
                <w:lang w:val="en-US" w:eastAsia="zh-CN"/>
              </w:rPr>
              <w:t>Greeze</w:t>
            </w:r>
            <w:proofErr w:type="spellEnd"/>
            <w:r>
              <w:rPr>
                <w:rFonts w:cs="Arial" w:hint="eastAsia"/>
                <w:sz w:val="22"/>
                <w:szCs w:val="22"/>
                <w:lang w:val="en-US" w:eastAsia="zh-CN"/>
              </w:rPr>
              <w:t>, 2008) and induct some rules or categories</w:t>
            </w:r>
            <w:r>
              <w:rPr>
                <w:rFonts w:cs="Arial"/>
                <w:sz w:val="22"/>
                <w:szCs w:val="22"/>
                <w:lang w:val="en-US" w:eastAsia="zh-CN"/>
              </w:rPr>
              <w:t xml:space="preserve">. Based on the </w:t>
            </w:r>
            <w:r>
              <w:rPr>
                <w:rFonts w:cs="Arial" w:hint="eastAsia"/>
                <w:sz w:val="22"/>
                <w:szCs w:val="22"/>
                <w:lang w:val="en-US" w:eastAsia="zh-CN"/>
              </w:rPr>
              <w:t>main</w:t>
            </w:r>
            <w:r>
              <w:rPr>
                <w:rFonts w:cs="Arial"/>
                <w:sz w:val="22"/>
                <w:szCs w:val="22"/>
                <w:lang w:val="en-US" w:eastAsia="zh-CN"/>
              </w:rPr>
              <w:t xml:space="preserve"> </w:t>
            </w:r>
            <w:r>
              <w:rPr>
                <w:rFonts w:cs="Arial" w:hint="eastAsia"/>
                <w:sz w:val="22"/>
                <w:szCs w:val="22"/>
                <w:lang w:val="en-US" w:eastAsia="zh-CN"/>
              </w:rPr>
              <w:t xml:space="preserve">issues </w:t>
            </w:r>
            <w:r>
              <w:rPr>
                <w:rFonts w:cs="Arial"/>
                <w:sz w:val="22"/>
                <w:szCs w:val="22"/>
                <w:lang w:val="en-US" w:eastAsia="zh-CN"/>
              </w:rPr>
              <w:t xml:space="preserve">of </w:t>
            </w:r>
            <w:r>
              <w:rPr>
                <w:rFonts w:cs="Arial" w:hint="eastAsia"/>
                <w:sz w:val="22"/>
                <w:szCs w:val="22"/>
                <w:lang w:val="en-US" w:eastAsia="zh-CN"/>
              </w:rPr>
              <w:t xml:space="preserve">sustainable strategies </w:t>
            </w:r>
            <w:r>
              <w:rPr>
                <w:rFonts w:cs="Arial" w:hint="eastAsia"/>
                <w:sz w:val="22"/>
                <w:szCs w:val="22"/>
                <w:lang w:val="en-US" w:eastAsia="zh-CN"/>
              </w:rPr>
              <w:t xml:space="preserve">from </w:t>
            </w:r>
            <w:r>
              <w:rPr>
                <w:rFonts w:cs="Arial"/>
                <w:sz w:val="22"/>
                <w:szCs w:val="22"/>
                <w:lang w:val="en-US" w:eastAsia="zh-CN"/>
              </w:rPr>
              <w:t xml:space="preserve">the </w:t>
            </w:r>
            <w:r>
              <w:rPr>
                <w:rFonts w:cs="Arial" w:hint="eastAsia"/>
                <w:sz w:val="22"/>
                <w:szCs w:val="22"/>
                <w:lang w:val="en-US" w:eastAsia="zh-CN"/>
              </w:rPr>
              <w:t>first stage</w:t>
            </w:r>
            <w:r>
              <w:rPr>
                <w:rFonts w:cs="Arial"/>
                <w:sz w:val="22"/>
                <w:szCs w:val="22"/>
                <w:lang w:val="en-US" w:eastAsia="zh-CN"/>
              </w:rPr>
              <w:t xml:space="preserve">, </w:t>
            </w:r>
            <w:r>
              <w:rPr>
                <w:rFonts w:cs="Arial"/>
                <w:b/>
                <w:bCs/>
                <w:i/>
                <w:iCs/>
                <w:sz w:val="22"/>
                <w:szCs w:val="22"/>
                <w:lang w:val="en-US" w:eastAsia="zh-CN"/>
              </w:rPr>
              <w:t xml:space="preserve">the </w:t>
            </w:r>
            <w:r>
              <w:rPr>
                <w:rFonts w:cs="Arial" w:hint="eastAsia"/>
                <w:b/>
                <w:bCs/>
                <w:i/>
                <w:iCs/>
                <w:sz w:val="22"/>
                <w:szCs w:val="22"/>
                <w:lang w:val="en-US" w:eastAsia="zh-CN"/>
              </w:rPr>
              <w:t>second</w:t>
            </w:r>
            <w:r>
              <w:rPr>
                <w:rFonts w:cs="Arial"/>
                <w:b/>
                <w:bCs/>
                <w:i/>
                <w:iCs/>
                <w:sz w:val="22"/>
                <w:szCs w:val="22"/>
                <w:lang w:val="en-US" w:eastAsia="zh-CN"/>
              </w:rPr>
              <w:t xml:space="preserve"> phase</w:t>
            </w:r>
            <w:r>
              <w:rPr>
                <w:rFonts w:cs="Arial"/>
                <w:sz w:val="22"/>
                <w:szCs w:val="22"/>
                <w:lang w:val="en-US" w:eastAsia="zh-CN"/>
              </w:rPr>
              <w:t xml:space="preserve"> </w:t>
            </w:r>
            <w:r>
              <w:rPr>
                <w:rFonts w:cs="Arial" w:hint="eastAsia"/>
                <w:sz w:val="22"/>
                <w:szCs w:val="22"/>
                <w:lang w:val="en-US" w:eastAsia="zh-CN"/>
              </w:rPr>
              <w:t>points out relevant hypothes</w:t>
            </w:r>
            <w:r>
              <w:rPr>
                <w:rFonts w:cs="Arial"/>
                <w:sz w:val="22"/>
                <w:szCs w:val="22"/>
                <w:lang w:val="en-US" w:eastAsia="zh-CN"/>
              </w:rPr>
              <w:t>e</w:t>
            </w:r>
            <w:r>
              <w:rPr>
                <w:rFonts w:cs="Arial" w:hint="eastAsia"/>
                <w:sz w:val="22"/>
                <w:szCs w:val="22"/>
                <w:lang w:val="en-US" w:eastAsia="zh-CN"/>
              </w:rPr>
              <w:t xml:space="preserve">s and </w:t>
            </w:r>
            <w:r>
              <w:rPr>
                <w:rFonts w:cs="Arial"/>
                <w:sz w:val="22"/>
                <w:szCs w:val="22"/>
                <w:lang w:val="en-US" w:eastAsia="zh-CN"/>
              </w:rPr>
              <w:t xml:space="preserve">collects data from the questionnaire to examine </w:t>
            </w:r>
            <w:r>
              <w:rPr>
                <w:rFonts w:cs="Arial" w:hint="eastAsia"/>
                <w:sz w:val="22"/>
                <w:szCs w:val="22"/>
                <w:lang w:val="en-US" w:eastAsia="zh-CN"/>
              </w:rPr>
              <w:t>the significance of sustainable strategies for the pluralistic stakeholders of the Fujian Opera Troupes</w:t>
            </w:r>
            <w:r>
              <w:rPr>
                <w:rFonts w:cs="Arial"/>
                <w:sz w:val="22"/>
                <w:szCs w:val="22"/>
                <w:lang w:val="en-US" w:eastAsia="zh-CN"/>
              </w:rPr>
              <w:t xml:space="preserve">. </w:t>
            </w:r>
          </w:p>
          <w:p w14:paraId="18EBF31B" w14:textId="77777777" w:rsidR="00541B6A" w:rsidRDefault="00541B6A">
            <w:pPr>
              <w:spacing w:line="400" w:lineRule="exact"/>
              <w:rPr>
                <w:rFonts w:cs="Arial"/>
                <w:sz w:val="22"/>
                <w:szCs w:val="22"/>
                <w:lang w:val="en-US" w:eastAsia="zh-CN"/>
              </w:rPr>
            </w:pPr>
          </w:p>
          <w:p w14:paraId="2EDA065C" w14:textId="77777777" w:rsidR="00541B6A" w:rsidRDefault="00702F4F">
            <w:pPr>
              <w:pStyle w:val="Heading2"/>
              <w:spacing w:before="0" w:after="0" w:line="400" w:lineRule="exact"/>
              <w:rPr>
                <w:rFonts w:cs="Arial"/>
                <w:i w:val="0"/>
                <w:iCs/>
                <w:sz w:val="22"/>
                <w:szCs w:val="22"/>
              </w:rPr>
            </w:pPr>
            <w:r>
              <w:rPr>
                <w:rFonts w:cs="Arial"/>
                <w:i w:val="0"/>
                <w:iCs/>
                <w:sz w:val="22"/>
                <w:szCs w:val="22"/>
              </w:rPr>
              <w:t>Justification</w:t>
            </w:r>
            <w:r>
              <w:rPr>
                <w:rFonts w:cs="Arial" w:hint="eastAsia"/>
                <w:b w:val="0"/>
                <w:bCs/>
                <w:i w:val="0"/>
                <w:iCs/>
                <w:sz w:val="22"/>
                <w:szCs w:val="22"/>
              </w:rPr>
              <w:t xml:space="preserve"> </w:t>
            </w:r>
            <w:r>
              <w:rPr>
                <w:rFonts w:cs="Arial"/>
                <w:i w:val="0"/>
                <w:iCs/>
                <w:sz w:val="22"/>
                <w:szCs w:val="22"/>
              </w:rPr>
              <w:t>for the choic</w:t>
            </w:r>
            <w:r>
              <w:rPr>
                <w:rFonts w:cs="Arial"/>
                <w:i w:val="0"/>
                <w:iCs/>
                <w:sz w:val="22"/>
                <w:szCs w:val="22"/>
              </w:rPr>
              <w:t>es:</w:t>
            </w:r>
          </w:p>
          <w:p w14:paraId="7D32D00F" w14:textId="77777777" w:rsidR="00541B6A" w:rsidRDefault="00702F4F">
            <w:pPr>
              <w:spacing w:line="400" w:lineRule="exact"/>
              <w:rPr>
                <w:sz w:val="22"/>
                <w:szCs w:val="22"/>
                <w:lang w:eastAsia="zh-CN"/>
              </w:rPr>
            </w:pPr>
            <w:r>
              <w:rPr>
                <w:sz w:val="22"/>
                <w:szCs w:val="22"/>
                <w:lang w:eastAsia="zh-CN"/>
              </w:rPr>
              <w:t xml:space="preserve">This research plans to explore the sustainable </w:t>
            </w:r>
            <w:r>
              <w:rPr>
                <w:rFonts w:hint="eastAsia"/>
                <w:sz w:val="22"/>
                <w:szCs w:val="22"/>
                <w:lang w:val="en-US" w:eastAsia="zh-CN"/>
              </w:rPr>
              <w:t>management</w:t>
            </w:r>
            <w:r>
              <w:rPr>
                <w:sz w:val="22"/>
                <w:szCs w:val="22"/>
                <w:lang w:eastAsia="zh-CN"/>
              </w:rPr>
              <w:t xml:space="preserve"> of the Fujian Opera </w:t>
            </w:r>
            <w:r>
              <w:rPr>
                <w:rFonts w:hint="eastAsia"/>
                <w:sz w:val="22"/>
                <w:szCs w:val="22"/>
                <w:lang w:val="en-US" w:eastAsia="zh-CN"/>
              </w:rPr>
              <w:t>Troupe</w:t>
            </w:r>
            <w:r>
              <w:rPr>
                <w:sz w:val="22"/>
                <w:szCs w:val="22"/>
                <w:lang w:eastAsia="zh-CN"/>
              </w:rPr>
              <w:t xml:space="preserve"> in Fuzhou city, Fujian province of China. Two troupes are chosen in the case study due to their ties</w:t>
            </w:r>
            <w:r>
              <w:rPr>
                <w:rFonts w:hint="eastAsia"/>
                <w:sz w:val="22"/>
                <w:szCs w:val="22"/>
                <w:lang w:val="en-US" w:eastAsia="zh-CN"/>
              </w:rPr>
              <w:t xml:space="preserve"> and the demands of investigating dual urban-rural culture</w:t>
            </w:r>
            <w:r>
              <w:rPr>
                <w:sz w:val="22"/>
                <w:szCs w:val="22"/>
                <w:lang w:eastAsia="zh-CN"/>
              </w:rPr>
              <w:t>:</w:t>
            </w:r>
          </w:p>
          <w:p w14:paraId="2164CB15" w14:textId="77777777" w:rsidR="00541B6A" w:rsidRDefault="00702F4F">
            <w:pPr>
              <w:numPr>
                <w:ilvl w:val="0"/>
                <w:numId w:val="2"/>
              </w:numPr>
              <w:spacing w:line="400" w:lineRule="exact"/>
              <w:rPr>
                <w:sz w:val="22"/>
                <w:szCs w:val="22"/>
                <w:lang w:eastAsia="zh-CN"/>
              </w:rPr>
            </w:pPr>
            <w:r>
              <w:rPr>
                <w:rFonts w:eastAsiaTheme="minorEastAsia" w:hint="eastAsia"/>
                <w:sz w:val="22"/>
                <w:szCs w:val="22"/>
                <w:lang w:eastAsia="zh-CN"/>
              </w:rPr>
              <w:t>a</w:t>
            </w:r>
            <w:r>
              <w:rPr>
                <w:rFonts w:eastAsiaTheme="minorEastAsia"/>
                <w:sz w:val="22"/>
                <w:szCs w:val="22"/>
                <w:lang w:eastAsia="zh-CN"/>
              </w:rPr>
              <w:t xml:space="preserve"> </w:t>
            </w:r>
            <w:r>
              <w:rPr>
                <w:rFonts w:eastAsiaTheme="minorEastAsia" w:cs="Arial" w:hint="eastAsia"/>
                <w:sz w:val="22"/>
                <w:szCs w:val="22"/>
                <w:lang w:val="en-US" w:eastAsia="zh-CN"/>
              </w:rPr>
              <w:t>provincial</w:t>
            </w:r>
            <w:r>
              <w:rPr>
                <w:rFonts w:eastAsiaTheme="minorEastAsia"/>
                <w:sz w:val="22"/>
                <w:szCs w:val="22"/>
                <w:lang w:eastAsia="zh-CN"/>
              </w:rPr>
              <w:t xml:space="preserve"> Fujian troupe</w:t>
            </w:r>
            <w:r>
              <w:rPr>
                <w:rFonts w:eastAsiaTheme="minorEastAsia" w:hint="eastAsia"/>
                <w:sz w:val="22"/>
                <w:szCs w:val="22"/>
                <w:lang w:val="en-US" w:eastAsia="zh-CN"/>
              </w:rPr>
              <w:t xml:space="preserve"> in the</w:t>
            </w:r>
            <w:r>
              <w:rPr>
                <w:rFonts w:eastAsiaTheme="minorEastAsia"/>
                <w:sz w:val="22"/>
                <w:szCs w:val="22"/>
                <w:lang w:val="en-US" w:eastAsia="zh-CN"/>
              </w:rPr>
              <w:t xml:space="preserve"> </w:t>
            </w:r>
            <w:r>
              <w:rPr>
                <w:rFonts w:eastAsiaTheme="minorEastAsia" w:hint="eastAsia"/>
                <w:sz w:val="22"/>
                <w:szCs w:val="22"/>
                <w:lang w:val="en-US" w:eastAsia="zh-CN"/>
              </w:rPr>
              <w:t>center of Fuzhou city</w:t>
            </w:r>
            <w:r>
              <w:rPr>
                <w:sz w:val="22"/>
                <w:szCs w:val="22"/>
                <w:lang w:eastAsia="zh-CN"/>
              </w:rPr>
              <w:t>;</w:t>
            </w:r>
          </w:p>
          <w:p w14:paraId="32CFB361" w14:textId="77777777" w:rsidR="00541B6A" w:rsidRDefault="00702F4F">
            <w:pPr>
              <w:spacing w:line="400" w:lineRule="exact"/>
              <w:rPr>
                <w:rFonts w:eastAsiaTheme="minorEastAsia"/>
                <w:sz w:val="22"/>
                <w:szCs w:val="22"/>
                <w:lang w:eastAsia="zh-CN"/>
              </w:rPr>
            </w:pPr>
            <w:r>
              <w:rPr>
                <w:rFonts w:eastAsiaTheme="minorEastAsia" w:hint="eastAsia"/>
                <w:sz w:val="22"/>
                <w:szCs w:val="22"/>
                <w:lang w:eastAsia="zh-CN"/>
              </w:rPr>
              <w:t>2</w:t>
            </w:r>
            <w:r>
              <w:rPr>
                <w:rFonts w:eastAsiaTheme="minorEastAsia"/>
                <w:sz w:val="22"/>
                <w:szCs w:val="22"/>
                <w:lang w:eastAsia="zh-CN"/>
              </w:rPr>
              <w:t xml:space="preserve">) </w:t>
            </w:r>
            <w:r>
              <w:rPr>
                <w:sz w:val="22"/>
                <w:szCs w:val="22"/>
                <w:lang w:eastAsia="zh-CN"/>
              </w:rPr>
              <w:t xml:space="preserve">an outstanding </w:t>
            </w:r>
            <w:r>
              <w:rPr>
                <w:rFonts w:hint="eastAsia"/>
                <w:sz w:val="22"/>
                <w:szCs w:val="22"/>
                <w:lang w:val="en-US" w:eastAsia="zh-CN"/>
              </w:rPr>
              <w:t>rural</w:t>
            </w:r>
            <w:r>
              <w:rPr>
                <w:sz w:val="22"/>
                <w:szCs w:val="22"/>
                <w:lang w:eastAsia="zh-CN"/>
              </w:rPr>
              <w:t xml:space="preserve"> troupe in the </w:t>
            </w:r>
            <w:r>
              <w:rPr>
                <w:rFonts w:hint="eastAsia"/>
                <w:sz w:val="22"/>
                <w:szCs w:val="22"/>
                <w:lang w:val="en-US" w:eastAsia="zh-CN"/>
              </w:rPr>
              <w:t>countryside</w:t>
            </w:r>
            <w:r>
              <w:rPr>
                <w:sz w:val="22"/>
                <w:szCs w:val="22"/>
                <w:lang w:eastAsia="zh-CN"/>
              </w:rPr>
              <w:t xml:space="preserve"> of Fuzhou city</w:t>
            </w:r>
            <w:r>
              <w:rPr>
                <w:rFonts w:eastAsiaTheme="minorEastAsia"/>
                <w:sz w:val="22"/>
                <w:szCs w:val="22"/>
                <w:lang w:eastAsia="zh-CN"/>
              </w:rPr>
              <w:t xml:space="preserve">. </w:t>
            </w:r>
          </w:p>
          <w:p w14:paraId="65216667" w14:textId="77777777" w:rsidR="00541B6A" w:rsidRDefault="00702F4F">
            <w:pPr>
              <w:spacing w:line="400" w:lineRule="exact"/>
              <w:rPr>
                <w:sz w:val="22"/>
                <w:szCs w:val="22"/>
                <w:lang w:eastAsia="zh-CN"/>
              </w:rPr>
            </w:pPr>
            <w:r>
              <w:rPr>
                <w:sz w:val="22"/>
                <w:szCs w:val="22"/>
                <w:lang w:eastAsia="zh-CN"/>
              </w:rPr>
              <w:lastRenderedPageBreak/>
              <w:t>The Fujian Opera Troupe is a very typical business organization with small and discrete characteristics (</w:t>
            </w:r>
            <w:proofErr w:type="spellStart"/>
            <w:r>
              <w:rPr>
                <w:sz w:val="22"/>
                <w:szCs w:val="22"/>
              </w:rPr>
              <w:t>Nakamaki</w:t>
            </w:r>
            <w:proofErr w:type="spellEnd"/>
            <w:r>
              <w:rPr>
                <w:sz w:val="22"/>
                <w:szCs w:val="22"/>
              </w:rPr>
              <w:t>, al et, 2019</w:t>
            </w:r>
            <w:r>
              <w:rPr>
                <w:sz w:val="22"/>
                <w:szCs w:val="22"/>
                <w:lang w:eastAsia="zh-CN"/>
              </w:rPr>
              <w:t>). Interestingly, parts of troupes exist well (Wei, 2018) although the loss of folkways and fans. The</w:t>
            </w:r>
            <w:r>
              <w:rPr>
                <w:sz w:val="22"/>
                <w:szCs w:val="22"/>
                <w:lang w:eastAsia="zh-CN"/>
              </w:rPr>
              <w:t xml:space="preserve">refore, in the first stages, the research focuses on the cases of two typical troupes in </w:t>
            </w:r>
            <w:r>
              <w:rPr>
                <w:rFonts w:hint="eastAsia"/>
                <w:sz w:val="22"/>
                <w:szCs w:val="22"/>
                <w:lang w:val="en-US" w:eastAsia="zh-CN"/>
              </w:rPr>
              <w:t xml:space="preserve">the center and countryside of </w:t>
            </w:r>
            <w:r>
              <w:rPr>
                <w:sz w:val="22"/>
                <w:szCs w:val="22"/>
                <w:lang w:eastAsia="zh-CN"/>
              </w:rPr>
              <w:t>Fuzhou city, to explore the prospective sensemaking (</w:t>
            </w:r>
            <w:proofErr w:type="spellStart"/>
            <w:r>
              <w:rPr>
                <w:rFonts w:cs="Arial"/>
                <w:color w:val="222222"/>
                <w:sz w:val="22"/>
                <w:szCs w:val="22"/>
                <w:shd w:val="clear" w:color="auto" w:fill="FFFFFF"/>
              </w:rPr>
              <w:t>Konlechner</w:t>
            </w:r>
            <w:proofErr w:type="spellEnd"/>
            <w:r>
              <w:rPr>
                <w:rFonts w:cs="Arial"/>
                <w:color w:val="222222"/>
                <w:sz w:val="22"/>
                <w:szCs w:val="22"/>
                <w:shd w:val="clear" w:color="auto" w:fill="FFFFFF"/>
              </w:rPr>
              <w:t>, S., et al., 2019</w:t>
            </w:r>
            <w:r>
              <w:rPr>
                <w:sz w:val="22"/>
                <w:szCs w:val="22"/>
                <w:lang w:eastAsia="zh-CN"/>
              </w:rPr>
              <w:t xml:space="preserve">) </w:t>
            </w:r>
            <w:r>
              <w:rPr>
                <w:rFonts w:hint="eastAsia"/>
                <w:sz w:val="22"/>
                <w:szCs w:val="22"/>
                <w:lang w:val="en-US" w:eastAsia="zh-CN"/>
              </w:rPr>
              <w:t>more fully</w:t>
            </w:r>
            <w:r>
              <w:rPr>
                <w:sz w:val="22"/>
                <w:szCs w:val="22"/>
                <w:lang w:eastAsia="zh-CN"/>
              </w:rPr>
              <w:t xml:space="preserve">. In the </w:t>
            </w:r>
            <w:r>
              <w:rPr>
                <w:rFonts w:hint="eastAsia"/>
                <w:sz w:val="22"/>
                <w:szCs w:val="22"/>
                <w:lang w:val="en-US" w:eastAsia="zh-CN"/>
              </w:rPr>
              <w:t>second</w:t>
            </w:r>
            <w:r>
              <w:rPr>
                <w:sz w:val="22"/>
                <w:szCs w:val="22"/>
                <w:lang w:eastAsia="zh-CN"/>
              </w:rPr>
              <w:t xml:space="preserve"> phase, the Likert Scale prov</w:t>
            </w:r>
            <w:r>
              <w:rPr>
                <w:sz w:val="22"/>
                <w:szCs w:val="22"/>
                <w:lang w:eastAsia="zh-CN"/>
              </w:rPr>
              <w:t xml:space="preserve">ides a clear degree for participants to select their cognition and attitudes for those </w:t>
            </w:r>
            <w:r>
              <w:rPr>
                <w:rFonts w:hint="eastAsia"/>
                <w:sz w:val="22"/>
                <w:szCs w:val="22"/>
                <w:lang w:val="en-US" w:eastAsia="zh-CN"/>
              </w:rPr>
              <w:t xml:space="preserve">sustainable strategies following </w:t>
            </w:r>
            <w:r>
              <w:rPr>
                <w:sz w:val="22"/>
                <w:szCs w:val="22"/>
                <w:lang w:eastAsia="zh-CN"/>
              </w:rPr>
              <w:t xml:space="preserve">key </w:t>
            </w:r>
            <w:r>
              <w:rPr>
                <w:rFonts w:hint="eastAsia"/>
                <w:sz w:val="22"/>
                <w:szCs w:val="22"/>
                <w:lang w:val="en-US" w:eastAsia="zh-CN"/>
              </w:rPr>
              <w:t>challenges</w:t>
            </w:r>
            <w:r>
              <w:rPr>
                <w:sz w:val="22"/>
                <w:szCs w:val="22"/>
                <w:lang w:eastAsia="zh-CN"/>
              </w:rPr>
              <w:t xml:space="preserve"> in the question format (Murray, 2013). Based on Greene et al.'s identified five reasons (</w:t>
            </w:r>
            <w:r>
              <w:rPr>
                <w:rFonts w:cs="Arial"/>
                <w:color w:val="222222"/>
                <w:sz w:val="22"/>
                <w:szCs w:val="22"/>
                <w:shd w:val="clear" w:color="auto" w:fill="FFFFFF"/>
              </w:rPr>
              <w:t>Greene, et al., 1989</w:t>
            </w:r>
            <w:r>
              <w:rPr>
                <w:sz w:val="22"/>
                <w:szCs w:val="22"/>
                <w:lang w:eastAsia="zh-CN"/>
              </w:rPr>
              <w:t>), this rese</w:t>
            </w:r>
            <w:r>
              <w:rPr>
                <w:sz w:val="22"/>
                <w:szCs w:val="22"/>
                <w:lang w:eastAsia="zh-CN"/>
              </w:rPr>
              <w:t>arch design realizes interaction and implication in two sides.</w:t>
            </w:r>
          </w:p>
          <w:p w14:paraId="4D627946" w14:textId="77777777" w:rsidR="00541B6A" w:rsidRDefault="00541B6A">
            <w:pPr>
              <w:spacing w:line="400" w:lineRule="exact"/>
              <w:rPr>
                <w:sz w:val="22"/>
                <w:szCs w:val="22"/>
                <w:lang w:eastAsia="zh-CN"/>
              </w:rPr>
            </w:pPr>
          </w:p>
          <w:p w14:paraId="55D355EF" w14:textId="77777777" w:rsidR="00541B6A" w:rsidRDefault="00702F4F">
            <w:pPr>
              <w:spacing w:line="360" w:lineRule="auto"/>
              <w:rPr>
                <w:rFonts w:cs="Arial"/>
                <w:b/>
                <w:bCs/>
                <w:i/>
                <w:iCs/>
                <w:sz w:val="22"/>
                <w:szCs w:val="22"/>
                <w:lang w:val="en-US" w:eastAsia="zh-CN"/>
              </w:rPr>
            </w:pPr>
            <w:r>
              <w:rPr>
                <w:rFonts w:cs="Arial" w:hint="eastAsia"/>
                <w:b/>
                <w:bCs/>
                <w:i/>
                <w:iCs/>
                <w:sz w:val="22"/>
                <w:szCs w:val="22"/>
                <w:lang w:val="en-US" w:eastAsia="zh-CN"/>
              </w:rPr>
              <w:t>D</w:t>
            </w:r>
            <w:r>
              <w:rPr>
                <w:rFonts w:cs="Arial"/>
                <w:b/>
                <w:bCs/>
                <w:i/>
                <w:iCs/>
                <w:sz w:val="22"/>
                <w:szCs w:val="22"/>
                <w:lang w:val="en-US" w:eastAsia="zh-CN"/>
              </w:rPr>
              <w:t>ata collection and analysis:</w:t>
            </w:r>
          </w:p>
          <w:p w14:paraId="2794940F" w14:textId="77777777" w:rsidR="00541B6A" w:rsidRDefault="00702F4F">
            <w:pPr>
              <w:spacing w:line="360" w:lineRule="auto"/>
              <w:rPr>
                <w:rFonts w:cs="Arial"/>
                <w:sz w:val="22"/>
                <w:szCs w:val="22"/>
                <w:lang w:val="en-US" w:eastAsia="zh-CN"/>
              </w:rPr>
            </w:pPr>
            <w:r>
              <w:rPr>
                <w:rFonts w:cs="Arial"/>
                <w:b/>
                <w:bCs/>
                <w:i/>
                <w:iCs/>
                <w:sz w:val="22"/>
                <w:szCs w:val="22"/>
                <w:lang w:val="en-US" w:eastAsia="zh-CN"/>
              </w:rPr>
              <w:t>Firstly</w:t>
            </w:r>
            <w:r>
              <w:rPr>
                <w:rFonts w:cs="Arial"/>
                <w:sz w:val="22"/>
                <w:szCs w:val="22"/>
                <w:lang w:val="en-US" w:eastAsia="zh-CN"/>
              </w:rPr>
              <w:t>, in the qualitative phase, data collection will begin with the case study (</w:t>
            </w:r>
            <w:r>
              <w:rPr>
                <w:rFonts w:cs="Arial"/>
                <w:color w:val="222222"/>
                <w:sz w:val="22"/>
                <w:szCs w:val="22"/>
                <w:shd w:val="clear" w:color="auto" w:fill="FFFFFF"/>
              </w:rPr>
              <w:t>Rashid, et al., 2019</w:t>
            </w:r>
            <w:r>
              <w:rPr>
                <w:rFonts w:cs="Arial"/>
                <w:sz w:val="22"/>
                <w:szCs w:val="22"/>
                <w:lang w:val="en-US" w:eastAsia="zh-CN"/>
              </w:rPr>
              <w:t xml:space="preserve">), encompassing multiple approaches of </w:t>
            </w:r>
            <w:r>
              <w:rPr>
                <w:rFonts w:cs="Arial"/>
                <w:sz w:val="22"/>
                <w:szCs w:val="22"/>
                <w:lang w:val="en-US" w:eastAsia="zh-CN"/>
              </w:rPr>
              <w:t>participant observation (</w:t>
            </w:r>
            <w:r>
              <w:rPr>
                <w:sz w:val="22"/>
                <w:szCs w:val="22"/>
              </w:rPr>
              <w:t>DeWalt and DeWalt, 2011</w:t>
            </w:r>
            <w:r>
              <w:rPr>
                <w:rFonts w:cs="Arial"/>
                <w:sz w:val="22"/>
                <w:szCs w:val="22"/>
                <w:lang w:val="en-US" w:eastAsia="zh-CN"/>
              </w:rPr>
              <w:t>), interview (</w:t>
            </w:r>
            <w:proofErr w:type="spellStart"/>
            <w:r>
              <w:rPr>
                <w:sz w:val="22"/>
                <w:szCs w:val="22"/>
              </w:rPr>
              <w:t>Barz</w:t>
            </w:r>
            <w:proofErr w:type="spellEnd"/>
            <w:r>
              <w:rPr>
                <w:sz w:val="22"/>
                <w:szCs w:val="22"/>
              </w:rPr>
              <w:t xml:space="preserve"> and Cooley, 2008</w:t>
            </w:r>
            <w:r>
              <w:rPr>
                <w:rFonts w:cs="Arial"/>
                <w:sz w:val="22"/>
                <w:szCs w:val="22"/>
                <w:lang w:val="en-US" w:eastAsia="zh-CN"/>
              </w:rPr>
              <w:t xml:space="preserve">), fieldwork (Pole and Hillyard, 2016), etc. </w:t>
            </w:r>
            <w:r>
              <w:rPr>
                <w:rFonts w:cs="Arial" w:hint="eastAsia"/>
                <w:sz w:val="22"/>
                <w:szCs w:val="22"/>
                <w:lang w:val="en-US" w:eastAsia="zh-CN"/>
              </w:rPr>
              <w:t>The data source comes from external and internal meetings, rehearsals, performing tours; and extensive documentar</w:t>
            </w:r>
            <w:r>
              <w:rPr>
                <w:rFonts w:cs="Arial"/>
                <w:sz w:val="22"/>
                <w:szCs w:val="22"/>
                <w:lang w:val="en-US" w:eastAsia="zh-CN"/>
              </w:rPr>
              <w:t>ies</w:t>
            </w:r>
            <w:r>
              <w:rPr>
                <w:rFonts w:cs="Arial" w:hint="eastAsia"/>
                <w:sz w:val="22"/>
                <w:szCs w:val="22"/>
                <w:lang w:val="en-US" w:eastAsia="zh-CN"/>
              </w:rPr>
              <w:t xml:space="preserve">. </w:t>
            </w:r>
            <w:r>
              <w:rPr>
                <w:rFonts w:cs="Arial"/>
                <w:sz w:val="22"/>
                <w:szCs w:val="22"/>
                <w:lang w:val="en-US" w:eastAsia="zh-CN"/>
              </w:rPr>
              <w:t>In the par</w:t>
            </w:r>
            <w:r>
              <w:rPr>
                <w:rFonts w:cs="Arial"/>
                <w:sz w:val="22"/>
                <w:szCs w:val="22"/>
                <w:lang w:val="en-US" w:eastAsia="zh-CN"/>
              </w:rPr>
              <w:t>t of semi-structured interviews, the participants will be chosen who work in these two troupes that played prominent or multiple roles in the industry or the experts in this field (Howitt, 2016, pp. 59-87)</w:t>
            </w:r>
            <w:r>
              <w:rPr>
                <w:rFonts w:cs="Arial" w:hint="eastAsia"/>
                <w:sz w:val="22"/>
                <w:szCs w:val="22"/>
                <w:lang w:val="en-US" w:eastAsia="zh-CN"/>
              </w:rPr>
              <w:t xml:space="preserve"> by the snowball sampling</w:t>
            </w:r>
            <w:r>
              <w:rPr>
                <w:rFonts w:cs="Arial"/>
                <w:sz w:val="22"/>
                <w:szCs w:val="22"/>
                <w:lang w:val="en-US" w:eastAsia="zh-CN"/>
              </w:rPr>
              <w:t>. Based on the points from</w:t>
            </w:r>
            <w:r>
              <w:rPr>
                <w:rFonts w:cs="Arial"/>
                <w:sz w:val="22"/>
                <w:szCs w:val="22"/>
                <w:lang w:val="en-US" w:eastAsia="zh-CN"/>
              </w:rPr>
              <w:t xml:space="preserve"> </w:t>
            </w:r>
            <w:r>
              <w:rPr>
                <w:rFonts w:cs="Arial" w:hint="eastAsia"/>
                <w:sz w:val="22"/>
                <w:szCs w:val="22"/>
                <w:lang w:val="en-US" w:eastAsia="zh-CN"/>
              </w:rPr>
              <w:t xml:space="preserve">previous fieldwork, </w:t>
            </w:r>
            <w:r>
              <w:rPr>
                <w:rFonts w:cs="Arial"/>
                <w:sz w:val="22"/>
                <w:szCs w:val="22"/>
                <w:lang w:val="en-US" w:eastAsia="zh-CN"/>
              </w:rPr>
              <w:t>approximately</w:t>
            </w:r>
            <w:r>
              <w:rPr>
                <w:rFonts w:cs="Arial" w:hint="eastAsia"/>
                <w:sz w:val="22"/>
                <w:szCs w:val="22"/>
                <w:lang w:val="en-US" w:eastAsia="zh-CN"/>
              </w:rPr>
              <w:t xml:space="preserve"> 2 participants will be included in each </w:t>
            </w:r>
            <w:r>
              <w:rPr>
                <w:rFonts w:cs="Arial"/>
                <w:sz w:val="22"/>
                <w:szCs w:val="22"/>
                <w:lang w:val="en-US" w:eastAsia="zh-CN"/>
              </w:rPr>
              <w:t xml:space="preserve">key stakeholder </w:t>
            </w:r>
            <w:r>
              <w:rPr>
                <w:rFonts w:cs="Arial" w:hint="eastAsia"/>
                <w:sz w:val="22"/>
                <w:szCs w:val="22"/>
                <w:lang w:val="en-US" w:eastAsia="zh-CN"/>
              </w:rPr>
              <w:t>and</w:t>
            </w:r>
            <w:r>
              <w:rPr>
                <w:rFonts w:cs="Arial"/>
                <w:sz w:val="22"/>
                <w:szCs w:val="22"/>
                <w:lang w:val="en-US" w:eastAsia="zh-CN"/>
              </w:rPr>
              <w:t xml:space="preserve"> troupe, </w:t>
            </w:r>
            <w:r>
              <w:rPr>
                <w:rFonts w:cs="Arial" w:hint="eastAsia"/>
                <w:sz w:val="22"/>
                <w:szCs w:val="22"/>
                <w:lang w:val="en-US" w:eastAsia="zh-CN"/>
              </w:rPr>
              <w:t xml:space="preserve">then </w:t>
            </w:r>
            <w:r>
              <w:rPr>
                <w:rFonts w:cs="Arial"/>
                <w:sz w:val="22"/>
                <w:szCs w:val="22"/>
                <w:lang w:val="en-US" w:eastAsia="zh-CN"/>
              </w:rPr>
              <w:t xml:space="preserve">the data will be interpreted into different types of coding (Miles and Huberman, 1994) to induct </w:t>
            </w:r>
            <w:r>
              <w:rPr>
                <w:rFonts w:cs="Arial" w:hint="eastAsia"/>
                <w:sz w:val="22"/>
                <w:szCs w:val="22"/>
                <w:lang w:val="en-US" w:eastAsia="zh-CN"/>
              </w:rPr>
              <w:t>logic and rules</w:t>
            </w:r>
            <w:r>
              <w:rPr>
                <w:rFonts w:cs="Arial"/>
                <w:sz w:val="22"/>
                <w:szCs w:val="22"/>
                <w:lang w:val="en-US" w:eastAsia="zh-CN"/>
              </w:rPr>
              <w:t xml:space="preserve"> using NVivo 12 software. Due to the</w:t>
            </w:r>
            <w:r>
              <w:rPr>
                <w:rFonts w:cs="Arial"/>
                <w:sz w:val="22"/>
                <w:szCs w:val="22"/>
                <w:lang w:val="en-US" w:eastAsia="zh-CN"/>
              </w:rPr>
              <w:t xml:space="preserve"> </w:t>
            </w:r>
            <w:r>
              <w:rPr>
                <w:rFonts w:cs="Arial" w:hint="eastAsia"/>
                <w:sz w:val="22"/>
                <w:szCs w:val="22"/>
                <w:lang w:val="en-US" w:eastAsia="zh-CN"/>
              </w:rPr>
              <w:t>cultural</w:t>
            </w:r>
            <w:r>
              <w:rPr>
                <w:rFonts w:cs="Arial"/>
                <w:sz w:val="22"/>
                <w:szCs w:val="22"/>
                <w:lang w:val="en-US" w:eastAsia="zh-CN"/>
              </w:rPr>
              <w:t xml:space="preserve"> connection between the </w:t>
            </w:r>
            <w:r>
              <w:rPr>
                <w:rFonts w:cs="Arial" w:hint="eastAsia"/>
                <w:sz w:val="22"/>
                <w:szCs w:val="22"/>
                <w:lang w:val="en-US" w:eastAsia="zh-CN"/>
              </w:rPr>
              <w:t>urban</w:t>
            </w:r>
            <w:r>
              <w:rPr>
                <w:rFonts w:cs="Arial"/>
                <w:sz w:val="22"/>
                <w:szCs w:val="22"/>
                <w:lang w:val="en-US" w:eastAsia="zh-CN"/>
              </w:rPr>
              <w:t xml:space="preserve"> and </w:t>
            </w:r>
            <w:r>
              <w:rPr>
                <w:rFonts w:cs="Arial" w:hint="eastAsia"/>
                <w:sz w:val="22"/>
                <w:szCs w:val="22"/>
                <w:lang w:val="en-US" w:eastAsia="zh-CN"/>
              </w:rPr>
              <w:t>rural</w:t>
            </w:r>
            <w:r>
              <w:rPr>
                <w:rFonts w:cs="Arial"/>
                <w:sz w:val="22"/>
                <w:szCs w:val="22"/>
                <w:lang w:val="en-US" w:eastAsia="zh-CN"/>
              </w:rPr>
              <w:t xml:space="preserve"> troupes in the Fujian Opera Industry, this stage will select two troupes that can present the trend and </w:t>
            </w:r>
            <w:r>
              <w:rPr>
                <w:rFonts w:cs="Arial" w:hint="eastAsia"/>
                <w:sz w:val="22"/>
                <w:szCs w:val="22"/>
                <w:lang w:val="en-US" w:eastAsia="zh-CN"/>
              </w:rPr>
              <w:t>challenges</w:t>
            </w:r>
            <w:r>
              <w:rPr>
                <w:rFonts w:cs="Arial"/>
                <w:sz w:val="22"/>
                <w:szCs w:val="22"/>
                <w:lang w:val="en-US" w:eastAsia="zh-CN"/>
              </w:rPr>
              <w:t xml:space="preserve"> of this industry more completely.</w:t>
            </w:r>
            <w:r>
              <w:rPr>
                <w:rFonts w:cs="Arial" w:hint="eastAsia"/>
                <w:sz w:val="22"/>
                <w:szCs w:val="22"/>
                <w:lang w:val="en-US" w:eastAsia="zh-CN"/>
              </w:rPr>
              <w:t xml:space="preserve"> </w:t>
            </w:r>
          </w:p>
          <w:p w14:paraId="0A00BBF3" w14:textId="77777777" w:rsidR="00541B6A" w:rsidRDefault="00702F4F">
            <w:pPr>
              <w:spacing w:line="360" w:lineRule="auto"/>
              <w:rPr>
                <w:rFonts w:cs="Arial"/>
                <w:sz w:val="22"/>
                <w:szCs w:val="22"/>
                <w:lang w:val="en-US" w:eastAsia="zh-CN"/>
              </w:rPr>
            </w:pPr>
            <w:r>
              <w:rPr>
                <w:rFonts w:eastAsiaTheme="minorEastAsia" w:cs="Arial"/>
                <w:sz w:val="22"/>
                <w:szCs w:val="22"/>
                <w:lang w:val="en-US" w:eastAsia="zh-CN"/>
              </w:rPr>
              <w:t>The</w:t>
            </w:r>
            <w:r>
              <w:rPr>
                <w:rFonts w:eastAsiaTheme="minorEastAsia" w:cs="Arial" w:hint="eastAsia"/>
                <w:sz w:val="22"/>
                <w:szCs w:val="22"/>
                <w:lang w:val="en-US" w:eastAsia="zh-CN"/>
              </w:rPr>
              <w:t xml:space="preserve"> data analysis stage</w:t>
            </w:r>
            <w:r>
              <w:rPr>
                <w:rFonts w:eastAsiaTheme="minorEastAsia" w:cs="Arial"/>
                <w:sz w:val="22"/>
                <w:szCs w:val="22"/>
                <w:lang w:val="en-US" w:eastAsia="zh-CN"/>
              </w:rPr>
              <w:t xml:space="preserve">, based on the </w:t>
            </w:r>
            <w:r>
              <w:rPr>
                <w:rFonts w:cs="Arial"/>
                <w:sz w:val="22"/>
                <w:szCs w:val="22"/>
                <w:lang w:val="en-US" w:eastAsia="zh-CN"/>
              </w:rPr>
              <w:t>equivocality from t</w:t>
            </w:r>
            <w:r>
              <w:rPr>
                <w:rFonts w:cs="Arial"/>
                <w:sz w:val="22"/>
                <w:szCs w:val="22"/>
                <w:lang w:val="en-US" w:eastAsia="zh-CN"/>
              </w:rPr>
              <w:t>he</w:t>
            </w:r>
            <w:r>
              <w:rPr>
                <w:rFonts w:cs="Arial" w:hint="eastAsia"/>
                <w:sz w:val="22"/>
                <w:szCs w:val="22"/>
                <w:lang w:val="en-US" w:eastAsia="zh-CN"/>
              </w:rPr>
              <w:t xml:space="preserve"> discovering</w:t>
            </w:r>
            <w:r>
              <w:rPr>
                <w:rFonts w:cs="Arial"/>
                <w:sz w:val="22"/>
                <w:szCs w:val="22"/>
                <w:lang w:val="en-US" w:eastAsia="zh-CN"/>
              </w:rPr>
              <w:t xml:space="preserve"> </w:t>
            </w:r>
            <w:r>
              <w:rPr>
                <w:rFonts w:cs="Arial" w:hint="eastAsia"/>
                <w:sz w:val="22"/>
                <w:szCs w:val="22"/>
                <w:lang w:val="en-US" w:eastAsia="zh-CN"/>
              </w:rPr>
              <w:t>phase</w:t>
            </w:r>
            <w:r>
              <w:rPr>
                <w:rFonts w:cs="Arial"/>
                <w:sz w:val="22"/>
                <w:szCs w:val="22"/>
                <w:lang w:val="en-US" w:eastAsia="zh-CN"/>
              </w:rPr>
              <w:t>, aims to reduce uncertain sensemaking</w:t>
            </w:r>
            <w:r>
              <w:rPr>
                <w:rFonts w:cs="Arial" w:hint="eastAsia"/>
                <w:sz w:val="22"/>
                <w:szCs w:val="22"/>
                <w:lang w:val="en-US" w:eastAsia="zh-CN"/>
              </w:rPr>
              <w:t>, comparing differences between two cases</w:t>
            </w:r>
            <w:r>
              <w:rPr>
                <w:rFonts w:cs="Arial"/>
                <w:sz w:val="22"/>
                <w:szCs w:val="22"/>
                <w:lang w:val="en-US" w:eastAsia="zh-CN"/>
              </w:rPr>
              <w:t xml:space="preserve"> and exploring useful sustainable </w:t>
            </w:r>
            <w:r>
              <w:rPr>
                <w:rFonts w:cs="Arial" w:hint="eastAsia"/>
                <w:sz w:val="22"/>
                <w:szCs w:val="22"/>
                <w:lang w:val="en-US" w:eastAsia="zh-CN"/>
              </w:rPr>
              <w:t>strategies</w:t>
            </w:r>
            <w:r>
              <w:rPr>
                <w:rFonts w:cs="Arial"/>
                <w:sz w:val="22"/>
                <w:szCs w:val="22"/>
                <w:lang w:val="en-US" w:eastAsia="zh-CN"/>
              </w:rPr>
              <w:t xml:space="preserve">. To better understand those cues, it is the core target to </w:t>
            </w:r>
            <w:r>
              <w:rPr>
                <w:rFonts w:cs="Arial" w:hint="eastAsia"/>
                <w:sz w:val="22"/>
                <w:szCs w:val="22"/>
                <w:lang w:val="en-US" w:eastAsia="zh-CN"/>
              </w:rPr>
              <w:t>trigger</w:t>
            </w:r>
            <w:r>
              <w:rPr>
                <w:rFonts w:cs="Arial"/>
                <w:sz w:val="22"/>
                <w:szCs w:val="22"/>
                <w:lang w:val="en-US" w:eastAsia="zh-CN"/>
              </w:rPr>
              <w:t xml:space="preserve"> ambiguous cognition</w:t>
            </w:r>
            <w:r>
              <w:rPr>
                <w:rFonts w:cs="Arial" w:hint="eastAsia"/>
                <w:sz w:val="22"/>
                <w:szCs w:val="22"/>
                <w:lang w:val="en-US" w:eastAsia="zh-CN"/>
              </w:rPr>
              <w:t xml:space="preserve">, </w:t>
            </w:r>
            <w:r>
              <w:rPr>
                <w:rFonts w:cs="Arial"/>
                <w:sz w:val="22"/>
                <w:szCs w:val="22"/>
                <w:lang w:val="en-US" w:eastAsia="zh-CN"/>
              </w:rPr>
              <w:t xml:space="preserve">compensate for necessary </w:t>
            </w:r>
            <w:r>
              <w:rPr>
                <w:rFonts w:cs="Arial" w:hint="eastAsia"/>
                <w:sz w:val="22"/>
                <w:szCs w:val="22"/>
                <w:lang w:val="en-US" w:eastAsia="zh-CN"/>
              </w:rPr>
              <w:t>description</w:t>
            </w:r>
            <w:r>
              <w:rPr>
                <w:rFonts w:cs="Arial"/>
                <w:sz w:val="22"/>
                <w:szCs w:val="22"/>
                <w:lang w:val="en-US" w:eastAsia="zh-CN"/>
              </w:rPr>
              <w:t>,</w:t>
            </w:r>
            <w:r>
              <w:rPr>
                <w:rFonts w:cs="Arial" w:hint="eastAsia"/>
                <w:sz w:val="22"/>
                <w:szCs w:val="22"/>
                <w:lang w:val="en-US" w:eastAsia="zh-CN"/>
              </w:rPr>
              <w:t xml:space="preserve"> and consider the core issues for sustainable strategies which need to be examined in </w:t>
            </w:r>
            <w:r>
              <w:rPr>
                <w:rFonts w:cs="Arial"/>
                <w:sz w:val="22"/>
                <w:szCs w:val="22"/>
                <w:lang w:val="en-US" w:eastAsia="zh-CN"/>
              </w:rPr>
              <w:t xml:space="preserve">the </w:t>
            </w:r>
            <w:r>
              <w:rPr>
                <w:rFonts w:cs="Arial" w:hint="eastAsia"/>
                <w:sz w:val="22"/>
                <w:szCs w:val="22"/>
                <w:lang w:val="en-US" w:eastAsia="zh-CN"/>
              </w:rPr>
              <w:t>next stage</w:t>
            </w:r>
            <w:r>
              <w:rPr>
                <w:rFonts w:cs="Arial"/>
                <w:sz w:val="22"/>
                <w:szCs w:val="22"/>
                <w:lang w:val="en-US" w:eastAsia="zh-CN"/>
              </w:rPr>
              <w:t>. Therefore, considering the p</w:t>
            </w:r>
            <w:r>
              <w:rPr>
                <w:rFonts w:cs="Arial"/>
                <w:sz w:val="22"/>
                <w:szCs w:val="22"/>
                <w:lang w:val="en-US" w:eastAsia="zh-CN"/>
              </w:rPr>
              <w:t>articularity of the performing industry, in this stage, the participant observation (</w:t>
            </w:r>
            <w:r>
              <w:rPr>
                <w:sz w:val="22"/>
                <w:szCs w:val="22"/>
              </w:rPr>
              <w:t>DeWalt and DeWalt, 2011</w:t>
            </w:r>
            <w:r>
              <w:rPr>
                <w:rFonts w:cs="Arial"/>
                <w:sz w:val="22"/>
                <w:szCs w:val="22"/>
                <w:lang w:val="en-US" w:eastAsia="zh-CN"/>
              </w:rPr>
              <w:t xml:space="preserve">) in different performing scenes is </w:t>
            </w:r>
            <w:r>
              <w:rPr>
                <w:rFonts w:cs="Arial" w:hint="eastAsia"/>
                <w:sz w:val="22"/>
                <w:szCs w:val="22"/>
                <w:lang w:val="en-US" w:eastAsia="zh-CN"/>
              </w:rPr>
              <w:t xml:space="preserve">also </w:t>
            </w:r>
            <w:r>
              <w:rPr>
                <w:rFonts w:cs="Arial"/>
                <w:sz w:val="22"/>
                <w:szCs w:val="22"/>
                <w:lang w:val="en-US" w:eastAsia="zh-CN"/>
              </w:rPr>
              <w:t xml:space="preserve">really important to assist in identifying </w:t>
            </w:r>
            <w:r>
              <w:rPr>
                <w:rFonts w:cs="Arial" w:hint="eastAsia"/>
                <w:sz w:val="22"/>
                <w:szCs w:val="22"/>
                <w:lang w:val="en-US" w:eastAsia="zh-CN"/>
              </w:rPr>
              <w:t>challenges</w:t>
            </w:r>
            <w:r>
              <w:rPr>
                <w:rFonts w:cs="Arial"/>
                <w:sz w:val="22"/>
                <w:szCs w:val="22"/>
                <w:lang w:val="en-US" w:eastAsia="zh-CN"/>
              </w:rPr>
              <w:t>, categories, and clusters (</w:t>
            </w:r>
            <w:r>
              <w:rPr>
                <w:rFonts w:eastAsiaTheme="minorEastAsia" w:cs="Arial"/>
                <w:sz w:val="22"/>
                <w:szCs w:val="22"/>
                <w:lang w:eastAsia="zh-CN"/>
              </w:rPr>
              <w:t xml:space="preserve">Dwyer, Hardy, and Maguire, </w:t>
            </w:r>
            <w:r>
              <w:rPr>
                <w:rFonts w:eastAsiaTheme="minorEastAsia" w:cs="Arial"/>
                <w:sz w:val="22"/>
                <w:szCs w:val="22"/>
                <w:lang w:eastAsia="zh-CN"/>
              </w:rPr>
              <w:t>2021</w:t>
            </w:r>
            <w:r>
              <w:rPr>
                <w:rFonts w:cs="Arial"/>
                <w:sz w:val="22"/>
                <w:szCs w:val="22"/>
                <w:lang w:val="en-US" w:eastAsia="zh-CN"/>
              </w:rPr>
              <w:t xml:space="preserve">). </w:t>
            </w:r>
          </w:p>
          <w:p w14:paraId="59370B1A" w14:textId="77777777" w:rsidR="00541B6A" w:rsidRDefault="00702F4F">
            <w:pPr>
              <w:spacing w:line="360" w:lineRule="auto"/>
              <w:rPr>
                <w:rFonts w:cs="Arial"/>
                <w:sz w:val="22"/>
                <w:szCs w:val="22"/>
                <w:lang w:val="en-US" w:eastAsia="zh-CN"/>
              </w:rPr>
            </w:pPr>
            <w:r>
              <w:rPr>
                <w:rFonts w:eastAsiaTheme="minorEastAsia" w:cs="Arial"/>
                <w:sz w:val="22"/>
                <w:szCs w:val="22"/>
                <w:lang w:val="en-US" w:eastAsia="zh-CN"/>
              </w:rPr>
              <w:t>In the</w:t>
            </w:r>
            <w:r>
              <w:rPr>
                <w:rFonts w:eastAsiaTheme="minorEastAsia" w:cs="Arial"/>
                <w:b/>
                <w:bCs/>
                <w:i/>
                <w:iCs/>
                <w:sz w:val="22"/>
                <w:szCs w:val="22"/>
                <w:lang w:val="en-US" w:eastAsia="zh-CN"/>
              </w:rPr>
              <w:t xml:space="preserve"> </w:t>
            </w:r>
            <w:r>
              <w:rPr>
                <w:rFonts w:eastAsiaTheme="minorEastAsia" w:cs="Arial" w:hint="eastAsia"/>
                <w:b/>
                <w:bCs/>
                <w:i/>
                <w:iCs/>
                <w:sz w:val="22"/>
                <w:szCs w:val="22"/>
                <w:lang w:val="en-US" w:eastAsia="zh-CN"/>
              </w:rPr>
              <w:t>second</w:t>
            </w:r>
            <w:r>
              <w:rPr>
                <w:rFonts w:eastAsiaTheme="minorEastAsia" w:cs="Arial"/>
                <w:b/>
                <w:bCs/>
                <w:i/>
                <w:iCs/>
                <w:sz w:val="22"/>
                <w:szCs w:val="22"/>
                <w:lang w:val="en-US" w:eastAsia="zh-CN"/>
              </w:rPr>
              <w:t xml:space="preserve"> </w:t>
            </w:r>
            <w:r>
              <w:rPr>
                <w:rFonts w:eastAsiaTheme="minorEastAsia" w:cs="Arial"/>
                <w:sz w:val="22"/>
                <w:szCs w:val="22"/>
                <w:lang w:val="en-US" w:eastAsia="zh-CN"/>
              </w:rPr>
              <w:t xml:space="preserve">phase, </w:t>
            </w:r>
            <w:r>
              <w:rPr>
                <w:rFonts w:eastAsiaTheme="minorEastAsia" w:cs="Arial" w:hint="eastAsia"/>
                <w:sz w:val="22"/>
                <w:szCs w:val="22"/>
                <w:lang w:val="en-US" w:eastAsia="zh-CN"/>
              </w:rPr>
              <w:t>two or three hypothes</w:t>
            </w:r>
            <w:r>
              <w:rPr>
                <w:rFonts w:eastAsiaTheme="minorEastAsia" w:cs="Arial"/>
                <w:sz w:val="22"/>
                <w:szCs w:val="22"/>
                <w:lang w:val="en-US" w:eastAsia="zh-CN"/>
              </w:rPr>
              <w:t>e</w:t>
            </w:r>
            <w:r>
              <w:rPr>
                <w:rFonts w:eastAsiaTheme="minorEastAsia" w:cs="Arial" w:hint="eastAsia"/>
                <w:sz w:val="22"/>
                <w:szCs w:val="22"/>
                <w:lang w:val="en-US" w:eastAsia="zh-CN"/>
              </w:rPr>
              <w:t xml:space="preserve">s will be pointed out according to the research from </w:t>
            </w:r>
            <w:r>
              <w:rPr>
                <w:rFonts w:eastAsiaTheme="minorEastAsia" w:cs="Arial"/>
                <w:sz w:val="22"/>
                <w:szCs w:val="22"/>
                <w:lang w:val="en-US" w:eastAsia="zh-CN"/>
              </w:rPr>
              <w:t xml:space="preserve">the </w:t>
            </w:r>
            <w:r>
              <w:rPr>
                <w:rFonts w:eastAsiaTheme="minorEastAsia" w:cs="Arial" w:hint="eastAsia"/>
                <w:sz w:val="22"/>
                <w:szCs w:val="22"/>
                <w:lang w:val="en-US" w:eastAsia="zh-CN"/>
              </w:rPr>
              <w:t xml:space="preserve">last step. </w:t>
            </w:r>
            <w:r>
              <w:rPr>
                <w:rFonts w:cs="Arial"/>
                <w:sz w:val="22"/>
                <w:szCs w:val="22"/>
              </w:rPr>
              <w:t xml:space="preserve">Closed-ended questionnaires (Dawson, 2009) will be conducted in relevant people who work or often go to the troupes, theatres, teahouses </w:t>
            </w:r>
            <w:r>
              <w:rPr>
                <w:rFonts w:cs="Arial"/>
                <w:sz w:val="22"/>
                <w:szCs w:val="22"/>
              </w:rPr>
              <w:t xml:space="preserve">around Fuzhou city, which are expected </w:t>
            </w:r>
            <w:r>
              <w:rPr>
                <w:rFonts w:cs="Arial"/>
                <w:sz w:val="22"/>
                <w:szCs w:val="22"/>
              </w:rPr>
              <w:lastRenderedPageBreak/>
              <w:t>to get responses from over 200 people in total (100 people in those performances each troupe)</w:t>
            </w:r>
            <w:r>
              <w:rPr>
                <w:rFonts w:eastAsia="SimSun" w:cs="Arial" w:hint="eastAsia"/>
                <w:sz w:val="22"/>
                <w:szCs w:val="22"/>
                <w:lang w:val="en-US" w:eastAsia="zh-CN"/>
              </w:rPr>
              <w:t xml:space="preserve"> by cluster sampling</w:t>
            </w:r>
            <w:r>
              <w:rPr>
                <w:rFonts w:cs="Arial"/>
                <w:sz w:val="22"/>
                <w:szCs w:val="22"/>
              </w:rPr>
              <w:t xml:space="preserve">. </w:t>
            </w:r>
            <w:r>
              <w:rPr>
                <w:rFonts w:cs="Arial"/>
                <w:sz w:val="22"/>
                <w:szCs w:val="22"/>
                <w:lang w:val="en-US" w:eastAsia="zh-CN"/>
              </w:rPr>
              <w:t xml:space="preserve">the questionnaire will be designed after fieldwork and </w:t>
            </w:r>
            <w:r>
              <w:rPr>
                <w:rFonts w:cs="Arial"/>
                <w:sz w:val="22"/>
                <w:szCs w:val="22"/>
              </w:rPr>
              <w:t>pilot-test</w:t>
            </w:r>
            <w:r>
              <w:rPr>
                <w:rFonts w:cs="Arial" w:hint="eastAsia"/>
                <w:sz w:val="22"/>
                <w:szCs w:val="22"/>
              </w:rPr>
              <w:t xml:space="preserve"> </w:t>
            </w:r>
            <w:r>
              <w:rPr>
                <w:rFonts w:cs="Arial"/>
                <w:sz w:val="22"/>
                <w:szCs w:val="22"/>
              </w:rPr>
              <w:t xml:space="preserve">by some experts in the industry and academic circle </w:t>
            </w:r>
            <w:r>
              <w:rPr>
                <w:rFonts w:cs="Arial"/>
                <w:sz w:val="22"/>
                <w:szCs w:val="22"/>
                <w:lang w:val="en-US" w:eastAsia="zh-CN"/>
              </w:rPr>
              <w:t xml:space="preserve">to improve the efficiency and accuracy of questions (Glaser and Strauss, 2006). Then, the data will be analyzed by SPSS and AMO software. This stage focuses on examining the significance </w:t>
            </w:r>
            <w:r>
              <w:rPr>
                <w:rFonts w:cs="Arial" w:hint="eastAsia"/>
                <w:sz w:val="22"/>
                <w:szCs w:val="22"/>
                <w:lang w:val="en-US" w:eastAsia="zh-CN"/>
              </w:rPr>
              <w:t>of</w:t>
            </w:r>
            <w:r>
              <w:rPr>
                <w:rFonts w:cs="Arial"/>
                <w:sz w:val="22"/>
                <w:szCs w:val="22"/>
                <w:lang w:val="en-US" w:eastAsia="zh-CN"/>
              </w:rPr>
              <w:t xml:space="preserve"> </w:t>
            </w:r>
            <w:r>
              <w:rPr>
                <w:rFonts w:cs="Arial" w:hint="eastAsia"/>
                <w:sz w:val="22"/>
                <w:szCs w:val="22"/>
                <w:lang w:val="en-US" w:eastAsia="zh-CN"/>
              </w:rPr>
              <w:t>sustainable st</w:t>
            </w:r>
            <w:r>
              <w:rPr>
                <w:rFonts w:cs="Arial" w:hint="eastAsia"/>
                <w:sz w:val="22"/>
                <w:szCs w:val="22"/>
                <w:lang w:val="en-US" w:eastAsia="zh-CN"/>
              </w:rPr>
              <w:t>rategies</w:t>
            </w:r>
            <w:r>
              <w:rPr>
                <w:rFonts w:cs="Arial"/>
                <w:sz w:val="22"/>
                <w:szCs w:val="22"/>
                <w:lang w:val="en-US" w:eastAsia="zh-CN"/>
              </w:rPr>
              <w:t xml:space="preserve"> from the dynamic sensemaking </w:t>
            </w:r>
            <w:r>
              <w:rPr>
                <w:rFonts w:cs="Arial" w:hint="eastAsia"/>
                <w:sz w:val="22"/>
                <w:szCs w:val="22"/>
                <w:lang w:val="en-US" w:eastAsia="zh-CN"/>
              </w:rPr>
              <w:t>among multi-stakeholders in</w:t>
            </w:r>
            <w:r>
              <w:rPr>
                <w:rFonts w:cs="Arial"/>
                <w:sz w:val="22"/>
                <w:szCs w:val="22"/>
                <w:lang w:val="en-US" w:eastAsia="zh-CN"/>
              </w:rPr>
              <w:t xml:space="preserve"> the Fujian Opera </w:t>
            </w:r>
            <w:r>
              <w:rPr>
                <w:rFonts w:cs="Arial" w:hint="eastAsia"/>
                <w:sz w:val="22"/>
                <w:szCs w:val="22"/>
                <w:lang w:val="en-US" w:eastAsia="zh-CN"/>
              </w:rPr>
              <w:t>Troupes</w:t>
            </w:r>
            <w:r>
              <w:rPr>
                <w:rFonts w:cs="Arial"/>
                <w:sz w:val="22"/>
                <w:szCs w:val="22"/>
                <w:lang w:val="en-US" w:eastAsia="zh-CN"/>
              </w:rPr>
              <w:t>.</w:t>
            </w:r>
          </w:p>
          <w:p w14:paraId="2FB1DCA2" w14:textId="77777777" w:rsidR="00541B6A" w:rsidRDefault="00541B6A">
            <w:pPr>
              <w:spacing w:line="360" w:lineRule="auto"/>
              <w:rPr>
                <w:rFonts w:eastAsiaTheme="minorEastAsia" w:cs="Arial"/>
                <w:sz w:val="22"/>
                <w:szCs w:val="22"/>
                <w:lang w:val="en-US" w:eastAsia="zh-CN"/>
              </w:rPr>
            </w:pPr>
          </w:p>
          <w:p w14:paraId="5569F3D0" w14:textId="77777777" w:rsidR="00541B6A" w:rsidRDefault="00702F4F">
            <w:pPr>
              <w:spacing w:line="360" w:lineRule="auto"/>
              <w:rPr>
                <w:rFonts w:eastAsiaTheme="minorEastAsia" w:cs="Arial"/>
                <w:sz w:val="22"/>
                <w:szCs w:val="22"/>
                <w:lang w:val="en-US" w:eastAsia="zh-CN"/>
              </w:rPr>
            </w:pPr>
            <w:r>
              <w:rPr>
                <w:rFonts w:cs="Arial"/>
                <w:b/>
                <w:bCs/>
                <w:i/>
                <w:iCs/>
                <w:sz w:val="22"/>
                <w:szCs w:val="22"/>
                <w:lang w:val="en-US" w:eastAsia="zh-CN"/>
              </w:rPr>
              <w:t>Finally</w:t>
            </w:r>
            <w:r>
              <w:rPr>
                <w:rFonts w:cs="Arial"/>
                <w:sz w:val="22"/>
                <w:szCs w:val="22"/>
                <w:lang w:val="en-US" w:eastAsia="zh-CN"/>
              </w:rPr>
              <w:t>, the convergence part</w:t>
            </w:r>
            <w:r>
              <w:rPr>
                <w:rFonts w:cs="Arial"/>
                <w:b/>
                <w:bCs/>
                <w:i/>
                <w:iCs/>
                <w:sz w:val="22"/>
                <w:szCs w:val="22"/>
                <w:lang w:val="en-US" w:eastAsia="zh-CN"/>
              </w:rPr>
              <w:t xml:space="preserve"> </w:t>
            </w:r>
            <w:r>
              <w:rPr>
                <w:rFonts w:cs="Arial"/>
                <w:sz w:val="22"/>
                <w:szCs w:val="22"/>
                <w:lang w:val="en-US" w:eastAsia="zh-CN"/>
              </w:rPr>
              <w:t>will supplement and integrate the results of the data analysis completely to interpret</w:t>
            </w:r>
            <w:r>
              <w:rPr>
                <w:rFonts w:cs="Arial"/>
                <w:b/>
                <w:bCs/>
                <w:i/>
                <w:iCs/>
                <w:sz w:val="22"/>
                <w:szCs w:val="22"/>
                <w:lang w:val="en-US" w:eastAsia="zh-CN"/>
              </w:rPr>
              <w:t xml:space="preserve"> </w:t>
            </w:r>
            <w:r>
              <w:rPr>
                <w:rFonts w:cs="Arial"/>
                <w:sz w:val="22"/>
                <w:szCs w:val="22"/>
                <w:lang w:val="en-US" w:eastAsia="zh-CN"/>
              </w:rPr>
              <w:t xml:space="preserve">how does </w:t>
            </w:r>
            <w:r>
              <w:rPr>
                <w:rFonts w:cs="Arial" w:hint="eastAsia"/>
                <w:sz w:val="22"/>
                <w:szCs w:val="22"/>
                <w:lang w:val="en-US" w:eastAsia="zh-CN"/>
              </w:rPr>
              <w:t>organizational</w:t>
            </w:r>
            <w:r>
              <w:rPr>
                <w:rFonts w:cs="Arial"/>
                <w:sz w:val="22"/>
                <w:szCs w:val="22"/>
                <w:lang w:val="en-US" w:eastAsia="zh-CN"/>
              </w:rPr>
              <w:t xml:space="preserve"> sensemaking </w:t>
            </w:r>
            <w:r>
              <w:rPr>
                <w:rFonts w:cs="Arial" w:hint="eastAsia"/>
                <w:sz w:val="22"/>
                <w:szCs w:val="22"/>
                <w:lang w:val="en-US" w:eastAsia="zh-CN"/>
              </w:rPr>
              <w:t>constructs</w:t>
            </w:r>
            <w:r>
              <w:rPr>
                <w:rFonts w:cs="Arial"/>
                <w:sz w:val="22"/>
                <w:szCs w:val="22"/>
                <w:lang w:val="en-US" w:eastAsia="zh-CN"/>
              </w:rPr>
              <w:t xml:space="preserve"> the sustainable </w:t>
            </w:r>
            <w:r>
              <w:rPr>
                <w:rFonts w:cs="Arial" w:hint="eastAsia"/>
                <w:sz w:val="22"/>
                <w:szCs w:val="22"/>
                <w:lang w:val="en-US" w:eastAsia="zh-CN"/>
              </w:rPr>
              <w:t>strategic changes</w:t>
            </w:r>
            <w:r>
              <w:rPr>
                <w:rFonts w:cs="Arial"/>
                <w:sz w:val="22"/>
                <w:szCs w:val="22"/>
                <w:lang w:val="en-US" w:eastAsia="zh-CN"/>
              </w:rPr>
              <w:t xml:space="preserve"> </w:t>
            </w:r>
            <w:r>
              <w:rPr>
                <w:rFonts w:cs="Arial" w:hint="eastAsia"/>
                <w:sz w:val="22"/>
                <w:szCs w:val="22"/>
                <w:lang w:val="en-US" w:eastAsia="zh-CN"/>
              </w:rPr>
              <w:t xml:space="preserve">among pluralistic stakeholders </w:t>
            </w:r>
            <w:r>
              <w:rPr>
                <w:rFonts w:cs="Arial"/>
                <w:sz w:val="22"/>
                <w:szCs w:val="22"/>
                <w:lang w:val="en-US" w:eastAsia="zh-CN"/>
              </w:rPr>
              <w:t xml:space="preserve">of the Fujian Opera </w:t>
            </w:r>
            <w:r>
              <w:rPr>
                <w:rFonts w:cs="Arial" w:hint="eastAsia"/>
                <w:sz w:val="22"/>
                <w:szCs w:val="22"/>
                <w:lang w:val="en-US" w:eastAsia="zh-CN"/>
              </w:rPr>
              <w:t>Troupes based on the cultural transformation in China</w:t>
            </w:r>
            <w:r>
              <w:rPr>
                <w:rFonts w:cs="Arial"/>
                <w:sz w:val="22"/>
                <w:szCs w:val="22"/>
                <w:lang w:val="en-US" w:eastAsia="zh-CN"/>
              </w:rPr>
              <w:t>.</w:t>
            </w:r>
          </w:p>
          <w:p w14:paraId="5CBB5EE8" w14:textId="77777777" w:rsidR="00541B6A" w:rsidRDefault="00541B6A">
            <w:pPr>
              <w:spacing w:line="400" w:lineRule="exact"/>
              <w:rPr>
                <w:rFonts w:eastAsiaTheme="minorEastAsia" w:cs="Arial"/>
                <w:sz w:val="22"/>
                <w:szCs w:val="22"/>
                <w:lang w:val="en-US" w:eastAsia="zh-CN"/>
              </w:rPr>
            </w:pPr>
          </w:p>
          <w:p w14:paraId="1B34DD26" w14:textId="77777777" w:rsidR="00541B6A" w:rsidRDefault="00702F4F">
            <w:pPr>
              <w:spacing w:line="400" w:lineRule="exact"/>
              <w:rPr>
                <w:rFonts w:cs="Arial"/>
                <w:b/>
                <w:bCs/>
                <w:i/>
                <w:iCs/>
                <w:sz w:val="22"/>
                <w:szCs w:val="22"/>
                <w:lang w:val="en-US" w:eastAsia="zh-CN"/>
              </w:rPr>
            </w:pPr>
            <w:r>
              <w:rPr>
                <w:rFonts w:cs="Arial"/>
                <w:b/>
                <w:bCs/>
                <w:i/>
                <w:iCs/>
                <w:sz w:val="22"/>
                <w:szCs w:val="22"/>
                <w:lang w:val="en-US" w:eastAsia="zh-CN"/>
              </w:rPr>
              <w:t>Ethical considerations:</w:t>
            </w:r>
          </w:p>
          <w:p w14:paraId="5614BFBD" w14:textId="77777777" w:rsidR="00541B6A" w:rsidRDefault="00702F4F">
            <w:pPr>
              <w:spacing w:line="400" w:lineRule="exact"/>
              <w:rPr>
                <w:rFonts w:cs="Arial"/>
                <w:sz w:val="22"/>
                <w:szCs w:val="22"/>
                <w:lang w:eastAsia="zh-CN"/>
              </w:rPr>
            </w:pPr>
            <w:r>
              <w:rPr>
                <w:rFonts w:cs="Arial"/>
                <w:sz w:val="22"/>
                <w:szCs w:val="22"/>
                <w:lang w:eastAsia="zh-CN"/>
              </w:rPr>
              <w:t>There is no doubt that respect privacy for every participant and group is really important</w:t>
            </w:r>
            <w:r>
              <w:rPr>
                <w:rFonts w:cs="Arial"/>
                <w:sz w:val="22"/>
                <w:szCs w:val="22"/>
                <w:lang w:eastAsia="zh-CN"/>
              </w:rPr>
              <w:t>,</w:t>
            </w:r>
          </w:p>
          <w:p w14:paraId="750C93B1" w14:textId="77777777" w:rsidR="00541B6A" w:rsidRDefault="00702F4F">
            <w:pPr>
              <w:spacing w:line="400" w:lineRule="exact"/>
              <w:rPr>
                <w:rFonts w:cs="Arial"/>
                <w:sz w:val="22"/>
                <w:szCs w:val="22"/>
                <w:lang w:val="en-US" w:eastAsia="zh-CN"/>
              </w:rPr>
            </w:pPr>
            <w:r>
              <w:rPr>
                <w:rFonts w:cs="Arial"/>
                <w:sz w:val="22"/>
                <w:szCs w:val="22"/>
                <w:lang w:eastAsia="zh-CN"/>
              </w:rPr>
              <w:t>especially in the data collection (Kalu and Bwalya, 2017). It</w:t>
            </w:r>
            <w:r>
              <w:rPr>
                <w:rFonts w:cs="Arial" w:hint="eastAsia"/>
                <w:sz w:val="22"/>
                <w:szCs w:val="22"/>
                <w:lang w:eastAsia="zh-CN"/>
              </w:rPr>
              <w:t xml:space="preserve"> </w:t>
            </w:r>
            <w:r>
              <w:rPr>
                <w:rFonts w:cs="Arial"/>
                <w:sz w:val="22"/>
                <w:szCs w:val="22"/>
                <w:lang w:eastAsia="zh-CN"/>
              </w:rPr>
              <w:t>will be inevitable to describe knowledge in subjective points, thus I will try to be a collector, rather</w:t>
            </w:r>
            <w:r>
              <w:rPr>
                <w:rFonts w:cs="Arial" w:hint="eastAsia"/>
                <w:sz w:val="22"/>
                <w:szCs w:val="22"/>
                <w:lang w:eastAsia="zh-CN"/>
              </w:rPr>
              <w:t xml:space="preserve"> </w:t>
            </w:r>
            <w:r>
              <w:rPr>
                <w:rFonts w:cs="Arial"/>
                <w:sz w:val="22"/>
                <w:szCs w:val="22"/>
                <w:lang w:eastAsia="zh-CN"/>
              </w:rPr>
              <w:t xml:space="preserve">than an arbiter (Seeger, 1986). </w:t>
            </w:r>
            <w:r>
              <w:rPr>
                <w:rFonts w:cs="Arial" w:hint="eastAsia"/>
                <w:sz w:val="22"/>
                <w:szCs w:val="22"/>
                <w:lang w:val="en-US" w:eastAsia="zh-CN"/>
              </w:rPr>
              <w:t xml:space="preserve">Since this research will refer to the ethics of </w:t>
            </w:r>
            <w:r>
              <w:rPr>
                <w:rFonts w:cs="Arial"/>
                <w:sz w:val="22"/>
                <w:szCs w:val="22"/>
                <w:lang w:val="en-US" w:eastAsia="zh-CN"/>
              </w:rPr>
              <w:t xml:space="preserve">the </w:t>
            </w:r>
            <w:r>
              <w:rPr>
                <w:rFonts w:cs="Arial" w:hint="eastAsia"/>
                <w:sz w:val="22"/>
                <w:szCs w:val="22"/>
                <w:lang w:val="en-US" w:eastAsia="zh-CN"/>
              </w:rPr>
              <w:t>loc</w:t>
            </w:r>
            <w:r>
              <w:rPr>
                <w:rFonts w:cs="Arial" w:hint="eastAsia"/>
                <w:sz w:val="22"/>
                <w:szCs w:val="22"/>
                <w:lang w:val="en-US" w:eastAsia="zh-CN"/>
              </w:rPr>
              <w:t>al cultural industry, understanding traditional culture and custom</w:t>
            </w:r>
            <w:r>
              <w:rPr>
                <w:rFonts w:cs="Arial"/>
                <w:sz w:val="22"/>
                <w:szCs w:val="22"/>
                <w:lang w:val="en-US" w:eastAsia="zh-CN"/>
              </w:rPr>
              <w:t>s</w:t>
            </w:r>
            <w:r>
              <w:rPr>
                <w:rFonts w:cs="Arial" w:hint="eastAsia"/>
                <w:sz w:val="22"/>
                <w:szCs w:val="22"/>
                <w:lang w:val="en-US" w:eastAsia="zh-CN"/>
              </w:rPr>
              <w:t xml:space="preserve"> </w:t>
            </w:r>
            <w:r>
              <w:rPr>
                <w:rFonts w:cs="Arial"/>
                <w:sz w:val="22"/>
                <w:szCs w:val="22"/>
                <w:lang w:val="en-US" w:eastAsia="zh-CN"/>
              </w:rPr>
              <w:t>are</w:t>
            </w:r>
            <w:r>
              <w:rPr>
                <w:rFonts w:cs="Arial" w:hint="eastAsia"/>
                <w:sz w:val="22"/>
                <w:szCs w:val="22"/>
                <w:lang w:val="en-US" w:eastAsia="zh-CN"/>
              </w:rPr>
              <w:t xml:space="preserve"> necessary to develop relationships with participants and organizations. </w:t>
            </w:r>
            <w:r>
              <w:rPr>
                <w:rFonts w:cs="Arial"/>
                <w:sz w:val="22"/>
                <w:szCs w:val="22"/>
                <w:lang w:eastAsia="zh-CN"/>
              </w:rPr>
              <w:t xml:space="preserve">Particularly, in the process of interview and questionnaire, I will be concerned about </w:t>
            </w:r>
            <w:r>
              <w:rPr>
                <w:rFonts w:cs="Arial"/>
                <w:sz w:val="22"/>
                <w:szCs w:val="22"/>
              </w:rPr>
              <w:t xml:space="preserve">anonymity for the participants and ensure to use </w:t>
            </w:r>
            <w:r>
              <w:rPr>
                <w:rFonts w:cs="Arial" w:hint="eastAsia"/>
                <w:sz w:val="22"/>
                <w:szCs w:val="22"/>
                <w:lang w:eastAsia="zh-CN"/>
              </w:rPr>
              <w:t xml:space="preserve">appropriate </w:t>
            </w:r>
            <w:r>
              <w:rPr>
                <w:rFonts w:cs="Arial"/>
                <w:sz w:val="22"/>
                <w:szCs w:val="22"/>
                <w:lang w:eastAsia="zh-CN"/>
              </w:rPr>
              <w:t xml:space="preserve">methods and discourse to ask questions and interpret data. </w:t>
            </w:r>
            <w:r>
              <w:rPr>
                <w:rFonts w:cs="Arial" w:hint="eastAsia"/>
                <w:sz w:val="22"/>
                <w:szCs w:val="22"/>
                <w:lang w:val="en-US" w:eastAsia="zh-CN"/>
              </w:rPr>
              <w:t xml:space="preserve">In the ethics of </w:t>
            </w:r>
            <w:r>
              <w:rPr>
                <w:rFonts w:cs="Arial"/>
                <w:sz w:val="22"/>
                <w:szCs w:val="22"/>
                <w:lang w:val="en-US" w:eastAsia="zh-CN"/>
              </w:rPr>
              <w:t xml:space="preserve">the </w:t>
            </w:r>
            <w:r>
              <w:rPr>
                <w:rFonts w:cs="Arial" w:hint="eastAsia"/>
                <w:sz w:val="22"/>
                <w:szCs w:val="22"/>
                <w:lang w:val="en-US" w:eastAsia="zh-CN"/>
              </w:rPr>
              <w:t>cultural industry, the compl</w:t>
            </w:r>
            <w:r>
              <w:rPr>
                <w:rFonts w:cs="Arial" w:hint="eastAsia"/>
                <w:sz w:val="22"/>
                <w:szCs w:val="22"/>
                <w:lang w:val="en-US" w:eastAsia="zh-CN"/>
              </w:rPr>
              <w:t xml:space="preserve">exity of different stakeholders and vested interests forces </w:t>
            </w:r>
            <w:r>
              <w:rPr>
                <w:rFonts w:cs="Arial"/>
                <w:sz w:val="22"/>
                <w:szCs w:val="22"/>
                <w:lang w:val="en-US" w:eastAsia="zh-CN"/>
              </w:rPr>
              <w:t xml:space="preserve">the </w:t>
            </w:r>
            <w:r>
              <w:rPr>
                <w:rFonts w:cs="Arial" w:hint="eastAsia"/>
                <w:sz w:val="22"/>
                <w:szCs w:val="22"/>
                <w:lang w:val="en-US" w:eastAsia="zh-CN"/>
              </w:rPr>
              <w:t>researcher to balance relationships between profits, history</w:t>
            </w:r>
            <w:r>
              <w:rPr>
                <w:rFonts w:cs="Arial"/>
                <w:sz w:val="22"/>
                <w:szCs w:val="22"/>
                <w:lang w:val="en-US" w:eastAsia="zh-CN"/>
              </w:rPr>
              <w:t>,</w:t>
            </w:r>
            <w:r>
              <w:rPr>
                <w:rFonts w:cs="Arial" w:hint="eastAsia"/>
                <w:sz w:val="22"/>
                <w:szCs w:val="22"/>
                <w:lang w:val="en-US" w:eastAsia="zh-CN"/>
              </w:rPr>
              <w:t xml:space="preserve"> and culture (Ireland and Schofield, 2015, pp. 1-12). I will insist </w:t>
            </w:r>
            <w:r>
              <w:rPr>
                <w:rFonts w:cs="Arial"/>
                <w:sz w:val="22"/>
                <w:szCs w:val="22"/>
                <w:lang w:val="en-US" w:eastAsia="zh-CN"/>
              </w:rPr>
              <w:t>on</w:t>
            </w:r>
            <w:r>
              <w:rPr>
                <w:rFonts w:cs="Arial" w:hint="eastAsia"/>
                <w:sz w:val="22"/>
                <w:szCs w:val="22"/>
                <w:lang w:val="en-US" w:eastAsia="zh-CN"/>
              </w:rPr>
              <w:t xml:space="preserve"> the allegiances and belief systems through the whole investi</w:t>
            </w:r>
            <w:r>
              <w:rPr>
                <w:rFonts w:cs="Arial" w:hint="eastAsia"/>
                <w:sz w:val="22"/>
                <w:szCs w:val="22"/>
                <w:lang w:val="en-US" w:eastAsia="zh-CN"/>
              </w:rPr>
              <w:t xml:space="preserve">gation and try to explore the academic achievement following regulation of cultural development for local society. </w:t>
            </w:r>
          </w:p>
          <w:p w14:paraId="7E8AEBED" w14:textId="77777777" w:rsidR="00541B6A" w:rsidRDefault="00541B6A">
            <w:pPr>
              <w:rPr>
                <w:rFonts w:cs="Arial"/>
                <w:sz w:val="22"/>
                <w:szCs w:val="22"/>
              </w:rPr>
            </w:pPr>
          </w:p>
        </w:tc>
      </w:tr>
      <w:tr w:rsidR="00541B6A" w14:paraId="3D10C684" w14:textId="77777777">
        <w:trPr>
          <w:trHeight w:val="397"/>
        </w:trPr>
        <w:tc>
          <w:tcPr>
            <w:tcW w:w="9781" w:type="dxa"/>
            <w:shd w:val="clear" w:color="auto" w:fill="F2F2F2" w:themeFill="background1" w:themeFillShade="F2"/>
            <w:vAlign w:val="center"/>
          </w:tcPr>
          <w:p w14:paraId="6EBF5445" w14:textId="77777777" w:rsidR="00541B6A" w:rsidRDefault="00702F4F">
            <w:pPr>
              <w:rPr>
                <w:rFonts w:cs="Arial"/>
                <w:sz w:val="22"/>
                <w:szCs w:val="22"/>
              </w:rPr>
            </w:pPr>
            <w:r>
              <w:rPr>
                <w:rFonts w:cs="Arial"/>
                <w:sz w:val="22"/>
                <w:szCs w:val="22"/>
              </w:rPr>
              <w:lastRenderedPageBreak/>
              <w:t>Introductory bibliography:</w:t>
            </w:r>
          </w:p>
        </w:tc>
      </w:tr>
      <w:tr w:rsidR="00541B6A" w14:paraId="23B8BD28" w14:textId="77777777">
        <w:trPr>
          <w:trHeight w:val="397"/>
        </w:trPr>
        <w:tc>
          <w:tcPr>
            <w:tcW w:w="9781" w:type="dxa"/>
            <w:vAlign w:val="center"/>
          </w:tcPr>
          <w:p w14:paraId="479C7BB6" w14:textId="77777777" w:rsidR="00541B6A" w:rsidRDefault="00702F4F">
            <w:pPr>
              <w:rPr>
                <w:rFonts w:cs="Arial"/>
                <w:sz w:val="22"/>
                <w:szCs w:val="22"/>
              </w:rPr>
            </w:pPr>
            <w:r>
              <w:rPr>
                <w:rFonts w:cs="Arial"/>
                <w:sz w:val="22"/>
                <w:szCs w:val="22"/>
              </w:rPr>
              <w:t xml:space="preserve">In this section, you should list a minimum of 30 titles that are relevant to your research. </w:t>
            </w:r>
          </w:p>
          <w:p w14:paraId="5942D313" w14:textId="77777777" w:rsidR="00541B6A" w:rsidRDefault="00702F4F">
            <w:pPr>
              <w:rPr>
                <w:rFonts w:cs="Arial"/>
                <w:sz w:val="22"/>
                <w:szCs w:val="22"/>
              </w:rPr>
            </w:pPr>
            <w:r>
              <w:rPr>
                <w:rFonts w:cs="Arial"/>
                <w:sz w:val="22"/>
                <w:szCs w:val="22"/>
              </w:rPr>
              <w:t xml:space="preserve">You should include all works cited in this form. </w:t>
            </w:r>
          </w:p>
          <w:p w14:paraId="73A8778F" w14:textId="77777777" w:rsidR="00541B6A" w:rsidRDefault="00702F4F">
            <w:pPr>
              <w:rPr>
                <w:rFonts w:cs="Arial"/>
                <w:sz w:val="22"/>
                <w:szCs w:val="22"/>
              </w:rPr>
            </w:pPr>
            <w:r>
              <w:rPr>
                <w:rFonts w:cs="Arial"/>
                <w:sz w:val="22"/>
                <w:szCs w:val="22"/>
              </w:rPr>
              <w:t>The list should be alphabetical using the referencing system appropriate to your discipline.</w:t>
            </w:r>
          </w:p>
          <w:p w14:paraId="20FFAC3A" w14:textId="77777777" w:rsidR="00541B6A" w:rsidRDefault="00541B6A">
            <w:pPr>
              <w:rPr>
                <w:rFonts w:cs="Arial"/>
                <w:sz w:val="22"/>
                <w:szCs w:val="22"/>
              </w:rPr>
            </w:pPr>
          </w:p>
          <w:p w14:paraId="0B7EE98A" w14:textId="77777777" w:rsidR="00541B6A" w:rsidRDefault="00702F4F">
            <w:pPr>
              <w:spacing w:afterLines="50" w:after="120"/>
              <w:rPr>
                <w:rFonts w:cs="Arial"/>
                <w:sz w:val="22"/>
                <w:szCs w:val="22"/>
              </w:rPr>
            </w:pPr>
            <w:r>
              <w:rPr>
                <w:rFonts w:cs="Arial"/>
                <w:sz w:val="22"/>
                <w:szCs w:val="22"/>
              </w:rPr>
              <w:t>Ayres, R. U., and A</w:t>
            </w:r>
            <w:r>
              <w:rPr>
                <w:rFonts w:cs="Arial"/>
                <w:sz w:val="22"/>
                <w:szCs w:val="22"/>
              </w:rPr>
              <w:t xml:space="preserve">yres, L. W. (2002) </w:t>
            </w:r>
            <w:r>
              <w:rPr>
                <w:rFonts w:cs="Arial"/>
                <w:i/>
                <w:iCs/>
                <w:sz w:val="22"/>
                <w:szCs w:val="22"/>
              </w:rPr>
              <w:t>A Handbook of Industrial Ecology</w:t>
            </w:r>
            <w:r>
              <w:rPr>
                <w:rFonts w:cs="Arial"/>
                <w:sz w:val="22"/>
                <w:szCs w:val="22"/>
              </w:rPr>
              <w:t>. Massachusetts: Edward Elgar.</w:t>
            </w:r>
          </w:p>
          <w:p w14:paraId="1ED21D04" w14:textId="77777777" w:rsidR="00541B6A" w:rsidRDefault="00702F4F">
            <w:pPr>
              <w:spacing w:afterLines="50" w:after="120"/>
              <w:rPr>
                <w:rFonts w:eastAsia="SimSun" w:cs="Arial"/>
                <w:sz w:val="22"/>
                <w:szCs w:val="22"/>
                <w:lang w:val="en-US" w:eastAsia="zh-CN"/>
              </w:rPr>
            </w:pPr>
            <w:proofErr w:type="spellStart"/>
            <w:r>
              <w:rPr>
                <w:rFonts w:cs="Arial" w:hint="eastAsia"/>
                <w:sz w:val="22"/>
                <w:szCs w:val="22"/>
              </w:rPr>
              <w:t>Avorgbedor</w:t>
            </w:r>
            <w:proofErr w:type="spellEnd"/>
            <w:r>
              <w:rPr>
                <w:rFonts w:eastAsia="SimSun" w:cs="Arial" w:hint="eastAsia"/>
                <w:sz w:val="22"/>
                <w:szCs w:val="22"/>
                <w:lang w:val="en-US" w:eastAsia="zh-CN"/>
              </w:rPr>
              <w:t xml:space="preserve">, D. K. (2014) </w:t>
            </w:r>
            <w:r>
              <w:rPr>
                <w:rFonts w:eastAsia="SimSun" w:cs="Arial"/>
                <w:sz w:val="22"/>
                <w:szCs w:val="22"/>
                <w:lang w:val="en-US" w:eastAsia="zh-CN"/>
              </w:rPr>
              <w:t>‘</w:t>
            </w:r>
            <w:r>
              <w:rPr>
                <w:rFonts w:eastAsia="SimSun" w:cs="Arial" w:hint="eastAsia"/>
                <w:sz w:val="22"/>
                <w:szCs w:val="22"/>
                <w:lang w:val="en-US" w:eastAsia="zh-CN"/>
              </w:rPr>
              <w:t>The Impact of Rural-Urban Migration on a Village Music Culture: Some Implications for Applied Ethnomusicology</w:t>
            </w:r>
            <w:r>
              <w:rPr>
                <w:rFonts w:eastAsia="SimSun" w:cs="Arial"/>
                <w:sz w:val="22"/>
                <w:szCs w:val="22"/>
                <w:lang w:val="en-US" w:eastAsia="zh-CN"/>
              </w:rPr>
              <w:t>’</w:t>
            </w:r>
            <w:r>
              <w:rPr>
                <w:rFonts w:eastAsia="SimSun" w:cs="Arial" w:hint="eastAsia"/>
                <w:sz w:val="22"/>
                <w:szCs w:val="22"/>
                <w:lang w:val="en-US" w:eastAsia="zh-CN"/>
              </w:rPr>
              <w:t xml:space="preserve">. </w:t>
            </w:r>
            <w:r>
              <w:rPr>
                <w:rFonts w:eastAsia="SimSun" w:cs="Arial" w:hint="eastAsia"/>
                <w:i/>
                <w:iCs/>
                <w:sz w:val="22"/>
                <w:szCs w:val="22"/>
                <w:lang w:val="en-US" w:eastAsia="zh-CN"/>
              </w:rPr>
              <w:t>African Music</w:t>
            </w:r>
            <w:r>
              <w:rPr>
                <w:rFonts w:eastAsia="SimSun" w:cs="Arial" w:hint="eastAsia"/>
                <w:sz w:val="22"/>
                <w:szCs w:val="22"/>
                <w:lang w:val="en-US" w:eastAsia="zh-CN"/>
              </w:rPr>
              <w:t>, 7(2), pp. 45-57.</w:t>
            </w:r>
          </w:p>
          <w:p w14:paraId="7DAFD9AC" w14:textId="77777777" w:rsidR="00541B6A" w:rsidRDefault="00702F4F">
            <w:pPr>
              <w:spacing w:afterLines="50" w:after="120"/>
              <w:rPr>
                <w:rFonts w:cs="Arial"/>
                <w:sz w:val="22"/>
                <w:szCs w:val="22"/>
              </w:rPr>
            </w:pPr>
            <w:proofErr w:type="spellStart"/>
            <w:r>
              <w:rPr>
                <w:rFonts w:cs="Arial"/>
                <w:sz w:val="22"/>
                <w:szCs w:val="22"/>
              </w:rPr>
              <w:t>Brei</w:t>
            </w:r>
            <w:r>
              <w:rPr>
                <w:rFonts w:cs="Arial"/>
                <w:sz w:val="22"/>
                <w:szCs w:val="22"/>
              </w:rPr>
              <w:t>dbach</w:t>
            </w:r>
            <w:proofErr w:type="spellEnd"/>
            <w:r>
              <w:rPr>
                <w:rFonts w:cs="Arial"/>
                <w:sz w:val="22"/>
                <w:szCs w:val="22"/>
              </w:rPr>
              <w:t xml:space="preserve">, C. F., and Maglio, P. P. (2016). ‘Technology-enabled value co-creation: An empirical analysis of actors, resources, and practices’. </w:t>
            </w:r>
            <w:r>
              <w:rPr>
                <w:rFonts w:cs="Arial"/>
                <w:i/>
                <w:iCs/>
                <w:sz w:val="22"/>
                <w:szCs w:val="22"/>
              </w:rPr>
              <w:t>Industrial Marketing Management</w:t>
            </w:r>
            <w:r>
              <w:rPr>
                <w:rFonts w:cs="Arial"/>
                <w:sz w:val="22"/>
                <w:szCs w:val="22"/>
              </w:rPr>
              <w:t>, 56 (1), 73–85.</w:t>
            </w:r>
          </w:p>
          <w:p w14:paraId="5E3E96AA" w14:textId="77777777" w:rsidR="00541B6A" w:rsidRDefault="00702F4F">
            <w:pPr>
              <w:spacing w:afterLines="50" w:after="120"/>
              <w:rPr>
                <w:rFonts w:cs="Arial"/>
                <w:sz w:val="22"/>
                <w:szCs w:val="22"/>
              </w:rPr>
            </w:pPr>
            <w:r>
              <w:rPr>
                <w:rFonts w:cs="Arial"/>
                <w:sz w:val="22"/>
                <w:szCs w:val="22"/>
              </w:rPr>
              <w:lastRenderedPageBreak/>
              <w:t xml:space="preserve">Brown, A. D., Colville, I., and Pye, A. (2015) ‘Making sense of sensemaking in organization studies’. </w:t>
            </w:r>
            <w:r>
              <w:rPr>
                <w:rFonts w:cs="Arial"/>
                <w:i/>
                <w:iCs/>
                <w:sz w:val="22"/>
                <w:szCs w:val="22"/>
              </w:rPr>
              <w:t>Organization Studies</w:t>
            </w:r>
            <w:r>
              <w:rPr>
                <w:rFonts w:cs="Arial"/>
                <w:sz w:val="22"/>
                <w:szCs w:val="22"/>
              </w:rPr>
              <w:t>. 36: pp. 265–277.</w:t>
            </w:r>
          </w:p>
          <w:p w14:paraId="2226E947" w14:textId="77777777" w:rsidR="00541B6A" w:rsidRDefault="00702F4F">
            <w:pPr>
              <w:spacing w:afterLines="50" w:after="120"/>
              <w:rPr>
                <w:rFonts w:eastAsia="SimSun" w:cs="Arial"/>
                <w:sz w:val="22"/>
                <w:szCs w:val="22"/>
                <w:lang w:val="en-US" w:eastAsia="zh-CN"/>
              </w:rPr>
            </w:pPr>
            <w:r>
              <w:rPr>
                <w:rFonts w:eastAsia="SimSun" w:cs="Arial" w:hint="eastAsia"/>
                <w:sz w:val="22"/>
                <w:szCs w:val="22"/>
                <w:lang w:val="en-US" w:eastAsia="zh-CN"/>
              </w:rPr>
              <w:t>Buss, K. (1922) Studies in the Chinese drama. Boston: The Four Seas Company.</w:t>
            </w:r>
          </w:p>
          <w:p w14:paraId="49D00363" w14:textId="77777777" w:rsidR="00541B6A" w:rsidRDefault="00702F4F">
            <w:pPr>
              <w:spacing w:afterLines="50" w:after="120"/>
              <w:rPr>
                <w:rFonts w:cs="Arial"/>
                <w:sz w:val="22"/>
                <w:szCs w:val="22"/>
              </w:rPr>
            </w:pPr>
            <w:r>
              <w:rPr>
                <w:rFonts w:cs="Arial"/>
                <w:sz w:val="22"/>
                <w:szCs w:val="22"/>
              </w:rPr>
              <w:t xml:space="preserve">Cassell, C. and Cunliffe, A. L. </w:t>
            </w:r>
            <w:r>
              <w:rPr>
                <w:rFonts w:cs="Arial"/>
                <w:sz w:val="22"/>
                <w:szCs w:val="22"/>
              </w:rPr>
              <w:t>(2018) T</w:t>
            </w:r>
            <w:r>
              <w:rPr>
                <w:rFonts w:cs="Arial"/>
                <w:i/>
                <w:iCs/>
                <w:sz w:val="22"/>
                <w:szCs w:val="22"/>
              </w:rPr>
              <w:t>he SAGE Handbook of Qualitative Business and Management Research Methods</w:t>
            </w:r>
            <w:r>
              <w:rPr>
                <w:rFonts w:cs="Arial"/>
                <w:sz w:val="22"/>
                <w:szCs w:val="22"/>
              </w:rPr>
              <w:t>. London: SAGE.</w:t>
            </w:r>
          </w:p>
          <w:p w14:paraId="4C1EC874" w14:textId="77777777" w:rsidR="00541B6A" w:rsidRDefault="00702F4F">
            <w:pPr>
              <w:spacing w:afterLines="50" w:after="120"/>
              <w:rPr>
                <w:rFonts w:cs="Arial"/>
                <w:sz w:val="22"/>
                <w:szCs w:val="22"/>
              </w:rPr>
            </w:pPr>
            <w:r>
              <w:rPr>
                <w:rFonts w:cs="Arial"/>
                <w:sz w:val="22"/>
                <w:szCs w:val="22"/>
              </w:rPr>
              <w:t xml:space="preserve">Cassell, C. and Cunliffe, A. L. (2018) </w:t>
            </w:r>
            <w:r>
              <w:rPr>
                <w:rFonts w:cs="Arial"/>
                <w:i/>
                <w:iCs/>
                <w:sz w:val="22"/>
                <w:szCs w:val="22"/>
              </w:rPr>
              <w:t>The SAGE Handbook of Qualitative Business and Management Research Methods</w:t>
            </w:r>
            <w:r>
              <w:rPr>
                <w:rFonts w:cs="Arial"/>
                <w:sz w:val="22"/>
                <w:szCs w:val="22"/>
              </w:rPr>
              <w:t>. London: SAGE.</w:t>
            </w:r>
          </w:p>
          <w:p w14:paraId="53FCDBA9" w14:textId="77777777" w:rsidR="00541B6A" w:rsidRDefault="00702F4F">
            <w:pPr>
              <w:spacing w:afterLines="50" w:after="120"/>
              <w:rPr>
                <w:rFonts w:cs="Arial"/>
                <w:sz w:val="22"/>
                <w:szCs w:val="22"/>
              </w:rPr>
            </w:pPr>
            <w:r>
              <w:rPr>
                <w:rFonts w:cs="Arial"/>
                <w:sz w:val="22"/>
                <w:szCs w:val="22"/>
              </w:rPr>
              <w:t xml:space="preserve">Chandler, D. (2017). </w:t>
            </w:r>
            <w:r>
              <w:rPr>
                <w:rFonts w:cs="Arial"/>
                <w:i/>
                <w:iCs/>
                <w:sz w:val="22"/>
                <w:szCs w:val="22"/>
              </w:rPr>
              <w:t>Strategic C</w:t>
            </w:r>
            <w:r>
              <w:rPr>
                <w:rFonts w:cs="Arial"/>
                <w:i/>
                <w:iCs/>
                <w:sz w:val="22"/>
                <w:szCs w:val="22"/>
              </w:rPr>
              <w:t>orporate Social Responsibility: Sustainable Value Creation</w:t>
            </w:r>
            <w:r>
              <w:rPr>
                <w:rFonts w:cs="Arial"/>
                <w:sz w:val="22"/>
                <w:szCs w:val="22"/>
              </w:rPr>
              <w:t>. Thousand Oaks CA: Sage.</w:t>
            </w:r>
          </w:p>
          <w:p w14:paraId="2683D436" w14:textId="77777777" w:rsidR="00541B6A" w:rsidRDefault="00702F4F">
            <w:pPr>
              <w:spacing w:afterLines="50" w:after="120"/>
              <w:rPr>
                <w:rFonts w:cs="Arial"/>
                <w:sz w:val="22"/>
                <w:szCs w:val="22"/>
              </w:rPr>
            </w:pPr>
            <w:r>
              <w:rPr>
                <w:rFonts w:cs="Arial"/>
                <w:sz w:val="22"/>
                <w:szCs w:val="22"/>
              </w:rPr>
              <w:t xml:space="preserve">Chen, Z., </w:t>
            </w:r>
            <w:proofErr w:type="spellStart"/>
            <w:r>
              <w:rPr>
                <w:rFonts w:cs="Arial"/>
                <w:sz w:val="22"/>
                <w:szCs w:val="22"/>
              </w:rPr>
              <w:t>Suntikul</w:t>
            </w:r>
            <w:proofErr w:type="spellEnd"/>
            <w:r>
              <w:rPr>
                <w:rFonts w:cs="Arial"/>
                <w:sz w:val="22"/>
                <w:szCs w:val="22"/>
              </w:rPr>
              <w:t xml:space="preserve">, W., and King, B. (2020). ‘Constructing an intangible cultural heritage experience escape: The case of the feast of the Drunken Dragon (Macau)’. </w:t>
            </w:r>
            <w:r>
              <w:rPr>
                <w:rFonts w:cs="Arial"/>
                <w:i/>
                <w:iCs/>
                <w:sz w:val="22"/>
                <w:szCs w:val="22"/>
              </w:rPr>
              <w:t xml:space="preserve">Tourism </w:t>
            </w:r>
            <w:r>
              <w:rPr>
                <w:rFonts w:cs="Arial"/>
                <w:i/>
                <w:iCs/>
                <w:sz w:val="22"/>
                <w:szCs w:val="22"/>
              </w:rPr>
              <w:t>Management Perspectives</w:t>
            </w:r>
            <w:r>
              <w:rPr>
                <w:rFonts w:cs="Arial"/>
                <w:sz w:val="22"/>
                <w:szCs w:val="22"/>
              </w:rPr>
              <w:t>, 34, Article 100659.</w:t>
            </w:r>
          </w:p>
          <w:p w14:paraId="2A70F216" w14:textId="77777777" w:rsidR="00541B6A" w:rsidRDefault="00702F4F">
            <w:pPr>
              <w:spacing w:afterLines="50" w:after="120"/>
              <w:rPr>
                <w:rFonts w:cs="Arial"/>
                <w:sz w:val="22"/>
                <w:szCs w:val="22"/>
              </w:rPr>
            </w:pPr>
            <w:r>
              <w:rPr>
                <w:rFonts w:cs="Arial"/>
                <w:sz w:val="22"/>
                <w:szCs w:val="22"/>
              </w:rPr>
              <w:t xml:space="preserve">Creswell, J. W. and Plano Clark, V. L.  (2017) </w:t>
            </w:r>
            <w:r>
              <w:rPr>
                <w:rFonts w:cs="Arial"/>
                <w:i/>
                <w:iCs/>
                <w:sz w:val="22"/>
                <w:szCs w:val="22"/>
              </w:rPr>
              <w:t>Designing and conducting mixed methods research</w:t>
            </w:r>
            <w:r>
              <w:rPr>
                <w:rFonts w:cs="Arial"/>
                <w:sz w:val="22"/>
                <w:szCs w:val="22"/>
              </w:rPr>
              <w:t xml:space="preserve"> 2nd ed., London: SAGE.</w:t>
            </w:r>
          </w:p>
          <w:p w14:paraId="4A0400FF" w14:textId="77777777" w:rsidR="00541B6A" w:rsidRDefault="00702F4F">
            <w:pPr>
              <w:spacing w:afterLines="50" w:after="120"/>
              <w:rPr>
                <w:rFonts w:cs="Arial"/>
                <w:sz w:val="22"/>
                <w:szCs w:val="22"/>
              </w:rPr>
            </w:pPr>
            <w:r>
              <w:rPr>
                <w:rFonts w:cs="Arial"/>
                <w:sz w:val="22"/>
                <w:szCs w:val="22"/>
              </w:rPr>
              <w:t xml:space="preserve">Creswell, J.W. Creswell, J. D. (2018) </w:t>
            </w:r>
            <w:r>
              <w:rPr>
                <w:rFonts w:cs="Arial"/>
                <w:i/>
                <w:iCs/>
                <w:sz w:val="22"/>
                <w:szCs w:val="22"/>
              </w:rPr>
              <w:t>Research design: qualitative, quantitative and mixed me</w:t>
            </w:r>
            <w:r>
              <w:rPr>
                <w:rFonts w:cs="Arial"/>
                <w:i/>
                <w:iCs/>
                <w:sz w:val="22"/>
                <w:szCs w:val="22"/>
              </w:rPr>
              <w:t>thods approach</w:t>
            </w:r>
            <w:r>
              <w:rPr>
                <w:rFonts w:cs="Arial"/>
                <w:sz w:val="22"/>
                <w:szCs w:val="22"/>
              </w:rPr>
              <w:t>. 5th ed. Los Angeles: SAGE.</w:t>
            </w:r>
          </w:p>
          <w:p w14:paraId="16A709A9" w14:textId="77777777" w:rsidR="00541B6A" w:rsidRDefault="00702F4F">
            <w:pPr>
              <w:spacing w:afterLines="50" w:after="120"/>
              <w:rPr>
                <w:rFonts w:cs="Arial"/>
                <w:sz w:val="22"/>
                <w:szCs w:val="22"/>
              </w:rPr>
            </w:pPr>
            <w:r>
              <w:rPr>
                <w:rFonts w:cs="Arial"/>
                <w:sz w:val="22"/>
                <w:szCs w:val="22"/>
              </w:rPr>
              <w:t xml:space="preserve">Cropsey, E. H. (2002) ‘Opera on the Road: Traveling Opera Troupes in the United States, 1825–60’. </w:t>
            </w:r>
            <w:r>
              <w:rPr>
                <w:rFonts w:cs="Arial"/>
                <w:i/>
                <w:iCs/>
                <w:sz w:val="22"/>
                <w:szCs w:val="22"/>
              </w:rPr>
              <w:t>The Opera Quarterly</w:t>
            </w:r>
            <w:r>
              <w:rPr>
                <w:rFonts w:cs="Arial"/>
                <w:sz w:val="22"/>
                <w:szCs w:val="22"/>
              </w:rPr>
              <w:t>, 18(2), pp.257–261.</w:t>
            </w:r>
          </w:p>
          <w:p w14:paraId="212A55C3" w14:textId="77777777" w:rsidR="00541B6A" w:rsidRDefault="00702F4F">
            <w:pPr>
              <w:spacing w:afterLines="50" w:after="120"/>
              <w:rPr>
                <w:rFonts w:cs="Arial"/>
                <w:sz w:val="22"/>
                <w:szCs w:val="22"/>
              </w:rPr>
            </w:pPr>
            <w:r>
              <w:rPr>
                <w:rFonts w:cs="Arial"/>
                <w:sz w:val="22"/>
                <w:szCs w:val="22"/>
              </w:rPr>
              <w:t xml:space="preserve">Dawkins, C. (2015) ‘Agonistic pluralism and stakeholder engagement’. </w:t>
            </w:r>
            <w:r>
              <w:rPr>
                <w:rFonts w:cs="Arial"/>
                <w:i/>
                <w:iCs/>
                <w:sz w:val="22"/>
                <w:szCs w:val="22"/>
              </w:rPr>
              <w:t>Busine</w:t>
            </w:r>
            <w:r>
              <w:rPr>
                <w:rFonts w:cs="Arial"/>
                <w:i/>
                <w:iCs/>
                <w:sz w:val="22"/>
                <w:szCs w:val="22"/>
              </w:rPr>
              <w:t>ss Ethics Quarterly</w:t>
            </w:r>
            <w:r>
              <w:rPr>
                <w:rFonts w:cs="Arial"/>
                <w:sz w:val="22"/>
                <w:szCs w:val="22"/>
              </w:rPr>
              <w:t>, 25(1): pp. 1–28.</w:t>
            </w:r>
          </w:p>
          <w:p w14:paraId="7028EA9C" w14:textId="77777777" w:rsidR="00541B6A" w:rsidRDefault="00702F4F">
            <w:pPr>
              <w:spacing w:afterLines="50" w:after="120"/>
              <w:rPr>
                <w:rFonts w:cs="Arial"/>
                <w:sz w:val="22"/>
                <w:szCs w:val="22"/>
              </w:rPr>
            </w:pPr>
            <w:r>
              <w:rPr>
                <w:rFonts w:cs="Arial"/>
                <w:sz w:val="22"/>
                <w:szCs w:val="22"/>
              </w:rPr>
              <w:t xml:space="preserve">Dawson, C. (2009) </w:t>
            </w:r>
            <w:r>
              <w:rPr>
                <w:rFonts w:cs="Arial"/>
                <w:i/>
                <w:iCs/>
                <w:sz w:val="22"/>
                <w:szCs w:val="22"/>
              </w:rPr>
              <w:t xml:space="preserve">Introduction to </w:t>
            </w:r>
            <w:proofErr w:type="spellStart"/>
            <w:r>
              <w:rPr>
                <w:rFonts w:cs="Arial"/>
                <w:i/>
                <w:iCs/>
                <w:sz w:val="22"/>
                <w:szCs w:val="22"/>
              </w:rPr>
              <w:t>ResearchMethoisA</w:t>
            </w:r>
            <w:proofErr w:type="spellEnd"/>
            <w:r>
              <w:rPr>
                <w:rFonts w:cs="Arial"/>
                <w:i/>
                <w:iCs/>
                <w:sz w:val="22"/>
                <w:szCs w:val="22"/>
              </w:rPr>
              <w:t xml:space="preserve"> practical guide for anyone undertaking a research project</w:t>
            </w:r>
            <w:r>
              <w:rPr>
                <w:rFonts w:cs="Arial"/>
                <w:sz w:val="22"/>
                <w:szCs w:val="22"/>
              </w:rPr>
              <w:t>. Fourth ed. Oxford: How to Book. </w:t>
            </w:r>
          </w:p>
          <w:p w14:paraId="6CBD5B87" w14:textId="77777777" w:rsidR="00541B6A" w:rsidRDefault="00702F4F">
            <w:pPr>
              <w:spacing w:afterLines="50" w:after="120"/>
              <w:rPr>
                <w:rFonts w:cs="Arial"/>
                <w:sz w:val="22"/>
                <w:szCs w:val="22"/>
              </w:rPr>
            </w:pPr>
            <w:proofErr w:type="spellStart"/>
            <w:r>
              <w:rPr>
                <w:rFonts w:cs="Arial"/>
                <w:sz w:val="22"/>
                <w:szCs w:val="22"/>
              </w:rPr>
              <w:t>Dentoni</w:t>
            </w:r>
            <w:proofErr w:type="spellEnd"/>
            <w:r>
              <w:rPr>
                <w:rFonts w:cs="Arial"/>
                <w:sz w:val="22"/>
                <w:szCs w:val="22"/>
              </w:rPr>
              <w:t>, D., Bitzer, V., and Schouten, G. (2018) ‘Harnessing wicked problem</w:t>
            </w:r>
            <w:r>
              <w:rPr>
                <w:rFonts w:cs="Arial"/>
                <w:sz w:val="22"/>
                <w:szCs w:val="22"/>
              </w:rPr>
              <w:t xml:space="preserve">s in multi-stakeholder partnerships’. </w:t>
            </w:r>
            <w:r>
              <w:rPr>
                <w:rFonts w:cs="Arial"/>
                <w:i/>
                <w:iCs/>
                <w:sz w:val="22"/>
                <w:szCs w:val="22"/>
              </w:rPr>
              <w:t>Journal of Business Ethics</w:t>
            </w:r>
            <w:r>
              <w:rPr>
                <w:rFonts w:cs="Arial"/>
                <w:sz w:val="22"/>
                <w:szCs w:val="22"/>
              </w:rPr>
              <w:t>, 150(2): pp. 333–356.</w:t>
            </w:r>
          </w:p>
          <w:p w14:paraId="376D49CC" w14:textId="77777777" w:rsidR="00541B6A" w:rsidRDefault="00702F4F">
            <w:pPr>
              <w:spacing w:afterLines="50" w:after="120"/>
              <w:rPr>
                <w:rFonts w:cs="Arial"/>
                <w:sz w:val="22"/>
                <w:szCs w:val="22"/>
              </w:rPr>
            </w:pPr>
            <w:r>
              <w:rPr>
                <w:rFonts w:cs="Arial"/>
                <w:sz w:val="22"/>
                <w:szCs w:val="22"/>
              </w:rPr>
              <w:t xml:space="preserve">DeWalt, K. M. and DeWalt, B. R. (2011) </w:t>
            </w:r>
            <w:r>
              <w:rPr>
                <w:rFonts w:cs="Arial"/>
                <w:i/>
                <w:iCs/>
                <w:sz w:val="22"/>
                <w:szCs w:val="22"/>
              </w:rPr>
              <w:t>Participant Observation: A Guide for Fieldworkers</w:t>
            </w:r>
            <w:r>
              <w:rPr>
                <w:rFonts w:cs="Arial"/>
                <w:sz w:val="22"/>
                <w:szCs w:val="22"/>
              </w:rPr>
              <w:t>. Lanham, New York, Toronto, Plymouth: Altamira Press.</w:t>
            </w:r>
          </w:p>
          <w:p w14:paraId="76B4E568" w14:textId="77777777" w:rsidR="00541B6A" w:rsidRDefault="00702F4F">
            <w:pPr>
              <w:spacing w:afterLines="50" w:after="120"/>
              <w:rPr>
                <w:rFonts w:cs="Arial"/>
                <w:sz w:val="22"/>
                <w:szCs w:val="22"/>
              </w:rPr>
            </w:pPr>
            <w:r>
              <w:rPr>
                <w:rFonts w:cs="Arial"/>
                <w:sz w:val="22"/>
                <w:szCs w:val="22"/>
              </w:rPr>
              <w:t xml:space="preserve">Dwyer, G., Hardy, C., and </w:t>
            </w:r>
            <w:r>
              <w:rPr>
                <w:rFonts w:cs="Arial"/>
                <w:sz w:val="22"/>
                <w:szCs w:val="22"/>
              </w:rPr>
              <w:t xml:space="preserve">Maguire, S. (2021). ‘Post-Inquiry Sensemaking: The Case of the “Black Saturday” Bushfires’. </w:t>
            </w:r>
            <w:r>
              <w:rPr>
                <w:rFonts w:cs="Arial"/>
                <w:i/>
                <w:iCs/>
                <w:sz w:val="22"/>
                <w:szCs w:val="22"/>
              </w:rPr>
              <w:t>Organization Studies,</w:t>
            </w:r>
            <w:r>
              <w:rPr>
                <w:rFonts w:cs="Arial"/>
                <w:sz w:val="22"/>
                <w:szCs w:val="22"/>
              </w:rPr>
              <w:t xml:space="preserve"> 42(4), 637–661. </w:t>
            </w:r>
          </w:p>
          <w:p w14:paraId="14D1BFDE" w14:textId="77777777" w:rsidR="00541B6A" w:rsidRDefault="00702F4F">
            <w:pPr>
              <w:spacing w:afterLines="50" w:after="120"/>
              <w:rPr>
                <w:rFonts w:cs="Arial"/>
                <w:sz w:val="22"/>
                <w:szCs w:val="22"/>
              </w:rPr>
            </w:pPr>
            <w:r>
              <w:rPr>
                <w:rFonts w:cs="Arial"/>
                <w:sz w:val="22"/>
                <w:szCs w:val="22"/>
              </w:rPr>
              <w:t xml:space="preserve">Eisenhardt, K. M. and Martin, J. A. (2000) ‘Dynamic capabilities: what are they?’. </w:t>
            </w:r>
            <w:r>
              <w:rPr>
                <w:rFonts w:cs="Arial"/>
                <w:i/>
                <w:iCs/>
                <w:sz w:val="22"/>
                <w:szCs w:val="22"/>
              </w:rPr>
              <w:t>Strategic management journal</w:t>
            </w:r>
            <w:r>
              <w:rPr>
                <w:rFonts w:cs="Arial"/>
                <w:sz w:val="22"/>
                <w:szCs w:val="22"/>
              </w:rPr>
              <w:t>, 21(10-11), p</w:t>
            </w:r>
            <w:r>
              <w:rPr>
                <w:rFonts w:cs="Arial"/>
                <w:sz w:val="22"/>
                <w:szCs w:val="22"/>
              </w:rPr>
              <w:t>p.1105–1121.</w:t>
            </w:r>
          </w:p>
          <w:p w14:paraId="4DBA6F81" w14:textId="77777777" w:rsidR="00541B6A" w:rsidRDefault="00702F4F">
            <w:pPr>
              <w:spacing w:afterLines="50" w:after="120"/>
              <w:rPr>
                <w:rFonts w:cs="Arial"/>
                <w:sz w:val="22"/>
                <w:szCs w:val="22"/>
              </w:rPr>
            </w:pPr>
            <w:proofErr w:type="spellStart"/>
            <w:r>
              <w:rPr>
                <w:rFonts w:cs="Arial"/>
                <w:sz w:val="22"/>
                <w:szCs w:val="22"/>
              </w:rPr>
              <w:t>Ergene</w:t>
            </w:r>
            <w:proofErr w:type="spellEnd"/>
            <w:r>
              <w:rPr>
                <w:rFonts w:cs="Arial"/>
                <w:sz w:val="22"/>
                <w:szCs w:val="22"/>
              </w:rPr>
              <w:t xml:space="preserve">, Banerjee, S. B., &amp; Hoffman, A. J. (2021). ‘(Un)Sustainability and Organization Studies: Towards a Radical Engagement’. </w:t>
            </w:r>
            <w:r>
              <w:rPr>
                <w:rFonts w:cs="Arial"/>
                <w:i/>
                <w:iCs/>
                <w:sz w:val="22"/>
                <w:szCs w:val="22"/>
              </w:rPr>
              <w:t>Organization Studies</w:t>
            </w:r>
            <w:r>
              <w:rPr>
                <w:rFonts w:cs="Arial"/>
                <w:sz w:val="22"/>
                <w:szCs w:val="22"/>
              </w:rPr>
              <w:t xml:space="preserve">, 42(8), 1319–1335. </w:t>
            </w:r>
          </w:p>
          <w:p w14:paraId="04548920" w14:textId="77777777" w:rsidR="00541B6A" w:rsidRDefault="00702F4F">
            <w:pPr>
              <w:spacing w:afterLines="50" w:after="120"/>
              <w:rPr>
                <w:rFonts w:cs="Arial"/>
                <w:sz w:val="22"/>
                <w:szCs w:val="22"/>
              </w:rPr>
            </w:pPr>
            <w:proofErr w:type="spellStart"/>
            <w:r>
              <w:rPr>
                <w:rFonts w:cs="Arial"/>
                <w:sz w:val="22"/>
                <w:szCs w:val="22"/>
              </w:rPr>
              <w:t>Flagestad</w:t>
            </w:r>
            <w:proofErr w:type="spellEnd"/>
            <w:r>
              <w:rPr>
                <w:rFonts w:cs="Arial"/>
                <w:sz w:val="22"/>
                <w:szCs w:val="22"/>
              </w:rPr>
              <w:t>, A. and Hope, C. A. (2001) ‘Strategic success in winter sports de</w:t>
            </w:r>
            <w:r>
              <w:rPr>
                <w:rFonts w:cs="Arial"/>
                <w:sz w:val="22"/>
                <w:szCs w:val="22"/>
              </w:rPr>
              <w:t xml:space="preserve">stinations: A sustainable value creation perspective’. </w:t>
            </w:r>
            <w:r>
              <w:rPr>
                <w:rFonts w:cs="Arial"/>
                <w:i/>
                <w:iCs/>
                <w:sz w:val="22"/>
                <w:szCs w:val="22"/>
              </w:rPr>
              <w:t>Tourism Management</w:t>
            </w:r>
            <w:r>
              <w:rPr>
                <w:rFonts w:cs="Arial"/>
                <w:sz w:val="22"/>
                <w:szCs w:val="22"/>
              </w:rPr>
              <w:t xml:space="preserve">, 22(5), 445–461. </w:t>
            </w:r>
          </w:p>
          <w:p w14:paraId="3A1D3B43" w14:textId="77777777" w:rsidR="00541B6A" w:rsidRDefault="00702F4F">
            <w:pPr>
              <w:spacing w:afterLines="50" w:after="120"/>
              <w:rPr>
                <w:rFonts w:cs="Arial"/>
                <w:sz w:val="22"/>
                <w:szCs w:val="22"/>
              </w:rPr>
            </w:pPr>
            <w:r>
              <w:rPr>
                <w:rFonts w:cs="Arial"/>
                <w:sz w:val="22"/>
                <w:szCs w:val="22"/>
              </w:rPr>
              <w:t xml:space="preserve">Flick U, von </w:t>
            </w:r>
            <w:proofErr w:type="spellStart"/>
            <w:r>
              <w:rPr>
                <w:rFonts w:cs="Arial"/>
                <w:sz w:val="22"/>
                <w:szCs w:val="22"/>
              </w:rPr>
              <w:t>Kardorff</w:t>
            </w:r>
            <w:proofErr w:type="spellEnd"/>
            <w:r>
              <w:rPr>
                <w:rFonts w:cs="Arial"/>
                <w:sz w:val="22"/>
                <w:szCs w:val="22"/>
              </w:rPr>
              <w:t xml:space="preserve"> E and Steinke I (2004) </w:t>
            </w:r>
            <w:r>
              <w:rPr>
                <w:rFonts w:cs="Arial"/>
                <w:i/>
                <w:iCs/>
                <w:sz w:val="22"/>
                <w:szCs w:val="22"/>
              </w:rPr>
              <w:t>A Companion to Qualitative Research</w:t>
            </w:r>
            <w:r>
              <w:rPr>
                <w:rFonts w:cs="Arial"/>
                <w:sz w:val="22"/>
                <w:szCs w:val="22"/>
              </w:rPr>
              <w:t>. London: SAGE.</w:t>
            </w:r>
          </w:p>
          <w:p w14:paraId="0E773A62" w14:textId="77777777" w:rsidR="00541B6A" w:rsidRDefault="00702F4F">
            <w:pPr>
              <w:spacing w:afterLines="50" w:after="120"/>
              <w:rPr>
                <w:rFonts w:cs="Arial"/>
                <w:sz w:val="22"/>
                <w:szCs w:val="22"/>
              </w:rPr>
            </w:pPr>
            <w:r>
              <w:rPr>
                <w:rFonts w:cs="Arial"/>
                <w:sz w:val="22"/>
                <w:szCs w:val="22"/>
              </w:rPr>
              <w:t xml:space="preserve">Frosch, Robert A. and Nicholas E. </w:t>
            </w:r>
            <w:proofErr w:type="spellStart"/>
            <w:r>
              <w:rPr>
                <w:rFonts w:cs="Arial"/>
                <w:sz w:val="22"/>
                <w:szCs w:val="22"/>
              </w:rPr>
              <w:t>Gallopoulos</w:t>
            </w:r>
            <w:proofErr w:type="spellEnd"/>
            <w:r>
              <w:rPr>
                <w:rFonts w:cs="Arial"/>
                <w:sz w:val="22"/>
                <w:szCs w:val="22"/>
              </w:rPr>
              <w:t xml:space="preserve"> (1989), ‘Strategies fo</w:t>
            </w:r>
            <w:r>
              <w:rPr>
                <w:rFonts w:cs="Arial"/>
                <w:sz w:val="22"/>
                <w:szCs w:val="22"/>
              </w:rPr>
              <w:t xml:space="preserve">r manufacturing’, </w:t>
            </w:r>
            <w:r>
              <w:rPr>
                <w:rFonts w:cs="Arial"/>
                <w:i/>
                <w:iCs/>
                <w:sz w:val="22"/>
                <w:szCs w:val="22"/>
              </w:rPr>
              <w:t>Scientific American</w:t>
            </w:r>
            <w:r>
              <w:rPr>
                <w:rFonts w:cs="Arial"/>
                <w:sz w:val="22"/>
                <w:szCs w:val="22"/>
              </w:rPr>
              <w:t xml:space="preserve">, 261(3), 94–102. (Special issue on ‘Managing Planet Earth’.) </w:t>
            </w:r>
          </w:p>
          <w:p w14:paraId="0F076831" w14:textId="77777777" w:rsidR="00541B6A" w:rsidRDefault="00702F4F">
            <w:pPr>
              <w:spacing w:afterLines="50" w:after="120"/>
              <w:rPr>
                <w:rFonts w:cs="Arial"/>
                <w:sz w:val="22"/>
                <w:szCs w:val="22"/>
              </w:rPr>
            </w:pPr>
            <w:r>
              <w:rPr>
                <w:rFonts w:cs="Arial"/>
                <w:sz w:val="22"/>
                <w:szCs w:val="22"/>
              </w:rPr>
              <w:t xml:space="preserve">Glaser, B. G. and Strauss A. L. (2006) </w:t>
            </w:r>
            <w:r>
              <w:rPr>
                <w:rFonts w:cs="Arial"/>
                <w:i/>
                <w:iCs/>
                <w:sz w:val="22"/>
                <w:szCs w:val="22"/>
              </w:rPr>
              <w:t>The discovery of grounded theory: strategies for qualitative research</w:t>
            </w:r>
            <w:r>
              <w:rPr>
                <w:rFonts w:cs="Arial"/>
                <w:sz w:val="22"/>
                <w:szCs w:val="22"/>
              </w:rPr>
              <w:t>. London: Aldine Transaction.</w:t>
            </w:r>
          </w:p>
          <w:p w14:paraId="2A34E82F" w14:textId="77777777" w:rsidR="00541B6A" w:rsidRDefault="00702F4F">
            <w:pPr>
              <w:spacing w:afterLines="50" w:after="120"/>
              <w:rPr>
                <w:rFonts w:cs="Arial"/>
                <w:sz w:val="22"/>
                <w:szCs w:val="22"/>
              </w:rPr>
            </w:pPr>
            <w:r>
              <w:rPr>
                <w:rFonts w:cs="Arial"/>
                <w:sz w:val="22"/>
                <w:szCs w:val="22"/>
              </w:rPr>
              <w:t xml:space="preserve">Greene, J. C., </w:t>
            </w:r>
            <w:proofErr w:type="spellStart"/>
            <w:r>
              <w:rPr>
                <w:rFonts w:cs="Arial"/>
                <w:sz w:val="22"/>
                <w:szCs w:val="22"/>
              </w:rPr>
              <w:t>Caracelli</w:t>
            </w:r>
            <w:proofErr w:type="spellEnd"/>
            <w:r>
              <w:rPr>
                <w:rFonts w:cs="Arial"/>
                <w:sz w:val="22"/>
                <w:szCs w:val="22"/>
              </w:rPr>
              <w:t xml:space="preserve">, V. J., and Graham, W. F. (1989) ‘Toward a conceptual framework for mixed-method evaluation designs’. </w:t>
            </w:r>
            <w:r>
              <w:rPr>
                <w:rFonts w:cs="Arial"/>
                <w:i/>
                <w:iCs/>
                <w:sz w:val="22"/>
                <w:szCs w:val="22"/>
              </w:rPr>
              <w:t>Educational Evaluation and Policy Analysis</w:t>
            </w:r>
            <w:r>
              <w:rPr>
                <w:rFonts w:cs="Arial"/>
                <w:sz w:val="22"/>
                <w:szCs w:val="22"/>
              </w:rPr>
              <w:t>, 11(2), pp. 255–274.</w:t>
            </w:r>
          </w:p>
          <w:p w14:paraId="4ABC1862" w14:textId="77777777" w:rsidR="00541B6A" w:rsidRDefault="00702F4F">
            <w:pPr>
              <w:spacing w:afterLines="50" w:after="120"/>
              <w:rPr>
                <w:rFonts w:cs="Arial"/>
                <w:sz w:val="22"/>
                <w:szCs w:val="22"/>
              </w:rPr>
            </w:pPr>
            <w:proofErr w:type="spellStart"/>
            <w:r>
              <w:rPr>
                <w:rFonts w:cs="Arial" w:hint="eastAsia"/>
                <w:sz w:val="22"/>
                <w:szCs w:val="22"/>
              </w:rPr>
              <w:lastRenderedPageBreak/>
              <w:t>Gioia</w:t>
            </w:r>
            <w:proofErr w:type="spellEnd"/>
            <w:r>
              <w:rPr>
                <w:rFonts w:cs="Arial" w:hint="eastAsia"/>
                <w:sz w:val="22"/>
                <w:szCs w:val="22"/>
              </w:rPr>
              <w:t xml:space="preserve">, D. A. </w:t>
            </w:r>
            <w:r>
              <w:rPr>
                <w:rFonts w:eastAsia="SimSun" w:cs="Arial" w:hint="eastAsia"/>
                <w:sz w:val="22"/>
                <w:szCs w:val="22"/>
                <w:lang w:val="en-US" w:eastAsia="zh-CN"/>
              </w:rPr>
              <w:t>and</w:t>
            </w:r>
            <w:r>
              <w:rPr>
                <w:rFonts w:cs="Arial" w:hint="eastAsia"/>
                <w:sz w:val="22"/>
                <w:szCs w:val="22"/>
              </w:rPr>
              <w:t xml:space="preserve"> </w:t>
            </w:r>
            <w:proofErr w:type="spellStart"/>
            <w:r>
              <w:rPr>
                <w:rFonts w:cs="Arial" w:hint="eastAsia"/>
                <w:sz w:val="22"/>
                <w:szCs w:val="22"/>
              </w:rPr>
              <w:t>Chittipeddi</w:t>
            </w:r>
            <w:proofErr w:type="spellEnd"/>
            <w:r>
              <w:rPr>
                <w:rFonts w:cs="Arial" w:hint="eastAsia"/>
                <w:sz w:val="22"/>
                <w:szCs w:val="22"/>
              </w:rPr>
              <w:t xml:space="preserve">, K. (1991) </w:t>
            </w:r>
            <w:r>
              <w:rPr>
                <w:rFonts w:eastAsia="SimSun" w:cs="Arial"/>
                <w:sz w:val="22"/>
                <w:szCs w:val="22"/>
                <w:lang w:val="en-US" w:eastAsia="zh-CN"/>
              </w:rPr>
              <w:t>‘</w:t>
            </w:r>
            <w:r>
              <w:rPr>
                <w:rFonts w:cs="Arial" w:hint="eastAsia"/>
                <w:sz w:val="22"/>
                <w:szCs w:val="22"/>
              </w:rPr>
              <w:t xml:space="preserve">Sensemaking and </w:t>
            </w:r>
            <w:proofErr w:type="spellStart"/>
            <w:r>
              <w:rPr>
                <w:rFonts w:cs="Arial" w:hint="eastAsia"/>
                <w:sz w:val="22"/>
                <w:szCs w:val="22"/>
              </w:rPr>
              <w:t>sensegiv</w:t>
            </w:r>
            <w:r>
              <w:rPr>
                <w:rFonts w:cs="Arial" w:hint="eastAsia"/>
                <w:sz w:val="22"/>
                <w:szCs w:val="22"/>
              </w:rPr>
              <w:t>ing</w:t>
            </w:r>
            <w:proofErr w:type="spellEnd"/>
            <w:r>
              <w:rPr>
                <w:rFonts w:cs="Arial" w:hint="eastAsia"/>
                <w:sz w:val="22"/>
                <w:szCs w:val="22"/>
              </w:rPr>
              <w:t xml:space="preserve"> in strategic change initiation</w:t>
            </w:r>
            <w:r>
              <w:rPr>
                <w:rFonts w:eastAsia="SimSun" w:cs="Arial"/>
                <w:sz w:val="22"/>
                <w:szCs w:val="22"/>
                <w:lang w:val="en-US" w:eastAsia="zh-CN"/>
              </w:rPr>
              <w:t>’</w:t>
            </w:r>
            <w:r>
              <w:rPr>
                <w:rFonts w:cs="Arial" w:hint="eastAsia"/>
                <w:sz w:val="22"/>
                <w:szCs w:val="22"/>
              </w:rPr>
              <w:t xml:space="preserve">. </w:t>
            </w:r>
            <w:r>
              <w:rPr>
                <w:rFonts w:cs="Arial" w:hint="eastAsia"/>
                <w:i/>
                <w:iCs/>
                <w:sz w:val="22"/>
                <w:szCs w:val="22"/>
              </w:rPr>
              <w:t>Strategic Management Journal</w:t>
            </w:r>
            <w:r>
              <w:rPr>
                <w:rFonts w:cs="Arial" w:hint="eastAsia"/>
                <w:sz w:val="22"/>
                <w:szCs w:val="22"/>
              </w:rPr>
              <w:t xml:space="preserve">, 20, </w:t>
            </w:r>
            <w:r>
              <w:rPr>
                <w:rFonts w:eastAsia="SimSun" w:cs="Arial" w:hint="eastAsia"/>
                <w:sz w:val="22"/>
                <w:szCs w:val="22"/>
                <w:lang w:val="en-US" w:eastAsia="zh-CN"/>
              </w:rPr>
              <w:t xml:space="preserve">pp. </w:t>
            </w:r>
            <w:r>
              <w:rPr>
                <w:rFonts w:cs="Arial" w:hint="eastAsia"/>
                <w:sz w:val="22"/>
                <w:szCs w:val="22"/>
              </w:rPr>
              <w:t>443–448.</w:t>
            </w:r>
          </w:p>
          <w:p w14:paraId="2D00421E" w14:textId="77777777" w:rsidR="00541B6A" w:rsidRDefault="00702F4F">
            <w:pPr>
              <w:spacing w:afterLines="50" w:after="120"/>
              <w:rPr>
                <w:rFonts w:cs="Arial"/>
                <w:sz w:val="22"/>
                <w:szCs w:val="22"/>
              </w:rPr>
            </w:pPr>
            <w:proofErr w:type="spellStart"/>
            <w:r>
              <w:rPr>
                <w:rFonts w:cs="Arial" w:hint="eastAsia"/>
                <w:sz w:val="22"/>
                <w:szCs w:val="22"/>
              </w:rPr>
              <w:t>Gioia</w:t>
            </w:r>
            <w:proofErr w:type="spellEnd"/>
            <w:r>
              <w:rPr>
                <w:rFonts w:cs="Arial" w:hint="eastAsia"/>
                <w:sz w:val="22"/>
                <w:szCs w:val="22"/>
              </w:rPr>
              <w:t>, D. A., &amp; Thomas, J. B. (1996). Institutional identity, image, and issue interpretation: Sensemaking during strategic change in academia. Administrative Science Quart</w:t>
            </w:r>
            <w:r>
              <w:rPr>
                <w:rFonts w:cs="Arial" w:hint="eastAsia"/>
                <w:sz w:val="22"/>
                <w:szCs w:val="22"/>
              </w:rPr>
              <w:t>erly, 41(3), 370–403.</w:t>
            </w:r>
          </w:p>
          <w:p w14:paraId="7DF53C8E" w14:textId="77777777" w:rsidR="00541B6A" w:rsidRDefault="00702F4F">
            <w:pPr>
              <w:spacing w:afterLines="50" w:after="120"/>
              <w:rPr>
                <w:rFonts w:eastAsia="SimSun" w:cs="Arial"/>
                <w:sz w:val="22"/>
                <w:szCs w:val="22"/>
                <w:lang w:val="en-US" w:eastAsia="zh-CN"/>
              </w:rPr>
            </w:pPr>
            <w:proofErr w:type="spellStart"/>
            <w:r>
              <w:rPr>
                <w:rFonts w:cs="Arial" w:hint="eastAsia"/>
                <w:sz w:val="22"/>
                <w:szCs w:val="22"/>
              </w:rPr>
              <w:t>Greeze</w:t>
            </w:r>
            <w:proofErr w:type="spellEnd"/>
            <w:r>
              <w:rPr>
                <w:rFonts w:cs="Arial" w:hint="eastAsia"/>
                <w:sz w:val="22"/>
                <w:szCs w:val="22"/>
              </w:rPr>
              <w:t xml:space="preserve">, C. (2008) </w:t>
            </w:r>
            <w:r>
              <w:rPr>
                <w:rFonts w:cs="Arial" w:hint="eastAsia"/>
                <w:i/>
                <w:iCs/>
                <w:sz w:val="22"/>
                <w:szCs w:val="22"/>
              </w:rPr>
              <w:t>The interpretation of cultures</w:t>
            </w:r>
            <w:r>
              <w:rPr>
                <w:rFonts w:cs="Arial" w:hint="eastAsia"/>
                <w:sz w:val="22"/>
                <w:szCs w:val="22"/>
              </w:rPr>
              <w:t>. New York: Basic Books</w:t>
            </w:r>
            <w:r>
              <w:rPr>
                <w:rFonts w:eastAsia="SimSun" w:cs="Arial" w:hint="eastAsia"/>
                <w:sz w:val="22"/>
                <w:szCs w:val="22"/>
                <w:lang w:val="en-US" w:eastAsia="zh-CN"/>
              </w:rPr>
              <w:t>.</w:t>
            </w:r>
          </w:p>
          <w:p w14:paraId="4421149D" w14:textId="77777777" w:rsidR="00541B6A" w:rsidRDefault="00702F4F">
            <w:pPr>
              <w:spacing w:afterLines="50" w:after="120"/>
              <w:rPr>
                <w:rFonts w:cs="Arial"/>
                <w:sz w:val="22"/>
                <w:szCs w:val="22"/>
              </w:rPr>
            </w:pPr>
            <w:r>
              <w:rPr>
                <w:rFonts w:cs="Arial"/>
                <w:sz w:val="22"/>
                <w:szCs w:val="22"/>
              </w:rPr>
              <w:t xml:space="preserve">Hunter. (2020). ‘Syncretism and indigenous cultural tourism in Taiwan’. </w:t>
            </w:r>
            <w:r>
              <w:rPr>
                <w:rFonts w:cs="Arial"/>
                <w:i/>
                <w:iCs/>
                <w:sz w:val="22"/>
                <w:szCs w:val="22"/>
              </w:rPr>
              <w:t>Annals of Tourism Research</w:t>
            </w:r>
            <w:r>
              <w:rPr>
                <w:rFonts w:cs="Arial"/>
                <w:sz w:val="22"/>
                <w:szCs w:val="22"/>
              </w:rPr>
              <w:t xml:space="preserve">, 82, 102919–. https://doi.org/10.1016/j.annals.2020.102919. </w:t>
            </w:r>
          </w:p>
          <w:p w14:paraId="44209CC8" w14:textId="77777777" w:rsidR="00541B6A" w:rsidRDefault="00702F4F">
            <w:pPr>
              <w:spacing w:afterLines="50" w:after="120"/>
              <w:rPr>
                <w:rFonts w:cs="Arial"/>
                <w:sz w:val="22"/>
                <w:szCs w:val="22"/>
              </w:rPr>
            </w:pPr>
            <w:proofErr w:type="spellStart"/>
            <w:r>
              <w:rPr>
                <w:rFonts w:cs="Arial"/>
                <w:sz w:val="22"/>
                <w:szCs w:val="22"/>
              </w:rPr>
              <w:t>I</w:t>
            </w:r>
            <w:r>
              <w:rPr>
                <w:rFonts w:cs="Arial"/>
                <w:sz w:val="22"/>
                <w:szCs w:val="22"/>
              </w:rPr>
              <w:t>ntrona</w:t>
            </w:r>
            <w:proofErr w:type="spellEnd"/>
            <w:r>
              <w:rPr>
                <w:rFonts w:cs="Arial"/>
                <w:sz w:val="22"/>
                <w:szCs w:val="22"/>
              </w:rPr>
              <w:t xml:space="preserve">, L.D. (2019) ‘On the making of sense in sensemaking: Decentred sensemaking in the meshwork of life’. </w:t>
            </w:r>
            <w:r>
              <w:rPr>
                <w:rFonts w:cs="Arial"/>
                <w:i/>
                <w:iCs/>
                <w:sz w:val="22"/>
                <w:szCs w:val="22"/>
              </w:rPr>
              <w:t>Organization Studies</w:t>
            </w:r>
            <w:r>
              <w:rPr>
                <w:rFonts w:cs="Arial"/>
                <w:sz w:val="22"/>
                <w:szCs w:val="22"/>
              </w:rPr>
              <w:t>, 40, pp. 745–764.</w:t>
            </w:r>
          </w:p>
          <w:p w14:paraId="322B8504" w14:textId="77777777" w:rsidR="00541B6A" w:rsidRDefault="00702F4F">
            <w:pPr>
              <w:spacing w:afterLines="50" w:after="120"/>
              <w:rPr>
                <w:rFonts w:eastAsia="SimSun" w:cs="Arial"/>
                <w:sz w:val="22"/>
                <w:szCs w:val="22"/>
                <w:lang w:val="en-US" w:eastAsia="zh-CN"/>
              </w:rPr>
            </w:pPr>
            <w:r>
              <w:rPr>
                <w:rFonts w:cs="Arial" w:hint="eastAsia"/>
                <w:sz w:val="22"/>
                <w:szCs w:val="22"/>
              </w:rPr>
              <w:t>Ireland</w:t>
            </w:r>
            <w:r>
              <w:rPr>
                <w:rFonts w:eastAsia="SimSun" w:cs="Arial" w:hint="eastAsia"/>
                <w:sz w:val="22"/>
                <w:szCs w:val="22"/>
                <w:lang w:val="en-US" w:eastAsia="zh-CN"/>
              </w:rPr>
              <w:t xml:space="preserve">, T. and Schofield, J. (2015)  </w:t>
            </w:r>
            <w:r>
              <w:rPr>
                <w:rFonts w:eastAsia="SimSun" w:cs="Arial" w:hint="eastAsia"/>
                <w:i/>
                <w:iCs/>
                <w:sz w:val="22"/>
                <w:szCs w:val="22"/>
                <w:lang w:val="en-US" w:eastAsia="zh-CN"/>
              </w:rPr>
              <w:t>The Ethics of Cultural Heritage</w:t>
            </w:r>
            <w:r>
              <w:rPr>
                <w:rFonts w:eastAsia="SimSun" w:cs="Arial" w:hint="eastAsia"/>
                <w:sz w:val="22"/>
                <w:szCs w:val="22"/>
                <w:lang w:val="en-US" w:eastAsia="zh-CN"/>
              </w:rPr>
              <w:t>. Springer, New York, Heidelberg, Dordre</w:t>
            </w:r>
            <w:r>
              <w:rPr>
                <w:rFonts w:eastAsia="SimSun" w:cs="Arial" w:hint="eastAsia"/>
                <w:sz w:val="22"/>
                <w:szCs w:val="22"/>
                <w:lang w:val="en-US" w:eastAsia="zh-CN"/>
              </w:rPr>
              <w:t>cht, London:  Springer.</w:t>
            </w:r>
          </w:p>
          <w:p w14:paraId="4A9AB48F" w14:textId="77777777" w:rsidR="00541B6A" w:rsidRDefault="00702F4F">
            <w:pPr>
              <w:spacing w:afterLines="50" w:after="120"/>
              <w:rPr>
                <w:rFonts w:cs="Arial"/>
                <w:sz w:val="22"/>
                <w:szCs w:val="22"/>
              </w:rPr>
            </w:pPr>
            <w:r>
              <w:rPr>
                <w:rFonts w:cs="Arial"/>
                <w:sz w:val="22"/>
                <w:szCs w:val="22"/>
              </w:rPr>
              <w:t xml:space="preserve">Johnson, B. and Onwuegbuzie, A. (2004) ‘Mixed methods research: a research paradigm whose time has come’. </w:t>
            </w:r>
            <w:r>
              <w:rPr>
                <w:rFonts w:cs="Arial"/>
                <w:i/>
                <w:iCs/>
                <w:sz w:val="22"/>
                <w:szCs w:val="22"/>
              </w:rPr>
              <w:t>Educational Researcher</w:t>
            </w:r>
            <w:r>
              <w:rPr>
                <w:rFonts w:cs="Arial"/>
                <w:sz w:val="22"/>
                <w:szCs w:val="22"/>
              </w:rPr>
              <w:t>, 33, pp. 14–26.</w:t>
            </w:r>
          </w:p>
          <w:p w14:paraId="2C0D9E14" w14:textId="77777777" w:rsidR="00541B6A" w:rsidRDefault="00702F4F">
            <w:pPr>
              <w:spacing w:afterLines="50" w:after="120"/>
              <w:rPr>
                <w:rFonts w:cs="Arial"/>
                <w:sz w:val="22"/>
                <w:szCs w:val="22"/>
              </w:rPr>
            </w:pPr>
            <w:r>
              <w:rPr>
                <w:rFonts w:cs="Arial"/>
                <w:sz w:val="22"/>
                <w:szCs w:val="22"/>
              </w:rPr>
              <w:t xml:space="preserve">Kalu. F. A. and Bwalya, J. C. (2017) </w:t>
            </w:r>
            <w:r>
              <w:rPr>
                <w:rFonts w:cs="Arial"/>
                <w:i/>
                <w:iCs/>
                <w:sz w:val="22"/>
                <w:szCs w:val="22"/>
              </w:rPr>
              <w:t>What Makes Qualitative Research Good Research? Lan</w:t>
            </w:r>
            <w:r>
              <w:rPr>
                <w:rFonts w:cs="Arial"/>
                <w:i/>
                <w:iCs/>
                <w:sz w:val="22"/>
                <w:szCs w:val="22"/>
              </w:rPr>
              <w:t>ham, Boulder</w:t>
            </w:r>
            <w:r>
              <w:rPr>
                <w:rFonts w:cs="Arial"/>
                <w:sz w:val="22"/>
                <w:szCs w:val="22"/>
              </w:rPr>
              <w:t xml:space="preserve">, New York, London: Rowman and Littlefield. </w:t>
            </w:r>
          </w:p>
          <w:p w14:paraId="21762DB9" w14:textId="77777777" w:rsidR="00541B6A" w:rsidRDefault="00702F4F">
            <w:pPr>
              <w:spacing w:afterLines="50" w:after="120"/>
              <w:rPr>
                <w:rFonts w:cs="Arial"/>
                <w:sz w:val="22"/>
                <w:szCs w:val="22"/>
              </w:rPr>
            </w:pPr>
            <w:proofErr w:type="spellStart"/>
            <w:r>
              <w:rPr>
                <w:rFonts w:cs="Arial"/>
                <w:sz w:val="22"/>
                <w:szCs w:val="22"/>
              </w:rPr>
              <w:t>Konlechner</w:t>
            </w:r>
            <w:proofErr w:type="spellEnd"/>
            <w:r>
              <w:rPr>
                <w:rFonts w:cs="Arial"/>
                <w:sz w:val="22"/>
                <w:szCs w:val="22"/>
              </w:rPr>
              <w:t xml:space="preserve">, </w:t>
            </w:r>
            <w:proofErr w:type="spellStart"/>
            <w:r>
              <w:rPr>
                <w:rFonts w:cs="Arial"/>
                <w:sz w:val="22"/>
                <w:szCs w:val="22"/>
              </w:rPr>
              <w:t>Latzke</w:t>
            </w:r>
            <w:proofErr w:type="spellEnd"/>
            <w:r>
              <w:rPr>
                <w:rFonts w:cs="Arial"/>
                <w:sz w:val="22"/>
                <w:szCs w:val="22"/>
              </w:rPr>
              <w:t xml:space="preserve">, M., </w:t>
            </w:r>
            <w:proofErr w:type="spellStart"/>
            <w:r>
              <w:rPr>
                <w:rFonts w:cs="Arial"/>
                <w:sz w:val="22"/>
                <w:szCs w:val="22"/>
              </w:rPr>
              <w:t>Güttel</w:t>
            </w:r>
            <w:proofErr w:type="spellEnd"/>
            <w:r>
              <w:rPr>
                <w:rFonts w:cs="Arial"/>
                <w:sz w:val="22"/>
                <w:szCs w:val="22"/>
              </w:rPr>
              <w:t xml:space="preserve">, W. H., and </w:t>
            </w:r>
            <w:proofErr w:type="spellStart"/>
            <w:r>
              <w:rPr>
                <w:rFonts w:cs="Arial"/>
                <w:sz w:val="22"/>
                <w:szCs w:val="22"/>
              </w:rPr>
              <w:t>Höfferer</w:t>
            </w:r>
            <w:proofErr w:type="spellEnd"/>
            <w:r>
              <w:rPr>
                <w:rFonts w:cs="Arial"/>
                <w:sz w:val="22"/>
                <w:szCs w:val="22"/>
              </w:rPr>
              <w:t xml:space="preserve">, E. (2019) ‘Prospective sensemaking, frames and planned change interventions: A comparison of change trajectories in two hospital units’. </w:t>
            </w:r>
            <w:r>
              <w:rPr>
                <w:rFonts w:cs="Arial"/>
                <w:i/>
                <w:iCs/>
                <w:sz w:val="22"/>
                <w:szCs w:val="22"/>
              </w:rPr>
              <w:t>Human Relations</w:t>
            </w:r>
            <w:r>
              <w:rPr>
                <w:rFonts w:cs="Arial"/>
                <w:sz w:val="22"/>
                <w:szCs w:val="22"/>
              </w:rPr>
              <w:t xml:space="preserve"> (New York), 72(4), 706–732. https://doi.org/10.117</w:t>
            </w:r>
            <w:r>
              <w:rPr>
                <w:rFonts w:cs="Arial"/>
                <w:sz w:val="22"/>
                <w:szCs w:val="22"/>
              </w:rPr>
              <w:t>7/0018726718773157.</w:t>
            </w:r>
          </w:p>
          <w:p w14:paraId="4DC4DE7C" w14:textId="77777777" w:rsidR="00541B6A" w:rsidRDefault="00702F4F">
            <w:pPr>
              <w:spacing w:afterLines="50" w:after="120"/>
              <w:rPr>
                <w:rFonts w:cs="Arial"/>
                <w:sz w:val="22"/>
                <w:szCs w:val="22"/>
              </w:rPr>
            </w:pPr>
            <w:proofErr w:type="spellStart"/>
            <w:r>
              <w:rPr>
                <w:rFonts w:cs="Arial"/>
                <w:sz w:val="22"/>
                <w:szCs w:val="22"/>
              </w:rPr>
              <w:t>Konlechner</w:t>
            </w:r>
            <w:proofErr w:type="spellEnd"/>
            <w:r>
              <w:rPr>
                <w:rFonts w:cs="Arial"/>
                <w:sz w:val="22"/>
                <w:szCs w:val="22"/>
              </w:rPr>
              <w:t xml:space="preserve">, S., et al. (2019). ‘Prospective sensemaking, frames and planned change interventions: A comparison of change trajectories in two hospital units’. </w:t>
            </w:r>
            <w:r>
              <w:rPr>
                <w:rFonts w:cs="Arial"/>
                <w:i/>
                <w:iCs/>
                <w:sz w:val="22"/>
                <w:szCs w:val="22"/>
              </w:rPr>
              <w:t>Human Relations</w:t>
            </w:r>
            <w:r>
              <w:rPr>
                <w:rFonts w:cs="Arial"/>
                <w:sz w:val="22"/>
                <w:szCs w:val="22"/>
              </w:rPr>
              <w:t xml:space="preserve"> (New York), 72(4), 706–732. </w:t>
            </w:r>
            <w:hyperlink r:id="rId23" w:history="1">
              <w:r>
                <w:rPr>
                  <w:rStyle w:val="Hyperlink"/>
                  <w:rFonts w:cs="Arial"/>
                  <w:sz w:val="22"/>
                  <w:szCs w:val="22"/>
                </w:rPr>
                <w:t>https://doi.org/10.1177/0018726718773157.</w:t>
              </w:r>
            </w:hyperlink>
          </w:p>
          <w:p w14:paraId="14981171" w14:textId="77777777" w:rsidR="00541B6A" w:rsidRDefault="00702F4F">
            <w:pPr>
              <w:spacing w:afterLines="50" w:after="120"/>
              <w:rPr>
                <w:rFonts w:eastAsia="SimSun" w:cs="Arial"/>
                <w:sz w:val="22"/>
                <w:szCs w:val="22"/>
                <w:lang w:val="en-US" w:eastAsia="zh-CN"/>
              </w:rPr>
            </w:pPr>
            <w:r>
              <w:rPr>
                <w:rFonts w:eastAsia="SimSun" w:cs="Arial" w:hint="eastAsia"/>
                <w:sz w:val="22"/>
                <w:szCs w:val="22"/>
                <w:lang w:val="en-US" w:eastAsia="zh-CN"/>
              </w:rPr>
              <w:t>L</w:t>
            </w:r>
            <w:proofErr w:type="spellStart"/>
            <w:r>
              <w:rPr>
                <w:rFonts w:cs="Arial" w:hint="eastAsia"/>
                <w:sz w:val="22"/>
                <w:szCs w:val="22"/>
              </w:rPr>
              <w:t>ouie</w:t>
            </w:r>
            <w:proofErr w:type="spellEnd"/>
            <w:r>
              <w:rPr>
                <w:rFonts w:eastAsia="SimSun" w:cs="Arial" w:hint="eastAsia"/>
                <w:sz w:val="22"/>
                <w:szCs w:val="22"/>
                <w:lang w:val="en-US" w:eastAsia="zh-CN"/>
              </w:rPr>
              <w:t>, K. (2008) The Cambridge Companion to Modern Chinese Culture. Cambridge, New York, Melbourne, Madrid, Cape Town, Singapore, São Paulo, Delhi: Cambridge University Press.</w:t>
            </w:r>
          </w:p>
          <w:p w14:paraId="28E1E016" w14:textId="77777777" w:rsidR="00541B6A" w:rsidRDefault="00702F4F">
            <w:pPr>
              <w:spacing w:afterLines="50" w:after="120"/>
              <w:rPr>
                <w:rFonts w:cs="Arial"/>
                <w:sz w:val="22"/>
                <w:szCs w:val="22"/>
              </w:rPr>
            </w:pPr>
            <w:proofErr w:type="spellStart"/>
            <w:r>
              <w:rPr>
                <w:rFonts w:cs="Arial"/>
                <w:sz w:val="22"/>
                <w:szCs w:val="22"/>
              </w:rPr>
              <w:t>Maitlis</w:t>
            </w:r>
            <w:proofErr w:type="spellEnd"/>
            <w:r>
              <w:rPr>
                <w:rFonts w:cs="Arial"/>
                <w:sz w:val="22"/>
                <w:szCs w:val="22"/>
              </w:rPr>
              <w:t xml:space="preserve"> S and Christianson M (2014) ‘Sensemaking in organizations: Taking stock and moving forward’. </w:t>
            </w:r>
            <w:r>
              <w:rPr>
                <w:rFonts w:cs="Arial"/>
                <w:i/>
                <w:iCs/>
                <w:sz w:val="22"/>
                <w:szCs w:val="22"/>
              </w:rPr>
              <w:t>The Academy of Management Annals.</w:t>
            </w:r>
            <w:r>
              <w:rPr>
                <w:rFonts w:cs="Arial"/>
                <w:sz w:val="22"/>
                <w:szCs w:val="22"/>
              </w:rPr>
              <w:t xml:space="preserve"> 8(1): pp. 57–125.</w:t>
            </w:r>
          </w:p>
          <w:p w14:paraId="7C5E8321" w14:textId="77777777" w:rsidR="00541B6A" w:rsidRDefault="00702F4F">
            <w:pPr>
              <w:spacing w:afterLines="50" w:after="120"/>
              <w:rPr>
                <w:rFonts w:ascii="Times New Roman" w:eastAsia="SimSun" w:hAnsi="Times New Roman"/>
                <w:color w:val="000000"/>
                <w:sz w:val="24"/>
                <w:szCs w:val="24"/>
                <w:lang w:val="en-US" w:eastAsia="zh-CN" w:bidi="ar"/>
              </w:rPr>
            </w:pPr>
            <w:bookmarkStart w:id="8" w:name="OLE_LINK2"/>
            <w:proofErr w:type="spellStart"/>
            <w:r>
              <w:rPr>
                <w:rFonts w:ascii="Times New Roman" w:eastAsia="SimSun" w:hAnsi="Times New Roman"/>
                <w:color w:val="000000"/>
                <w:sz w:val="24"/>
                <w:szCs w:val="24"/>
                <w:lang w:val="en-US" w:eastAsia="zh-CN" w:bidi="ar"/>
              </w:rPr>
              <w:t>Maitlis</w:t>
            </w:r>
            <w:proofErr w:type="spellEnd"/>
            <w:r>
              <w:rPr>
                <w:rFonts w:ascii="Times New Roman" w:eastAsia="SimSun" w:hAnsi="Times New Roman"/>
                <w:color w:val="000000"/>
                <w:sz w:val="24"/>
                <w:szCs w:val="24"/>
                <w:lang w:val="en-US" w:eastAsia="zh-CN" w:bidi="ar"/>
              </w:rPr>
              <w:t xml:space="preserve">, S. (2005). </w:t>
            </w:r>
            <w:bookmarkStart w:id="9" w:name="OLE_LINK1"/>
            <w:r>
              <w:rPr>
                <w:rFonts w:ascii="Times New Roman" w:eastAsia="SimSun" w:hAnsi="Times New Roman"/>
                <w:color w:val="000000"/>
                <w:sz w:val="24"/>
                <w:szCs w:val="24"/>
                <w:lang w:val="en-US" w:eastAsia="zh-CN" w:bidi="ar"/>
              </w:rPr>
              <w:t>‘The social processes of organizational sensemaking</w:t>
            </w:r>
            <w:bookmarkEnd w:id="9"/>
            <w:r>
              <w:rPr>
                <w:rFonts w:ascii="Times New Roman" w:eastAsia="SimSun" w:hAnsi="Times New Roman"/>
                <w:color w:val="000000"/>
                <w:sz w:val="24"/>
                <w:szCs w:val="24"/>
                <w:lang w:val="en-US" w:eastAsia="zh-CN" w:bidi="ar"/>
              </w:rPr>
              <w:t xml:space="preserve">’. </w:t>
            </w:r>
            <w:r>
              <w:rPr>
                <w:rFonts w:ascii="Times New Roman" w:eastAsia="TimesNewRomanPS-ItalicMT" w:hAnsi="Times New Roman"/>
                <w:i/>
                <w:iCs/>
                <w:color w:val="000000"/>
                <w:sz w:val="24"/>
                <w:szCs w:val="24"/>
                <w:lang w:val="en-US" w:eastAsia="zh-CN" w:bidi="ar"/>
              </w:rPr>
              <w:t>Academy of Management Journal</w:t>
            </w:r>
            <w:r>
              <w:rPr>
                <w:rFonts w:ascii="Times New Roman" w:eastAsia="SimSun" w:hAnsi="Times New Roman"/>
                <w:color w:val="000000"/>
                <w:sz w:val="24"/>
                <w:szCs w:val="24"/>
                <w:lang w:val="en-US" w:eastAsia="zh-CN" w:bidi="ar"/>
              </w:rPr>
              <w:t xml:space="preserve">, </w:t>
            </w:r>
            <w:r>
              <w:rPr>
                <w:rFonts w:ascii="Times New Roman" w:eastAsia="TimesNewRomanPS-ItalicMT" w:hAnsi="Times New Roman"/>
                <w:i/>
                <w:iCs/>
                <w:color w:val="000000"/>
                <w:sz w:val="24"/>
                <w:szCs w:val="24"/>
                <w:lang w:val="en-US" w:eastAsia="zh-CN" w:bidi="ar"/>
              </w:rPr>
              <w:t>48</w:t>
            </w:r>
            <w:r>
              <w:rPr>
                <w:rFonts w:ascii="Times New Roman" w:eastAsia="SimSun" w:hAnsi="Times New Roman"/>
                <w:color w:val="000000"/>
                <w:sz w:val="24"/>
                <w:szCs w:val="24"/>
                <w:lang w:val="en-US" w:eastAsia="zh-CN" w:bidi="ar"/>
              </w:rPr>
              <w:t xml:space="preserve">, </w:t>
            </w:r>
            <w:r>
              <w:rPr>
                <w:rFonts w:ascii="Times New Roman" w:eastAsia="SimSun" w:hAnsi="Times New Roman" w:hint="eastAsia"/>
                <w:color w:val="000000"/>
                <w:sz w:val="24"/>
                <w:szCs w:val="24"/>
                <w:lang w:val="en-US" w:eastAsia="zh-CN" w:bidi="ar"/>
              </w:rPr>
              <w:t xml:space="preserve">pp. </w:t>
            </w:r>
            <w:r>
              <w:rPr>
                <w:rFonts w:ascii="Times New Roman" w:eastAsia="SimSun" w:hAnsi="Times New Roman"/>
                <w:color w:val="000000"/>
                <w:sz w:val="24"/>
                <w:szCs w:val="24"/>
                <w:lang w:val="en-US" w:eastAsia="zh-CN" w:bidi="ar"/>
              </w:rPr>
              <w:t>21–49.</w:t>
            </w:r>
            <w:bookmarkEnd w:id="8"/>
            <w:r>
              <w:rPr>
                <w:rFonts w:ascii="Times New Roman" w:eastAsia="SimSun" w:hAnsi="Times New Roman"/>
                <w:color w:val="000000"/>
                <w:sz w:val="24"/>
                <w:szCs w:val="24"/>
                <w:lang w:val="en-US" w:eastAsia="zh-CN" w:bidi="ar"/>
              </w:rPr>
              <w:t xml:space="preserve"> </w:t>
            </w:r>
          </w:p>
          <w:p w14:paraId="50D992B5" w14:textId="77777777" w:rsidR="00541B6A" w:rsidRDefault="00702F4F">
            <w:pPr>
              <w:spacing w:afterLines="50" w:after="120"/>
              <w:rPr>
                <w:rFonts w:ascii="Times New Roman" w:eastAsia="SimSun" w:hAnsi="Times New Roman"/>
                <w:color w:val="000000"/>
                <w:sz w:val="24"/>
                <w:szCs w:val="24"/>
                <w:lang w:val="en-US" w:eastAsia="zh-CN" w:bidi="ar"/>
              </w:rPr>
            </w:pPr>
            <w:proofErr w:type="spellStart"/>
            <w:r>
              <w:rPr>
                <w:rFonts w:ascii="Times New Roman" w:eastAsia="SimSun" w:hAnsi="Times New Roman"/>
                <w:color w:val="000000"/>
                <w:sz w:val="24"/>
                <w:szCs w:val="24"/>
                <w:lang w:val="en-US" w:eastAsia="zh-CN" w:bidi="ar"/>
              </w:rPr>
              <w:t>Maitlis</w:t>
            </w:r>
            <w:proofErr w:type="spellEnd"/>
            <w:r>
              <w:rPr>
                <w:rFonts w:ascii="Times New Roman" w:eastAsia="SimSun" w:hAnsi="Times New Roman"/>
                <w:color w:val="000000"/>
                <w:sz w:val="24"/>
                <w:szCs w:val="24"/>
                <w:lang w:val="en-US" w:eastAsia="zh-CN" w:bidi="ar"/>
              </w:rPr>
              <w:t xml:space="preserve">, S. </w:t>
            </w:r>
            <w:r>
              <w:rPr>
                <w:rFonts w:ascii="Times New Roman" w:eastAsia="SimSun" w:hAnsi="Times New Roman" w:hint="eastAsia"/>
                <w:color w:val="000000"/>
                <w:sz w:val="24"/>
                <w:szCs w:val="24"/>
                <w:lang w:val="en-US" w:eastAsia="zh-CN" w:bidi="ar"/>
              </w:rPr>
              <w:t>and</w:t>
            </w:r>
            <w:r>
              <w:rPr>
                <w:rFonts w:ascii="Times New Roman" w:eastAsia="SimSun" w:hAnsi="Times New Roman"/>
                <w:color w:val="000000"/>
                <w:sz w:val="24"/>
                <w:szCs w:val="24"/>
                <w:lang w:val="en-US" w:eastAsia="zh-CN" w:bidi="ar"/>
              </w:rPr>
              <w:t xml:space="preserve"> Lawrence, T. B. (2003) ‘Orchestral </w:t>
            </w:r>
            <w:proofErr w:type="spellStart"/>
            <w:r>
              <w:rPr>
                <w:rFonts w:ascii="Times New Roman" w:eastAsia="SimSun" w:hAnsi="Times New Roman"/>
                <w:color w:val="000000"/>
                <w:sz w:val="24"/>
                <w:szCs w:val="24"/>
                <w:lang w:val="en-US" w:eastAsia="zh-CN" w:bidi="ar"/>
              </w:rPr>
              <w:t>manoeuvres</w:t>
            </w:r>
            <w:proofErr w:type="spellEnd"/>
            <w:r>
              <w:rPr>
                <w:rFonts w:ascii="Times New Roman" w:eastAsia="SimSun" w:hAnsi="Times New Roman"/>
                <w:color w:val="000000"/>
                <w:sz w:val="24"/>
                <w:szCs w:val="24"/>
                <w:lang w:val="en-US" w:eastAsia="zh-CN" w:bidi="ar"/>
              </w:rPr>
              <w:t xml:space="preserve"> in the dark: Understanding failure in organizational strategizing’.</w:t>
            </w:r>
            <w:r>
              <w:rPr>
                <w:rFonts w:ascii="Times New Roman" w:eastAsia="SimSun" w:hAnsi="Times New Roman" w:hint="eastAsia"/>
                <w:color w:val="000000"/>
                <w:sz w:val="24"/>
                <w:szCs w:val="24"/>
                <w:lang w:val="en-US" w:eastAsia="zh-CN" w:bidi="ar"/>
              </w:rPr>
              <w:t xml:space="preserve"> </w:t>
            </w:r>
            <w:r>
              <w:rPr>
                <w:rFonts w:ascii="Times New Roman" w:eastAsia="SimSun" w:hAnsi="Times New Roman"/>
                <w:color w:val="000000"/>
                <w:sz w:val="24"/>
                <w:szCs w:val="24"/>
                <w:lang w:val="en-US" w:eastAsia="zh-CN" w:bidi="ar"/>
              </w:rPr>
              <w:t>J</w:t>
            </w:r>
            <w:r>
              <w:rPr>
                <w:rFonts w:ascii="Times New Roman" w:eastAsia="SimSun" w:hAnsi="Times New Roman"/>
                <w:i/>
                <w:iCs/>
                <w:color w:val="000000"/>
                <w:sz w:val="24"/>
                <w:szCs w:val="24"/>
                <w:lang w:val="en-US" w:eastAsia="zh-CN" w:bidi="ar"/>
              </w:rPr>
              <w:t>ournal of Management Studies</w:t>
            </w:r>
            <w:r>
              <w:rPr>
                <w:rFonts w:ascii="Times New Roman" w:eastAsia="SimSun" w:hAnsi="Times New Roman"/>
                <w:color w:val="000000"/>
                <w:sz w:val="24"/>
                <w:szCs w:val="24"/>
                <w:lang w:val="en-US" w:eastAsia="zh-CN" w:bidi="ar"/>
              </w:rPr>
              <w:t xml:space="preserve">, 40(1), </w:t>
            </w:r>
            <w:r>
              <w:rPr>
                <w:rFonts w:ascii="Times New Roman" w:eastAsia="SimSun" w:hAnsi="Times New Roman" w:hint="eastAsia"/>
                <w:color w:val="000000"/>
                <w:sz w:val="24"/>
                <w:szCs w:val="24"/>
                <w:lang w:val="en-US" w:eastAsia="zh-CN" w:bidi="ar"/>
              </w:rPr>
              <w:t xml:space="preserve">pp. </w:t>
            </w:r>
            <w:r>
              <w:rPr>
                <w:rFonts w:ascii="Times New Roman" w:eastAsia="SimSun" w:hAnsi="Times New Roman"/>
                <w:color w:val="000000"/>
                <w:sz w:val="24"/>
                <w:szCs w:val="24"/>
                <w:lang w:val="en-US" w:eastAsia="zh-CN" w:bidi="ar"/>
              </w:rPr>
              <w:t>109–139.</w:t>
            </w:r>
          </w:p>
          <w:p w14:paraId="45DDFE33" w14:textId="77777777" w:rsidR="00541B6A" w:rsidRDefault="00702F4F">
            <w:pPr>
              <w:spacing w:afterLines="50" w:after="120"/>
              <w:rPr>
                <w:rFonts w:cs="Arial"/>
                <w:sz w:val="22"/>
                <w:szCs w:val="22"/>
              </w:rPr>
            </w:pPr>
            <w:r>
              <w:rPr>
                <w:rFonts w:cs="Arial"/>
                <w:sz w:val="22"/>
                <w:szCs w:val="22"/>
              </w:rPr>
              <w:t xml:space="preserve">Miles, M. B., &amp; Huberman, A. M. (1994). </w:t>
            </w:r>
            <w:r>
              <w:rPr>
                <w:rFonts w:cs="Arial"/>
                <w:i/>
                <w:iCs/>
                <w:sz w:val="22"/>
                <w:szCs w:val="22"/>
              </w:rPr>
              <w:t>Qualitative data analysis: An expanded sourcebook</w:t>
            </w:r>
            <w:r>
              <w:rPr>
                <w:rFonts w:cs="Arial"/>
                <w:sz w:val="22"/>
                <w:szCs w:val="22"/>
              </w:rPr>
              <w:t>. Thousand Oaks, CA: SAGE Publications.</w:t>
            </w:r>
          </w:p>
          <w:p w14:paraId="706DB933" w14:textId="77777777" w:rsidR="00541B6A" w:rsidRDefault="00702F4F">
            <w:pPr>
              <w:spacing w:afterLines="50" w:after="120"/>
              <w:rPr>
                <w:rFonts w:cs="Arial"/>
                <w:sz w:val="22"/>
                <w:szCs w:val="22"/>
              </w:rPr>
            </w:pPr>
            <w:r>
              <w:rPr>
                <w:rFonts w:cs="Arial"/>
                <w:sz w:val="22"/>
                <w:szCs w:val="22"/>
              </w:rPr>
              <w:t xml:space="preserve">Murray, J. (2013) ‘Likert Data: What to Use, Parametric or Non-Parametric?’. </w:t>
            </w:r>
            <w:r>
              <w:rPr>
                <w:rFonts w:cs="Arial"/>
                <w:i/>
                <w:iCs/>
                <w:sz w:val="22"/>
                <w:szCs w:val="22"/>
              </w:rPr>
              <w:t>International Journal of Business and Social Scien</w:t>
            </w:r>
            <w:r>
              <w:rPr>
                <w:rFonts w:cs="Arial"/>
                <w:i/>
                <w:iCs/>
                <w:sz w:val="22"/>
                <w:szCs w:val="22"/>
              </w:rPr>
              <w:t>ce</w:t>
            </w:r>
            <w:r>
              <w:rPr>
                <w:rFonts w:cs="Arial"/>
                <w:sz w:val="22"/>
                <w:szCs w:val="22"/>
              </w:rPr>
              <w:t>, 4(11): pp. 258-264.</w:t>
            </w:r>
          </w:p>
          <w:p w14:paraId="3C66CF17" w14:textId="77777777" w:rsidR="00541B6A" w:rsidRDefault="00702F4F">
            <w:pPr>
              <w:spacing w:afterLines="50" w:after="120"/>
              <w:rPr>
                <w:rFonts w:cs="Arial"/>
                <w:sz w:val="22"/>
                <w:szCs w:val="22"/>
              </w:rPr>
            </w:pPr>
            <w:proofErr w:type="spellStart"/>
            <w:r>
              <w:rPr>
                <w:rFonts w:cs="Arial"/>
                <w:sz w:val="22"/>
                <w:szCs w:val="22"/>
              </w:rPr>
              <w:t>Nakamaki</w:t>
            </w:r>
            <w:proofErr w:type="spellEnd"/>
            <w:r>
              <w:rPr>
                <w:rFonts w:cs="Arial"/>
                <w:sz w:val="22"/>
                <w:szCs w:val="22"/>
              </w:rPr>
              <w:t xml:space="preserve">, H. (2019) </w:t>
            </w:r>
            <w:r>
              <w:rPr>
                <w:rFonts w:cs="Arial"/>
                <w:i/>
                <w:iCs/>
                <w:sz w:val="22"/>
                <w:szCs w:val="22"/>
              </w:rPr>
              <w:t>Enterprise as a Carrier of Culture: An Anthropological Approach to Business Administration</w:t>
            </w:r>
            <w:r>
              <w:rPr>
                <w:rFonts w:cs="Arial"/>
                <w:sz w:val="22"/>
                <w:szCs w:val="22"/>
              </w:rPr>
              <w:t>. Okayama: Springer.</w:t>
            </w:r>
          </w:p>
          <w:p w14:paraId="4F237F0B" w14:textId="77777777" w:rsidR="00541B6A" w:rsidRDefault="00702F4F">
            <w:pPr>
              <w:spacing w:afterLines="50" w:after="120"/>
              <w:rPr>
                <w:rFonts w:cs="Arial"/>
                <w:sz w:val="22"/>
                <w:szCs w:val="22"/>
              </w:rPr>
            </w:pPr>
            <w:proofErr w:type="spellStart"/>
            <w:r>
              <w:rPr>
                <w:rFonts w:cs="Arial"/>
                <w:sz w:val="22"/>
                <w:szCs w:val="22"/>
              </w:rPr>
              <w:t>Nastasi</w:t>
            </w:r>
            <w:proofErr w:type="spellEnd"/>
            <w:r>
              <w:rPr>
                <w:rFonts w:cs="Arial"/>
                <w:sz w:val="22"/>
                <w:szCs w:val="22"/>
              </w:rPr>
              <w:t xml:space="preserve">, B.K., al et. (2007) ‘Mixed Methods in Intervention Research: Theory to Adaptation’. </w:t>
            </w:r>
            <w:r>
              <w:rPr>
                <w:rFonts w:cs="Arial"/>
                <w:i/>
                <w:iCs/>
                <w:sz w:val="22"/>
                <w:szCs w:val="22"/>
              </w:rPr>
              <w:t xml:space="preserve">Journal </w:t>
            </w:r>
            <w:r>
              <w:rPr>
                <w:rFonts w:cs="Arial"/>
                <w:i/>
                <w:iCs/>
                <w:sz w:val="22"/>
                <w:szCs w:val="22"/>
              </w:rPr>
              <w:t>of mixed methods research</w:t>
            </w:r>
            <w:r>
              <w:rPr>
                <w:rFonts w:cs="Arial"/>
                <w:sz w:val="22"/>
                <w:szCs w:val="22"/>
              </w:rPr>
              <w:t>, 1(2), pp. 164-182.</w:t>
            </w:r>
          </w:p>
          <w:p w14:paraId="1FCDB319" w14:textId="77777777" w:rsidR="00541B6A" w:rsidRDefault="00702F4F">
            <w:pPr>
              <w:spacing w:afterLines="50" w:after="120"/>
              <w:rPr>
                <w:rFonts w:cs="Arial"/>
                <w:sz w:val="22"/>
                <w:szCs w:val="22"/>
              </w:rPr>
            </w:pPr>
            <w:r>
              <w:rPr>
                <w:rFonts w:cs="Arial"/>
                <w:sz w:val="22"/>
                <w:szCs w:val="22"/>
              </w:rPr>
              <w:t>National Bureau of Statistics. (2021) GDP in the cultural industry. Available at: http://www.stats.gov.cn/tjsj/zxfb/202112/t20211229_1825717.html. (Accessed 2 January 2022).</w:t>
            </w:r>
          </w:p>
          <w:p w14:paraId="315C815A" w14:textId="77777777" w:rsidR="00541B6A" w:rsidRDefault="00702F4F">
            <w:pPr>
              <w:spacing w:afterLines="50" w:after="120"/>
              <w:rPr>
                <w:rFonts w:cs="Arial"/>
                <w:sz w:val="22"/>
                <w:szCs w:val="22"/>
              </w:rPr>
            </w:pPr>
            <w:proofErr w:type="spellStart"/>
            <w:r>
              <w:rPr>
                <w:rFonts w:cs="Arial"/>
                <w:sz w:val="22"/>
                <w:szCs w:val="22"/>
              </w:rPr>
              <w:t>Orefice</w:t>
            </w:r>
            <w:proofErr w:type="spellEnd"/>
            <w:r>
              <w:rPr>
                <w:rFonts w:cs="Arial"/>
                <w:sz w:val="22"/>
                <w:szCs w:val="22"/>
              </w:rPr>
              <w:t>, C. and Nyarko, N. (2021). S</w:t>
            </w:r>
            <w:r>
              <w:rPr>
                <w:rFonts w:cs="Arial"/>
                <w:sz w:val="22"/>
                <w:szCs w:val="22"/>
              </w:rPr>
              <w:t xml:space="preserve">ustainable value creation in event ecosystems - a business models perspective. Journal of Sustainable Tourism, 29(11-12), 1932–1947. </w:t>
            </w:r>
          </w:p>
          <w:p w14:paraId="44DB272C" w14:textId="77777777" w:rsidR="00541B6A" w:rsidRDefault="00702F4F">
            <w:pPr>
              <w:spacing w:afterLines="50" w:after="120"/>
              <w:rPr>
                <w:rFonts w:cs="Arial"/>
                <w:sz w:val="22"/>
                <w:szCs w:val="22"/>
              </w:rPr>
            </w:pPr>
            <w:proofErr w:type="spellStart"/>
            <w:r>
              <w:rPr>
                <w:rFonts w:cs="Arial"/>
                <w:sz w:val="22"/>
                <w:szCs w:val="22"/>
              </w:rPr>
              <w:lastRenderedPageBreak/>
              <w:t>Oxfeld</w:t>
            </w:r>
            <w:proofErr w:type="spellEnd"/>
            <w:r>
              <w:rPr>
                <w:rFonts w:cs="Arial"/>
                <w:sz w:val="22"/>
                <w:szCs w:val="22"/>
              </w:rPr>
              <w:t xml:space="preserve">, E. (2017) </w:t>
            </w:r>
            <w:r>
              <w:rPr>
                <w:rFonts w:cs="Arial"/>
                <w:i/>
                <w:iCs/>
                <w:sz w:val="22"/>
                <w:szCs w:val="22"/>
              </w:rPr>
              <w:t>Bitter and Sweet: Food, Meaning, and Modernity in Rural China</w:t>
            </w:r>
            <w:r>
              <w:rPr>
                <w:rFonts w:cs="Arial"/>
                <w:sz w:val="22"/>
                <w:szCs w:val="22"/>
              </w:rPr>
              <w:t>. Oakland: University of California Press.</w:t>
            </w:r>
          </w:p>
          <w:p w14:paraId="267A95C8" w14:textId="77777777" w:rsidR="00541B6A" w:rsidRDefault="00702F4F">
            <w:pPr>
              <w:spacing w:afterLines="50" w:after="120"/>
              <w:rPr>
                <w:rFonts w:cs="Arial"/>
                <w:sz w:val="22"/>
                <w:szCs w:val="22"/>
              </w:rPr>
            </w:pPr>
            <w:r>
              <w:rPr>
                <w:rFonts w:cs="Arial"/>
                <w:sz w:val="22"/>
                <w:szCs w:val="22"/>
              </w:rPr>
              <w:t xml:space="preserve">Patton, M. Q. (2015). </w:t>
            </w:r>
            <w:r>
              <w:rPr>
                <w:rFonts w:cs="Arial"/>
                <w:i/>
                <w:iCs/>
                <w:sz w:val="22"/>
                <w:szCs w:val="22"/>
              </w:rPr>
              <w:t>Qualitative research and evaluation methods: Integrating theory and practice</w:t>
            </w:r>
            <w:r>
              <w:rPr>
                <w:rFonts w:cs="Arial"/>
                <w:sz w:val="22"/>
                <w:szCs w:val="22"/>
              </w:rPr>
              <w:t xml:space="preserve"> (4th edition). Thousand Oaks, CA: SAGE Publications.</w:t>
            </w:r>
          </w:p>
          <w:p w14:paraId="47D0E87B" w14:textId="77777777" w:rsidR="00541B6A" w:rsidRDefault="00702F4F">
            <w:pPr>
              <w:spacing w:afterLines="50" w:after="120"/>
              <w:rPr>
                <w:rFonts w:cs="Arial"/>
                <w:sz w:val="22"/>
                <w:szCs w:val="22"/>
              </w:rPr>
            </w:pPr>
            <w:r>
              <w:rPr>
                <w:rFonts w:cs="Arial"/>
                <w:sz w:val="22"/>
                <w:szCs w:val="22"/>
              </w:rPr>
              <w:t xml:space="preserve">Patzer, M., </w:t>
            </w:r>
            <w:proofErr w:type="spellStart"/>
            <w:r>
              <w:rPr>
                <w:rFonts w:cs="Arial"/>
                <w:sz w:val="22"/>
                <w:szCs w:val="22"/>
              </w:rPr>
              <w:t>Voegtlin</w:t>
            </w:r>
            <w:proofErr w:type="spellEnd"/>
            <w:r>
              <w:rPr>
                <w:rFonts w:cs="Arial"/>
                <w:sz w:val="22"/>
                <w:szCs w:val="22"/>
              </w:rPr>
              <w:t>, C., and Scherer, A. G. (2018) ‘The normative justification of integrative stakehol</w:t>
            </w:r>
            <w:r>
              <w:rPr>
                <w:rFonts w:cs="Arial"/>
                <w:sz w:val="22"/>
                <w:szCs w:val="22"/>
              </w:rPr>
              <w:t xml:space="preserve">der engagement: A </w:t>
            </w:r>
            <w:proofErr w:type="spellStart"/>
            <w:r>
              <w:rPr>
                <w:rFonts w:cs="Arial"/>
                <w:sz w:val="22"/>
                <w:szCs w:val="22"/>
              </w:rPr>
              <w:t>Habermasian</w:t>
            </w:r>
            <w:proofErr w:type="spellEnd"/>
            <w:r>
              <w:rPr>
                <w:rFonts w:cs="Arial"/>
                <w:sz w:val="22"/>
                <w:szCs w:val="22"/>
              </w:rPr>
              <w:t xml:space="preserve"> view on responsible leadership’. </w:t>
            </w:r>
            <w:r>
              <w:rPr>
                <w:rFonts w:cs="Arial"/>
                <w:i/>
                <w:iCs/>
                <w:sz w:val="22"/>
                <w:szCs w:val="22"/>
              </w:rPr>
              <w:t>Business Ethics Quarterly</w:t>
            </w:r>
            <w:r>
              <w:rPr>
                <w:rFonts w:cs="Arial"/>
                <w:sz w:val="22"/>
                <w:szCs w:val="22"/>
              </w:rPr>
              <w:t>, 28(3): pp. 325–354.</w:t>
            </w:r>
          </w:p>
          <w:p w14:paraId="347393D2" w14:textId="77777777" w:rsidR="00541B6A" w:rsidRDefault="00702F4F">
            <w:pPr>
              <w:spacing w:afterLines="50" w:after="120"/>
              <w:rPr>
                <w:rFonts w:cs="Arial"/>
                <w:sz w:val="22"/>
                <w:szCs w:val="22"/>
              </w:rPr>
            </w:pPr>
            <w:r>
              <w:rPr>
                <w:rFonts w:cs="Arial" w:hint="eastAsia"/>
                <w:sz w:val="22"/>
                <w:szCs w:val="22"/>
              </w:rPr>
              <w:t>Putnam, L. L., &amp; Sorenson, R. L. (1982). Equivocal messages in organizations. Human</w:t>
            </w:r>
            <w:r>
              <w:rPr>
                <w:rFonts w:eastAsia="SimSun" w:cs="Arial" w:hint="eastAsia"/>
                <w:sz w:val="22"/>
                <w:szCs w:val="22"/>
                <w:lang w:val="en-US" w:eastAsia="zh-CN"/>
              </w:rPr>
              <w:t xml:space="preserve"> </w:t>
            </w:r>
            <w:r>
              <w:rPr>
                <w:rFonts w:cs="Arial" w:hint="eastAsia"/>
                <w:sz w:val="22"/>
                <w:szCs w:val="22"/>
              </w:rPr>
              <w:t>Communication Research, 8(2), 114–132.</w:t>
            </w:r>
          </w:p>
          <w:p w14:paraId="50FAB0A9" w14:textId="77777777" w:rsidR="00541B6A" w:rsidRDefault="00702F4F">
            <w:pPr>
              <w:spacing w:afterLines="50" w:after="120"/>
              <w:rPr>
                <w:rFonts w:cs="Arial"/>
                <w:sz w:val="22"/>
                <w:szCs w:val="22"/>
              </w:rPr>
            </w:pPr>
            <w:r>
              <w:rPr>
                <w:rFonts w:cs="Arial"/>
                <w:sz w:val="22"/>
                <w:szCs w:val="22"/>
              </w:rPr>
              <w:t>Rashid, Y. et al. (2019</w:t>
            </w:r>
            <w:r>
              <w:rPr>
                <w:rFonts w:cs="Arial"/>
                <w:sz w:val="22"/>
                <w:szCs w:val="22"/>
              </w:rPr>
              <w:t xml:space="preserve">) ‘Case Study Method: A Step-by-Step Guide for Business Researchers’. </w:t>
            </w:r>
            <w:r>
              <w:rPr>
                <w:rFonts w:cs="Arial"/>
                <w:i/>
                <w:iCs/>
                <w:sz w:val="22"/>
                <w:szCs w:val="22"/>
              </w:rPr>
              <w:t>International Journal of Qualitative Methods</w:t>
            </w:r>
            <w:r>
              <w:rPr>
                <w:rFonts w:cs="Arial"/>
                <w:sz w:val="22"/>
                <w:szCs w:val="22"/>
              </w:rPr>
              <w:t>, 18, pp. 1-13.</w:t>
            </w:r>
          </w:p>
          <w:p w14:paraId="3C582746" w14:textId="77777777" w:rsidR="00541B6A" w:rsidRDefault="00702F4F">
            <w:pPr>
              <w:spacing w:afterLines="50" w:after="120"/>
              <w:rPr>
                <w:rFonts w:cs="Arial"/>
                <w:sz w:val="22"/>
                <w:szCs w:val="22"/>
              </w:rPr>
            </w:pPr>
            <w:proofErr w:type="spellStart"/>
            <w:r>
              <w:rPr>
                <w:rFonts w:cs="Arial"/>
                <w:sz w:val="22"/>
                <w:szCs w:val="22"/>
              </w:rPr>
              <w:t>Rosness</w:t>
            </w:r>
            <w:proofErr w:type="spellEnd"/>
            <w:r>
              <w:rPr>
                <w:rFonts w:cs="Arial"/>
                <w:sz w:val="22"/>
                <w:szCs w:val="22"/>
              </w:rPr>
              <w:t xml:space="preserve"> R, </w:t>
            </w:r>
            <w:proofErr w:type="spellStart"/>
            <w:r>
              <w:rPr>
                <w:rFonts w:cs="Arial"/>
                <w:sz w:val="22"/>
                <w:szCs w:val="22"/>
              </w:rPr>
              <w:t>Evjemo</w:t>
            </w:r>
            <w:proofErr w:type="spellEnd"/>
            <w:r>
              <w:rPr>
                <w:rFonts w:cs="Arial"/>
                <w:sz w:val="22"/>
                <w:szCs w:val="22"/>
              </w:rPr>
              <w:t xml:space="preserve"> TE, </w:t>
            </w:r>
            <w:proofErr w:type="spellStart"/>
            <w:r>
              <w:rPr>
                <w:rFonts w:cs="Arial"/>
                <w:sz w:val="22"/>
                <w:szCs w:val="22"/>
              </w:rPr>
              <w:t>Haavik</w:t>
            </w:r>
            <w:proofErr w:type="spellEnd"/>
            <w:r>
              <w:rPr>
                <w:rFonts w:cs="Arial"/>
                <w:sz w:val="22"/>
                <w:szCs w:val="22"/>
              </w:rPr>
              <w:t xml:space="preserve"> T, and </w:t>
            </w:r>
            <w:proofErr w:type="spellStart"/>
            <w:r>
              <w:rPr>
                <w:rFonts w:cs="Arial"/>
                <w:sz w:val="22"/>
                <w:szCs w:val="22"/>
              </w:rPr>
              <w:t>Wærø</w:t>
            </w:r>
            <w:proofErr w:type="spellEnd"/>
            <w:r>
              <w:rPr>
                <w:rFonts w:cs="Arial"/>
                <w:sz w:val="22"/>
                <w:szCs w:val="22"/>
              </w:rPr>
              <w:t xml:space="preserve"> I. (2016) ‘Prospective sensemaking in the operating theatre. Cognition’, </w:t>
            </w:r>
            <w:r>
              <w:rPr>
                <w:rFonts w:cs="Arial"/>
                <w:i/>
                <w:iCs/>
                <w:sz w:val="22"/>
                <w:szCs w:val="22"/>
              </w:rPr>
              <w:t>Technology &amp;</w:t>
            </w:r>
            <w:r>
              <w:rPr>
                <w:rFonts w:cs="Arial"/>
                <w:i/>
                <w:iCs/>
                <w:sz w:val="22"/>
                <w:szCs w:val="22"/>
              </w:rPr>
              <w:t xml:space="preserve"> Work</w:t>
            </w:r>
            <w:r>
              <w:rPr>
                <w:rFonts w:cs="Arial"/>
                <w:sz w:val="22"/>
                <w:szCs w:val="22"/>
              </w:rPr>
              <w:t xml:space="preserve"> 18(1): 53–69.</w:t>
            </w:r>
          </w:p>
          <w:p w14:paraId="1CE78724" w14:textId="77777777" w:rsidR="00541B6A" w:rsidRDefault="00702F4F">
            <w:pPr>
              <w:spacing w:afterLines="50" w:after="120"/>
              <w:rPr>
                <w:rFonts w:cs="Arial"/>
                <w:sz w:val="22"/>
                <w:szCs w:val="22"/>
              </w:rPr>
            </w:pPr>
            <w:r>
              <w:rPr>
                <w:rFonts w:cs="Arial"/>
                <w:sz w:val="22"/>
                <w:szCs w:val="22"/>
              </w:rPr>
              <w:t xml:space="preserve">Sandberg, J. and </w:t>
            </w:r>
            <w:proofErr w:type="spellStart"/>
            <w:r>
              <w:rPr>
                <w:rFonts w:cs="Arial"/>
                <w:sz w:val="22"/>
                <w:szCs w:val="22"/>
              </w:rPr>
              <w:t>Tsoukas</w:t>
            </w:r>
            <w:proofErr w:type="spellEnd"/>
            <w:r>
              <w:rPr>
                <w:rFonts w:cs="Arial"/>
                <w:sz w:val="22"/>
                <w:szCs w:val="22"/>
              </w:rPr>
              <w:t xml:space="preserve">, H. (2015) ‘Making sense of the sensemaking perspective: Its constituents, limitations, and opportunities for further development’. </w:t>
            </w:r>
            <w:r>
              <w:rPr>
                <w:rFonts w:cs="Arial"/>
                <w:i/>
                <w:iCs/>
                <w:sz w:val="22"/>
                <w:szCs w:val="22"/>
              </w:rPr>
              <w:t xml:space="preserve">Journal of Organizational </w:t>
            </w:r>
            <w:proofErr w:type="spellStart"/>
            <w:r>
              <w:rPr>
                <w:rFonts w:cs="Arial"/>
                <w:i/>
                <w:iCs/>
                <w:sz w:val="22"/>
                <w:szCs w:val="22"/>
              </w:rPr>
              <w:t>Behavior</w:t>
            </w:r>
            <w:proofErr w:type="spellEnd"/>
            <w:r>
              <w:rPr>
                <w:rFonts w:cs="Arial"/>
                <w:sz w:val="22"/>
                <w:szCs w:val="22"/>
              </w:rPr>
              <w:t>. 36(S1): S6–S32.</w:t>
            </w:r>
          </w:p>
          <w:p w14:paraId="79383A54" w14:textId="77777777" w:rsidR="00541B6A" w:rsidRDefault="00702F4F">
            <w:pPr>
              <w:spacing w:afterLines="50" w:after="120"/>
              <w:rPr>
                <w:rFonts w:cs="Arial"/>
                <w:sz w:val="22"/>
                <w:szCs w:val="22"/>
              </w:rPr>
            </w:pPr>
            <w:r>
              <w:rPr>
                <w:rFonts w:cs="Arial"/>
                <w:sz w:val="22"/>
                <w:szCs w:val="22"/>
              </w:rPr>
              <w:t>Saunders, M., Lewis, P., an</w:t>
            </w:r>
            <w:r>
              <w:rPr>
                <w:rFonts w:cs="Arial"/>
                <w:sz w:val="22"/>
                <w:szCs w:val="22"/>
              </w:rPr>
              <w:t xml:space="preserve">d </w:t>
            </w:r>
            <w:proofErr w:type="spellStart"/>
            <w:r>
              <w:rPr>
                <w:rFonts w:cs="Arial"/>
                <w:sz w:val="22"/>
                <w:szCs w:val="22"/>
              </w:rPr>
              <w:t>Thornill</w:t>
            </w:r>
            <w:proofErr w:type="spellEnd"/>
            <w:r>
              <w:rPr>
                <w:rFonts w:cs="Arial"/>
                <w:sz w:val="22"/>
                <w:szCs w:val="22"/>
              </w:rPr>
              <w:t xml:space="preserve">, A. (2016) </w:t>
            </w:r>
            <w:r>
              <w:rPr>
                <w:rFonts w:cs="Arial"/>
                <w:i/>
                <w:iCs/>
                <w:sz w:val="22"/>
                <w:szCs w:val="22"/>
              </w:rPr>
              <w:t>Research Methods for Business Students</w:t>
            </w:r>
            <w:r>
              <w:rPr>
                <w:rFonts w:cs="Arial"/>
                <w:sz w:val="22"/>
                <w:szCs w:val="22"/>
              </w:rPr>
              <w:t>, 7th ed. ed. Essex: Pearson.</w:t>
            </w:r>
          </w:p>
          <w:p w14:paraId="7D22A8F0" w14:textId="77777777" w:rsidR="00541B6A" w:rsidRDefault="00702F4F">
            <w:pPr>
              <w:spacing w:afterLines="50" w:after="120"/>
              <w:rPr>
                <w:rFonts w:cs="Arial"/>
                <w:sz w:val="22"/>
                <w:szCs w:val="22"/>
              </w:rPr>
            </w:pPr>
            <w:r>
              <w:rPr>
                <w:rFonts w:cs="Arial"/>
                <w:sz w:val="22"/>
                <w:szCs w:val="22"/>
              </w:rPr>
              <w:t xml:space="preserve">Schirmer, M. J. L., and Gilbert, D. U. (2020) ‘Creating Value by Sharing Values: Managing Stakeholder Value Conflict in the Face of Pluralism through Discursive Justification’. </w:t>
            </w:r>
            <w:r>
              <w:rPr>
                <w:rFonts w:cs="Arial"/>
                <w:i/>
                <w:iCs/>
                <w:sz w:val="22"/>
                <w:szCs w:val="22"/>
              </w:rPr>
              <w:t>Business Ethics Quarterly</w:t>
            </w:r>
            <w:r>
              <w:rPr>
                <w:rFonts w:cs="Arial"/>
                <w:sz w:val="22"/>
                <w:szCs w:val="22"/>
              </w:rPr>
              <w:t xml:space="preserve">, 12: pp. 1–36. </w:t>
            </w:r>
          </w:p>
          <w:p w14:paraId="35B80C47" w14:textId="77777777" w:rsidR="00541B6A" w:rsidRDefault="00702F4F">
            <w:pPr>
              <w:spacing w:afterLines="50" w:after="120"/>
              <w:rPr>
                <w:rFonts w:cs="Arial"/>
                <w:sz w:val="22"/>
                <w:szCs w:val="22"/>
              </w:rPr>
            </w:pPr>
            <w:r>
              <w:rPr>
                <w:rFonts w:cs="Arial"/>
                <w:sz w:val="22"/>
                <w:szCs w:val="22"/>
              </w:rPr>
              <w:t xml:space="preserve">Seeger, A. (1986) ‘The Role of Sound </w:t>
            </w:r>
            <w:r>
              <w:rPr>
                <w:rFonts w:cs="Arial"/>
                <w:sz w:val="22"/>
                <w:szCs w:val="22"/>
              </w:rPr>
              <w:t xml:space="preserve">Archives in Ethnomusicology Today’. </w:t>
            </w:r>
            <w:r>
              <w:rPr>
                <w:rFonts w:cs="Arial"/>
                <w:i/>
                <w:iCs/>
                <w:sz w:val="22"/>
                <w:szCs w:val="22"/>
              </w:rPr>
              <w:t>Ethnomusicology</w:t>
            </w:r>
            <w:r>
              <w:rPr>
                <w:rFonts w:cs="Arial"/>
                <w:sz w:val="22"/>
                <w:szCs w:val="22"/>
              </w:rPr>
              <w:t>. 30 (2): pp. 261-276.</w:t>
            </w:r>
          </w:p>
          <w:p w14:paraId="70BBDAD4" w14:textId="77777777" w:rsidR="00541B6A" w:rsidRDefault="00702F4F">
            <w:pPr>
              <w:spacing w:afterLines="50" w:after="120"/>
              <w:rPr>
                <w:rFonts w:cs="Arial"/>
                <w:sz w:val="22"/>
                <w:szCs w:val="22"/>
              </w:rPr>
            </w:pPr>
            <w:proofErr w:type="spellStart"/>
            <w:r>
              <w:rPr>
                <w:rFonts w:cs="Arial"/>
                <w:sz w:val="22"/>
                <w:szCs w:val="22"/>
              </w:rPr>
              <w:t>Skilton</w:t>
            </w:r>
            <w:proofErr w:type="spellEnd"/>
            <w:r>
              <w:rPr>
                <w:rFonts w:cs="Arial"/>
                <w:sz w:val="22"/>
                <w:szCs w:val="22"/>
              </w:rPr>
              <w:t xml:space="preserve">, P. F. and Purdy, J. M. (2017) ‘Authenticity, Power, and Pluralism: A Framework for Understanding Stakeholder Evaluations of Corporate Social Responsibility Activities. </w:t>
            </w:r>
            <w:r>
              <w:rPr>
                <w:rFonts w:cs="Arial"/>
                <w:i/>
                <w:iCs/>
                <w:sz w:val="22"/>
                <w:szCs w:val="22"/>
              </w:rPr>
              <w:t>Busin</w:t>
            </w:r>
            <w:r>
              <w:rPr>
                <w:rFonts w:cs="Arial"/>
                <w:i/>
                <w:iCs/>
                <w:sz w:val="22"/>
                <w:szCs w:val="22"/>
              </w:rPr>
              <w:t>ess Ethics Quarterly</w:t>
            </w:r>
            <w:r>
              <w:rPr>
                <w:rFonts w:cs="Arial"/>
                <w:sz w:val="22"/>
                <w:szCs w:val="22"/>
              </w:rPr>
              <w:t>, 27(1), 99–123. https://doi.org/10.1017/beq.2016.60</w:t>
            </w:r>
          </w:p>
          <w:p w14:paraId="71C6EB74" w14:textId="77777777" w:rsidR="00541B6A" w:rsidRDefault="00702F4F">
            <w:pPr>
              <w:spacing w:afterLines="50" w:after="120"/>
              <w:rPr>
                <w:rFonts w:cs="Arial"/>
                <w:sz w:val="22"/>
                <w:szCs w:val="22"/>
              </w:rPr>
            </w:pPr>
            <w:r>
              <w:rPr>
                <w:rFonts w:cs="Arial"/>
                <w:sz w:val="22"/>
                <w:szCs w:val="22"/>
              </w:rPr>
              <w:t xml:space="preserve">SOON, L.T. (2000) ‘Professional Chinese Opera Troupes and Street Opera Performance in Singapore’. </w:t>
            </w:r>
            <w:r>
              <w:rPr>
                <w:rFonts w:cs="Arial"/>
                <w:i/>
                <w:iCs/>
                <w:sz w:val="22"/>
                <w:szCs w:val="22"/>
              </w:rPr>
              <w:t>Asian music</w:t>
            </w:r>
            <w:r>
              <w:rPr>
                <w:rFonts w:cs="Arial"/>
                <w:sz w:val="22"/>
                <w:szCs w:val="22"/>
              </w:rPr>
              <w:t>. 31(2), pp. 35-70.</w:t>
            </w:r>
          </w:p>
          <w:p w14:paraId="7743A577" w14:textId="77777777" w:rsidR="00541B6A" w:rsidRDefault="00702F4F">
            <w:pPr>
              <w:spacing w:afterLines="50" w:after="120"/>
              <w:rPr>
                <w:rFonts w:cs="Arial"/>
                <w:sz w:val="22"/>
                <w:szCs w:val="22"/>
              </w:rPr>
            </w:pPr>
            <w:r>
              <w:rPr>
                <w:rFonts w:cs="Arial"/>
                <w:sz w:val="22"/>
                <w:szCs w:val="22"/>
              </w:rPr>
              <w:t xml:space="preserve">SOON, L.T. (2007) ‘Chinese Theatre, Confucianism, and </w:t>
            </w:r>
            <w:r>
              <w:rPr>
                <w:rFonts w:cs="Arial"/>
                <w:sz w:val="22"/>
                <w:szCs w:val="22"/>
              </w:rPr>
              <w:t xml:space="preserve">Nationalism: Amateur Chinese Opera Tradition in Singapore’. </w:t>
            </w:r>
            <w:r>
              <w:rPr>
                <w:rFonts w:cs="Arial"/>
                <w:i/>
                <w:iCs/>
                <w:sz w:val="22"/>
                <w:szCs w:val="22"/>
              </w:rPr>
              <w:t>Asian theatre journal</w:t>
            </w:r>
            <w:r>
              <w:rPr>
                <w:rFonts w:cs="Arial"/>
                <w:sz w:val="22"/>
                <w:szCs w:val="22"/>
              </w:rPr>
              <w:t>, 24(2), pp.397–421.</w:t>
            </w:r>
          </w:p>
          <w:p w14:paraId="792FCED2" w14:textId="77777777" w:rsidR="00541B6A" w:rsidRDefault="00702F4F">
            <w:pPr>
              <w:spacing w:afterLines="50" w:after="120"/>
              <w:rPr>
                <w:rFonts w:cs="Arial"/>
                <w:sz w:val="22"/>
                <w:szCs w:val="22"/>
              </w:rPr>
            </w:pPr>
            <w:proofErr w:type="spellStart"/>
            <w:r>
              <w:rPr>
                <w:rFonts w:cs="Arial"/>
                <w:sz w:val="22"/>
                <w:szCs w:val="22"/>
              </w:rPr>
              <w:t>Sørensen</w:t>
            </w:r>
            <w:proofErr w:type="spellEnd"/>
            <w:r>
              <w:rPr>
                <w:rFonts w:cs="Arial"/>
                <w:sz w:val="22"/>
                <w:szCs w:val="22"/>
              </w:rPr>
              <w:t xml:space="preserve">, F and </w:t>
            </w:r>
            <w:proofErr w:type="spellStart"/>
            <w:r>
              <w:rPr>
                <w:rFonts w:cs="Arial"/>
                <w:sz w:val="22"/>
                <w:szCs w:val="22"/>
              </w:rPr>
              <w:t>Grindsted</w:t>
            </w:r>
            <w:proofErr w:type="spellEnd"/>
            <w:r>
              <w:rPr>
                <w:rFonts w:cs="Arial"/>
                <w:sz w:val="22"/>
                <w:szCs w:val="22"/>
              </w:rPr>
              <w:t xml:space="preserve">, T. S. (2021). ‘Sustainability approaches and nature tourism development. </w:t>
            </w:r>
            <w:r>
              <w:rPr>
                <w:rFonts w:cs="Arial"/>
                <w:i/>
                <w:iCs/>
                <w:sz w:val="22"/>
                <w:szCs w:val="22"/>
              </w:rPr>
              <w:t>Annals of Tourism Research</w:t>
            </w:r>
            <w:r>
              <w:rPr>
                <w:rFonts w:cs="Arial"/>
                <w:sz w:val="22"/>
                <w:szCs w:val="22"/>
              </w:rPr>
              <w:t xml:space="preserve">, 91:103307–. </w:t>
            </w:r>
          </w:p>
          <w:p w14:paraId="3A1E5396" w14:textId="77777777" w:rsidR="00541B6A" w:rsidRDefault="00702F4F">
            <w:pPr>
              <w:spacing w:afterLines="50" w:after="120"/>
              <w:rPr>
                <w:rFonts w:cs="Arial"/>
                <w:sz w:val="22"/>
                <w:szCs w:val="22"/>
              </w:rPr>
            </w:pPr>
            <w:proofErr w:type="spellStart"/>
            <w:r>
              <w:rPr>
                <w:rFonts w:cs="Arial"/>
                <w:sz w:val="22"/>
                <w:szCs w:val="22"/>
              </w:rPr>
              <w:t>Sørensen</w:t>
            </w:r>
            <w:proofErr w:type="spellEnd"/>
            <w:r>
              <w:rPr>
                <w:rFonts w:cs="Arial"/>
                <w:sz w:val="22"/>
                <w:szCs w:val="22"/>
              </w:rPr>
              <w:t xml:space="preserve">, F. </w:t>
            </w:r>
            <w:r>
              <w:rPr>
                <w:rFonts w:cs="Arial"/>
                <w:sz w:val="22"/>
                <w:szCs w:val="22"/>
              </w:rPr>
              <w:t xml:space="preserve">and </w:t>
            </w:r>
            <w:proofErr w:type="spellStart"/>
            <w:r>
              <w:rPr>
                <w:rFonts w:cs="Arial"/>
                <w:sz w:val="22"/>
                <w:szCs w:val="22"/>
              </w:rPr>
              <w:t>Bærenholdt</w:t>
            </w:r>
            <w:proofErr w:type="spellEnd"/>
            <w:r>
              <w:rPr>
                <w:rFonts w:cs="Arial"/>
                <w:sz w:val="22"/>
                <w:szCs w:val="22"/>
              </w:rPr>
              <w:t>, J. O. (2020) ‘Tourist practices in the circular economy.</w:t>
            </w:r>
            <w:r>
              <w:rPr>
                <w:rFonts w:cs="Arial"/>
                <w:i/>
                <w:iCs/>
                <w:sz w:val="22"/>
                <w:szCs w:val="22"/>
              </w:rPr>
              <w:t xml:space="preserve"> Annals of Tourism Research</w:t>
            </w:r>
            <w:r>
              <w:rPr>
                <w:rFonts w:cs="Arial"/>
                <w:sz w:val="22"/>
                <w:szCs w:val="22"/>
              </w:rPr>
              <w:t xml:space="preserve">, 85: 103027. </w:t>
            </w:r>
          </w:p>
          <w:p w14:paraId="387980BA" w14:textId="77777777" w:rsidR="00541B6A" w:rsidRDefault="00702F4F">
            <w:pPr>
              <w:spacing w:afterLines="50" w:after="120"/>
              <w:rPr>
                <w:rFonts w:cs="Arial"/>
                <w:sz w:val="22"/>
                <w:szCs w:val="22"/>
              </w:rPr>
            </w:pPr>
            <w:proofErr w:type="spellStart"/>
            <w:r>
              <w:rPr>
                <w:rFonts w:cs="Arial"/>
                <w:sz w:val="22"/>
                <w:szCs w:val="22"/>
              </w:rPr>
              <w:t>Su</w:t>
            </w:r>
            <w:proofErr w:type="spellEnd"/>
            <w:r>
              <w:rPr>
                <w:rFonts w:cs="Arial"/>
                <w:sz w:val="22"/>
                <w:szCs w:val="22"/>
              </w:rPr>
              <w:t>, J. (2019). ‘Understanding the changing intangible cultural heritage in tourism commodification: The music player’s perspective from Lijian</w:t>
            </w:r>
            <w:r>
              <w:rPr>
                <w:rFonts w:cs="Arial"/>
                <w:sz w:val="22"/>
                <w:szCs w:val="22"/>
              </w:rPr>
              <w:t xml:space="preserve">g China. </w:t>
            </w:r>
            <w:r>
              <w:rPr>
                <w:rFonts w:cs="Arial"/>
                <w:i/>
                <w:iCs/>
                <w:sz w:val="22"/>
                <w:szCs w:val="22"/>
              </w:rPr>
              <w:t>Journal of Tourism and Cultural Change</w:t>
            </w:r>
            <w:r>
              <w:rPr>
                <w:rFonts w:cs="Arial"/>
                <w:sz w:val="22"/>
                <w:szCs w:val="22"/>
              </w:rPr>
              <w:t>, 17(3), pp. 247–268.</w:t>
            </w:r>
          </w:p>
          <w:p w14:paraId="284C343E" w14:textId="77777777" w:rsidR="00541B6A" w:rsidRDefault="00702F4F">
            <w:pPr>
              <w:spacing w:afterLines="50" w:after="120"/>
              <w:rPr>
                <w:rFonts w:cs="Arial"/>
                <w:sz w:val="22"/>
                <w:szCs w:val="22"/>
              </w:rPr>
            </w:pPr>
            <w:r>
              <w:rPr>
                <w:rFonts w:cs="Arial"/>
                <w:sz w:val="22"/>
                <w:szCs w:val="22"/>
              </w:rPr>
              <w:t xml:space="preserve">Teece, D. J. (2018) ‘Business models and dynamic capabilities’. </w:t>
            </w:r>
            <w:r>
              <w:rPr>
                <w:rFonts w:cs="Arial"/>
                <w:i/>
                <w:iCs/>
                <w:sz w:val="22"/>
                <w:szCs w:val="22"/>
              </w:rPr>
              <w:t>Long Range Planning</w:t>
            </w:r>
            <w:r>
              <w:rPr>
                <w:rFonts w:cs="Arial"/>
                <w:sz w:val="22"/>
                <w:szCs w:val="22"/>
              </w:rPr>
              <w:t>, 51(1), pp. 40–49. https://doi.org/10.1016/j.lrp.2017.06.007.</w:t>
            </w:r>
          </w:p>
          <w:p w14:paraId="0E7CEBBE" w14:textId="77777777" w:rsidR="00541B6A" w:rsidRDefault="00702F4F">
            <w:pPr>
              <w:spacing w:afterLines="50" w:after="120"/>
              <w:rPr>
                <w:rFonts w:cs="Arial"/>
                <w:sz w:val="22"/>
                <w:szCs w:val="22"/>
              </w:rPr>
            </w:pPr>
            <w:r>
              <w:rPr>
                <w:rFonts w:cs="Arial"/>
                <w:sz w:val="22"/>
                <w:szCs w:val="22"/>
              </w:rPr>
              <w:t xml:space="preserve">The Political Bureau of the CPC. (2000) </w:t>
            </w:r>
            <w:r>
              <w:rPr>
                <w:rFonts w:cs="Arial"/>
                <w:i/>
                <w:iCs/>
                <w:sz w:val="22"/>
                <w:szCs w:val="22"/>
              </w:rPr>
              <w:t>full text from the fifth plenary session of the 15th central committee</w:t>
            </w:r>
            <w:r>
              <w:rPr>
                <w:rFonts w:cs="Arial"/>
                <w:sz w:val="22"/>
                <w:szCs w:val="22"/>
              </w:rPr>
              <w:t xml:space="preserve">. Available at: https://www.chinanews.com.cn/2000-10-11/26/50225.html. (Accessed 2 January 2022). </w:t>
            </w:r>
          </w:p>
          <w:p w14:paraId="696C9ADB" w14:textId="77777777" w:rsidR="00541B6A" w:rsidRDefault="00702F4F">
            <w:pPr>
              <w:spacing w:afterLines="50" w:after="120"/>
              <w:rPr>
                <w:rFonts w:cs="Arial"/>
                <w:sz w:val="22"/>
                <w:szCs w:val="22"/>
              </w:rPr>
            </w:pPr>
            <w:r>
              <w:rPr>
                <w:rFonts w:cs="Arial"/>
                <w:sz w:val="22"/>
                <w:szCs w:val="22"/>
              </w:rPr>
              <w:lastRenderedPageBreak/>
              <w:t>The State Council the People's Republic of Chin</w:t>
            </w:r>
            <w:r>
              <w:rPr>
                <w:rFonts w:cs="Arial"/>
                <w:sz w:val="22"/>
                <w:szCs w:val="22"/>
              </w:rPr>
              <w:t xml:space="preserve">a. (2014) </w:t>
            </w:r>
            <w:r>
              <w:rPr>
                <w:rFonts w:cs="Arial"/>
                <w:i/>
                <w:iCs/>
                <w:sz w:val="22"/>
                <w:szCs w:val="22"/>
              </w:rPr>
              <w:t>Guiding opinions on promoting the development of Characteristic Cultural Industries</w:t>
            </w:r>
            <w:r>
              <w:rPr>
                <w:rFonts w:cs="Arial"/>
                <w:sz w:val="22"/>
                <w:szCs w:val="22"/>
              </w:rPr>
              <w:t>. Available at: http://www.gov.cn/xinwen/2014-08/26/content_2740021.htm. (Accessed 2 January 2022).</w:t>
            </w:r>
          </w:p>
          <w:p w14:paraId="067DC4AA" w14:textId="77777777" w:rsidR="00541B6A" w:rsidRDefault="00702F4F">
            <w:pPr>
              <w:spacing w:afterLines="50" w:after="120"/>
              <w:rPr>
                <w:rFonts w:cs="Arial"/>
                <w:sz w:val="22"/>
                <w:szCs w:val="22"/>
              </w:rPr>
            </w:pPr>
            <w:r>
              <w:rPr>
                <w:rFonts w:cs="Arial"/>
                <w:sz w:val="22"/>
                <w:szCs w:val="22"/>
              </w:rPr>
              <w:t xml:space="preserve">Van </w:t>
            </w:r>
            <w:proofErr w:type="spellStart"/>
            <w:r>
              <w:rPr>
                <w:rFonts w:cs="Arial"/>
                <w:sz w:val="22"/>
                <w:szCs w:val="22"/>
              </w:rPr>
              <w:t>Marrewijk</w:t>
            </w:r>
            <w:proofErr w:type="spellEnd"/>
            <w:r>
              <w:rPr>
                <w:rFonts w:cs="Arial"/>
                <w:sz w:val="22"/>
                <w:szCs w:val="22"/>
              </w:rPr>
              <w:t xml:space="preserve">, and </w:t>
            </w:r>
            <w:proofErr w:type="spellStart"/>
            <w:r>
              <w:rPr>
                <w:rFonts w:cs="Arial"/>
                <w:sz w:val="22"/>
                <w:szCs w:val="22"/>
              </w:rPr>
              <w:t>Werre</w:t>
            </w:r>
            <w:proofErr w:type="spellEnd"/>
            <w:r>
              <w:rPr>
                <w:rFonts w:cs="Arial"/>
                <w:sz w:val="22"/>
                <w:szCs w:val="22"/>
              </w:rPr>
              <w:t>, M. (2003) ‘Multiple Levels of Corpora</w:t>
            </w:r>
            <w:r>
              <w:rPr>
                <w:rFonts w:cs="Arial"/>
                <w:sz w:val="22"/>
                <w:szCs w:val="22"/>
              </w:rPr>
              <w:t xml:space="preserve">te Sustainability’. </w:t>
            </w:r>
            <w:r>
              <w:rPr>
                <w:rFonts w:cs="Arial"/>
                <w:i/>
                <w:iCs/>
                <w:sz w:val="22"/>
                <w:szCs w:val="22"/>
              </w:rPr>
              <w:t>Journal of Business Ethics</w:t>
            </w:r>
            <w:r>
              <w:rPr>
                <w:rFonts w:cs="Arial"/>
                <w:sz w:val="22"/>
                <w:szCs w:val="22"/>
              </w:rPr>
              <w:t>, 44(2/3), pp. 107–119. https://doi.org/10.1023/A:1023383229086.</w:t>
            </w:r>
          </w:p>
          <w:p w14:paraId="21EE5FF6" w14:textId="77777777" w:rsidR="00541B6A" w:rsidRDefault="00702F4F">
            <w:pPr>
              <w:spacing w:afterLines="50" w:after="120"/>
              <w:rPr>
                <w:rFonts w:cs="Arial"/>
                <w:sz w:val="22"/>
                <w:szCs w:val="22"/>
              </w:rPr>
            </w:pPr>
            <w:proofErr w:type="spellStart"/>
            <w:r>
              <w:rPr>
                <w:rFonts w:cs="Arial"/>
                <w:sz w:val="22"/>
                <w:szCs w:val="22"/>
              </w:rPr>
              <w:t>Vinokurova</w:t>
            </w:r>
            <w:proofErr w:type="spellEnd"/>
            <w:r>
              <w:rPr>
                <w:rFonts w:cs="Arial"/>
                <w:sz w:val="22"/>
                <w:szCs w:val="22"/>
              </w:rPr>
              <w:t xml:space="preserve">, N. (2019) ‘Reshaping demand landscapes: How firms change customer preferences to better fit their products’. </w:t>
            </w:r>
            <w:r>
              <w:rPr>
                <w:rFonts w:cs="Arial"/>
                <w:i/>
                <w:iCs/>
                <w:sz w:val="22"/>
                <w:szCs w:val="22"/>
              </w:rPr>
              <w:t>Strategic management jou</w:t>
            </w:r>
            <w:r>
              <w:rPr>
                <w:rFonts w:cs="Arial"/>
                <w:i/>
                <w:iCs/>
                <w:sz w:val="22"/>
                <w:szCs w:val="22"/>
              </w:rPr>
              <w:t>rnal</w:t>
            </w:r>
            <w:r>
              <w:rPr>
                <w:rFonts w:cs="Arial"/>
                <w:sz w:val="22"/>
                <w:szCs w:val="22"/>
              </w:rPr>
              <w:t>, 40(13), pp.2107–2137.</w:t>
            </w:r>
          </w:p>
          <w:p w14:paraId="50E42EAB" w14:textId="77777777" w:rsidR="00541B6A" w:rsidRDefault="00702F4F">
            <w:pPr>
              <w:spacing w:afterLines="50" w:after="120"/>
              <w:rPr>
                <w:rFonts w:cs="Arial"/>
                <w:sz w:val="22"/>
                <w:szCs w:val="22"/>
              </w:rPr>
            </w:pPr>
            <w:r>
              <w:rPr>
                <w:rFonts w:cs="Arial"/>
                <w:sz w:val="22"/>
                <w:szCs w:val="22"/>
              </w:rPr>
              <w:t>WANG, T., AGGARWAL, V.A. and WU, B. (2020) ‘Capability interactions and adaptation to demand</w:t>
            </w:r>
            <w:r>
              <w:rPr>
                <w:rFonts w:ascii="SimSun" w:eastAsia="SimSun" w:hAnsi="SimSun" w:cs="SimSun" w:hint="eastAsia"/>
                <w:sz w:val="22"/>
                <w:szCs w:val="22"/>
              </w:rPr>
              <w:t>‐</w:t>
            </w:r>
            <w:r>
              <w:rPr>
                <w:rFonts w:cs="Arial"/>
                <w:sz w:val="22"/>
                <w:szCs w:val="22"/>
              </w:rPr>
              <w:t xml:space="preserve">side change’. </w:t>
            </w:r>
            <w:r>
              <w:rPr>
                <w:rFonts w:cs="Arial"/>
                <w:i/>
                <w:iCs/>
                <w:sz w:val="22"/>
                <w:szCs w:val="22"/>
              </w:rPr>
              <w:t>Strategic Management Journal</w:t>
            </w:r>
            <w:r>
              <w:rPr>
                <w:rFonts w:cs="Arial"/>
                <w:sz w:val="22"/>
                <w:szCs w:val="22"/>
              </w:rPr>
              <w:t>, 41(9), pp. 1595-1627.</w:t>
            </w:r>
          </w:p>
          <w:p w14:paraId="5CDF28D7" w14:textId="77777777" w:rsidR="00541B6A" w:rsidRDefault="00702F4F">
            <w:pPr>
              <w:spacing w:afterLines="50" w:after="120"/>
              <w:rPr>
                <w:rFonts w:cs="Arial"/>
                <w:sz w:val="22"/>
                <w:szCs w:val="22"/>
              </w:rPr>
            </w:pPr>
            <w:r>
              <w:rPr>
                <w:rFonts w:cs="Arial"/>
                <w:sz w:val="22"/>
                <w:szCs w:val="22"/>
              </w:rPr>
              <w:t xml:space="preserve">Wei, S. (2018) ‘Media Review: Modern Faces of Taiwanese </w:t>
            </w:r>
            <w:proofErr w:type="spellStart"/>
            <w:r>
              <w:rPr>
                <w:rFonts w:cs="Arial"/>
                <w:sz w:val="22"/>
                <w:szCs w:val="22"/>
              </w:rPr>
              <w:t>Gezai</w:t>
            </w:r>
            <w:proofErr w:type="spellEnd"/>
            <w:r>
              <w:rPr>
                <w:rFonts w:cs="Arial"/>
                <w:sz w:val="22"/>
                <w:szCs w:val="22"/>
              </w:rPr>
              <w:t xml:space="preserve"> xi Oper</w:t>
            </w:r>
            <w:r>
              <w:rPr>
                <w:rFonts w:cs="Arial"/>
                <w:sz w:val="22"/>
                <w:szCs w:val="22"/>
              </w:rPr>
              <w:t xml:space="preserve">a: Two Plays by </w:t>
            </w:r>
            <w:proofErr w:type="spellStart"/>
            <w:r>
              <w:rPr>
                <w:rFonts w:cs="Arial"/>
                <w:sz w:val="22"/>
                <w:szCs w:val="22"/>
              </w:rPr>
              <w:t>Sunhope</w:t>
            </w:r>
            <w:proofErr w:type="spellEnd"/>
            <w:r>
              <w:rPr>
                <w:rFonts w:cs="Arial"/>
                <w:sz w:val="22"/>
                <w:szCs w:val="22"/>
              </w:rPr>
              <w:t xml:space="preserve"> Taiwanese Opera Troupe’. </w:t>
            </w:r>
            <w:r>
              <w:rPr>
                <w:rFonts w:cs="Arial"/>
                <w:i/>
                <w:iCs/>
                <w:sz w:val="22"/>
                <w:szCs w:val="22"/>
              </w:rPr>
              <w:t>CHINOPERL</w:t>
            </w:r>
            <w:r>
              <w:rPr>
                <w:rFonts w:cs="Arial"/>
                <w:sz w:val="22"/>
                <w:szCs w:val="22"/>
              </w:rPr>
              <w:t>, 37(2), pp. 171-177.</w:t>
            </w:r>
          </w:p>
          <w:p w14:paraId="782EAE52" w14:textId="77777777" w:rsidR="00541B6A" w:rsidRDefault="00702F4F">
            <w:pPr>
              <w:spacing w:afterLines="50" w:after="120"/>
              <w:rPr>
                <w:rFonts w:cs="Arial"/>
                <w:sz w:val="22"/>
                <w:szCs w:val="22"/>
              </w:rPr>
            </w:pPr>
            <w:r>
              <w:rPr>
                <w:rFonts w:cs="Arial"/>
                <w:sz w:val="22"/>
                <w:szCs w:val="22"/>
              </w:rPr>
              <w:t xml:space="preserve">Weick, E. K., Sutcliffe, K. M., and Obstfeld, D. (2005) ‘Organizing and the Process of Sensemaking’. </w:t>
            </w:r>
            <w:r>
              <w:rPr>
                <w:rFonts w:cs="Arial"/>
                <w:i/>
                <w:iCs/>
                <w:sz w:val="22"/>
                <w:szCs w:val="22"/>
              </w:rPr>
              <w:t>Organization Science</w:t>
            </w:r>
            <w:r>
              <w:rPr>
                <w:rFonts w:cs="Arial"/>
                <w:sz w:val="22"/>
                <w:szCs w:val="22"/>
              </w:rPr>
              <w:t xml:space="preserve"> (Providence, R.I.), 16(4), pp. 409–421. </w:t>
            </w:r>
          </w:p>
          <w:p w14:paraId="31E28769" w14:textId="77777777" w:rsidR="00541B6A" w:rsidRDefault="00702F4F">
            <w:pPr>
              <w:spacing w:afterLines="50" w:after="120"/>
              <w:rPr>
                <w:rFonts w:cs="Arial"/>
                <w:sz w:val="22"/>
                <w:szCs w:val="22"/>
              </w:rPr>
            </w:pPr>
            <w:r>
              <w:rPr>
                <w:rFonts w:cs="Arial"/>
                <w:sz w:val="22"/>
                <w:szCs w:val="22"/>
              </w:rPr>
              <w:t xml:space="preserve">Weick, K. E. </w:t>
            </w:r>
            <w:r>
              <w:rPr>
                <w:rFonts w:cs="Arial"/>
                <w:sz w:val="22"/>
                <w:szCs w:val="22"/>
              </w:rPr>
              <w:t xml:space="preserve">(1993) ‘The collapse of sensemaking in organizations: The Mann Gulch disaster’. </w:t>
            </w:r>
            <w:r>
              <w:rPr>
                <w:rFonts w:cs="Arial"/>
                <w:i/>
                <w:iCs/>
                <w:sz w:val="22"/>
                <w:szCs w:val="22"/>
              </w:rPr>
              <w:t>Administrative Science Quarterly</w:t>
            </w:r>
            <w:r>
              <w:rPr>
                <w:rFonts w:cs="Arial"/>
                <w:sz w:val="22"/>
                <w:szCs w:val="22"/>
              </w:rPr>
              <w:t>, 38: pp. 628–652.</w:t>
            </w:r>
          </w:p>
          <w:p w14:paraId="5A71984A" w14:textId="77777777" w:rsidR="00541B6A" w:rsidRDefault="00702F4F">
            <w:pPr>
              <w:spacing w:afterLines="50" w:after="120"/>
              <w:rPr>
                <w:rFonts w:cs="Arial"/>
                <w:sz w:val="22"/>
                <w:szCs w:val="22"/>
              </w:rPr>
            </w:pPr>
            <w:r>
              <w:rPr>
                <w:rFonts w:cs="Arial"/>
                <w:sz w:val="22"/>
                <w:szCs w:val="22"/>
              </w:rPr>
              <w:t xml:space="preserve">Weick, K. E., Sutcliffe, K. M., and Obstfeld, D. (2005) ‘Organizing and the process of sensemaking’. </w:t>
            </w:r>
            <w:r>
              <w:rPr>
                <w:rFonts w:cs="Arial"/>
                <w:i/>
                <w:iCs/>
                <w:sz w:val="22"/>
                <w:szCs w:val="22"/>
              </w:rPr>
              <w:t>Organization Science</w:t>
            </w:r>
            <w:r>
              <w:rPr>
                <w:rFonts w:cs="Arial"/>
                <w:sz w:val="22"/>
                <w:szCs w:val="22"/>
              </w:rPr>
              <w:t>, 16</w:t>
            </w:r>
            <w:r>
              <w:rPr>
                <w:rFonts w:cs="Arial"/>
                <w:sz w:val="22"/>
                <w:szCs w:val="22"/>
              </w:rPr>
              <w:t>: pp. 409–421.</w:t>
            </w:r>
          </w:p>
          <w:p w14:paraId="52EC4438" w14:textId="77777777" w:rsidR="00541B6A" w:rsidRDefault="00702F4F">
            <w:pPr>
              <w:spacing w:afterLines="50" w:after="120"/>
              <w:rPr>
                <w:rFonts w:cs="Arial"/>
                <w:sz w:val="22"/>
                <w:szCs w:val="22"/>
              </w:rPr>
            </w:pPr>
            <w:r>
              <w:rPr>
                <w:rFonts w:cs="Arial"/>
                <w:sz w:val="22"/>
                <w:szCs w:val="22"/>
              </w:rPr>
              <w:t xml:space="preserve">Weick, K.E. (1995) </w:t>
            </w:r>
            <w:r>
              <w:rPr>
                <w:rFonts w:cs="Arial"/>
                <w:i/>
                <w:iCs/>
                <w:sz w:val="22"/>
                <w:szCs w:val="22"/>
              </w:rPr>
              <w:t>Sensemaking in organizations</w:t>
            </w:r>
            <w:r>
              <w:rPr>
                <w:rFonts w:cs="Arial"/>
                <w:sz w:val="22"/>
                <w:szCs w:val="22"/>
              </w:rPr>
              <w:t>. Thousand Oaks, London, New Delhi: Sage.</w:t>
            </w:r>
          </w:p>
          <w:p w14:paraId="4D02036A" w14:textId="77777777" w:rsidR="00541B6A" w:rsidRDefault="00702F4F">
            <w:pPr>
              <w:spacing w:afterLines="50" w:after="120"/>
              <w:rPr>
                <w:rFonts w:cs="Arial"/>
                <w:sz w:val="22"/>
                <w:szCs w:val="22"/>
              </w:rPr>
            </w:pPr>
            <w:r>
              <w:rPr>
                <w:rFonts w:cs="Arial"/>
                <w:sz w:val="22"/>
                <w:szCs w:val="22"/>
              </w:rPr>
              <w:t xml:space="preserve">Whiteman, G. and Cooper, W. H. (2011) ‘ECOLOGICAL SENSEMAKING’. </w:t>
            </w:r>
            <w:r>
              <w:rPr>
                <w:rFonts w:cs="Arial"/>
                <w:i/>
                <w:iCs/>
                <w:sz w:val="22"/>
                <w:szCs w:val="22"/>
              </w:rPr>
              <w:t>Academy of Management Journal</w:t>
            </w:r>
            <w:r>
              <w:rPr>
                <w:rFonts w:cs="Arial"/>
                <w:sz w:val="22"/>
                <w:szCs w:val="22"/>
              </w:rPr>
              <w:t>, 54(5), pp. 889–911. https://doi.org/10.5465/amj.2008.0843</w:t>
            </w:r>
            <w:r>
              <w:rPr>
                <w:rFonts w:cs="Arial"/>
                <w:sz w:val="22"/>
                <w:szCs w:val="22"/>
              </w:rPr>
              <w:t>.</w:t>
            </w:r>
          </w:p>
          <w:p w14:paraId="6149E900" w14:textId="77777777" w:rsidR="00541B6A" w:rsidRDefault="00702F4F">
            <w:pPr>
              <w:spacing w:afterLines="50" w:after="120"/>
              <w:rPr>
                <w:rFonts w:eastAsia="SimSun" w:cs="Arial"/>
                <w:color w:val="222222"/>
                <w:sz w:val="22"/>
                <w:szCs w:val="22"/>
                <w:shd w:val="clear" w:color="auto" w:fill="FFFFFF"/>
                <w:lang w:val="en-US" w:eastAsia="zh-CN"/>
              </w:rPr>
            </w:pPr>
            <w:r>
              <w:rPr>
                <w:rFonts w:eastAsia="SimSun" w:cs="Arial" w:hint="eastAsia"/>
                <w:color w:val="222222"/>
                <w:sz w:val="22"/>
                <w:szCs w:val="22"/>
                <w:shd w:val="clear" w:color="auto" w:fill="FFFFFF"/>
                <w:lang w:val="en-US" w:eastAsia="zh-CN"/>
              </w:rPr>
              <w:t>Wu, X. (2016)</w:t>
            </w:r>
            <w:r>
              <w:rPr>
                <w:rFonts w:eastAsia="SimSun" w:cs="Arial" w:hint="eastAsia"/>
                <w:i/>
                <w:iCs/>
                <w:color w:val="222222"/>
                <w:sz w:val="22"/>
                <w:szCs w:val="22"/>
                <w:shd w:val="clear" w:color="auto" w:fill="FFFFFF"/>
                <w:lang w:val="en-US" w:eastAsia="zh-CN"/>
              </w:rPr>
              <w:t xml:space="preserve"> Contemporary Chinese Rural Reform</w:t>
            </w:r>
            <w:r>
              <w:rPr>
                <w:rFonts w:eastAsia="SimSun" w:cs="Arial" w:hint="eastAsia"/>
                <w:color w:val="222222"/>
                <w:sz w:val="22"/>
                <w:szCs w:val="22"/>
                <w:shd w:val="clear" w:color="auto" w:fill="FFFFFF"/>
                <w:lang w:val="en-US" w:eastAsia="zh-CN"/>
              </w:rPr>
              <w:t>. Singapore, Heidelberg, New York, Dordrecht,  London: Springer.</w:t>
            </w:r>
          </w:p>
          <w:p w14:paraId="6B7C89A0" w14:textId="77777777" w:rsidR="00541B6A" w:rsidRDefault="00541B6A">
            <w:pPr>
              <w:rPr>
                <w:rFonts w:eastAsia="SimSun" w:cs="Arial"/>
                <w:sz w:val="22"/>
                <w:szCs w:val="22"/>
                <w:lang w:val="en-US" w:eastAsia="zh-CN"/>
              </w:rPr>
            </w:pPr>
          </w:p>
        </w:tc>
      </w:tr>
      <w:tr w:rsidR="00541B6A" w14:paraId="2CDB8ABE" w14:textId="77777777">
        <w:trPr>
          <w:trHeight w:val="397"/>
        </w:trPr>
        <w:tc>
          <w:tcPr>
            <w:tcW w:w="9781" w:type="dxa"/>
            <w:shd w:val="clear" w:color="auto" w:fill="F2F2F2" w:themeFill="background1" w:themeFillShade="F2"/>
            <w:vAlign w:val="center"/>
          </w:tcPr>
          <w:p w14:paraId="013D6F18" w14:textId="77777777" w:rsidR="00541B6A" w:rsidRDefault="00702F4F">
            <w:pPr>
              <w:rPr>
                <w:rFonts w:cs="Arial"/>
                <w:sz w:val="22"/>
                <w:szCs w:val="22"/>
              </w:rPr>
            </w:pPr>
            <w:r>
              <w:rPr>
                <w:rFonts w:cs="Arial"/>
                <w:sz w:val="22"/>
                <w:szCs w:val="22"/>
              </w:rPr>
              <w:lastRenderedPageBreak/>
              <w:t>Facilities and resources available for the investigation: please indicate if you expect to need any special resources</w:t>
            </w:r>
          </w:p>
        </w:tc>
      </w:tr>
      <w:tr w:rsidR="00541B6A" w14:paraId="56641C68" w14:textId="77777777">
        <w:trPr>
          <w:trHeight w:val="397"/>
        </w:trPr>
        <w:tc>
          <w:tcPr>
            <w:tcW w:w="9781" w:type="dxa"/>
            <w:vAlign w:val="center"/>
          </w:tcPr>
          <w:p w14:paraId="7D665624" w14:textId="77777777" w:rsidR="00541B6A" w:rsidRDefault="00541B6A">
            <w:pPr>
              <w:rPr>
                <w:rFonts w:cs="Arial"/>
                <w:sz w:val="22"/>
                <w:szCs w:val="22"/>
              </w:rPr>
            </w:pPr>
          </w:p>
          <w:p w14:paraId="5A03947B" w14:textId="77777777" w:rsidR="00541B6A" w:rsidRDefault="00702F4F">
            <w:pPr>
              <w:spacing w:line="360" w:lineRule="auto"/>
              <w:rPr>
                <w:rFonts w:eastAsiaTheme="minorEastAsia" w:cs="Arial"/>
                <w:sz w:val="22"/>
                <w:szCs w:val="22"/>
                <w:lang w:eastAsia="zh-CN"/>
              </w:rPr>
            </w:pPr>
            <w:r>
              <w:rPr>
                <w:rFonts w:eastAsiaTheme="minorEastAsia" w:cs="Arial"/>
                <w:sz w:val="22"/>
                <w:szCs w:val="22"/>
                <w:lang w:eastAsia="zh-CN"/>
              </w:rPr>
              <w:t>My research will be conducted in Fuzhou city located in southeast China where I live and there are two representative troupes chosen in my survey, which are both in the same city. Therefore, there is no long-distance travel in the process demanding much mo</w:t>
            </w:r>
            <w:r>
              <w:rPr>
                <w:rFonts w:eastAsiaTheme="minorEastAsia" w:cs="Arial"/>
                <w:sz w:val="22"/>
                <w:szCs w:val="22"/>
                <w:lang w:eastAsia="zh-CN"/>
              </w:rPr>
              <w:t xml:space="preserve">ney. Of course, I will consider ethical standards in the process of research, preparing relevant documentation beforehand to gain </w:t>
            </w:r>
            <w:r>
              <w:rPr>
                <w:rFonts w:cs="Arial"/>
                <w:sz w:val="22"/>
                <w:szCs w:val="22"/>
              </w:rPr>
              <w:t>permission</w:t>
            </w:r>
            <w:r>
              <w:rPr>
                <w:rFonts w:eastAsiaTheme="minorEastAsia" w:cs="Arial"/>
                <w:sz w:val="22"/>
                <w:szCs w:val="22"/>
                <w:lang w:eastAsia="zh-CN"/>
              </w:rPr>
              <w:t xml:space="preserve"> and trust from the managers in these troupes and organizations. In the literature part, I need to read electronic r</w:t>
            </w:r>
            <w:r>
              <w:rPr>
                <w:rFonts w:eastAsiaTheme="minorEastAsia" w:cs="Arial"/>
                <w:sz w:val="22"/>
                <w:szCs w:val="22"/>
                <w:lang w:eastAsia="zh-CN"/>
              </w:rPr>
              <w:t>esources written in English and Chinese from the libraries of UWTSD and my current working university. For the data analysis, I will need assistance from the IT department to get the license of NVivo, SPSS, and AMO. Finally, I will follow supervisors' advi</w:t>
            </w:r>
            <w:r>
              <w:rPr>
                <w:rFonts w:eastAsiaTheme="minorEastAsia" w:cs="Arial"/>
                <w:sz w:val="22"/>
                <w:szCs w:val="22"/>
                <w:lang w:eastAsia="zh-CN"/>
              </w:rPr>
              <w:t>ce and keep the same step with them.</w:t>
            </w:r>
          </w:p>
        </w:tc>
      </w:tr>
    </w:tbl>
    <w:p w14:paraId="59A2A6EF" w14:textId="77777777" w:rsidR="00541B6A" w:rsidRDefault="00541B6A">
      <w:pPr>
        <w:rPr>
          <w:rFonts w:cs="Arial"/>
          <w:sz w:val="22"/>
          <w:szCs w:val="22"/>
        </w:rPr>
      </w:pPr>
    </w:p>
    <w:p w14:paraId="4FEB00E8" w14:textId="77777777" w:rsidR="00541B6A" w:rsidRDefault="00541B6A">
      <w:pPr>
        <w:rPr>
          <w:rFonts w:cs="Arial"/>
          <w:sz w:val="22"/>
          <w:szCs w:val="22"/>
        </w:rPr>
      </w:pPr>
    </w:p>
    <w:p w14:paraId="058E9535" w14:textId="77777777" w:rsidR="00541B6A" w:rsidRDefault="00541B6A">
      <w:pPr>
        <w:rPr>
          <w:rFonts w:cs="Arial"/>
          <w:sz w:val="22"/>
          <w:szCs w:val="22"/>
        </w:rPr>
      </w:pPr>
    </w:p>
    <w:p w14:paraId="49FECC53" w14:textId="77777777" w:rsidR="00541B6A" w:rsidRDefault="00541B6A">
      <w:pPr>
        <w:rPr>
          <w:rFonts w:cs="Arial"/>
          <w:sz w:val="22"/>
          <w:szCs w:val="22"/>
        </w:rPr>
      </w:pPr>
    </w:p>
    <w:p w14:paraId="4EF15D39" w14:textId="77777777" w:rsidR="00541B6A" w:rsidRDefault="00541B6A">
      <w:pPr>
        <w:rPr>
          <w:rFonts w:cs="Arial"/>
          <w:sz w:val="22"/>
          <w:szCs w:val="22"/>
        </w:rPr>
      </w:pPr>
    </w:p>
    <w:p w14:paraId="1C924214" w14:textId="77777777" w:rsidR="00541B6A" w:rsidRDefault="00541B6A">
      <w:pPr>
        <w:rPr>
          <w:rFonts w:cs="Arial"/>
          <w:sz w:val="22"/>
          <w:szCs w:val="22"/>
        </w:rPr>
      </w:pPr>
    </w:p>
    <w:p w14:paraId="31FDC219" w14:textId="77777777" w:rsidR="00541B6A" w:rsidRDefault="00541B6A">
      <w:pPr>
        <w:rPr>
          <w:rFonts w:cs="Arial"/>
          <w:sz w:val="22"/>
          <w:szCs w:val="22"/>
        </w:rPr>
      </w:pPr>
    </w:p>
    <w:p w14:paraId="6F0C01D6" w14:textId="77777777" w:rsidR="00541B6A" w:rsidRDefault="00541B6A">
      <w:pPr>
        <w:rPr>
          <w:rFonts w:cs="Arial"/>
          <w:sz w:val="22"/>
          <w:szCs w:val="22"/>
        </w:rPr>
      </w:pPr>
    </w:p>
    <w:p w14:paraId="3AAF56E5" w14:textId="77777777" w:rsidR="00541B6A" w:rsidRDefault="00541B6A">
      <w:pPr>
        <w:rPr>
          <w:rFonts w:cs="Arial"/>
          <w:sz w:val="22"/>
          <w:szCs w:val="22"/>
        </w:rPr>
      </w:pPr>
    </w:p>
    <w:p w14:paraId="73A5553F" w14:textId="77777777" w:rsidR="00541B6A" w:rsidRDefault="00702F4F">
      <w:pPr>
        <w:rPr>
          <w:rFonts w:cs="Arial"/>
          <w:b/>
          <w:sz w:val="22"/>
          <w:szCs w:val="22"/>
        </w:rPr>
      </w:pPr>
      <w:r>
        <w:rPr>
          <w:rFonts w:cs="Arial"/>
          <w:b/>
          <w:sz w:val="22"/>
          <w:szCs w:val="22"/>
        </w:rPr>
        <w:t>Intellectual Property IP</w:t>
      </w:r>
    </w:p>
    <w:p w14:paraId="28C44BB9" w14:textId="77777777" w:rsidR="00541B6A" w:rsidRDefault="00702F4F">
      <w:pPr>
        <w:rPr>
          <w:rFonts w:cs="Arial"/>
          <w:b/>
          <w:sz w:val="22"/>
          <w:szCs w:val="22"/>
        </w:rPr>
      </w:pPr>
      <w:r>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541B6A" w14:paraId="5D6192F7" w14:textId="77777777">
        <w:trPr>
          <w:trHeight w:val="427"/>
        </w:trPr>
        <w:tc>
          <w:tcPr>
            <w:tcW w:w="9781" w:type="dxa"/>
            <w:gridSpan w:val="3"/>
            <w:tcBorders>
              <w:top w:val="nil"/>
              <w:left w:val="nil"/>
              <w:bottom w:val="nil"/>
              <w:right w:val="nil"/>
            </w:tcBorders>
            <w:shd w:val="clear" w:color="auto" w:fill="auto"/>
          </w:tcPr>
          <w:p w14:paraId="0D99B92C" w14:textId="77777777" w:rsidR="00541B6A" w:rsidRDefault="00702F4F">
            <w:pPr>
              <w:jc w:val="right"/>
              <w:rPr>
                <w:rFonts w:cs="Arial"/>
                <w:b/>
              </w:rPr>
            </w:pPr>
            <w:r>
              <w:rPr>
                <w:rFonts w:cs="Arial"/>
                <w:b/>
              </w:rPr>
              <w:t xml:space="preserve">Tick </w:t>
            </w:r>
            <w:r>
              <w:rPr>
                <w:rFonts w:ascii="Agency FB" w:hAnsi="Agency FB" w:cs="Arial"/>
                <w:b/>
              </w:rPr>
              <w:t>√</w:t>
            </w:r>
          </w:p>
        </w:tc>
      </w:tr>
      <w:tr w:rsidR="00541B6A" w14:paraId="568D8C2D" w14:textId="77777777">
        <w:trPr>
          <w:trHeight w:val="427"/>
        </w:trPr>
        <w:tc>
          <w:tcPr>
            <w:tcW w:w="6946" w:type="dxa"/>
            <w:tcBorders>
              <w:top w:val="nil"/>
              <w:left w:val="nil"/>
              <w:bottom w:val="single" w:sz="4" w:space="0" w:color="auto"/>
              <w:right w:val="single" w:sz="4" w:space="0" w:color="auto"/>
            </w:tcBorders>
            <w:shd w:val="clear" w:color="auto" w:fill="FFFFFF" w:themeFill="background1"/>
          </w:tcPr>
          <w:p w14:paraId="03500099" w14:textId="77777777" w:rsidR="00541B6A" w:rsidRDefault="00541B6A">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2F33B284" w14:textId="77777777" w:rsidR="00541B6A" w:rsidRDefault="00702F4F">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6D544FFD" w14:textId="77777777" w:rsidR="00541B6A" w:rsidRDefault="00702F4F">
            <w:pPr>
              <w:rPr>
                <w:rFonts w:cs="Arial"/>
                <w:sz w:val="22"/>
                <w:szCs w:val="22"/>
              </w:rPr>
            </w:pPr>
            <w:r>
              <w:rPr>
                <w:rFonts w:cs="Arial"/>
                <w:sz w:val="22"/>
                <w:szCs w:val="22"/>
              </w:rPr>
              <w:t>NO</w:t>
            </w:r>
          </w:p>
        </w:tc>
      </w:tr>
      <w:tr w:rsidR="00541B6A" w14:paraId="57966D2F" w14:textId="77777777">
        <w:trPr>
          <w:trHeight w:val="427"/>
        </w:trPr>
        <w:tc>
          <w:tcPr>
            <w:tcW w:w="6946" w:type="dxa"/>
            <w:tcBorders>
              <w:top w:val="single" w:sz="4" w:space="0" w:color="auto"/>
            </w:tcBorders>
            <w:shd w:val="clear" w:color="auto" w:fill="F2F2F2" w:themeFill="background1" w:themeFillShade="F2"/>
          </w:tcPr>
          <w:p w14:paraId="0F479083" w14:textId="77777777" w:rsidR="00541B6A" w:rsidRDefault="00702F4F">
            <w:pPr>
              <w:rPr>
                <w:rFonts w:cs="Arial"/>
                <w:sz w:val="22"/>
                <w:szCs w:val="22"/>
              </w:rPr>
            </w:pPr>
            <w:r>
              <w:rPr>
                <w:sz w:val="22"/>
              </w:rPr>
              <w:t xml:space="preserve">Is the IP already subject to a separate agreement with a third </w:t>
            </w:r>
            <w:r>
              <w:rPr>
                <w:sz w:val="22"/>
              </w:rPr>
              <w:t>party (e.g. employer, sponsor, or external funder)? If so please provide details below</w:t>
            </w:r>
          </w:p>
        </w:tc>
        <w:sdt>
          <w:sdtPr>
            <w:rPr>
              <w:rFonts w:cs="Arial"/>
              <w:sz w:val="22"/>
              <w:szCs w:val="22"/>
            </w:rPr>
            <w:id w:val="1557745169"/>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477FB639" w14:textId="77777777" w:rsidR="00541B6A" w:rsidRDefault="00702F4F">
                <w:pPr>
                  <w:jc w:val="center"/>
                  <w:rPr>
                    <w:rFonts w:cs="Arial"/>
                    <w:sz w:val="22"/>
                    <w:szCs w:val="22"/>
                  </w:rPr>
                </w:pPr>
                <w:r>
                  <w:rPr>
                    <w:rFonts w:ascii="MS Gothic" w:eastAsia="MS Gothic" w:hAnsi="MS Gothic" w:cs="Arial"/>
                    <w:sz w:val="22"/>
                    <w:szCs w:val="22"/>
                  </w:rPr>
                  <w:t>☐</w:t>
                </w:r>
              </w:p>
            </w:tc>
          </w:sdtContent>
        </w:sdt>
        <w:tc>
          <w:tcPr>
            <w:tcW w:w="1417" w:type="dxa"/>
            <w:tcBorders>
              <w:top w:val="single" w:sz="4" w:space="0" w:color="auto"/>
            </w:tcBorders>
            <w:shd w:val="clear" w:color="auto" w:fill="auto"/>
          </w:tcPr>
          <w:p w14:paraId="097E913C" w14:textId="77777777" w:rsidR="00541B6A" w:rsidRDefault="00702F4F">
            <w:pPr>
              <w:jc w:val="center"/>
              <w:rPr>
                <w:rFonts w:cs="Arial"/>
                <w:sz w:val="22"/>
                <w:szCs w:val="22"/>
              </w:rPr>
            </w:pPr>
            <w:r>
              <w:rPr>
                <w:rFonts w:ascii="Agency FB" w:hAnsi="Agency FB" w:cs="Arial"/>
                <w:b/>
              </w:rPr>
              <w:t>√</w:t>
            </w:r>
          </w:p>
        </w:tc>
      </w:tr>
      <w:tr w:rsidR="00541B6A" w14:paraId="228CEEDA" w14:textId="77777777">
        <w:trPr>
          <w:trHeight w:val="572"/>
        </w:trPr>
        <w:tc>
          <w:tcPr>
            <w:tcW w:w="6946" w:type="dxa"/>
            <w:shd w:val="clear" w:color="auto" w:fill="F2F2F2" w:themeFill="background1" w:themeFillShade="F2"/>
          </w:tcPr>
          <w:p w14:paraId="40E77B5E" w14:textId="77777777" w:rsidR="00541B6A" w:rsidRDefault="00702F4F">
            <w:pPr>
              <w:rPr>
                <w:sz w:val="22"/>
              </w:rPr>
            </w:pPr>
            <w:r>
              <w:rPr>
                <w:sz w:val="22"/>
              </w:rPr>
              <w:t xml:space="preserve">Is the research dependent upon background IP owned by: </w:t>
            </w:r>
          </w:p>
          <w:p w14:paraId="0B749015" w14:textId="77777777" w:rsidR="00541B6A" w:rsidRDefault="00702F4F">
            <w:pPr>
              <w:rPr>
                <w:rFonts w:cs="Arial"/>
                <w:sz w:val="22"/>
                <w:szCs w:val="22"/>
              </w:rPr>
            </w:pPr>
            <w:r>
              <w:rPr>
                <w:sz w:val="22"/>
              </w:rPr>
              <w:t>If so, please provide details below</w:t>
            </w:r>
          </w:p>
        </w:tc>
        <w:tc>
          <w:tcPr>
            <w:tcW w:w="1418" w:type="dxa"/>
            <w:shd w:val="clear" w:color="auto" w:fill="auto"/>
          </w:tcPr>
          <w:p w14:paraId="11C81B52" w14:textId="77777777" w:rsidR="00541B6A" w:rsidRDefault="00702F4F">
            <w:pPr>
              <w:jc w:val="center"/>
              <w:rPr>
                <w:sz w:val="22"/>
              </w:rPr>
            </w:pPr>
            <w:r>
              <w:rPr>
                <w:sz w:val="22"/>
              </w:rPr>
              <w:t>UWTSD</w:t>
            </w:r>
          </w:p>
          <w:sdt>
            <w:sdtPr>
              <w:rPr>
                <w:rFonts w:cs="Arial"/>
                <w:sz w:val="22"/>
                <w:szCs w:val="22"/>
              </w:rPr>
              <w:id w:val="123590131"/>
              <w14:checkbox>
                <w14:checked w14:val="0"/>
                <w14:checkedState w14:val="2612" w14:font="MS Gothic"/>
                <w14:uncheckedState w14:val="2610" w14:font="MS Gothic"/>
              </w14:checkbox>
            </w:sdtPr>
            <w:sdtEndPr/>
            <w:sdtContent>
              <w:p w14:paraId="44CCDA47" w14:textId="77777777" w:rsidR="00541B6A" w:rsidRDefault="00702F4F">
                <w:pPr>
                  <w:jc w:val="center"/>
                  <w:rPr>
                    <w:rFonts w:cs="Arial"/>
                    <w:sz w:val="22"/>
                    <w:szCs w:val="22"/>
                  </w:rPr>
                </w:pPr>
                <w:r>
                  <w:rPr>
                    <w:rFonts w:ascii="MS Gothic" w:eastAsia="MS Gothic" w:hAnsi="MS Gothic" w:cs="Arial"/>
                    <w:sz w:val="22"/>
                    <w:szCs w:val="22"/>
                  </w:rPr>
                  <w:t>☐</w:t>
                </w:r>
              </w:p>
            </w:sdtContent>
          </w:sdt>
        </w:tc>
        <w:tc>
          <w:tcPr>
            <w:tcW w:w="1417" w:type="dxa"/>
            <w:shd w:val="clear" w:color="auto" w:fill="auto"/>
          </w:tcPr>
          <w:p w14:paraId="01DEA632" w14:textId="77777777" w:rsidR="00541B6A" w:rsidRDefault="00702F4F">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EndPr/>
            <w:sdtContent>
              <w:p w14:paraId="559A7BD1" w14:textId="77777777" w:rsidR="00541B6A" w:rsidRDefault="00702F4F">
                <w:pPr>
                  <w:jc w:val="center"/>
                  <w:rPr>
                    <w:rFonts w:cs="Arial"/>
                    <w:sz w:val="22"/>
                    <w:szCs w:val="22"/>
                  </w:rPr>
                </w:pPr>
                <w:r>
                  <w:rPr>
                    <w:rFonts w:ascii="MS Gothic" w:eastAsia="MS Gothic" w:hAnsi="MS Gothic" w:cs="Arial"/>
                    <w:sz w:val="22"/>
                    <w:szCs w:val="22"/>
                  </w:rPr>
                  <w:t>☐</w:t>
                </w:r>
              </w:p>
            </w:sdtContent>
          </w:sdt>
        </w:tc>
      </w:tr>
      <w:tr w:rsidR="00541B6A" w14:paraId="7D959D88" w14:textId="77777777">
        <w:trPr>
          <w:trHeight w:val="572"/>
        </w:trPr>
        <w:tc>
          <w:tcPr>
            <w:tcW w:w="9781" w:type="dxa"/>
            <w:gridSpan w:val="3"/>
            <w:shd w:val="clear" w:color="auto" w:fill="auto"/>
          </w:tcPr>
          <w:p w14:paraId="13B3D739" w14:textId="77777777" w:rsidR="00541B6A" w:rsidRDefault="00702F4F">
            <w:pPr>
              <w:rPr>
                <w:i/>
                <w:sz w:val="18"/>
                <w:szCs w:val="18"/>
              </w:rPr>
            </w:pPr>
            <w:r>
              <w:rPr>
                <w:i/>
                <w:sz w:val="18"/>
                <w:szCs w:val="18"/>
              </w:rPr>
              <w:t>Text box will expand</w:t>
            </w:r>
          </w:p>
          <w:p w14:paraId="755457C2" w14:textId="77777777" w:rsidR="00541B6A" w:rsidRDefault="00541B6A">
            <w:pPr>
              <w:rPr>
                <w:sz w:val="18"/>
                <w:szCs w:val="18"/>
              </w:rPr>
            </w:pPr>
          </w:p>
          <w:p w14:paraId="3FB79434" w14:textId="77777777" w:rsidR="00541B6A" w:rsidRDefault="00541B6A">
            <w:pPr>
              <w:rPr>
                <w:sz w:val="18"/>
                <w:szCs w:val="18"/>
              </w:rPr>
            </w:pPr>
          </w:p>
          <w:p w14:paraId="00BD69EF" w14:textId="77777777" w:rsidR="00541B6A" w:rsidRDefault="00541B6A">
            <w:pPr>
              <w:rPr>
                <w:sz w:val="18"/>
                <w:szCs w:val="18"/>
              </w:rPr>
            </w:pPr>
          </w:p>
        </w:tc>
      </w:tr>
      <w:tr w:rsidR="00541B6A" w14:paraId="1E986E1D" w14:textId="77777777">
        <w:trPr>
          <w:trHeight w:val="427"/>
        </w:trPr>
        <w:tc>
          <w:tcPr>
            <w:tcW w:w="9781" w:type="dxa"/>
            <w:gridSpan w:val="3"/>
            <w:tcBorders>
              <w:top w:val="nil"/>
              <w:left w:val="nil"/>
              <w:bottom w:val="nil"/>
              <w:right w:val="nil"/>
            </w:tcBorders>
            <w:shd w:val="clear" w:color="auto" w:fill="auto"/>
          </w:tcPr>
          <w:p w14:paraId="6FC974F2" w14:textId="77777777" w:rsidR="00541B6A" w:rsidRDefault="00702F4F">
            <w:pPr>
              <w:jc w:val="right"/>
              <w:rPr>
                <w:rFonts w:cs="Arial"/>
                <w:b/>
              </w:rPr>
            </w:pPr>
            <w:r>
              <w:rPr>
                <w:rFonts w:cs="Arial"/>
                <w:b/>
              </w:rPr>
              <w:t xml:space="preserve">Tick </w:t>
            </w:r>
            <w:r>
              <w:rPr>
                <w:rFonts w:ascii="Agency FB" w:hAnsi="Agency FB" w:cs="Arial"/>
                <w:b/>
              </w:rPr>
              <w:t>√</w:t>
            </w:r>
          </w:p>
        </w:tc>
      </w:tr>
      <w:tr w:rsidR="00541B6A" w14:paraId="64F4FEE9" w14:textId="77777777">
        <w:trPr>
          <w:trHeight w:val="427"/>
        </w:trPr>
        <w:tc>
          <w:tcPr>
            <w:tcW w:w="6946" w:type="dxa"/>
            <w:tcBorders>
              <w:top w:val="nil"/>
              <w:left w:val="nil"/>
              <w:bottom w:val="single" w:sz="4" w:space="0" w:color="auto"/>
              <w:right w:val="single" w:sz="4" w:space="0" w:color="auto"/>
            </w:tcBorders>
            <w:shd w:val="clear" w:color="auto" w:fill="FFFFFF" w:themeFill="background1"/>
          </w:tcPr>
          <w:p w14:paraId="58C50E4C" w14:textId="77777777" w:rsidR="00541B6A" w:rsidRDefault="00702F4F">
            <w:pPr>
              <w:rPr>
                <w:rFonts w:cs="Arial"/>
                <w:sz w:val="22"/>
                <w:szCs w:val="22"/>
              </w:rPr>
            </w:pPr>
            <w:r>
              <w:rPr>
                <w:rFonts w:cs="Arial"/>
                <w:sz w:val="22"/>
                <w:szCs w:val="22"/>
              </w:rPr>
              <w:t xml:space="preserve">I </w:t>
            </w:r>
            <w:r>
              <w:rPr>
                <w:rFonts w:cs="Arial"/>
                <w:sz w:val="22"/>
                <w:szCs w:val="22"/>
              </w:rPr>
              <w:t>understand that:</w:t>
            </w:r>
          </w:p>
        </w:tc>
        <w:tc>
          <w:tcPr>
            <w:tcW w:w="1418" w:type="dxa"/>
            <w:tcBorders>
              <w:top w:val="single" w:sz="4" w:space="0" w:color="auto"/>
              <w:left w:val="single" w:sz="4" w:space="0" w:color="auto"/>
            </w:tcBorders>
            <w:shd w:val="clear" w:color="auto" w:fill="F2F2F2" w:themeFill="background1" w:themeFillShade="F2"/>
          </w:tcPr>
          <w:p w14:paraId="1AC2698E" w14:textId="77777777" w:rsidR="00541B6A" w:rsidRDefault="00702F4F">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2F582E4D" w14:textId="77777777" w:rsidR="00541B6A" w:rsidRDefault="00702F4F">
            <w:pPr>
              <w:rPr>
                <w:rFonts w:cs="Arial"/>
                <w:sz w:val="22"/>
                <w:szCs w:val="22"/>
              </w:rPr>
            </w:pPr>
            <w:r>
              <w:rPr>
                <w:rFonts w:cs="Arial"/>
                <w:sz w:val="22"/>
                <w:szCs w:val="22"/>
              </w:rPr>
              <w:t>NO</w:t>
            </w:r>
          </w:p>
        </w:tc>
      </w:tr>
      <w:tr w:rsidR="00541B6A" w14:paraId="2731C728" w14:textId="77777777">
        <w:trPr>
          <w:trHeight w:val="399"/>
        </w:trPr>
        <w:tc>
          <w:tcPr>
            <w:tcW w:w="6946" w:type="dxa"/>
            <w:shd w:val="clear" w:color="auto" w:fill="F2F2F2" w:themeFill="background1" w:themeFillShade="F2"/>
          </w:tcPr>
          <w:p w14:paraId="25E420AA" w14:textId="77777777" w:rsidR="00541B6A" w:rsidRDefault="00702F4F">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3BC5E270" w14:textId="77777777" w:rsidR="00541B6A" w:rsidRDefault="00541B6A">
            <w:pPr>
              <w:rPr>
                <w:rFonts w:cs="Arial"/>
                <w:sz w:val="22"/>
                <w:szCs w:val="22"/>
              </w:rPr>
            </w:pPr>
          </w:p>
        </w:tc>
        <w:sdt>
          <w:sdtPr>
            <w:rPr>
              <w:rFonts w:cs="Arial"/>
              <w:sz w:val="22"/>
              <w:szCs w:val="22"/>
            </w:rPr>
            <w:id w:val="1219639617"/>
            <w14:checkbox>
              <w14:checked w14:val="0"/>
              <w14:checkedState w14:val="2612" w14:font="MS Gothic"/>
              <w14:uncheckedState w14:val="2610" w14:font="MS Gothic"/>
            </w14:checkbox>
          </w:sdtPr>
          <w:sdtEndPr/>
          <w:sdtContent>
            <w:tc>
              <w:tcPr>
                <w:tcW w:w="1418" w:type="dxa"/>
                <w:shd w:val="clear" w:color="auto" w:fill="auto"/>
              </w:tcPr>
              <w:p w14:paraId="318CC3DF" w14:textId="77777777" w:rsidR="00541B6A" w:rsidRDefault="00702F4F">
                <w:pPr>
                  <w:jc w:val="center"/>
                  <w:rPr>
                    <w:rFonts w:cs="Arial"/>
                    <w:sz w:val="22"/>
                    <w:szCs w:val="22"/>
                  </w:rPr>
                </w:pPr>
                <w:r>
                  <w:rPr>
                    <w:rFonts w:ascii="MS Gothic" w:eastAsia="MS Gothic" w:hAnsi="MS Gothic" w:cs="Arial"/>
                    <w:sz w:val="22"/>
                    <w:szCs w:val="22"/>
                  </w:rPr>
                  <w:t>☐</w:t>
                </w:r>
              </w:p>
            </w:tc>
          </w:sdtContent>
        </w:sdt>
        <w:tc>
          <w:tcPr>
            <w:tcW w:w="1417" w:type="dxa"/>
            <w:shd w:val="clear" w:color="auto" w:fill="auto"/>
          </w:tcPr>
          <w:p w14:paraId="00430C0C" w14:textId="77777777" w:rsidR="00541B6A" w:rsidRDefault="00702F4F">
            <w:pPr>
              <w:jc w:val="center"/>
              <w:rPr>
                <w:rFonts w:cs="Arial"/>
                <w:sz w:val="22"/>
                <w:szCs w:val="22"/>
              </w:rPr>
            </w:pPr>
            <w:r>
              <w:rPr>
                <w:rFonts w:ascii="Agency FB" w:hAnsi="Agency FB" w:cs="Arial"/>
                <w:b/>
              </w:rPr>
              <w:t>√</w:t>
            </w:r>
          </w:p>
        </w:tc>
      </w:tr>
      <w:tr w:rsidR="00541B6A" w14:paraId="7065A6DF" w14:textId="77777777">
        <w:trPr>
          <w:trHeight w:val="536"/>
        </w:trPr>
        <w:tc>
          <w:tcPr>
            <w:tcW w:w="6946" w:type="dxa"/>
            <w:shd w:val="clear" w:color="auto" w:fill="F2F2F2" w:themeFill="background1" w:themeFillShade="F2"/>
          </w:tcPr>
          <w:p w14:paraId="3BB2161C" w14:textId="77777777" w:rsidR="00541B6A" w:rsidRDefault="00702F4F">
            <w:pPr>
              <w:rPr>
                <w:sz w:val="22"/>
              </w:rPr>
            </w:pPr>
            <w:r>
              <w:rPr>
                <w:sz w:val="22"/>
              </w:rPr>
              <w:t>If there are no third parties involved in the creation of the IP the student is deemed to own the IP, however, should the student wish to commercially exploit their IP and require the assistance of the University to do so, they will be required to assign t</w:t>
            </w:r>
            <w:r>
              <w:rPr>
                <w:sz w:val="22"/>
              </w:rPr>
              <w:t xml:space="preserve">heir IP to the University. </w:t>
            </w:r>
            <w:hyperlink r:id="rId24" w:history="1">
              <w:r>
                <w:rPr>
                  <w:rStyle w:val="Hyperlink"/>
                </w:rPr>
                <w:t>https://www.uwtsd.ac.uk/iiced/protecting-innovation-and-creativity---intellectual-property/</w:t>
              </w:r>
            </w:hyperlink>
          </w:p>
          <w:p w14:paraId="3A070A76" w14:textId="77777777" w:rsidR="00541B6A" w:rsidRDefault="00541B6A">
            <w:pPr>
              <w:rPr>
                <w:rFonts w:ascii="Calibri" w:hAnsi="Calibri"/>
              </w:rPr>
            </w:pPr>
          </w:p>
        </w:tc>
        <w:tc>
          <w:tcPr>
            <w:tcW w:w="1418" w:type="dxa"/>
            <w:shd w:val="clear" w:color="auto" w:fill="auto"/>
          </w:tcPr>
          <w:p w14:paraId="3B2925FD" w14:textId="77777777" w:rsidR="00541B6A" w:rsidRDefault="00702F4F">
            <w:pPr>
              <w:jc w:val="center"/>
              <w:rPr>
                <w:rFonts w:cs="Arial"/>
                <w:sz w:val="22"/>
                <w:szCs w:val="22"/>
              </w:rPr>
            </w:pPr>
            <w:sdt>
              <w:sdtPr>
                <w:rPr>
                  <w:rFonts w:cs="Arial"/>
                  <w:sz w:val="22"/>
                  <w:szCs w:val="22"/>
                </w:rPr>
                <w:id w:val="-21303911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1417" w:type="dxa"/>
            <w:shd w:val="clear" w:color="auto" w:fill="auto"/>
          </w:tcPr>
          <w:p w14:paraId="34A31B93" w14:textId="77777777" w:rsidR="00541B6A" w:rsidRDefault="00702F4F">
            <w:pPr>
              <w:jc w:val="center"/>
              <w:rPr>
                <w:rFonts w:cs="Arial"/>
                <w:sz w:val="22"/>
                <w:szCs w:val="22"/>
              </w:rPr>
            </w:pPr>
            <w:r>
              <w:rPr>
                <w:rFonts w:ascii="Agency FB" w:hAnsi="Agency FB" w:cs="Arial"/>
                <w:b/>
              </w:rPr>
              <w:t>√</w:t>
            </w:r>
          </w:p>
        </w:tc>
      </w:tr>
    </w:tbl>
    <w:p w14:paraId="06BFBC5D" w14:textId="77777777" w:rsidR="00541B6A" w:rsidRDefault="00541B6A">
      <w:pPr>
        <w:rPr>
          <w:rFonts w:cs="Arial"/>
          <w:sz w:val="22"/>
          <w:szCs w:val="22"/>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541B6A" w14:paraId="053AC2D2" w14:textId="77777777">
        <w:tc>
          <w:tcPr>
            <w:tcW w:w="9747" w:type="dxa"/>
          </w:tcPr>
          <w:p w14:paraId="04A9FF4D" w14:textId="77777777" w:rsidR="00541B6A" w:rsidRDefault="00541B6A">
            <w:pPr>
              <w:rPr>
                <w:rFonts w:cs="Arial"/>
                <w:sz w:val="22"/>
                <w:szCs w:val="22"/>
              </w:rPr>
            </w:pPr>
          </w:p>
          <w:p w14:paraId="08B3D357" w14:textId="77777777" w:rsidR="00541B6A" w:rsidRDefault="00702F4F">
            <w:pPr>
              <w:rPr>
                <w:rFonts w:cs="Arial"/>
                <w:b/>
                <w:sz w:val="22"/>
                <w:szCs w:val="22"/>
              </w:rPr>
            </w:pPr>
            <w:r>
              <w:rPr>
                <w:rFonts w:cs="Arial"/>
                <w:b/>
                <w:sz w:val="22"/>
                <w:szCs w:val="22"/>
              </w:rPr>
              <w:t xml:space="preserve">Student </w:t>
            </w:r>
            <w:r>
              <w:rPr>
                <w:rFonts w:cs="Arial"/>
                <w:b/>
                <w:sz w:val="22"/>
                <w:szCs w:val="22"/>
              </w:rPr>
              <w:t>Signature</w:t>
            </w:r>
          </w:p>
          <w:p w14:paraId="75BF6414" w14:textId="77777777" w:rsidR="00541B6A" w:rsidRDefault="00541B6A">
            <w:pPr>
              <w:rPr>
                <w:rFonts w:cs="Arial"/>
                <w:sz w:val="22"/>
                <w:szCs w:val="22"/>
              </w:rPr>
            </w:pPr>
          </w:p>
          <w:tbl>
            <w:tblPr>
              <w:tblStyle w:val="TableGrid"/>
              <w:tblW w:w="0" w:type="auto"/>
              <w:tblLook w:val="04A0" w:firstRow="1" w:lastRow="0" w:firstColumn="1" w:lastColumn="0" w:noHBand="0" w:noVBand="1"/>
            </w:tblPr>
            <w:tblGrid>
              <w:gridCol w:w="2057"/>
              <w:gridCol w:w="6063"/>
              <w:gridCol w:w="1401"/>
            </w:tblGrid>
            <w:tr w:rsidR="00541B6A" w14:paraId="4450EE17" w14:textId="77777777">
              <w:tc>
                <w:tcPr>
                  <w:tcW w:w="2094" w:type="dxa"/>
                  <w:shd w:val="clear" w:color="auto" w:fill="F2F2F2" w:themeFill="background1" w:themeFillShade="F2"/>
                </w:tcPr>
                <w:p w14:paraId="4A6F4B4D" w14:textId="77777777" w:rsidR="00541B6A" w:rsidRDefault="00541B6A">
                  <w:pPr>
                    <w:rPr>
                      <w:rFonts w:cs="Arial"/>
                      <w:sz w:val="22"/>
                      <w:szCs w:val="22"/>
                    </w:rPr>
                  </w:pPr>
                </w:p>
                <w:p w14:paraId="2AA8A283" w14:textId="77777777" w:rsidR="00541B6A" w:rsidRDefault="00702F4F">
                  <w:pPr>
                    <w:rPr>
                      <w:rFonts w:cs="Arial"/>
                      <w:sz w:val="22"/>
                      <w:szCs w:val="22"/>
                    </w:rPr>
                  </w:pPr>
                  <w:r>
                    <w:rPr>
                      <w:rFonts w:cs="Arial"/>
                      <w:sz w:val="22"/>
                      <w:szCs w:val="22"/>
                    </w:rPr>
                    <w:t>Signature or Print Name:</w:t>
                  </w:r>
                </w:p>
                <w:p w14:paraId="226F57C1" w14:textId="77777777" w:rsidR="00541B6A" w:rsidRDefault="00541B6A">
                  <w:pPr>
                    <w:rPr>
                      <w:rFonts w:cs="Arial"/>
                      <w:sz w:val="22"/>
                      <w:szCs w:val="22"/>
                    </w:rPr>
                  </w:pPr>
                </w:p>
              </w:tc>
              <w:tc>
                <w:tcPr>
                  <w:tcW w:w="6265" w:type="dxa"/>
                </w:tcPr>
                <w:p w14:paraId="24864AA0" w14:textId="77777777" w:rsidR="00541B6A" w:rsidRDefault="00541B6A">
                  <w:pPr>
                    <w:jc w:val="center"/>
                    <w:rPr>
                      <w:rFonts w:eastAsiaTheme="minorEastAsia" w:cs="Arial"/>
                      <w:sz w:val="22"/>
                      <w:szCs w:val="22"/>
                      <w:lang w:eastAsia="zh-CN"/>
                    </w:rPr>
                  </w:pPr>
                </w:p>
                <w:p w14:paraId="4EE9A8DA" w14:textId="77777777" w:rsidR="00541B6A" w:rsidRDefault="00702F4F">
                  <w:pPr>
                    <w:jc w:val="center"/>
                    <w:rPr>
                      <w:rFonts w:eastAsiaTheme="minorEastAsia" w:cs="Arial"/>
                      <w:sz w:val="22"/>
                      <w:szCs w:val="22"/>
                      <w:lang w:eastAsia="zh-CN"/>
                    </w:rPr>
                  </w:pPr>
                  <w:r>
                    <w:rPr>
                      <w:rFonts w:eastAsiaTheme="minorEastAsia" w:cs="Arial" w:hint="eastAsia"/>
                      <w:sz w:val="22"/>
                      <w:szCs w:val="22"/>
                      <w:lang w:eastAsia="zh-CN"/>
                    </w:rPr>
                    <w:t>Z</w:t>
                  </w:r>
                  <w:r>
                    <w:rPr>
                      <w:rFonts w:eastAsiaTheme="minorEastAsia" w:cs="Arial"/>
                      <w:sz w:val="22"/>
                      <w:szCs w:val="22"/>
                      <w:lang w:eastAsia="zh-CN"/>
                    </w:rPr>
                    <w:t>henying Yang</w:t>
                  </w:r>
                </w:p>
              </w:tc>
              <w:tc>
                <w:tcPr>
                  <w:tcW w:w="1417" w:type="dxa"/>
                </w:tcPr>
                <w:p w14:paraId="74FF8D08" w14:textId="77777777" w:rsidR="00541B6A" w:rsidRDefault="00702F4F">
                  <w:pPr>
                    <w:rPr>
                      <w:rFonts w:cs="Arial"/>
                      <w:sz w:val="22"/>
                      <w:szCs w:val="22"/>
                    </w:rPr>
                  </w:pPr>
                  <w:r>
                    <w:rPr>
                      <w:rFonts w:cs="Arial"/>
                      <w:sz w:val="22"/>
                      <w:szCs w:val="22"/>
                    </w:rPr>
                    <w:t>Date:</w:t>
                  </w:r>
                </w:p>
                <w:p w14:paraId="0AD263F2" w14:textId="77777777" w:rsidR="00541B6A" w:rsidRDefault="00702F4F">
                  <w:pPr>
                    <w:rPr>
                      <w:rFonts w:eastAsiaTheme="minorEastAsia" w:cs="Arial"/>
                      <w:sz w:val="22"/>
                      <w:szCs w:val="22"/>
                      <w:lang w:eastAsia="zh-CN"/>
                    </w:rPr>
                  </w:pPr>
                  <w:r>
                    <w:rPr>
                      <w:rFonts w:eastAsiaTheme="minorEastAsia" w:cs="Arial" w:hint="eastAsia"/>
                      <w:sz w:val="22"/>
                      <w:szCs w:val="22"/>
                      <w:lang w:eastAsia="zh-CN"/>
                    </w:rPr>
                    <w:t>7</w:t>
                  </w:r>
                  <w:r>
                    <w:rPr>
                      <w:rFonts w:eastAsiaTheme="minorEastAsia" w:cs="Arial"/>
                      <w:sz w:val="22"/>
                      <w:szCs w:val="22"/>
                      <w:vertAlign w:val="superscript"/>
                      <w:lang w:eastAsia="zh-CN"/>
                    </w:rPr>
                    <w:t>th</w:t>
                  </w:r>
                  <w:r>
                    <w:rPr>
                      <w:rFonts w:eastAsiaTheme="minorEastAsia" w:cs="Arial"/>
                      <w:sz w:val="22"/>
                      <w:szCs w:val="22"/>
                      <w:lang w:eastAsia="zh-CN"/>
                    </w:rPr>
                    <w:t xml:space="preserve"> January 2022</w:t>
                  </w:r>
                </w:p>
              </w:tc>
            </w:tr>
          </w:tbl>
          <w:p w14:paraId="6FCAC484" w14:textId="77777777" w:rsidR="00541B6A" w:rsidRDefault="00541B6A">
            <w:pPr>
              <w:rPr>
                <w:rFonts w:cs="Arial"/>
                <w:sz w:val="22"/>
                <w:szCs w:val="22"/>
              </w:rPr>
            </w:pPr>
          </w:p>
          <w:p w14:paraId="50E1E5D3" w14:textId="77777777" w:rsidR="00541B6A" w:rsidRDefault="00541B6A">
            <w:pPr>
              <w:rPr>
                <w:rFonts w:cs="Arial"/>
                <w:sz w:val="22"/>
                <w:szCs w:val="22"/>
              </w:rPr>
            </w:pPr>
          </w:p>
        </w:tc>
      </w:tr>
    </w:tbl>
    <w:p w14:paraId="3A50ACBC" w14:textId="77777777" w:rsidR="00541B6A" w:rsidRDefault="00541B6A">
      <w:pPr>
        <w:rPr>
          <w:rFonts w:cs="Arial"/>
          <w:b/>
          <w:bCs/>
          <w:sz w:val="22"/>
          <w:szCs w:val="22"/>
        </w:rPr>
      </w:pPr>
    </w:p>
    <w:p w14:paraId="43FF75D9" w14:textId="77777777" w:rsidR="00541B6A" w:rsidRDefault="00541B6A">
      <w:pPr>
        <w:rPr>
          <w:rFonts w:cs="Arial"/>
          <w:b/>
          <w:bCs/>
          <w:sz w:val="22"/>
          <w:szCs w:val="22"/>
        </w:rPr>
      </w:pPr>
    </w:p>
    <w:p w14:paraId="3A58DF99" w14:textId="77777777" w:rsidR="00541B6A" w:rsidRDefault="00541B6A">
      <w:pPr>
        <w:rPr>
          <w:rFonts w:cs="Arial"/>
          <w:b/>
          <w:bCs/>
          <w:sz w:val="22"/>
          <w:szCs w:val="22"/>
        </w:rPr>
      </w:pPr>
    </w:p>
    <w:p w14:paraId="7E86BB48" w14:textId="77777777" w:rsidR="00541B6A" w:rsidRDefault="00702F4F">
      <w:pPr>
        <w:rPr>
          <w:rFonts w:cs="Arial"/>
          <w:sz w:val="22"/>
          <w:szCs w:val="22"/>
        </w:rPr>
      </w:pPr>
      <w:r>
        <w:rPr>
          <w:rFonts w:cs="Arial"/>
          <w:b/>
          <w:bCs/>
          <w:sz w:val="22"/>
          <w:szCs w:val="22"/>
        </w:rPr>
        <w:t>Supervisory Team</w:t>
      </w:r>
    </w:p>
    <w:p w14:paraId="11CBBD08" w14:textId="77777777" w:rsidR="00541B6A" w:rsidRDefault="00541B6A">
      <w:pPr>
        <w:rPr>
          <w:rFonts w:cs="Arial"/>
          <w:sz w:val="22"/>
          <w:szCs w:val="22"/>
        </w:rPr>
      </w:pPr>
    </w:p>
    <w:p w14:paraId="501FA9C2" w14:textId="77777777" w:rsidR="00541B6A" w:rsidRDefault="00541B6A">
      <w:pPr>
        <w:ind w:left="180"/>
        <w:rPr>
          <w:rFonts w:cs="Arial"/>
          <w:b/>
          <w:sz w:val="22"/>
          <w:szCs w:val="22"/>
        </w:rPr>
      </w:pPr>
    </w:p>
    <w:tbl>
      <w:tblPr>
        <w:tblStyle w:val="TableGrid"/>
        <w:tblW w:w="9747" w:type="dxa"/>
        <w:tblLook w:val="04A0" w:firstRow="1" w:lastRow="0" w:firstColumn="1" w:lastColumn="0" w:noHBand="0" w:noVBand="1"/>
      </w:tblPr>
      <w:tblGrid>
        <w:gridCol w:w="9747"/>
      </w:tblGrid>
      <w:tr w:rsidR="00541B6A" w14:paraId="10671456" w14:textId="77777777">
        <w:tc>
          <w:tcPr>
            <w:tcW w:w="9747" w:type="dxa"/>
            <w:shd w:val="clear" w:color="auto" w:fill="F2F2F2" w:themeFill="background1" w:themeFillShade="F2"/>
          </w:tcPr>
          <w:p w14:paraId="69C046C0" w14:textId="77777777" w:rsidR="00541B6A" w:rsidRDefault="00702F4F">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rsidR="00541B6A" w14:paraId="4253F361" w14:textId="77777777">
        <w:tc>
          <w:tcPr>
            <w:tcW w:w="9747" w:type="dxa"/>
          </w:tcPr>
          <w:p w14:paraId="5D83DFE3" w14:textId="77777777" w:rsidR="00541B6A" w:rsidRDefault="00541B6A">
            <w:pPr>
              <w:rPr>
                <w:rFonts w:cs="Arial"/>
                <w:b/>
                <w:sz w:val="22"/>
                <w:szCs w:val="22"/>
              </w:rPr>
            </w:pPr>
          </w:p>
          <w:p w14:paraId="2730ED98" w14:textId="77777777" w:rsidR="00541B6A" w:rsidRDefault="00702F4F">
            <w:pPr>
              <w:rPr>
                <w:rFonts w:cs="Arial"/>
                <w:b/>
                <w:sz w:val="22"/>
                <w:szCs w:val="22"/>
              </w:rPr>
            </w:pPr>
            <w:r>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sdtContent>
                <w:r>
                  <w:rPr>
                    <w:rFonts w:ascii="MS Gothic" w:eastAsia="MS Gothic" w:hAnsi="MS Gothic" w:cs="Arial"/>
                    <w:b/>
                    <w:sz w:val="22"/>
                    <w:szCs w:val="22"/>
                  </w:rPr>
                  <w:t>☐</w:t>
                </w:r>
              </w:sdtContent>
            </w:sdt>
            <w:r>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EndPr/>
              <w:sdtContent>
                <w:r>
                  <w:rPr>
                    <w:rFonts w:ascii="MS Gothic" w:eastAsia="MS Gothic" w:hAnsi="MS Gothic" w:cs="MS Gothic"/>
                    <w:b/>
                    <w:sz w:val="22"/>
                    <w:szCs w:val="22"/>
                  </w:rPr>
                  <w:t>☐</w:t>
                </w:r>
              </w:sdtContent>
            </w:sdt>
          </w:p>
          <w:p w14:paraId="1B17A9CD" w14:textId="77777777" w:rsidR="00541B6A" w:rsidRDefault="00541B6A">
            <w:pPr>
              <w:rPr>
                <w:rFonts w:cs="Arial"/>
                <w:b/>
                <w:sz w:val="22"/>
                <w:szCs w:val="22"/>
              </w:rPr>
            </w:pPr>
          </w:p>
          <w:p w14:paraId="75D9DF2F" w14:textId="77777777" w:rsidR="00541B6A" w:rsidRDefault="00541B6A">
            <w:pPr>
              <w:rPr>
                <w:rFonts w:cs="Arial"/>
                <w:b/>
                <w:sz w:val="22"/>
                <w:szCs w:val="22"/>
              </w:rPr>
            </w:pPr>
          </w:p>
        </w:tc>
      </w:tr>
    </w:tbl>
    <w:p w14:paraId="29AC99E5" w14:textId="77777777" w:rsidR="00541B6A" w:rsidRDefault="00541B6A">
      <w:pPr>
        <w:rPr>
          <w:rFonts w:cs="Arial"/>
          <w:sz w:val="22"/>
          <w:szCs w:val="22"/>
        </w:rPr>
      </w:pPr>
    </w:p>
    <w:p w14:paraId="5D98AEDF" w14:textId="77777777" w:rsidR="00541B6A" w:rsidRDefault="00702F4F">
      <w:pPr>
        <w:rPr>
          <w:rFonts w:cs="Arial"/>
          <w:b/>
          <w:sz w:val="22"/>
          <w:szCs w:val="22"/>
        </w:rPr>
      </w:pPr>
      <w:r>
        <w:rPr>
          <w:rFonts w:cs="Arial"/>
          <w:b/>
          <w:sz w:val="22"/>
          <w:szCs w:val="22"/>
        </w:rPr>
        <w:t>Authorisation</w:t>
      </w:r>
    </w:p>
    <w:p w14:paraId="45798232" w14:textId="77777777" w:rsidR="00541B6A" w:rsidRDefault="00541B6A">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541B6A" w14:paraId="1CD0B9D5" w14:textId="77777777">
        <w:tc>
          <w:tcPr>
            <w:tcW w:w="2552" w:type="dxa"/>
            <w:shd w:val="clear" w:color="auto" w:fill="F2F2F2" w:themeFill="background1" w:themeFillShade="F2"/>
          </w:tcPr>
          <w:p w14:paraId="61848231" w14:textId="77777777" w:rsidR="00541B6A" w:rsidRDefault="00702F4F">
            <w:pPr>
              <w:rPr>
                <w:rFonts w:cs="Arial"/>
                <w:sz w:val="22"/>
                <w:szCs w:val="22"/>
              </w:rPr>
            </w:pPr>
            <w:r>
              <w:rPr>
                <w:rFonts w:cs="Arial"/>
                <w:sz w:val="22"/>
                <w:szCs w:val="22"/>
              </w:rPr>
              <w:t>Director of Studies</w:t>
            </w:r>
          </w:p>
        </w:tc>
        <w:tc>
          <w:tcPr>
            <w:tcW w:w="5387" w:type="dxa"/>
          </w:tcPr>
          <w:p w14:paraId="33837D53" w14:textId="77777777" w:rsidR="00541B6A" w:rsidRDefault="00702F4F">
            <w:pPr>
              <w:rPr>
                <w:rFonts w:cs="Arial"/>
                <w:sz w:val="22"/>
                <w:szCs w:val="22"/>
              </w:rPr>
            </w:pPr>
            <w:r>
              <w:rPr>
                <w:rFonts w:cs="Arial"/>
                <w:sz w:val="22"/>
                <w:szCs w:val="22"/>
              </w:rPr>
              <w:t>Signature or Print Name:</w:t>
            </w:r>
          </w:p>
          <w:p w14:paraId="566BA5BA" w14:textId="77777777" w:rsidR="00541B6A" w:rsidRDefault="00541B6A">
            <w:pPr>
              <w:rPr>
                <w:rFonts w:cs="Arial"/>
                <w:sz w:val="22"/>
                <w:szCs w:val="22"/>
              </w:rPr>
            </w:pPr>
          </w:p>
          <w:p w14:paraId="7AC1C2D5" w14:textId="77777777" w:rsidR="00541B6A" w:rsidRDefault="00541B6A">
            <w:pPr>
              <w:rPr>
                <w:rFonts w:cs="Arial"/>
                <w:sz w:val="22"/>
                <w:szCs w:val="22"/>
              </w:rPr>
            </w:pPr>
          </w:p>
          <w:p w14:paraId="765C65A7" w14:textId="77777777" w:rsidR="00541B6A" w:rsidRDefault="00541B6A">
            <w:pPr>
              <w:rPr>
                <w:rFonts w:cs="Arial"/>
                <w:sz w:val="22"/>
                <w:szCs w:val="22"/>
              </w:rPr>
            </w:pPr>
          </w:p>
        </w:tc>
        <w:tc>
          <w:tcPr>
            <w:tcW w:w="1842" w:type="dxa"/>
          </w:tcPr>
          <w:p w14:paraId="51B4B6AC" w14:textId="77777777" w:rsidR="00541B6A" w:rsidRDefault="00702F4F">
            <w:pPr>
              <w:rPr>
                <w:rFonts w:cs="Arial"/>
                <w:sz w:val="22"/>
                <w:szCs w:val="22"/>
              </w:rPr>
            </w:pPr>
            <w:r>
              <w:rPr>
                <w:rFonts w:cs="Arial"/>
                <w:sz w:val="22"/>
                <w:szCs w:val="22"/>
              </w:rPr>
              <w:t>Date:</w:t>
            </w:r>
          </w:p>
        </w:tc>
      </w:tr>
      <w:tr w:rsidR="00541B6A" w14:paraId="3349F2F5" w14:textId="77777777">
        <w:tc>
          <w:tcPr>
            <w:tcW w:w="2552" w:type="dxa"/>
            <w:shd w:val="clear" w:color="auto" w:fill="F2F2F2" w:themeFill="background1" w:themeFillShade="F2"/>
          </w:tcPr>
          <w:p w14:paraId="0E75CF96" w14:textId="77777777" w:rsidR="00541B6A" w:rsidRDefault="00702F4F">
            <w:pPr>
              <w:rPr>
                <w:rFonts w:cs="Arial"/>
                <w:sz w:val="22"/>
                <w:szCs w:val="22"/>
              </w:rPr>
            </w:pPr>
            <w:r>
              <w:rPr>
                <w:rFonts w:cs="Arial"/>
                <w:sz w:val="22"/>
                <w:szCs w:val="22"/>
              </w:rPr>
              <w:t>Institute Manager of Research Degrees</w:t>
            </w:r>
          </w:p>
          <w:p w14:paraId="58A9719A" w14:textId="77777777" w:rsidR="00541B6A" w:rsidRDefault="00541B6A">
            <w:pPr>
              <w:rPr>
                <w:rFonts w:cs="Arial"/>
                <w:sz w:val="22"/>
                <w:szCs w:val="22"/>
              </w:rPr>
            </w:pPr>
          </w:p>
        </w:tc>
        <w:tc>
          <w:tcPr>
            <w:tcW w:w="5387" w:type="dxa"/>
          </w:tcPr>
          <w:p w14:paraId="7777FF0D" w14:textId="77777777" w:rsidR="00541B6A" w:rsidRDefault="00702F4F">
            <w:pPr>
              <w:rPr>
                <w:rFonts w:cs="Arial"/>
                <w:sz w:val="22"/>
                <w:szCs w:val="22"/>
              </w:rPr>
            </w:pPr>
            <w:r>
              <w:rPr>
                <w:rFonts w:cs="Arial"/>
                <w:sz w:val="22"/>
                <w:szCs w:val="22"/>
              </w:rPr>
              <w:t>Signature or Print Name:</w:t>
            </w:r>
          </w:p>
          <w:p w14:paraId="51809B52" w14:textId="77777777" w:rsidR="00541B6A" w:rsidRDefault="00541B6A">
            <w:pPr>
              <w:rPr>
                <w:rFonts w:cs="Arial"/>
                <w:sz w:val="22"/>
                <w:szCs w:val="22"/>
              </w:rPr>
            </w:pPr>
          </w:p>
          <w:p w14:paraId="4DD36D88" w14:textId="77777777" w:rsidR="00541B6A" w:rsidRDefault="00541B6A">
            <w:pPr>
              <w:rPr>
                <w:rFonts w:cs="Arial"/>
                <w:sz w:val="22"/>
                <w:szCs w:val="22"/>
              </w:rPr>
            </w:pPr>
          </w:p>
          <w:p w14:paraId="431DE4F4" w14:textId="77777777" w:rsidR="00541B6A" w:rsidRDefault="00541B6A">
            <w:pPr>
              <w:rPr>
                <w:rFonts w:cs="Arial"/>
                <w:sz w:val="22"/>
                <w:szCs w:val="22"/>
              </w:rPr>
            </w:pPr>
          </w:p>
        </w:tc>
        <w:tc>
          <w:tcPr>
            <w:tcW w:w="1842" w:type="dxa"/>
          </w:tcPr>
          <w:p w14:paraId="6CE549B7" w14:textId="77777777" w:rsidR="00541B6A" w:rsidRDefault="00702F4F">
            <w:pPr>
              <w:rPr>
                <w:rFonts w:cs="Arial"/>
                <w:sz w:val="22"/>
                <w:szCs w:val="22"/>
              </w:rPr>
            </w:pPr>
            <w:r>
              <w:rPr>
                <w:rFonts w:cs="Arial"/>
                <w:sz w:val="22"/>
                <w:szCs w:val="22"/>
              </w:rPr>
              <w:t>Date:</w:t>
            </w:r>
          </w:p>
        </w:tc>
      </w:tr>
    </w:tbl>
    <w:p w14:paraId="36FA760C" w14:textId="77777777" w:rsidR="00541B6A" w:rsidRDefault="00541B6A">
      <w:pPr>
        <w:rPr>
          <w:rFonts w:cs="Arial"/>
          <w:sz w:val="22"/>
          <w:szCs w:val="22"/>
        </w:rPr>
      </w:pPr>
    </w:p>
    <w:sectPr w:rsidR="00541B6A">
      <w:headerReference w:type="default" r:id="rId25"/>
      <w:footerReference w:type="default" r:id="rId26"/>
      <w:pgSz w:w="11906" w:h="16838"/>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594F5" w14:textId="77777777" w:rsidR="00000000" w:rsidRDefault="00702F4F">
      <w:r>
        <w:separator/>
      </w:r>
    </w:p>
  </w:endnote>
  <w:endnote w:type="continuationSeparator" w:id="0">
    <w:p w14:paraId="6879AE1E" w14:textId="77777777" w:rsidR="00000000" w:rsidRDefault="00702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ItalicMT">
    <w:altName w:val="Times New Roman"/>
    <w:charset w:val="00"/>
    <w:family w:val="auto"/>
    <w:pitch w:val="default"/>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110303"/>
    </w:sdtPr>
    <w:sdtEndPr/>
    <w:sdtContent>
      <w:p w14:paraId="38415D4F" w14:textId="77777777" w:rsidR="00541B6A" w:rsidRDefault="00702F4F">
        <w:pPr>
          <w:pStyle w:val="Footer"/>
          <w:jc w:val="center"/>
        </w:pPr>
        <w:r>
          <w:fldChar w:fldCharType="begin"/>
        </w:r>
        <w:r>
          <w:instrText xml:space="preserve"> PAGE   \* MERGEFORMAT </w:instrText>
        </w:r>
        <w:r>
          <w:fldChar w:fldCharType="separate"/>
        </w:r>
        <w:r>
          <w:t>1</w:t>
        </w:r>
        <w:r>
          <w:fldChar w:fldCharType="end"/>
        </w:r>
      </w:p>
    </w:sdtContent>
  </w:sdt>
  <w:p w14:paraId="3EA58168" w14:textId="77777777" w:rsidR="00541B6A" w:rsidRDefault="00702F4F">
    <w:pPr>
      <w:pStyle w:val="Footer"/>
      <w:tabs>
        <w:tab w:val="clear" w:pos="4320"/>
        <w:tab w:val="center" w:pos="4536"/>
        <w:tab w:val="left" w:pos="7371"/>
      </w:tabs>
      <w:ind w:right="-755"/>
    </w:pPr>
    <w:r>
      <w:t>November 2020                                                                                                  PG1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F8A6B" w14:textId="77777777" w:rsidR="00000000" w:rsidRDefault="00702F4F">
      <w:r>
        <w:separator/>
      </w:r>
    </w:p>
  </w:footnote>
  <w:footnote w:type="continuationSeparator" w:id="0">
    <w:p w14:paraId="25FE54D8" w14:textId="77777777" w:rsidR="00000000" w:rsidRDefault="00702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7DB9C" w14:textId="77777777" w:rsidR="00541B6A" w:rsidRDefault="00702F4F">
    <w:pPr>
      <w:pStyle w:val="Header"/>
    </w:pPr>
    <w:r>
      <w:rPr>
        <w:noProof/>
      </w:rPr>
      <w:drawing>
        <wp:anchor distT="0" distB="0" distL="114300" distR="114300" simplePos="0" relativeHeight="251659264" behindDoc="0" locked="0" layoutInCell="1" allowOverlap="1" wp14:anchorId="556750BC" wp14:editId="779123D8">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p>
  <w:p w14:paraId="3AB0C53E" w14:textId="77777777" w:rsidR="00541B6A" w:rsidRDefault="00702F4F">
    <w:pPr>
      <w:pStyle w:val="Header"/>
      <w:jc w:val="right"/>
    </w:pPr>
    <w:r>
      <w:tab/>
    </w:r>
    <w:r>
      <w:tab/>
    </w:r>
    <w:r>
      <w:tab/>
    </w:r>
    <w:r>
      <w:tab/>
    </w:r>
    <w:r>
      <w:t>Appendix PG1</w:t>
    </w:r>
  </w:p>
  <w:p w14:paraId="2A8B9FA3" w14:textId="77777777" w:rsidR="00541B6A" w:rsidRDefault="00541B6A">
    <w:pPr>
      <w:pStyle w:val="Header"/>
    </w:pPr>
  </w:p>
  <w:p w14:paraId="4977E7F6" w14:textId="77777777" w:rsidR="00541B6A" w:rsidRDefault="00541B6A">
    <w:pPr>
      <w:pStyle w:val="Header"/>
    </w:pPr>
  </w:p>
  <w:p w14:paraId="180AA79B" w14:textId="77777777" w:rsidR="00541B6A" w:rsidRDefault="00541B6A">
    <w:pPr>
      <w:pStyle w:val="Header"/>
    </w:pPr>
  </w:p>
  <w:p w14:paraId="6BCC939D" w14:textId="77777777" w:rsidR="00541B6A" w:rsidRDefault="00702F4F">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708B"/>
    <w:multiLevelType w:val="multilevel"/>
    <w:tmpl w:val="0F91708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44CD6F3B"/>
    <w:multiLevelType w:val="singleLevel"/>
    <w:tmpl w:val="44CD6F3B"/>
    <w:lvl w:ilvl="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UseMarginsForDrawingGridOrigin/>
  <w:drawingGridHorizontalOrigin w:val="1800"/>
  <w:drawingGridVerticalOrigin w:val="144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1N7U0NjUzMzAyMjNT0lEKTi0uzszPAykwrgUA9N/3mywAAAA="/>
  </w:docVars>
  <w:rsids>
    <w:rsidRoot w:val="009A654D"/>
    <w:rsid w:val="0000383A"/>
    <w:rsid w:val="0000503B"/>
    <w:rsid w:val="00005E62"/>
    <w:rsid w:val="00013F62"/>
    <w:rsid w:val="00013FD0"/>
    <w:rsid w:val="00015367"/>
    <w:rsid w:val="00016D31"/>
    <w:rsid w:val="00025498"/>
    <w:rsid w:val="00027160"/>
    <w:rsid w:val="00030DDF"/>
    <w:rsid w:val="000317A4"/>
    <w:rsid w:val="00033C02"/>
    <w:rsid w:val="00036DF5"/>
    <w:rsid w:val="00037B7D"/>
    <w:rsid w:val="00041A6B"/>
    <w:rsid w:val="000420F6"/>
    <w:rsid w:val="00044B86"/>
    <w:rsid w:val="0004552E"/>
    <w:rsid w:val="00047225"/>
    <w:rsid w:val="00051EF4"/>
    <w:rsid w:val="00054BFD"/>
    <w:rsid w:val="00055046"/>
    <w:rsid w:val="00056718"/>
    <w:rsid w:val="00060953"/>
    <w:rsid w:val="00074B8C"/>
    <w:rsid w:val="00095F33"/>
    <w:rsid w:val="00097A59"/>
    <w:rsid w:val="000A4918"/>
    <w:rsid w:val="000A7C50"/>
    <w:rsid w:val="000B099D"/>
    <w:rsid w:val="000B42CF"/>
    <w:rsid w:val="000B43A7"/>
    <w:rsid w:val="000B76B7"/>
    <w:rsid w:val="000C144B"/>
    <w:rsid w:val="000C1D53"/>
    <w:rsid w:val="000C4198"/>
    <w:rsid w:val="000C43EE"/>
    <w:rsid w:val="000C6D22"/>
    <w:rsid w:val="000C7F88"/>
    <w:rsid w:val="000D166A"/>
    <w:rsid w:val="000D6AF0"/>
    <w:rsid w:val="000D749A"/>
    <w:rsid w:val="000E23A6"/>
    <w:rsid w:val="000F0581"/>
    <w:rsid w:val="000F5B56"/>
    <w:rsid w:val="000F6846"/>
    <w:rsid w:val="0010084E"/>
    <w:rsid w:val="00105B72"/>
    <w:rsid w:val="001217FD"/>
    <w:rsid w:val="00121AC3"/>
    <w:rsid w:val="00124F79"/>
    <w:rsid w:val="001326B3"/>
    <w:rsid w:val="001400B5"/>
    <w:rsid w:val="00141DF3"/>
    <w:rsid w:val="0014320B"/>
    <w:rsid w:val="0015311B"/>
    <w:rsid w:val="00154D0F"/>
    <w:rsid w:val="00157905"/>
    <w:rsid w:val="00161BE1"/>
    <w:rsid w:val="00165D23"/>
    <w:rsid w:val="001668F7"/>
    <w:rsid w:val="00166B83"/>
    <w:rsid w:val="00172F4C"/>
    <w:rsid w:val="00173CC3"/>
    <w:rsid w:val="0017450C"/>
    <w:rsid w:val="001820C5"/>
    <w:rsid w:val="00185554"/>
    <w:rsid w:val="00186A3D"/>
    <w:rsid w:val="001923B2"/>
    <w:rsid w:val="001A4320"/>
    <w:rsid w:val="001A5A16"/>
    <w:rsid w:val="001B1EEF"/>
    <w:rsid w:val="001C0E25"/>
    <w:rsid w:val="001C367F"/>
    <w:rsid w:val="001C6B27"/>
    <w:rsid w:val="001D074C"/>
    <w:rsid w:val="001D2449"/>
    <w:rsid w:val="001D4725"/>
    <w:rsid w:val="001F47B0"/>
    <w:rsid w:val="001F5E3E"/>
    <w:rsid w:val="002021CA"/>
    <w:rsid w:val="002110F2"/>
    <w:rsid w:val="002114E6"/>
    <w:rsid w:val="0022098F"/>
    <w:rsid w:val="00221A9E"/>
    <w:rsid w:val="00222D05"/>
    <w:rsid w:val="0022643E"/>
    <w:rsid w:val="002312FB"/>
    <w:rsid w:val="002350F3"/>
    <w:rsid w:val="00235A39"/>
    <w:rsid w:val="00235A7E"/>
    <w:rsid w:val="002365E6"/>
    <w:rsid w:val="002370BA"/>
    <w:rsid w:val="002435A0"/>
    <w:rsid w:val="00246903"/>
    <w:rsid w:val="002533B8"/>
    <w:rsid w:val="00254D77"/>
    <w:rsid w:val="00261C5C"/>
    <w:rsid w:val="00262BB9"/>
    <w:rsid w:val="00274872"/>
    <w:rsid w:val="00274DE8"/>
    <w:rsid w:val="00277690"/>
    <w:rsid w:val="00280DF9"/>
    <w:rsid w:val="002831ED"/>
    <w:rsid w:val="00284E60"/>
    <w:rsid w:val="002865A0"/>
    <w:rsid w:val="00287BD7"/>
    <w:rsid w:val="00291900"/>
    <w:rsid w:val="0029216E"/>
    <w:rsid w:val="002930EE"/>
    <w:rsid w:val="00293B33"/>
    <w:rsid w:val="0029434B"/>
    <w:rsid w:val="002A1006"/>
    <w:rsid w:val="002B16CB"/>
    <w:rsid w:val="002B3361"/>
    <w:rsid w:val="002B5804"/>
    <w:rsid w:val="002B6741"/>
    <w:rsid w:val="002D5708"/>
    <w:rsid w:val="002E0D27"/>
    <w:rsid w:val="002E1246"/>
    <w:rsid w:val="002E240C"/>
    <w:rsid w:val="002E7093"/>
    <w:rsid w:val="002F3407"/>
    <w:rsid w:val="002F5B3C"/>
    <w:rsid w:val="002F62BD"/>
    <w:rsid w:val="00301C97"/>
    <w:rsid w:val="00303F2E"/>
    <w:rsid w:val="003064A7"/>
    <w:rsid w:val="00313468"/>
    <w:rsid w:val="0031458B"/>
    <w:rsid w:val="003155A9"/>
    <w:rsid w:val="00321879"/>
    <w:rsid w:val="00321D04"/>
    <w:rsid w:val="00325CBE"/>
    <w:rsid w:val="003275B0"/>
    <w:rsid w:val="003317EE"/>
    <w:rsid w:val="00332B43"/>
    <w:rsid w:val="00332D05"/>
    <w:rsid w:val="00335D74"/>
    <w:rsid w:val="00337DCA"/>
    <w:rsid w:val="00340AC7"/>
    <w:rsid w:val="0034191A"/>
    <w:rsid w:val="00343FC8"/>
    <w:rsid w:val="00345797"/>
    <w:rsid w:val="00345C82"/>
    <w:rsid w:val="00350706"/>
    <w:rsid w:val="00353C75"/>
    <w:rsid w:val="00353E7C"/>
    <w:rsid w:val="00362BDF"/>
    <w:rsid w:val="00363545"/>
    <w:rsid w:val="00363F74"/>
    <w:rsid w:val="00367D16"/>
    <w:rsid w:val="003701AA"/>
    <w:rsid w:val="00370831"/>
    <w:rsid w:val="003724EC"/>
    <w:rsid w:val="003753AD"/>
    <w:rsid w:val="003754A0"/>
    <w:rsid w:val="0037613B"/>
    <w:rsid w:val="00376A02"/>
    <w:rsid w:val="00377D2F"/>
    <w:rsid w:val="00380D19"/>
    <w:rsid w:val="00391D2C"/>
    <w:rsid w:val="003A11E9"/>
    <w:rsid w:val="003A1D70"/>
    <w:rsid w:val="003A1E09"/>
    <w:rsid w:val="003A2F8C"/>
    <w:rsid w:val="003A748D"/>
    <w:rsid w:val="003B0ADD"/>
    <w:rsid w:val="003B4AF0"/>
    <w:rsid w:val="003B708B"/>
    <w:rsid w:val="003C062E"/>
    <w:rsid w:val="003C0B84"/>
    <w:rsid w:val="003C468C"/>
    <w:rsid w:val="003C5892"/>
    <w:rsid w:val="003C7969"/>
    <w:rsid w:val="003C7AE7"/>
    <w:rsid w:val="003D0ECC"/>
    <w:rsid w:val="003D62AF"/>
    <w:rsid w:val="003D6A7C"/>
    <w:rsid w:val="003E5663"/>
    <w:rsid w:val="003E605E"/>
    <w:rsid w:val="003E7D6B"/>
    <w:rsid w:val="003F4C86"/>
    <w:rsid w:val="003F7948"/>
    <w:rsid w:val="003F7D77"/>
    <w:rsid w:val="00400127"/>
    <w:rsid w:val="00404C72"/>
    <w:rsid w:val="00410A4F"/>
    <w:rsid w:val="00412EA5"/>
    <w:rsid w:val="00417814"/>
    <w:rsid w:val="0042078A"/>
    <w:rsid w:val="00421E5B"/>
    <w:rsid w:val="00423188"/>
    <w:rsid w:val="0042445B"/>
    <w:rsid w:val="004262CD"/>
    <w:rsid w:val="004266E9"/>
    <w:rsid w:val="00430482"/>
    <w:rsid w:val="00430E87"/>
    <w:rsid w:val="00430F48"/>
    <w:rsid w:val="004310AE"/>
    <w:rsid w:val="004375FD"/>
    <w:rsid w:val="004415CD"/>
    <w:rsid w:val="004448A0"/>
    <w:rsid w:val="0045240A"/>
    <w:rsid w:val="00452942"/>
    <w:rsid w:val="00456EE0"/>
    <w:rsid w:val="004744C7"/>
    <w:rsid w:val="00474F13"/>
    <w:rsid w:val="00475B50"/>
    <w:rsid w:val="00476E74"/>
    <w:rsid w:val="00483075"/>
    <w:rsid w:val="004925BF"/>
    <w:rsid w:val="004971D4"/>
    <w:rsid w:val="004A1972"/>
    <w:rsid w:val="004B251B"/>
    <w:rsid w:val="004B2A69"/>
    <w:rsid w:val="004D4ED5"/>
    <w:rsid w:val="004D6DFC"/>
    <w:rsid w:val="004E363A"/>
    <w:rsid w:val="004E479F"/>
    <w:rsid w:val="004E4F7B"/>
    <w:rsid w:val="004E5C2F"/>
    <w:rsid w:val="004E6D2D"/>
    <w:rsid w:val="004F22A4"/>
    <w:rsid w:val="004F7AB1"/>
    <w:rsid w:val="005002A2"/>
    <w:rsid w:val="00511D88"/>
    <w:rsid w:val="00512288"/>
    <w:rsid w:val="005140FB"/>
    <w:rsid w:val="00521003"/>
    <w:rsid w:val="00527EA5"/>
    <w:rsid w:val="005302A6"/>
    <w:rsid w:val="005313CC"/>
    <w:rsid w:val="005363FE"/>
    <w:rsid w:val="00540A97"/>
    <w:rsid w:val="005419D3"/>
    <w:rsid w:val="00541B6A"/>
    <w:rsid w:val="00541CFE"/>
    <w:rsid w:val="005513E3"/>
    <w:rsid w:val="0055230D"/>
    <w:rsid w:val="0055365B"/>
    <w:rsid w:val="005537C6"/>
    <w:rsid w:val="00556BFF"/>
    <w:rsid w:val="00557BD7"/>
    <w:rsid w:val="005608A4"/>
    <w:rsid w:val="0057003D"/>
    <w:rsid w:val="00584C47"/>
    <w:rsid w:val="00586AE4"/>
    <w:rsid w:val="00595F5B"/>
    <w:rsid w:val="00595FC4"/>
    <w:rsid w:val="005A4479"/>
    <w:rsid w:val="005A7954"/>
    <w:rsid w:val="005B0886"/>
    <w:rsid w:val="005B09DB"/>
    <w:rsid w:val="005B0E19"/>
    <w:rsid w:val="005B75E8"/>
    <w:rsid w:val="005C0918"/>
    <w:rsid w:val="005C59F8"/>
    <w:rsid w:val="005D05F5"/>
    <w:rsid w:val="005D3C0C"/>
    <w:rsid w:val="005E0345"/>
    <w:rsid w:val="005E3CF6"/>
    <w:rsid w:val="005E60A7"/>
    <w:rsid w:val="005E73D5"/>
    <w:rsid w:val="005F4A68"/>
    <w:rsid w:val="005F61EF"/>
    <w:rsid w:val="00605A69"/>
    <w:rsid w:val="006151C5"/>
    <w:rsid w:val="00616987"/>
    <w:rsid w:val="00622A1A"/>
    <w:rsid w:val="00623825"/>
    <w:rsid w:val="0062721F"/>
    <w:rsid w:val="0063119B"/>
    <w:rsid w:val="00631995"/>
    <w:rsid w:val="0063456A"/>
    <w:rsid w:val="00635A88"/>
    <w:rsid w:val="00641735"/>
    <w:rsid w:val="00643766"/>
    <w:rsid w:val="00646D9D"/>
    <w:rsid w:val="00654638"/>
    <w:rsid w:val="00654D91"/>
    <w:rsid w:val="006551B2"/>
    <w:rsid w:val="00660727"/>
    <w:rsid w:val="00665451"/>
    <w:rsid w:val="00670372"/>
    <w:rsid w:val="006731F3"/>
    <w:rsid w:val="00677F77"/>
    <w:rsid w:val="00682636"/>
    <w:rsid w:val="006834D7"/>
    <w:rsid w:val="00693DB7"/>
    <w:rsid w:val="0069594C"/>
    <w:rsid w:val="006A6AD9"/>
    <w:rsid w:val="006B20A7"/>
    <w:rsid w:val="006B3ADD"/>
    <w:rsid w:val="006B582D"/>
    <w:rsid w:val="006B738B"/>
    <w:rsid w:val="006C0F0D"/>
    <w:rsid w:val="006C170C"/>
    <w:rsid w:val="006C45FB"/>
    <w:rsid w:val="006D04D5"/>
    <w:rsid w:val="006D05CF"/>
    <w:rsid w:val="006D503F"/>
    <w:rsid w:val="006D5FB2"/>
    <w:rsid w:val="006D7C2A"/>
    <w:rsid w:val="006D7FE2"/>
    <w:rsid w:val="006F1BDC"/>
    <w:rsid w:val="006F68D2"/>
    <w:rsid w:val="00702A7E"/>
    <w:rsid w:val="00702F4F"/>
    <w:rsid w:val="00703A24"/>
    <w:rsid w:val="00703BD7"/>
    <w:rsid w:val="00705528"/>
    <w:rsid w:val="007064BC"/>
    <w:rsid w:val="0071332A"/>
    <w:rsid w:val="00717DFA"/>
    <w:rsid w:val="007226FA"/>
    <w:rsid w:val="007271B0"/>
    <w:rsid w:val="00730C89"/>
    <w:rsid w:val="00737134"/>
    <w:rsid w:val="00745156"/>
    <w:rsid w:val="007472FE"/>
    <w:rsid w:val="0075086A"/>
    <w:rsid w:val="00753EDE"/>
    <w:rsid w:val="00762B90"/>
    <w:rsid w:val="00763457"/>
    <w:rsid w:val="0076358D"/>
    <w:rsid w:val="007636E4"/>
    <w:rsid w:val="00773CFA"/>
    <w:rsid w:val="00776365"/>
    <w:rsid w:val="0078000F"/>
    <w:rsid w:val="00780E14"/>
    <w:rsid w:val="00795C79"/>
    <w:rsid w:val="0079720C"/>
    <w:rsid w:val="007A0692"/>
    <w:rsid w:val="007A3641"/>
    <w:rsid w:val="007A46A2"/>
    <w:rsid w:val="007B3D85"/>
    <w:rsid w:val="007B7E5C"/>
    <w:rsid w:val="007C0C4E"/>
    <w:rsid w:val="007C27EC"/>
    <w:rsid w:val="007C2A63"/>
    <w:rsid w:val="007C39A2"/>
    <w:rsid w:val="007C755A"/>
    <w:rsid w:val="007D78E9"/>
    <w:rsid w:val="007E550E"/>
    <w:rsid w:val="007F65A7"/>
    <w:rsid w:val="007F6FC1"/>
    <w:rsid w:val="00802E0D"/>
    <w:rsid w:val="0080710E"/>
    <w:rsid w:val="0081661B"/>
    <w:rsid w:val="00816ED8"/>
    <w:rsid w:val="00820A0F"/>
    <w:rsid w:val="00820E04"/>
    <w:rsid w:val="008239A3"/>
    <w:rsid w:val="00825E70"/>
    <w:rsid w:val="0083144B"/>
    <w:rsid w:val="00831EF8"/>
    <w:rsid w:val="00832FEA"/>
    <w:rsid w:val="00833954"/>
    <w:rsid w:val="00835B0C"/>
    <w:rsid w:val="008422EE"/>
    <w:rsid w:val="00850A79"/>
    <w:rsid w:val="00855925"/>
    <w:rsid w:val="008571F8"/>
    <w:rsid w:val="00861D61"/>
    <w:rsid w:val="00865BE4"/>
    <w:rsid w:val="00870EF5"/>
    <w:rsid w:val="00877A6B"/>
    <w:rsid w:val="008812C3"/>
    <w:rsid w:val="008859B3"/>
    <w:rsid w:val="0088683F"/>
    <w:rsid w:val="008876C0"/>
    <w:rsid w:val="00890F28"/>
    <w:rsid w:val="008944DE"/>
    <w:rsid w:val="00896244"/>
    <w:rsid w:val="008A0814"/>
    <w:rsid w:val="008A0840"/>
    <w:rsid w:val="008A397A"/>
    <w:rsid w:val="008A4295"/>
    <w:rsid w:val="008A4C04"/>
    <w:rsid w:val="008A63FE"/>
    <w:rsid w:val="008A6527"/>
    <w:rsid w:val="008B5614"/>
    <w:rsid w:val="008B6443"/>
    <w:rsid w:val="008B73C2"/>
    <w:rsid w:val="008C0ACE"/>
    <w:rsid w:val="008C1EE6"/>
    <w:rsid w:val="008C3BB0"/>
    <w:rsid w:val="008D1B0B"/>
    <w:rsid w:val="008D2E5D"/>
    <w:rsid w:val="008D505E"/>
    <w:rsid w:val="008D5F96"/>
    <w:rsid w:val="008D7770"/>
    <w:rsid w:val="008E2122"/>
    <w:rsid w:val="008E5893"/>
    <w:rsid w:val="008E7086"/>
    <w:rsid w:val="008F0225"/>
    <w:rsid w:val="008F150A"/>
    <w:rsid w:val="008F3C22"/>
    <w:rsid w:val="008F5522"/>
    <w:rsid w:val="008F5E0D"/>
    <w:rsid w:val="008F5EF0"/>
    <w:rsid w:val="0090452C"/>
    <w:rsid w:val="00907871"/>
    <w:rsid w:val="00910A1E"/>
    <w:rsid w:val="0091552C"/>
    <w:rsid w:val="00915EFA"/>
    <w:rsid w:val="009178C4"/>
    <w:rsid w:val="00921E77"/>
    <w:rsid w:val="009223CC"/>
    <w:rsid w:val="00924A6A"/>
    <w:rsid w:val="00930CC7"/>
    <w:rsid w:val="0093374F"/>
    <w:rsid w:val="009353AC"/>
    <w:rsid w:val="009363F3"/>
    <w:rsid w:val="009368DD"/>
    <w:rsid w:val="009405F3"/>
    <w:rsid w:val="009422B1"/>
    <w:rsid w:val="009423F8"/>
    <w:rsid w:val="009435B2"/>
    <w:rsid w:val="00947D7D"/>
    <w:rsid w:val="00950A56"/>
    <w:rsid w:val="00961E02"/>
    <w:rsid w:val="00962D90"/>
    <w:rsid w:val="00965184"/>
    <w:rsid w:val="00971AF9"/>
    <w:rsid w:val="009803A2"/>
    <w:rsid w:val="00985EAB"/>
    <w:rsid w:val="009905BC"/>
    <w:rsid w:val="00993596"/>
    <w:rsid w:val="00994CF9"/>
    <w:rsid w:val="009A0D4E"/>
    <w:rsid w:val="009A2302"/>
    <w:rsid w:val="009A654D"/>
    <w:rsid w:val="009A7385"/>
    <w:rsid w:val="009B0901"/>
    <w:rsid w:val="009C7898"/>
    <w:rsid w:val="009D508B"/>
    <w:rsid w:val="009E038E"/>
    <w:rsid w:val="009E1467"/>
    <w:rsid w:val="009F3BE4"/>
    <w:rsid w:val="009F54A8"/>
    <w:rsid w:val="00A048DE"/>
    <w:rsid w:val="00A06AEA"/>
    <w:rsid w:val="00A117F2"/>
    <w:rsid w:val="00A11B4F"/>
    <w:rsid w:val="00A12CA8"/>
    <w:rsid w:val="00A15A7C"/>
    <w:rsid w:val="00A17E0A"/>
    <w:rsid w:val="00A26705"/>
    <w:rsid w:val="00A27F4D"/>
    <w:rsid w:val="00A372E4"/>
    <w:rsid w:val="00A4205A"/>
    <w:rsid w:val="00A45333"/>
    <w:rsid w:val="00A47731"/>
    <w:rsid w:val="00A51087"/>
    <w:rsid w:val="00A54227"/>
    <w:rsid w:val="00A62C1D"/>
    <w:rsid w:val="00A660A4"/>
    <w:rsid w:val="00A67160"/>
    <w:rsid w:val="00A67169"/>
    <w:rsid w:val="00A744C1"/>
    <w:rsid w:val="00A80816"/>
    <w:rsid w:val="00A830D5"/>
    <w:rsid w:val="00A83765"/>
    <w:rsid w:val="00A97048"/>
    <w:rsid w:val="00AB0FB7"/>
    <w:rsid w:val="00AC147B"/>
    <w:rsid w:val="00AC4DCF"/>
    <w:rsid w:val="00AC6903"/>
    <w:rsid w:val="00AD4651"/>
    <w:rsid w:val="00AD516F"/>
    <w:rsid w:val="00AD5A94"/>
    <w:rsid w:val="00AE0E7B"/>
    <w:rsid w:val="00AE37D8"/>
    <w:rsid w:val="00AE4B6C"/>
    <w:rsid w:val="00AF2941"/>
    <w:rsid w:val="00AF2AA3"/>
    <w:rsid w:val="00AF6593"/>
    <w:rsid w:val="00AF7BA9"/>
    <w:rsid w:val="00B12AB0"/>
    <w:rsid w:val="00B150F1"/>
    <w:rsid w:val="00B2256E"/>
    <w:rsid w:val="00B273A5"/>
    <w:rsid w:val="00B30EF4"/>
    <w:rsid w:val="00B32807"/>
    <w:rsid w:val="00B329BC"/>
    <w:rsid w:val="00B3408B"/>
    <w:rsid w:val="00B41A17"/>
    <w:rsid w:val="00B51305"/>
    <w:rsid w:val="00B5182C"/>
    <w:rsid w:val="00B575BB"/>
    <w:rsid w:val="00B65D5E"/>
    <w:rsid w:val="00B65FFC"/>
    <w:rsid w:val="00B703E9"/>
    <w:rsid w:val="00B7064F"/>
    <w:rsid w:val="00B70B75"/>
    <w:rsid w:val="00B70B7E"/>
    <w:rsid w:val="00B718D3"/>
    <w:rsid w:val="00B74386"/>
    <w:rsid w:val="00B746CA"/>
    <w:rsid w:val="00B75C04"/>
    <w:rsid w:val="00B76255"/>
    <w:rsid w:val="00B81E92"/>
    <w:rsid w:val="00B84436"/>
    <w:rsid w:val="00B84A54"/>
    <w:rsid w:val="00B85C38"/>
    <w:rsid w:val="00B86A8A"/>
    <w:rsid w:val="00B94C74"/>
    <w:rsid w:val="00B95514"/>
    <w:rsid w:val="00BA1B38"/>
    <w:rsid w:val="00BA434C"/>
    <w:rsid w:val="00BB0818"/>
    <w:rsid w:val="00BB2969"/>
    <w:rsid w:val="00BB2F10"/>
    <w:rsid w:val="00BB79F0"/>
    <w:rsid w:val="00BC050C"/>
    <w:rsid w:val="00BC57CD"/>
    <w:rsid w:val="00BC6AE1"/>
    <w:rsid w:val="00BD2727"/>
    <w:rsid w:val="00BD589F"/>
    <w:rsid w:val="00BD7EF3"/>
    <w:rsid w:val="00BE24D4"/>
    <w:rsid w:val="00BE6E7E"/>
    <w:rsid w:val="00BF0916"/>
    <w:rsid w:val="00BF436C"/>
    <w:rsid w:val="00C037ED"/>
    <w:rsid w:val="00C07AED"/>
    <w:rsid w:val="00C11440"/>
    <w:rsid w:val="00C14717"/>
    <w:rsid w:val="00C21328"/>
    <w:rsid w:val="00C23C0D"/>
    <w:rsid w:val="00C25CD9"/>
    <w:rsid w:val="00C31ED6"/>
    <w:rsid w:val="00C328A0"/>
    <w:rsid w:val="00C35E82"/>
    <w:rsid w:val="00C44FE7"/>
    <w:rsid w:val="00C45CE3"/>
    <w:rsid w:val="00C477B6"/>
    <w:rsid w:val="00C47DD5"/>
    <w:rsid w:val="00C501DA"/>
    <w:rsid w:val="00C50C5A"/>
    <w:rsid w:val="00C524C9"/>
    <w:rsid w:val="00C525D4"/>
    <w:rsid w:val="00C57B5A"/>
    <w:rsid w:val="00C624C9"/>
    <w:rsid w:val="00C642E7"/>
    <w:rsid w:val="00C66E9A"/>
    <w:rsid w:val="00C70660"/>
    <w:rsid w:val="00C74109"/>
    <w:rsid w:val="00C75F44"/>
    <w:rsid w:val="00C75F7C"/>
    <w:rsid w:val="00C777F9"/>
    <w:rsid w:val="00C837ED"/>
    <w:rsid w:val="00C84BCA"/>
    <w:rsid w:val="00C856A1"/>
    <w:rsid w:val="00C87D9A"/>
    <w:rsid w:val="00C93D21"/>
    <w:rsid w:val="00C943DE"/>
    <w:rsid w:val="00C958A2"/>
    <w:rsid w:val="00CA1439"/>
    <w:rsid w:val="00CA1E71"/>
    <w:rsid w:val="00CA4271"/>
    <w:rsid w:val="00CA4FBE"/>
    <w:rsid w:val="00CA56F8"/>
    <w:rsid w:val="00CA65FC"/>
    <w:rsid w:val="00CA796D"/>
    <w:rsid w:val="00CB3E7A"/>
    <w:rsid w:val="00CB516B"/>
    <w:rsid w:val="00CC13D3"/>
    <w:rsid w:val="00CC2770"/>
    <w:rsid w:val="00CC4AC2"/>
    <w:rsid w:val="00CC5FEA"/>
    <w:rsid w:val="00CD0196"/>
    <w:rsid w:val="00CD2785"/>
    <w:rsid w:val="00CD3FB2"/>
    <w:rsid w:val="00CD5B6B"/>
    <w:rsid w:val="00CF3644"/>
    <w:rsid w:val="00CF6CD9"/>
    <w:rsid w:val="00D01434"/>
    <w:rsid w:val="00D03BB7"/>
    <w:rsid w:val="00D122D0"/>
    <w:rsid w:val="00D215F0"/>
    <w:rsid w:val="00D25A52"/>
    <w:rsid w:val="00D31583"/>
    <w:rsid w:val="00D45256"/>
    <w:rsid w:val="00D46D22"/>
    <w:rsid w:val="00D56242"/>
    <w:rsid w:val="00D60093"/>
    <w:rsid w:val="00D60565"/>
    <w:rsid w:val="00D60B40"/>
    <w:rsid w:val="00D63189"/>
    <w:rsid w:val="00D6488D"/>
    <w:rsid w:val="00D661C1"/>
    <w:rsid w:val="00D674C7"/>
    <w:rsid w:val="00D70714"/>
    <w:rsid w:val="00D713DE"/>
    <w:rsid w:val="00D72A6A"/>
    <w:rsid w:val="00D732FC"/>
    <w:rsid w:val="00D81082"/>
    <w:rsid w:val="00D83BB1"/>
    <w:rsid w:val="00D83E9A"/>
    <w:rsid w:val="00D85B07"/>
    <w:rsid w:val="00D900F2"/>
    <w:rsid w:val="00D90F13"/>
    <w:rsid w:val="00D9586F"/>
    <w:rsid w:val="00DA2990"/>
    <w:rsid w:val="00DA4F71"/>
    <w:rsid w:val="00DB6CB4"/>
    <w:rsid w:val="00DC2AE7"/>
    <w:rsid w:val="00DD01AC"/>
    <w:rsid w:val="00DD1E66"/>
    <w:rsid w:val="00DD5793"/>
    <w:rsid w:val="00DD5F58"/>
    <w:rsid w:val="00DD65AA"/>
    <w:rsid w:val="00DE0F18"/>
    <w:rsid w:val="00DE23C4"/>
    <w:rsid w:val="00DE3885"/>
    <w:rsid w:val="00DE54F9"/>
    <w:rsid w:val="00DF2827"/>
    <w:rsid w:val="00DF3FF2"/>
    <w:rsid w:val="00DF5ED9"/>
    <w:rsid w:val="00DF7459"/>
    <w:rsid w:val="00E000BE"/>
    <w:rsid w:val="00E03A7C"/>
    <w:rsid w:val="00E05F68"/>
    <w:rsid w:val="00E06830"/>
    <w:rsid w:val="00E0724C"/>
    <w:rsid w:val="00E0786C"/>
    <w:rsid w:val="00E16E1D"/>
    <w:rsid w:val="00E17B09"/>
    <w:rsid w:val="00E24F7A"/>
    <w:rsid w:val="00E26E40"/>
    <w:rsid w:val="00E312F2"/>
    <w:rsid w:val="00E34646"/>
    <w:rsid w:val="00E4770D"/>
    <w:rsid w:val="00E5132F"/>
    <w:rsid w:val="00E53490"/>
    <w:rsid w:val="00E5542E"/>
    <w:rsid w:val="00E569F4"/>
    <w:rsid w:val="00E572EF"/>
    <w:rsid w:val="00E60894"/>
    <w:rsid w:val="00E6284A"/>
    <w:rsid w:val="00E62CC1"/>
    <w:rsid w:val="00E75211"/>
    <w:rsid w:val="00E7681E"/>
    <w:rsid w:val="00E800B4"/>
    <w:rsid w:val="00E8360C"/>
    <w:rsid w:val="00E85E18"/>
    <w:rsid w:val="00E90E39"/>
    <w:rsid w:val="00E90FFB"/>
    <w:rsid w:val="00E96C9A"/>
    <w:rsid w:val="00EA1A06"/>
    <w:rsid w:val="00EA32F6"/>
    <w:rsid w:val="00EA4DDB"/>
    <w:rsid w:val="00EA7796"/>
    <w:rsid w:val="00EB29E8"/>
    <w:rsid w:val="00EB7ADD"/>
    <w:rsid w:val="00EC043A"/>
    <w:rsid w:val="00EC2239"/>
    <w:rsid w:val="00EC45A4"/>
    <w:rsid w:val="00EC586D"/>
    <w:rsid w:val="00EC6CC8"/>
    <w:rsid w:val="00EC6EC4"/>
    <w:rsid w:val="00ED34D1"/>
    <w:rsid w:val="00ED6525"/>
    <w:rsid w:val="00EE26C8"/>
    <w:rsid w:val="00EE3BD0"/>
    <w:rsid w:val="00EE3F65"/>
    <w:rsid w:val="00EE4E91"/>
    <w:rsid w:val="00F02051"/>
    <w:rsid w:val="00F03726"/>
    <w:rsid w:val="00F11E19"/>
    <w:rsid w:val="00F13297"/>
    <w:rsid w:val="00F17AF3"/>
    <w:rsid w:val="00F17FC9"/>
    <w:rsid w:val="00F20553"/>
    <w:rsid w:val="00F26723"/>
    <w:rsid w:val="00F274DA"/>
    <w:rsid w:val="00F36BB1"/>
    <w:rsid w:val="00F36F22"/>
    <w:rsid w:val="00F379D8"/>
    <w:rsid w:val="00F40612"/>
    <w:rsid w:val="00F41F11"/>
    <w:rsid w:val="00F435D1"/>
    <w:rsid w:val="00F50670"/>
    <w:rsid w:val="00F5460A"/>
    <w:rsid w:val="00F6356A"/>
    <w:rsid w:val="00F65BA4"/>
    <w:rsid w:val="00F65ECA"/>
    <w:rsid w:val="00F678E5"/>
    <w:rsid w:val="00F70D7D"/>
    <w:rsid w:val="00F7164A"/>
    <w:rsid w:val="00F7569E"/>
    <w:rsid w:val="00F77B80"/>
    <w:rsid w:val="00F865E6"/>
    <w:rsid w:val="00F8710D"/>
    <w:rsid w:val="00F87E27"/>
    <w:rsid w:val="00F901BB"/>
    <w:rsid w:val="00F918DA"/>
    <w:rsid w:val="00F93C67"/>
    <w:rsid w:val="00F9606E"/>
    <w:rsid w:val="00F97DC0"/>
    <w:rsid w:val="00FA582B"/>
    <w:rsid w:val="00FC07D2"/>
    <w:rsid w:val="00FD60D8"/>
    <w:rsid w:val="00FD70D5"/>
    <w:rsid w:val="00FD79EC"/>
    <w:rsid w:val="00FE3258"/>
    <w:rsid w:val="00FE55A1"/>
    <w:rsid w:val="00FF5FBE"/>
    <w:rsid w:val="01001B5E"/>
    <w:rsid w:val="013E61E2"/>
    <w:rsid w:val="017D31AE"/>
    <w:rsid w:val="01877B89"/>
    <w:rsid w:val="01993D60"/>
    <w:rsid w:val="01B6221C"/>
    <w:rsid w:val="01F42D45"/>
    <w:rsid w:val="02076F1C"/>
    <w:rsid w:val="022E26FA"/>
    <w:rsid w:val="026E6F9B"/>
    <w:rsid w:val="028E3199"/>
    <w:rsid w:val="02963DFC"/>
    <w:rsid w:val="02B7624C"/>
    <w:rsid w:val="02BC7D06"/>
    <w:rsid w:val="02CD5A6F"/>
    <w:rsid w:val="02F56D74"/>
    <w:rsid w:val="03012229"/>
    <w:rsid w:val="031C69F7"/>
    <w:rsid w:val="03655CA8"/>
    <w:rsid w:val="037800D1"/>
    <w:rsid w:val="03AF33C7"/>
    <w:rsid w:val="03E868D9"/>
    <w:rsid w:val="03EC69EA"/>
    <w:rsid w:val="03FB660C"/>
    <w:rsid w:val="04043713"/>
    <w:rsid w:val="04185410"/>
    <w:rsid w:val="041A5B4A"/>
    <w:rsid w:val="0431202E"/>
    <w:rsid w:val="04AF308E"/>
    <w:rsid w:val="04B82CEA"/>
    <w:rsid w:val="04CE1F73"/>
    <w:rsid w:val="04E42A79"/>
    <w:rsid w:val="04F419D9"/>
    <w:rsid w:val="05AF3BC6"/>
    <w:rsid w:val="061D6D0E"/>
    <w:rsid w:val="062A6965"/>
    <w:rsid w:val="06A20DD1"/>
    <w:rsid w:val="06B86A37"/>
    <w:rsid w:val="06E710CA"/>
    <w:rsid w:val="06E93094"/>
    <w:rsid w:val="0708351A"/>
    <w:rsid w:val="071C6FC5"/>
    <w:rsid w:val="073A744C"/>
    <w:rsid w:val="073B743D"/>
    <w:rsid w:val="073F340A"/>
    <w:rsid w:val="074107DA"/>
    <w:rsid w:val="0753050D"/>
    <w:rsid w:val="0768045D"/>
    <w:rsid w:val="078801B7"/>
    <w:rsid w:val="07930B1B"/>
    <w:rsid w:val="07C02047"/>
    <w:rsid w:val="0802440D"/>
    <w:rsid w:val="08053EFD"/>
    <w:rsid w:val="081D1247"/>
    <w:rsid w:val="08517143"/>
    <w:rsid w:val="086C5D2B"/>
    <w:rsid w:val="08EE4992"/>
    <w:rsid w:val="0946032A"/>
    <w:rsid w:val="09915736"/>
    <w:rsid w:val="09975029"/>
    <w:rsid w:val="09AE22E0"/>
    <w:rsid w:val="0A0408BC"/>
    <w:rsid w:val="0A056D74"/>
    <w:rsid w:val="0A7B2CEA"/>
    <w:rsid w:val="0A9B28F7"/>
    <w:rsid w:val="0AF02C43"/>
    <w:rsid w:val="0AF12517"/>
    <w:rsid w:val="0AF67B2D"/>
    <w:rsid w:val="0AF907B6"/>
    <w:rsid w:val="0B2823DD"/>
    <w:rsid w:val="0B325009"/>
    <w:rsid w:val="0B381EF4"/>
    <w:rsid w:val="0B390A46"/>
    <w:rsid w:val="0B64718D"/>
    <w:rsid w:val="0B996E37"/>
    <w:rsid w:val="0B9D61FB"/>
    <w:rsid w:val="0BD55995"/>
    <w:rsid w:val="0BFA21A7"/>
    <w:rsid w:val="0C217F17"/>
    <w:rsid w:val="0C322DE7"/>
    <w:rsid w:val="0C457C00"/>
    <w:rsid w:val="0C550884"/>
    <w:rsid w:val="0C5745FC"/>
    <w:rsid w:val="0C943AA2"/>
    <w:rsid w:val="0CC9270A"/>
    <w:rsid w:val="0CCF67E2"/>
    <w:rsid w:val="0CD65E68"/>
    <w:rsid w:val="0CE26E24"/>
    <w:rsid w:val="0D51729D"/>
    <w:rsid w:val="0D5B29EC"/>
    <w:rsid w:val="0D6214AA"/>
    <w:rsid w:val="0D643474"/>
    <w:rsid w:val="0D75742F"/>
    <w:rsid w:val="0D913B3D"/>
    <w:rsid w:val="0DB461AA"/>
    <w:rsid w:val="0DDE3227"/>
    <w:rsid w:val="0DF7531C"/>
    <w:rsid w:val="0E06277D"/>
    <w:rsid w:val="0E35096D"/>
    <w:rsid w:val="0E67321C"/>
    <w:rsid w:val="0EA87391"/>
    <w:rsid w:val="0EB126E9"/>
    <w:rsid w:val="0ECA7307"/>
    <w:rsid w:val="0ECE5049"/>
    <w:rsid w:val="0EE54141"/>
    <w:rsid w:val="0EE7610B"/>
    <w:rsid w:val="0EEF3211"/>
    <w:rsid w:val="0EFB1BB6"/>
    <w:rsid w:val="0F1B7B63"/>
    <w:rsid w:val="0F3B0205"/>
    <w:rsid w:val="0F581575"/>
    <w:rsid w:val="0F782998"/>
    <w:rsid w:val="0FBF0E36"/>
    <w:rsid w:val="0FE219B7"/>
    <w:rsid w:val="0FEA1B37"/>
    <w:rsid w:val="0FF705D0"/>
    <w:rsid w:val="10036F74"/>
    <w:rsid w:val="1010343F"/>
    <w:rsid w:val="104355C3"/>
    <w:rsid w:val="106D0892"/>
    <w:rsid w:val="10B62239"/>
    <w:rsid w:val="10FE773C"/>
    <w:rsid w:val="112847B9"/>
    <w:rsid w:val="11317B11"/>
    <w:rsid w:val="113C7036"/>
    <w:rsid w:val="114C66F9"/>
    <w:rsid w:val="11875983"/>
    <w:rsid w:val="1191235E"/>
    <w:rsid w:val="11BF6712"/>
    <w:rsid w:val="11E608FC"/>
    <w:rsid w:val="12301B77"/>
    <w:rsid w:val="12957C2C"/>
    <w:rsid w:val="12A83E03"/>
    <w:rsid w:val="12BC728A"/>
    <w:rsid w:val="12D0209F"/>
    <w:rsid w:val="12EC1F42"/>
    <w:rsid w:val="12F72695"/>
    <w:rsid w:val="13070B2A"/>
    <w:rsid w:val="13165211"/>
    <w:rsid w:val="133A009D"/>
    <w:rsid w:val="13596EAB"/>
    <w:rsid w:val="139A55D8"/>
    <w:rsid w:val="13B3480E"/>
    <w:rsid w:val="13D34EB0"/>
    <w:rsid w:val="13DD5D2E"/>
    <w:rsid w:val="13FB7F63"/>
    <w:rsid w:val="140E7C96"/>
    <w:rsid w:val="14237B04"/>
    <w:rsid w:val="143516C6"/>
    <w:rsid w:val="1448764C"/>
    <w:rsid w:val="147E4E1C"/>
    <w:rsid w:val="14BA1BCC"/>
    <w:rsid w:val="14D07641"/>
    <w:rsid w:val="150D571B"/>
    <w:rsid w:val="151E03AD"/>
    <w:rsid w:val="15273705"/>
    <w:rsid w:val="153D239E"/>
    <w:rsid w:val="157D1577"/>
    <w:rsid w:val="15910B7E"/>
    <w:rsid w:val="15DE18EA"/>
    <w:rsid w:val="16411432"/>
    <w:rsid w:val="165027E8"/>
    <w:rsid w:val="16DC407B"/>
    <w:rsid w:val="16E6314C"/>
    <w:rsid w:val="17424C2E"/>
    <w:rsid w:val="17634D0A"/>
    <w:rsid w:val="178102FE"/>
    <w:rsid w:val="17867FD3"/>
    <w:rsid w:val="178C0C84"/>
    <w:rsid w:val="17A0779F"/>
    <w:rsid w:val="17AD20CD"/>
    <w:rsid w:val="18055854"/>
    <w:rsid w:val="182932F0"/>
    <w:rsid w:val="1866652A"/>
    <w:rsid w:val="190B6E9A"/>
    <w:rsid w:val="191B532F"/>
    <w:rsid w:val="195A1010"/>
    <w:rsid w:val="197E766C"/>
    <w:rsid w:val="19D35C0A"/>
    <w:rsid w:val="19D9142B"/>
    <w:rsid w:val="19E25E4D"/>
    <w:rsid w:val="19F077E8"/>
    <w:rsid w:val="1A46462D"/>
    <w:rsid w:val="1A55661F"/>
    <w:rsid w:val="1A642D06"/>
    <w:rsid w:val="1AC139A0"/>
    <w:rsid w:val="1AF776D6"/>
    <w:rsid w:val="1B0E212F"/>
    <w:rsid w:val="1B122762"/>
    <w:rsid w:val="1B2E0C1E"/>
    <w:rsid w:val="1B6034CD"/>
    <w:rsid w:val="1B65082C"/>
    <w:rsid w:val="1BC81072"/>
    <w:rsid w:val="1C1918CE"/>
    <w:rsid w:val="1C6C2E79"/>
    <w:rsid w:val="1CA5120B"/>
    <w:rsid w:val="1CAC629E"/>
    <w:rsid w:val="1CB6536F"/>
    <w:rsid w:val="1CC21F65"/>
    <w:rsid w:val="1CF2284B"/>
    <w:rsid w:val="1D036806"/>
    <w:rsid w:val="1D102CD1"/>
    <w:rsid w:val="1D321938"/>
    <w:rsid w:val="1D4B5AB7"/>
    <w:rsid w:val="1D631052"/>
    <w:rsid w:val="1D6B43B4"/>
    <w:rsid w:val="1DB231CA"/>
    <w:rsid w:val="1DB63878"/>
    <w:rsid w:val="1DF61EC7"/>
    <w:rsid w:val="1E312EFF"/>
    <w:rsid w:val="1E34479D"/>
    <w:rsid w:val="1E58492F"/>
    <w:rsid w:val="1E8A260F"/>
    <w:rsid w:val="1E8E20FF"/>
    <w:rsid w:val="1ED57D2E"/>
    <w:rsid w:val="1EE91A2B"/>
    <w:rsid w:val="1F046FEC"/>
    <w:rsid w:val="1F176598"/>
    <w:rsid w:val="1F8654CC"/>
    <w:rsid w:val="1F90634B"/>
    <w:rsid w:val="1F9C084C"/>
    <w:rsid w:val="1F9E2816"/>
    <w:rsid w:val="204213F3"/>
    <w:rsid w:val="20564E9E"/>
    <w:rsid w:val="212705E9"/>
    <w:rsid w:val="212A77C8"/>
    <w:rsid w:val="21676C37"/>
    <w:rsid w:val="21AD0AEE"/>
    <w:rsid w:val="21BC3427"/>
    <w:rsid w:val="21EB5ABA"/>
    <w:rsid w:val="220F1F81"/>
    <w:rsid w:val="22A17BB6"/>
    <w:rsid w:val="22C72083"/>
    <w:rsid w:val="22D84291"/>
    <w:rsid w:val="22F8048F"/>
    <w:rsid w:val="230227C4"/>
    <w:rsid w:val="23651A55"/>
    <w:rsid w:val="23733FB9"/>
    <w:rsid w:val="239301B8"/>
    <w:rsid w:val="23AC3027"/>
    <w:rsid w:val="23AE6D9F"/>
    <w:rsid w:val="23BC326A"/>
    <w:rsid w:val="23C2284B"/>
    <w:rsid w:val="23D42CAA"/>
    <w:rsid w:val="23FE3883"/>
    <w:rsid w:val="23FF75FB"/>
    <w:rsid w:val="240B41F2"/>
    <w:rsid w:val="24853FA4"/>
    <w:rsid w:val="24C04FDC"/>
    <w:rsid w:val="24C83E91"/>
    <w:rsid w:val="24FE78B3"/>
    <w:rsid w:val="251202F3"/>
    <w:rsid w:val="25552181"/>
    <w:rsid w:val="26104E56"/>
    <w:rsid w:val="261D1FBA"/>
    <w:rsid w:val="26313084"/>
    <w:rsid w:val="26543034"/>
    <w:rsid w:val="26801C31"/>
    <w:rsid w:val="26A36964"/>
    <w:rsid w:val="26A963D9"/>
    <w:rsid w:val="26C012C4"/>
    <w:rsid w:val="26C2328E"/>
    <w:rsid w:val="26D7059A"/>
    <w:rsid w:val="26E33204"/>
    <w:rsid w:val="26F56546"/>
    <w:rsid w:val="272A2BE1"/>
    <w:rsid w:val="27392E24"/>
    <w:rsid w:val="276A7481"/>
    <w:rsid w:val="277F2F2D"/>
    <w:rsid w:val="277F4CDB"/>
    <w:rsid w:val="27870033"/>
    <w:rsid w:val="27B5694E"/>
    <w:rsid w:val="27F504FE"/>
    <w:rsid w:val="280D678A"/>
    <w:rsid w:val="281A4A03"/>
    <w:rsid w:val="282E04AF"/>
    <w:rsid w:val="284E0B51"/>
    <w:rsid w:val="28C36E49"/>
    <w:rsid w:val="28D9126A"/>
    <w:rsid w:val="290A09E6"/>
    <w:rsid w:val="29127DD1"/>
    <w:rsid w:val="296A19BB"/>
    <w:rsid w:val="29986528"/>
    <w:rsid w:val="29BB3FC4"/>
    <w:rsid w:val="29E4351B"/>
    <w:rsid w:val="29EE439A"/>
    <w:rsid w:val="2A181417"/>
    <w:rsid w:val="2A28676B"/>
    <w:rsid w:val="2A2B114A"/>
    <w:rsid w:val="2A726D79"/>
    <w:rsid w:val="2A781EB5"/>
    <w:rsid w:val="2ACD3FAF"/>
    <w:rsid w:val="2B151EA3"/>
    <w:rsid w:val="2B1C6D78"/>
    <w:rsid w:val="2B285689"/>
    <w:rsid w:val="2B316090"/>
    <w:rsid w:val="2B522706"/>
    <w:rsid w:val="2B54022C"/>
    <w:rsid w:val="2B5B15BB"/>
    <w:rsid w:val="2B6366C1"/>
    <w:rsid w:val="2B762899"/>
    <w:rsid w:val="2B825664"/>
    <w:rsid w:val="2BA411B4"/>
    <w:rsid w:val="2BB86A0D"/>
    <w:rsid w:val="2BDC10FF"/>
    <w:rsid w:val="2C273B93"/>
    <w:rsid w:val="2C697D08"/>
    <w:rsid w:val="2C7A0167"/>
    <w:rsid w:val="2C7C1224"/>
    <w:rsid w:val="2C82701B"/>
    <w:rsid w:val="2C9E20A7"/>
    <w:rsid w:val="2CB05936"/>
    <w:rsid w:val="2CB13DD5"/>
    <w:rsid w:val="2CC15D95"/>
    <w:rsid w:val="2CD45AC9"/>
    <w:rsid w:val="2CE51A84"/>
    <w:rsid w:val="2D173C07"/>
    <w:rsid w:val="2D630BFB"/>
    <w:rsid w:val="2D8822F8"/>
    <w:rsid w:val="2D984D48"/>
    <w:rsid w:val="2DD37B2E"/>
    <w:rsid w:val="2DD438A6"/>
    <w:rsid w:val="2DD90FA1"/>
    <w:rsid w:val="2DDD6BFF"/>
    <w:rsid w:val="2E1D524D"/>
    <w:rsid w:val="2E2D03B1"/>
    <w:rsid w:val="2E2F20E7"/>
    <w:rsid w:val="2E384741"/>
    <w:rsid w:val="2E3F3416"/>
    <w:rsid w:val="2E4E18AB"/>
    <w:rsid w:val="2E962DEE"/>
    <w:rsid w:val="2ED1017B"/>
    <w:rsid w:val="2F8B2FC1"/>
    <w:rsid w:val="2FAB0637"/>
    <w:rsid w:val="2FB217BB"/>
    <w:rsid w:val="30036E66"/>
    <w:rsid w:val="303625F7"/>
    <w:rsid w:val="304C3BC8"/>
    <w:rsid w:val="30737389"/>
    <w:rsid w:val="307373A7"/>
    <w:rsid w:val="30A13F14"/>
    <w:rsid w:val="30C23E8A"/>
    <w:rsid w:val="31012C04"/>
    <w:rsid w:val="31085D41"/>
    <w:rsid w:val="31205A31"/>
    <w:rsid w:val="316126BE"/>
    <w:rsid w:val="317C3432"/>
    <w:rsid w:val="31975317"/>
    <w:rsid w:val="31EE13DB"/>
    <w:rsid w:val="31FB3AF8"/>
    <w:rsid w:val="32171FB4"/>
    <w:rsid w:val="32566F80"/>
    <w:rsid w:val="32F02F31"/>
    <w:rsid w:val="33226E62"/>
    <w:rsid w:val="33380434"/>
    <w:rsid w:val="33552D94"/>
    <w:rsid w:val="33713D7A"/>
    <w:rsid w:val="33723946"/>
    <w:rsid w:val="33B45D0C"/>
    <w:rsid w:val="33C63C91"/>
    <w:rsid w:val="33E226AC"/>
    <w:rsid w:val="33FF778B"/>
    <w:rsid w:val="34093566"/>
    <w:rsid w:val="340D18C0"/>
    <w:rsid w:val="34403A44"/>
    <w:rsid w:val="34B54432"/>
    <w:rsid w:val="34C208FD"/>
    <w:rsid w:val="35101668"/>
    <w:rsid w:val="3518051D"/>
    <w:rsid w:val="35417A73"/>
    <w:rsid w:val="357B5CC3"/>
    <w:rsid w:val="35C44201"/>
    <w:rsid w:val="35E300BD"/>
    <w:rsid w:val="36193484"/>
    <w:rsid w:val="3623361D"/>
    <w:rsid w:val="365732C7"/>
    <w:rsid w:val="36BF3346"/>
    <w:rsid w:val="373C4996"/>
    <w:rsid w:val="374B2E2B"/>
    <w:rsid w:val="375C0B95"/>
    <w:rsid w:val="376169AC"/>
    <w:rsid w:val="378E4AC6"/>
    <w:rsid w:val="37AF33BA"/>
    <w:rsid w:val="37B16457"/>
    <w:rsid w:val="37B54749"/>
    <w:rsid w:val="37F214F9"/>
    <w:rsid w:val="38156F95"/>
    <w:rsid w:val="382316B2"/>
    <w:rsid w:val="383733B0"/>
    <w:rsid w:val="384358B1"/>
    <w:rsid w:val="38635BD2"/>
    <w:rsid w:val="386F2B4A"/>
    <w:rsid w:val="38871C41"/>
    <w:rsid w:val="38C0102A"/>
    <w:rsid w:val="390414E4"/>
    <w:rsid w:val="394E13AE"/>
    <w:rsid w:val="39553AED"/>
    <w:rsid w:val="39BA1BA2"/>
    <w:rsid w:val="39CB2E18"/>
    <w:rsid w:val="39E92488"/>
    <w:rsid w:val="3A294171"/>
    <w:rsid w:val="3A4C7383"/>
    <w:rsid w:val="3A8A3C6B"/>
    <w:rsid w:val="3A993EAE"/>
    <w:rsid w:val="3AB26D1E"/>
    <w:rsid w:val="3AD44EE6"/>
    <w:rsid w:val="3AD6428C"/>
    <w:rsid w:val="3AE80991"/>
    <w:rsid w:val="3AFB6916"/>
    <w:rsid w:val="3AFD268F"/>
    <w:rsid w:val="3B1D4ADF"/>
    <w:rsid w:val="3B2415F7"/>
    <w:rsid w:val="3B2A75DB"/>
    <w:rsid w:val="3B337E5E"/>
    <w:rsid w:val="3B530501"/>
    <w:rsid w:val="3B626996"/>
    <w:rsid w:val="3B6A75F8"/>
    <w:rsid w:val="3B8561E0"/>
    <w:rsid w:val="3B8B7C9A"/>
    <w:rsid w:val="3B985F13"/>
    <w:rsid w:val="3BD038FF"/>
    <w:rsid w:val="3BF07AFD"/>
    <w:rsid w:val="3C02442B"/>
    <w:rsid w:val="3C104DDD"/>
    <w:rsid w:val="3C144120"/>
    <w:rsid w:val="3C2D0D52"/>
    <w:rsid w:val="3C681D8A"/>
    <w:rsid w:val="3CBE7BFC"/>
    <w:rsid w:val="3CD14E71"/>
    <w:rsid w:val="3CD32C09"/>
    <w:rsid w:val="3D0C4E0B"/>
    <w:rsid w:val="3D7D1865"/>
    <w:rsid w:val="3D803103"/>
    <w:rsid w:val="3DD1395F"/>
    <w:rsid w:val="3DDB62D5"/>
    <w:rsid w:val="3DEC0798"/>
    <w:rsid w:val="3E0C4997"/>
    <w:rsid w:val="3E4D1237"/>
    <w:rsid w:val="3E7E3AE6"/>
    <w:rsid w:val="3E946E66"/>
    <w:rsid w:val="3ECE00A6"/>
    <w:rsid w:val="3F0026C7"/>
    <w:rsid w:val="3F1F2AF9"/>
    <w:rsid w:val="3F2F4DE1"/>
    <w:rsid w:val="3F4A5A54"/>
    <w:rsid w:val="3F4C0AAE"/>
    <w:rsid w:val="3F9D61EE"/>
    <w:rsid w:val="3FA94B93"/>
    <w:rsid w:val="3FB6105E"/>
    <w:rsid w:val="3FCB2D5B"/>
    <w:rsid w:val="3FCF3ECE"/>
    <w:rsid w:val="3FFF2A05"/>
    <w:rsid w:val="404B3E9C"/>
    <w:rsid w:val="404E573A"/>
    <w:rsid w:val="40552625"/>
    <w:rsid w:val="40C72178"/>
    <w:rsid w:val="40D93256"/>
    <w:rsid w:val="411029F0"/>
    <w:rsid w:val="41337D37"/>
    <w:rsid w:val="41894C7C"/>
    <w:rsid w:val="41D107C8"/>
    <w:rsid w:val="41FD11C6"/>
    <w:rsid w:val="42497F67"/>
    <w:rsid w:val="427A2817"/>
    <w:rsid w:val="427C033D"/>
    <w:rsid w:val="42C6780A"/>
    <w:rsid w:val="42CD2946"/>
    <w:rsid w:val="42E62A4E"/>
    <w:rsid w:val="42F500EF"/>
    <w:rsid w:val="430214B4"/>
    <w:rsid w:val="4312111D"/>
    <w:rsid w:val="43234C5C"/>
    <w:rsid w:val="43354B9A"/>
    <w:rsid w:val="43603FF1"/>
    <w:rsid w:val="43636D69"/>
    <w:rsid w:val="436A4639"/>
    <w:rsid w:val="43882D11"/>
    <w:rsid w:val="439556C2"/>
    <w:rsid w:val="43D14CAF"/>
    <w:rsid w:val="43D41CA8"/>
    <w:rsid w:val="440E1469"/>
    <w:rsid w:val="44A543E4"/>
    <w:rsid w:val="44B26298"/>
    <w:rsid w:val="44DA57EF"/>
    <w:rsid w:val="44E421C9"/>
    <w:rsid w:val="450E7246"/>
    <w:rsid w:val="4537679D"/>
    <w:rsid w:val="45555D50"/>
    <w:rsid w:val="455C26A8"/>
    <w:rsid w:val="459C0CF6"/>
    <w:rsid w:val="45BF78FA"/>
    <w:rsid w:val="45C83899"/>
    <w:rsid w:val="45D65FB6"/>
    <w:rsid w:val="45E32481"/>
    <w:rsid w:val="45F81C2F"/>
    <w:rsid w:val="46072613"/>
    <w:rsid w:val="460F14C8"/>
    <w:rsid w:val="4628605C"/>
    <w:rsid w:val="46470C62"/>
    <w:rsid w:val="468E4AE3"/>
    <w:rsid w:val="46A63BDA"/>
    <w:rsid w:val="46AA2F9F"/>
    <w:rsid w:val="46B856BC"/>
    <w:rsid w:val="46F37A6E"/>
    <w:rsid w:val="46FE3A16"/>
    <w:rsid w:val="46FF32EA"/>
    <w:rsid w:val="4710374A"/>
    <w:rsid w:val="471F1BDF"/>
    <w:rsid w:val="473016F6"/>
    <w:rsid w:val="475C073D"/>
    <w:rsid w:val="477517FF"/>
    <w:rsid w:val="47830EE4"/>
    <w:rsid w:val="47881532"/>
    <w:rsid w:val="47A5005C"/>
    <w:rsid w:val="47C54534"/>
    <w:rsid w:val="47D42139"/>
    <w:rsid w:val="47D429C9"/>
    <w:rsid w:val="47D76015"/>
    <w:rsid w:val="47E524E0"/>
    <w:rsid w:val="47F70466"/>
    <w:rsid w:val="48124016"/>
    <w:rsid w:val="484336AB"/>
    <w:rsid w:val="48510BF8"/>
    <w:rsid w:val="488717E9"/>
    <w:rsid w:val="48AB197C"/>
    <w:rsid w:val="48C22822"/>
    <w:rsid w:val="48CB3DCC"/>
    <w:rsid w:val="48F32933"/>
    <w:rsid w:val="49227764"/>
    <w:rsid w:val="493D00FA"/>
    <w:rsid w:val="4A4756D4"/>
    <w:rsid w:val="4A686556"/>
    <w:rsid w:val="4ADB7BCB"/>
    <w:rsid w:val="4B1530DD"/>
    <w:rsid w:val="4B2257F9"/>
    <w:rsid w:val="4B590C58"/>
    <w:rsid w:val="4B672501"/>
    <w:rsid w:val="4B72052F"/>
    <w:rsid w:val="4B8464B4"/>
    <w:rsid w:val="4BD456D6"/>
    <w:rsid w:val="4BDE3E16"/>
    <w:rsid w:val="4BE17463"/>
    <w:rsid w:val="4BE60F1D"/>
    <w:rsid w:val="4C60482B"/>
    <w:rsid w:val="4C6B4F7E"/>
    <w:rsid w:val="4C6B646B"/>
    <w:rsid w:val="4C6C1422"/>
    <w:rsid w:val="4C800A2A"/>
    <w:rsid w:val="4CC56D84"/>
    <w:rsid w:val="4CFD207A"/>
    <w:rsid w:val="4CFE5DF2"/>
    <w:rsid w:val="4CFF4044"/>
    <w:rsid w:val="4D391125"/>
    <w:rsid w:val="4D4952BF"/>
    <w:rsid w:val="4D5D6FBD"/>
    <w:rsid w:val="4D706CF0"/>
    <w:rsid w:val="4D93478D"/>
    <w:rsid w:val="4DAA281B"/>
    <w:rsid w:val="4E326C84"/>
    <w:rsid w:val="4E465CA3"/>
    <w:rsid w:val="4E791BD4"/>
    <w:rsid w:val="4EC15329"/>
    <w:rsid w:val="4F2558B8"/>
    <w:rsid w:val="4F612456"/>
    <w:rsid w:val="4F882421"/>
    <w:rsid w:val="4F9D18F3"/>
    <w:rsid w:val="4FA17635"/>
    <w:rsid w:val="4FC24ACB"/>
    <w:rsid w:val="4FD708C1"/>
    <w:rsid w:val="4FE319FB"/>
    <w:rsid w:val="500F0A42"/>
    <w:rsid w:val="501977F1"/>
    <w:rsid w:val="502913D8"/>
    <w:rsid w:val="50506965"/>
    <w:rsid w:val="5060129E"/>
    <w:rsid w:val="506F10C2"/>
    <w:rsid w:val="50962F12"/>
    <w:rsid w:val="50DB26D2"/>
    <w:rsid w:val="50E27F05"/>
    <w:rsid w:val="51256043"/>
    <w:rsid w:val="51453FF0"/>
    <w:rsid w:val="51600E2A"/>
    <w:rsid w:val="518C7E71"/>
    <w:rsid w:val="51A67184"/>
    <w:rsid w:val="51C23892"/>
    <w:rsid w:val="522B58DB"/>
    <w:rsid w:val="52354345"/>
    <w:rsid w:val="526B5CD8"/>
    <w:rsid w:val="527C6137"/>
    <w:rsid w:val="529671F9"/>
    <w:rsid w:val="52972F71"/>
    <w:rsid w:val="52D01FDF"/>
    <w:rsid w:val="52EF424A"/>
    <w:rsid w:val="52F25C18"/>
    <w:rsid w:val="53057EDB"/>
    <w:rsid w:val="534C2FF1"/>
    <w:rsid w:val="534F73A8"/>
    <w:rsid w:val="53690469"/>
    <w:rsid w:val="53784B50"/>
    <w:rsid w:val="538F20EA"/>
    <w:rsid w:val="53A46751"/>
    <w:rsid w:val="53B23B18"/>
    <w:rsid w:val="53B536AF"/>
    <w:rsid w:val="547370C6"/>
    <w:rsid w:val="549534E0"/>
    <w:rsid w:val="54AE00FE"/>
    <w:rsid w:val="54D758A7"/>
    <w:rsid w:val="55004DFD"/>
    <w:rsid w:val="5516017D"/>
    <w:rsid w:val="55230AEC"/>
    <w:rsid w:val="552F123F"/>
    <w:rsid w:val="554633A1"/>
    <w:rsid w:val="557D644E"/>
    <w:rsid w:val="55881DC4"/>
    <w:rsid w:val="55A21A11"/>
    <w:rsid w:val="55BA31FE"/>
    <w:rsid w:val="55C91693"/>
    <w:rsid w:val="55D6790C"/>
    <w:rsid w:val="55E02539"/>
    <w:rsid w:val="56723AD9"/>
    <w:rsid w:val="5697495F"/>
    <w:rsid w:val="56D36A02"/>
    <w:rsid w:val="57B813CA"/>
    <w:rsid w:val="58311772"/>
    <w:rsid w:val="584A6390"/>
    <w:rsid w:val="589917F1"/>
    <w:rsid w:val="58A957AC"/>
    <w:rsid w:val="58C541CF"/>
    <w:rsid w:val="593F1F92"/>
    <w:rsid w:val="5954396A"/>
    <w:rsid w:val="598F49A2"/>
    <w:rsid w:val="5A620ABF"/>
    <w:rsid w:val="5A6F235F"/>
    <w:rsid w:val="5A9051FB"/>
    <w:rsid w:val="5A9A53AC"/>
    <w:rsid w:val="5ABD553F"/>
    <w:rsid w:val="5B244E04"/>
    <w:rsid w:val="5B4B48F9"/>
    <w:rsid w:val="5B500161"/>
    <w:rsid w:val="5B5419FF"/>
    <w:rsid w:val="5B556807"/>
    <w:rsid w:val="5B5A4B3C"/>
    <w:rsid w:val="5B6F6839"/>
    <w:rsid w:val="5BED59B0"/>
    <w:rsid w:val="5BF907F8"/>
    <w:rsid w:val="5C1178F0"/>
    <w:rsid w:val="5C553C81"/>
    <w:rsid w:val="5C643EC4"/>
    <w:rsid w:val="5CDD77D2"/>
    <w:rsid w:val="5E632963"/>
    <w:rsid w:val="5E7223ED"/>
    <w:rsid w:val="5E875C48"/>
    <w:rsid w:val="5ECB647C"/>
    <w:rsid w:val="5F18238C"/>
    <w:rsid w:val="5F2E07B9"/>
    <w:rsid w:val="5F5D2E4C"/>
    <w:rsid w:val="5F8328B3"/>
    <w:rsid w:val="5F96357E"/>
    <w:rsid w:val="5FC1162D"/>
    <w:rsid w:val="5FF23595"/>
    <w:rsid w:val="601761A0"/>
    <w:rsid w:val="60402552"/>
    <w:rsid w:val="60433DF0"/>
    <w:rsid w:val="60487659"/>
    <w:rsid w:val="604C0D0F"/>
    <w:rsid w:val="60621D11"/>
    <w:rsid w:val="606E40F4"/>
    <w:rsid w:val="607641C6"/>
    <w:rsid w:val="60CA62C0"/>
    <w:rsid w:val="60F33A68"/>
    <w:rsid w:val="60FB0B6F"/>
    <w:rsid w:val="6105554A"/>
    <w:rsid w:val="617701F5"/>
    <w:rsid w:val="617E77D6"/>
    <w:rsid w:val="619F14FA"/>
    <w:rsid w:val="61AE5BE1"/>
    <w:rsid w:val="61D2367E"/>
    <w:rsid w:val="61E91DDC"/>
    <w:rsid w:val="62206ADF"/>
    <w:rsid w:val="62744735"/>
    <w:rsid w:val="629923ED"/>
    <w:rsid w:val="629D1EDE"/>
    <w:rsid w:val="62AF1C11"/>
    <w:rsid w:val="62C16B6E"/>
    <w:rsid w:val="62EA0E9B"/>
    <w:rsid w:val="62F92E8C"/>
    <w:rsid w:val="630201A9"/>
    <w:rsid w:val="631065D6"/>
    <w:rsid w:val="63132301"/>
    <w:rsid w:val="631657EC"/>
    <w:rsid w:val="633345F0"/>
    <w:rsid w:val="633A3BD0"/>
    <w:rsid w:val="63410495"/>
    <w:rsid w:val="634C49D0"/>
    <w:rsid w:val="63A331C2"/>
    <w:rsid w:val="63A454EE"/>
    <w:rsid w:val="63B76FCF"/>
    <w:rsid w:val="63BE65AF"/>
    <w:rsid w:val="63D95197"/>
    <w:rsid w:val="63DA0F0F"/>
    <w:rsid w:val="63F518A5"/>
    <w:rsid w:val="641E2BAA"/>
    <w:rsid w:val="643C74D4"/>
    <w:rsid w:val="64877D7C"/>
    <w:rsid w:val="648A6492"/>
    <w:rsid w:val="64A86918"/>
    <w:rsid w:val="64BC23C3"/>
    <w:rsid w:val="64CB1AF0"/>
    <w:rsid w:val="64EF226C"/>
    <w:rsid w:val="65586590"/>
    <w:rsid w:val="65882AED"/>
    <w:rsid w:val="65BA6903"/>
    <w:rsid w:val="65D11E9E"/>
    <w:rsid w:val="65F75DA9"/>
    <w:rsid w:val="661642BB"/>
    <w:rsid w:val="66664CDC"/>
    <w:rsid w:val="669F2171"/>
    <w:rsid w:val="66AA5351"/>
    <w:rsid w:val="66B626E3"/>
    <w:rsid w:val="66F45E44"/>
    <w:rsid w:val="67497707"/>
    <w:rsid w:val="674A1F08"/>
    <w:rsid w:val="67CE48E7"/>
    <w:rsid w:val="67EE4F89"/>
    <w:rsid w:val="681744E0"/>
    <w:rsid w:val="68246BFD"/>
    <w:rsid w:val="68490412"/>
    <w:rsid w:val="68525C6F"/>
    <w:rsid w:val="68617509"/>
    <w:rsid w:val="687C4343"/>
    <w:rsid w:val="688650F8"/>
    <w:rsid w:val="688D02FE"/>
    <w:rsid w:val="68C63810"/>
    <w:rsid w:val="6917406C"/>
    <w:rsid w:val="69392234"/>
    <w:rsid w:val="69450BD9"/>
    <w:rsid w:val="69531548"/>
    <w:rsid w:val="696642AC"/>
    <w:rsid w:val="69B1626F"/>
    <w:rsid w:val="69B875FD"/>
    <w:rsid w:val="69F735DF"/>
    <w:rsid w:val="6A0445F0"/>
    <w:rsid w:val="6A154A4F"/>
    <w:rsid w:val="6A1D1B56"/>
    <w:rsid w:val="6A2B7DCF"/>
    <w:rsid w:val="6A331379"/>
    <w:rsid w:val="6A3F387A"/>
    <w:rsid w:val="6A70612A"/>
    <w:rsid w:val="6A845731"/>
    <w:rsid w:val="6ABF6A96"/>
    <w:rsid w:val="6AE52674"/>
    <w:rsid w:val="6AE572F5"/>
    <w:rsid w:val="6AF43361"/>
    <w:rsid w:val="6B4F21E3"/>
    <w:rsid w:val="6B614F48"/>
    <w:rsid w:val="6B930BEB"/>
    <w:rsid w:val="6BA8544F"/>
    <w:rsid w:val="6BC229B5"/>
    <w:rsid w:val="6C0B435C"/>
    <w:rsid w:val="6C0E79A8"/>
    <w:rsid w:val="6C135715"/>
    <w:rsid w:val="6C4038DA"/>
    <w:rsid w:val="6CEF77DA"/>
    <w:rsid w:val="6CF16A2D"/>
    <w:rsid w:val="6D542122"/>
    <w:rsid w:val="6D6F26C8"/>
    <w:rsid w:val="6D8C327A"/>
    <w:rsid w:val="6DDD3AD6"/>
    <w:rsid w:val="6E445903"/>
    <w:rsid w:val="6E4C0C5C"/>
    <w:rsid w:val="6E7837FF"/>
    <w:rsid w:val="6E9248C1"/>
    <w:rsid w:val="6EAB7730"/>
    <w:rsid w:val="6ED529FF"/>
    <w:rsid w:val="6ED638ED"/>
    <w:rsid w:val="6EE90259"/>
    <w:rsid w:val="6EFF182A"/>
    <w:rsid w:val="6F1057E5"/>
    <w:rsid w:val="6F143527"/>
    <w:rsid w:val="6F3A0AB4"/>
    <w:rsid w:val="6F433E0D"/>
    <w:rsid w:val="6F834209"/>
    <w:rsid w:val="6FB40867"/>
    <w:rsid w:val="6FFB0243"/>
    <w:rsid w:val="6FFB46E7"/>
    <w:rsid w:val="700932EC"/>
    <w:rsid w:val="701446EF"/>
    <w:rsid w:val="70253512"/>
    <w:rsid w:val="704B11CB"/>
    <w:rsid w:val="70893AA1"/>
    <w:rsid w:val="70D171F6"/>
    <w:rsid w:val="70FC24C5"/>
    <w:rsid w:val="70FD63DA"/>
    <w:rsid w:val="71184E25"/>
    <w:rsid w:val="7121017E"/>
    <w:rsid w:val="715E5D43"/>
    <w:rsid w:val="716342F2"/>
    <w:rsid w:val="71804EA4"/>
    <w:rsid w:val="719941B8"/>
    <w:rsid w:val="71B66B18"/>
    <w:rsid w:val="72181581"/>
    <w:rsid w:val="72231CD3"/>
    <w:rsid w:val="7258197D"/>
    <w:rsid w:val="72730565"/>
    <w:rsid w:val="727D13E4"/>
    <w:rsid w:val="729329B5"/>
    <w:rsid w:val="72D80D10"/>
    <w:rsid w:val="7309711B"/>
    <w:rsid w:val="735859AD"/>
    <w:rsid w:val="73740A39"/>
    <w:rsid w:val="73774085"/>
    <w:rsid w:val="7379604F"/>
    <w:rsid w:val="73805FA2"/>
    <w:rsid w:val="738E1A48"/>
    <w:rsid w:val="73977E5F"/>
    <w:rsid w:val="739B4217"/>
    <w:rsid w:val="739F2E03"/>
    <w:rsid w:val="73A330CC"/>
    <w:rsid w:val="73BB3584"/>
    <w:rsid w:val="73D43285"/>
    <w:rsid w:val="7491561A"/>
    <w:rsid w:val="749B1FF5"/>
    <w:rsid w:val="74AF784E"/>
    <w:rsid w:val="757F1917"/>
    <w:rsid w:val="75A60C51"/>
    <w:rsid w:val="75B415C0"/>
    <w:rsid w:val="75BF1D13"/>
    <w:rsid w:val="76124539"/>
    <w:rsid w:val="761A519B"/>
    <w:rsid w:val="765E09ED"/>
    <w:rsid w:val="767E17AB"/>
    <w:rsid w:val="769D2054"/>
    <w:rsid w:val="76A809F9"/>
    <w:rsid w:val="76C27D0D"/>
    <w:rsid w:val="76C4111B"/>
    <w:rsid w:val="76C53359"/>
    <w:rsid w:val="76C770D1"/>
    <w:rsid w:val="76E25CB9"/>
    <w:rsid w:val="76FF4B26"/>
    <w:rsid w:val="775841CD"/>
    <w:rsid w:val="77B92EBE"/>
    <w:rsid w:val="77E00AA8"/>
    <w:rsid w:val="77E93077"/>
    <w:rsid w:val="781F4CEB"/>
    <w:rsid w:val="787768D5"/>
    <w:rsid w:val="78915BE9"/>
    <w:rsid w:val="789C633C"/>
    <w:rsid w:val="7933091C"/>
    <w:rsid w:val="79393B8B"/>
    <w:rsid w:val="79556C16"/>
    <w:rsid w:val="797177C8"/>
    <w:rsid w:val="79786E97"/>
    <w:rsid w:val="79BA4CCB"/>
    <w:rsid w:val="79D33FDF"/>
    <w:rsid w:val="7A214D4A"/>
    <w:rsid w:val="7A3031E0"/>
    <w:rsid w:val="7A5E62FF"/>
    <w:rsid w:val="7A6248B0"/>
    <w:rsid w:val="7A87530A"/>
    <w:rsid w:val="7AA17C39"/>
    <w:rsid w:val="7AD95625"/>
    <w:rsid w:val="7B164C01"/>
    <w:rsid w:val="7B315461"/>
    <w:rsid w:val="7B474C85"/>
    <w:rsid w:val="7B5C7BB7"/>
    <w:rsid w:val="7BB007C5"/>
    <w:rsid w:val="7BE10C35"/>
    <w:rsid w:val="7C2B0102"/>
    <w:rsid w:val="7C2D79D7"/>
    <w:rsid w:val="7C312FD5"/>
    <w:rsid w:val="7C7D6C4C"/>
    <w:rsid w:val="7C803E3E"/>
    <w:rsid w:val="7C850DD6"/>
    <w:rsid w:val="7CB41EA6"/>
    <w:rsid w:val="7CC16371"/>
    <w:rsid w:val="7CE04A49"/>
    <w:rsid w:val="7CEF7382"/>
    <w:rsid w:val="7D1855BE"/>
    <w:rsid w:val="7D2A6EEF"/>
    <w:rsid w:val="7D5A0C9F"/>
    <w:rsid w:val="7D676F18"/>
    <w:rsid w:val="7D681080"/>
    <w:rsid w:val="7D9817C8"/>
    <w:rsid w:val="7DC205F3"/>
    <w:rsid w:val="7DCE343B"/>
    <w:rsid w:val="7DE20C95"/>
    <w:rsid w:val="7E123640"/>
    <w:rsid w:val="7E1C6761"/>
    <w:rsid w:val="7E260B81"/>
    <w:rsid w:val="7E5A6A7D"/>
    <w:rsid w:val="7E710C9F"/>
    <w:rsid w:val="7EB50157"/>
    <w:rsid w:val="7ED22AB7"/>
    <w:rsid w:val="7EDD144D"/>
    <w:rsid w:val="7EE31651"/>
    <w:rsid w:val="7EFB3DBC"/>
    <w:rsid w:val="7F62208D"/>
    <w:rsid w:val="7F791185"/>
    <w:rsid w:val="7F820039"/>
    <w:rsid w:val="7F82628B"/>
    <w:rsid w:val="7FC00B62"/>
    <w:rsid w:val="7FCE327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89776B"/>
  <w15:docId w15:val="{2501A581-815F-472F-9308-6964C3E30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qFormat="1"/>
    <w:lsdException w:name="annotation text" w:semiHidden="1"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iPriority="0" w:qFormat="1"/>
    <w:lsdException w:name="FollowedHyperlink" w:uiPriority="0"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lang w:eastAsia="en-GB"/>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paragraph" w:styleId="Heading3">
    <w:name w:val="heading 3"/>
    <w:basedOn w:val="Normal"/>
    <w:next w:val="Normal"/>
    <w:link w:val="Heading3Char"/>
    <w:uiPriority w:val="9"/>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qFormat/>
    <w:rPr>
      <w:lang w:val="zh-CN" w:eastAsia="zh-CN"/>
    </w:rPr>
  </w:style>
  <w:style w:type="paragraph" w:styleId="BodyText">
    <w:name w:val="Body Text"/>
    <w:basedOn w:val="Normal"/>
    <w:qFormat/>
    <w:pPr>
      <w:jc w:val="both"/>
    </w:pPr>
    <w:rPr>
      <w:b/>
    </w:rPr>
  </w:style>
  <w:style w:type="paragraph" w:styleId="BlockText">
    <w:name w:val="Block Text"/>
    <w:basedOn w:val="Normal"/>
    <w:qFormat/>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BalloonText">
    <w:name w:val="Balloon Text"/>
    <w:basedOn w:val="Normal"/>
    <w:semiHidden/>
    <w:qFormat/>
    <w:rPr>
      <w:rFonts w:ascii="Tahoma" w:hAnsi="Tahoma" w:cs="Tahoma"/>
      <w:sz w:val="16"/>
      <w:szCs w:val="16"/>
    </w:rPr>
  </w:style>
  <w:style w:type="paragraph" w:styleId="Footer">
    <w:name w:val="footer"/>
    <w:basedOn w:val="Normal"/>
    <w:link w:val="FooterChar"/>
    <w:uiPriority w:val="99"/>
    <w:qFormat/>
    <w:pPr>
      <w:tabs>
        <w:tab w:val="center" w:pos="4320"/>
        <w:tab w:val="right" w:pos="8640"/>
      </w:tabs>
    </w:pPr>
  </w:style>
  <w:style w:type="paragraph" w:styleId="Header">
    <w:name w:val="header"/>
    <w:basedOn w:val="Normal"/>
    <w:qFormat/>
    <w:pPr>
      <w:tabs>
        <w:tab w:val="center" w:pos="4320"/>
        <w:tab w:val="right" w:pos="8640"/>
      </w:tabs>
    </w:pPr>
  </w:style>
  <w:style w:type="paragraph" w:styleId="FootnoteText">
    <w:name w:val="footnote text"/>
    <w:basedOn w:val="Normal"/>
    <w:semiHidden/>
    <w:qFormat/>
  </w:style>
  <w:style w:type="paragraph" w:styleId="NormalWeb">
    <w:name w:val="Normal (Web)"/>
    <w:basedOn w:val="Normal"/>
    <w:uiPriority w:val="99"/>
    <w:semiHidden/>
    <w:unhideWhenUsed/>
    <w:qFormat/>
    <w:pPr>
      <w:spacing w:before="100" w:beforeAutospacing="1" w:after="100" w:afterAutospacing="1"/>
    </w:pPr>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qFormat/>
    <w:rPr>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b/>
      <w:bCs/>
    </w:rPr>
  </w:style>
  <w:style w:type="character" w:styleId="FollowedHyperlink">
    <w:name w:val="FollowedHyperlink"/>
    <w:qFormat/>
    <w:rPr>
      <w:color w:val="800080"/>
      <w:u w:val="single"/>
    </w:rPr>
  </w:style>
  <w:style w:type="character" w:styleId="Emphasis">
    <w:name w:val="Emphasis"/>
    <w:basedOn w:val="DefaultParagraphFont"/>
    <w:uiPriority w:val="20"/>
    <w:qFormat/>
    <w:rPr>
      <w:i/>
      <w:iCs/>
    </w:rPr>
  </w:style>
  <w:style w:type="character" w:styleId="Hyperlink">
    <w:name w:val="Hyperlink"/>
    <w:qFormat/>
    <w:rPr>
      <w:color w:val="0000FF"/>
      <w:u w:val="single"/>
    </w:rPr>
  </w:style>
  <w:style w:type="character" w:styleId="CommentReference">
    <w:name w:val="annotation reference"/>
    <w:uiPriority w:val="99"/>
    <w:semiHidden/>
    <w:unhideWhenUsed/>
    <w:qFormat/>
    <w:rPr>
      <w:sz w:val="16"/>
      <w:szCs w:val="16"/>
    </w:rPr>
  </w:style>
  <w:style w:type="character" w:styleId="FootnoteReference">
    <w:name w:val="footnote reference"/>
    <w:semiHidden/>
    <w:qFormat/>
    <w:rPr>
      <w:vertAlign w:val="superscript"/>
    </w:rPr>
  </w:style>
  <w:style w:type="paragraph" w:customStyle="1" w:styleId="HeadingErasmod">
    <w:name w:val="Heading Erasmod"/>
    <w:basedOn w:val="Heading2"/>
    <w:qFormat/>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customStyle="1" w:styleId="MediumList2-Accent21">
    <w:name w:val="Medium List 2 - Accent 21"/>
    <w:hidden/>
    <w:uiPriority w:val="99"/>
    <w:semiHidden/>
    <w:qFormat/>
    <w:rPr>
      <w:rFonts w:ascii="Arial" w:eastAsia="Times New Roman" w:hAnsi="Arial"/>
      <w:lang w:eastAsia="en-GB"/>
    </w:rPr>
  </w:style>
  <w:style w:type="character" w:customStyle="1" w:styleId="CommentTextChar">
    <w:name w:val="Comment Text Char"/>
    <w:link w:val="CommentText"/>
    <w:uiPriority w:val="99"/>
    <w:semiHidden/>
    <w:qFormat/>
    <w:rPr>
      <w:rFonts w:ascii="Arial" w:hAnsi="Arial"/>
    </w:rPr>
  </w:style>
  <w:style w:type="character" w:customStyle="1" w:styleId="CommentSubjectChar">
    <w:name w:val="Comment Subject Char"/>
    <w:link w:val="CommentSubject"/>
    <w:uiPriority w:val="99"/>
    <w:semiHidden/>
    <w:qFormat/>
    <w:rPr>
      <w:rFonts w:ascii="Arial" w:hAnsi="Arial"/>
      <w:b/>
      <w:bCs/>
    </w:rPr>
  </w:style>
  <w:style w:type="character" w:customStyle="1" w:styleId="FooterChar">
    <w:name w:val="Footer Char"/>
    <w:link w:val="Footer"/>
    <w:uiPriority w:val="99"/>
    <w:qFormat/>
    <w:rPr>
      <w:rFonts w:ascii="Arial" w:hAnsi="Arial"/>
    </w:rPr>
  </w:style>
  <w:style w:type="paragraph" w:styleId="ListParagraph">
    <w:name w:val="List Paragraph"/>
    <w:basedOn w:val="Normal"/>
    <w:uiPriority w:val="99"/>
    <w:qFormat/>
    <w:pPr>
      <w:ind w:left="720"/>
    </w:pPr>
  </w:style>
  <w:style w:type="paragraph" w:customStyle="1" w:styleId="1">
    <w:name w:val="修订1"/>
    <w:hidden/>
    <w:uiPriority w:val="99"/>
    <w:semiHidden/>
    <w:qFormat/>
    <w:rPr>
      <w:rFonts w:ascii="Arial" w:eastAsia="Times New Roman" w:hAnsi="Arial"/>
      <w:lang w:eastAsia="en-GB"/>
    </w:rPr>
  </w:style>
  <w:style w:type="paragraph" w:styleId="NoSpacing">
    <w:name w:val="No Spacing"/>
    <w:uiPriority w:val="99"/>
    <w:qFormat/>
    <w:pPr>
      <w:overflowPunct w:val="0"/>
      <w:autoSpaceDE w:val="0"/>
      <w:autoSpaceDN w:val="0"/>
      <w:adjustRightInd w:val="0"/>
    </w:pPr>
    <w:rPr>
      <w:rFonts w:ascii="Calibri" w:eastAsia="Times New Roman" w:hAnsi="Calibri"/>
      <w:sz w:val="22"/>
      <w:lang w:eastAsia="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skip">
    <w:name w:val="skip"/>
    <w:basedOn w:val="DefaultParagraphFont"/>
    <w:qFormat/>
  </w:style>
  <w:style w:type="character" w:customStyle="1" w:styleId="apple-converted-space">
    <w:name w:val="apple-converted-space"/>
    <w:basedOn w:val="DefaultParagraphFont"/>
    <w:qFormat/>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Heading3Char">
    <w:name w:val="Heading 3 Char"/>
    <w:basedOn w:val="DefaultParagraphFont"/>
    <w:link w:val="Heading3"/>
    <w:uiPriority w:val="9"/>
    <w:qFormat/>
    <w:rPr>
      <w:rFonts w:ascii="Arial" w:eastAsia="Times New Roman" w:hAnsi="Arial"/>
      <w:b/>
      <w:bCs/>
      <w:sz w:val="32"/>
      <w:szCs w:val="32"/>
      <w:lang w:val="en-GB" w:eastAsia="en-GB"/>
    </w:rPr>
  </w:style>
  <w:style w:type="paragraph" w:customStyle="1" w:styleId="src">
    <w:name w:val="src"/>
    <w:basedOn w:val="Normal"/>
    <w:qFormat/>
    <w:pPr>
      <w:spacing w:before="100" w:beforeAutospacing="1" w:after="100" w:afterAutospacing="1"/>
    </w:pPr>
    <w:rPr>
      <w:rFonts w:ascii="SimSun" w:eastAsia="SimSun" w:hAnsi="SimSun" w:cs="SimSu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javascript:;" TargetMode="External"/><Relationship Id="rId18" Type="http://schemas.openxmlformats.org/officeDocument/2006/relationships/hyperlink" Target="javascrip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javascript:;" TargetMode="External"/><Relationship Id="rId7" Type="http://schemas.openxmlformats.org/officeDocument/2006/relationships/styles" Target="styles.xml"/><Relationship Id="rId12" Type="http://schemas.openxmlformats.org/officeDocument/2006/relationships/hyperlink" Target="mailto:pgresearch@uwtsd.ac.uk" TargetMode="External"/><Relationship Id="rId17" Type="http://schemas.openxmlformats.org/officeDocument/2006/relationships/hyperlink" Target="javascrip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javascript:;" TargetMode="External"/><Relationship Id="rId20" Type="http://schemas.openxmlformats.org/officeDocument/2006/relationships/hyperlink" Target="javascrip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uwtsd.ac.uk/iiced/protecting-innovation-and-creativity---intellectual-property/" TargetMode="External"/><Relationship Id="rId5" Type="http://schemas.openxmlformats.org/officeDocument/2006/relationships/customXml" Target="../customXml/item5.xml"/><Relationship Id="rId15" Type="http://schemas.openxmlformats.org/officeDocument/2006/relationships/hyperlink" Target="javascript:;" TargetMode="External"/><Relationship Id="rId23" Type="http://schemas.openxmlformats.org/officeDocument/2006/relationships/hyperlink" Target="https://doi.org/10.1177/0018726718773157."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javascrip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javascript:;" TargetMode="External"/><Relationship Id="rId22" Type="http://schemas.openxmlformats.org/officeDocument/2006/relationships/hyperlink" Target="javascript:;"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s:customData xmlns="http://www.wps.cn/officeDocument/2013/wpsCustomData" xmlns:s="http://www.wps.cn/officeDocument/2013/wpsCustomData">
  <customSectProps>
    <customSectPr/>
  </customSectProps>
</s:customDat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655603-7A5C-43BD-94BB-3D3F3BC556FB}">
  <ds:schemaRefs/>
</ds:datastoreItem>
</file>

<file path=customXml/itemProps2.xml><?xml version="1.0" encoding="utf-8"?>
<ds:datastoreItem xmlns:ds="http://schemas.openxmlformats.org/officeDocument/2006/customXml" ds:itemID="{E2530750-672F-40C9-BC07-0F007A50B994}">
  <ds:schemaRefs/>
</ds:datastoreItem>
</file>

<file path=customXml/itemProps3.xml><?xml version="1.0" encoding="utf-8"?>
<ds:datastoreItem xmlns:ds="http://schemas.openxmlformats.org/officeDocument/2006/customXml" ds:itemID="{50F53AFB-84C6-420E-9016-FA1170B99F4A}">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7C9116D7-58DE-4138-A50B-08F928853F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4811</Words>
  <Characters>29300</Characters>
  <Application>Microsoft Office Word</Application>
  <DocSecurity>4</DocSecurity>
  <Lines>244</Lines>
  <Paragraphs>68</Paragraphs>
  <ScaleCrop>false</ScaleCrop>
  <Company>UWTSD</Company>
  <LinksUpToDate>false</LinksUpToDate>
  <CharactersWithSpaces>34043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Caroline Jawad</cp:lastModifiedBy>
  <cp:revision>2</cp:revision>
  <cp:lastPrinted>2016-11-02T14:01:00Z</cp:lastPrinted>
  <dcterms:created xsi:type="dcterms:W3CDTF">2022-03-24T09:37:00Z</dcterms:created>
  <dcterms:modified xsi:type="dcterms:W3CDTF">2022-03-24T09:37:00Z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KSOProductBuildVer">
    <vt:lpwstr>2052-11.1.0.11294</vt:lpwstr>
  </property>
  <property fmtid="{D5CDD505-2E9C-101B-9397-08002B2CF9AE}" pid="7" name="ICV">
    <vt:lpwstr>2D98841E672D4FF887FBECA6396CB11D</vt:lpwstr>
  </property>
</Properties>
</file>