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F523E" w:rsidRDefault="00D91AF5">
      <w:pPr>
        <w:jc w:val="center"/>
        <w:rPr>
          <w:rFonts w:ascii="Times New Roman" w:eastAsia="Times New Roman" w:hAnsi="Times New Roman" w:cs="Times New Roman"/>
          <w:b/>
          <w:color w:val="000000"/>
          <w:sz w:val="32"/>
          <w:szCs w:val="32"/>
          <w:highlight w:val="white"/>
        </w:rPr>
      </w:pPr>
      <w:r>
        <w:rPr>
          <w:rFonts w:ascii="Times New Roman" w:eastAsia="Times New Roman" w:hAnsi="Times New Roman" w:cs="Times New Roman"/>
          <w:b/>
          <w:noProof/>
          <w:sz w:val="24"/>
          <w:szCs w:val="24"/>
        </w:rPr>
        <w:drawing>
          <wp:inline distT="114300" distB="114300" distL="114300" distR="114300" wp14:anchorId="5741FAFC" wp14:editId="19467801">
            <wp:extent cx="2143125" cy="1747838"/>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7"/>
                    <a:srcRect/>
                    <a:stretch>
                      <a:fillRect/>
                    </a:stretch>
                  </pic:blipFill>
                  <pic:spPr>
                    <a:xfrm>
                      <a:off x="0" y="0"/>
                      <a:ext cx="2143125" cy="1747838"/>
                    </a:xfrm>
                    <a:prstGeom prst="rect">
                      <a:avLst/>
                    </a:prstGeom>
                    <a:ln/>
                  </pic:spPr>
                </pic:pic>
              </a:graphicData>
            </a:graphic>
          </wp:inline>
        </w:drawing>
      </w:r>
    </w:p>
    <w:p w14:paraId="00000002" w14:textId="77777777" w:rsidR="000F523E" w:rsidRDefault="000F523E">
      <w:pPr>
        <w:spacing w:line="360" w:lineRule="auto"/>
        <w:jc w:val="center"/>
        <w:rPr>
          <w:rFonts w:ascii="Times New Roman" w:eastAsia="Times New Roman" w:hAnsi="Times New Roman" w:cs="Times New Roman"/>
          <w:b/>
          <w:color w:val="000000"/>
          <w:sz w:val="32"/>
          <w:szCs w:val="32"/>
          <w:highlight w:val="white"/>
        </w:rPr>
      </w:pPr>
    </w:p>
    <w:p w14:paraId="00000003" w14:textId="77777777" w:rsidR="000F523E" w:rsidRDefault="000F523E">
      <w:pPr>
        <w:spacing w:line="360" w:lineRule="auto"/>
        <w:jc w:val="center"/>
        <w:rPr>
          <w:rFonts w:ascii="Times New Roman" w:eastAsia="Times New Roman" w:hAnsi="Times New Roman" w:cs="Times New Roman"/>
          <w:b/>
          <w:color w:val="000000"/>
          <w:sz w:val="32"/>
          <w:szCs w:val="32"/>
          <w:highlight w:val="white"/>
        </w:rPr>
      </w:pPr>
    </w:p>
    <w:p w14:paraId="00000004" w14:textId="77777777" w:rsidR="000F523E" w:rsidRDefault="00D91AF5">
      <w:pPr>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Assignment Title:</w:t>
      </w:r>
    </w:p>
    <w:p w14:paraId="00000005" w14:textId="77777777" w:rsidR="000F523E" w:rsidRDefault="00D91AF5">
      <w:pPr>
        <w:jc w:val="center"/>
        <w:rPr>
          <w:rFonts w:ascii="Times New Roman" w:eastAsia="Times New Roman" w:hAnsi="Times New Roman" w:cs="Times New Roman"/>
          <w:b/>
          <w:color w:val="000000"/>
          <w:sz w:val="32"/>
          <w:szCs w:val="32"/>
          <w:highlight w:val="white"/>
        </w:rPr>
      </w:pPr>
      <w:r>
        <w:rPr>
          <w:rFonts w:ascii="Times New Roman" w:eastAsia="Times New Roman" w:hAnsi="Times New Roman" w:cs="Times New Roman"/>
          <w:b/>
          <w:sz w:val="44"/>
          <w:szCs w:val="44"/>
        </w:rPr>
        <w:t xml:space="preserve"> Assignment- A1 </w:t>
      </w:r>
    </w:p>
    <w:p w14:paraId="00000006" w14:textId="77777777" w:rsidR="000F523E" w:rsidRDefault="00D91AF5">
      <w:pPr>
        <w:spacing w:line="360" w:lineRule="auto"/>
        <w:jc w:val="center"/>
        <w:rPr>
          <w:rFonts w:ascii="Times New Roman" w:eastAsia="Times New Roman" w:hAnsi="Times New Roman" w:cs="Times New Roman"/>
          <w:b/>
          <w:sz w:val="32"/>
          <w:szCs w:val="32"/>
          <w:highlight w:val="white"/>
        </w:rPr>
      </w:pPr>
      <w:proofErr w:type="spellStart"/>
      <w:r>
        <w:rPr>
          <w:rFonts w:ascii="Times New Roman" w:eastAsia="Times New Roman" w:hAnsi="Times New Roman" w:cs="Times New Roman"/>
          <w:b/>
          <w:sz w:val="32"/>
          <w:szCs w:val="32"/>
          <w:highlight w:val="white"/>
        </w:rPr>
        <w:t>Programme</w:t>
      </w:r>
      <w:proofErr w:type="spellEnd"/>
      <w:r>
        <w:rPr>
          <w:rFonts w:ascii="Times New Roman" w:eastAsia="Times New Roman" w:hAnsi="Times New Roman" w:cs="Times New Roman"/>
          <w:b/>
          <w:sz w:val="32"/>
          <w:szCs w:val="32"/>
          <w:highlight w:val="white"/>
        </w:rPr>
        <w:t xml:space="preserve">: BA Business Management (BABM) </w:t>
      </w:r>
    </w:p>
    <w:p w14:paraId="00000007" w14:textId="77777777" w:rsidR="000F523E" w:rsidRDefault="00D91AF5">
      <w:pPr>
        <w:spacing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Module code: LCBB4001 </w:t>
      </w:r>
    </w:p>
    <w:sdt>
      <w:sdtPr>
        <w:tag w:val="goog_rdk_0"/>
        <w:id w:val="-259448868"/>
      </w:sdtPr>
      <w:sdtEndPr/>
      <w:sdtContent>
        <w:p w14:paraId="00000008" w14:textId="77777777" w:rsidR="000F523E" w:rsidRDefault="00D91AF5">
          <w:pPr>
            <w:shd w:val="clear" w:color="auto" w:fill="FFFFFF"/>
            <w:jc w:val="center"/>
            <w:rPr>
              <w:rFonts w:ascii="Times New Roman" w:eastAsia="Times New Roman" w:hAnsi="Times New Roman" w:cs="Times New Roman"/>
              <w:b/>
              <w:color w:val="000000"/>
              <w:sz w:val="32"/>
              <w:szCs w:val="32"/>
              <w:highlight w:val="white"/>
            </w:rPr>
          </w:pPr>
          <w:r>
            <w:rPr>
              <w:rFonts w:ascii="Times New Roman" w:eastAsia="Times New Roman" w:hAnsi="Times New Roman" w:cs="Times New Roman"/>
              <w:b/>
              <w:sz w:val="24"/>
              <w:szCs w:val="24"/>
            </w:rPr>
            <w:t>LEVEL 4 ASSESSMENT</w:t>
          </w:r>
        </w:p>
      </w:sdtContent>
    </w:sdt>
    <w:p w14:paraId="00000009" w14:textId="77777777" w:rsidR="000F523E" w:rsidRDefault="00D91AF5">
      <w:pPr>
        <w:spacing w:line="360" w:lineRule="auto"/>
        <w:jc w:val="center"/>
        <w:rPr>
          <w:rFonts w:ascii="Times New Roman" w:eastAsia="Times New Roman" w:hAnsi="Times New Roman" w:cs="Times New Roman"/>
          <w:b/>
          <w:color w:val="000000"/>
          <w:sz w:val="32"/>
          <w:szCs w:val="32"/>
          <w:highlight w:val="white"/>
        </w:rPr>
      </w:pPr>
      <w:r>
        <w:rPr>
          <w:rFonts w:ascii="Times New Roman" w:eastAsia="Times New Roman" w:hAnsi="Times New Roman" w:cs="Times New Roman"/>
          <w:b/>
          <w:color w:val="000000"/>
          <w:sz w:val="32"/>
          <w:szCs w:val="32"/>
          <w:highlight w:val="white"/>
        </w:rPr>
        <w:t>ACCOUNTING FUNDAMENTALS</w:t>
      </w:r>
    </w:p>
    <w:p w14:paraId="0000000A" w14:textId="77777777" w:rsidR="000F523E" w:rsidRDefault="00D91AF5">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no : 2030081</w:t>
      </w:r>
    </w:p>
    <w:p w14:paraId="0000000B" w14:textId="77777777" w:rsidR="000F523E" w:rsidRDefault="00D91AF5">
      <w:pPr>
        <w:shd w:val="clear" w:color="auto" w:fill="FFFFFF"/>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24"/>
          <w:szCs w:val="24"/>
        </w:rPr>
        <w:t>Student name : Luiza Georgiana Lisac</w:t>
      </w:r>
    </w:p>
    <w:p w14:paraId="0000000C" w14:textId="77777777" w:rsidR="000F523E" w:rsidRDefault="00D91AF5">
      <w:pPr>
        <w:spacing w:line="360" w:lineRule="auto"/>
        <w:jc w:val="center"/>
        <w:rPr>
          <w:rFonts w:ascii="Times New Roman" w:eastAsia="Times New Roman" w:hAnsi="Times New Roman" w:cs="Times New Roman"/>
          <w:b/>
          <w:sz w:val="32"/>
          <w:szCs w:val="32"/>
        </w:rPr>
      </w:pPr>
      <w:r>
        <w:br w:type="page"/>
      </w:r>
    </w:p>
    <w:p w14:paraId="0000000D" w14:textId="77777777" w:rsidR="000F523E" w:rsidRDefault="00D91AF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14:paraId="0000000E" w14:textId="77777777" w:rsidR="000F523E" w:rsidRDefault="000F523E">
      <w:pPr>
        <w:keepNext/>
        <w:keepLines/>
        <w:pBdr>
          <w:top w:val="nil"/>
          <w:left w:val="nil"/>
          <w:bottom w:val="nil"/>
          <w:right w:val="nil"/>
          <w:between w:val="nil"/>
        </w:pBdr>
        <w:spacing w:before="240" w:line="360" w:lineRule="auto"/>
        <w:jc w:val="center"/>
        <w:rPr>
          <w:rFonts w:ascii="Times New Roman" w:eastAsia="Times New Roman" w:hAnsi="Times New Roman" w:cs="Times New Roman"/>
          <w:color w:val="366091"/>
          <w:sz w:val="24"/>
          <w:szCs w:val="24"/>
        </w:rPr>
      </w:pPr>
    </w:p>
    <w:sdt>
      <w:sdtPr>
        <w:id w:val="-1954083877"/>
        <w:docPartObj>
          <w:docPartGallery w:val="Table of Contents"/>
          <w:docPartUnique/>
        </w:docPartObj>
      </w:sdtPr>
      <w:sdtEndPr/>
      <w:sdtContent>
        <w:p w14:paraId="0000000F" w14:textId="77777777" w:rsidR="000F523E" w:rsidRDefault="00D91AF5">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0000010" w14:textId="77777777" w:rsidR="000F523E" w:rsidRDefault="00D91AF5">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Question 1: Preparation of financial statement for the business</w:t>
            </w:r>
            <w:r>
              <w:rPr>
                <w:rFonts w:ascii="Times New Roman" w:eastAsia="Times New Roman" w:hAnsi="Times New Roman" w:cs="Times New Roman"/>
                <w:color w:val="000000"/>
                <w:sz w:val="24"/>
                <w:szCs w:val="24"/>
              </w:rPr>
              <w:tab/>
              <w:t>3</w:t>
            </w:r>
          </w:hyperlink>
        </w:p>
        <w:p w14:paraId="00000011" w14:textId="77777777" w:rsidR="000F523E" w:rsidRDefault="00D91AF5">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 xml:space="preserve">a.) Preparation of income statement of </w:t>
            </w:r>
            <w:r>
              <w:rPr>
                <w:rFonts w:ascii="Times New Roman" w:eastAsia="Times New Roman" w:hAnsi="Times New Roman" w:cs="Times New Roman"/>
                <w:color w:val="000000"/>
                <w:sz w:val="24"/>
                <w:szCs w:val="24"/>
              </w:rPr>
              <w:t>business on 31st December 2020</w:t>
            </w:r>
            <w:r>
              <w:rPr>
                <w:rFonts w:ascii="Times New Roman" w:eastAsia="Times New Roman" w:hAnsi="Times New Roman" w:cs="Times New Roman"/>
                <w:color w:val="000000"/>
                <w:sz w:val="24"/>
                <w:szCs w:val="24"/>
              </w:rPr>
              <w:tab/>
              <w:t>3</w:t>
            </w:r>
          </w:hyperlink>
        </w:p>
        <w:p w14:paraId="00000012" w14:textId="77777777" w:rsidR="000F523E" w:rsidRDefault="00D91AF5">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b.) Why does the financial position matches at the time of computation</w:t>
            </w:r>
            <w:r>
              <w:rPr>
                <w:rFonts w:ascii="Times New Roman" w:eastAsia="Times New Roman" w:hAnsi="Times New Roman" w:cs="Times New Roman"/>
                <w:color w:val="000000"/>
                <w:sz w:val="24"/>
                <w:szCs w:val="24"/>
              </w:rPr>
              <w:tab/>
              <w:t>6</w:t>
            </w:r>
          </w:hyperlink>
        </w:p>
        <w:p w14:paraId="00000013" w14:textId="77777777" w:rsidR="000F523E" w:rsidRDefault="00D91AF5">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Question 2</w:t>
            </w:r>
            <w:r>
              <w:rPr>
                <w:rFonts w:ascii="Times New Roman" w:eastAsia="Times New Roman" w:hAnsi="Times New Roman" w:cs="Times New Roman"/>
                <w:color w:val="000000"/>
                <w:sz w:val="24"/>
                <w:szCs w:val="24"/>
              </w:rPr>
              <w:tab/>
              <w:t>7</w:t>
            </w:r>
          </w:hyperlink>
        </w:p>
        <w:p w14:paraId="00000014" w14:textId="77777777" w:rsidR="000F523E" w:rsidRDefault="00D91AF5">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A. Analysis and</w:t>
            </w:r>
            <w:r>
              <w:rPr>
                <w:rFonts w:ascii="Times New Roman" w:eastAsia="Times New Roman" w:hAnsi="Times New Roman" w:cs="Times New Roman"/>
                <w:color w:val="000000"/>
                <w:sz w:val="24"/>
                <w:szCs w:val="24"/>
              </w:rPr>
              <w:t xml:space="preserve"> explanation of ratios</w:t>
            </w:r>
            <w:r>
              <w:rPr>
                <w:rFonts w:ascii="Times New Roman" w:eastAsia="Times New Roman" w:hAnsi="Times New Roman" w:cs="Times New Roman"/>
                <w:color w:val="000000"/>
                <w:sz w:val="24"/>
                <w:szCs w:val="24"/>
              </w:rPr>
              <w:tab/>
              <w:t>7</w:t>
            </w:r>
          </w:hyperlink>
        </w:p>
        <w:p w14:paraId="00000015" w14:textId="77777777" w:rsidR="000F523E" w:rsidRDefault="00D91AF5">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1. ROCE ratio</w:t>
            </w:r>
            <w:r>
              <w:rPr>
                <w:rFonts w:ascii="Times New Roman" w:eastAsia="Times New Roman" w:hAnsi="Times New Roman" w:cs="Times New Roman"/>
                <w:color w:val="000000"/>
                <w:sz w:val="24"/>
                <w:szCs w:val="24"/>
              </w:rPr>
              <w:tab/>
              <w:t>7</w:t>
            </w:r>
          </w:hyperlink>
        </w:p>
        <w:p w14:paraId="00000016" w14:textId="77777777" w:rsidR="000F523E" w:rsidRDefault="00D91AF5">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1t3h5sf">
            <w:r>
              <w:rPr>
                <w:rFonts w:ascii="Times New Roman" w:eastAsia="Times New Roman" w:hAnsi="Times New Roman" w:cs="Times New Roman"/>
                <w:color w:val="000000"/>
                <w:sz w:val="24"/>
                <w:szCs w:val="24"/>
              </w:rPr>
              <w:t>2. ROE ratio</w:t>
            </w:r>
            <w:r>
              <w:rPr>
                <w:rFonts w:ascii="Times New Roman" w:eastAsia="Times New Roman" w:hAnsi="Times New Roman" w:cs="Times New Roman"/>
                <w:color w:val="000000"/>
                <w:sz w:val="24"/>
                <w:szCs w:val="24"/>
              </w:rPr>
              <w:tab/>
              <w:t>7</w:t>
            </w:r>
          </w:hyperlink>
        </w:p>
        <w:p w14:paraId="00000017" w14:textId="77777777" w:rsidR="000F523E" w:rsidRDefault="00D91AF5">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4d34og8">
            <w:r>
              <w:rPr>
                <w:rFonts w:ascii="Times New Roman" w:eastAsia="Times New Roman" w:hAnsi="Times New Roman" w:cs="Times New Roman"/>
                <w:color w:val="000000"/>
                <w:sz w:val="24"/>
                <w:szCs w:val="24"/>
              </w:rPr>
              <w:t>3. Earning per share</w:t>
            </w:r>
            <w:r>
              <w:rPr>
                <w:rFonts w:ascii="Times New Roman" w:eastAsia="Times New Roman" w:hAnsi="Times New Roman" w:cs="Times New Roman"/>
                <w:color w:val="000000"/>
                <w:sz w:val="24"/>
                <w:szCs w:val="24"/>
              </w:rPr>
              <w:tab/>
              <w:t>8</w:t>
            </w:r>
          </w:hyperlink>
        </w:p>
        <w:p w14:paraId="00000018" w14:textId="77777777" w:rsidR="000F523E" w:rsidRDefault="00D91AF5">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2s8eyo1">
            <w:r>
              <w:rPr>
                <w:rFonts w:ascii="Times New Roman" w:eastAsia="Times New Roman" w:hAnsi="Times New Roman" w:cs="Times New Roman"/>
                <w:color w:val="000000"/>
                <w:sz w:val="24"/>
                <w:szCs w:val="24"/>
              </w:rPr>
              <w:t>4. Net profit</w:t>
            </w:r>
            <w:r>
              <w:rPr>
                <w:rFonts w:ascii="Times New Roman" w:eastAsia="Times New Roman" w:hAnsi="Times New Roman" w:cs="Times New Roman"/>
                <w:color w:val="000000"/>
                <w:sz w:val="24"/>
                <w:szCs w:val="24"/>
              </w:rPr>
              <w:t xml:space="preserve"> margin</w:t>
            </w:r>
            <w:r>
              <w:rPr>
                <w:rFonts w:ascii="Times New Roman" w:eastAsia="Times New Roman" w:hAnsi="Times New Roman" w:cs="Times New Roman"/>
                <w:color w:val="000000"/>
                <w:sz w:val="24"/>
                <w:szCs w:val="24"/>
              </w:rPr>
              <w:tab/>
              <w:t>8</w:t>
            </w:r>
          </w:hyperlink>
        </w:p>
        <w:p w14:paraId="00000019" w14:textId="77777777" w:rsidR="000F523E" w:rsidRDefault="00D91AF5">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17dp8vu">
            <w:r>
              <w:rPr>
                <w:rFonts w:ascii="Times New Roman" w:eastAsia="Times New Roman" w:hAnsi="Times New Roman" w:cs="Times New Roman"/>
                <w:color w:val="000000"/>
                <w:sz w:val="24"/>
                <w:szCs w:val="24"/>
              </w:rPr>
              <w:t>5. Assets turnover ratio</w:t>
            </w:r>
            <w:r>
              <w:rPr>
                <w:rFonts w:ascii="Times New Roman" w:eastAsia="Times New Roman" w:hAnsi="Times New Roman" w:cs="Times New Roman"/>
                <w:color w:val="000000"/>
                <w:sz w:val="24"/>
                <w:szCs w:val="24"/>
              </w:rPr>
              <w:tab/>
              <w:t>9</w:t>
            </w:r>
          </w:hyperlink>
        </w:p>
        <w:p w14:paraId="0000001A" w14:textId="77777777" w:rsidR="000F523E" w:rsidRDefault="00D91AF5">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3rdcrjn">
            <w:r>
              <w:rPr>
                <w:rFonts w:ascii="Times New Roman" w:eastAsia="Times New Roman" w:hAnsi="Times New Roman" w:cs="Times New Roman"/>
                <w:color w:val="000000"/>
                <w:sz w:val="24"/>
                <w:szCs w:val="24"/>
              </w:rPr>
              <w:t>6. Stock holding days</w:t>
            </w:r>
            <w:r>
              <w:rPr>
                <w:rFonts w:ascii="Times New Roman" w:eastAsia="Times New Roman" w:hAnsi="Times New Roman" w:cs="Times New Roman"/>
                <w:color w:val="000000"/>
                <w:sz w:val="24"/>
                <w:szCs w:val="24"/>
              </w:rPr>
              <w:tab/>
              <w:t>10</w:t>
            </w:r>
          </w:hyperlink>
        </w:p>
        <w:p w14:paraId="0000001B" w14:textId="77777777" w:rsidR="000F523E" w:rsidRDefault="00D91AF5">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26in1rg">
            <w:r>
              <w:rPr>
                <w:rFonts w:ascii="Times New Roman" w:eastAsia="Times New Roman" w:hAnsi="Times New Roman" w:cs="Times New Roman"/>
                <w:color w:val="000000"/>
                <w:sz w:val="24"/>
                <w:szCs w:val="24"/>
              </w:rPr>
              <w:t>7. Debtor collection period</w:t>
            </w:r>
            <w:r>
              <w:rPr>
                <w:rFonts w:ascii="Times New Roman" w:eastAsia="Times New Roman" w:hAnsi="Times New Roman" w:cs="Times New Roman"/>
                <w:color w:val="000000"/>
                <w:sz w:val="24"/>
                <w:szCs w:val="24"/>
              </w:rPr>
              <w:tab/>
              <w:t>10</w:t>
            </w:r>
          </w:hyperlink>
        </w:p>
        <w:p w14:paraId="0000001C" w14:textId="77777777" w:rsidR="000F523E" w:rsidRDefault="00D91AF5">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lnxbz9">
            <w:r>
              <w:rPr>
                <w:rFonts w:ascii="Times New Roman" w:eastAsia="Times New Roman" w:hAnsi="Times New Roman" w:cs="Times New Roman"/>
                <w:color w:val="000000"/>
                <w:sz w:val="24"/>
                <w:szCs w:val="24"/>
              </w:rPr>
              <w:t>8. Current ratio</w:t>
            </w:r>
            <w:r>
              <w:rPr>
                <w:rFonts w:ascii="Times New Roman" w:eastAsia="Times New Roman" w:hAnsi="Times New Roman" w:cs="Times New Roman"/>
                <w:color w:val="000000"/>
                <w:sz w:val="24"/>
                <w:szCs w:val="24"/>
              </w:rPr>
              <w:tab/>
              <w:t>11</w:t>
            </w:r>
          </w:hyperlink>
        </w:p>
        <w:p w14:paraId="0000001D" w14:textId="77777777" w:rsidR="000F523E" w:rsidRDefault="00D91AF5">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35nkun2">
            <w:r>
              <w:rPr>
                <w:rFonts w:ascii="Times New Roman" w:eastAsia="Times New Roman" w:hAnsi="Times New Roman" w:cs="Times New Roman"/>
                <w:color w:val="000000"/>
                <w:sz w:val="24"/>
                <w:szCs w:val="24"/>
              </w:rPr>
              <w:t>9. Gearing ratio</w:t>
            </w:r>
            <w:r>
              <w:rPr>
                <w:rFonts w:ascii="Times New Roman" w:eastAsia="Times New Roman" w:hAnsi="Times New Roman" w:cs="Times New Roman"/>
                <w:color w:val="000000"/>
                <w:sz w:val="24"/>
                <w:szCs w:val="24"/>
              </w:rPr>
              <w:tab/>
              <w:t>11</w:t>
            </w:r>
          </w:hyperlink>
        </w:p>
        <w:p w14:paraId="0000001E" w14:textId="77777777" w:rsidR="000F523E" w:rsidRDefault="00D91AF5">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1ksv4uv">
            <w:r>
              <w:rPr>
                <w:rFonts w:ascii="Times New Roman" w:eastAsia="Times New Roman" w:hAnsi="Times New Roman" w:cs="Times New Roman"/>
                <w:color w:val="000000"/>
                <w:sz w:val="24"/>
                <w:szCs w:val="24"/>
              </w:rPr>
              <w:t>10. Inverter cover ratio</w:t>
            </w:r>
            <w:r>
              <w:rPr>
                <w:rFonts w:ascii="Times New Roman" w:eastAsia="Times New Roman" w:hAnsi="Times New Roman" w:cs="Times New Roman"/>
                <w:color w:val="000000"/>
                <w:sz w:val="24"/>
                <w:szCs w:val="24"/>
              </w:rPr>
              <w:tab/>
              <w:t>12</w:t>
            </w:r>
          </w:hyperlink>
        </w:p>
        <w:p w14:paraId="0000001F" w14:textId="77777777" w:rsidR="000F523E" w:rsidRDefault="00D91AF5">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00000"/>
              <w:sz w:val="24"/>
              <w:szCs w:val="24"/>
            </w:rPr>
          </w:pPr>
          <w:hyperlink w:anchor="_heading=h.44sinio">
            <w:r>
              <w:rPr>
                <w:rFonts w:ascii="Times New Roman" w:eastAsia="Times New Roman" w:hAnsi="Times New Roman" w:cs="Times New Roman"/>
                <w:color w:val="000000"/>
                <w:sz w:val="24"/>
                <w:szCs w:val="24"/>
              </w:rPr>
              <w:t>B. Analyze the financial position and performance</w:t>
            </w:r>
            <w:r>
              <w:rPr>
                <w:rFonts w:ascii="Times New Roman" w:eastAsia="Times New Roman" w:hAnsi="Times New Roman" w:cs="Times New Roman"/>
                <w:color w:val="000000"/>
                <w:sz w:val="24"/>
                <w:szCs w:val="24"/>
              </w:rPr>
              <w:tab/>
              <w:t>12</w:t>
            </w:r>
          </w:hyperlink>
        </w:p>
        <w:p w14:paraId="00000020" w14:textId="77777777" w:rsidR="000F523E" w:rsidRDefault="00D91AF5">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00000"/>
              <w:sz w:val="24"/>
              <w:szCs w:val="24"/>
            </w:rPr>
          </w:pPr>
          <w:hyperlink w:anchor="_heading=h.2jxsxqh">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12</w:t>
            </w:r>
          </w:hyperlink>
        </w:p>
        <w:p w14:paraId="00000021" w14:textId="77777777" w:rsidR="000F523E" w:rsidRDefault="00D91AF5">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00000"/>
              <w:sz w:val="24"/>
              <w:szCs w:val="24"/>
            </w:rPr>
          </w:pPr>
          <w:hyperlink w:anchor="_heading=h.z337ya">
            <w:r>
              <w:rPr>
                <w:rFonts w:ascii="Times New Roman" w:eastAsia="Times New Roman" w:hAnsi="Times New Roman" w:cs="Times New Roman"/>
                <w:color w:val="000000"/>
                <w:sz w:val="24"/>
                <w:szCs w:val="24"/>
                <w:highlight w:val="white"/>
              </w:rPr>
              <w:t>References</w:t>
            </w:r>
          </w:hyperlink>
          <w:hyperlink w:anchor="_heading=h.z337ya">
            <w:r>
              <w:rPr>
                <w:rFonts w:ascii="Times New Roman" w:eastAsia="Times New Roman" w:hAnsi="Times New Roman" w:cs="Times New Roman"/>
                <w:color w:val="000000"/>
                <w:sz w:val="24"/>
                <w:szCs w:val="24"/>
              </w:rPr>
              <w:tab/>
              <w:t>14</w:t>
            </w:r>
          </w:hyperlink>
        </w:p>
        <w:p w14:paraId="00000022" w14:textId="77777777" w:rsidR="000F523E" w:rsidRDefault="00D91AF5">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00000"/>
              <w:sz w:val="24"/>
              <w:szCs w:val="24"/>
            </w:rPr>
          </w:pPr>
          <w:hyperlink w:anchor="_heading=h.3j2qqm3">
            <w:r>
              <w:rPr>
                <w:rFonts w:ascii="Times New Roman" w:eastAsia="Times New Roman" w:hAnsi="Times New Roman" w:cs="Times New Roman"/>
                <w:color w:val="000000"/>
                <w:sz w:val="24"/>
                <w:szCs w:val="24"/>
                <w:highlight w:val="white"/>
              </w:rPr>
              <w:t>Bibliography</w:t>
            </w:r>
          </w:hyperlink>
          <w:hyperlink w:anchor="_heading=h.3j2qqm3">
            <w:r>
              <w:rPr>
                <w:rFonts w:ascii="Times New Roman" w:eastAsia="Times New Roman" w:hAnsi="Times New Roman" w:cs="Times New Roman"/>
                <w:color w:val="000000"/>
                <w:sz w:val="24"/>
                <w:szCs w:val="24"/>
              </w:rPr>
              <w:tab/>
              <w:t>15</w:t>
            </w:r>
          </w:hyperlink>
        </w:p>
        <w:p w14:paraId="00000023" w14:textId="77777777" w:rsidR="000F523E" w:rsidRDefault="00D91AF5">
          <w:pPr>
            <w:spacing w:line="360" w:lineRule="auto"/>
            <w:jc w:val="center"/>
          </w:pPr>
          <w:r>
            <w:fldChar w:fldCharType="end"/>
          </w:r>
        </w:p>
      </w:sdtContent>
    </w:sdt>
    <w:p w14:paraId="00000024" w14:textId="77777777" w:rsidR="000F523E" w:rsidRDefault="000F523E"/>
    <w:p w14:paraId="00000025" w14:textId="77777777" w:rsidR="000F523E" w:rsidRDefault="00D91AF5">
      <w:pPr>
        <w:rPr>
          <w:rFonts w:ascii="Times New Roman" w:eastAsia="Times New Roman" w:hAnsi="Times New Roman" w:cs="Times New Roman"/>
          <w:b/>
          <w:sz w:val="24"/>
          <w:szCs w:val="24"/>
        </w:rPr>
      </w:pPr>
      <w:r>
        <w:br w:type="page"/>
      </w:r>
    </w:p>
    <w:p w14:paraId="00000026" w14:textId="77777777" w:rsidR="000F523E" w:rsidRDefault="00D91AF5">
      <w:pPr>
        <w:pStyle w:val="Heading1"/>
      </w:pPr>
      <w:bookmarkStart w:id="0" w:name="_heading=h.gjdgxs" w:colFirst="0" w:colLast="0"/>
      <w:bookmarkEnd w:id="0"/>
      <w:r>
        <w:lastRenderedPageBreak/>
        <w:t xml:space="preserve">Introduction </w:t>
      </w:r>
    </w:p>
    <w:p w14:paraId="00000027"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Accounting and finance play an important role in a business that helps the management to track their income and expenditure conducted during a year. The accounting fundamentals include the systematic way of recording daily transactions of a business in ord</w:t>
      </w:r>
      <w:r>
        <w:rPr>
          <w:rFonts w:ascii="Times New Roman" w:eastAsia="Times New Roman" w:hAnsi="Times New Roman" w:cs="Times New Roman"/>
          <w:sz w:val="24"/>
          <w:szCs w:val="24"/>
        </w:rPr>
        <w:t xml:space="preserve">er to identify the trend of profit structure over the years. The fundamental starts from identifying income or losses of a year till evaluating the final balance of assets and liabilities. This assessment will help to understand the financial statement of </w:t>
      </w:r>
      <w:r>
        <w:rPr>
          <w:rFonts w:ascii="Times New Roman" w:eastAsia="Times New Roman" w:hAnsi="Times New Roman" w:cs="Times New Roman"/>
          <w:sz w:val="24"/>
          <w:szCs w:val="24"/>
        </w:rPr>
        <w:t xml:space="preserve">a business that has been prepared for the year ended 31st December along with its financial position on that date. Furthermore, the ratio analysis has been computed to evaluate the trend of financial position from 2019 to 2020. </w:t>
      </w:r>
    </w:p>
    <w:p w14:paraId="00000028" w14:textId="77777777" w:rsidR="000F523E" w:rsidRDefault="00D91AF5">
      <w:pPr>
        <w:pStyle w:val="Heading1"/>
      </w:pPr>
      <w:bookmarkStart w:id="1" w:name="_heading=h.30j0zll" w:colFirst="0" w:colLast="0"/>
      <w:bookmarkEnd w:id="1"/>
      <w:r>
        <w:t xml:space="preserve">Question 1: Preparation of </w:t>
      </w:r>
      <w:r>
        <w:t xml:space="preserve">financial statement for the business </w:t>
      </w:r>
    </w:p>
    <w:p w14:paraId="00000029" w14:textId="77777777" w:rsidR="000F523E" w:rsidRDefault="00D91AF5">
      <w:pPr>
        <w:pStyle w:val="Heading2"/>
      </w:pPr>
      <w:bookmarkStart w:id="2" w:name="_heading=h.1fob9te" w:colFirst="0" w:colLast="0"/>
      <w:bookmarkEnd w:id="2"/>
      <w:r>
        <w:t xml:space="preserve">a.) Preparation of income statement of business </w:t>
      </w:r>
    </w:p>
    <w:p w14:paraId="0000002A" w14:textId="77777777" w:rsidR="000F523E" w:rsidRDefault="00D91AF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3F768BC4" wp14:editId="41DCAA08">
            <wp:extent cx="4543425" cy="2476500"/>
            <wp:effectExtent l="0" t="0" r="0" b="0"/>
            <wp:docPr id="1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8"/>
                    <a:srcRect/>
                    <a:stretch>
                      <a:fillRect/>
                    </a:stretch>
                  </pic:blipFill>
                  <pic:spPr>
                    <a:xfrm>
                      <a:off x="0" y="0"/>
                      <a:ext cx="4543425" cy="2476500"/>
                    </a:xfrm>
                    <a:prstGeom prst="rect">
                      <a:avLst/>
                    </a:prstGeom>
                    <a:ln/>
                  </pic:spPr>
                </pic:pic>
              </a:graphicData>
            </a:graphic>
          </wp:inline>
        </w:drawing>
      </w:r>
    </w:p>
    <w:p w14:paraId="0000002B" w14:textId="77777777" w:rsidR="000F523E" w:rsidRDefault="00D91AF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Income statement</w:t>
      </w:r>
    </w:p>
    <w:p w14:paraId="0000002C"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0000002D"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income statement has been prepared for 31st December 2020 in order to identify the profit for the year earned b</w:t>
      </w:r>
      <w:r>
        <w:rPr>
          <w:rFonts w:ascii="Times New Roman" w:eastAsia="Times New Roman" w:hAnsi="Times New Roman" w:cs="Times New Roman"/>
          <w:sz w:val="24"/>
          <w:szCs w:val="24"/>
        </w:rPr>
        <w:t xml:space="preserve">y the business. There were different types of expenses that had been identified before proceeding with the income statement. Expenses such as distribution cost, administrative expenses, taxation, and even finance cost have been evaluated for computing the </w:t>
      </w:r>
      <w:r>
        <w:rPr>
          <w:rFonts w:ascii="Times New Roman" w:eastAsia="Times New Roman" w:hAnsi="Times New Roman" w:cs="Times New Roman"/>
          <w:sz w:val="24"/>
          <w:szCs w:val="24"/>
        </w:rPr>
        <w:t xml:space="preserve">income (Robinson, 2020, p.25). The business </w:t>
      </w:r>
      <w:proofErr w:type="spellStart"/>
      <w:r>
        <w:rPr>
          <w:rFonts w:ascii="Times New Roman" w:eastAsia="Times New Roman" w:hAnsi="Times New Roman" w:cs="Times New Roman"/>
          <w:sz w:val="24"/>
          <w:szCs w:val="24"/>
        </w:rPr>
        <w:t>Kedision</w:t>
      </w:r>
      <w:proofErr w:type="spellEnd"/>
      <w:r>
        <w:rPr>
          <w:rFonts w:ascii="Times New Roman" w:eastAsia="Times New Roman" w:hAnsi="Times New Roman" w:cs="Times New Roman"/>
          <w:sz w:val="24"/>
          <w:szCs w:val="24"/>
        </w:rPr>
        <w:t xml:space="preserve"> PLC is observed to be having a revenue balance of </w:t>
      </w:r>
      <w:r>
        <w:rPr>
          <w:rFonts w:ascii="Times New Roman" w:eastAsia="Times New Roman" w:hAnsi="Times New Roman" w:cs="Times New Roman"/>
          <w:sz w:val="24"/>
          <w:szCs w:val="24"/>
        </w:rPr>
        <w:lastRenderedPageBreak/>
        <w:t xml:space="preserve">£826650 that has been earned in the respective year. Furthermore, the company has made a certain cost of sales that has been evaluated at £578650. </w:t>
      </w:r>
    </w:p>
    <w:p w14:paraId="0000002E"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w:t>
      </w:r>
      <w:r>
        <w:rPr>
          <w:rFonts w:ascii="Times New Roman" w:eastAsia="Times New Roman" w:hAnsi="Times New Roman" w:cs="Times New Roman"/>
          <w:sz w:val="24"/>
          <w:szCs w:val="24"/>
        </w:rPr>
        <w:t>ross profit is computed by deducting the value of the cost of sales made with the revenue earned during the year (Hajek and Henriques, 2017, p.139). The gross profit has been evaluated at £248000. There were certain other costs as well that have been deduc</w:t>
      </w:r>
      <w:r>
        <w:rPr>
          <w:rFonts w:ascii="Times New Roman" w:eastAsia="Times New Roman" w:hAnsi="Times New Roman" w:cs="Times New Roman"/>
          <w:sz w:val="24"/>
          <w:szCs w:val="24"/>
        </w:rPr>
        <w:t>ted from the gross profit earned during the year. Cost such as distribution cost that has been evaluated at £28000 and administrative expenses of £30000 has been deducted in the income statement. There were no other incomes that have been identified in the</w:t>
      </w:r>
      <w:r>
        <w:rPr>
          <w:rFonts w:ascii="Times New Roman" w:eastAsia="Times New Roman" w:hAnsi="Times New Roman" w:cs="Times New Roman"/>
          <w:sz w:val="24"/>
          <w:szCs w:val="24"/>
        </w:rPr>
        <w:t xml:space="preserve"> business in the year 2020. The operating income after deducting all the costs with the gross profit has been computed at £190000. </w:t>
      </w:r>
    </w:p>
    <w:p w14:paraId="0000002F"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respective company has made no income from their investment during the year. Additionally, the finance cost which is als</w:t>
      </w:r>
      <w:r>
        <w:rPr>
          <w:rFonts w:ascii="Times New Roman" w:eastAsia="Times New Roman" w:hAnsi="Times New Roman" w:cs="Times New Roman"/>
          <w:sz w:val="24"/>
          <w:szCs w:val="24"/>
        </w:rPr>
        <w:t>o known as interest cost has been deducted from the operating profit in 2020. The finance cost is observed to be recorded at £2000 that has helped to evaluate the value of profit before business taxation. The profit of the business before such taxation has</w:t>
      </w:r>
      <w:r>
        <w:rPr>
          <w:rFonts w:ascii="Times New Roman" w:eastAsia="Times New Roman" w:hAnsi="Times New Roman" w:cs="Times New Roman"/>
          <w:sz w:val="24"/>
          <w:szCs w:val="24"/>
        </w:rPr>
        <w:t xml:space="preserve"> been computed for the year is recorded at £188000. However, the value of taxation paid by the business for their operation is recorded at £68000. This tax is also known as corporation tax which was estimated by the management during the computation of its</w:t>
      </w:r>
      <w:r>
        <w:rPr>
          <w:rFonts w:ascii="Times New Roman" w:eastAsia="Times New Roman" w:hAnsi="Times New Roman" w:cs="Times New Roman"/>
          <w:sz w:val="24"/>
          <w:szCs w:val="24"/>
        </w:rPr>
        <w:t xml:space="preserve"> income statement. The value of net profit achieved by the business on the ending date of December has been evaluated by deducting the value of tax from profit before taxation (Boeckx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2017, p.279). Therefore, the net profit earned by the business at</w:t>
      </w:r>
      <w:r>
        <w:rPr>
          <w:rFonts w:ascii="Times New Roman" w:eastAsia="Times New Roman" w:hAnsi="Times New Roman" w:cs="Times New Roman"/>
          <w:sz w:val="24"/>
          <w:szCs w:val="24"/>
        </w:rPr>
        <w:t xml:space="preserve"> the end of its financial year is £120000. </w:t>
      </w:r>
    </w:p>
    <w:p w14:paraId="00000030" w14:textId="77777777" w:rsidR="000F523E" w:rsidRDefault="000F523E">
      <w:pPr>
        <w:spacing w:line="360" w:lineRule="auto"/>
        <w:jc w:val="both"/>
        <w:rPr>
          <w:rFonts w:ascii="Times New Roman" w:eastAsia="Times New Roman" w:hAnsi="Times New Roman" w:cs="Times New Roman"/>
          <w:sz w:val="24"/>
          <w:szCs w:val="24"/>
        </w:rPr>
      </w:pPr>
    </w:p>
    <w:p w14:paraId="00000031"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4973C7DA" wp14:editId="79C6D2F4">
            <wp:extent cx="4552950" cy="3981450"/>
            <wp:effectExtent l="0" t="0" r="0" b="0"/>
            <wp:docPr id="1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4552950" cy="3981450"/>
                    </a:xfrm>
                    <a:prstGeom prst="rect">
                      <a:avLst/>
                    </a:prstGeom>
                    <a:ln/>
                  </pic:spPr>
                </pic:pic>
              </a:graphicData>
            </a:graphic>
          </wp:inline>
        </w:drawing>
      </w:r>
    </w:p>
    <w:p w14:paraId="00000032" w14:textId="77777777" w:rsidR="000F523E" w:rsidRDefault="00D91AF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Financial position</w:t>
      </w:r>
    </w:p>
    <w:p w14:paraId="00000033"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00000034"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financial position has been computed for the business </w:t>
      </w:r>
      <w:proofErr w:type="spellStart"/>
      <w:r>
        <w:rPr>
          <w:rFonts w:ascii="Times New Roman" w:eastAsia="Times New Roman" w:hAnsi="Times New Roman" w:cs="Times New Roman"/>
          <w:sz w:val="24"/>
          <w:szCs w:val="24"/>
        </w:rPr>
        <w:t>Kedisen</w:t>
      </w:r>
      <w:proofErr w:type="spellEnd"/>
      <w:r>
        <w:rPr>
          <w:rFonts w:ascii="Times New Roman" w:eastAsia="Times New Roman" w:hAnsi="Times New Roman" w:cs="Times New Roman"/>
          <w:sz w:val="24"/>
          <w:szCs w:val="24"/>
        </w:rPr>
        <w:t xml:space="preserve"> PLC on December 31st, 2020. The motive of preparing the financial position is to identify the final value of Assets and liabilities during the year (</w:t>
      </w:r>
      <w:proofErr w:type="spellStart"/>
      <w:r>
        <w:rPr>
          <w:rFonts w:ascii="Times New Roman" w:eastAsia="Times New Roman" w:hAnsi="Times New Roman" w:cs="Times New Roman"/>
          <w:sz w:val="24"/>
          <w:szCs w:val="24"/>
        </w:rPr>
        <w:t>Rengganis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 p.1). This stateme</w:t>
      </w:r>
      <w:r>
        <w:rPr>
          <w:rFonts w:ascii="Times New Roman" w:eastAsia="Times New Roman" w:hAnsi="Times New Roman" w:cs="Times New Roman"/>
          <w:sz w:val="24"/>
          <w:szCs w:val="24"/>
        </w:rPr>
        <w:t>nt includes the important value of assets, capital, debentures, liabilities, cash, and many more items on their final value after adjustment. The organization is observed to be having their total asset from a mixture of current and noncurrent assets on Dec</w:t>
      </w:r>
      <w:r>
        <w:rPr>
          <w:rFonts w:ascii="Times New Roman" w:eastAsia="Times New Roman" w:hAnsi="Times New Roman" w:cs="Times New Roman"/>
          <w:sz w:val="24"/>
          <w:szCs w:val="24"/>
        </w:rPr>
        <w:t xml:space="preserve">ember 31st. On the other hand, the business has only current liabilities and equity value as their total liabilities. </w:t>
      </w:r>
    </w:p>
    <w:p w14:paraId="00000035"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value of assets includes non-current assets of £632730 of property, plant, and equipment. The respective businesses do not have any v</w:t>
      </w:r>
      <w:r>
        <w:rPr>
          <w:rFonts w:ascii="Times New Roman" w:eastAsia="Times New Roman" w:hAnsi="Times New Roman" w:cs="Times New Roman"/>
          <w:sz w:val="24"/>
          <w:szCs w:val="24"/>
        </w:rPr>
        <w:t>alue for their intangible assets during the year. Furthermore, the value of the current asset includes cash balance, trade receivables, and inventories on the end date of December 31st. The value of inventory on financial position is observed to be recorde</w:t>
      </w:r>
      <w:r>
        <w:rPr>
          <w:rFonts w:ascii="Times New Roman" w:eastAsia="Times New Roman" w:hAnsi="Times New Roman" w:cs="Times New Roman"/>
          <w:sz w:val="24"/>
          <w:szCs w:val="24"/>
        </w:rPr>
        <w:t xml:space="preserve">d at £330600. The value of cash on the entered date is observed to be evaluated at £12900 and a trade receivable balance of £170125. The combination of current and noncurrent assets of the business is computed at £1146355 on 31st December 2020. </w:t>
      </w:r>
    </w:p>
    <w:p w14:paraId="00000036"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liabil</w:t>
      </w:r>
      <w:r>
        <w:rPr>
          <w:rFonts w:ascii="Times New Roman" w:eastAsia="Times New Roman" w:hAnsi="Times New Roman" w:cs="Times New Roman"/>
          <w:sz w:val="24"/>
          <w:szCs w:val="24"/>
        </w:rPr>
        <w:t>ities of the respective business include the combination of current liabilities and equity that has been recorded in the statement of financial position. The company is observed to be having a current liability such as a trade creditor recorded at £171355.</w:t>
      </w:r>
      <w:r>
        <w:rPr>
          <w:rFonts w:ascii="Times New Roman" w:eastAsia="Times New Roman" w:hAnsi="Times New Roman" w:cs="Times New Roman"/>
          <w:sz w:val="24"/>
          <w:szCs w:val="24"/>
        </w:rPr>
        <w:t xml:space="preserve"> The business does not have any valuation left for its non-current liabilities as it has zero value recorded in the books of accounts. Furthermore, the company has a share capital in their equity value recorded in the books at £710000 and a share premium v</w:t>
      </w:r>
      <w:r>
        <w:rPr>
          <w:rFonts w:ascii="Times New Roman" w:eastAsia="Times New Roman" w:hAnsi="Times New Roman" w:cs="Times New Roman"/>
          <w:sz w:val="24"/>
          <w:szCs w:val="24"/>
        </w:rPr>
        <w:t xml:space="preserve">alue of £13000. The respective organizations also have retained earnings that include the value of net profit and profit on the beginning of £252000. Therefore, the total value of liabilities is computed at £1146355 on 31st December 2020. </w:t>
      </w:r>
    </w:p>
    <w:p w14:paraId="00000037" w14:textId="77777777" w:rsidR="000F523E" w:rsidRDefault="00D91AF5">
      <w:pPr>
        <w:pStyle w:val="Heading2"/>
      </w:pPr>
      <w:bookmarkStart w:id="3" w:name="_heading=h.3znysh7" w:colFirst="0" w:colLast="0"/>
      <w:bookmarkEnd w:id="3"/>
      <w:r>
        <w:t>b.) Why does the</w:t>
      </w:r>
      <w:r>
        <w:t xml:space="preserve"> financial position matches at the time of computation </w:t>
      </w:r>
    </w:p>
    <w:p w14:paraId="00000038"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term financial position refers to the balance sheet that is prepared for the business at the end of its accounting year. The financial position is computed with a combination of the final value of</w:t>
      </w:r>
      <w:r>
        <w:rPr>
          <w:rFonts w:ascii="Times New Roman" w:eastAsia="Times New Roman" w:hAnsi="Times New Roman" w:cs="Times New Roman"/>
          <w:sz w:val="24"/>
          <w:szCs w:val="24"/>
        </w:rPr>
        <w:t xml:space="preserve"> the assets and liabilities after considering necessary adjustments on it (Omidi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 p.25). The motive of preparing the financial position is to identify the health of a business during the period. Furthermore, it is also helpful for the investors</w:t>
      </w:r>
      <w:r>
        <w:rPr>
          <w:rFonts w:ascii="Times New Roman" w:eastAsia="Times New Roman" w:hAnsi="Times New Roman" w:cs="Times New Roman"/>
          <w:sz w:val="24"/>
          <w:szCs w:val="24"/>
        </w:rPr>
        <w:t xml:space="preserve"> and other stakeholders to understand the financial position and to conduct future investments in it. </w:t>
      </w:r>
    </w:p>
    <w:p w14:paraId="00000039"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principle of double accounting or double-entry system helps to match the position of Assets and liabilities on their financial dates. According to th</w:t>
      </w:r>
      <w:r>
        <w:rPr>
          <w:rFonts w:ascii="Times New Roman" w:eastAsia="Times New Roman" w:hAnsi="Times New Roman" w:cs="Times New Roman"/>
          <w:sz w:val="24"/>
          <w:szCs w:val="24"/>
        </w:rPr>
        <w:t>e accounting standard, every entry has its own corresponding entry that is recorded in the other books (</w:t>
      </w:r>
      <w:proofErr w:type="spellStart"/>
      <w:r>
        <w:rPr>
          <w:rFonts w:ascii="Times New Roman" w:eastAsia="Times New Roman" w:hAnsi="Times New Roman" w:cs="Times New Roman"/>
          <w:sz w:val="24"/>
          <w:szCs w:val="24"/>
        </w:rPr>
        <w:t>Kewo</w:t>
      </w:r>
      <w:proofErr w:type="spellEnd"/>
      <w:r>
        <w:rPr>
          <w:rFonts w:ascii="Times New Roman" w:eastAsia="Times New Roman" w:hAnsi="Times New Roman" w:cs="Times New Roman"/>
          <w:sz w:val="24"/>
          <w:szCs w:val="24"/>
        </w:rPr>
        <w:t>, 2017, p.568). This double-entry principle is responsible for the proper match of both sides of financial positions. The term balance indicates tha</w:t>
      </w:r>
      <w:r>
        <w:rPr>
          <w:rFonts w:ascii="Times New Roman" w:eastAsia="Times New Roman" w:hAnsi="Times New Roman" w:cs="Times New Roman"/>
          <w:sz w:val="24"/>
          <w:szCs w:val="24"/>
        </w:rPr>
        <w:t xml:space="preserve">t the financial accounting must tally with each other in order to identify the correct placement of cost and evaluation of profit during a year. It is important that the balance sheet needs to be Tally as it will help the management to identify that every </w:t>
      </w:r>
      <w:r>
        <w:rPr>
          <w:rFonts w:ascii="Times New Roman" w:eastAsia="Times New Roman" w:hAnsi="Times New Roman" w:cs="Times New Roman"/>
          <w:sz w:val="24"/>
          <w:szCs w:val="24"/>
        </w:rPr>
        <w:t xml:space="preserve">transaction has been placed on its corresponding sides (Anning and Adusei, 2020, p.1). The matching principle of the balance sheet can be easily understood with the help of an example. If a company has purchased machinery worth £7000 on a loan. Therefore, </w:t>
      </w:r>
      <w:r>
        <w:rPr>
          <w:rFonts w:ascii="Times New Roman" w:eastAsia="Times New Roman" w:hAnsi="Times New Roman" w:cs="Times New Roman"/>
          <w:sz w:val="24"/>
          <w:szCs w:val="24"/>
        </w:rPr>
        <w:t>the entry for purchasing machinery will be recorded in two different places such as assets that will reflect the transaction. Furthermore, the value of liabilities will be increased by a similar number as the machinery has been purchased on loan. This is t</w:t>
      </w:r>
      <w:r>
        <w:rPr>
          <w:rFonts w:ascii="Times New Roman" w:eastAsia="Times New Roman" w:hAnsi="Times New Roman" w:cs="Times New Roman"/>
          <w:sz w:val="24"/>
          <w:szCs w:val="24"/>
        </w:rPr>
        <w:t xml:space="preserve">he major reason behind the matching of balance sheets at the end of an accounting year. </w:t>
      </w:r>
    </w:p>
    <w:p w14:paraId="0000003A" w14:textId="77777777" w:rsidR="000F523E" w:rsidRDefault="00D91AF5">
      <w:pPr>
        <w:rPr>
          <w:rFonts w:ascii="Times New Roman" w:eastAsia="Times New Roman" w:hAnsi="Times New Roman" w:cs="Times New Roman"/>
          <w:b/>
          <w:color w:val="000000"/>
          <w:sz w:val="24"/>
          <w:szCs w:val="24"/>
        </w:rPr>
      </w:pPr>
      <w:r>
        <w:br w:type="page"/>
      </w:r>
    </w:p>
    <w:p w14:paraId="0000003B" w14:textId="77777777" w:rsidR="000F523E" w:rsidRDefault="00D91AF5">
      <w:pPr>
        <w:pStyle w:val="Heading1"/>
      </w:pPr>
      <w:bookmarkStart w:id="4" w:name="_heading=h.2et92p0" w:colFirst="0" w:colLast="0"/>
      <w:bookmarkEnd w:id="4"/>
      <w:r>
        <w:lastRenderedPageBreak/>
        <w:t>Question 2</w:t>
      </w:r>
    </w:p>
    <w:p w14:paraId="0000003C" w14:textId="77777777" w:rsidR="000F523E" w:rsidRDefault="00D91AF5">
      <w:pPr>
        <w:pStyle w:val="Heading1"/>
      </w:pPr>
      <w:bookmarkStart w:id="5" w:name="_heading=h.tyjcwt" w:colFirst="0" w:colLast="0"/>
      <w:bookmarkEnd w:id="5"/>
      <w:r>
        <w:t>A. Explanation of ratios</w:t>
      </w:r>
    </w:p>
    <w:p w14:paraId="0000003D" w14:textId="77777777" w:rsidR="000F523E" w:rsidRDefault="00D91AF5">
      <w:pPr>
        <w:pStyle w:val="Heading2"/>
      </w:pPr>
      <w:bookmarkStart w:id="6" w:name="_heading=h.3dy6vkm" w:colFirst="0" w:colLast="0"/>
      <w:bookmarkEnd w:id="6"/>
      <w:r>
        <w:t>1. ROCE ratio</w:t>
      </w:r>
    </w:p>
    <w:p w14:paraId="0000003E"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B97D5E5" wp14:editId="6AF5AAC0">
            <wp:extent cx="5943600" cy="660400"/>
            <wp:effectExtent l="0" t="0" r="0" b="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660400"/>
                    </a:xfrm>
                    <a:prstGeom prst="rect">
                      <a:avLst/>
                    </a:prstGeom>
                    <a:ln/>
                  </pic:spPr>
                </pic:pic>
              </a:graphicData>
            </a:graphic>
          </wp:inline>
        </w:drawing>
      </w:r>
    </w:p>
    <w:p w14:paraId="0000003F" w14:textId="77777777" w:rsidR="000F523E" w:rsidRDefault="00D91AF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Computation of ratio</w:t>
      </w:r>
    </w:p>
    <w:p w14:paraId="00000040"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00000041"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respective ratio leads to employed helps in the measurement of the organization named </w:t>
      </w:r>
      <w:proofErr w:type="spellStart"/>
      <w:r>
        <w:rPr>
          <w:rFonts w:ascii="Times New Roman" w:eastAsia="Times New Roman" w:hAnsi="Times New Roman" w:cs="Times New Roman"/>
          <w:sz w:val="24"/>
          <w:szCs w:val="24"/>
        </w:rPr>
        <w:t>Chocco</w:t>
      </w:r>
      <w:proofErr w:type="spellEnd"/>
      <w:r>
        <w:rPr>
          <w:rFonts w:ascii="Times New Roman" w:eastAsia="Times New Roman" w:hAnsi="Times New Roman" w:cs="Times New Roman"/>
          <w:sz w:val="24"/>
          <w:szCs w:val="24"/>
        </w:rPr>
        <w:t xml:space="preserve"> Plc has been using the capital to generate the profit. </w:t>
      </w:r>
    </w:p>
    <w:p w14:paraId="00000042"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above figure, the ratio has been presented of two years, as the profit before tax and interest i</w:t>
      </w:r>
      <w:r>
        <w:rPr>
          <w:rFonts w:ascii="Times New Roman" w:eastAsia="Times New Roman" w:hAnsi="Times New Roman" w:cs="Times New Roman"/>
          <w:sz w:val="24"/>
          <w:szCs w:val="24"/>
        </w:rPr>
        <w:t>n the year of 2019 amounts to £720 and the year of 2020 the profit before tax and the interest amounts to £846. The capital employed of the year amounts to £7225 for the year 2019. The employment of capital for the year 2020 amounts to £7041. The ratio whi</w:t>
      </w:r>
      <w:r>
        <w:rPr>
          <w:rFonts w:ascii="Times New Roman" w:eastAsia="Times New Roman" w:hAnsi="Times New Roman" w:cs="Times New Roman"/>
          <w:sz w:val="24"/>
          <w:szCs w:val="24"/>
        </w:rPr>
        <w:t>ch has been computed by application of the formula is 10% in the year 2019 and 12% in 2020.</w:t>
      </w:r>
    </w:p>
    <w:p w14:paraId="00000043"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 of the respective year of 2019 amounts to 10% and of the 2020 is 12%. The current year ratio has been increased than the previous years which helps to ana</w:t>
      </w:r>
      <w:r>
        <w:rPr>
          <w:rFonts w:ascii="Times New Roman" w:eastAsia="Times New Roman" w:hAnsi="Times New Roman" w:cs="Times New Roman"/>
          <w:sz w:val="24"/>
          <w:szCs w:val="24"/>
        </w:rPr>
        <w:t>lyze that the profit has increased.</w:t>
      </w:r>
    </w:p>
    <w:p w14:paraId="00000044"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ratio of return on effective capital employed can get improved by increasing the employment of capital and by revoking the unwanted asset for the business. </w:t>
      </w:r>
    </w:p>
    <w:p w14:paraId="00000045" w14:textId="77777777" w:rsidR="000F523E" w:rsidRDefault="00D91AF5">
      <w:pPr>
        <w:pStyle w:val="Heading2"/>
      </w:pPr>
      <w:bookmarkStart w:id="7" w:name="_heading=h.1t3h5sf" w:colFirst="0" w:colLast="0"/>
      <w:bookmarkEnd w:id="7"/>
      <w:r>
        <w:t>2. ROE ratio</w:t>
      </w:r>
    </w:p>
    <w:p w14:paraId="00000046"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DA46B8D" wp14:editId="57BEFE53">
            <wp:extent cx="5943600" cy="723900"/>
            <wp:effectExtent l="0" t="0" r="0" b="0"/>
            <wp:docPr id="1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943600" cy="723900"/>
                    </a:xfrm>
                    <a:prstGeom prst="rect">
                      <a:avLst/>
                    </a:prstGeom>
                    <a:ln/>
                  </pic:spPr>
                </pic:pic>
              </a:graphicData>
            </a:graphic>
          </wp:inline>
        </w:drawing>
      </w:r>
    </w:p>
    <w:p w14:paraId="00000047" w14:textId="77777777" w:rsidR="000F523E" w:rsidRDefault="00D91AF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Computation of ratio</w:t>
      </w:r>
    </w:p>
    <w:p w14:paraId="00000048"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w:t>
      </w:r>
      <w:r>
        <w:rPr>
          <w:rFonts w:ascii="Times New Roman" w:eastAsia="Times New Roman" w:hAnsi="Times New Roman" w:cs="Times New Roman"/>
          <w:sz w:val="24"/>
          <w:szCs w:val="24"/>
        </w:rPr>
        <w:t>-developed)</w:t>
      </w:r>
    </w:p>
    <w:p w14:paraId="00000049"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concept regarding return on equity ratio has led to measuring the return which has been achieved by investing in the common stocks of the organization. </w:t>
      </w:r>
    </w:p>
    <w:p w14:paraId="0000004A"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the above-stated figure, the total equity has been provided with the amount of £300 </w:t>
      </w:r>
      <w:r>
        <w:rPr>
          <w:rFonts w:ascii="Times New Roman" w:eastAsia="Times New Roman" w:hAnsi="Times New Roman" w:cs="Times New Roman"/>
          <w:sz w:val="24"/>
          <w:szCs w:val="24"/>
        </w:rPr>
        <w:t xml:space="preserve">in the year 2019 and the amount of equity which has been provided for the year 2020 remains the same. </w:t>
      </w:r>
    </w:p>
    <w:p w14:paraId="0000004B"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ratio leads to get increased from the previous year of 2019 to the amount of 1.44. It has not reached up to the ideal amount which is 10%. </w:t>
      </w:r>
    </w:p>
    <w:p w14:paraId="0000004C"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w:t>
      </w:r>
      <w:r>
        <w:rPr>
          <w:rFonts w:ascii="Times New Roman" w:eastAsia="Times New Roman" w:hAnsi="Times New Roman" w:cs="Times New Roman"/>
          <w:sz w:val="24"/>
          <w:szCs w:val="24"/>
        </w:rPr>
        <w:t xml:space="preserve"> of return on equity can be effectively improved by increasing the price of nth services and the selling products of the organization. The reduction in the cost of labor will also lead to improving the ratio of the return on equity.</w:t>
      </w:r>
    </w:p>
    <w:p w14:paraId="0000004D" w14:textId="77777777" w:rsidR="000F523E" w:rsidRDefault="00D91AF5">
      <w:pPr>
        <w:pStyle w:val="Heading2"/>
      </w:pPr>
      <w:bookmarkStart w:id="8" w:name="_heading=h.4d34og8" w:colFirst="0" w:colLast="0"/>
      <w:bookmarkEnd w:id="8"/>
      <w:r>
        <w:t xml:space="preserve">3. </w:t>
      </w:r>
      <w:proofErr w:type="spellStart"/>
      <w:r>
        <w:t>Earning</w:t>
      </w:r>
      <w:proofErr w:type="spellEnd"/>
      <w:r>
        <w:t xml:space="preserve"> per share</w:t>
      </w:r>
    </w:p>
    <w:p w14:paraId="0000004E"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52FAAF7" wp14:editId="20BEA664">
            <wp:extent cx="5943600" cy="812800"/>
            <wp:effectExtent l="0" t="0" r="0" b="0"/>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943600" cy="812800"/>
                    </a:xfrm>
                    <a:prstGeom prst="rect">
                      <a:avLst/>
                    </a:prstGeom>
                    <a:ln/>
                  </pic:spPr>
                </pic:pic>
              </a:graphicData>
            </a:graphic>
          </wp:inline>
        </w:drawing>
      </w:r>
    </w:p>
    <w:p w14:paraId="0000004F" w14:textId="77777777" w:rsidR="000F523E" w:rsidRDefault="00D91AF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Computation of ratio</w:t>
      </w:r>
    </w:p>
    <w:p w14:paraId="00000050"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00000051"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respect ratio regarding earning per share helps to measure the profitability of the organization and it can be calculated by dividing the net income of the company by the total amount of shares o</w:t>
      </w:r>
      <w:r>
        <w:rPr>
          <w:rFonts w:ascii="Times New Roman" w:eastAsia="Times New Roman" w:hAnsi="Times New Roman" w:cs="Times New Roman"/>
          <w:sz w:val="24"/>
          <w:szCs w:val="24"/>
        </w:rPr>
        <w:t>utstanding.</w:t>
      </w:r>
    </w:p>
    <w:p w14:paraId="00000052"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above figure, the net income of the year 2020 has been effectively identified by the amount of 431, and the profit of 2019 amounts to £366. The share which has been outstanding in the year 2019 amounts to £1071 and the share which has ou</w:t>
      </w:r>
      <w:r>
        <w:rPr>
          <w:rFonts w:ascii="Times New Roman" w:eastAsia="Times New Roman" w:hAnsi="Times New Roman" w:cs="Times New Roman"/>
          <w:sz w:val="24"/>
          <w:szCs w:val="24"/>
        </w:rPr>
        <w:t>tstanding in the year 2020 amounts to £1071.</w:t>
      </w:r>
    </w:p>
    <w:p w14:paraId="00000053"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ratio of the year 2020 has been increased by the amount of 0.4024 and the ratio of </w:t>
      </w:r>
      <w:proofErr w:type="spellStart"/>
      <w:r>
        <w:rPr>
          <w:rFonts w:ascii="Times New Roman" w:eastAsia="Times New Roman" w:hAnsi="Times New Roman" w:cs="Times New Roman"/>
          <w:sz w:val="24"/>
          <w:szCs w:val="24"/>
        </w:rPr>
        <w:t>repective</w:t>
      </w:r>
      <w:proofErr w:type="spellEnd"/>
      <w:r>
        <w:rPr>
          <w:rFonts w:ascii="Times New Roman" w:eastAsia="Times New Roman" w:hAnsi="Times New Roman" w:cs="Times New Roman"/>
          <w:sz w:val="24"/>
          <w:szCs w:val="24"/>
        </w:rPr>
        <w:t xml:space="preserve"> year 2019 amounts to 0.341. The net profit has also increased to the amount of £431.</w:t>
      </w:r>
    </w:p>
    <w:p w14:paraId="00000054"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improved by inherin</w:t>
      </w:r>
      <w:r>
        <w:rPr>
          <w:rFonts w:ascii="Times New Roman" w:eastAsia="Times New Roman" w:hAnsi="Times New Roman" w:cs="Times New Roman"/>
          <w:sz w:val="24"/>
          <w:szCs w:val="24"/>
        </w:rPr>
        <w:t>g the profit of the company and decreasing the number of shares leading to an improved ratio.</w:t>
      </w:r>
    </w:p>
    <w:p w14:paraId="00000055" w14:textId="77777777" w:rsidR="000F523E" w:rsidRDefault="00D91AF5">
      <w:pPr>
        <w:pStyle w:val="Heading2"/>
      </w:pPr>
      <w:bookmarkStart w:id="9" w:name="_heading=h.2s8eyo1" w:colFirst="0" w:colLast="0"/>
      <w:bookmarkEnd w:id="9"/>
      <w:r>
        <w:t>4. Margin of net profit</w:t>
      </w:r>
    </w:p>
    <w:p w14:paraId="00000056"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D0209F1" wp14:editId="6244448E">
            <wp:extent cx="5943600" cy="685800"/>
            <wp:effectExtent l="0" t="0" r="0" b="0"/>
            <wp:docPr id="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943600" cy="685800"/>
                    </a:xfrm>
                    <a:prstGeom prst="rect">
                      <a:avLst/>
                    </a:prstGeom>
                    <a:ln/>
                  </pic:spPr>
                </pic:pic>
              </a:graphicData>
            </a:graphic>
          </wp:inline>
        </w:drawing>
      </w:r>
    </w:p>
    <w:p w14:paraId="00000057" w14:textId="77777777" w:rsidR="000F523E" w:rsidRDefault="00D91AF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 Computation of ratio</w:t>
      </w:r>
    </w:p>
    <w:p w14:paraId="00000058"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Self-developed)</w:t>
      </w:r>
    </w:p>
    <w:p w14:paraId="00000059"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factors of net profit helps to stimulate the ability and the earning capacity of the business by deducting the expenses from the earned revenue of the year. </w:t>
      </w:r>
    </w:p>
    <w:p w14:paraId="0000005A"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 of respective year 2020 and 2019 has been presented which amounts to 6%. The net pro</w:t>
      </w:r>
      <w:r>
        <w:rPr>
          <w:rFonts w:ascii="Times New Roman" w:eastAsia="Times New Roman" w:hAnsi="Times New Roman" w:cs="Times New Roman"/>
          <w:sz w:val="24"/>
          <w:szCs w:val="24"/>
        </w:rPr>
        <w:t>fit of the year 2019 amounts to £366. The sales of the year 2020 amount to £6738.</w:t>
      </w:r>
    </w:p>
    <w:p w14:paraId="0000005B"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 remains the same in both the year but the sale has been increased in the current to the amount to £6738 and in the year 2019, the amount was £6441.</w:t>
      </w:r>
    </w:p>
    <w:p w14:paraId="0000005C"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 of the</w:t>
      </w:r>
      <w:r>
        <w:rPr>
          <w:rFonts w:ascii="Times New Roman" w:eastAsia="Times New Roman" w:hAnsi="Times New Roman" w:cs="Times New Roman"/>
          <w:sz w:val="24"/>
          <w:szCs w:val="24"/>
        </w:rPr>
        <w:t xml:space="preserve"> net profit can be effectively improved by increasing the profit and by decreasing the expense in the year.</w:t>
      </w:r>
    </w:p>
    <w:p w14:paraId="0000005D" w14:textId="77777777" w:rsidR="000F523E" w:rsidRDefault="00D91AF5">
      <w:pPr>
        <w:pStyle w:val="Heading2"/>
      </w:pPr>
      <w:bookmarkStart w:id="10" w:name="_heading=h.17dp8vu" w:colFirst="0" w:colLast="0"/>
      <w:bookmarkEnd w:id="10"/>
      <w:r>
        <w:t>5. Assets turnover ratio</w:t>
      </w:r>
    </w:p>
    <w:p w14:paraId="0000005E"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006EBE7" wp14:editId="5494E179">
            <wp:extent cx="5943600" cy="787400"/>
            <wp:effectExtent l="0" t="0" r="0" b="0"/>
            <wp:docPr id="1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943600" cy="787400"/>
                    </a:xfrm>
                    <a:prstGeom prst="rect">
                      <a:avLst/>
                    </a:prstGeom>
                    <a:ln/>
                  </pic:spPr>
                </pic:pic>
              </a:graphicData>
            </a:graphic>
          </wp:inline>
        </w:drawing>
      </w:r>
    </w:p>
    <w:p w14:paraId="0000005F" w14:textId="77777777" w:rsidR="000F523E" w:rsidRDefault="00D91AF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7: Computation of ratio</w:t>
      </w:r>
    </w:p>
    <w:p w14:paraId="00000060"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00000061"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term regarding the turnover ratio is the matric which helps t</w:t>
      </w:r>
      <w:r>
        <w:rPr>
          <w:rFonts w:ascii="Times New Roman" w:eastAsia="Times New Roman" w:hAnsi="Times New Roman" w:cs="Times New Roman"/>
          <w:sz w:val="24"/>
          <w:szCs w:val="24"/>
        </w:rPr>
        <w:t>o understand the efficiency.</w:t>
      </w:r>
    </w:p>
    <w:p w14:paraId="00000062"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 explained of the total assets for the year 2019 amounts to £10087. The net sale for the year 2020a amounts to £6738 and the net sale for the year 2019 amounts to £6441.</w:t>
      </w:r>
    </w:p>
    <w:p w14:paraId="00000063"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ratio for the respective year 2020a amounts </w:t>
      </w:r>
      <w:r>
        <w:rPr>
          <w:rFonts w:ascii="Times New Roman" w:eastAsia="Times New Roman" w:hAnsi="Times New Roman" w:cs="Times New Roman"/>
          <w:sz w:val="24"/>
          <w:szCs w:val="24"/>
        </w:rPr>
        <w:t>to 0.6920 which has been increased from the previous year 2019 amounts to 0.6385.</w:t>
      </w:r>
    </w:p>
    <w:p w14:paraId="00000064"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ratio regarding assets turnover can get improved by increasing the efficiency and the liquidation of assets. </w:t>
      </w:r>
    </w:p>
    <w:p w14:paraId="00000065" w14:textId="77777777" w:rsidR="000F523E" w:rsidRDefault="00D91AF5">
      <w:pPr>
        <w:pStyle w:val="Heading2"/>
      </w:pPr>
      <w:bookmarkStart w:id="11" w:name="_heading=h.3rdcrjn" w:colFirst="0" w:colLast="0"/>
      <w:bookmarkEnd w:id="11"/>
      <w:r>
        <w:t>6. Stock holding days</w:t>
      </w:r>
    </w:p>
    <w:p w14:paraId="00000066"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E9AAFCD" wp14:editId="3F574B4D">
            <wp:extent cx="4143375" cy="847725"/>
            <wp:effectExtent l="0" t="0" r="0" b="0"/>
            <wp:docPr id="2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4143375" cy="847725"/>
                    </a:xfrm>
                    <a:prstGeom prst="rect">
                      <a:avLst/>
                    </a:prstGeom>
                    <a:ln/>
                  </pic:spPr>
                </pic:pic>
              </a:graphicData>
            </a:graphic>
          </wp:inline>
        </w:drawing>
      </w:r>
    </w:p>
    <w:p w14:paraId="00000067" w14:textId="77777777" w:rsidR="000F523E" w:rsidRDefault="00D91AF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8: Computation of ratio</w:t>
      </w:r>
    </w:p>
    <w:p w14:paraId="00000068"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w:t>
      </w:r>
      <w:r>
        <w:rPr>
          <w:rFonts w:ascii="Times New Roman" w:eastAsia="Times New Roman" w:hAnsi="Times New Roman" w:cs="Times New Roman"/>
          <w:sz w:val="24"/>
          <w:szCs w:val="24"/>
        </w:rPr>
        <w:t>ce: Self-developed)</w:t>
      </w:r>
    </w:p>
    <w:p w14:paraId="00000069"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term of the stock holding period is defined as the holding of stock by the organization on the average basics for the business. The inventories of respective year 2020 amount to £708 and the year 2019 amounts to £659. The cost of goods sold for the yea</w:t>
      </w:r>
      <w:r>
        <w:rPr>
          <w:rFonts w:ascii="Times New Roman" w:eastAsia="Times New Roman" w:hAnsi="Times New Roman" w:cs="Times New Roman"/>
          <w:sz w:val="24"/>
          <w:szCs w:val="24"/>
        </w:rPr>
        <w:t>r 2019 provides the amounts to £3096 and the COGS for the year of 2020 amounts to 3235.</w:t>
      </w:r>
    </w:p>
    <w:p w14:paraId="0000006A"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 has been increased from the previous year which amounts to 79.88 in 2020. The ratio of the year 21019 amounts to 77.69. The cost of goods sold also has been i</w:t>
      </w:r>
      <w:r>
        <w:rPr>
          <w:rFonts w:ascii="Times New Roman" w:eastAsia="Times New Roman" w:hAnsi="Times New Roman" w:cs="Times New Roman"/>
          <w:sz w:val="24"/>
          <w:szCs w:val="24"/>
        </w:rPr>
        <w:t>ncreased in the year 2020.</w:t>
      </w:r>
    </w:p>
    <w:p w14:paraId="0000006B"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 of stock holding days by regularly reviewing the purchase price of the organization. The reduction of the cost of inventory also leads to an improved ratio.</w:t>
      </w:r>
    </w:p>
    <w:p w14:paraId="0000006C" w14:textId="77777777" w:rsidR="000F523E" w:rsidRDefault="00D91AF5">
      <w:pPr>
        <w:pStyle w:val="Heading2"/>
      </w:pPr>
      <w:bookmarkStart w:id="12" w:name="_heading=h.26in1rg" w:colFirst="0" w:colLast="0"/>
      <w:bookmarkEnd w:id="12"/>
      <w:r>
        <w:t>7. Debtor collection period</w:t>
      </w:r>
    </w:p>
    <w:p w14:paraId="0000006D"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2F09E52" wp14:editId="33F65EFF">
            <wp:extent cx="5943600" cy="685800"/>
            <wp:effectExtent l="0" t="0" r="0" b="0"/>
            <wp:docPr id="2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943600" cy="685800"/>
                    </a:xfrm>
                    <a:prstGeom prst="rect">
                      <a:avLst/>
                    </a:prstGeom>
                    <a:ln/>
                  </pic:spPr>
                </pic:pic>
              </a:graphicData>
            </a:graphic>
          </wp:inline>
        </w:drawing>
      </w:r>
    </w:p>
    <w:p w14:paraId="0000006E" w14:textId="77777777" w:rsidR="000F523E" w:rsidRDefault="00D91AF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9: Computation of ratio</w:t>
      </w:r>
    </w:p>
    <w:p w14:paraId="0000006F"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Source: Self-developed)</w:t>
      </w:r>
    </w:p>
    <w:p w14:paraId="00000070"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term of debtor’s collection has been explained as the average period which is required for the collection of money from the debtors by the company.</w:t>
      </w:r>
    </w:p>
    <w:p w14:paraId="00000071"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days which have been involved in the year 2019 amount to £73 days and the da</w:t>
      </w:r>
      <w:r>
        <w:rPr>
          <w:rFonts w:ascii="Times New Roman" w:eastAsia="Times New Roman" w:hAnsi="Times New Roman" w:cs="Times New Roman"/>
          <w:sz w:val="24"/>
          <w:szCs w:val="24"/>
        </w:rPr>
        <w:t xml:space="preserve">ys which are required for collecting the money are 68 days. </w:t>
      </w:r>
    </w:p>
    <w:p w14:paraId="00000072"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days have been decreased which is a good sign for the economy as it is receiving the money in fewer days. The accounts receivable also had been increased to the amount of £6738.</w:t>
      </w:r>
    </w:p>
    <w:p w14:paraId="00000073"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ratio of </w:t>
      </w:r>
      <w:r>
        <w:rPr>
          <w:rFonts w:ascii="Times New Roman" w:eastAsia="Times New Roman" w:hAnsi="Times New Roman" w:cs="Times New Roman"/>
          <w:sz w:val="24"/>
          <w:szCs w:val="24"/>
        </w:rPr>
        <w:t>debtor’s collection period and get improved by improving the control on the stock and offering huge discounts for receiving payment.</w:t>
      </w:r>
    </w:p>
    <w:p w14:paraId="00000074" w14:textId="77777777" w:rsidR="000F523E" w:rsidRDefault="00D91AF5">
      <w:pPr>
        <w:pStyle w:val="Heading2"/>
      </w:pPr>
      <w:bookmarkStart w:id="13" w:name="_heading=h.lnxbz9" w:colFirst="0" w:colLast="0"/>
      <w:bookmarkEnd w:id="13"/>
      <w:r>
        <w:t>8. Current ratio</w:t>
      </w:r>
    </w:p>
    <w:p w14:paraId="00000075"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DA720C0" wp14:editId="5FA01D7F">
            <wp:extent cx="5943600" cy="1143000"/>
            <wp:effectExtent l="0" t="0" r="0" b="0"/>
            <wp:docPr id="2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5943600" cy="1143000"/>
                    </a:xfrm>
                    <a:prstGeom prst="rect">
                      <a:avLst/>
                    </a:prstGeom>
                    <a:ln/>
                  </pic:spPr>
                </pic:pic>
              </a:graphicData>
            </a:graphic>
          </wp:inline>
        </w:drawing>
      </w:r>
    </w:p>
    <w:p w14:paraId="00000076" w14:textId="77777777" w:rsidR="000F523E" w:rsidRDefault="00D91AF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10: Computation of ratio</w:t>
      </w:r>
    </w:p>
    <w:p w14:paraId="00000077"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Self-developed)</w:t>
      </w:r>
    </w:p>
    <w:p w14:paraId="00000078"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 leads to the induction for the liquidity of the company. It helps to provide information regarding the payment to its creditors.</w:t>
      </w:r>
    </w:p>
    <w:p w14:paraId="00000079"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figure, the current asset for the year 2020 amounts to £2303, and the assets of the year 020 amount to £2355. </w:t>
      </w:r>
      <w:r>
        <w:rPr>
          <w:rFonts w:ascii="Times New Roman" w:eastAsia="Times New Roman" w:hAnsi="Times New Roman" w:cs="Times New Roman"/>
          <w:sz w:val="24"/>
          <w:szCs w:val="24"/>
        </w:rPr>
        <w:t>The ratio of respected year of 2019 amounts to £0.77314 and the ratio for the year 2020 amounts to 0.63</w:t>
      </w:r>
    </w:p>
    <w:p w14:paraId="0000007A"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current year of 2020, the ratio has been increased. The liability has been decreased in 2020 by £2511.</w:t>
      </w:r>
    </w:p>
    <w:p w14:paraId="0000007B"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 leads to get improved by providi</w:t>
      </w:r>
      <w:r>
        <w:rPr>
          <w:rFonts w:ascii="Times New Roman" w:eastAsia="Times New Roman" w:hAnsi="Times New Roman" w:cs="Times New Roman"/>
          <w:sz w:val="24"/>
          <w:szCs w:val="24"/>
        </w:rPr>
        <w:t>ng the payment to the current liabilities. The selling of all the assets which are unproductive in nature leads to an increase in the ratio.</w:t>
      </w:r>
    </w:p>
    <w:p w14:paraId="0000007C" w14:textId="77777777" w:rsidR="000F523E" w:rsidRDefault="00D91AF5">
      <w:pPr>
        <w:pStyle w:val="Heading2"/>
      </w:pPr>
      <w:bookmarkStart w:id="14" w:name="_heading=h.35nkun2" w:colFirst="0" w:colLast="0"/>
      <w:bookmarkEnd w:id="14"/>
      <w:r>
        <w:t>9. Gearing ratio</w:t>
      </w:r>
    </w:p>
    <w:p w14:paraId="0000007D"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C987060" wp14:editId="1F1BC12F">
            <wp:extent cx="5943600" cy="800100"/>
            <wp:effectExtent l="0" t="0" r="0" b="0"/>
            <wp:docPr id="2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5943600" cy="800100"/>
                    </a:xfrm>
                    <a:prstGeom prst="rect">
                      <a:avLst/>
                    </a:prstGeom>
                    <a:ln/>
                  </pic:spPr>
                </pic:pic>
              </a:graphicData>
            </a:graphic>
          </wp:inline>
        </w:drawing>
      </w:r>
    </w:p>
    <w:p w14:paraId="0000007E" w14:textId="77777777" w:rsidR="000F523E" w:rsidRDefault="00D91AF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11: Computation of ratio</w:t>
      </w:r>
    </w:p>
    <w:p w14:paraId="0000007F"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 for the year 2019 amounts to 81% and the ratio for the</w:t>
      </w:r>
      <w:r>
        <w:rPr>
          <w:rFonts w:ascii="Times New Roman" w:eastAsia="Times New Roman" w:hAnsi="Times New Roman" w:cs="Times New Roman"/>
          <w:sz w:val="24"/>
          <w:szCs w:val="24"/>
        </w:rPr>
        <w:t xml:space="preserve"> year 2020 amounts to 85%. The debt of the year 2020a amounts to £255 and the debt of the year 2019 amounts to £242. The equity of the years 2020 and 2019 remains the same which amounts to £300.</w:t>
      </w:r>
    </w:p>
    <w:p w14:paraId="00000080"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ideal ratio for gearing ratio is between 25% to 50%. The </w:t>
      </w:r>
      <w:r>
        <w:rPr>
          <w:rFonts w:ascii="Times New Roman" w:eastAsia="Times New Roman" w:hAnsi="Times New Roman" w:cs="Times New Roman"/>
          <w:sz w:val="24"/>
          <w:szCs w:val="24"/>
        </w:rPr>
        <w:t>company is not in a better position as it has a higher ratio than the ideal ratio. The ratio of the following year 2020 has been inflated  by 85%.</w:t>
      </w:r>
    </w:p>
    <w:p w14:paraId="00000081"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should decrease the ratio by selling the shares of the organization and also by payoff all the bo</w:t>
      </w:r>
      <w:r>
        <w:rPr>
          <w:rFonts w:ascii="Times New Roman" w:eastAsia="Times New Roman" w:hAnsi="Times New Roman" w:cs="Times New Roman"/>
          <w:sz w:val="24"/>
          <w:szCs w:val="24"/>
        </w:rPr>
        <w:t>rrowing helps to improve the ratio.</w:t>
      </w:r>
    </w:p>
    <w:p w14:paraId="00000082" w14:textId="77777777" w:rsidR="000F523E" w:rsidRDefault="00D91AF5">
      <w:pPr>
        <w:pStyle w:val="Heading2"/>
      </w:pPr>
      <w:bookmarkStart w:id="15" w:name="_heading=h.1ksv4uv" w:colFirst="0" w:colLast="0"/>
      <w:bookmarkEnd w:id="15"/>
      <w:r>
        <w:t>10. Inverter cover ratio</w:t>
      </w:r>
    </w:p>
    <w:p w14:paraId="00000083"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6CEE54B" wp14:editId="4A3F3115">
            <wp:extent cx="5943600" cy="800100"/>
            <wp:effectExtent l="0" t="0" r="0" b="0"/>
            <wp:docPr id="2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5943600" cy="800100"/>
                    </a:xfrm>
                    <a:prstGeom prst="rect">
                      <a:avLst/>
                    </a:prstGeom>
                    <a:ln/>
                  </pic:spPr>
                </pic:pic>
              </a:graphicData>
            </a:graphic>
          </wp:inline>
        </w:drawing>
      </w:r>
    </w:p>
    <w:p w14:paraId="00000084" w14:textId="77777777" w:rsidR="000F523E" w:rsidRDefault="00D91AF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12: Computation of ratio</w:t>
      </w:r>
    </w:p>
    <w:p w14:paraId="00000085" w14:textId="77777777" w:rsidR="000F523E" w:rsidRDefault="00D91AF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Self-developed)</w:t>
      </w:r>
    </w:p>
    <w:p w14:paraId="00000086"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termed as the deft and the profitability ratio which can easily determine the payable interest on the particular debt which is outstanding.</w:t>
      </w:r>
    </w:p>
    <w:p w14:paraId="00000087"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 for the effective year 2019 amounts to 2.98 and the ratio of following year for 2020 amounts to 2.74</w:t>
      </w:r>
      <w:r>
        <w:rPr>
          <w:rFonts w:ascii="Times New Roman" w:eastAsia="Times New Roman" w:hAnsi="Times New Roman" w:cs="Times New Roman"/>
          <w:sz w:val="24"/>
          <w:szCs w:val="24"/>
        </w:rPr>
        <w:t>. The EBIT of the year 2020 amounts to £620 and for the year 2019, it amounts to £539.</w:t>
      </w:r>
    </w:p>
    <w:p w14:paraId="00000088"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above following figure, the ratio has diminished to the amount of 2.74 from the previous year. The expenses of the interest have been increased to the amount to £</w:t>
      </w:r>
      <w:r>
        <w:rPr>
          <w:rFonts w:ascii="Times New Roman" w:eastAsia="Times New Roman" w:hAnsi="Times New Roman" w:cs="Times New Roman"/>
          <w:sz w:val="24"/>
          <w:szCs w:val="24"/>
        </w:rPr>
        <w:t>266 in the year 2020.</w:t>
      </w:r>
    </w:p>
    <w:p w14:paraId="00000089"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ratio of the inverter ratio by increasing the net operating income for the year. The decrease in the operating expenses also helps to improve the ratio further.</w:t>
      </w:r>
    </w:p>
    <w:p w14:paraId="0000008A" w14:textId="77777777" w:rsidR="000F523E" w:rsidRDefault="00D91AF5">
      <w:pPr>
        <w:pStyle w:val="Heading1"/>
      </w:pPr>
      <w:bookmarkStart w:id="16" w:name="_heading=h.44sinio" w:colFirst="0" w:colLast="0"/>
      <w:bookmarkEnd w:id="16"/>
      <w:r>
        <w:t>B. Analyze the financial position and performance</w:t>
      </w:r>
    </w:p>
    <w:p w14:paraId="0000008B"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investors lead </w:t>
      </w:r>
      <w:r>
        <w:rPr>
          <w:rFonts w:ascii="Times New Roman" w:eastAsia="Times New Roman" w:hAnsi="Times New Roman" w:cs="Times New Roman"/>
          <w:sz w:val="24"/>
          <w:szCs w:val="24"/>
        </w:rPr>
        <w:t xml:space="preserve">to focus on the generation of profit by using the capital before investing in the organization. The ratio provides help for the investors as it helps to analyze the return on the employed capital </w:t>
      </w:r>
      <w:r>
        <w:rPr>
          <w:rFonts w:ascii="Times New Roman" w:eastAsia="Times New Roman" w:hAnsi="Times New Roman" w:cs="Times New Roman"/>
          <w:color w:val="000000"/>
          <w:sz w:val="24"/>
          <w:szCs w:val="24"/>
          <w:highlight w:val="white"/>
        </w:rPr>
        <w:t>(</w:t>
      </w:r>
      <w:proofErr w:type="spellStart"/>
      <w:r>
        <w:rPr>
          <w:rFonts w:ascii="Times New Roman" w:eastAsia="Times New Roman" w:hAnsi="Times New Roman" w:cs="Times New Roman"/>
          <w:color w:val="000000"/>
          <w:sz w:val="24"/>
          <w:szCs w:val="24"/>
          <w:highlight w:val="white"/>
        </w:rPr>
        <w:t>Tingbani</w:t>
      </w:r>
      <w:proofErr w:type="spell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 xml:space="preserve">et al. </w:t>
      </w:r>
      <w:r>
        <w:rPr>
          <w:rFonts w:ascii="Times New Roman" w:eastAsia="Times New Roman" w:hAnsi="Times New Roman" w:cs="Times New Roman"/>
          <w:color w:val="000000"/>
          <w:sz w:val="24"/>
          <w:szCs w:val="24"/>
          <w:highlight w:val="white"/>
        </w:rPr>
        <w:t>2020, p.180)</w:t>
      </w:r>
      <w:r>
        <w:rPr>
          <w:rFonts w:ascii="Times New Roman" w:eastAsia="Times New Roman" w:hAnsi="Times New Roman" w:cs="Times New Roman"/>
          <w:sz w:val="24"/>
          <w:szCs w:val="24"/>
        </w:rPr>
        <w:t>. The return on equity ratio si</w:t>
      </w:r>
      <w:r>
        <w:rPr>
          <w:rFonts w:ascii="Times New Roman" w:eastAsia="Times New Roman" w:hAnsi="Times New Roman" w:cs="Times New Roman"/>
          <w:sz w:val="24"/>
          <w:szCs w:val="24"/>
        </w:rPr>
        <w:t xml:space="preserve">gnifies the effective amount of earning done by the company for generating the return for the investment. The financial position is well established but the management has to only focus on the expenses which have to be controlled for increasing the profit </w:t>
      </w:r>
      <w:r>
        <w:rPr>
          <w:rFonts w:ascii="Times New Roman" w:eastAsia="Times New Roman" w:hAnsi="Times New Roman" w:cs="Times New Roman"/>
          <w:sz w:val="24"/>
          <w:szCs w:val="24"/>
        </w:rPr>
        <w:t>earning capacity.</w:t>
      </w:r>
    </w:p>
    <w:p w14:paraId="0000008C" w14:textId="77777777" w:rsidR="000F523E" w:rsidRDefault="00D91AF5">
      <w:pPr>
        <w:pStyle w:val="Heading1"/>
      </w:pPr>
      <w:bookmarkStart w:id="17" w:name="_heading=h.2jxsxqh" w:colFirst="0" w:colLast="0"/>
      <w:bookmarkEnd w:id="17"/>
      <w:r>
        <w:t xml:space="preserve">Conclusion </w:t>
      </w:r>
    </w:p>
    <w:p w14:paraId="0000008D"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assessment can be concluded by the importance of accounting fundamentals for running of business and computing income and expenditure. The accounting fundamentals have helped to conduct different types of financial statements and to help the business </w:t>
      </w:r>
      <w:r>
        <w:rPr>
          <w:rFonts w:ascii="Times New Roman" w:eastAsia="Times New Roman" w:hAnsi="Times New Roman" w:cs="Times New Roman"/>
          <w:sz w:val="24"/>
          <w:szCs w:val="24"/>
        </w:rPr>
        <w:t>make future decisions easier. This assessment has helped to understand different types of accounting terms such as revenue, assets and liabilities, income statement, and even ratio analyses. The income statement and financial balance reflect that the busin</w:t>
      </w:r>
      <w:r>
        <w:rPr>
          <w:rFonts w:ascii="Times New Roman" w:eastAsia="Times New Roman" w:hAnsi="Times New Roman" w:cs="Times New Roman"/>
          <w:sz w:val="24"/>
          <w:szCs w:val="24"/>
        </w:rPr>
        <w:t>ess has enough capability to generate profit in the future. The respective company also has enough assets that will help them to overcome its liabilities. Furthermore, the ratio analysis reflects a positive growth of the business over the current year as t</w:t>
      </w:r>
      <w:r>
        <w:rPr>
          <w:rFonts w:ascii="Times New Roman" w:eastAsia="Times New Roman" w:hAnsi="Times New Roman" w:cs="Times New Roman"/>
          <w:sz w:val="24"/>
          <w:szCs w:val="24"/>
        </w:rPr>
        <w:t xml:space="preserve">hey have enough capacity to generate income with the help of their sales. Therefore, it can only be recommended that both the businesses need to focus on maximizing their sales volume and </w:t>
      </w:r>
      <w:r>
        <w:rPr>
          <w:rFonts w:ascii="Times New Roman" w:eastAsia="Times New Roman" w:hAnsi="Times New Roman" w:cs="Times New Roman"/>
          <w:sz w:val="24"/>
          <w:szCs w:val="24"/>
        </w:rPr>
        <w:lastRenderedPageBreak/>
        <w:t xml:space="preserve">reducing their cost. This will help them to overcome their business </w:t>
      </w:r>
      <w:r>
        <w:rPr>
          <w:rFonts w:ascii="Times New Roman" w:eastAsia="Times New Roman" w:hAnsi="Times New Roman" w:cs="Times New Roman"/>
          <w:sz w:val="24"/>
          <w:szCs w:val="24"/>
        </w:rPr>
        <w:t>liabilities and to generate maximum profit in the long run.</w:t>
      </w:r>
    </w:p>
    <w:p w14:paraId="0000008E" w14:textId="77777777" w:rsidR="000F523E" w:rsidRDefault="000F523E">
      <w:pPr>
        <w:spacing w:line="360" w:lineRule="auto"/>
        <w:jc w:val="both"/>
        <w:rPr>
          <w:rFonts w:ascii="Times New Roman" w:eastAsia="Times New Roman" w:hAnsi="Times New Roman" w:cs="Times New Roman"/>
          <w:color w:val="000000"/>
          <w:sz w:val="24"/>
          <w:szCs w:val="24"/>
          <w:highlight w:val="white"/>
        </w:rPr>
      </w:pPr>
    </w:p>
    <w:p w14:paraId="0000008F" w14:textId="77777777" w:rsidR="000F523E" w:rsidRDefault="00D91AF5">
      <w:pPr>
        <w:spacing w:line="360" w:lineRule="auto"/>
        <w:jc w:val="both"/>
        <w:rPr>
          <w:rFonts w:ascii="Times New Roman" w:eastAsia="Times New Roman" w:hAnsi="Times New Roman" w:cs="Times New Roman"/>
          <w:b/>
          <w:color w:val="000000"/>
          <w:sz w:val="24"/>
          <w:szCs w:val="24"/>
          <w:highlight w:val="white"/>
        </w:rPr>
      </w:pPr>
      <w:r>
        <w:br w:type="page"/>
      </w:r>
    </w:p>
    <w:p w14:paraId="00000090" w14:textId="77777777" w:rsidR="000F523E" w:rsidRDefault="00D91AF5">
      <w:pPr>
        <w:pStyle w:val="Heading1"/>
        <w:rPr>
          <w:highlight w:val="white"/>
        </w:rPr>
      </w:pPr>
      <w:bookmarkStart w:id="18" w:name="_heading=h.z337ya" w:colFirst="0" w:colLast="0"/>
      <w:bookmarkEnd w:id="18"/>
      <w:r>
        <w:rPr>
          <w:highlight w:val="white"/>
        </w:rPr>
        <w:lastRenderedPageBreak/>
        <w:t>References</w:t>
      </w:r>
    </w:p>
    <w:p w14:paraId="00000091"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Anning, A.A. and Adusei, M., 2020. An Analysis of Financial Statement Manipulation among Listed Manufacturing and Trading Firms in Ghana. Journal of African Business, pp.1-15.</w:t>
      </w:r>
    </w:p>
    <w:p w14:paraId="00000092"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Boeckx</w:t>
      </w:r>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Dossche</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Peersman</w:t>
      </w:r>
      <w:proofErr w:type="spellEnd"/>
      <w:r>
        <w:rPr>
          <w:rFonts w:ascii="Times New Roman" w:eastAsia="Times New Roman" w:hAnsi="Times New Roman" w:cs="Times New Roman"/>
          <w:sz w:val="24"/>
          <w:szCs w:val="24"/>
        </w:rPr>
        <w:t>, G., 2017. Effectiveness and transmission of the ECB's balance sheet policies. International Journal of Central Banking, 13(1), pp.297-333.</w:t>
      </w:r>
    </w:p>
    <w:p w14:paraId="00000093"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Hajek, P. and Henriques, R., 2017. Mining corporate annual reports for intelligent de</w:t>
      </w:r>
      <w:r>
        <w:rPr>
          <w:rFonts w:ascii="Times New Roman" w:eastAsia="Times New Roman" w:hAnsi="Times New Roman" w:cs="Times New Roman"/>
          <w:sz w:val="24"/>
          <w:szCs w:val="24"/>
        </w:rPr>
        <w:t>tection of financial statement fraud–A comparative study of machine learning methods. Knowledge-Based Systems, 128, pp.139-152.</w:t>
      </w:r>
    </w:p>
    <w:p w14:paraId="00000094" w14:textId="77777777" w:rsidR="000F523E" w:rsidRDefault="00D91AF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Kewo</w:t>
      </w:r>
      <w:proofErr w:type="spellEnd"/>
      <w:r>
        <w:rPr>
          <w:rFonts w:ascii="Times New Roman" w:eastAsia="Times New Roman" w:hAnsi="Times New Roman" w:cs="Times New Roman"/>
          <w:sz w:val="24"/>
          <w:szCs w:val="24"/>
        </w:rPr>
        <w:t>, C.L., 2017. Does quality of financial statement affected by internal control system and internal audit?. International Jou</w:t>
      </w:r>
      <w:r>
        <w:rPr>
          <w:rFonts w:ascii="Times New Roman" w:eastAsia="Times New Roman" w:hAnsi="Times New Roman" w:cs="Times New Roman"/>
          <w:sz w:val="24"/>
          <w:szCs w:val="24"/>
        </w:rPr>
        <w:t>rnal of Economics and Financial Issues, 7(2), pp.568-573.</w:t>
      </w:r>
    </w:p>
    <w:p w14:paraId="00000095"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Omidi, M., Min, Q., </w:t>
      </w:r>
      <w:proofErr w:type="spellStart"/>
      <w:r>
        <w:rPr>
          <w:rFonts w:ascii="Times New Roman" w:eastAsia="Times New Roman" w:hAnsi="Times New Roman" w:cs="Times New Roman"/>
          <w:sz w:val="24"/>
          <w:szCs w:val="24"/>
        </w:rPr>
        <w:t>Moradinaftchali</w:t>
      </w:r>
      <w:proofErr w:type="spellEnd"/>
      <w:r>
        <w:rPr>
          <w:rFonts w:ascii="Times New Roman" w:eastAsia="Times New Roman" w:hAnsi="Times New Roman" w:cs="Times New Roman"/>
          <w:sz w:val="24"/>
          <w:szCs w:val="24"/>
        </w:rPr>
        <w:t>, V. and Piri, M., 2019. The efficacy of predictive methods in financial statement fraud. Discrete Dynamics in Nature and Society, 2019.</w:t>
      </w:r>
    </w:p>
    <w:p w14:paraId="00000096" w14:textId="77777777" w:rsidR="000F523E" w:rsidRDefault="00D91AF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Rengganis</w:t>
      </w:r>
      <w:proofErr w:type="spellEnd"/>
      <w:r>
        <w:rPr>
          <w:rFonts w:ascii="Times New Roman" w:eastAsia="Times New Roman" w:hAnsi="Times New Roman" w:cs="Times New Roman"/>
          <w:sz w:val="24"/>
          <w:szCs w:val="24"/>
        </w:rPr>
        <w:t>, R.M.Y.D., Sari,</w:t>
      </w:r>
      <w:r>
        <w:rPr>
          <w:rFonts w:ascii="Times New Roman" w:eastAsia="Times New Roman" w:hAnsi="Times New Roman" w:cs="Times New Roman"/>
          <w:sz w:val="24"/>
          <w:szCs w:val="24"/>
        </w:rPr>
        <w:t xml:space="preserve"> M.M.R., </w:t>
      </w:r>
      <w:proofErr w:type="spellStart"/>
      <w:r>
        <w:rPr>
          <w:rFonts w:ascii="Times New Roman" w:eastAsia="Times New Roman" w:hAnsi="Times New Roman" w:cs="Times New Roman"/>
          <w:sz w:val="24"/>
          <w:szCs w:val="24"/>
        </w:rPr>
        <w:t>Budiasih</w:t>
      </w:r>
      <w:proofErr w:type="spellEnd"/>
      <w:r>
        <w:rPr>
          <w:rFonts w:ascii="Times New Roman" w:eastAsia="Times New Roman" w:hAnsi="Times New Roman" w:cs="Times New Roman"/>
          <w:sz w:val="24"/>
          <w:szCs w:val="24"/>
        </w:rPr>
        <w:t xml:space="preserve">, I.G.A.N., </w:t>
      </w:r>
      <w:proofErr w:type="spellStart"/>
      <w:r>
        <w:rPr>
          <w:rFonts w:ascii="Times New Roman" w:eastAsia="Times New Roman" w:hAnsi="Times New Roman" w:cs="Times New Roman"/>
          <w:sz w:val="24"/>
          <w:szCs w:val="24"/>
        </w:rPr>
        <w:t>Wirajaya</w:t>
      </w:r>
      <w:proofErr w:type="spellEnd"/>
      <w:r>
        <w:rPr>
          <w:rFonts w:ascii="Times New Roman" w:eastAsia="Times New Roman" w:hAnsi="Times New Roman" w:cs="Times New Roman"/>
          <w:sz w:val="24"/>
          <w:szCs w:val="24"/>
        </w:rPr>
        <w:t xml:space="preserve">, I.G.A. and </w:t>
      </w:r>
      <w:proofErr w:type="spellStart"/>
      <w:r>
        <w:rPr>
          <w:rFonts w:ascii="Times New Roman" w:eastAsia="Times New Roman" w:hAnsi="Times New Roman" w:cs="Times New Roman"/>
          <w:sz w:val="24"/>
          <w:szCs w:val="24"/>
        </w:rPr>
        <w:t>Suprasto</w:t>
      </w:r>
      <w:proofErr w:type="spellEnd"/>
      <w:r>
        <w:rPr>
          <w:rFonts w:ascii="Times New Roman" w:eastAsia="Times New Roman" w:hAnsi="Times New Roman" w:cs="Times New Roman"/>
          <w:sz w:val="24"/>
          <w:szCs w:val="24"/>
        </w:rPr>
        <w:t>, H.B., 2019. The fraud diamond: element in detecting financial statement of fraud. International research journal of management, IT and social sciences, 6(3), pp.1-10.</w:t>
      </w:r>
    </w:p>
    <w:p w14:paraId="00000097" w14:textId="77777777" w:rsidR="000F523E" w:rsidRDefault="00D91AF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Robinson, T.R., 2020. Interna</w:t>
      </w:r>
      <w:r>
        <w:rPr>
          <w:rFonts w:ascii="Times New Roman" w:eastAsia="Times New Roman" w:hAnsi="Times New Roman" w:cs="Times New Roman"/>
          <w:sz w:val="24"/>
          <w:szCs w:val="24"/>
        </w:rPr>
        <w:t>tional financial statement analysis. John Wiley &amp; Sons.</w:t>
      </w:r>
    </w:p>
    <w:p w14:paraId="00000098" w14:textId="77777777" w:rsidR="000F523E" w:rsidRDefault="00D91AF5">
      <w:pP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Tingbani</w:t>
      </w:r>
      <w:proofErr w:type="spellEnd"/>
      <w:r>
        <w:rPr>
          <w:rFonts w:ascii="Times New Roman" w:eastAsia="Times New Roman" w:hAnsi="Times New Roman" w:cs="Times New Roman"/>
          <w:color w:val="000000"/>
          <w:sz w:val="24"/>
          <w:szCs w:val="24"/>
          <w:highlight w:val="white"/>
        </w:rPr>
        <w:t xml:space="preserve">, I., </w:t>
      </w:r>
      <w:proofErr w:type="spellStart"/>
      <w:r>
        <w:rPr>
          <w:rFonts w:ascii="Times New Roman" w:eastAsia="Times New Roman" w:hAnsi="Times New Roman" w:cs="Times New Roman"/>
          <w:color w:val="000000"/>
          <w:sz w:val="24"/>
          <w:szCs w:val="24"/>
          <w:highlight w:val="white"/>
        </w:rPr>
        <w:t>Tauringana</w:t>
      </w:r>
      <w:proofErr w:type="spellEnd"/>
      <w:r>
        <w:rPr>
          <w:rFonts w:ascii="Times New Roman" w:eastAsia="Times New Roman" w:hAnsi="Times New Roman" w:cs="Times New Roman"/>
          <w:color w:val="000000"/>
          <w:sz w:val="24"/>
          <w:szCs w:val="24"/>
          <w:highlight w:val="white"/>
        </w:rPr>
        <w:t xml:space="preserve">, V., </w:t>
      </w:r>
      <w:proofErr w:type="spellStart"/>
      <w:r>
        <w:rPr>
          <w:rFonts w:ascii="Times New Roman" w:eastAsia="Times New Roman" w:hAnsi="Times New Roman" w:cs="Times New Roman"/>
          <w:color w:val="000000"/>
          <w:sz w:val="24"/>
          <w:szCs w:val="24"/>
          <w:highlight w:val="white"/>
        </w:rPr>
        <w:t>Damoah</w:t>
      </w:r>
      <w:proofErr w:type="spellEnd"/>
      <w:r>
        <w:rPr>
          <w:rFonts w:ascii="Times New Roman" w:eastAsia="Times New Roman" w:hAnsi="Times New Roman" w:cs="Times New Roman"/>
          <w:color w:val="000000"/>
          <w:sz w:val="24"/>
          <w:szCs w:val="24"/>
          <w:highlight w:val="white"/>
        </w:rPr>
        <w:t xml:space="preserve">, I.S. and </w:t>
      </w:r>
      <w:proofErr w:type="spellStart"/>
      <w:r>
        <w:rPr>
          <w:rFonts w:ascii="Times New Roman" w:eastAsia="Times New Roman" w:hAnsi="Times New Roman" w:cs="Times New Roman"/>
          <w:color w:val="000000"/>
          <w:sz w:val="24"/>
          <w:szCs w:val="24"/>
          <w:highlight w:val="white"/>
        </w:rPr>
        <w:t>Sha'ven</w:t>
      </w:r>
      <w:proofErr w:type="spellEnd"/>
      <w:r>
        <w:rPr>
          <w:rFonts w:ascii="Times New Roman" w:eastAsia="Times New Roman" w:hAnsi="Times New Roman" w:cs="Times New Roman"/>
          <w:color w:val="000000"/>
          <w:sz w:val="24"/>
          <w:szCs w:val="24"/>
          <w:highlight w:val="white"/>
        </w:rPr>
        <w:t>, W.B., 2020. Working capital management and financial performance of UK listed firms: a contingency approach. </w:t>
      </w:r>
      <w:r>
        <w:rPr>
          <w:rFonts w:ascii="Times New Roman" w:eastAsia="Times New Roman" w:hAnsi="Times New Roman" w:cs="Times New Roman"/>
          <w:i/>
          <w:color w:val="000000"/>
          <w:sz w:val="24"/>
          <w:szCs w:val="24"/>
          <w:highlight w:val="white"/>
        </w:rPr>
        <w:t>International Journal of Banking, A</w:t>
      </w:r>
      <w:r>
        <w:rPr>
          <w:rFonts w:ascii="Times New Roman" w:eastAsia="Times New Roman" w:hAnsi="Times New Roman" w:cs="Times New Roman"/>
          <w:i/>
          <w:color w:val="000000"/>
          <w:sz w:val="24"/>
          <w:szCs w:val="24"/>
          <w:highlight w:val="white"/>
        </w:rPr>
        <w:t>ccounting and Finance</w:t>
      </w:r>
      <w:r>
        <w:rPr>
          <w:rFonts w:ascii="Times New Roman" w:eastAsia="Times New Roman" w:hAnsi="Times New Roman" w:cs="Times New Roman"/>
          <w:color w:val="000000"/>
          <w:sz w:val="24"/>
          <w:szCs w:val="24"/>
          <w:highlight w:val="white"/>
        </w:rPr>
        <w:t>, </w:t>
      </w:r>
      <w:r>
        <w:rPr>
          <w:rFonts w:ascii="Times New Roman" w:eastAsia="Times New Roman" w:hAnsi="Times New Roman" w:cs="Times New Roman"/>
          <w:i/>
          <w:color w:val="000000"/>
          <w:sz w:val="24"/>
          <w:szCs w:val="24"/>
          <w:highlight w:val="white"/>
        </w:rPr>
        <w:t>11</w:t>
      </w:r>
      <w:r>
        <w:rPr>
          <w:rFonts w:ascii="Times New Roman" w:eastAsia="Times New Roman" w:hAnsi="Times New Roman" w:cs="Times New Roman"/>
          <w:color w:val="000000"/>
          <w:sz w:val="24"/>
          <w:szCs w:val="24"/>
          <w:highlight w:val="white"/>
        </w:rPr>
        <w:t>(2), pp.173-201.</w:t>
      </w:r>
    </w:p>
    <w:p w14:paraId="00000099" w14:textId="77777777" w:rsidR="000F523E" w:rsidRDefault="000F523E">
      <w:pPr>
        <w:spacing w:line="360" w:lineRule="auto"/>
        <w:jc w:val="both"/>
        <w:rPr>
          <w:rFonts w:ascii="Times New Roman" w:eastAsia="Times New Roman" w:hAnsi="Times New Roman" w:cs="Times New Roman"/>
          <w:color w:val="000000"/>
          <w:sz w:val="24"/>
          <w:szCs w:val="24"/>
          <w:highlight w:val="white"/>
        </w:rPr>
      </w:pPr>
    </w:p>
    <w:p w14:paraId="0000009A" w14:textId="77777777" w:rsidR="000F523E" w:rsidRDefault="00D91AF5">
      <w:pPr>
        <w:spacing w:line="360" w:lineRule="auto"/>
        <w:jc w:val="both"/>
        <w:rPr>
          <w:rFonts w:ascii="Times New Roman" w:eastAsia="Times New Roman" w:hAnsi="Times New Roman" w:cs="Times New Roman"/>
          <w:b/>
          <w:color w:val="000000"/>
          <w:sz w:val="24"/>
          <w:szCs w:val="24"/>
          <w:highlight w:val="white"/>
        </w:rPr>
      </w:pPr>
      <w:r>
        <w:br w:type="page"/>
      </w:r>
    </w:p>
    <w:p w14:paraId="0000009B" w14:textId="77777777" w:rsidR="000F523E" w:rsidRDefault="00D91AF5">
      <w:pPr>
        <w:pStyle w:val="Heading1"/>
        <w:rPr>
          <w:highlight w:val="white"/>
        </w:rPr>
      </w:pPr>
      <w:bookmarkStart w:id="19" w:name="_heading=h.3j2qqm3" w:colFirst="0" w:colLast="0"/>
      <w:bookmarkEnd w:id="19"/>
      <w:r>
        <w:rPr>
          <w:highlight w:val="white"/>
        </w:rPr>
        <w:lastRenderedPageBreak/>
        <w:t>Bibliography</w:t>
      </w:r>
    </w:p>
    <w:p w14:paraId="0000009C" w14:textId="77777777" w:rsidR="000F523E" w:rsidRDefault="00D91AF5">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Elsayed, M. and </w:t>
      </w:r>
      <w:proofErr w:type="spellStart"/>
      <w:r>
        <w:rPr>
          <w:rFonts w:ascii="Times New Roman" w:eastAsia="Times New Roman" w:hAnsi="Times New Roman" w:cs="Times New Roman"/>
          <w:color w:val="000000"/>
          <w:sz w:val="24"/>
          <w:szCs w:val="24"/>
          <w:highlight w:val="white"/>
        </w:rPr>
        <w:t>Elshandidy</w:t>
      </w:r>
      <w:proofErr w:type="spellEnd"/>
      <w:r>
        <w:rPr>
          <w:rFonts w:ascii="Times New Roman" w:eastAsia="Times New Roman" w:hAnsi="Times New Roman" w:cs="Times New Roman"/>
          <w:color w:val="000000"/>
          <w:sz w:val="24"/>
          <w:szCs w:val="24"/>
          <w:highlight w:val="white"/>
        </w:rPr>
        <w:t>, T., 2020. Do narrative-related disclosures predict corporate failure? Evidence from UK non-financial publicly quoted firms. </w:t>
      </w:r>
      <w:r>
        <w:rPr>
          <w:rFonts w:ascii="Times New Roman" w:eastAsia="Times New Roman" w:hAnsi="Times New Roman" w:cs="Times New Roman"/>
          <w:i/>
          <w:color w:val="000000"/>
          <w:sz w:val="24"/>
          <w:szCs w:val="24"/>
          <w:highlight w:val="white"/>
        </w:rPr>
        <w:t>International Review of Financial Analysis</w:t>
      </w:r>
      <w:r>
        <w:rPr>
          <w:rFonts w:ascii="Times New Roman" w:eastAsia="Times New Roman" w:hAnsi="Times New Roman" w:cs="Times New Roman"/>
          <w:color w:val="000000"/>
          <w:sz w:val="24"/>
          <w:szCs w:val="24"/>
          <w:highlight w:val="white"/>
        </w:rPr>
        <w:t>, </w:t>
      </w:r>
      <w:r>
        <w:rPr>
          <w:rFonts w:ascii="Times New Roman" w:eastAsia="Times New Roman" w:hAnsi="Times New Roman" w:cs="Times New Roman"/>
          <w:i/>
          <w:color w:val="000000"/>
          <w:sz w:val="24"/>
          <w:szCs w:val="24"/>
          <w:highlight w:val="white"/>
        </w:rPr>
        <w:t>71</w:t>
      </w:r>
      <w:r>
        <w:rPr>
          <w:rFonts w:ascii="Times New Roman" w:eastAsia="Times New Roman" w:hAnsi="Times New Roman" w:cs="Times New Roman"/>
          <w:color w:val="000000"/>
          <w:sz w:val="24"/>
          <w:szCs w:val="24"/>
          <w:highlight w:val="white"/>
        </w:rPr>
        <w:t>, p.101555.</w:t>
      </w:r>
    </w:p>
    <w:p w14:paraId="0000009D" w14:textId="77777777" w:rsidR="000F523E" w:rsidRDefault="00D91AF5">
      <w:pP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Kliestik</w:t>
      </w:r>
      <w:proofErr w:type="spellEnd"/>
      <w:r>
        <w:rPr>
          <w:rFonts w:ascii="Times New Roman" w:eastAsia="Times New Roman" w:hAnsi="Times New Roman" w:cs="Times New Roman"/>
          <w:color w:val="000000"/>
          <w:sz w:val="24"/>
          <w:szCs w:val="24"/>
          <w:highlight w:val="white"/>
        </w:rPr>
        <w:t xml:space="preserve">, T., </w:t>
      </w:r>
      <w:proofErr w:type="spellStart"/>
      <w:r>
        <w:rPr>
          <w:rFonts w:ascii="Times New Roman" w:eastAsia="Times New Roman" w:hAnsi="Times New Roman" w:cs="Times New Roman"/>
          <w:color w:val="000000"/>
          <w:sz w:val="24"/>
          <w:szCs w:val="24"/>
          <w:highlight w:val="white"/>
        </w:rPr>
        <w:t>Valaskova</w:t>
      </w:r>
      <w:proofErr w:type="spellEnd"/>
      <w:r>
        <w:rPr>
          <w:rFonts w:ascii="Times New Roman" w:eastAsia="Times New Roman" w:hAnsi="Times New Roman" w:cs="Times New Roman"/>
          <w:color w:val="000000"/>
          <w:sz w:val="24"/>
          <w:szCs w:val="24"/>
          <w:highlight w:val="white"/>
        </w:rPr>
        <w:t xml:space="preserve">, K., </w:t>
      </w:r>
      <w:proofErr w:type="spellStart"/>
      <w:r>
        <w:rPr>
          <w:rFonts w:ascii="Times New Roman" w:eastAsia="Times New Roman" w:hAnsi="Times New Roman" w:cs="Times New Roman"/>
          <w:color w:val="000000"/>
          <w:sz w:val="24"/>
          <w:szCs w:val="24"/>
          <w:highlight w:val="white"/>
        </w:rPr>
        <w:t>Lazaroiu</w:t>
      </w:r>
      <w:proofErr w:type="spellEnd"/>
      <w:r>
        <w:rPr>
          <w:rFonts w:ascii="Times New Roman" w:eastAsia="Times New Roman" w:hAnsi="Times New Roman" w:cs="Times New Roman"/>
          <w:color w:val="000000"/>
          <w:sz w:val="24"/>
          <w:szCs w:val="24"/>
          <w:highlight w:val="white"/>
        </w:rPr>
        <w:t xml:space="preserve">, G., </w:t>
      </w:r>
      <w:proofErr w:type="spellStart"/>
      <w:r>
        <w:rPr>
          <w:rFonts w:ascii="Times New Roman" w:eastAsia="Times New Roman" w:hAnsi="Times New Roman" w:cs="Times New Roman"/>
          <w:color w:val="000000"/>
          <w:sz w:val="24"/>
          <w:szCs w:val="24"/>
          <w:highlight w:val="white"/>
        </w:rPr>
        <w:t>Kovacova</w:t>
      </w:r>
      <w:proofErr w:type="spellEnd"/>
      <w:r>
        <w:rPr>
          <w:rFonts w:ascii="Times New Roman" w:eastAsia="Times New Roman" w:hAnsi="Times New Roman" w:cs="Times New Roman"/>
          <w:color w:val="000000"/>
          <w:sz w:val="24"/>
          <w:szCs w:val="24"/>
          <w:highlight w:val="white"/>
        </w:rPr>
        <w:t>, M. and Vrbka, J., 2020. Remaining financially healthy and competitive: The role of financial predictors. </w:t>
      </w:r>
      <w:r>
        <w:rPr>
          <w:rFonts w:ascii="Times New Roman" w:eastAsia="Times New Roman" w:hAnsi="Times New Roman" w:cs="Times New Roman"/>
          <w:i/>
          <w:color w:val="000000"/>
          <w:sz w:val="24"/>
          <w:szCs w:val="24"/>
          <w:highlight w:val="white"/>
        </w:rPr>
        <w:t>Journal of Competitiveness</w:t>
      </w:r>
      <w:r>
        <w:rPr>
          <w:rFonts w:ascii="Times New Roman" w:eastAsia="Times New Roman" w:hAnsi="Times New Roman" w:cs="Times New Roman"/>
          <w:color w:val="000000"/>
          <w:sz w:val="24"/>
          <w:szCs w:val="24"/>
          <w:highlight w:val="white"/>
        </w:rPr>
        <w:t>, </w:t>
      </w:r>
      <w:r>
        <w:rPr>
          <w:rFonts w:ascii="Times New Roman" w:eastAsia="Times New Roman" w:hAnsi="Times New Roman" w:cs="Times New Roman"/>
          <w:i/>
          <w:color w:val="000000"/>
          <w:sz w:val="24"/>
          <w:szCs w:val="24"/>
          <w:highlight w:val="white"/>
        </w:rPr>
        <w:t>12</w:t>
      </w:r>
      <w:r>
        <w:rPr>
          <w:rFonts w:ascii="Times New Roman" w:eastAsia="Times New Roman" w:hAnsi="Times New Roman" w:cs="Times New Roman"/>
          <w:color w:val="000000"/>
          <w:sz w:val="24"/>
          <w:szCs w:val="24"/>
          <w:highlight w:val="white"/>
        </w:rPr>
        <w:t>(1), p.74.</w:t>
      </w:r>
    </w:p>
    <w:p w14:paraId="0000009E" w14:textId="77777777" w:rsidR="000F523E" w:rsidRDefault="00D91AF5">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Lea, R., 2019. The UK as a place to do business: still very highly regarded internationally. </w:t>
      </w:r>
      <w:r>
        <w:rPr>
          <w:rFonts w:ascii="Times New Roman" w:eastAsia="Times New Roman" w:hAnsi="Times New Roman" w:cs="Times New Roman"/>
          <w:i/>
          <w:color w:val="000000"/>
          <w:sz w:val="24"/>
          <w:szCs w:val="24"/>
          <w:highlight w:val="white"/>
        </w:rPr>
        <w:t>Arbuthnot Banking Group</w:t>
      </w:r>
      <w:r>
        <w:rPr>
          <w:rFonts w:ascii="Times New Roman" w:eastAsia="Times New Roman" w:hAnsi="Times New Roman" w:cs="Times New Roman"/>
          <w:color w:val="000000"/>
          <w:sz w:val="24"/>
          <w:szCs w:val="24"/>
          <w:highlight w:val="white"/>
        </w:rPr>
        <w:t>, </w:t>
      </w:r>
      <w:r>
        <w:rPr>
          <w:rFonts w:ascii="Times New Roman" w:eastAsia="Times New Roman" w:hAnsi="Times New Roman" w:cs="Times New Roman"/>
          <w:i/>
          <w:color w:val="000000"/>
          <w:sz w:val="24"/>
          <w:szCs w:val="24"/>
          <w:highlight w:val="white"/>
        </w:rPr>
        <w:t>4</w:t>
      </w:r>
      <w:r>
        <w:rPr>
          <w:rFonts w:ascii="Times New Roman" w:eastAsia="Times New Roman" w:hAnsi="Times New Roman" w:cs="Times New Roman"/>
          <w:color w:val="000000"/>
          <w:sz w:val="24"/>
          <w:szCs w:val="24"/>
          <w:highlight w:val="white"/>
        </w:rPr>
        <w:t>.</w:t>
      </w:r>
    </w:p>
    <w:p w14:paraId="0000009F" w14:textId="77777777" w:rsidR="000F523E" w:rsidRDefault="00D91AF5">
      <w:pP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Valaskova</w:t>
      </w:r>
      <w:proofErr w:type="spellEnd"/>
      <w:r>
        <w:rPr>
          <w:rFonts w:ascii="Times New Roman" w:eastAsia="Times New Roman" w:hAnsi="Times New Roman" w:cs="Times New Roman"/>
          <w:color w:val="000000"/>
          <w:sz w:val="24"/>
          <w:szCs w:val="24"/>
          <w:highlight w:val="white"/>
        </w:rPr>
        <w:t xml:space="preserve">, K., </w:t>
      </w:r>
      <w:proofErr w:type="spellStart"/>
      <w:r>
        <w:rPr>
          <w:rFonts w:ascii="Times New Roman" w:eastAsia="Times New Roman" w:hAnsi="Times New Roman" w:cs="Times New Roman"/>
          <w:color w:val="000000"/>
          <w:sz w:val="24"/>
          <w:szCs w:val="24"/>
          <w:highlight w:val="white"/>
        </w:rPr>
        <w:t>Kliestik</w:t>
      </w:r>
      <w:proofErr w:type="spellEnd"/>
      <w:r>
        <w:rPr>
          <w:rFonts w:ascii="Times New Roman" w:eastAsia="Times New Roman" w:hAnsi="Times New Roman" w:cs="Times New Roman"/>
          <w:color w:val="000000"/>
          <w:sz w:val="24"/>
          <w:szCs w:val="24"/>
          <w:highlight w:val="white"/>
        </w:rPr>
        <w:t xml:space="preserve">, T., </w:t>
      </w:r>
      <w:proofErr w:type="spellStart"/>
      <w:r>
        <w:rPr>
          <w:rFonts w:ascii="Times New Roman" w:eastAsia="Times New Roman" w:hAnsi="Times New Roman" w:cs="Times New Roman"/>
          <w:color w:val="000000"/>
          <w:sz w:val="24"/>
          <w:szCs w:val="24"/>
          <w:highlight w:val="white"/>
        </w:rPr>
        <w:t>Svabova</w:t>
      </w:r>
      <w:proofErr w:type="spellEnd"/>
      <w:r>
        <w:rPr>
          <w:rFonts w:ascii="Times New Roman" w:eastAsia="Times New Roman" w:hAnsi="Times New Roman" w:cs="Times New Roman"/>
          <w:color w:val="000000"/>
          <w:sz w:val="24"/>
          <w:szCs w:val="24"/>
          <w:highlight w:val="white"/>
        </w:rPr>
        <w:t>, L. and Adamko, P., 2018. Financial risk measurement and prediction modelling for sustainable development of business entities using regression analysis. </w:t>
      </w:r>
      <w:r>
        <w:rPr>
          <w:rFonts w:ascii="Times New Roman" w:eastAsia="Times New Roman" w:hAnsi="Times New Roman" w:cs="Times New Roman"/>
          <w:i/>
          <w:color w:val="000000"/>
          <w:sz w:val="24"/>
          <w:szCs w:val="24"/>
          <w:highlight w:val="white"/>
        </w:rPr>
        <w:t>Sustainability</w:t>
      </w:r>
      <w:r>
        <w:rPr>
          <w:rFonts w:ascii="Times New Roman" w:eastAsia="Times New Roman" w:hAnsi="Times New Roman" w:cs="Times New Roman"/>
          <w:color w:val="000000"/>
          <w:sz w:val="24"/>
          <w:szCs w:val="24"/>
          <w:highlight w:val="white"/>
        </w:rPr>
        <w:t>, </w:t>
      </w:r>
      <w:r>
        <w:rPr>
          <w:rFonts w:ascii="Times New Roman" w:eastAsia="Times New Roman" w:hAnsi="Times New Roman" w:cs="Times New Roman"/>
          <w:i/>
          <w:color w:val="000000"/>
          <w:sz w:val="24"/>
          <w:szCs w:val="24"/>
          <w:highlight w:val="white"/>
        </w:rPr>
        <w:t>10</w:t>
      </w:r>
      <w:r>
        <w:rPr>
          <w:rFonts w:ascii="Times New Roman" w:eastAsia="Times New Roman" w:hAnsi="Times New Roman" w:cs="Times New Roman"/>
          <w:color w:val="000000"/>
          <w:sz w:val="24"/>
          <w:szCs w:val="24"/>
          <w:highlight w:val="white"/>
        </w:rPr>
        <w:t>(7), p.2144.</w:t>
      </w:r>
    </w:p>
    <w:p w14:paraId="000000A0" w14:textId="77777777" w:rsidR="000F523E" w:rsidRDefault="000F523E">
      <w:pPr>
        <w:spacing w:line="360" w:lineRule="auto"/>
        <w:jc w:val="both"/>
        <w:rPr>
          <w:rFonts w:ascii="Times New Roman" w:eastAsia="Times New Roman" w:hAnsi="Times New Roman" w:cs="Times New Roman"/>
          <w:sz w:val="24"/>
          <w:szCs w:val="24"/>
        </w:rPr>
      </w:pPr>
    </w:p>
    <w:sectPr w:rsidR="000F523E">
      <w:footerReference w:type="default" r:id="rId2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5BB69" w14:textId="77777777" w:rsidR="00000000" w:rsidRDefault="00D91AF5">
      <w:pPr>
        <w:spacing w:line="240" w:lineRule="auto"/>
      </w:pPr>
      <w:r>
        <w:separator/>
      </w:r>
    </w:p>
  </w:endnote>
  <w:endnote w:type="continuationSeparator" w:id="0">
    <w:p w14:paraId="12B028BA" w14:textId="77777777" w:rsidR="00000000" w:rsidRDefault="00D91A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1" w14:textId="59ACC012" w:rsidR="000F523E" w:rsidRDefault="00D91AF5">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0000A2" w14:textId="77777777" w:rsidR="000F523E" w:rsidRDefault="000F523E">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2575A" w14:textId="77777777" w:rsidR="00000000" w:rsidRDefault="00D91AF5">
      <w:pPr>
        <w:spacing w:line="240" w:lineRule="auto"/>
      </w:pPr>
      <w:r>
        <w:separator/>
      </w:r>
    </w:p>
  </w:footnote>
  <w:footnote w:type="continuationSeparator" w:id="0">
    <w:p w14:paraId="2735C69D" w14:textId="77777777" w:rsidR="00000000" w:rsidRDefault="00D91AF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23E"/>
    <w:rsid w:val="000F523E"/>
    <w:rsid w:val="00D91A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A7A7B2-248B-49CF-BF47-C2F7A9F63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5120BB"/>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unhideWhenUsed/>
    <w:qFormat/>
    <w:rsid w:val="005120BB"/>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120BB"/>
    <w:pPr>
      <w:tabs>
        <w:tab w:val="center" w:pos="4513"/>
        <w:tab w:val="right" w:pos="9026"/>
      </w:tabs>
      <w:spacing w:line="240" w:lineRule="auto"/>
    </w:pPr>
  </w:style>
  <w:style w:type="character" w:customStyle="1" w:styleId="HeaderChar">
    <w:name w:val="Header Char"/>
    <w:basedOn w:val="DefaultParagraphFont"/>
    <w:link w:val="Header"/>
    <w:uiPriority w:val="99"/>
    <w:rsid w:val="005120BB"/>
  </w:style>
  <w:style w:type="paragraph" w:styleId="Footer">
    <w:name w:val="footer"/>
    <w:basedOn w:val="Normal"/>
    <w:link w:val="FooterChar"/>
    <w:uiPriority w:val="99"/>
    <w:unhideWhenUsed/>
    <w:rsid w:val="005120BB"/>
    <w:pPr>
      <w:tabs>
        <w:tab w:val="center" w:pos="4513"/>
        <w:tab w:val="right" w:pos="9026"/>
      </w:tabs>
      <w:spacing w:line="240" w:lineRule="auto"/>
    </w:pPr>
  </w:style>
  <w:style w:type="character" w:customStyle="1" w:styleId="FooterChar">
    <w:name w:val="Footer Char"/>
    <w:basedOn w:val="DefaultParagraphFont"/>
    <w:link w:val="Footer"/>
    <w:uiPriority w:val="99"/>
    <w:rsid w:val="005120BB"/>
  </w:style>
  <w:style w:type="paragraph" w:styleId="TOCHeading">
    <w:name w:val="TOC Heading"/>
    <w:basedOn w:val="Heading1"/>
    <w:next w:val="Normal"/>
    <w:uiPriority w:val="39"/>
    <w:unhideWhenUsed/>
    <w:qFormat/>
    <w:rsid w:val="005120B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952FA"/>
    <w:pPr>
      <w:tabs>
        <w:tab w:val="right" w:leader="dot" w:pos="9350"/>
      </w:tabs>
      <w:spacing w:after="100" w:line="360" w:lineRule="auto"/>
      <w:jc w:val="both"/>
    </w:pPr>
  </w:style>
  <w:style w:type="paragraph" w:styleId="TOC2">
    <w:name w:val="toc 2"/>
    <w:basedOn w:val="Normal"/>
    <w:next w:val="Normal"/>
    <w:autoRedefine/>
    <w:uiPriority w:val="39"/>
    <w:unhideWhenUsed/>
    <w:rsid w:val="005120BB"/>
    <w:pPr>
      <w:spacing w:after="100"/>
      <w:ind w:left="220"/>
    </w:pPr>
  </w:style>
  <w:style w:type="character" w:styleId="Hyperlink">
    <w:name w:val="Hyperlink"/>
    <w:basedOn w:val="DefaultParagraphFont"/>
    <w:uiPriority w:val="99"/>
    <w:unhideWhenUsed/>
    <w:rsid w:val="005120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34LygfBmIwbBBAzpmoqrdBNX4gQ==">AMUW2mW5nM+9RYKwQ8VleVJD8LjmxTB+X0zjhG5fyxIt6sXuCgKyeTRf3WieoCJ82P2CLkSkMXyE7U7KIwn1DHWH082BrslOvkLbmvHVo9/waNPn63DuxZCUeyJObZP9D0IzcaIkaOMVoRpNLJYmj303bY1D6+Oqs4SjybwKXAOHyMx340U1P4P1g0efqIES3qzWTiKpSikfQtXOKoIGhScmRUWqruXs6lmzj/ORUoGFg61qVx2jfEcNJKz91MIhxHVO2W+GzKwv00mjOPn6SEWWShF0OQ0o70vGYKNUZXBgdLPdvD3d67pbCf+9eEgKsHeYp2uSaKJ4EPlcVfLmYAJWNuIJEMPRYCzSWLvbwB5nS87/ZLUxYz2JAB2xZwJtWOZ/YLsv2PZqxptV2yDQBYsAIZSEkyGmcl9HFk4GBl4GoBphJysSXV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3072</Words>
  <Characters>17511</Characters>
  <Application>Microsoft Office Word</Application>
  <DocSecurity>0</DocSecurity>
  <Lines>145</Lines>
  <Paragraphs>41</Paragraphs>
  <ScaleCrop>false</ScaleCrop>
  <Company/>
  <LinksUpToDate>false</LinksUpToDate>
  <CharactersWithSpaces>20542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Luiza Lisac</cp:lastModifiedBy>
  <cp:revision>2</cp:revision>
  <dcterms:created xsi:type="dcterms:W3CDTF">2021-08-15T15:58:00Z</dcterms:created>
  <dcterms:modified xsi:type="dcterms:W3CDTF">2021-08-15T15:58:00Z</dcterms:modified>
</cp:coreProperties>
</file>