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8FC9C" w14:textId="1AFAE561" w:rsidR="00A63490" w:rsidRPr="000D122D" w:rsidRDefault="00A63490" w:rsidP="00652C80">
      <w:pPr>
        <w:rPr>
          <w:rFonts w:cs="Times New Roman"/>
          <w:b/>
          <w:bCs/>
          <w:sz w:val="40"/>
          <w:szCs w:val="48"/>
        </w:rPr>
      </w:pPr>
    </w:p>
    <w:p w14:paraId="2DE60F98" w14:textId="42B09FF1" w:rsidR="00A63490" w:rsidRPr="00A63490" w:rsidRDefault="00652C80" w:rsidP="00652C80">
      <w:pPr>
        <w:rPr>
          <w:rFonts w:cs="Times New Roman"/>
          <w:sz w:val="44"/>
          <w:szCs w:val="52"/>
        </w:rPr>
      </w:pPr>
      <w:r>
        <w:rPr>
          <w:rFonts w:cs="Times New Roman"/>
          <w:sz w:val="44"/>
          <w:szCs w:val="52"/>
        </w:rPr>
        <w:t xml:space="preserve">                  </w:t>
      </w:r>
      <w:r w:rsidR="00A63490" w:rsidRPr="00A63490">
        <w:rPr>
          <w:rFonts w:cs="Times New Roman"/>
          <w:sz w:val="44"/>
          <w:szCs w:val="52"/>
        </w:rPr>
        <w:t>Student name:</w:t>
      </w:r>
      <w:r>
        <w:rPr>
          <w:rFonts w:cs="Times New Roman"/>
          <w:sz w:val="44"/>
          <w:szCs w:val="52"/>
        </w:rPr>
        <w:t xml:space="preserve"> Shabna Hussain</w:t>
      </w:r>
    </w:p>
    <w:p w14:paraId="7E77D33E" w14:textId="5FB05721" w:rsidR="000C0F79" w:rsidRDefault="00A63490" w:rsidP="00652C80">
      <w:pPr>
        <w:jc w:val="center"/>
        <w:rPr>
          <w:rFonts w:cs="Times New Roman"/>
          <w:sz w:val="44"/>
          <w:szCs w:val="52"/>
        </w:rPr>
      </w:pPr>
      <w:r w:rsidRPr="00A63490">
        <w:rPr>
          <w:rFonts w:cs="Times New Roman"/>
          <w:sz w:val="44"/>
          <w:szCs w:val="52"/>
        </w:rPr>
        <w:t>Student</w:t>
      </w:r>
      <w:r>
        <w:rPr>
          <w:rFonts w:cs="Times New Roman"/>
          <w:sz w:val="44"/>
          <w:szCs w:val="52"/>
        </w:rPr>
        <w:t xml:space="preserve"> ID:</w:t>
      </w:r>
      <w:r w:rsidR="00652C80">
        <w:rPr>
          <w:rFonts w:cs="Times New Roman"/>
          <w:sz w:val="44"/>
          <w:szCs w:val="52"/>
        </w:rPr>
        <w:t xml:space="preserve"> 2123212</w:t>
      </w:r>
    </w:p>
    <w:p w14:paraId="7E437FCC" w14:textId="1BC76F8A" w:rsidR="00652C80" w:rsidRDefault="00652C80" w:rsidP="00652C80">
      <w:pPr>
        <w:jc w:val="center"/>
        <w:rPr>
          <w:rFonts w:cs="Times New Roman"/>
          <w:sz w:val="44"/>
          <w:szCs w:val="52"/>
        </w:rPr>
      </w:pPr>
      <w:r>
        <w:rPr>
          <w:rFonts w:cs="Times New Roman"/>
          <w:sz w:val="44"/>
          <w:szCs w:val="52"/>
        </w:rPr>
        <w:t xml:space="preserve">The Module Title: Financial Management </w:t>
      </w:r>
    </w:p>
    <w:p w14:paraId="0B0B85A0" w14:textId="581FE35E" w:rsidR="00652C80" w:rsidRDefault="00652C80" w:rsidP="00652C80">
      <w:pPr>
        <w:jc w:val="center"/>
        <w:rPr>
          <w:rFonts w:cs="Times New Roman"/>
          <w:sz w:val="44"/>
          <w:szCs w:val="52"/>
        </w:rPr>
      </w:pPr>
      <w:r>
        <w:rPr>
          <w:rFonts w:cs="Times New Roman"/>
          <w:sz w:val="44"/>
          <w:szCs w:val="52"/>
        </w:rPr>
        <w:t>Module Code: BMIH 5007</w:t>
      </w:r>
    </w:p>
    <w:p w14:paraId="21503D13" w14:textId="32A2567E" w:rsidR="00652C80" w:rsidRPr="00652C80" w:rsidRDefault="00652C80" w:rsidP="00652C80">
      <w:pPr>
        <w:jc w:val="center"/>
        <w:rPr>
          <w:rFonts w:cs="Times New Roman"/>
          <w:sz w:val="44"/>
          <w:szCs w:val="52"/>
        </w:rPr>
      </w:pPr>
      <w:r>
        <w:rPr>
          <w:rFonts w:cs="Times New Roman"/>
          <w:sz w:val="44"/>
          <w:szCs w:val="52"/>
        </w:rPr>
        <w:t>Lecturer Name: Dale Clarke</w:t>
      </w:r>
    </w:p>
    <w:p w14:paraId="6D978607" w14:textId="77777777" w:rsidR="00B84EBF" w:rsidRDefault="00B84EBF">
      <w:pPr>
        <w:spacing w:line="259" w:lineRule="auto"/>
        <w:jc w:val="left"/>
        <w:rPr>
          <w:rFonts w:cs="Times New Roman"/>
          <w:sz w:val="44"/>
          <w:szCs w:val="52"/>
        </w:rPr>
      </w:pPr>
      <w:r>
        <w:rPr>
          <w:rFonts w:cs="Times New Roman"/>
          <w:sz w:val="44"/>
          <w:szCs w:val="52"/>
        </w:rPr>
        <w:br w:type="page"/>
      </w:r>
    </w:p>
    <w:p w14:paraId="76BC862B" w14:textId="77777777" w:rsidR="00B84EBF" w:rsidRDefault="00B84EBF" w:rsidP="00B84EBF">
      <w:pPr>
        <w:pStyle w:val="Heading1"/>
      </w:pPr>
      <w:bookmarkStart w:id="0" w:name="_Toc135349306"/>
      <w:r>
        <w:lastRenderedPageBreak/>
        <w:t>Executive summary</w:t>
      </w:r>
      <w:bookmarkEnd w:id="0"/>
    </w:p>
    <w:p w14:paraId="21415877" w14:textId="37FFBDE6" w:rsidR="000D122D" w:rsidRDefault="00B84EBF" w:rsidP="00B84EBF">
      <w:r w:rsidRPr="00B84EBF">
        <w:t>Successful hotel businesses place a premium on prudent financial management. Hotels may increase their income, decrease their expenses, and increase their profits with sound financial management. This summary gives a high-level perspective of the most important aspects of hotel financial management. It stresses the need for precise budgeting, forecasting, and financial planning in order to allocate resources effectively. It also stresses the need of tracking financial performance using KPIs like RevPAR and GOPPAR to ensure success. The importance of risk management, cash flow forecasting, and internal controls is also highlighted. The hospitality industry may achieve long-term development and success by adopting these techniques in financial management.</w:t>
      </w:r>
      <w:r w:rsidR="000D122D">
        <w:br w:type="page"/>
      </w:r>
    </w:p>
    <w:sdt>
      <w:sdtPr>
        <w:rPr>
          <w:rFonts w:ascii="Times New Roman" w:eastAsiaTheme="minorHAnsi" w:hAnsi="Times New Roman" w:cstheme="minorBidi"/>
          <w:color w:val="auto"/>
          <w:sz w:val="24"/>
          <w:szCs w:val="28"/>
          <w:lang w:bidi="bn-BD"/>
        </w:rPr>
        <w:id w:val="916368815"/>
        <w:docPartObj>
          <w:docPartGallery w:val="Table of Contents"/>
          <w:docPartUnique/>
        </w:docPartObj>
      </w:sdtPr>
      <w:sdtEndPr>
        <w:rPr>
          <w:b/>
          <w:bCs/>
          <w:noProof/>
        </w:rPr>
      </w:sdtEndPr>
      <w:sdtContent>
        <w:p w14:paraId="6EF8C2F6" w14:textId="193E7B89" w:rsidR="00351727" w:rsidRDefault="00351727">
          <w:pPr>
            <w:pStyle w:val="TOCHeading"/>
          </w:pPr>
          <w:r>
            <w:t>Table of Contents</w:t>
          </w:r>
        </w:p>
        <w:p w14:paraId="181596DE" w14:textId="6A31A326" w:rsidR="00B84EBF" w:rsidRDefault="00351727">
          <w:pPr>
            <w:pStyle w:val="TOC1"/>
            <w:tabs>
              <w:tab w:val="right" w:leader="dot" w:pos="9350"/>
            </w:tabs>
            <w:rPr>
              <w:rFonts w:asciiTheme="minorHAnsi" w:eastAsiaTheme="minorEastAsia" w:hAnsiTheme="minorHAnsi"/>
              <w:noProof/>
              <w:sz w:val="22"/>
              <w:szCs w:val="22"/>
              <w:lang w:val="en-GB" w:eastAsia="en-GB" w:bidi="ar-SA"/>
            </w:rPr>
          </w:pPr>
          <w:r>
            <w:fldChar w:fldCharType="begin"/>
          </w:r>
          <w:r>
            <w:instrText xml:space="preserve"> TOC \o "1-3" \h \z \u </w:instrText>
          </w:r>
          <w:r>
            <w:fldChar w:fldCharType="separate"/>
          </w:r>
          <w:hyperlink w:anchor="_Toc135349306" w:history="1">
            <w:r w:rsidR="00B84EBF" w:rsidRPr="00490409">
              <w:rPr>
                <w:rStyle w:val="Hyperlink"/>
                <w:noProof/>
              </w:rPr>
              <w:t>Executive summary</w:t>
            </w:r>
            <w:r w:rsidR="00B84EBF">
              <w:rPr>
                <w:noProof/>
                <w:webHidden/>
              </w:rPr>
              <w:tab/>
            </w:r>
            <w:r w:rsidR="00B84EBF">
              <w:rPr>
                <w:noProof/>
                <w:webHidden/>
              </w:rPr>
              <w:fldChar w:fldCharType="begin"/>
            </w:r>
            <w:r w:rsidR="00B84EBF">
              <w:rPr>
                <w:noProof/>
                <w:webHidden/>
              </w:rPr>
              <w:instrText xml:space="preserve"> PAGEREF _Toc135349306 \h </w:instrText>
            </w:r>
            <w:r w:rsidR="00B84EBF">
              <w:rPr>
                <w:noProof/>
                <w:webHidden/>
              </w:rPr>
            </w:r>
            <w:r w:rsidR="00B84EBF">
              <w:rPr>
                <w:noProof/>
                <w:webHidden/>
              </w:rPr>
              <w:fldChar w:fldCharType="separate"/>
            </w:r>
            <w:r w:rsidR="00B84EBF">
              <w:rPr>
                <w:noProof/>
                <w:webHidden/>
              </w:rPr>
              <w:t>2</w:t>
            </w:r>
            <w:r w:rsidR="00B84EBF">
              <w:rPr>
                <w:noProof/>
                <w:webHidden/>
              </w:rPr>
              <w:fldChar w:fldCharType="end"/>
            </w:r>
          </w:hyperlink>
        </w:p>
        <w:p w14:paraId="0F497E4B" w14:textId="64629427" w:rsidR="00B84EBF" w:rsidRDefault="00000000">
          <w:pPr>
            <w:pStyle w:val="TOC1"/>
            <w:tabs>
              <w:tab w:val="right" w:leader="dot" w:pos="9350"/>
            </w:tabs>
            <w:rPr>
              <w:rFonts w:asciiTheme="minorHAnsi" w:eastAsiaTheme="minorEastAsia" w:hAnsiTheme="minorHAnsi"/>
              <w:noProof/>
              <w:sz w:val="22"/>
              <w:szCs w:val="22"/>
              <w:lang w:val="en-GB" w:eastAsia="en-GB" w:bidi="ar-SA"/>
            </w:rPr>
          </w:pPr>
          <w:hyperlink w:anchor="_Toc135349307" w:history="1">
            <w:r w:rsidR="00B84EBF" w:rsidRPr="00490409">
              <w:rPr>
                <w:rStyle w:val="Hyperlink"/>
                <w:noProof/>
              </w:rPr>
              <w:t>Introduction</w:t>
            </w:r>
            <w:r w:rsidR="00B84EBF">
              <w:rPr>
                <w:noProof/>
                <w:webHidden/>
              </w:rPr>
              <w:tab/>
            </w:r>
            <w:r w:rsidR="00B84EBF">
              <w:rPr>
                <w:noProof/>
                <w:webHidden/>
              </w:rPr>
              <w:fldChar w:fldCharType="begin"/>
            </w:r>
            <w:r w:rsidR="00B84EBF">
              <w:rPr>
                <w:noProof/>
                <w:webHidden/>
              </w:rPr>
              <w:instrText xml:space="preserve"> PAGEREF _Toc135349307 \h </w:instrText>
            </w:r>
            <w:r w:rsidR="00B84EBF">
              <w:rPr>
                <w:noProof/>
                <w:webHidden/>
              </w:rPr>
            </w:r>
            <w:r w:rsidR="00B84EBF">
              <w:rPr>
                <w:noProof/>
                <w:webHidden/>
              </w:rPr>
              <w:fldChar w:fldCharType="separate"/>
            </w:r>
            <w:r w:rsidR="00B84EBF">
              <w:rPr>
                <w:noProof/>
                <w:webHidden/>
              </w:rPr>
              <w:t>4</w:t>
            </w:r>
            <w:r w:rsidR="00B84EBF">
              <w:rPr>
                <w:noProof/>
                <w:webHidden/>
              </w:rPr>
              <w:fldChar w:fldCharType="end"/>
            </w:r>
          </w:hyperlink>
        </w:p>
        <w:p w14:paraId="117ECD34" w14:textId="6E45EEF6" w:rsidR="00B84EBF" w:rsidRDefault="00000000">
          <w:pPr>
            <w:pStyle w:val="TOC1"/>
            <w:tabs>
              <w:tab w:val="right" w:leader="dot" w:pos="9350"/>
            </w:tabs>
            <w:rPr>
              <w:rFonts w:asciiTheme="minorHAnsi" w:eastAsiaTheme="minorEastAsia" w:hAnsiTheme="minorHAnsi"/>
              <w:noProof/>
              <w:sz w:val="22"/>
              <w:szCs w:val="22"/>
              <w:lang w:val="en-GB" w:eastAsia="en-GB" w:bidi="ar-SA"/>
            </w:rPr>
          </w:pPr>
          <w:hyperlink w:anchor="_Toc135349308" w:history="1">
            <w:r w:rsidR="00B84EBF" w:rsidRPr="00490409">
              <w:rPr>
                <w:rStyle w:val="Hyperlink"/>
                <w:noProof/>
              </w:rPr>
              <w:t>Overview</w:t>
            </w:r>
            <w:r w:rsidR="00B84EBF">
              <w:rPr>
                <w:noProof/>
                <w:webHidden/>
              </w:rPr>
              <w:tab/>
            </w:r>
            <w:r w:rsidR="00B84EBF">
              <w:rPr>
                <w:noProof/>
                <w:webHidden/>
              </w:rPr>
              <w:fldChar w:fldCharType="begin"/>
            </w:r>
            <w:r w:rsidR="00B84EBF">
              <w:rPr>
                <w:noProof/>
                <w:webHidden/>
              </w:rPr>
              <w:instrText xml:space="preserve"> PAGEREF _Toc135349308 \h </w:instrText>
            </w:r>
            <w:r w:rsidR="00B84EBF">
              <w:rPr>
                <w:noProof/>
                <w:webHidden/>
              </w:rPr>
            </w:r>
            <w:r w:rsidR="00B84EBF">
              <w:rPr>
                <w:noProof/>
                <w:webHidden/>
              </w:rPr>
              <w:fldChar w:fldCharType="separate"/>
            </w:r>
            <w:r w:rsidR="00B84EBF">
              <w:rPr>
                <w:noProof/>
                <w:webHidden/>
              </w:rPr>
              <w:t>5</w:t>
            </w:r>
            <w:r w:rsidR="00B84EBF">
              <w:rPr>
                <w:noProof/>
                <w:webHidden/>
              </w:rPr>
              <w:fldChar w:fldCharType="end"/>
            </w:r>
          </w:hyperlink>
        </w:p>
        <w:p w14:paraId="48930215" w14:textId="4623B427" w:rsidR="00B84EBF" w:rsidRDefault="00000000">
          <w:pPr>
            <w:pStyle w:val="TOC2"/>
            <w:tabs>
              <w:tab w:val="right" w:leader="dot" w:pos="9350"/>
            </w:tabs>
            <w:rPr>
              <w:rFonts w:asciiTheme="minorHAnsi" w:eastAsiaTheme="minorEastAsia" w:hAnsiTheme="minorHAnsi"/>
              <w:noProof/>
              <w:sz w:val="22"/>
              <w:szCs w:val="22"/>
              <w:lang w:val="en-GB" w:eastAsia="en-GB" w:bidi="ar-SA"/>
            </w:rPr>
          </w:pPr>
          <w:hyperlink w:anchor="_Toc135349309" w:history="1">
            <w:r w:rsidR="00B84EBF" w:rsidRPr="00490409">
              <w:rPr>
                <w:rStyle w:val="Hyperlink"/>
                <w:noProof/>
              </w:rPr>
              <w:t>Marriot International</w:t>
            </w:r>
            <w:r w:rsidR="00B84EBF">
              <w:rPr>
                <w:noProof/>
                <w:webHidden/>
              </w:rPr>
              <w:tab/>
            </w:r>
            <w:r w:rsidR="00B84EBF">
              <w:rPr>
                <w:noProof/>
                <w:webHidden/>
              </w:rPr>
              <w:fldChar w:fldCharType="begin"/>
            </w:r>
            <w:r w:rsidR="00B84EBF">
              <w:rPr>
                <w:noProof/>
                <w:webHidden/>
              </w:rPr>
              <w:instrText xml:space="preserve"> PAGEREF _Toc135349309 \h </w:instrText>
            </w:r>
            <w:r w:rsidR="00B84EBF">
              <w:rPr>
                <w:noProof/>
                <w:webHidden/>
              </w:rPr>
            </w:r>
            <w:r w:rsidR="00B84EBF">
              <w:rPr>
                <w:noProof/>
                <w:webHidden/>
              </w:rPr>
              <w:fldChar w:fldCharType="separate"/>
            </w:r>
            <w:r w:rsidR="00B84EBF">
              <w:rPr>
                <w:noProof/>
                <w:webHidden/>
              </w:rPr>
              <w:t>5</w:t>
            </w:r>
            <w:r w:rsidR="00B84EBF">
              <w:rPr>
                <w:noProof/>
                <w:webHidden/>
              </w:rPr>
              <w:fldChar w:fldCharType="end"/>
            </w:r>
          </w:hyperlink>
        </w:p>
        <w:p w14:paraId="4AC3B054" w14:textId="1785F8EF" w:rsidR="00B84EBF" w:rsidRDefault="00000000">
          <w:pPr>
            <w:pStyle w:val="TOC2"/>
            <w:tabs>
              <w:tab w:val="right" w:leader="dot" w:pos="9350"/>
            </w:tabs>
            <w:rPr>
              <w:rFonts w:asciiTheme="minorHAnsi" w:eastAsiaTheme="minorEastAsia" w:hAnsiTheme="minorHAnsi"/>
              <w:noProof/>
              <w:sz w:val="22"/>
              <w:szCs w:val="22"/>
              <w:lang w:val="en-GB" w:eastAsia="en-GB" w:bidi="ar-SA"/>
            </w:rPr>
          </w:pPr>
          <w:hyperlink w:anchor="_Toc135349310" w:history="1">
            <w:r w:rsidR="00B84EBF" w:rsidRPr="00490409">
              <w:rPr>
                <w:rStyle w:val="Hyperlink"/>
                <w:noProof/>
              </w:rPr>
              <w:t>Hyatt Hotels</w:t>
            </w:r>
            <w:r w:rsidR="00B84EBF">
              <w:rPr>
                <w:noProof/>
                <w:webHidden/>
              </w:rPr>
              <w:tab/>
            </w:r>
            <w:r w:rsidR="00B84EBF">
              <w:rPr>
                <w:noProof/>
                <w:webHidden/>
              </w:rPr>
              <w:fldChar w:fldCharType="begin"/>
            </w:r>
            <w:r w:rsidR="00B84EBF">
              <w:rPr>
                <w:noProof/>
                <w:webHidden/>
              </w:rPr>
              <w:instrText xml:space="preserve"> PAGEREF _Toc135349310 \h </w:instrText>
            </w:r>
            <w:r w:rsidR="00B84EBF">
              <w:rPr>
                <w:noProof/>
                <w:webHidden/>
              </w:rPr>
            </w:r>
            <w:r w:rsidR="00B84EBF">
              <w:rPr>
                <w:noProof/>
                <w:webHidden/>
              </w:rPr>
              <w:fldChar w:fldCharType="separate"/>
            </w:r>
            <w:r w:rsidR="00B84EBF">
              <w:rPr>
                <w:noProof/>
                <w:webHidden/>
              </w:rPr>
              <w:t>6</w:t>
            </w:r>
            <w:r w:rsidR="00B84EBF">
              <w:rPr>
                <w:noProof/>
                <w:webHidden/>
              </w:rPr>
              <w:fldChar w:fldCharType="end"/>
            </w:r>
          </w:hyperlink>
        </w:p>
        <w:p w14:paraId="5050520B" w14:textId="6D11CCA0" w:rsidR="00B84EBF" w:rsidRDefault="00000000">
          <w:pPr>
            <w:pStyle w:val="TOC1"/>
            <w:tabs>
              <w:tab w:val="right" w:leader="dot" w:pos="9350"/>
            </w:tabs>
            <w:rPr>
              <w:rFonts w:asciiTheme="minorHAnsi" w:eastAsiaTheme="minorEastAsia" w:hAnsiTheme="minorHAnsi"/>
              <w:noProof/>
              <w:sz w:val="22"/>
              <w:szCs w:val="22"/>
              <w:lang w:val="en-GB" w:eastAsia="en-GB" w:bidi="ar-SA"/>
            </w:rPr>
          </w:pPr>
          <w:hyperlink w:anchor="_Toc135349311" w:history="1">
            <w:r w:rsidR="00B84EBF" w:rsidRPr="00490409">
              <w:rPr>
                <w:rStyle w:val="Hyperlink"/>
                <w:noProof/>
              </w:rPr>
              <w:t>Financial Comparison</w:t>
            </w:r>
            <w:r w:rsidR="00B84EBF">
              <w:rPr>
                <w:noProof/>
                <w:webHidden/>
              </w:rPr>
              <w:tab/>
            </w:r>
            <w:r w:rsidR="00B84EBF">
              <w:rPr>
                <w:noProof/>
                <w:webHidden/>
              </w:rPr>
              <w:fldChar w:fldCharType="begin"/>
            </w:r>
            <w:r w:rsidR="00B84EBF">
              <w:rPr>
                <w:noProof/>
                <w:webHidden/>
              </w:rPr>
              <w:instrText xml:space="preserve"> PAGEREF _Toc135349311 \h </w:instrText>
            </w:r>
            <w:r w:rsidR="00B84EBF">
              <w:rPr>
                <w:noProof/>
                <w:webHidden/>
              </w:rPr>
            </w:r>
            <w:r w:rsidR="00B84EBF">
              <w:rPr>
                <w:noProof/>
                <w:webHidden/>
              </w:rPr>
              <w:fldChar w:fldCharType="separate"/>
            </w:r>
            <w:r w:rsidR="00B84EBF">
              <w:rPr>
                <w:noProof/>
                <w:webHidden/>
              </w:rPr>
              <w:t>7</w:t>
            </w:r>
            <w:r w:rsidR="00B84EBF">
              <w:rPr>
                <w:noProof/>
                <w:webHidden/>
              </w:rPr>
              <w:fldChar w:fldCharType="end"/>
            </w:r>
          </w:hyperlink>
        </w:p>
        <w:p w14:paraId="34684D6F" w14:textId="3886D185" w:rsidR="00B84EBF" w:rsidRDefault="00000000">
          <w:pPr>
            <w:pStyle w:val="TOC2"/>
            <w:tabs>
              <w:tab w:val="right" w:leader="dot" w:pos="9350"/>
            </w:tabs>
            <w:rPr>
              <w:rFonts w:asciiTheme="minorHAnsi" w:eastAsiaTheme="minorEastAsia" w:hAnsiTheme="minorHAnsi"/>
              <w:noProof/>
              <w:sz w:val="22"/>
              <w:szCs w:val="22"/>
              <w:lang w:val="en-GB" w:eastAsia="en-GB" w:bidi="ar-SA"/>
            </w:rPr>
          </w:pPr>
          <w:hyperlink w:anchor="_Toc135349312" w:history="1">
            <w:r w:rsidR="00B84EBF" w:rsidRPr="00490409">
              <w:rPr>
                <w:rStyle w:val="Hyperlink"/>
                <w:noProof/>
              </w:rPr>
              <w:t>Total revenue</w:t>
            </w:r>
            <w:r w:rsidR="00B84EBF">
              <w:rPr>
                <w:noProof/>
                <w:webHidden/>
              </w:rPr>
              <w:tab/>
            </w:r>
            <w:r w:rsidR="00B84EBF">
              <w:rPr>
                <w:noProof/>
                <w:webHidden/>
              </w:rPr>
              <w:fldChar w:fldCharType="begin"/>
            </w:r>
            <w:r w:rsidR="00B84EBF">
              <w:rPr>
                <w:noProof/>
                <w:webHidden/>
              </w:rPr>
              <w:instrText xml:space="preserve"> PAGEREF _Toc135349312 \h </w:instrText>
            </w:r>
            <w:r w:rsidR="00B84EBF">
              <w:rPr>
                <w:noProof/>
                <w:webHidden/>
              </w:rPr>
            </w:r>
            <w:r w:rsidR="00B84EBF">
              <w:rPr>
                <w:noProof/>
                <w:webHidden/>
              </w:rPr>
              <w:fldChar w:fldCharType="separate"/>
            </w:r>
            <w:r w:rsidR="00B84EBF">
              <w:rPr>
                <w:noProof/>
                <w:webHidden/>
              </w:rPr>
              <w:t>7</w:t>
            </w:r>
            <w:r w:rsidR="00B84EBF">
              <w:rPr>
                <w:noProof/>
                <w:webHidden/>
              </w:rPr>
              <w:fldChar w:fldCharType="end"/>
            </w:r>
          </w:hyperlink>
        </w:p>
        <w:p w14:paraId="206F6235" w14:textId="6122C2C0" w:rsidR="00B84EBF" w:rsidRDefault="00000000">
          <w:pPr>
            <w:pStyle w:val="TOC2"/>
            <w:tabs>
              <w:tab w:val="right" w:leader="dot" w:pos="9350"/>
            </w:tabs>
            <w:rPr>
              <w:rFonts w:asciiTheme="minorHAnsi" w:eastAsiaTheme="minorEastAsia" w:hAnsiTheme="minorHAnsi"/>
              <w:noProof/>
              <w:sz w:val="22"/>
              <w:szCs w:val="22"/>
              <w:lang w:val="en-GB" w:eastAsia="en-GB" w:bidi="ar-SA"/>
            </w:rPr>
          </w:pPr>
          <w:hyperlink w:anchor="_Toc135349313" w:history="1">
            <w:r w:rsidR="00B84EBF" w:rsidRPr="00490409">
              <w:rPr>
                <w:rStyle w:val="Hyperlink"/>
                <w:noProof/>
              </w:rPr>
              <w:t>Market Position</w:t>
            </w:r>
            <w:r w:rsidR="00B84EBF">
              <w:rPr>
                <w:noProof/>
                <w:webHidden/>
              </w:rPr>
              <w:tab/>
            </w:r>
            <w:r w:rsidR="00B84EBF">
              <w:rPr>
                <w:noProof/>
                <w:webHidden/>
              </w:rPr>
              <w:fldChar w:fldCharType="begin"/>
            </w:r>
            <w:r w:rsidR="00B84EBF">
              <w:rPr>
                <w:noProof/>
                <w:webHidden/>
              </w:rPr>
              <w:instrText xml:space="preserve"> PAGEREF _Toc135349313 \h </w:instrText>
            </w:r>
            <w:r w:rsidR="00B84EBF">
              <w:rPr>
                <w:noProof/>
                <w:webHidden/>
              </w:rPr>
            </w:r>
            <w:r w:rsidR="00B84EBF">
              <w:rPr>
                <w:noProof/>
                <w:webHidden/>
              </w:rPr>
              <w:fldChar w:fldCharType="separate"/>
            </w:r>
            <w:r w:rsidR="00B84EBF">
              <w:rPr>
                <w:noProof/>
                <w:webHidden/>
              </w:rPr>
              <w:t>8</w:t>
            </w:r>
            <w:r w:rsidR="00B84EBF">
              <w:rPr>
                <w:noProof/>
                <w:webHidden/>
              </w:rPr>
              <w:fldChar w:fldCharType="end"/>
            </w:r>
          </w:hyperlink>
        </w:p>
        <w:p w14:paraId="6C175EA6" w14:textId="2749F4B8" w:rsidR="00B84EBF" w:rsidRDefault="00000000">
          <w:pPr>
            <w:pStyle w:val="TOC2"/>
            <w:tabs>
              <w:tab w:val="right" w:leader="dot" w:pos="9350"/>
            </w:tabs>
            <w:rPr>
              <w:rFonts w:asciiTheme="minorHAnsi" w:eastAsiaTheme="minorEastAsia" w:hAnsiTheme="minorHAnsi"/>
              <w:noProof/>
              <w:sz w:val="22"/>
              <w:szCs w:val="22"/>
              <w:lang w:val="en-GB" w:eastAsia="en-GB" w:bidi="ar-SA"/>
            </w:rPr>
          </w:pPr>
          <w:hyperlink w:anchor="_Toc135349314" w:history="1">
            <w:r w:rsidR="00B84EBF" w:rsidRPr="00490409">
              <w:rPr>
                <w:rStyle w:val="Hyperlink"/>
                <w:noProof/>
              </w:rPr>
              <w:t>Growth Potential</w:t>
            </w:r>
            <w:r w:rsidR="00B84EBF">
              <w:rPr>
                <w:noProof/>
                <w:webHidden/>
              </w:rPr>
              <w:tab/>
            </w:r>
            <w:r w:rsidR="00B84EBF">
              <w:rPr>
                <w:noProof/>
                <w:webHidden/>
              </w:rPr>
              <w:fldChar w:fldCharType="begin"/>
            </w:r>
            <w:r w:rsidR="00B84EBF">
              <w:rPr>
                <w:noProof/>
                <w:webHidden/>
              </w:rPr>
              <w:instrText xml:space="preserve"> PAGEREF _Toc135349314 \h </w:instrText>
            </w:r>
            <w:r w:rsidR="00B84EBF">
              <w:rPr>
                <w:noProof/>
                <w:webHidden/>
              </w:rPr>
            </w:r>
            <w:r w:rsidR="00B84EBF">
              <w:rPr>
                <w:noProof/>
                <w:webHidden/>
              </w:rPr>
              <w:fldChar w:fldCharType="separate"/>
            </w:r>
            <w:r w:rsidR="00B84EBF">
              <w:rPr>
                <w:noProof/>
                <w:webHidden/>
              </w:rPr>
              <w:t>9</w:t>
            </w:r>
            <w:r w:rsidR="00B84EBF">
              <w:rPr>
                <w:noProof/>
                <w:webHidden/>
              </w:rPr>
              <w:fldChar w:fldCharType="end"/>
            </w:r>
          </w:hyperlink>
        </w:p>
        <w:p w14:paraId="5796E683" w14:textId="52A05121" w:rsidR="00B84EBF" w:rsidRDefault="00000000">
          <w:pPr>
            <w:pStyle w:val="TOC2"/>
            <w:tabs>
              <w:tab w:val="right" w:leader="dot" w:pos="9350"/>
            </w:tabs>
            <w:rPr>
              <w:rFonts w:asciiTheme="minorHAnsi" w:eastAsiaTheme="minorEastAsia" w:hAnsiTheme="minorHAnsi"/>
              <w:noProof/>
              <w:sz w:val="22"/>
              <w:szCs w:val="22"/>
              <w:lang w:val="en-GB" w:eastAsia="en-GB" w:bidi="ar-SA"/>
            </w:rPr>
          </w:pPr>
          <w:hyperlink w:anchor="_Toc135349315" w:history="1">
            <w:r w:rsidR="00B84EBF" w:rsidRPr="00490409">
              <w:rPr>
                <w:rStyle w:val="Hyperlink"/>
                <w:noProof/>
              </w:rPr>
              <w:t>CSR Activities</w:t>
            </w:r>
            <w:r w:rsidR="00B84EBF">
              <w:rPr>
                <w:noProof/>
                <w:webHidden/>
              </w:rPr>
              <w:tab/>
            </w:r>
            <w:r w:rsidR="00B84EBF">
              <w:rPr>
                <w:noProof/>
                <w:webHidden/>
              </w:rPr>
              <w:fldChar w:fldCharType="begin"/>
            </w:r>
            <w:r w:rsidR="00B84EBF">
              <w:rPr>
                <w:noProof/>
                <w:webHidden/>
              </w:rPr>
              <w:instrText xml:space="preserve"> PAGEREF _Toc135349315 \h </w:instrText>
            </w:r>
            <w:r w:rsidR="00B84EBF">
              <w:rPr>
                <w:noProof/>
                <w:webHidden/>
              </w:rPr>
            </w:r>
            <w:r w:rsidR="00B84EBF">
              <w:rPr>
                <w:noProof/>
                <w:webHidden/>
              </w:rPr>
              <w:fldChar w:fldCharType="separate"/>
            </w:r>
            <w:r w:rsidR="00B84EBF">
              <w:rPr>
                <w:noProof/>
                <w:webHidden/>
              </w:rPr>
              <w:t>10</w:t>
            </w:r>
            <w:r w:rsidR="00B84EBF">
              <w:rPr>
                <w:noProof/>
                <w:webHidden/>
              </w:rPr>
              <w:fldChar w:fldCharType="end"/>
            </w:r>
          </w:hyperlink>
        </w:p>
        <w:p w14:paraId="5316121F" w14:textId="5E152113" w:rsidR="00B84EBF" w:rsidRDefault="00000000">
          <w:pPr>
            <w:pStyle w:val="TOC1"/>
            <w:tabs>
              <w:tab w:val="right" w:leader="dot" w:pos="9350"/>
            </w:tabs>
            <w:rPr>
              <w:rFonts w:asciiTheme="minorHAnsi" w:eastAsiaTheme="minorEastAsia" w:hAnsiTheme="minorHAnsi"/>
              <w:noProof/>
              <w:sz w:val="22"/>
              <w:szCs w:val="22"/>
              <w:lang w:val="en-GB" w:eastAsia="en-GB" w:bidi="ar-SA"/>
            </w:rPr>
          </w:pPr>
          <w:hyperlink w:anchor="_Toc135349316" w:history="1">
            <w:r w:rsidR="00B84EBF" w:rsidRPr="00490409">
              <w:rPr>
                <w:rStyle w:val="Hyperlink"/>
                <w:noProof/>
              </w:rPr>
              <w:t>Recommendations</w:t>
            </w:r>
            <w:r w:rsidR="00B84EBF">
              <w:rPr>
                <w:noProof/>
                <w:webHidden/>
              </w:rPr>
              <w:tab/>
            </w:r>
            <w:r w:rsidR="00B84EBF">
              <w:rPr>
                <w:noProof/>
                <w:webHidden/>
              </w:rPr>
              <w:fldChar w:fldCharType="begin"/>
            </w:r>
            <w:r w:rsidR="00B84EBF">
              <w:rPr>
                <w:noProof/>
                <w:webHidden/>
              </w:rPr>
              <w:instrText xml:space="preserve"> PAGEREF _Toc135349316 \h </w:instrText>
            </w:r>
            <w:r w:rsidR="00B84EBF">
              <w:rPr>
                <w:noProof/>
                <w:webHidden/>
              </w:rPr>
            </w:r>
            <w:r w:rsidR="00B84EBF">
              <w:rPr>
                <w:noProof/>
                <w:webHidden/>
              </w:rPr>
              <w:fldChar w:fldCharType="separate"/>
            </w:r>
            <w:r w:rsidR="00B84EBF">
              <w:rPr>
                <w:noProof/>
                <w:webHidden/>
              </w:rPr>
              <w:t>12</w:t>
            </w:r>
            <w:r w:rsidR="00B84EBF">
              <w:rPr>
                <w:noProof/>
                <w:webHidden/>
              </w:rPr>
              <w:fldChar w:fldCharType="end"/>
            </w:r>
          </w:hyperlink>
        </w:p>
        <w:p w14:paraId="10C203A2" w14:textId="2DAA9DF6" w:rsidR="00B84EBF" w:rsidRDefault="00000000">
          <w:pPr>
            <w:pStyle w:val="TOC1"/>
            <w:tabs>
              <w:tab w:val="right" w:leader="dot" w:pos="9350"/>
            </w:tabs>
            <w:rPr>
              <w:rFonts w:asciiTheme="minorHAnsi" w:eastAsiaTheme="minorEastAsia" w:hAnsiTheme="minorHAnsi"/>
              <w:noProof/>
              <w:sz w:val="22"/>
              <w:szCs w:val="22"/>
              <w:lang w:val="en-GB" w:eastAsia="en-GB" w:bidi="ar-SA"/>
            </w:rPr>
          </w:pPr>
          <w:hyperlink w:anchor="_Toc135349317" w:history="1">
            <w:r w:rsidR="00B84EBF" w:rsidRPr="00490409">
              <w:rPr>
                <w:rStyle w:val="Hyperlink"/>
                <w:noProof/>
              </w:rPr>
              <w:t>Conclusion</w:t>
            </w:r>
            <w:r w:rsidR="00B84EBF">
              <w:rPr>
                <w:noProof/>
                <w:webHidden/>
              </w:rPr>
              <w:tab/>
            </w:r>
            <w:r w:rsidR="00B84EBF">
              <w:rPr>
                <w:noProof/>
                <w:webHidden/>
              </w:rPr>
              <w:fldChar w:fldCharType="begin"/>
            </w:r>
            <w:r w:rsidR="00B84EBF">
              <w:rPr>
                <w:noProof/>
                <w:webHidden/>
              </w:rPr>
              <w:instrText xml:space="preserve"> PAGEREF _Toc135349317 \h </w:instrText>
            </w:r>
            <w:r w:rsidR="00B84EBF">
              <w:rPr>
                <w:noProof/>
                <w:webHidden/>
              </w:rPr>
            </w:r>
            <w:r w:rsidR="00B84EBF">
              <w:rPr>
                <w:noProof/>
                <w:webHidden/>
              </w:rPr>
              <w:fldChar w:fldCharType="separate"/>
            </w:r>
            <w:r w:rsidR="00B84EBF">
              <w:rPr>
                <w:noProof/>
                <w:webHidden/>
              </w:rPr>
              <w:t>13</w:t>
            </w:r>
            <w:r w:rsidR="00B84EBF">
              <w:rPr>
                <w:noProof/>
                <w:webHidden/>
              </w:rPr>
              <w:fldChar w:fldCharType="end"/>
            </w:r>
          </w:hyperlink>
        </w:p>
        <w:p w14:paraId="7E12258E" w14:textId="3BB59545" w:rsidR="00B84EBF" w:rsidRDefault="00000000">
          <w:pPr>
            <w:pStyle w:val="TOC1"/>
            <w:tabs>
              <w:tab w:val="right" w:leader="dot" w:pos="9350"/>
            </w:tabs>
            <w:rPr>
              <w:rFonts w:asciiTheme="minorHAnsi" w:eastAsiaTheme="minorEastAsia" w:hAnsiTheme="minorHAnsi"/>
              <w:noProof/>
              <w:sz w:val="22"/>
              <w:szCs w:val="22"/>
              <w:lang w:val="en-GB" w:eastAsia="en-GB" w:bidi="ar-SA"/>
            </w:rPr>
          </w:pPr>
          <w:hyperlink w:anchor="_Toc135349318" w:history="1">
            <w:r w:rsidR="00B84EBF" w:rsidRPr="00490409">
              <w:rPr>
                <w:rStyle w:val="Hyperlink"/>
                <w:noProof/>
              </w:rPr>
              <w:t>References</w:t>
            </w:r>
            <w:r w:rsidR="00B84EBF">
              <w:rPr>
                <w:noProof/>
                <w:webHidden/>
              </w:rPr>
              <w:tab/>
            </w:r>
            <w:r w:rsidR="00B84EBF">
              <w:rPr>
                <w:noProof/>
                <w:webHidden/>
              </w:rPr>
              <w:fldChar w:fldCharType="begin"/>
            </w:r>
            <w:r w:rsidR="00B84EBF">
              <w:rPr>
                <w:noProof/>
                <w:webHidden/>
              </w:rPr>
              <w:instrText xml:space="preserve"> PAGEREF _Toc135349318 \h </w:instrText>
            </w:r>
            <w:r w:rsidR="00B84EBF">
              <w:rPr>
                <w:noProof/>
                <w:webHidden/>
              </w:rPr>
            </w:r>
            <w:r w:rsidR="00B84EBF">
              <w:rPr>
                <w:noProof/>
                <w:webHidden/>
              </w:rPr>
              <w:fldChar w:fldCharType="separate"/>
            </w:r>
            <w:r w:rsidR="00B84EBF">
              <w:rPr>
                <w:noProof/>
                <w:webHidden/>
              </w:rPr>
              <w:t>14</w:t>
            </w:r>
            <w:r w:rsidR="00B84EBF">
              <w:rPr>
                <w:noProof/>
                <w:webHidden/>
              </w:rPr>
              <w:fldChar w:fldCharType="end"/>
            </w:r>
          </w:hyperlink>
        </w:p>
        <w:p w14:paraId="585C51E0" w14:textId="1937B246" w:rsidR="00351727" w:rsidRDefault="00351727">
          <w:r>
            <w:rPr>
              <w:b/>
              <w:bCs/>
              <w:noProof/>
            </w:rPr>
            <w:fldChar w:fldCharType="end"/>
          </w:r>
        </w:p>
      </w:sdtContent>
    </w:sdt>
    <w:p w14:paraId="04641B80" w14:textId="3AA45E30" w:rsidR="00351727" w:rsidRDefault="00351727">
      <w:pPr>
        <w:rPr>
          <w:rFonts w:cs="Times New Roman"/>
          <w:sz w:val="44"/>
          <w:szCs w:val="52"/>
        </w:rPr>
      </w:pPr>
      <w:r>
        <w:rPr>
          <w:rFonts w:cs="Times New Roman"/>
          <w:sz w:val="44"/>
          <w:szCs w:val="52"/>
        </w:rPr>
        <w:br w:type="page"/>
      </w:r>
    </w:p>
    <w:p w14:paraId="4EBE285C" w14:textId="4EC5A595" w:rsidR="000D122D" w:rsidRDefault="00351727" w:rsidP="00351727">
      <w:pPr>
        <w:pStyle w:val="Heading1"/>
      </w:pPr>
      <w:bookmarkStart w:id="1" w:name="_Toc135349307"/>
      <w:r>
        <w:lastRenderedPageBreak/>
        <w:t>Introduction</w:t>
      </w:r>
      <w:bookmarkEnd w:id="1"/>
    </w:p>
    <w:p w14:paraId="0F6E2A23" w14:textId="4ED8DF1D" w:rsidR="00351727" w:rsidRDefault="000B7A14" w:rsidP="00351727">
      <w:r w:rsidRPr="000B7A14">
        <w:t xml:space="preserve">Financial management influences a company's growth and profitability. Financial managers plan and manage a company's finances. Every </w:t>
      </w:r>
      <w:r w:rsidR="00652C80" w:rsidRPr="000B7A14">
        <w:t>organization</w:t>
      </w:r>
      <w:r w:rsidRPr="000B7A14">
        <w:t xml:space="preserve"> value good financial management. This affects hospitality too. Financial management solutions that can keep up with the fast pace of change in the hotel business are essential for its continued success. This paper examines Marriott International and Hyatt Hotels, two of the most prominent names in the hotel industry, and contrasts their financial performance and managerial styles. The research analyses both firms using common </w:t>
      </w:r>
      <w:r w:rsidR="00652C80" w:rsidRPr="000B7A14">
        <w:t>practices</w:t>
      </w:r>
      <w:r w:rsidRPr="000B7A14">
        <w:t xml:space="preserve"> and methodologies in the sector, and then makes suggestions for how to improve and expand.</w:t>
      </w:r>
    </w:p>
    <w:p w14:paraId="00A9658F" w14:textId="7DA9C529" w:rsidR="00577E4D" w:rsidRDefault="00577E4D">
      <w:pPr>
        <w:spacing w:line="259" w:lineRule="auto"/>
        <w:jc w:val="left"/>
      </w:pPr>
      <w:r>
        <w:br w:type="page"/>
      </w:r>
    </w:p>
    <w:p w14:paraId="74FDA829" w14:textId="707B7DB0" w:rsidR="00577E4D" w:rsidRDefault="00577E4D" w:rsidP="00577E4D">
      <w:pPr>
        <w:pStyle w:val="Heading1"/>
      </w:pPr>
      <w:bookmarkStart w:id="2" w:name="_Toc135349308"/>
      <w:r>
        <w:lastRenderedPageBreak/>
        <w:t>Overview</w:t>
      </w:r>
      <w:bookmarkEnd w:id="2"/>
    </w:p>
    <w:p w14:paraId="4C91B895" w14:textId="41F87E77" w:rsidR="00577E4D" w:rsidRDefault="00577E4D" w:rsidP="00577E4D">
      <w:pPr>
        <w:pStyle w:val="Heading2"/>
      </w:pPr>
      <w:bookmarkStart w:id="3" w:name="_Toc135349309"/>
      <w:r>
        <w:t>Marriot International</w:t>
      </w:r>
      <w:bookmarkEnd w:id="3"/>
    </w:p>
    <w:p w14:paraId="69238D59" w14:textId="057D49BE" w:rsidR="00577E4D" w:rsidRDefault="00577E4D" w:rsidP="00577E4D">
      <w:r>
        <w:t>Marriott International is an international hotel and resort chain that owns, manages, and franchises properties all over the globe. J. Willard Marriott established the corporation in 1927, and it now has its headquarters in Bethesda, Maryland. There are nearly 30 different hotel brands under the Marriott International umbrella, from luxury to premium to select to extended-stay options. Marriott Hotels &amp; Resorts, Sheraton, Westin Hotels &amp; Resorts, Ritz Carlton, JW Marriott, and Courtyard by Marriott are only few of the well-known brands owned by the firm. More than 7,800 of the company's properties may be found in over 138 different countries and territories</w:t>
      </w:r>
      <w:r w:rsidR="00CF25F8">
        <w:t xml:space="preserve"> </w:t>
      </w:r>
      <w:r w:rsidR="00CF25F8" w:rsidRPr="00CF25F8">
        <w:t>(Marriott International, 2022)</w:t>
      </w:r>
      <w:r>
        <w:t>.</w:t>
      </w:r>
    </w:p>
    <w:p w14:paraId="5B25F031" w14:textId="175C6CEF" w:rsidR="00577E4D" w:rsidRDefault="00577E4D" w:rsidP="00577E4D">
      <w:r>
        <w:t xml:space="preserve">The </w:t>
      </w:r>
      <w:r w:rsidR="00652C80">
        <w:t>organization</w:t>
      </w:r>
      <w:r>
        <w:t xml:space="preserve"> generates income from </w:t>
      </w:r>
      <w:r w:rsidR="004C144D">
        <w:t>several</w:t>
      </w:r>
      <w:r>
        <w:t xml:space="preserve"> different channels, including hotel room rentals, restaurant and bar sales, and conference and event sales. Marriott International has been working hard to increase its footprint in developing regions like Asia and Africa by forming relationships with and acquiring local hospitality businesses.</w:t>
      </w:r>
    </w:p>
    <w:p w14:paraId="7518851A" w14:textId="65C696FD" w:rsidR="00577E4D" w:rsidRDefault="00577E4D" w:rsidP="00577E4D">
      <w:r>
        <w:t xml:space="preserve">Marriott International is a large, successful hotel chain that values its employees, the communities it serves, and the environment. The </w:t>
      </w:r>
      <w:r w:rsidR="00652C80">
        <w:t>organization</w:t>
      </w:r>
      <w:r>
        <w:t xml:space="preserve"> is a pioneer in the hotel industry thanks to its worldwide reach and decades of expertise.</w:t>
      </w:r>
    </w:p>
    <w:p w14:paraId="76985C26" w14:textId="2BA67B0B" w:rsidR="00E172F4" w:rsidRDefault="00E172F4" w:rsidP="00577E4D">
      <w:r>
        <w:rPr>
          <w:noProof/>
        </w:rPr>
        <w:drawing>
          <wp:anchor distT="0" distB="0" distL="114300" distR="114300" simplePos="0" relativeHeight="251658240" behindDoc="0" locked="0" layoutInCell="1" allowOverlap="1" wp14:anchorId="3CAAA87D" wp14:editId="1878BD8B">
            <wp:simplePos x="0" y="0"/>
            <wp:positionH relativeFrom="margin">
              <wp:align>center</wp:align>
            </wp:positionH>
            <wp:positionV relativeFrom="paragraph">
              <wp:posOffset>1270</wp:posOffset>
            </wp:positionV>
            <wp:extent cx="4714875" cy="2652117"/>
            <wp:effectExtent l="0" t="0" r="0" b="0"/>
            <wp:wrapTopAndBottom/>
            <wp:docPr id="1" name="Picture 1" descr="Marriott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riott Logo, symbol, meaning, history, PNG, bran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714875" cy="2652117"/>
                    </a:xfrm>
                    <a:prstGeom prst="rect">
                      <a:avLst/>
                    </a:prstGeom>
                    <a:noFill/>
                    <a:ln>
                      <a:noFill/>
                    </a:ln>
                  </pic:spPr>
                </pic:pic>
              </a:graphicData>
            </a:graphic>
          </wp:anchor>
        </w:drawing>
      </w:r>
    </w:p>
    <w:p w14:paraId="7FF59824" w14:textId="0BDAA3E1" w:rsidR="00577E4D" w:rsidRDefault="00577E4D" w:rsidP="00577E4D"/>
    <w:p w14:paraId="5DCD9985" w14:textId="31EB6CB3" w:rsidR="00577E4D" w:rsidRDefault="00577E4D" w:rsidP="00577E4D">
      <w:pPr>
        <w:pStyle w:val="Heading2"/>
      </w:pPr>
      <w:bookmarkStart w:id="4" w:name="_Toc135349310"/>
      <w:r>
        <w:lastRenderedPageBreak/>
        <w:t>Hyatt Hotels</w:t>
      </w:r>
      <w:bookmarkEnd w:id="4"/>
    </w:p>
    <w:p w14:paraId="7F75A963" w14:textId="79804304" w:rsidR="00E172F4" w:rsidRDefault="00E172F4" w:rsidP="00E172F4">
      <w:r>
        <w:t xml:space="preserve">The Hyatt Hotels Corporation is an international chain of luxury hotels and resorts. Jay Pritzker established the corporation in 1957, and it maintains its headquarters in Chicago. Park Hyatt, Grand Hyatt, Andaz, Hyatt Regency, and Hyatt Place are just a few of the more than 20 different hotel brands that Hyatt offers. The </w:t>
      </w:r>
      <w:r w:rsidR="00652C80">
        <w:t>organization</w:t>
      </w:r>
      <w:r>
        <w:t xml:space="preserve"> manages over a thousand hotels in 68 different nations</w:t>
      </w:r>
      <w:r w:rsidR="00BD446A">
        <w:t xml:space="preserve"> </w:t>
      </w:r>
      <w:r w:rsidR="00BD446A" w:rsidRPr="00BD446A">
        <w:t>(Hyatt Hotels Corporation, 2022)</w:t>
      </w:r>
      <w:r>
        <w:t>.</w:t>
      </w:r>
    </w:p>
    <w:p w14:paraId="2FB5E6EB" w14:textId="111EEB35" w:rsidR="00577E4D" w:rsidRDefault="00E172F4" w:rsidP="00E172F4">
      <w:r>
        <w:t>Hyatt generates income from a wide range of sources, including hotel room rentals, restaurant and bar sales, and conference and event sales. Hyatt has made China and the rest of the Asia-Pacific region a primary emphasis for worldwide expansion in recent years. Hyatt is an established hotel giant that takes pride in its wide range of brands and its dedication to CSR and environmental responsibility. The corporation is a major participant in the hotel sector because of its worldwide reach and emphasis on foreign markets.</w:t>
      </w:r>
    </w:p>
    <w:p w14:paraId="79F11508" w14:textId="15A25E83" w:rsidR="00E172F4" w:rsidRDefault="00E172F4" w:rsidP="00577E4D">
      <w:r>
        <w:rPr>
          <w:noProof/>
        </w:rPr>
        <w:drawing>
          <wp:anchor distT="0" distB="0" distL="114300" distR="114300" simplePos="0" relativeHeight="251659264" behindDoc="0" locked="0" layoutInCell="1" allowOverlap="1" wp14:anchorId="71801620" wp14:editId="40C616FF">
            <wp:simplePos x="0" y="0"/>
            <wp:positionH relativeFrom="margin">
              <wp:posOffset>171450</wp:posOffset>
            </wp:positionH>
            <wp:positionV relativeFrom="paragraph">
              <wp:posOffset>368935</wp:posOffset>
            </wp:positionV>
            <wp:extent cx="5943600" cy="2486025"/>
            <wp:effectExtent l="0" t="0" r="0" b="9525"/>
            <wp:wrapTopAndBottom/>
            <wp:docPr id="3" name="Picture 3" descr="Hyatt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yatt Logo, symbol, meaning, history, PNG, bran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2821" b="12821"/>
                    <a:stretch/>
                  </pic:blipFill>
                  <pic:spPr bwMode="auto">
                    <a:xfrm>
                      <a:off x="0" y="0"/>
                      <a:ext cx="5943600" cy="2486025"/>
                    </a:xfrm>
                    <a:prstGeom prst="rect">
                      <a:avLst/>
                    </a:prstGeom>
                    <a:noFill/>
                    <a:ln>
                      <a:noFill/>
                    </a:ln>
                    <a:extLst>
                      <a:ext uri="{53640926-AAD7-44D8-BBD7-CCE9431645EC}">
                        <a14:shadowObscured xmlns:a14="http://schemas.microsoft.com/office/drawing/2010/main"/>
                      </a:ext>
                    </a:extLst>
                  </pic:spPr>
                </pic:pic>
              </a:graphicData>
            </a:graphic>
          </wp:anchor>
        </w:drawing>
      </w:r>
    </w:p>
    <w:p w14:paraId="6DE706C0" w14:textId="1BDC8F0C" w:rsidR="00E172F4" w:rsidRDefault="00E172F4" w:rsidP="00577E4D"/>
    <w:p w14:paraId="77687C59" w14:textId="54630CFF" w:rsidR="00CF1F94" w:rsidRDefault="00CF1F94">
      <w:pPr>
        <w:spacing w:line="259" w:lineRule="auto"/>
        <w:jc w:val="left"/>
      </w:pPr>
      <w:r>
        <w:br w:type="page"/>
      </w:r>
    </w:p>
    <w:p w14:paraId="76F6844D" w14:textId="393DCC0A" w:rsidR="00CF1F94" w:rsidRDefault="00CF1F94" w:rsidP="00CF1F94">
      <w:pPr>
        <w:pStyle w:val="Heading1"/>
      </w:pPr>
      <w:bookmarkStart w:id="5" w:name="_Toc135349311"/>
      <w:r>
        <w:lastRenderedPageBreak/>
        <w:t>Financial Comparison</w:t>
      </w:r>
      <w:bookmarkEnd w:id="5"/>
    </w:p>
    <w:p w14:paraId="44373D16" w14:textId="1E84E9B2" w:rsidR="00CF1F94" w:rsidRDefault="00D900C1" w:rsidP="00D900C1">
      <w:pPr>
        <w:pStyle w:val="Heading2"/>
      </w:pPr>
      <w:bookmarkStart w:id="6" w:name="_Toc135349312"/>
      <w:r>
        <w:t>Total revenue</w:t>
      </w:r>
      <w:bookmarkEnd w:id="6"/>
    </w:p>
    <w:p w14:paraId="1D8AB105" w14:textId="410E720A" w:rsidR="001966B5" w:rsidRDefault="001966B5" w:rsidP="001966B5">
      <w:r>
        <w:t>As of the year 2021, Marriott International had total revenues of USD 10.6 billion, while Hyatt Hotels had revenues of USD 2.7 billion</w:t>
      </w:r>
      <w:r w:rsidR="00BD446A">
        <w:t xml:space="preserve"> </w:t>
      </w:r>
      <w:r w:rsidR="00BD446A" w:rsidRPr="00BD446A">
        <w:t>(Forbes, 2021)</w:t>
      </w:r>
      <w:r>
        <w:t>. More than four times as much money is made by Marriott as by Hyatt.</w:t>
      </w:r>
      <w:r w:rsidR="003A25CE">
        <w:t xml:space="preserve"> </w:t>
      </w:r>
      <w:r>
        <w:t>The disparity in earnings is mostly attributable to the fact that the two businesses are of different sizes and scopes. With over 30 hotel brands and over 7,800 hotels in 138 countries, Marriott International is the biggest hotel chain in the world in terms of available rooms. Hyatt Hotels, in contrast, has a more modest worldwide footprint, with just around 20 brands and 1,000 locations spread over 68 countries.</w:t>
      </w:r>
    </w:p>
    <w:p w14:paraId="1522DD76" w14:textId="36CB8FAF" w:rsidR="001966B5" w:rsidRDefault="001966B5" w:rsidP="001966B5">
      <w:r>
        <w:t>Due to its bigger size, Marriott International can more effectively franchise, operate, and own properties, all of which contribute to the company's bottom line. The purchase of Starwood Hotels by Marriott International in 2016 also contributed to the company's growth in each of these areas</w:t>
      </w:r>
      <w:r w:rsidR="00BD446A">
        <w:t xml:space="preserve"> </w:t>
      </w:r>
      <w:r w:rsidR="00550E47" w:rsidRPr="00550E47">
        <w:t>(Baumeister, Vohs &amp; Funder, 2007)</w:t>
      </w:r>
      <w:r>
        <w:t>.</w:t>
      </w:r>
    </w:p>
    <w:p w14:paraId="3306C04F" w14:textId="77777777" w:rsidR="001966B5" w:rsidRDefault="001966B5" w:rsidP="001966B5">
      <w:r>
        <w:t>Despite being smaller than Marriott in terms of revenue, Hyatt Hotels nonetheless earns considerable income because to its collection of high-end luxury and premium brands including Park Hyatt, Grand Hyatt, and Andaz. Hyatt's dedication to providing first-rate service and luxurious facilities has earned the firm devoted customers and helped it remain a frontrunner in the luxury hotel industry.</w:t>
      </w:r>
    </w:p>
    <w:p w14:paraId="615A8C15" w14:textId="69A44027" w:rsidR="001966B5" w:rsidRDefault="001966B5" w:rsidP="001966B5">
      <w:r>
        <w:t>While Marriott International's larger size and global presence allow it to generate more revenue than Hyatt Hotels, Hyatt is able to generate significant revenue and maintain its position as a leading player in the hospitality industry thanks to its emphasis on high-end luxury and premium brands</w:t>
      </w:r>
      <w:r w:rsidR="00E54EDE">
        <w:t xml:space="preserve"> </w:t>
      </w:r>
      <w:r w:rsidR="00E54EDE" w:rsidRPr="00E54EDE">
        <w:t>(Margolis &amp; Walsh, 2003)</w:t>
      </w:r>
      <w:r>
        <w:t>.</w:t>
      </w:r>
    </w:p>
    <w:p w14:paraId="093B568B" w14:textId="51587823" w:rsidR="003A25CE" w:rsidRDefault="003A25CE" w:rsidP="003A25CE">
      <w:r>
        <w:t>Both businesses had huge drops in income in 2020 as the whole hotel sector felt the effects of the COVID-19 epidemic</w:t>
      </w:r>
      <w:r w:rsidR="007971D8">
        <w:t xml:space="preserve"> </w:t>
      </w:r>
      <w:r w:rsidR="007971D8" w:rsidRPr="007971D8">
        <w:t>(Hsieh &amp; Lin, 2014)</w:t>
      </w:r>
      <w:r>
        <w:t>. In 2021, however, when travel restrictions were relaxed and demand for travel and accommodation surged, both businesses were able to recover. Revenue for Marriott International was around four times that of Hyatt Hotels in 2019. As Hyatt's income grew by more than 150% from the previous year, the gap between the two hotels decreased significantly in 2021.</w:t>
      </w:r>
    </w:p>
    <w:p w14:paraId="0F7B4267" w14:textId="1EB49207" w:rsidR="001966B5" w:rsidRDefault="003A25CE" w:rsidP="003A25CE">
      <w:pPr>
        <w:jc w:val="center"/>
      </w:pPr>
      <w:r w:rsidRPr="003A25CE">
        <w:lastRenderedPageBreak/>
        <w:t>Figure-01: Revenue of the two companies (Annual report, 2021</w:t>
      </w:r>
      <w:r w:rsidR="001966B5">
        <w:rPr>
          <w:noProof/>
        </w:rPr>
        <w:drawing>
          <wp:anchor distT="0" distB="0" distL="114300" distR="114300" simplePos="0" relativeHeight="251660288" behindDoc="0" locked="0" layoutInCell="1" allowOverlap="1" wp14:anchorId="08790578" wp14:editId="33ED4F96">
            <wp:simplePos x="0" y="0"/>
            <wp:positionH relativeFrom="column">
              <wp:posOffset>0</wp:posOffset>
            </wp:positionH>
            <wp:positionV relativeFrom="paragraph">
              <wp:posOffset>0</wp:posOffset>
            </wp:positionV>
            <wp:extent cx="5486400" cy="3200400"/>
            <wp:effectExtent l="0" t="0" r="0" b="0"/>
            <wp:wrapTopAndBottom/>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t>)</w:t>
      </w:r>
    </w:p>
    <w:p w14:paraId="1052EAEA" w14:textId="77777777" w:rsidR="003A25CE" w:rsidRPr="00D900C1" w:rsidRDefault="003A25CE" w:rsidP="003A25CE">
      <w:pPr>
        <w:jc w:val="center"/>
      </w:pPr>
    </w:p>
    <w:p w14:paraId="3D849E5A" w14:textId="0C28A31A" w:rsidR="007E3D1C" w:rsidRDefault="003A25CE" w:rsidP="003A25CE">
      <w:pPr>
        <w:pStyle w:val="Heading2"/>
      </w:pPr>
      <w:bookmarkStart w:id="7" w:name="_Toc135349313"/>
      <w:r>
        <w:t>Market Position</w:t>
      </w:r>
      <w:bookmarkEnd w:id="7"/>
    </w:p>
    <w:p w14:paraId="0517FB3D" w14:textId="159870DB" w:rsidR="003A25CE" w:rsidRDefault="003A25CE" w:rsidP="003A25CE">
      <w:r>
        <w:t>Both Marriott International and Hyatt Hotels are household names throughout the globe, and they are two of the biggest hotel chains in the industry. Although both firms serve the high-end and premium hotel markets, Marriott International offers a more comprehensive portfolio of brands and properties.</w:t>
      </w:r>
    </w:p>
    <w:p w14:paraId="2863B56D" w14:textId="19D72584" w:rsidR="003A25CE" w:rsidRDefault="003A25CE" w:rsidP="003A25CE">
      <w:r>
        <w:t>Marriott International is the biggest hotel chain in the world, and its portfolio of more than 30 hotel brands ranges from the exclusive St. Regis and Ritz-Carlton to the budget-friendly Courtyard and Fairfield Inn. Marriott's brands, such as Marriott Vacation Club and Sheraton Vacation Club, also make a significant dent in the lucrative extended-stay and vacation-ownership sectors</w:t>
      </w:r>
      <w:r w:rsidR="008B419F">
        <w:t xml:space="preserve"> </w:t>
      </w:r>
      <w:r w:rsidR="008B419F" w:rsidRPr="008B419F">
        <w:t>(Lee &amp; Paek, 2020)</w:t>
      </w:r>
      <w:r>
        <w:t>.</w:t>
      </w:r>
    </w:p>
    <w:p w14:paraId="26A48E15" w14:textId="008D7B47" w:rsidR="003A25CE" w:rsidRDefault="003A25CE" w:rsidP="003A25CE">
      <w:r>
        <w:t>Hyatt Hotels, in contrast, is a smaller hotel chain with a concentration on high-end accommodations and only around 20 different brands across the world. Park Hyatt, Grand Hyatt, and Andaz are some of the luxury brands owned by Hyatt, while Hyatt Centric and Joie de Vivre are two of the company's lifestyle brands. Hyatt's Hyatt House and Hyatt Place brands provide the company a foothold in the growing extended-stay industry</w:t>
      </w:r>
      <w:r w:rsidR="007971D8" w:rsidRPr="007971D8">
        <w:t>(Hyatt Hotels Corporation, 2022)</w:t>
      </w:r>
      <w:r>
        <w:t xml:space="preserve">. </w:t>
      </w:r>
      <w:r>
        <w:lastRenderedPageBreak/>
        <w:t>Customers are loyal to both the Marriott International and Hyatt Hotel brands. Hyatt has established a dedicated client base in the premium hotel market because to its emphasis on luxury and high-quality facilities, while Marriott's greater size and wider selection of brands enable it to appeal to a wider consumer base</w:t>
      </w:r>
      <w:r w:rsidR="008B419F">
        <w:t xml:space="preserve"> </w:t>
      </w:r>
      <w:r w:rsidR="008B419F" w:rsidRPr="008B419F">
        <w:t>(</w:t>
      </w:r>
      <w:r w:rsidR="00652C80" w:rsidRPr="008B419F">
        <w:t>Global Data</w:t>
      </w:r>
      <w:r w:rsidR="008B419F" w:rsidRPr="008B419F">
        <w:t>, 2021)</w:t>
      </w:r>
      <w:r>
        <w:t>.</w:t>
      </w:r>
    </w:p>
    <w:p w14:paraId="2B7C9ECB" w14:textId="77777777" w:rsidR="00672450" w:rsidRDefault="003A25CE" w:rsidP="003A25CE">
      <w:r>
        <w:t>In conclusion, Hyatt properties has a strong market position in the high-end hotel industry thanks to its concentration on luxury and premium properties, whereas Marriott International has a broader worldwide footprint and a more diversified choice of brands across various price ranges.</w:t>
      </w:r>
    </w:p>
    <w:tbl>
      <w:tblPr>
        <w:tblStyle w:val="GridTable1Light"/>
        <w:tblW w:w="9573" w:type="dxa"/>
        <w:jc w:val="center"/>
        <w:tblLook w:val="04A0" w:firstRow="1" w:lastRow="0" w:firstColumn="1" w:lastColumn="0" w:noHBand="0" w:noVBand="1"/>
      </w:tblPr>
      <w:tblGrid>
        <w:gridCol w:w="4142"/>
        <w:gridCol w:w="2764"/>
        <w:gridCol w:w="2667"/>
      </w:tblGrid>
      <w:tr w:rsidR="00672450" w:rsidRPr="00672450" w14:paraId="61E785BB" w14:textId="77777777" w:rsidTr="002E009B">
        <w:trPr>
          <w:cnfStyle w:val="100000000000" w:firstRow="1" w:lastRow="0" w:firstColumn="0" w:lastColumn="0" w:oddVBand="0" w:evenVBand="0" w:oddHBand="0" w:evenHBand="0" w:firstRowFirstColumn="0" w:firstRowLastColumn="0" w:lastRowFirstColumn="0" w:lastRowLastColumn="0"/>
          <w:trHeight w:val="401"/>
          <w:jc w:val="center"/>
        </w:trPr>
        <w:tc>
          <w:tcPr>
            <w:cnfStyle w:val="001000000000" w:firstRow="0" w:lastRow="0" w:firstColumn="1" w:lastColumn="0" w:oddVBand="0" w:evenVBand="0" w:oddHBand="0" w:evenHBand="0" w:firstRowFirstColumn="0" w:firstRowLastColumn="0" w:lastRowFirstColumn="0" w:lastRowLastColumn="0"/>
            <w:tcW w:w="4142" w:type="dxa"/>
          </w:tcPr>
          <w:p w14:paraId="1D4CC499" w14:textId="77777777" w:rsidR="00672450" w:rsidRPr="00672450" w:rsidRDefault="00672450" w:rsidP="00672450">
            <w:pPr>
              <w:jc w:val="center"/>
              <w:rPr>
                <w:lang w:val="en-GB"/>
              </w:rPr>
            </w:pPr>
            <w:bookmarkStart w:id="8" w:name="_Hlk125920070"/>
            <w:r w:rsidRPr="00672450">
              <w:rPr>
                <w:lang w:val="en-GB"/>
              </w:rPr>
              <w:t>Particulars</w:t>
            </w:r>
          </w:p>
        </w:tc>
        <w:tc>
          <w:tcPr>
            <w:tcW w:w="2764" w:type="dxa"/>
          </w:tcPr>
          <w:p w14:paraId="251ED86E" w14:textId="366C6691" w:rsidR="00672450" w:rsidRPr="00672450" w:rsidRDefault="00672450" w:rsidP="00672450">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Marriott</w:t>
            </w:r>
          </w:p>
        </w:tc>
        <w:tc>
          <w:tcPr>
            <w:tcW w:w="2667" w:type="dxa"/>
          </w:tcPr>
          <w:p w14:paraId="2B61CC4E" w14:textId="4710FD63" w:rsidR="00672450" w:rsidRPr="00672450" w:rsidRDefault="00672450" w:rsidP="00672450">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Hyatt</w:t>
            </w:r>
          </w:p>
        </w:tc>
      </w:tr>
      <w:tr w:rsidR="00672450" w:rsidRPr="00672450" w14:paraId="2062CDAA" w14:textId="77777777" w:rsidTr="002E009B">
        <w:trPr>
          <w:trHeight w:val="416"/>
          <w:jc w:val="center"/>
        </w:trPr>
        <w:tc>
          <w:tcPr>
            <w:cnfStyle w:val="001000000000" w:firstRow="0" w:lastRow="0" w:firstColumn="1" w:lastColumn="0" w:oddVBand="0" w:evenVBand="0" w:oddHBand="0" w:evenHBand="0" w:firstRowFirstColumn="0" w:firstRowLastColumn="0" w:lastRowFirstColumn="0" w:lastRowLastColumn="0"/>
            <w:tcW w:w="4142" w:type="dxa"/>
          </w:tcPr>
          <w:p w14:paraId="0A023605" w14:textId="77777777" w:rsidR="00672450" w:rsidRPr="00672450" w:rsidRDefault="00672450" w:rsidP="00672450">
            <w:pPr>
              <w:jc w:val="center"/>
              <w:rPr>
                <w:lang w:val="en-GB"/>
              </w:rPr>
            </w:pPr>
            <w:r w:rsidRPr="00672450">
              <w:rPr>
                <w:lang w:val="en-GB"/>
              </w:rPr>
              <w:t>Number of hotels</w:t>
            </w:r>
          </w:p>
        </w:tc>
        <w:tc>
          <w:tcPr>
            <w:tcW w:w="2764" w:type="dxa"/>
          </w:tcPr>
          <w:p w14:paraId="11DF248D" w14:textId="6F2F794F" w:rsidR="00672450" w:rsidRPr="00672450" w:rsidRDefault="00672450" w:rsidP="00672450">
            <w:pPr>
              <w:jc w:val="center"/>
              <w:cnfStyle w:val="000000000000" w:firstRow="0" w:lastRow="0" w:firstColumn="0" w:lastColumn="0" w:oddVBand="0" w:evenVBand="0" w:oddHBand="0" w:evenHBand="0" w:firstRowFirstColumn="0" w:firstRowLastColumn="0" w:lastRowFirstColumn="0" w:lastRowLastColumn="0"/>
              <w:rPr>
                <w:lang w:val="en-GB"/>
              </w:rPr>
            </w:pPr>
            <w:r w:rsidRPr="00672450">
              <w:t xml:space="preserve">7,812 </w:t>
            </w:r>
          </w:p>
        </w:tc>
        <w:tc>
          <w:tcPr>
            <w:tcW w:w="2667" w:type="dxa"/>
          </w:tcPr>
          <w:p w14:paraId="3889FAAF" w14:textId="284628D4" w:rsidR="00672450" w:rsidRPr="00672450" w:rsidRDefault="00672450" w:rsidP="00672450">
            <w:pPr>
              <w:jc w:val="center"/>
              <w:cnfStyle w:val="000000000000" w:firstRow="0" w:lastRow="0" w:firstColumn="0" w:lastColumn="0" w:oddVBand="0" w:evenVBand="0" w:oddHBand="0" w:evenHBand="0" w:firstRowFirstColumn="0" w:firstRowLastColumn="0" w:lastRowFirstColumn="0" w:lastRowLastColumn="0"/>
              <w:rPr>
                <w:lang w:val="en-GB"/>
              </w:rPr>
            </w:pPr>
            <w:r w:rsidRPr="00672450">
              <w:t>1,085</w:t>
            </w:r>
          </w:p>
        </w:tc>
      </w:tr>
      <w:tr w:rsidR="00672450" w:rsidRPr="00672450" w14:paraId="78749056" w14:textId="77777777" w:rsidTr="002E009B">
        <w:trPr>
          <w:trHeight w:val="401"/>
          <w:jc w:val="center"/>
        </w:trPr>
        <w:tc>
          <w:tcPr>
            <w:cnfStyle w:val="001000000000" w:firstRow="0" w:lastRow="0" w:firstColumn="1" w:lastColumn="0" w:oddVBand="0" w:evenVBand="0" w:oddHBand="0" w:evenHBand="0" w:firstRowFirstColumn="0" w:firstRowLastColumn="0" w:lastRowFirstColumn="0" w:lastRowLastColumn="0"/>
            <w:tcW w:w="4142" w:type="dxa"/>
          </w:tcPr>
          <w:p w14:paraId="0978AE2E" w14:textId="77777777" w:rsidR="00672450" w:rsidRPr="00672450" w:rsidRDefault="00672450" w:rsidP="00672450">
            <w:pPr>
              <w:jc w:val="center"/>
              <w:rPr>
                <w:lang w:val="en-GB"/>
              </w:rPr>
            </w:pPr>
            <w:r w:rsidRPr="00672450">
              <w:rPr>
                <w:lang w:val="en-GB"/>
              </w:rPr>
              <w:t>Number of rooms</w:t>
            </w:r>
          </w:p>
        </w:tc>
        <w:tc>
          <w:tcPr>
            <w:tcW w:w="2764" w:type="dxa"/>
          </w:tcPr>
          <w:p w14:paraId="75BECFC2" w14:textId="18516136" w:rsidR="00672450" w:rsidRPr="00672450" w:rsidRDefault="00672450" w:rsidP="00672450">
            <w:pPr>
              <w:jc w:val="center"/>
              <w:cnfStyle w:val="000000000000" w:firstRow="0" w:lastRow="0" w:firstColumn="0" w:lastColumn="0" w:oddVBand="0" w:evenVBand="0" w:oddHBand="0" w:evenHBand="0" w:firstRowFirstColumn="0" w:firstRowLastColumn="0" w:lastRowFirstColumn="0" w:lastRowLastColumn="0"/>
              <w:rPr>
                <w:lang w:val="en-GB"/>
              </w:rPr>
            </w:pPr>
            <w:r w:rsidRPr="00672450">
              <w:t xml:space="preserve">1,653,165 </w:t>
            </w:r>
          </w:p>
        </w:tc>
        <w:tc>
          <w:tcPr>
            <w:tcW w:w="2667" w:type="dxa"/>
          </w:tcPr>
          <w:p w14:paraId="34353665" w14:textId="10E00B59" w:rsidR="00672450" w:rsidRPr="00672450" w:rsidRDefault="00672450" w:rsidP="00672450">
            <w:pPr>
              <w:jc w:val="center"/>
              <w:cnfStyle w:val="000000000000" w:firstRow="0" w:lastRow="0" w:firstColumn="0" w:lastColumn="0" w:oddVBand="0" w:evenVBand="0" w:oddHBand="0" w:evenHBand="0" w:firstRowFirstColumn="0" w:firstRowLastColumn="0" w:lastRowFirstColumn="0" w:lastRowLastColumn="0"/>
              <w:rPr>
                <w:lang w:val="en-GB"/>
              </w:rPr>
            </w:pPr>
            <w:r w:rsidRPr="00672450">
              <w:t>219,845</w:t>
            </w:r>
          </w:p>
        </w:tc>
      </w:tr>
      <w:tr w:rsidR="00672450" w:rsidRPr="00672450" w14:paraId="0DCD9955" w14:textId="77777777" w:rsidTr="002E009B">
        <w:trPr>
          <w:trHeight w:val="400"/>
          <w:jc w:val="center"/>
        </w:trPr>
        <w:tc>
          <w:tcPr>
            <w:cnfStyle w:val="001000000000" w:firstRow="0" w:lastRow="0" w:firstColumn="1" w:lastColumn="0" w:oddVBand="0" w:evenVBand="0" w:oddHBand="0" w:evenHBand="0" w:firstRowFirstColumn="0" w:firstRowLastColumn="0" w:lastRowFirstColumn="0" w:lastRowLastColumn="0"/>
            <w:tcW w:w="4142" w:type="dxa"/>
          </w:tcPr>
          <w:p w14:paraId="2AD236AB" w14:textId="77777777" w:rsidR="00672450" w:rsidRPr="00672450" w:rsidRDefault="00672450" w:rsidP="00672450">
            <w:pPr>
              <w:jc w:val="center"/>
              <w:rPr>
                <w:lang w:val="en-GB"/>
              </w:rPr>
            </w:pPr>
            <w:r w:rsidRPr="00672450">
              <w:rPr>
                <w:lang w:val="en-GB"/>
              </w:rPr>
              <w:t>Occupancy rate</w:t>
            </w:r>
          </w:p>
        </w:tc>
        <w:tc>
          <w:tcPr>
            <w:tcW w:w="2764" w:type="dxa"/>
          </w:tcPr>
          <w:p w14:paraId="5D8808AC" w14:textId="3EE46709" w:rsidR="00672450" w:rsidRPr="00672450" w:rsidRDefault="002E009B" w:rsidP="00672450">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54.5</w:t>
            </w:r>
            <w:r w:rsidR="00672450" w:rsidRPr="00672450">
              <w:rPr>
                <w:lang w:val="en-GB"/>
              </w:rPr>
              <w:t>%</w:t>
            </w:r>
          </w:p>
        </w:tc>
        <w:tc>
          <w:tcPr>
            <w:tcW w:w="2667" w:type="dxa"/>
          </w:tcPr>
          <w:p w14:paraId="46C1A46C" w14:textId="45FA7041" w:rsidR="00672450" w:rsidRPr="00672450" w:rsidRDefault="002E009B" w:rsidP="00672450">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47.8</w:t>
            </w:r>
            <w:r w:rsidR="00672450" w:rsidRPr="00672450">
              <w:rPr>
                <w:lang w:val="en-GB"/>
              </w:rPr>
              <w:t>%</w:t>
            </w:r>
          </w:p>
        </w:tc>
      </w:tr>
      <w:tr w:rsidR="00672450" w:rsidRPr="00672450" w14:paraId="47DA1FE9" w14:textId="77777777" w:rsidTr="002E009B">
        <w:trPr>
          <w:trHeight w:val="400"/>
          <w:jc w:val="center"/>
        </w:trPr>
        <w:tc>
          <w:tcPr>
            <w:cnfStyle w:val="001000000000" w:firstRow="0" w:lastRow="0" w:firstColumn="1" w:lastColumn="0" w:oddVBand="0" w:evenVBand="0" w:oddHBand="0" w:evenHBand="0" w:firstRowFirstColumn="0" w:firstRowLastColumn="0" w:lastRowFirstColumn="0" w:lastRowLastColumn="0"/>
            <w:tcW w:w="4142" w:type="dxa"/>
          </w:tcPr>
          <w:p w14:paraId="237FFA0B" w14:textId="77777777" w:rsidR="00672450" w:rsidRPr="00672450" w:rsidRDefault="00672450" w:rsidP="00672450">
            <w:pPr>
              <w:spacing w:after="160"/>
              <w:jc w:val="center"/>
              <w:rPr>
                <w:lang w:val="en-GB"/>
              </w:rPr>
            </w:pPr>
            <w:r w:rsidRPr="00672450">
              <w:rPr>
                <w:lang w:val="en-GB"/>
              </w:rPr>
              <w:t>Avg. number customers each year</w:t>
            </w:r>
          </w:p>
        </w:tc>
        <w:tc>
          <w:tcPr>
            <w:tcW w:w="2764" w:type="dxa"/>
          </w:tcPr>
          <w:p w14:paraId="7FA83941" w14:textId="2CE242FC" w:rsidR="00672450" w:rsidRPr="00672450" w:rsidRDefault="002E009B" w:rsidP="00672450">
            <w:pPr>
              <w:spacing w:after="160"/>
              <w:jc w:val="center"/>
              <w:cnfStyle w:val="000000000000" w:firstRow="0" w:lastRow="0" w:firstColumn="0" w:lastColumn="0" w:oddVBand="0" w:evenVBand="0" w:oddHBand="0" w:evenHBand="0" w:firstRowFirstColumn="0" w:firstRowLastColumn="0" w:lastRowFirstColumn="0" w:lastRowLastColumn="0"/>
              <w:rPr>
                <w:lang w:val="en-GB"/>
              </w:rPr>
            </w:pPr>
            <w:r w:rsidRPr="002E009B">
              <w:t>902.9</w:t>
            </w:r>
            <w:r>
              <w:t xml:space="preserve"> M</w:t>
            </w:r>
          </w:p>
        </w:tc>
        <w:tc>
          <w:tcPr>
            <w:tcW w:w="2667" w:type="dxa"/>
          </w:tcPr>
          <w:p w14:paraId="73A97AD5" w14:textId="1472DF08" w:rsidR="00672450" w:rsidRPr="00672450" w:rsidRDefault="002E009B" w:rsidP="00672450">
            <w:pPr>
              <w:spacing w:after="160"/>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44.2 M</w:t>
            </w:r>
          </w:p>
        </w:tc>
      </w:tr>
      <w:tr w:rsidR="00672450" w:rsidRPr="00672450" w14:paraId="4FE6B26C" w14:textId="77777777" w:rsidTr="002E009B">
        <w:trPr>
          <w:trHeight w:val="436"/>
          <w:jc w:val="center"/>
        </w:trPr>
        <w:tc>
          <w:tcPr>
            <w:cnfStyle w:val="001000000000" w:firstRow="0" w:lastRow="0" w:firstColumn="1" w:lastColumn="0" w:oddVBand="0" w:evenVBand="0" w:oddHBand="0" w:evenHBand="0" w:firstRowFirstColumn="0" w:firstRowLastColumn="0" w:lastRowFirstColumn="0" w:lastRowLastColumn="0"/>
            <w:tcW w:w="4142" w:type="dxa"/>
          </w:tcPr>
          <w:p w14:paraId="16070217" w14:textId="121D24C4" w:rsidR="00672450" w:rsidRPr="00672450" w:rsidRDefault="00672450" w:rsidP="00672450">
            <w:pPr>
              <w:spacing w:after="160"/>
              <w:jc w:val="center"/>
              <w:rPr>
                <w:lang w:val="en-GB"/>
              </w:rPr>
            </w:pPr>
            <w:r w:rsidRPr="00672450">
              <w:rPr>
                <w:lang w:val="en-GB"/>
              </w:rPr>
              <w:t>Guest Love</w:t>
            </w:r>
          </w:p>
        </w:tc>
        <w:tc>
          <w:tcPr>
            <w:tcW w:w="2764" w:type="dxa"/>
          </w:tcPr>
          <w:p w14:paraId="25E7FB08" w14:textId="74A91A51" w:rsidR="00672450" w:rsidRPr="00672450" w:rsidRDefault="002E009B" w:rsidP="00672450">
            <w:pPr>
              <w:spacing w:after="160"/>
              <w:jc w:val="center"/>
              <w:cnfStyle w:val="000000000000" w:firstRow="0" w:lastRow="0" w:firstColumn="0" w:lastColumn="0" w:oddVBand="0" w:evenVBand="0" w:oddHBand="0" w:evenHBand="0" w:firstRowFirstColumn="0" w:firstRowLastColumn="0" w:lastRowFirstColumn="0" w:lastRowLastColumn="0"/>
              <w:rPr>
                <w:lang w:val="en-GB"/>
              </w:rPr>
            </w:pPr>
            <w:r w:rsidRPr="00672450">
              <w:rPr>
                <w:lang w:val="en-GB"/>
              </w:rPr>
              <w:t>80.15%</w:t>
            </w:r>
          </w:p>
        </w:tc>
        <w:tc>
          <w:tcPr>
            <w:tcW w:w="2667" w:type="dxa"/>
          </w:tcPr>
          <w:p w14:paraId="4F96311B" w14:textId="2F5540F1" w:rsidR="00672450" w:rsidRPr="00672450" w:rsidRDefault="002E009B" w:rsidP="00672450">
            <w:pPr>
              <w:spacing w:after="160"/>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w:t>
            </w:r>
            <w:r w:rsidRPr="00672450">
              <w:rPr>
                <w:lang w:val="en-GB"/>
              </w:rPr>
              <w:t>8.9%</w:t>
            </w:r>
          </w:p>
        </w:tc>
      </w:tr>
      <w:tr w:rsidR="00672450" w:rsidRPr="00672450" w14:paraId="516A6C1D" w14:textId="77777777" w:rsidTr="002E009B">
        <w:trPr>
          <w:trHeight w:val="400"/>
          <w:jc w:val="center"/>
        </w:trPr>
        <w:tc>
          <w:tcPr>
            <w:cnfStyle w:val="001000000000" w:firstRow="0" w:lastRow="0" w:firstColumn="1" w:lastColumn="0" w:oddVBand="0" w:evenVBand="0" w:oddHBand="0" w:evenHBand="0" w:firstRowFirstColumn="0" w:firstRowLastColumn="0" w:lastRowFirstColumn="0" w:lastRowLastColumn="0"/>
            <w:tcW w:w="4142" w:type="dxa"/>
          </w:tcPr>
          <w:p w14:paraId="6057BC5D" w14:textId="77777777" w:rsidR="00672450" w:rsidRPr="00672450" w:rsidRDefault="00672450" w:rsidP="00672450">
            <w:pPr>
              <w:spacing w:after="160"/>
              <w:jc w:val="center"/>
              <w:rPr>
                <w:lang w:val="en-GB"/>
              </w:rPr>
            </w:pPr>
            <w:r w:rsidRPr="00672450">
              <w:rPr>
                <w:lang w:val="en-GB"/>
              </w:rPr>
              <w:t>Operation in no. of countries</w:t>
            </w:r>
          </w:p>
        </w:tc>
        <w:tc>
          <w:tcPr>
            <w:tcW w:w="2764" w:type="dxa"/>
          </w:tcPr>
          <w:p w14:paraId="20E2218A" w14:textId="67D19AE0" w:rsidR="00672450" w:rsidRPr="00672450" w:rsidRDefault="00672450" w:rsidP="00672450">
            <w:pPr>
              <w:spacing w:after="160"/>
              <w:jc w:val="center"/>
              <w:cnfStyle w:val="000000000000" w:firstRow="0" w:lastRow="0" w:firstColumn="0" w:lastColumn="0" w:oddVBand="0" w:evenVBand="0" w:oddHBand="0" w:evenHBand="0" w:firstRowFirstColumn="0" w:firstRowLastColumn="0" w:lastRowFirstColumn="0" w:lastRowLastColumn="0"/>
              <w:rPr>
                <w:lang w:val="en-GB"/>
              </w:rPr>
            </w:pPr>
            <w:r w:rsidRPr="00672450">
              <w:t>138</w:t>
            </w:r>
          </w:p>
        </w:tc>
        <w:tc>
          <w:tcPr>
            <w:tcW w:w="2667" w:type="dxa"/>
          </w:tcPr>
          <w:p w14:paraId="1E2D783D" w14:textId="59110326" w:rsidR="00672450" w:rsidRPr="00672450" w:rsidRDefault="00672450" w:rsidP="00672450">
            <w:pPr>
              <w:spacing w:after="160"/>
              <w:jc w:val="center"/>
              <w:cnfStyle w:val="000000000000" w:firstRow="0" w:lastRow="0" w:firstColumn="0" w:lastColumn="0" w:oddVBand="0" w:evenVBand="0" w:oddHBand="0" w:evenHBand="0" w:firstRowFirstColumn="0" w:firstRowLastColumn="0" w:lastRowFirstColumn="0" w:lastRowLastColumn="0"/>
              <w:rPr>
                <w:lang w:val="en-GB"/>
              </w:rPr>
            </w:pPr>
            <w:r w:rsidRPr="00672450">
              <w:t>70</w:t>
            </w:r>
          </w:p>
        </w:tc>
      </w:tr>
    </w:tbl>
    <w:bookmarkEnd w:id="8"/>
    <w:p w14:paraId="2E45CC04" w14:textId="75F174BF" w:rsidR="00706F55" w:rsidRPr="00E652CB" w:rsidRDefault="00E652CB" w:rsidP="00E652CB">
      <w:pPr>
        <w:jc w:val="center"/>
        <w:rPr>
          <w:lang w:val="en-GB"/>
        </w:rPr>
      </w:pPr>
      <w:r>
        <w:rPr>
          <w:lang w:val="en-GB"/>
        </w:rPr>
        <w:t>Table</w:t>
      </w:r>
      <w:r w:rsidR="002E009B" w:rsidRPr="002E009B">
        <w:rPr>
          <w:lang w:val="en-GB"/>
        </w:rPr>
        <w:t xml:space="preserve">: Market positioning of </w:t>
      </w:r>
      <w:r w:rsidR="002E009B">
        <w:rPr>
          <w:lang w:val="en-GB"/>
        </w:rPr>
        <w:t>Hyatt</w:t>
      </w:r>
      <w:r w:rsidR="002E009B" w:rsidRPr="002E009B">
        <w:rPr>
          <w:lang w:val="en-GB"/>
        </w:rPr>
        <w:t xml:space="preserve"> and Marriott (Statista, 202</w:t>
      </w:r>
      <w:r w:rsidR="00550E47">
        <w:rPr>
          <w:lang w:val="en-GB"/>
        </w:rPr>
        <w:t>2</w:t>
      </w:r>
      <w:r w:rsidR="002E009B" w:rsidRPr="002E009B">
        <w:rPr>
          <w:lang w:val="en-GB"/>
        </w:rPr>
        <w:t>)</w:t>
      </w:r>
    </w:p>
    <w:p w14:paraId="7B9BE2C3" w14:textId="3CE90250" w:rsidR="00706F55" w:rsidRDefault="003E6916" w:rsidP="003E6916">
      <w:pPr>
        <w:pStyle w:val="Heading2"/>
      </w:pPr>
      <w:bookmarkStart w:id="9" w:name="_Toc135349314"/>
      <w:r>
        <w:t>Growth Potential</w:t>
      </w:r>
      <w:bookmarkEnd w:id="9"/>
    </w:p>
    <w:p w14:paraId="00715BE8" w14:textId="32CE07D3" w:rsidR="003E6916" w:rsidRDefault="003E6916" w:rsidP="003E6916">
      <w:r>
        <w:t>Considering their respective market shares and long-term objectives, Marriott International and Hyatt Hotels have developed distinct approaches to expansion. Marriott International's portfolio of 30 brands ranges from the ultra-luxurious W Hotels to the more accessible Courtyard by Marriott. The firm has been working to increase its presence in developing regions including Asia-Pacific, Africa, and the Middle East by entering into franchise agreements and strategic collaborations with local developers in these regions. To maintain its competitive edge and boost its brand awareness, Marriott International has also made investments in cutting-edge technology and improved guest services</w:t>
      </w:r>
      <w:r w:rsidR="00BD446A">
        <w:t xml:space="preserve"> </w:t>
      </w:r>
      <w:r w:rsidR="00BD446A" w:rsidRPr="00BD446A">
        <w:t>(Skift, 2021)</w:t>
      </w:r>
      <w:r>
        <w:t>.</w:t>
      </w:r>
    </w:p>
    <w:p w14:paraId="74EB5607" w14:textId="75EEFA52" w:rsidR="003E6916" w:rsidRDefault="003E6916" w:rsidP="003E6916">
      <w:r>
        <w:t xml:space="preserve">Hyatt Hotels, on the other hand, provide a more exclusive collection of brands that </w:t>
      </w:r>
      <w:r w:rsidR="00652C80">
        <w:t>center</w:t>
      </w:r>
      <w:r>
        <w:t xml:space="preserve"> on opulence and individual attention. The company's top priority has been to increase its worldwide presence via both internal growth and the purchase of luxury hotels in prime tourist areas. Hyatt </w:t>
      </w:r>
      <w:r>
        <w:lastRenderedPageBreak/>
        <w:t xml:space="preserve">Hotels has put resources into expanding its loyalty </w:t>
      </w:r>
      <w:r w:rsidR="004C144D">
        <w:t>programmed</w:t>
      </w:r>
      <w:r>
        <w:t>, World of Hyatt, in an effort to entice and retain its most valuable guests.</w:t>
      </w:r>
    </w:p>
    <w:p w14:paraId="37804391" w14:textId="7714D20D" w:rsidR="003E6916" w:rsidRDefault="003E6916" w:rsidP="003E6916">
      <w:r>
        <w:t>Both Marriott International and Hyatt Hotels have seen declines in financial performance as a result of the COVID-19 epidemic, but both have shown resilient and nimble in the face of adversity. When comparing 2019 and 2020, Marriott International had a 44% decline in sales. However, by the third quarter of 2021, the company had rebounded to post revenue of $14.6 billion. In 2020, Hyatt Hotels had a 55.6% drop in sales, but by Q3 2021, the company's revenue had increased to $629 million</w:t>
      </w:r>
      <w:r w:rsidR="008B419F">
        <w:t xml:space="preserve"> </w:t>
      </w:r>
      <w:r w:rsidR="008B419F" w:rsidRPr="008B419F">
        <w:t>(KPMG, 2021)</w:t>
      </w:r>
      <w:r>
        <w:t>.</w:t>
      </w:r>
    </w:p>
    <w:p w14:paraId="00AC0CA4" w14:textId="4EACF209" w:rsidR="00706F55" w:rsidRDefault="003E6916" w:rsidP="003E6916">
      <w:r>
        <w:t>Both Marriott International and Hyatt Hotels have shown they can adapt to the ever-changing hospitality business and seize emerging development prospects. Hyatt Hotels is able to retain a strong market position in the luxury category because to its unique brand portfolio and smart acquisitions, while Marriott International is well positioned for long-term success thanks to its broad portfolio and emphasis on technology and innovation.</w:t>
      </w:r>
    </w:p>
    <w:p w14:paraId="00D5B919" w14:textId="222AAB02" w:rsidR="00706F55" w:rsidRDefault="00706F55" w:rsidP="003A25CE"/>
    <w:tbl>
      <w:tblPr>
        <w:tblStyle w:val="GridTable4"/>
        <w:tblW w:w="0" w:type="auto"/>
        <w:tblLook w:val="04A0" w:firstRow="1" w:lastRow="0" w:firstColumn="1" w:lastColumn="0" w:noHBand="0" w:noVBand="1"/>
      </w:tblPr>
      <w:tblGrid>
        <w:gridCol w:w="4045"/>
        <w:gridCol w:w="2700"/>
        <w:gridCol w:w="2605"/>
      </w:tblGrid>
      <w:tr w:rsidR="003E6916" w:rsidRPr="003E6916" w14:paraId="4B5F5912" w14:textId="77777777" w:rsidTr="005F5D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238E6D70" w14:textId="77777777" w:rsidR="003E6916" w:rsidRPr="003E6916" w:rsidRDefault="003E6916" w:rsidP="003E6916">
            <w:pPr>
              <w:rPr>
                <w:lang w:val="en-GB"/>
              </w:rPr>
            </w:pPr>
            <w:r w:rsidRPr="003E6916">
              <w:rPr>
                <w:lang w:val="en-GB"/>
              </w:rPr>
              <w:t>Particulars</w:t>
            </w:r>
          </w:p>
        </w:tc>
        <w:tc>
          <w:tcPr>
            <w:tcW w:w="2700" w:type="dxa"/>
          </w:tcPr>
          <w:p w14:paraId="2A091504" w14:textId="5BE8D8A3" w:rsidR="003E6916" w:rsidRPr="003E6916" w:rsidRDefault="006E45EB" w:rsidP="003E6916">
            <w:pPr>
              <w:cnfStyle w:val="100000000000" w:firstRow="1" w:lastRow="0" w:firstColumn="0" w:lastColumn="0" w:oddVBand="0" w:evenVBand="0" w:oddHBand="0" w:evenHBand="0" w:firstRowFirstColumn="0" w:firstRowLastColumn="0" w:lastRowFirstColumn="0" w:lastRowLastColumn="0"/>
              <w:rPr>
                <w:lang w:val="en-GB"/>
              </w:rPr>
            </w:pPr>
            <w:r w:rsidRPr="003E6916">
              <w:rPr>
                <w:lang w:val="en-GB"/>
              </w:rPr>
              <w:t>Marriott</w:t>
            </w:r>
          </w:p>
        </w:tc>
        <w:tc>
          <w:tcPr>
            <w:tcW w:w="2605" w:type="dxa"/>
          </w:tcPr>
          <w:p w14:paraId="3977FE30" w14:textId="15D3C3BC" w:rsidR="003E6916" w:rsidRPr="003E6916" w:rsidRDefault="006E45EB" w:rsidP="003E6916">
            <w:pPr>
              <w:cnfStyle w:val="100000000000" w:firstRow="1" w:lastRow="0" w:firstColumn="0" w:lastColumn="0" w:oddVBand="0" w:evenVBand="0" w:oddHBand="0" w:evenHBand="0" w:firstRowFirstColumn="0" w:firstRowLastColumn="0" w:lastRowFirstColumn="0" w:lastRowLastColumn="0"/>
              <w:rPr>
                <w:lang w:val="en-GB"/>
              </w:rPr>
            </w:pPr>
            <w:r>
              <w:rPr>
                <w:lang w:val="en-GB"/>
              </w:rPr>
              <w:t>Hyatt</w:t>
            </w:r>
          </w:p>
        </w:tc>
      </w:tr>
      <w:tr w:rsidR="003E6916" w:rsidRPr="003E6916" w14:paraId="2890B90A" w14:textId="77777777" w:rsidTr="005F5D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23E8D504" w14:textId="41C14C4A" w:rsidR="003E6916" w:rsidRPr="003E6916" w:rsidRDefault="003E6916" w:rsidP="005F5D2F">
            <w:pPr>
              <w:jc w:val="center"/>
              <w:rPr>
                <w:lang w:val="en-GB"/>
              </w:rPr>
            </w:pPr>
            <w:r w:rsidRPr="003E6916">
              <w:rPr>
                <w:lang w:val="en-GB"/>
              </w:rPr>
              <w:t xml:space="preserve">Number of new rooms </w:t>
            </w:r>
            <w:r w:rsidR="006E45EB">
              <w:rPr>
                <w:lang w:val="en-GB"/>
              </w:rPr>
              <w:t>to be added</w:t>
            </w:r>
          </w:p>
        </w:tc>
        <w:tc>
          <w:tcPr>
            <w:tcW w:w="2700" w:type="dxa"/>
          </w:tcPr>
          <w:p w14:paraId="3640CD40" w14:textId="3167207E" w:rsidR="003E6916" w:rsidRPr="003E6916" w:rsidRDefault="003E6916" w:rsidP="005F5D2F">
            <w:pPr>
              <w:jc w:val="center"/>
              <w:cnfStyle w:val="000000100000" w:firstRow="0" w:lastRow="0" w:firstColumn="0" w:lastColumn="0" w:oddVBand="0" w:evenVBand="0" w:oddHBand="1" w:evenHBand="0" w:firstRowFirstColumn="0" w:firstRowLastColumn="0" w:lastRowFirstColumn="0" w:lastRowLastColumn="0"/>
              <w:rPr>
                <w:lang w:val="en-GB"/>
              </w:rPr>
            </w:pPr>
            <w:r w:rsidRPr="003E6916">
              <w:rPr>
                <w:lang w:val="en-GB"/>
              </w:rPr>
              <w:t>1</w:t>
            </w:r>
            <w:r w:rsidR="006E45EB">
              <w:rPr>
                <w:lang w:val="en-GB"/>
              </w:rPr>
              <w:t>,10,</w:t>
            </w:r>
            <w:r w:rsidRPr="003E6916">
              <w:rPr>
                <w:lang w:val="en-GB"/>
              </w:rPr>
              <w:t>000</w:t>
            </w:r>
            <w:r w:rsidR="006E45EB">
              <w:rPr>
                <w:lang w:val="en-GB"/>
              </w:rPr>
              <w:t xml:space="preserve"> (</w:t>
            </w:r>
            <w:r w:rsidR="004C144D">
              <w:rPr>
                <w:lang w:val="en-GB"/>
              </w:rPr>
              <w:t>approx.</w:t>
            </w:r>
            <w:r w:rsidR="006E45EB">
              <w:rPr>
                <w:lang w:val="en-GB"/>
              </w:rPr>
              <w:t>)</w:t>
            </w:r>
          </w:p>
        </w:tc>
        <w:tc>
          <w:tcPr>
            <w:tcW w:w="2605" w:type="dxa"/>
          </w:tcPr>
          <w:p w14:paraId="6F0EDF12" w14:textId="23D58F31" w:rsidR="003E6916" w:rsidRPr="003E6916" w:rsidRDefault="006E45EB" w:rsidP="005F5D2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40,</w:t>
            </w:r>
            <w:r w:rsidR="003E6916" w:rsidRPr="003E6916">
              <w:rPr>
                <w:lang w:val="en-GB"/>
              </w:rPr>
              <w:t>000</w:t>
            </w:r>
            <w:r>
              <w:rPr>
                <w:lang w:val="en-GB"/>
              </w:rPr>
              <w:t xml:space="preserve"> </w:t>
            </w:r>
            <w:r w:rsidRPr="006E45EB">
              <w:rPr>
                <w:lang w:val="en-GB"/>
              </w:rPr>
              <w:t>(</w:t>
            </w:r>
            <w:r w:rsidR="004C144D" w:rsidRPr="006E45EB">
              <w:rPr>
                <w:lang w:val="en-GB"/>
              </w:rPr>
              <w:t>approx.</w:t>
            </w:r>
            <w:r w:rsidRPr="006E45EB">
              <w:rPr>
                <w:lang w:val="en-GB"/>
              </w:rPr>
              <w:t>)</w:t>
            </w:r>
          </w:p>
        </w:tc>
      </w:tr>
      <w:tr w:rsidR="003E6916" w:rsidRPr="003E6916" w14:paraId="05497542" w14:textId="77777777" w:rsidTr="005F5D2F">
        <w:tc>
          <w:tcPr>
            <w:cnfStyle w:val="001000000000" w:firstRow="0" w:lastRow="0" w:firstColumn="1" w:lastColumn="0" w:oddVBand="0" w:evenVBand="0" w:oddHBand="0" w:evenHBand="0" w:firstRowFirstColumn="0" w:firstRowLastColumn="0" w:lastRowFirstColumn="0" w:lastRowLastColumn="0"/>
            <w:tcW w:w="4045" w:type="dxa"/>
          </w:tcPr>
          <w:p w14:paraId="53178614" w14:textId="77777777" w:rsidR="003E6916" w:rsidRPr="003E6916" w:rsidRDefault="003E6916" w:rsidP="005F5D2F">
            <w:pPr>
              <w:jc w:val="center"/>
              <w:rPr>
                <w:lang w:val="en-GB"/>
              </w:rPr>
            </w:pPr>
            <w:r w:rsidRPr="003E6916">
              <w:rPr>
                <w:lang w:val="en-GB"/>
              </w:rPr>
              <w:t>Net room growth rate</w:t>
            </w:r>
          </w:p>
        </w:tc>
        <w:tc>
          <w:tcPr>
            <w:tcW w:w="2700" w:type="dxa"/>
          </w:tcPr>
          <w:p w14:paraId="487F981D" w14:textId="254B1D06" w:rsidR="003E6916" w:rsidRPr="003E6916" w:rsidRDefault="003E6916" w:rsidP="005F5D2F">
            <w:pPr>
              <w:jc w:val="center"/>
              <w:cnfStyle w:val="000000000000" w:firstRow="0" w:lastRow="0" w:firstColumn="0" w:lastColumn="0" w:oddVBand="0" w:evenVBand="0" w:oddHBand="0" w:evenHBand="0" w:firstRowFirstColumn="0" w:firstRowLastColumn="0" w:lastRowFirstColumn="0" w:lastRowLastColumn="0"/>
              <w:rPr>
                <w:lang w:val="en-GB"/>
              </w:rPr>
            </w:pPr>
            <w:r w:rsidRPr="003E6916">
              <w:rPr>
                <w:lang w:val="en-GB"/>
              </w:rPr>
              <w:t>8%</w:t>
            </w:r>
          </w:p>
        </w:tc>
        <w:tc>
          <w:tcPr>
            <w:tcW w:w="2605" w:type="dxa"/>
          </w:tcPr>
          <w:p w14:paraId="61FB6B1F" w14:textId="2B9F859F" w:rsidR="003E6916" w:rsidRPr="003E6916" w:rsidRDefault="003E6916" w:rsidP="005F5D2F">
            <w:pPr>
              <w:jc w:val="center"/>
              <w:cnfStyle w:val="000000000000" w:firstRow="0" w:lastRow="0" w:firstColumn="0" w:lastColumn="0" w:oddVBand="0" w:evenVBand="0" w:oddHBand="0" w:evenHBand="0" w:firstRowFirstColumn="0" w:firstRowLastColumn="0" w:lastRowFirstColumn="0" w:lastRowLastColumn="0"/>
              <w:rPr>
                <w:lang w:val="en-GB"/>
              </w:rPr>
            </w:pPr>
            <w:r w:rsidRPr="003E6916">
              <w:rPr>
                <w:lang w:val="en-GB"/>
              </w:rPr>
              <w:t>3.</w:t>
            </w:r>
            <w:r w:rsidR="006E45EB">
              <w:rPr>
                <w:lang w:val="en-GB"/>
              </w:rPr>
              <w:t>7</w:t>
            </w:r>
            <w:r w:rsidRPr="003E6916">
              <w:rPr>
                <w:lang w:val="en-GB"/>
              </w:rPr>
              <w:t>%</w:t>
            </w:r>
          </w:p>
        </w:tc>
      </w:tr>
      <w:tr w:rsidR="003E6916" w:rsidRPr="003E6916" w14:paraId="36804CC3" w14:textId="77777777" w:rsidTr="005F5D2F">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4045" w:type="dxa"/>
          </w:tcPr>
          <w:p w14:paraId="6E241527" w14:textId="77777777" w:rsidR="003E6916" w:rsidRPr="003E6916" w:rsidRDefault="003E6916" w:rsidP="005F5D2F">
            <w:pPr>
              <w:jc w:val="center"/>
              <w:rPr>
                <w:lang w:val="en-GB"/>
              </w:rPr>
            </w:pPr>
            <w:r w:rsidRPr="003E6916">
              <w:rPr>
                <w:lang w:val="en-GB"/>
              </w:rPr>
              <w:t>New Signings</w:t>
            </w:r>
          </w:p>
        </w:tc>
        <w:tc>
          <w:tcPr>
            <w:tcW w:w="2700" w:type="dxa"/>
          </w:tcPr>
          <w:p w14:paraId="794C7180" w14:textId="05B7C179" w:rsidR="003E6916" w:rsidRPr="003E6916" w:rsidRDefault="003E6916" w:rsidP="005F5D2F">
            <w:pPr>
              <w:jc w:val="center"/>
              <w:cnfStyle w:val="000000100000" w:firstRow="0" w:lastRow="0" w:firstColumn="0" w:lastColumn="0" w:oddVBand="0" w:evenVBand="0" w:oddHBand="1" w:evenHBand="0" w:firstRowFirstColumn="0" w:firstRowLastColumn="0" w:lastRowFirstColumn="0" w:lastRowLastColumn="0"/>
              <w:rPr>
                <w:lang w:val="en-GB"/>
              </w:rPr>
            </w:pPr>
            <w:r w:rsidRPr="003E6916">
              <w:rPr>
                <w:lang w:val="en-GB"/>
              </w:rPr>
              <w:t>31000</w:t>
            </w:r>
            <w:r w:rsidR="006E45EB">
              <w:rPr>
                <w:lang w:val="en-GB"/>
              </w:rPr>
              <w:t>0</w:t>
            </w:r>
          </w:p>
        </w:tc>
        <w:tc>
          <w:tcPr>
            <w:tcW w:w="2605" w:type="dxa"/>
          </w:tcPr>
          <w:p w14:paraId="04AB30EB" w14:textId="5351D726" w:rsidR="003E6916" w:rsidRPr="003E6916" w:rsidRDefault="003E6916" w:rsidP="005F5D2F">
            <w:pPr>
              <w:jc w:val="center"/>
              <w:cnfStyle w:val="000000100000" w:firstRow="0" w:lastRow="0" w:firstColumn="0" w:lastColumn="0" w:oddVBand="0" w:evenVBand="0" w:oddHBand="1" w:evenHBand="0" w:firstRowFirstColumn="0" w:firstRowLastColumn="0" w:lastRowFirstColumn="0" w:lastRowLastColumn="0"/>
              <w:rPr>
                <w:lang w:val="en-GB"/>
              </w:rPr>
            </w:pPr>
            <w:r w:rsidRPr="003E6916">
              <w:rPr>
                <w:lang w:val="en-GB"/>
              </w:rPr>
              <w:t>2</w:t>
            </w:r>
            <w:r w:rsidR="006E45EB">
              <w:rPr>
                <w:lang w:val="en-GB"/>
              </w:rPr>
              <w:t>0</w:t>
            </w:r>
            <w:r w:rsidRPr="003E6916">
              <w:rPr>
                <w:lang w:val="en-GB"/>
              </w:rPr>
              <w:t>000</w:t>
            </w:r>
          </w:p>
        </w:tc>
      </w:tr>
      <w:tr w:rsidR="003E6916" w:rsidRPr="003E6916" w14:paraId="05307F70" w14:textId="77777777" w:rsidTr="005F5D2F">
        <w:trPr>
          <w:trHeight w:val="404"/>
        </w:trPr>
        <w:tc>
          <w:tcPr>
            <w:cnfStyle w:val="001000000000" w:firstRow="0" w:lastRow="0" w:firstColumn="1" w:lastColumn="0" w:oddVBand="0" w:evenVBand="0" w:oddHBand="0" w:evenHBand="0" w:firstRowFirstColumn="0" w:firstRowLastColumn="0" w:lastRowFirstColumn="0" w:lastRowLastColumn="0"/>
            <w:tcW w:w="4045" w:type="dxa"/>
          </w:tcPr>
          <w:p w14:paraId="730DA0D0" w14:textId="77777777" w:rsidR="003E6916" w:rsidRPr="003E6916" w:rsidRDefault="003E6916" w:rsidP="005F5D2F">
            <w:pPr>
              <w:spacing w:after="160"/>
              <w:jc w:val="center"/>
              <w:rPr>
                <w:lang w:val="en-GB"/>
              </w:rPr>
            </w:pPr>
            <w:r w:rsidRPr="003E6916">
              <w:rPr>
                <w:lang w:val="en-GB"/>
              </w:rPr>
              <w:t>Expected revenue growth rate</w:t>
            </w:r>
          </w:p>
        </w:tc>
        <w:tc>
          <w:tcPr>
            <w:tcW w:w="2700" w:type="dxa"/>
          </w:tcPr>
          <w:p w14:paraId="6CDF52CE" w14:textId="6456F05E" w:rsidR="003E6916" w:rsidRPr="003E6916" w:rsidRDefault="005F5D2F" w:rsidP="005F5D2F">
            <w:pPr>
              <w:spacing w:after="160"/>
              <w:jc w:val="center"/>
              <w:cnfStyle w:val="000000000000" w:firstRow="0" w:lastRow="0" w:firstColumn="0" w:lastColumn="0" w:oddVBand="0" w:evenVBand="0" w:oddHBand="0" w:evenHBand="0" w:firstRowFirstColumn="0" w:firstRowLastColumn="0" w:lastRowFirstColumn="0" w:lastRowLastColumn="0"/>
              <w:rPr>
                <w:lang w:val="en-GB"/>
              </w:rPr>
            </w:pPr>
            <w:r w:rsidRPr="003E6916">
              <w:rPr>
                <w:lang w:val="en-GB"/>
              </w:rPr>
              <w:t>66.59%</w:t>
            </w:r>
          </w:p>
        </w:tc>
        <w:tc>
          <w:tcPr>
            <w:tcW w:w="2605" w:type="dxa"/>
          </w:tcPr>
          <w:p w14:paraId="4E78A3CB" w14:textId="765034D1" w:rsidR="003E6916" w:rsidRPr="003E6916" w:rsidRDefault="005F5D2F" w:rsidP="005F5D2F">
            <w:pPr>
              <w:spacing w:after="160"/>
              <w:jc w:val="center"/>
              <w:cnfStyle w:val="000000000000" w:firstRow="0" w:lastRow="0" w:firstColumn="0" w:lastColumn="0" w:oddVBand="0" w:evenVBand="0" w:oddHBand="0" w:evenHBand="0" w:firstRowFirstColumn="0" w:firstRowLastColumn="0" w:lastRowFirstColumn="0" w:lastRowLastColumn="0"/>
              <w:rPr>
                <w:lang w:val="en-GB"/>
              </w:rPr>
            </w:pPr>
            <w:r w:rsidRPr="003E6916">
              <w:rPr>
                <w:lang w:val="en-GB"/>
              </w:rPr>
              <w:t>16.32%</w:t>
            </w:r>
          </w:p>
        </w:tc>
      </w:tr>
    </w:tbl>
    <w:p w14:paraId="2F4A1051" w14:textId="11113E3A" w:rsidR="005F5D2F" w:rsidRPr="005F5D2F" w:rsidRDefault="005F5D2F" w:rsidP="005F5D2F">
      <w:pPr>
        <w:jc w:val="center"/>
      </w:pPr>
      <w:r>
        <w:t>Table</w:t>
      </w:r>
      <w:r w:rsidRPr="005F5D2F">
        <w:t xml:space="preserve">: Growth factors of </w:t>
      </w:r>
      <w:r>
        <w:t xml:space="preserve">Hyatt </w:t>
      </w:r>
      <w:r w:rsidRPr="005F5D2F">
        <w:t>and Marriot (Statista, 202</w:t>
      </w:r>
      <w:r w:rsidR="00550E47">
        <w:t>2</w:t>
      </w:r>
      <w:r w:rsidRPr="005F5D2F">
        <w:t>)</w:t>
      </w:r>
    </w:p>
    <w:p w14:paraId="59EF24AC" w14:textId="30BAC4A6" w:rsidR="00706F55" w:rsidRDefault="00706F55" w:rsidP="003A25CE"/>
    <w:p w14:paraId="798E5242" w14:textId="3825489A" w:rsidR="00E652CB" w:rsidRDefault="00E652CB" w:rsidP="00E652CB">
      <w:pPr>
        <w:pStyle w:val="Heading2"/>
      </w:pPr>
      <w:bookmarkStart w:id="10" w:name="_Toc135349315"/>
      <w:r>
        <w:t>CSR Activities</w:t>
      </w:r>
      <w:bookmarkEnd w:id="10"/>
    </w:p>
    <w:p w14:paraId="0A11C60D" w14:textId="0A72CED4" w:rsidR="00E652CB" w:rsidRDefault="00E652CB" w:rsidP="00E652CB">
      <w:r>
        <w:t xml:space="preserve">Both Marriott International and Hyatt Hotels have demonstrated a strong commitment to corporate social responsibility (CSR) and environmentally friendly </w:t>
      </w:r>
      <w:r w:rsidR="004C144D">
        <w:t>practices</w:t>
      </w:r>
      <w:r>
        <w:t xml:space="preserve">. Below is a comparison of their respective investments and </w:t>
      </w:r>
      <w:r w:rsidR="004C144D">
        <w:t>endeavors</w:t>
      </w:r>
      <w:r>
        <w:t xml:space="preserve"> in this area:</w:t>
      </w:r>
    </w:p>
    <w:p w14:paraId="5B97EC6F" w14:textId="38ED2648" w:rsidR="00E652CB" w:rsidRDefault="00E652CB" w:rsidP="00E652CB">
      <w:r>
        <w:t xml:space="preserve">Marriott International has made substantial investments in renewable energy, water conservation, and waste reduction in an effort to meet its lofty sustainability targets, such as a 30% decrease in its environmental footprint by 2025. The firm's corporate social responsibility (CSR) initiatives </w:t>
      </w:r>
      <w:r>
        <w:lastRenderedPageBreak/>
        <w:t>extend to every facet of the business, and in 2020, the company unveiled Serve 360, a worldwide sustainability and social impact platform. The firm received a perfect score of 100 on the Human Rights Campaign's Corporate Equality Index, demonstrating its dedication to diversity, equality, and inclusion</w:t>
      </w:r>
      <w:r w:rsidR="007971D8">
        <w:t xml:space="preserve"> </w:t>
      </w:r>
      <w:r w:rsidR="007971D8" w:rsidRPr="007971D8">
        <w:t>(KPMG, 2021)</w:t>
      </w:r>
      <w:r>
        <w:t>.</w:t>
      </w:r>
    </w:p>
    <w:p w14:paraId="6E563D55" w14:textId="3A4E8098" w:rsidR="00E652CB" w:rsidRDefault="00E652CB" w:rsidP="00E652CB">
      <w:r>
        <w:t>Through its Serve 360 platform, Marriott International has committed $500 million to environmental and social impact activities</w:t>
      </w:r>
      <w:r w:rsidR="00550E47">
        <w:t xml:space="preserve"> </w:t>
      </w:r>
      <w:r w:rsidR="00550E47" w:rsidRPr="00550E47">
        <w:t>(Deloitte, 2021)</w:t>
      </w:r>
      <w:r>
        <w:t xml:space="preserve">. Additionally, the </w:t>
      </w:r>
      <w:r w:rsidR="004C144D">
        <w:t>organization</w:t>
      </w:r>
      <w:r>
        <w:t xml:space="preserve"> provides hotel franchisees and owners with tools and services to assist them become more environmentally responsible.</w:t>
      </w:r>
    </w:p>
    <w:p w14:paraId="7FEFA25A" w14:textId="7E4AFFA2" w:rsidR="00E652CB" w:rsidRDefault="00E652CB" w:rsidP="00E652CB">
      <w:r>
        <w:t>Hyatt Hotels has also established aggressive environmental objectives, including lowering its carbon emissions and water use by 25% by 2025. The business has made heavy expenditures in sustainable energy, waste management, and ethical sourcing</w:t>
      </w:r>
      <w:r w:rsidR="00BD446A">
        <w:t xml:space="preserve"> </w:t>
      </w:r>
      <w:r w:rsidR="00BD446A" w:rsidRPr="00BD446A">
        <w:t>(Fortune, 2021)</w:t>
      </w:r>
      <w:r>
        <w:t xml:space="preserve">. Hyatt introduced its Hyatt Thrive platform in 2020, which includes its environmental and social impact </w:t>
      </w:r>
      <w:r w:rsidR="004C144D">
        <w:t>endeavors</w:t>
      </w:r>
      <w:r>
        <w:t>. The firm received a perfect score of 100 on the Human Rights Campaign's Corporate Equality Index, demonstrating its dedication to diversity, equality, and inclusion.</w:t>
      </w:r>
    </w:p>
    <w:p w14:paraId="201B8EAD" w14:textId="480F6F6B" w:rsidR="00E652CB" w:rsidRDefault="00E652CB" w:rsidP="00E652CB">
      <w:r>
        <w:t xml:space="preserve">Hyatt Hotels has committed $150 million to its Hyatt Thrive platform for environmental and social impact activities. To promote responsible sourcing across its supply chain, the firm has created a worldwide supplier code of conduct and provides information and assistance to hotel owners and franchisees to help them adopt sustainable </w:t>
      </w:r>
      <w:r w:rsidR="004C144D">
        <w:t>practices</w:t>
      </w:r>
      <w:r>
        <w:t>.</w:t>
      </w:r>
    </w:p>
    <w:p w14:paraId="3B557F51" w14:textId="0A17E3B6" w:rsidR="00E652CB" w:rsidRDefault="00E652CB" w:rsidP="00E652CB">
      <w:r>
        <w:t xml:space="preserve">When compared side by side, it's clear that both Marriott International and Hyatt Hotels are dedicated to CSR and sustainable </w:t>
      </w:r>
      <w:r w:rsidR="004C144D">
        <w:t>practices</w:t>
      </w:r>
      <w:r>
        <w:t xml:space="preserve"> and are willing to devote substantial resources to the cause. Both corporations are investing in creative solutions and collaborating with stakeholders to advance social and environmental goals, however Marriott International has committed a greater amount to sustainability projects</w:t>
      </w:r>
      <w:r w:rsidR="00E54EDE">
        <w:t xml:space="preserve"> </w:t>
      </w:r>
      <w:r w:rsidR="00E54EDE" w:rsidRPr="00E54EDE">
        <w:t>(PwC, 2021)</w:t>
      </w:r>
      <w:r>
        <w:t>.</w:t>
      </w:r>
    </w:p>
    <w:p w14:paraId="32D45AD1" w14:textId="62B68A65" w:rsidR="00220DCA" w:rsidRDefault="00220DCA" w:rsidP="00E652CB">
      <w:r>
        <w:t>As for statistics,</w:t>
      </w:r>
      <w:r w:rsidRPr="00220DCA">
        <w:t xml:space="preserve"> </w:t>
      </w:r>
      <w:r>
        <w:t>u</w:t>
      </w:r>
      <w:r w:rsidRPr="00220DCA">
        <w:t>nfortunately, the specific financial figures for Marriott International and Hyatt Hotels' CSR spending are not available to the public. However, as outlined in the previous response, both companies have publicly stated their financial commitments to their CSR initiatives</w:t>
      </w:r>
      <w:r w:rsidR="007971D8">
        <w:t xml:space="preserve"> </w:t>
      </w:r>
      <w:r w:rsidR="007971D8" w:rsidRPr="007971D8">
        <w:t>(J.D. Power, 2021)</w:t>
      </w:r>
      <w:r w:rsidRPr="00220DCA">
        <w:t>. It is crucial to note that CSR expenditures may vacillate from year to year based on factors such as business performance, shifting priorities, and external events.</w:t>
      </w:r>
    </w:p>
    <w:p w14:paraId="24F3DD3A" w14:textId="173416A7" w:rsidR="007E3D1C" w:rsidRDefault="007E3D1C" w:rsidP="00550E47">
      <w:r>
        <w:br w:type="page"/>
      </w:r>
    </w:p>
    <w:p w14:paraId="345AEA60" w14:textId="7E6CFA38" w:rsidR="007E3D1C" w:rsidRDefault="007E3D1C" w:rsidP="007E3D1C">
      <w:pPr>
        <w:pStyle w:val="Heading1"/>
      </w:pPr>
      <w:bookmarkStart w:id="11" w:name="_Toc135349316"/>
      <w:r>
        <w:lastRenderedPageBreak/>
        <w:t>Recommendations</w:t>
      </w:r>
      <w:bookmarkEnd w:id="11"/>
    </w:p>
    <w:p w14:paraId="4E668C2C" w14:textId="3B43B511" w:rsidR="007E3D1C" w:rsidRDefault="007E3D1C" w:rsidP="007E3D1C">
      <w:r>
        <w:t>Even while Marriott is now the leader in the sector everywhere in the globe, there is still plenty of room for development, particularly in developing nations where there is an increasing demand for upscale accommodation</w:t>
      </w:r>
      <w:r w:rsidR="00550E47">
        <w:t xml:space="preserve"> </w:t>
      </w:r>
      <w:r w:rsidR="00550E47" w:rsidRPr="00550E47">
        <w:t>(Euromonitor International, 2021)</w:t>
      </w:r>
      <w:r>
        <w:t>. It is important for Marriott to continue concentrating its efforts on these markets by opening up new hotels in rapidly expanding areas and forging strategic partnerships with established hospitality businesses in the area.</w:t>
      </w:r>
    </w:p>
    <w:p w14:paraId="626F83F0" w14:textId="56B78934" w:rsidR="007971D8" w:rsidRPr="007971D8" w:rsidRDefault="007E3D1C" w:rsidP="007971D8">
      <w:r>
        <w:t xml:space="preserve">A fantastic reputation has been earned by Hyatt Hotels due to the lavish rooms and </w:t>
      </w:r>
      <w:r w:rsidR="004C144D">
        <w:t>individualized</w:t>
      </w:r>
      <w:r>
        <w:t xml:space="preserve"> service that they provide</w:t>
      </w:r>
      <w:r w:rsidR="00550E47">
        <w:t xml:space="preserve"> </w:t>
      </w:r>
      <w:r w:rsidR="00550E47" w:rsidRPr="00550E47">
        <w:t>(Deloitte, 2020)</w:t>
      </w:r>
      <w:r>
        <w:t>. The company may make the most of its great reputation by making investments in cutting-edge technology and providing visitors with stays at expensive hotels in prime locations that are filled with unforgettable experiences. It's possible that Hyatt would also want to expand its presence in emerging countries, particularly Asia, where there is an increasing demand for five-star lodgings</w:t>
      </w:r>
      <w:r w:rsidR="007971D8">
        <w:t xml:space="preserve"> </w:t>
      </w:r>
      <w:r w:rsidR="007971D8" w:rsidRPr="007971D8">
        <w:t>(Hilton, 2022)</w:t>
      </w:r>
    </w:p>
    <w:p w14:paraId="4F1C4056" w14:textId="6B256E51" w:rsidR="007E3D1C" w:rsidRDefault="007E3D1C" w:rsidP="007E3D1C">
      <w:r>
        <w:t>.</w:t>
      </w:r>
    </w:p>
    <w:p w14:paraId="145CEC1D" w14:textId="411D67BA" w:rsidR="000B7A14" w:rsidRDefault="000B7A14">
      <w:pPr>
        <w:spacing w:line="259" w:lineRule="auto"/>
        <w:jc w:val="left"/>
      </w:pPr>
      <w:r>
        <w:br w:type="page"/>
      </w:r>
    </w:p>
    <w:p w14:paraId="20212CA7" w14:textId="1E997B2B" w:rsidR="007E3D1C" w:rsidRPr="00E54EDE" w:rsidRDefault="000B7A14" w:rsidP="00E54EDE">
      <w:pPr>
        <w:pStyle w:val="Heading1"/>
      </w:pPr>
      <w:bookmarkStart w:id="12" w:name="_Toc135349317"/>
      <w:r w:rsidRPr="00E54EDE">
        <w:lastRenderedPageBreak/>
        <w:t>Conclusion</w:t>
      </w:r>
      <w:bookmarkEnd w:id="12"/>
    </w:p>
    <w:p w14:paraId="0116F0F3" w14:textId="4C1F47C1" w:rsidR="000B7A14" w:rsidRDefault="00300759" w:rsidP="000B7A14">
      <w:r w:rsidRPr="00300759">
        <w:t>In this paper, we've contrasted the management styles and financial results of two hotel giants: Marriott International and Hyatt Hotels. While both firms have shown solid financial success and dedication to CSR activities, they take quite different approaches to future development and market share. Hyatt Hotels is growing at a quicker pace than its competitor, Marriott International, and is entering into new areas even as Marriott International maintains a greater market share and wider worldwide presence. When comparing the two firms' financial results and prospects for expansion, it's important to keep in mind that each has its own set of advantages and disadvantages. Companies in the hospitality sector may improve their bottom line and position themselves for the long haul by following the advice provided in this research.</w:t>
      </w:r>
    </w:p>
    <w:p w14:paraId="1EE3C969" w14:textId="23B2919F" w:rsidR="000B7A14" w:rsidRDefault="000B7A14">
      <w:pPr>
        <w:spacing w:line="259" w:lineRule="auto"/>
        <w:jc w:val="left"/>
      </w:pPr>
      <w:r>
        <w:br w:type="page"/>
      </w:r>
    </w:p>
    <w:p w14:paraId="14893763" w14:textId="671083FD" w:rsidR="000B7A14" w:rsidRDefault="000B7A14" w:rsidP="000B7A14">
      <w:pPr>
        <w:pStyle w:val="Heading1"/>
      </w:pPr>
      <w:bookmarkStart w:id="13" w:name="_Toc135349318"/>
      <w:r>
        <w:lastRenderedPageBreak/>
        <w:t>References</w:t>
      </w:r>
      <w:bookmarkEnd w:id="13"/>
    </w:p>
    <w:p w14:paraId="2BF1A86E" w14:textId="77777777" w:rsidR="00AB1603" w:rsidRPr="00AB1603" w:rsidRDefault="00AB1603" w:rsidP="00AB1603">
      <w:pPr>
        <w:pStyle w:val="ListParagraph"/>
        <w:numPr>
          <w:ilvl w:val="0"/>
          <w:numId w:val="1"/>
        </w:numPr>
      </w:pPr>
      <w:r w:rsidRPr="00AB1603">
        <w:t>Baumeister, R. F., Vohs, K. D., &amp; Funder, D. C. (2007). Psychology as the science of self-reports and finger movements: Whatever happened to actual behavior?. Perspectives on Psychological Science, 2(4), 396-403.</w:t>
      </w:r>
    </w:p>
    <w:p w14:paraId="70D7613E" w14:textId="77777777" w:rsidR="00AB1603" w:rsidRPr="00AB1603" w:rsidRDefault="00AB1603" w:rsidP="00AB1603">
      <w:pPr>
        <w:pStyle w:val="ListParagraph"/>
        <w:numPr>
          <w:ilvl w:val="0"/>
          <w:numId w:val="1"/>
        </w:numPr>
      </w:pPr>
      <w:r w:rsidRPr="00AB1603">
        <w:t>Deloitte. (2020). The hospitality experience in a post COVID-19 world. Retrieved from https://www2.deloitte.com/content/dam/Deloitte/ie/Documents/consumer-business/ie-consumer-hospitality-experience-covid19.pdf</w:t>
      </w:r>
    </w:p>
    <w:p w14:paraId="11BA8D33" w14:textId="77777777" w:rsidR="00AB1603" w:rsidRDefault="00AB1603" w:rsidP="00300759">
      <w:pPr>
        <w:pStyle w:val="ListParagraph"/>
        <w:numPr>
          <w:ilvl w:val="0"/>
          <w:numId w:val="1"/>
        </w:numPr>
      </w:pPr>
      <w:r>
        <w:t>Deloitte. (2021). Hospitality and leisure outlook 2021. https://www2.deloitte.com/content/dam/Deloitte/us/Documents/consumer-business/us-cb-hospitality-leisure-outlook-2021.pdf</w:t>
      </w:r>
    </w:p>
    <w:p w14:paraId="3CC792CD" w14:textId="77777777" w:rsidR="00AB1603" w:rsidRDefault="00AB1603" w:rsidP="00300759">
      <w:pPr>
        <w:pStyle w:val="ListParagraph"/>
        <w:numPr>
          <w:ilvl w:val="0"/>
          <w:numId w:val="1"/>
        </w:numPr>
      </w:pPr>
      <w:r>
        <w:t>Euromonitor International. (2021). Top 100 City Destinations 2021. https://go.euromonitor.com/white-paper-100-city-destinations-2021.html</w:t>
      </w:r>
    </w:p>
    <w:p w14:paraId="4F57A1EE" w14:textId="2E560855" w:rsidR="00AB1603" w:rsidRDefault="00AB1603" w:rsidP="00AB1603">
      <w:pPr>
        <w:pStyle w:val="ListParagraph"/>
        <w:numPr>
          <w:ilvl w:val="0"/>
          <w:numId w:val="1"/>
        </w:numPr>
      </w:pPr>
      <w:r>
        <w:t>Forbes. (2021). World's best employers 2021. https://www.forbes.com/worlds-best-employers/#32d1c62e1e3c</w:t>
      </w:r>
    </w:p>
    <w:p w14:paraId="6FEC1108" w14:textId="77777777" w:rsidR="00AB1603" w:rsidRDefault="00AB1603" w:rsidP="00300759">
      <w:pPr>
        <w:pStyle w:val="ListParagraph"/>
        <w:numPr>
          <w:ilvl w:val="0"/>
          <w:numId w:val="1"/>
        </w:numPr>
      </w:pPr>
      <w:r>
        <w:t>Fortune. (2021). World's most admired companies 2021. https://fortune.com/worlds-most-admired-companies/</w:t>
      </w:r>
    </w:p>
    <w:p w14:paraId="4E565D7C" w14:textId="25228033" w:rsidR="00AB1603" w:rsidRDefault="004C144D" w:rsidP="00300759">
      <w:pPr>
        <w:pStyle w:val="ListParagraph"/>
        <w:numPr>
          <w:ilvl w:val="0"/>
          <w:numId w:val="1"/>
        </w:numPr>
      </w:pPr>
      <w:r>
        <w:t>Global Data</w:t>
      </w:r>
      <w:r w:rsidR="00AB1603">
        <w:t>. (2021). Travel and tourism thematic research: COVID-19 - Thematic research. https://store.globaldata.com/report/gdtmtt067--travel-and-tourism-thematic-research-covid-19-thematic-research/</w:t>
      </w:r>
    </w:p>
    <w:p w14:paraId="624D485E" w14:textId="77777777" w:rsidR="00AB1603" w:rsidRDefault="00AB1603" w:rsidP="00300759">
      <w:pPr>
        <w:pStyle w:val="ListParagraph"/>
        <w:numPr>
          <w:ilvl w:val="0"/>
          <w:numId w:val="1"/>
        </w:numPr>
      </w:pPr>
      <w:r>
        <w:t>Hilton. (2022). Corporate responsibility report 2021. https://www.hilton.com/en/corporate/responsibility/</w:t>
      </w:r>
    </w:p>
    <w:p w14:paraId="49DE34AF" w14:textId="77777777" w:rsidR="00AB1603" w:rsidRPr="00AB1603" w:rsidRDefault="00AB1603" w:rsidP="00AB1603">
      <w:pPr>
        <w:pStyle w:val="ListParagraph"/>
        <w:numPr>
          <w:ilvl w:val="0"/>
          <w:numId w:val="1"/>
        </w:numPr>
      </w:pPr>
      <w:r w:rsidRPr="00AB1603">
        <w:t>Hsieh, C. Y., &amp; Lin, B. (2014). Analysis of the relationship between corporate social responsibility and financial performance: Evidence from publicly listed companies in Taiwan. Journal of Business Ethics, 123(2), 197-206.</w:t>
      </w:r>
    </w:p>
    <w:p w14:paraId="1F0697A5" w14:textId="77777777" w:rsidR="00AB1603" w:rsidRPr="00AB1603" w:rsidRDefault="00AB1603" w:rsidP="00AB1603">
      <w:pPr>
        <w:pStyle w:val="ListParagraph"/>
        <w:numPr>
          <w:ilvl w:val="0"/>
          <w:numId w:val="1"/>
        </w:numPr>
      </w:pPr>
      <w:r w:rsidRPr="00AB1603">
        <w:t>Hyatt Hotels Corporation. (2022). Annual Report 2021. Retrieved from https://investors.hyatt.com/static-files/2d21d0e4-1884-4a7d-b4f4-4ddc813f7360</w:t>
      </w:r>
    </w:p>
    <w:p w14:paraId="5AF45933" w14:textId="77777777" w:rsidR="00AB1603" w:rsidRDefault="00AB1603" w:rsidP="00300759">
      <w:pPr>
        <w:pStyle w:val="ListParagraph"/>
        <w:numPr>
          <w:ilvl w:val="0"/>
          <w:numId w:val="1"/>
        </w:numPr>
      </w:pPr>
      <w:r>
        <w:t>Hyatt Hotels Corporation. (2022). Corporate responsibility. https://www.hyatt.com/en-US/info/corporate-responsibility</w:t>
      </w:r>
    </w:p>
    <w:p w14:paraId="6B0EE592" w14:textId="77777777" w:rsidR="00AB1603" w:rsidRDefault="00AB1603" w:rsidP="00300759">
      <w:pPr>
        <w:pStyle w:val="ListParagraph"/>
        <w:numPr>
          <w:ilvl w:val="0"/>
          <w:numId w:val="1"/>
        </w:numPr>
      </w:pPr>
      <w:r>
        <w:t>IHG. (2022). Environment and sustainability. https://www.ihgplc.com/en/responsible-business/environment</w:t>
      </w:r>
    </w:p>
    <w:p w14:paraId="358A0F65" w14:textId="77777777" w:rsidR="00AB1603" w:rsidRDefault="00AB1603" w:rsidP="00300759">
      <w:pPr>
        <w:pStyle w:val="ListParagraph"/>
        <w:numPr>
          <w:ilvl w:val="0"/>
          <w:numId w:val="1"/>
        </w:numPr>
      </w:pPr>
      <w:r>
        <w:lastRenderedPageBreak/>
        <w:t>J.D. Power. (2021). J.D. Power 2021 North America Hotel Guest Satisfaction Index (NAGSI) Study. https://www.jdpower.com/business/press-releases/2021-north-america-hotel-guest-satisfaction-index-nagsi-study</w:t>
      </w:r>
    </w:p>
    <w:p w14:paraId="4285CD94" w14:textId="77777777" w:rsidR="00AB1603" w:rsidRPr="00300759" w:rsidRDefault="00AB1603" w:rsidP="00300759">
      <w:pPr>
        <w:pStyle w:val="ListParagraph"/>
        <w:numPr>
          <w:ilvl w:val="0"/>
          <w:numId w:val="1"/>
        </w:numPr>
      </w:pPr>
      <w:r>
        <w:t>KPMG. (2021). The future of the hotel industry. https://home.kpmg/content/dam/kpmg/xx/pdf/2021/07/the-future-of-the-hotel-industry.pdf</w:t>
      </w:r>
    </w:p>
    <w:p w14:paraId="222C8900" w14:textId="77777777" w:rsidR="00AB1603" w:rsidRDefault="00AB1603" w:rsidP="00AB1603">
      <w:pPr>
        <w:pStyle w:val="ListParagraph"/>
        <w:numPr>
          <w:ilvl w:val="0"/>
          <w:numId w:val="1"/>
        </w:numPr>
      </w:pPr>
      <w:r w:rsidRPr="00AB1603">
        <w:t>Lee, S. M., &amp; Paek, S. (2020). Determinants of customers’ satisfaction and loyalty toward the hotel industry: An empirical study. Sustainability, 12(18), 7377.</w:t>
      </w:r>
    </w:p>
    <w:p w14:paraId="21907D80" w14:textId="77777777" w:rsidR="00AB1603" w:rsidRPr="00AB1603" w:rsidRDefault="00AB1603" w:rsidP="00AB1603">
      <w:pPr>
        <w:pStyle w:val="ListParagraph"/>
        <w:numPr>
          <w:ilvl w:val="0"/>
          <w:numId w:val="1"/>
        </w:numPr>
      </w:pPr>
      <w:r w:rsidRPr="00AB1603">
        <w:t>Margolis, J. D., &amp; Walsh, J. P. (2003). Misery loves companies: Rethinking social initiatives by business. Administrative Science Quarterly, 48(2), 268-305.</w:t>
      </w:r>
    </w:p>
    <w:p w14:paraId="7AA8ED56" w14:textId="77777777" w:rsidR="00AB1603" w:rsidRPr="00AB1603" w:rsidRDefault="00AB1603" w:rsidP="00AB1603">
      <w:pPr>
        <w:pStyle w:val="ListParagraph"/>
        <w:numPr>
          <w:ilvl w:val="0"/>
          <w:numId w:val="1"/>
        </w:numPr>
      </w:pPr>
      <w:r w:rsidRPr="00AB1603">
        <w:t>Marriott International. (2022). Annual Report 2021. Retrieved from https://marriott.gcs-web.com/static-files/b0782a28-7edf-4d8b-a7c3-79b3f9555e2c</w:t>
      </w:r>
    </w:p>
    <w:p w14:paraId="3DA5E392" w14:textId="77777777" w:rsidR="00AB1603" w:rsidRDefault="00AB1603" w:rsidP="00300759">
      <w:pPr>
        <w:pStyle w:val="ListParagraph"/>
        <w:numPr>
          <w:ilvl w:val="0"/>
          <w:numId w:val="1"/>
        </w:numPr>
      </w:pPr>
      <w:r>
        <w:t>Marriott International. (2022). Corporate responsibility. https://www.marriott.com/about/corporate-responsibility.mi</w:t>
      </w:r>
    </w:p>
    <w:p w14:paraId="20181E19" w14:textId="77777777" w:rsidR="00AB1603" w:rsidRPr="00AB1603" w:rsidRDefault="00AB1603" w:rsidP="00AB1603">
      <w:pPr>
        <w:pStyle w:val="ListParagraph"/>
        <w:numPr>
          <w:ilvl w:val="0"/>
          <w:numId w:val="1"/>
        </w:numPr>
      </w:pPr>
      <w:r w:rsidRPr="00AB1603">
        <w:t>PwC. (2021). Hospitality and leisure trends in 2021 and beyond. Retrieved from https://www.pwc.com/gx/en/industries/hospitality-leisure/hospitality-leisure-trends-2021-and-beyond.html</w:t>
      </w:r>
    </w:p>
    <w:p w14:paraId="5847788D" w14:textId="77777777" w:rsidR="00AB1603" w:rsidRDefault="00AB1603" w:rsidP="00300759">
      <w:pPr>
        <w:pStyle w:val="ListParagraph"/>
        <w:numPr>
          <w:ilvl w:val="0"/>
          <w:numId w:val="1"/>
        </w:numPr>
      </w:pPr>
      <w:r>
        <w:t>Skift. (2021). Global hotel industry outlook 2021: Insights from top CEOs. https://skift.com/2021/01/04/global-hotel-industry-outlook-2021-insights-from-top-ceos/</w:t>
      </w:r>
    </w:p>
    <w:p w14:paraId="48E8A066" w14:textId="77777777" w:rsidR="00AB1603" w:rsidRDefault="00AB1603" w:rsidP="00300759">
      <w:pPr>
        <w:pStyle w:val="ListParagraph"/>
        <w:numPr>
          <w:ilvl w:val="0"/>
          <w:numId w:val="1"/>
        </w:numPr>
      </w:pPr>
      <w:r>
        <w:t>Smith Travel Research. (2021). STR 2021 Chain Scales. https://str.com/data-insights-blog/str-2021-chain-scales</w:t>
      </w:r>
    </w:p>
    <w:p w14:paraId="1F5E4777" w14:textId="77777777" w:rsidR="00AB1603" w:rsidRDefault="00AB1603" w:rsidP="00300759">
      <w:pPr>
        <w:pStyle w:val="ListParagraph"/>
        <w:numPr>
          <w:ilvl w:val="0"/>
          <w:numId w:val="1"/>
        </w:numPr>
      </w:pPr>
      <w:r>
        <w:t>Statista. (2022). Revenue of the United States hotel industry from 2001 to 2021. https://www.statista.com/statistics/183633/revenue-of-the-us-hotel-industry-since-2001/</w:t>
      </w:r>
    </w:p>
    <w:p w14:paraId="7EE874F9" w14:textId="77777777" w:rsidR="00AB1603" w:rsidRDefault="00AB1603" w:rsidP="00300759">
      <w:pPr>
        <w:pStyle w:val="ListParagraph"/>
        <w:numPr>
          <w:ilvl w:val="0"/>
          <w:numId w:val="1"/>
        </w:numPr>
      </w:pPr>
      <w:r>
        <w:t>STR. (2022). U.S. hotel industry data &amp; benchmarking. https://str.com/data-insights-blog/us-hotel-data-benchmarking</w:t>
      </w:r>
    </w:p>
    <w:p w14:paraId="36DC5F02" w14:textId="77777777" w:rsidR="00AB1603" w:rsidRPr="00AB1603" w:rsidRDefault="00AB1603" w:rsidP="00AB1603">
      <w:pPr>
        <w:pStyle w:val="ListParagraph"/>
        <w:numPr>
          <w:ilvl w:val="0"/>
          <w:numId w:val="1"/>
        </w:numPr>
      </w:pPr>
      <w:r w:rsidRPr="00AB1603">
        <w:t>Weaver, M., &amp; Lawton, L. (2019). The financial performance of Marriott International and Hyatt Hotels: A comparative analysis. Journal of Hospitality and Tourism Management, 41, 98-105.</w:t>
      </w:r>
    </w:p>
    <w:p w14:paraId="0E389983" w14:textId="143D63C2" w:rsidR="00725509" w:rsidRDefault="00AB1603" w:rsidP="00725509">
      <w:pPr>
        <w:pStyle w:val="ListParagraph"/>
        <w:numPr>
          <w:ilvl w:val="0"/>
          <w:numId w:val="1"/>
        </w:numPr>
      </w:pPr>
      <w:r>
        <w:t xml:space="preserve">World Travel &amp; Tourism Council. (2021). Travel &amp; tourism economic impact 2021 world. </w:t>
      </w:r>
      <w:hyperlink r:id="rId9" w:history="1">
        <w:r w:rsidRPr="00A6490F">
          <w:rPr>
            <w:rStyle w:val="Hyperlink"/>
          </w:rPr>
          <w:t>https://www.wttc.org/Portals/0/Documents/Research/2021/travel-tourism-economic-impact-world-2021.pdf</w:t>
        </w:r>
      </w:hyperlink>
    </w:p>
    <w:p w14:paraId="20BC4B38" w14:textId="38109B87" w:rsidR="00725509" w:rsidRDefault="00725509" w:rsidP="00725509"/>
    <w:sectPr w:rsidR="007255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A089D"/>
    <w:multiLevelType w:val="hybridMultilevel"/>
    <w:tmpl w:val="24CE54A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609308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F79"/>
    <w:rsid w:val="000B7A14"/>
    <w:rsid w:val="000C0F79"/>
    <w:rsid w:val="000D122D"/>
    <w:rsid w:val="001966B5"/>
    <w:rsid w:val="00220DCA"/>
    <w:rsid w:val="002E009B"/>
    <w:rsid w:val="00300759"/>
    <w:rsid w:val="00351727"/>
    <w:rsid w:val="00365610"/>
    <w:rsid w:val="003A25CE"/>
    <w:rsid w:val="003E6916"/>
    <w:rsid w:val="004C144D"/>
    <w:rsid w:val="00550E47"/>
    <w:rsid w:val="00577E4D"/>
    <w:rsid w:val="005F5D2F"/>
    <w:rsid w:val="00652C80"/>
    <w:rsid w:val="00672450"/>
    <w:rsid w:val="006E45EB"/>
    <w:rsid w:val="00706F55"/>
    <w:rsid w:val="00725509"/>
    <w:rsid w:val="007971D8"/>
    <w:rsid w:val="007E3D1C"/>
    <w:rsid w:val="008B419F"/>
    <w:rsid w:val="00A63490"/>
    <w:rsid w:val="00AB1603"/>
    <w:rsid w:val="00B84EBF"/>
    <w:rsid w:val="00BD446A"/>
    <w:rsid w:val="00BE52FB"/>
    <w:rsid w:val="00C86005"/>
    <w:rsid w:val="00CF1F94"/>
    <w:rsid w:val="00CF25F8"/>
    <w:rsid w:val="00D900C1"/>
    <w:rsid w:val="00E172F4"/>
    <w:rsid w:val="00E54EDE"/>
    <w:rsid w:val="00E652C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05850"/>
  <w15:chartTrackingRefBased/>
  <w15:docId w15:val="{51EB5F11-A70B-4620-8DF7-835BFE486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72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51727"/>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577E4D"/>
    <w:pPr>
      <w:keepNext/>
      <w:keepLines/>
      <w:spacing w:before="40" w:after="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727"/>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351727"/>
    <w:pPr>
      <w:outlineLvl w:val="9"/>
    </w:pPr>
    <w:rPr>
      <w:szCs w:val="32"/>
      <w:lang w:bidi="ar-SA"/>
    </w:rPr>
  </w:style>
  <w:style w:type="character" w:customStyle="1" w:styleId="Heading2Char">
    <w:name w:val="Heading 2 Char"/>
    <w:basedOn w:val="DefaultParagraphFont"/>
    <w:link w:val="Heading2"/>
    <w:uiPriority w:val="9"/>
    <w:rsid w:val="00577E4D"/>
    <w:rPr>
      <w:rFonts w:asciiTheme="majorHAnsi" w:eastAsiaTheme="majorEastAsia" w:hAnsiTheme="majorHAnsi" w:cstheme="majorBidi"/>
      <w:color w:val="2F5496" w:themeColor="accent1" w:themeShade="BF"/>
      <w:sz w:val="26"/>
      <w:szCs w:val="33"/>
    </w:rPr>
  </w:style>
  <w:style w:type="paragraph" w:styleId="TOC1">
    <w:name w:val="toc 1"/>
    <w:basedOn w:val="Normal"/>
    <w:next w:val="Normal"/>
    <w:autoRedefine/>
    <w:uiPriority w:val="39"/>
    <w:unhideWhenUsed/>
    <w:rsid w:val="00CF1F94"/>
    <w:pPr>
      <w:spacing w:after="100"/>
    </w:pPr>
  </w:style>
  <w:style w:type="paragraph" w:styleId="TOC2">
    <w:name w:val="toc 2"/>
    <w:basedOn w:val="Normal"/>
    <w:next w:val="Normal"/>
    <w:autoRedefine/>
    <w:uiPriority w:val="39"/>
    <w:unhideWhenUsed/>
    <w:rsid w:val="00CF1F94"/>
    <w:pPr>
      <w:spacing w:after="100"/>
      <w:ind w:left="240"/>
    </w:pPr>
  </w:style>
  <w:style w:type="character" w:styleId="Hyperlink">
    <w:name w:val="Hyperlink"/>
    <w:basedOn w:val="DefaultParagraphFont"/>
    <w:uiPriority w:val="99"/>
    <w:unhideWhenUsed/>
    <w:rsid w:val="00CF1F94"/>
    <w:rPr>
      <w:color w:val="0563C1" w:themeColor="hyperlink"/>
      <w:u w:val="single"/>
    </w:rPr>
  </w:style>
  <w:style w:type="table" w:styleId="GridTable4-Accent1">
    <w:name w:val="Grid Table 4 Accent 1"/>
    <w:basedOn w:val="TableNormal"/>
    <w:uiPriority w:val="49"/>
    <w:rsid w:val="0067245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
    <w:name w:val="Grid Table 1 Light"/>
    <w:basedOn w:val="TableNormal"/>
    <w:uiPriority w:val="46"/>
    <w:rsid w:val="0067245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
    <w:name w:val="Grid Table 4"/>
    <w:basedOn w:val="TableNormal"/>
    <w:uiPriority w:val="49"/>
    <w:rsid w:val="005F5D2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300759"/>
    <w:pPr>
      <w:ind w:left="720"/>
      <w:contextualSpacing/>
    </w:pPr>
  </w:style>
  <w:style w:type="character" w:styleId="UnresolvedMention">
    <w:name w:val="Unresolved Mention"/>
    <w:basedOn w:val="DefaultParagraphFont"/>
    <w:uiPriority w:val="99"/>
    <w:semiHidden/>
    <w:unhideWhenUsed/>
    <w:rsid w:val="00AB16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ttc.org/Portals/0/Documents/Research/2021/travel-tourism-economic-impact-world-2021.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Marriott International</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3"/>
                <c:pt idx="0">
                  <c:v>2019</c:v>
                </c:pt>
                <c:pt idx="1">
                  <c:v>2020</c:v>
                </c:pt>
                <c:pt idx="2">
                  <c:v>2021</c:v>
                </c:pt>
              </c:numCache>
            </c:numRef>
          </c:cat>
          <c:val>
            <c:numRef>
              <c:f>Sheet1!$B$2:$B$5</c:f>
              <c:numCache>
                <c:formatCode>General</c:formatCode>
                <c:ptCount val="3"/>
                <c:pt idx="0">
                  <c:v>20.97</c:v>
                </c:pt>
                <c:pt idx="1">
                  <c:v>10.57</c:v>
                </c:pt>
                <c:pt idx="2">
                  <c:v>10.6</c:v>
                </c:pt>
              </c:numCache>
            </c:numRef>
          </c:val>
          <c:extLst>
            <c:ext xmlns:c16="http://schemas.microsoft.com/office/drawing/2014/chart" uri="{C3380CC4-5D6E-409C-BE32-E72D297353CC}">
              <c16:uniqueId val="{00000000-2145-48A3-8B47-0264DBC9B1C2}"/>
            </c:ext>
          </c:extLst>
        </c:ser>
        <c:ser>
          <c:idx val="1"/>
          <c:order val="1"/>
          <c:tx>
            <c:strRef>
              <c:f>Sheet1!$C$1</c:f>
              <c:strCache>
                <c:ptCount val="1"/>
                <c:pt idx="0">
                  <c:v>Hyatt Hotels</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3"/>
                <c:pt idx="0">
                  <c:v>2019</c:v>
                </c:pt>
                <c:pt idx="1">
                  <c:v>2020</c:v>
                </c:pt>
                <c:pt idx="2">
                  <c:v>2021</c:v>
                </c:pt>
              </c:numCache>
            </c:numRef>
          </c:cat>
          <c:val>
            <c:numRef>
              <c:f>Sheet1!$C$2:$C$5</c:f>
              <c:numCache>
                <c:formatCode>General</c:formatCode>
                <c:ptCount val="3"/>
                <c:pt idx="0">
                  <c:v>5.05</c:v>
                </c:pt>
                <c:pt idx="1">
                  <c:v>1.07</c:v>
                </c:pt>
                <c:pt idx="2">
                  <c:v>2.7</c:v>
                </c:pt>
              </c:numCache>
            </c:numRef>
          </c:val>
          <c:extLst>
            <c:ext xmlns:c16="http://schemas.microsoft.com/office/drawing/2014/chart" uri="{C3380CC4-5D6E-409C-BE32-E72D297353CC}">
              <c16:uniqueId val="{00000001-2145-48A3-8B47-0264DBC9B1C2}"/>
            </c:ext>
          </c:extLst>
        </c:ser>
        <c:dLbls>
          <c:dLblPos val="outEnd"/>
          <c:showLegendKey val="0"/>
          <c:showVal val="1"/>
          <c:showCatName val="0"/>
          <c:showSerName val="0"/>
          <c:showPercent val="0"/>
          <c:showBubbleSize val="0"/>
        </c:dLbls>
        <c:gapWidth val="444"/>
        <c:overlap val="-90"/>
        <c:axId val="736247423"/>
        <c:axId val="736247839"/>
      </c:barChart>
      <c:catAx>
        <c:axId val="7362474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36247839"/>
        <c:crosses val="autoZero"/>
        <c:auto val="1"/>
        <c:lblAlgn val="ctr"/>
        <c:lblOffset val="100"/>
        <c:noMultiLvlLbl val="0"/>
      </c:catAx>
      <c:valAx>
        <c:axId val="736247839"/>
        <c:scaling>
          <c:orientation val="minMax"/>
        </c:scaling>
        <c:delete val="1"/>
        <c:axPos val="l"/>
        <c:numFmt formatCode="General" sourceLinked="1"/>
        <c:majorTickMark val="none"/>
        <c:minorTickMark val="none"/>
        <c:tickLblPos val="nextTo"/>
        <c:crossAx val="73624742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7F56792-280B-42CC-AC35-29F850D9D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3079</Words>
  <Characters>17552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Shabna Hussain (2123212)</cp:lastModifiedBy>
  <cp:revision>2</cp:revision>
  <dcterms:created xsi:type="dcterms:W3CDTF">2023-05-19T21:36:00Z</dcterms:created>
  <dcterms:modified xsi:type="dcterms:W3CDTF">2023-05-19T21:36:00Z</dcterms:modified>
</cp:coreProperties>
</file>