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olor w:val="156082" w:themeColor="accent1"/>
          <w:kern w:val="2"/>
          <w:szCs w:val="24"/>
          <w:lang w:eastAsia="zh-TW"/>
          <w14:ligatures w14:val="standardContextual"/>
        </w:rPr>
        <w:id w:val="257108646"/>
        <w:docPartObj>
          <w:docPartGallery w:val="Cover Pages"/>
          <w:docPartUnique/>
        </w:docPartObj>
      </w:sdtPr>
      <w:sdtEndPr>
        <w:rPr>
          <w:rFonts w:cs="Times New Roman"/>
          <w:b/>
          <w:color w:val="auto"/>
        </w:rPr>
      </w:sdtEndPr>
      <w:sdtContent>
        <w:p w14:paraId="59D16B7A" w14:textId="32D7C2C6" w:rsidR="00AC63EA" w:rsidRDefault="00AC63EA" w:rsidP="00360877">
          <w:pPr>
            <w:pStyle w:val="NoSpacing"/>
            <w:spacing w:before="1540" w:after="240"/>
            <w:rPr>
              <w:color w:val="156082" w:themeColor="accent1"/>
            </w:rPr>
          </w:pPr>
          <w:r w:rsidRPr="00915260">
            <w:rPr>
              <w:rFonts w:eastAsia="Times New Roman" w:cs="Times New Roman"/>
              <w:b/>
              <w:noProof/>
            </w:rPr>
            <w:drawing>
              <wp:inline distT="0" distB="0" distL="0" distR="0" wp14:anchorId="59253073" wp14:editId="02C08BEA">
                <wp:extent cx="2218690" cy="882650"/>
                <wp:effectExtent l="0" t="0" r="0" b="0"/>
                <wp:docPr id="1965238216" name="image1.png" descr="一張含有 文字 的圖片&#10;&#10;自動產生的描述"/>
                <wp:cNvGraphicFramePr/>
                <a:graphic xmlns:a="http://schemas.openxmlformats.org/drawingml/2006/main">
                  <a:graphicData uri="http://schemas.openxmlformats.org/drawingml/2006/picture">
                    <pic:pic xmlns:pic="http://schemas.openxmlformats.org/drawingml/2006/picture">
                      <pic:nvPicPr>
                        <pic:cNvPr id="0" name="image1.png" descr="一張含有 文字 的圖片&#10;&#10;自動產生的描述"/>
                        <pic:cNvPicPr preferRelativeResize="0"/>
                      </pic:nvPicPr>
                      <pic:blipFill>
                        <a:blip r:embed="rId11"/>
                        <a:srcRect/>
                        <a:stretch>
                          <a:fillRect/>
                        </a:stretch>
                      </pic:blipFill>
                      <pic:spPr>
                        <a:xfrm>
                          <a:off x="0" y="0"/>
                          <a:ext cx="2218690" cy="882650"/>
                        </a:xfrm>
                        <a:prstGeom prst="rect">
                          <a:avLst/>
                        </a:prstGeom>
                        <a:ln/>
                      </pic:spPr>
                    </pic:pic>
                  </a:graphicData>
                </a:graphic>
              </wp:inline>
            </w:drawing>
          </w:r>
        </w:p>
        <w:p w14:paraId="4AFFBC0C" w14:textId="6E813B93" w:rsidR="001205A4" w:rsidRPr="001205A4" w:rsidRDefault="001205A4" w:rsidP="001205A4">
          <w:pPr>
            <w:pStyle w:val="Heading"/>
            <w:numPr>
              <w:ilvl w:val="0"/>
              <w:numId w:val="10"/>
            </w:numPr>
            <w:ind w:left="720"/>
            <w:rPr>
              <w:rFonts w:cs="Times New Roman"/>
              <w:color w:val="FFFFFF" w:themeColor="background1"/>
              <w:sz w:val="22"/>
              <w:szCs w:val="22"/>
            </w:rPr>
          </w:pPr>
          <w:bookmarkStart w:id="0" w:name="_Toc213748887"/>
          <w:r w:rsidRPr="001205A4">
            <w:rPr>
              <w:rFonts w:cs="Times New Roman"/>
              <w:color w:val="FFFFFF" w:themeColor="background1"/>
              <w:sz w:val="22"/>
              <w:szCs w:val="22"/>
            </w:rPr>
            <w:t>COVER PAGE</w:t>
          </w:r>
          <w:bookmarkEnd w:id="0"/>
        </w:p>
        <w:p w14:paraId="1CC40C6F" w14:textId="77777777" w:rsidR="00360877" w:rsidRPr="001205A4" w:rsidRDefault="00360877" w:rsidP="00AC63EA">
          <w:pPr>
            <w:rPr>
              <w:rFonts w:cs="Times New Roman"/>
              <w:b/>
              <w:sz w:val="28"/>
              <w:szCs w:val="28"/>
            </w:rPr>
          </w:pPr>
        </w:p>
        <w:p w14:paraId="1A393C7C" w14:textId="72BB76A8" w:rsidR="00AC63EA" w:rsidRPr="00360877" w:rsidRDefault="00AC63EA" w:rsidP="00AC63EA">
          <w:pPr>
            <w:rPr>
              <w:rFonts w:cs="Times New Roman"/>
              <w:b/>
              <w:sz w:val="28"/>
              <w:szCs w:val="28"/>
            </w:rPr>
          </w:pPr>
          <w:r w:rsidRPr="00360877">
            <w:rPr>
              <w:rFonts w:cs="Times New Roman"/>
              <w:b/>
              <w:sz w:val="28"/>
              <w:szCs w:val="28"/>
            </w:rPr>
            <w:t>UWTSD MBA Dissertation</w:t>
          </w:r>
        </w:p>
        <w:p w14:paraId="6BB9A5DC" w14:textId="77777777" w:rsidR="00AC63EA" w:rsidRDefault="00AC63EA" w:rsidP="00AC63EA">
          <w:pPr>
            <w:rPr>
              <w:rFonts w:cs="Times New Roman"/>
              <w:b/>
              <w:sz w:val="28"/>
              <w:szCs w:val="28"/>
            </w:rPr>
          </w:pPr>
        </w:p>
        <w:p w14:paraId="4E6810F0" w14:textId="700C2973" w:rsidR="00AC63EA" w:rsidRPr="00FC7DC8" w:rsidRDefault="001700D6" w:rsidP="00360877">
          <w:pPr>
            <w:spacing w:line="480" w:lineRule="auto"/>
            <w:rPr>
              <w:rFonts w:cs="Times New Roman"/>
              <w:b/>
              <w:sz w:val="40"/>
              <w:szCs w:val="40"/>
            </w:rPr>
          </w:pPr>
          <w:r w:rsidRPr="00FC7DC8">
            <w:rPr>
              <w:rFonts w:cs="Times New Roman"/>
              <w:b/>
              <w:sz w:val="40"/>
              <w:szCs w:val="40"/>
            </w:rPr>
            <w:t xml:space="preserve">Factors </w:t>
          </w:r>
          <w:r w:rsidR="00FC7DC8" w:rsidRPr="00FC7DC8">
            <w:rPr>
              <w:rFonts w:cs="Times New Roman"/>
              <w:b/>
              <w:sz w:val="40"/>
              <w:szCs w:val="40"/>
            </w:rPr>
            <w:t>I</w:t>
          </w:r>
          <w:r w:rsidRPr="00FC7DC8">
            <w:rPr>
              <w:rFonts w:cs="Times New Roman"/>
              <w:b/>
              <w:sz w:val="40"/>
              <w:szCs w:val="40"/>
            </w:rPr>
            <w:t xml:space="preserve">nfluence </w:t>
          </w:r>
          <w:r w:rsidR="00FC7DC8" w:rsidRPr="00FC7DC8">
            <w:rPr>
              <w:rFonts w:cs="Times New Roman"/>
              <w:b/>
              <w:sz w:val="40"/>
              <w:szCs w:val="40"/>
            </w:rPr>
            <w:t>C</w:t>
          </w:r>
          <w:r w:rsidRPr="00FC7DC8">
            <w:rPr>
              <w:rFonts w:cs="Times New Roman"/>
              <w:b/>
              <w:sz w:val="40"/>
              <w:szCs w:val="40"/>
            </w:rPr>
            <w:t xml:space="preserve">onsumer </w:t>
          </w:r>
          <w:r w:rsidR="00FC7DC8" w:rsidRPr="00FC7DC8">
            <w:rPr>
              <w:rFonts w:cs="Times New Roman"/>
              <w:b/>
              <w:sz w:val="40"/>
              <w:szCs w:val="40"/>
            </w:rPr>
            <w:t>P</w:t>
          </w:r>
          <w:r w:rsidRPr="00FC7DC8">
            <w:rPr>
              <w:rFonts w:cs="Times New Roman"/>
              <w:b/>
              <w:sz w:val="40"/>
              <w:szCs w:val="40"/>
            </w:rPr>
            <w:t xml:space="preserve">urchase </w:t>
          </w:r>
          <w:r w:rsidR="00FC7DC8" w:rsidRPr="00FC7DC8">
            <w:rPr>
              <w:rFonts w:cs="Times New Roman"/>
              <w:b/>
              <w:sz w:val="40"/>
              <w:szCs w:val="40"/>
            </w:rPr>
            <w:t>I</w:t>
          </w:r>
          <w:r w:rsidRPr="00FC7DC8">
            <w:rPr>
              <w:rFonts w:cs="Times New Roman"/>
              <w:b/>
              <w:sz w:val="40"/>
              <w:szCs w:val="40"/>
            </w:rPr>
            <w:t xml:space="preserve">ntention for Nescafe </w:t>
          </w:r>
          <w:r w:rsidR="00FC7DC8" w:rsidRPr="00FC7DC8">
            <w:rPr>
              <w:rFonts w:cs="Times New Roman"/>
              <w:b/>
              <w:sz w:val="40"/>
              <w:szCs w:val="40"/>
            </w:rPr>
            <w:t>I</w:t>
          </w:r>
          <w:r w:rsidRPr="00FC7DC8">
            <w:rPr>
              <w:rFonts w:cs="Times New Roman"/>
              <w:b/>
              <w:sz w:val="40"/>
              <w:szCs w:val="40"/>
            </w:rPr>
            <w:t xml:space="preserve">nstant </w:t>
          </w:r>
          <w:r w:rsidR="00FC7DC8" w:rsidRPr="00FC7DC8">
            <w:rPr>
              <w:rFonts w:cs="Times New Roman"/>
              <w:b/>
              <w:sz w:val="40"/>
              <w:szCs w:val="40"/>
            </w:rPr>
            <w:t>C</w:t>
          </w:r>
          <w:r w:rsidRPr="00FC7DC8">
            <w:rPr>
              <w:rFonts w:cs="Times New Roman"/>
              <w:b/>
              <w:sz w:val="40"/>
              <w:szCs w:val="40"/>
            </w:rPr>
            <w:t>offee in Hong Kong</w:t>
          </w:r>
        </w:p>
        <w:p w14:paraId="0F349121" w14:textId="77777777" w:rsidR="00AC63EA" w:rsidRDefault="00AC63EA" w:rsidP="00AC63EA">
          <w:pPr>
            <w:rPr>
              <w:rFonts w:cs="Times New Roman"/>
              <w:b/>
              <w:sz w:val="28"/>
              <w:szCs w:val="28"/>
            </w:rPr>
          </w:pPr>
        </w:p>
        <w:p w14:paraId="2C1E8C4C" w14:textId="77777777" w:rsidR="00AC63EA" w:rsidRDefault="00AC63EA" w:rsidP="00AC63EA">
          <w:pPr>
            <w:rPr>
              <w:rFonts w:cs="Times New Roman"/>
              <w:b/>
              <w:sz w:val="28"/>
              <w:szCs w:val="28"/>
            </w:rPr>
          </w:pPr>
        </w:p>
        <w:p w14:paraId="3A0A74D2" w14:textId="77777777" w:rsidR="00AC63EA" w:rsidRDefault="00AC63EA" w:rsidP="00AC63EA">
          <w:pPr>
            <w:rPr>
              <w:rFonts w:cs="Times New Roman"/>
              <w:b/>
              <w:sz w:val="28"/>
              <w:szCs w:val="28"/>
            </w:rPr>
          </w:pPr>
        </w:p>
        <w:p w14:paraId="581FBB7F" w14:textId="77777777" w:rsidR="00AC63EA" w:rsidRDefault="00AC63EA" w:rsidP="00AC63EA">
          <w:pPr>
            <w:rPr>
              <w:rFonts w:cs="Times New Roman"/>
              <w:b/>
              <w:sz w:val="28"/>
              <w:szCs w:val="28"/>
            </w:rPr>
          </w:pPr>
        </w:p>
        <w:p w14:paraId="51284EEE" w14:textId="77777777" w:rsidR="00AC63EA" w:rsidRDefault="00AC63EA" w:rsidP="00AC63EA">
          <w:pPr>
            <w:rPr>
              <w:rFonts w:cs="Times New Roman"/>
              <w:b/>
              <w:sz w:val="28"/>
              <w:szCs w:val="28"/>
            </w:rPr>
          </w:pPr>
        </w:p>
        <w:tbl>
          <w:tblPr>
            <w:tblW w:w="8610" w:type="dxa"/>
            <w:tblInd w:w="-115" w:type="dxa"/>
            <w:tblLayout w:type="fixed"/>
            <w:tblLook w:val="0400" w:firstRow="0" w:lastRow="0" w:firstColumn="0" w:lastColumn="0" w:noHBand="0" w:noVBand="1"/>
          </w:tblPr>
          <w:tblGrid>
            <w:gridCol w:w="2942"/>
            <w:gridCol w:w="284"/>
            <w:gridCol w:w="5384"/>
          </w:tblGrid>
          <w:tr w:rsidR="00AC63EA" w:rsidRPr="00915260" w14:paraId="1FA63C10" w14:textId="77777777" w:rsidTr="00734053">
            <w:tc>
              <w:tcPr>
                <w:tcW w:w="2942" w:type="dxa"/>
              </w:tcPr>
              <w:p w14:paraId="1268DD43" w14:textId="77777777" w:rsidR="00AC63EA" w:rsidRPr="00915260" w:rsidRDefault="00AC63EA" w:rsidP="00734053">
                <w:pPr>
                  <w:tabs>
                    <w:tab w:val="left" w:pos="4606"/>
                  </w:tabs>
                  <w:spacing w:line="360" w:lineRule="auto"/>
                  <w:jc w:val="both"/>
                  <w:rPr>
                    <w:rFonts w:eastAsia="Times New Roman" w:cs="Times New Roman"/>
                    <w:b/>
                    <w:szCs w:val="22"/>
                  </w:rPr>
                </w:pPr>
                <w:r w:rsidRPr="00915260">
                  <w:rPr>
                    <w:rFonts w:eastAsia="Times New Roman" w:cs="Times New Roman"/>
                    <w:b/>
                    <w:szCs w:val="22"/>
                  </w:rPr>
                  <w:t>Student Name</w:t>
                </w:r>
              </w:p>
            </w:tc>
            <w:tc>
              <w:tcPr>
                <w:tcW w:w="284" w:type="dxa"/>
              </w:tcPr>
              <w:p w14:paraId="5BFD1892" w14:textId="77777777" w:rsidR="00AC63EA" w:rsidRPr="00915260" w:rsidRDefault="00AC63EA" w:rsidP="00734053">
                <w:pPr>
                  <w:tabs>
                    <w:tab w:val="left" w:pos="4606"/>
                  </w:tabs>
                  <w:spacing w:line="360" w:lineRule="auto"/>
                  <w:jc w:val="both"/>
                  <w:rPr>
                    <w:rFonts w:eastAsia="Times New Roman" w:cs="Times New Roman"/>
                    <w:b/>
                    <w:szCs w:val="22"/>
                  </w:rPr>
                </w:pPr>
                <w:r w:rsidRPr="00915260">
                  <w:rPr>
                    <w:rFonts w:eastAsia="PMingLiU" w:cs="Times New Roman"/>
                    <w:b/>
                    <w:szCs w:val="22"/>
                  </w:rPr>
                  <w:t>：</w:t>
                </w:r>
              </w:p>
            </w:tc>
            <w:tc>
              <w:tcPr>
                <w:tcW w:w="5384" w:type="dxa"/>
              </w:tcPr>
              <w:p w14:paraId="17A492F3" w14:textId="77777777" w:rsidR="00AC63EA" w:rsidRPr="00915260" w:rsidRDefault="00AC63EA" w:rsidP="00734053">
                <w:pPr>
                  <w:tabs>
                    <w:tab w:val="left" w:pos="4606"/>
                  </w:tabs>
                  <w:spacing w:line="360" w:lineRule="auto"/>
                  <w:jc w:val="both"/>
                  <w:rPr>
                    <w:rFonts w:eastAsia="Times New Roman" w:cs="Times New Roman"/>
                    <w:b/>
                    <w:bCs/>
                    <w:szCs w:val="22"/>
                  </w:rPr>
                </w:pPr>
                <w:r w:rsidRPr="00915260">
                  <w:rPr>
                    <w:rFonts w:eastAsia="Times New Roman" w:cs="Times New Roman"/>
                    <w:b/>
                    <w:bCs/>
                    <w:szCs w:val="22"/>
                  </w:rPr>
                  <w:t>LEUNG WING CHONG FION</w:t>
                </w:r>
              </w:p>
            </w:tc>
          </w:tr>
          <w:tr w:rsidR="00AC63EA" w:rsidRPr="00915260" w14:paraId="45DD6743" w14:textId="77777777" w:rsidTr="00734053">
            <w:tc>
              <w:tcPr>
                <w:tcW w:w="2942" w:type="dxa"/>
              </w:tcPr>
              <w:p w14:paraId="475AE5BD" w14:textId="77777777" w:rsidR="00AC63EA" w:rsidRPr="00915260" w:rsidRDefault="00AC63EA" w:rsidP="00734053">
                <w:pPr>
                  <w:tabs>
                    <w:tab w:val="left" w:pos="4606"/>
                  </w:tabs>
                  <w:spacing w:line="360" w:lineRule="auto"/>
                  <w:jc w:val="both"/>
                  <w:rPr>
                    <w:rFonts w:eastAsia="Times New Roman" w:cs="Times New Roman"/>
                    <w:b/>
                    <w:szCs w:val="22"/>
                  </w:rPr>
                </w:pPr>
                <w:r w:rsidRPr="00915260">
                  <w:rPr>
                    <w:rFonts w:eastAsia="Times New Roman" w:cs="Times New Roman"/>
                    <w:b/>
                    <w:szCs w:val="22"/>
                  </w:rPr>
                  <w:t>Student ID Number</w:t>
                </w:r>
              </w:p>
            </w:tc>
            <w:tc>
              <w:tcPr>
                <w:tcW w:w="284" w:type="dxa"/>
              </w:tcPr>
              <w:p w14:paraId="052C58C8" w14:textId="77777777" w:rsidR="00AC63EA" w:rsidRPr="00915260" w:rsidRDefault="00AC63EA" w:rsidP="00734053">
                <w:pPr>
                  <w:tabs>
                    <w:tab w:val="left" w:pos="4606"/>
                  </w:tabs>
                  <w:spacing w:line="360" w:lineRule="auto"/>
                  <w:jc w:val="both"/>
                  <w:rPr>
                    <w:rFonts w:eastAsia="Times New Roman" w:cs="Times New Roman"/>
                    <w:b/>
                    <w:szCs w:val="22"/>
                  </w:rPr>
                </w:pPr>
                <w:r w:rsidRPr="00915260">
                  <w:rPr>
                    <w:rFonts w:eastAsia="PMingLiU" w:cs="Times New Roman"/>
                    <w:b/>
                    <w:szCs w:val="22"/>
                  </w:rPr>
                  <w:t>：</w:t>
                </w:r>
              </w:p>
            </w:tc>
            <w:tc>
              <w:tcPr>
                <w:tcW w:w="5384" w:type="dxa"/>
              </w:tcPr>
              <w:p w14:paraId="1156B153" w14:textId="77777777" w:rsidR="00AC63EA" w:rsidRPr="00915260" w:rsidRDefault="00AC63EA" w:rsidP="00734053">
                <w:pPr>
                  <w:tabs>
                    <w:tab w:val="left" w:pos="4606"/>
                  </w:tabs>
                  <w:spacing w:line="360" w:lineRule="auto"/>
                  <w:jc w:val="both"/>
                  <w:rPr>
                    <w:rFonts w:cs="Times New Roman"/>
                    <w:b/>
                    <w:bCs/>
                    <w:szCs w:val="22"/>
                  </w:rPr>
                </w:pPr>
                <w:r w:rsidRPr="00915260">
                  <w:rPr>
                    <w:rFonts w:eastAsia="Times New Roman" w:cs="Times New Roman"/>
                    <w:b/>
                    <w:bCs/>
                    <w:szCs w:val="22"/>
                  </w:rPr>
                  <w:t>2337375</w:t>
                </w:r>
              </w:p>
            </w:tc>
          </w:tr>
          <w:tr w:rsidR="00AC63EA" w:rsidRPr="00915260" w14:paraId="0284E005" w14:textId="77777777" w:rsidTr="00734053">
            <w:tc>
              <w:tcPr>
                <w:tcW w:w="2942" w:type="dxa"/>
              </w:tcPr>
              <w:p w14:paraId="59CF5253" w14:textId="77777777" w:rsidR="00AC63EA" w:rsidRPr="00915260" w:rsidRDefault="00AC63EA" w:rsidP="00734053">
                <w:pPr>
                  <w:tabs>
                    <w:tab w:val="left" w:pos="4606"/>
                  </w:tabs>
                  <w:spacing w:line="360" w:lineRule="auto"/>
                  <w:jc w:val="both"/>
                  <w:rPr>
                    <w:rFonts w:eastAsia="Times New Roman" w:cs="Times New Roman"/>
                    <w:b/>
                    <w:szCs w:val="22"/>
                  </w:rPr>
                </w:pPr>
                <w:r w:rsidRPr="00915260">
                  <w:rPr>
                    <w:rFonts w:eastAsia="Times New Roman" w:cs="Times New Roman"/>
                    <w:b/>
                    <w:szCs w:val="22"/>
                  </w:rPr>
                  <w:t>Date of Submission</w:t>
                </w:r>
              </w:p>
            </w:tc>
            <w:tc>
              <w:tcPr>
                <w:tcW w:w="284" w:type="dxa"/>
              </w:tcPr>
              <w:p w14:paraId="019623F5" w14:textId="77777777" w:rsidR="00AC63EA" w:rsidRPr="00915260" w:rsidRDefault="00AC63EA" w:rsidP="00734053">
                <w:pPr>
                  <w:tabs>
                    <w:tab w:val="left" w:pos="4606"/>
                  </w:tabs>
                  <w:spacing w:line="360" w:lineRule="auto"/>
                  <w:jc w:val="both"/>
                  <w:rPr>
                    <w:rFonts w:eastAsia="Times New Roman" w:cs="Times New Roman"/>
                    <w:b/>
                    <w:szCs w:val="22"/>
                  </w:rPr>
                </w:pPr>
                <w:r w:rsidRPr="00915260">
                  <w:rPr>
                    <w:rFonts w:eastAsia="PMingLiU" w:cs="Times New Roman"/>
                    <w:b/>
                    <w:szCs w:val="22"/>
                  </w:rPr>
                  <w:t>：</w:t>
                </w:r>
              </w:p>
            </w:tc>
            <w:tc>
              <w:tcPr>
                <w:tcW w:w="5384" w:type="dxa"/>
              </w:tcPr>
              <w:p w14:paraId="77EE0D65" w14:textId="77777777" w:rsidR="00AC63EA" w:rsidRPr="00915260" w:rsidRDefault="00AC63EA" w:rsidP="00734053">
                <w:pPr>
                  <w:tabs>
                    <w:tab w:val="left" w:pos="4606"/>
                  </w:tabs>
                  <w:spacing w:line="360" w:lineRule="auto"/>
                  <w:jc w:val="both"/>
                  <w:rPr>
                    <w:rFonts w:eastAsia="Times New Roman" w:cs="Times New Roman"/>
                    <w:b/>
                    <w:bCs/>
                    <w:szCs w:val="22"/>
                  </w:rPr>
                </w:pPr>
                <w:r w:rsidRPr="00915260">
                  <w:rPr>
                    <w:rFonts w:cs="Times New Roman"/>
                    <w:b/>
                    <w:bCs/>
                    <w:szCs w:val="22"/>
                  </w:rPr>
                  <w:t>17 Nov 2025</w:t>
                </w:r>
              </w:p>
            </w:tc>
          </w:tr>
          <w:tr w:rsidR="00AC63EA" w:rsidRPr="00915260" w14:paraId="764DF478" w14:textId="77777777" w:rsidTr="00734053">
            <w:tc>
              <w:tcPr>
                <w:tcW w:w="2942" w:type="dxa"/>
              </w:tcPr>
              <w:p w14:paraId="3E92D64A" w14:textId="77777777" w:rsidR="00AC63EA" w:rsidRPr="00915260" w:rsidRDefault="00AC63EA" w:rsidP="00734053">
                <w:pPr>
                  <w:tabs>
                    <w:tab w:val="left" w:pos="4606"/>
                  </w:tabs>
                  <w:spacing w:line="360" w:lineRule="auto"/>
                  <w:jc w:val="both"/>
                  <w:rPr>
                    <w:rFonts w:cs="Times New Roman"/>
                    <w:b/>
                    <w:szCs w:val="22"/>
                  </w:rPr>
                </w:pPr>
                <w:r w:rsidRPr="00915260">
                  <w:rPr>
                    <w:rFonts w:cs="Times New Roman"/>
                    <w:b/>
                    <w:szCs w:val="22"/>
                  </w:rPr>
                  <w:t>Supervisor</w:t>
                </w:r>
              </w:p>
            </w:tc>
            <w:tc>
              <w:tcPr>
                <w:tcW w:w="284" w:type="dxa"/>
              </w:tcPr>
              <w:p w14:paraId="2233B0C0" w14:textId="77777777" w:rsidR="00AC63EA" w:rsidRPr="00915260" w:rsidRDefault="00AC63EA" w:rsidP="00734053">
                <w:pPr>
                  <w:tabs>
                    <w:tab w:val="left" w:pos="4606"/>
                  </w:tabs>
                  <w:spacing w:line="360" w:lineRule="auto"/>
                  <w:jc w:val="both"/>
                  <w:rPr>
                    <w:rFonts w:eastAsia="Times New Roman" w:cs="Times New Roman"/>
                    <w:b/>
                    <w:szCs w:val="22"/>
                  </w:rPr>
                </w:pPr>
                <w:r w:rsidRPr="00915260">
                  <w:rPr>
                    <w:rFonts w:eastAsia="PMingLiU" w:cs="Times New Roman"/>
                    <w:b/>
                    <w:szCs w:val="22"/>
                  </w:rPr>
                  <w:t>：</w:t>
                </w:r>
              </w:p>
            </w:tc>
            <w:tc>
              <w:tcPr>
                <w:tcW w:w="5384" w:type="dxa"/>
              </w:tcPr>
              <w:p w14:paraId="34107464" w14:textId="77777777" w:rsidR="00AC63EA" w:rsidRPr="00915260" w:rsidRDefault="00AC63EA" w:rsidP="00734053">
                <w:pPr>
                  <w:tabs>
                    <w:tab w:val="left" w:pos="4606"/>
                  </w:tabs>
                  <w:spacing w:line="360" w:lineRule="auto"/>
                  <w:jc w:val="both"/>
                  <w:rPr>
                    <w:rFonts w:cs="Times New Roman"/>
                    <w:b/>
                    <w:bCs/>
                    <w:szCs w:val="22"/>
                  </w:rPr>
                </w:pPr>
                <w:r w:rsidRPr="00915260">
                  <w:rPr>
                    <w:rFonts w:cs="Times New Roman"/>
                    <w:b/>
                    <w:bCs/>
                    <w:szCs w:val="22"/>
                  </w:rPr>
                  <w:t>Dr. Arion Wong</w:t>
                </w:r>
              </w:p>
            </w:tc>
          </w:tr>
        </w:tbl>
        <w:p w14:paraId="2656CA2F" w14:textId="2AC13559" w:rsidR="00AC63EA" w:rsidRDefault="00AC63EA" w:rsidP="00AC63EA">
          <w:pPr>
            <w:rPr>
              <w:rFonts w:cs="Times New Roman"/>
              <w:b/>
              <w:szCs w:val="22"/>
            </w:rPr>
          </w:pPr>
          <w:r>
            <w:rPr>
              <w:rFonts w:cs="Times New Roman"/>
              <w:b/>
              <w:szCs w:val="22"/>
            </w:rPr>
            <w:br w:type="page"/>
          </w:r>
        </w:p>
      </w:sdtContent>
    </w:sdt>
    <w:p w14:paraId="6015BC7C" w14:textId="77777777" w:rsidR="00A40784" w:rsidRPr="007F198D" w:rsidRDefault="00A40784" w:rsidP="00A40784">
      <w:pPr>
        <w:pStyle w:val="Heading"/>
        <w:numPr>
          <w:ilvl w:val="0"/>
          <w:numId w:val="10"/>
        </w:numPr>
        <w:ind w:left="720"/>
        <w:rPr>
          <w:rFonts w:cs="Times New Roman"/>
          <w:szCs w:val="28"/>
        </w:rPr>
      </w:pPr>
      <w:bookmarkStart w:id="1" w:name="_Toc209184640"/>
      <w:bookmarkStart w:id="2" w:name="_Toc213748888"/>
      <w:r w:rsidRPr="007F198D">
        <w:rPr>
          <w:rFonts w:cs="Times New Roman"/>
          <w:szCs w:val="28"/>
        </w:rPr>
        <w:lastRenderedPageBreak/>
        <w:t>ABSTRACT</w:t>
      </w:r>
      <w:bookmarkEnd w:id="2"/>
    </w:p>
    <w:p w14:paraId="3CECCB5F" w14:textId="77777777" w:rsidR="00A40784" w:rsidRPr="00915260" w:rsidRDefault="00A40784" w:rsidP="00A40784">
      <w:pPr>
        <w:rPr>
          <w:rFonts w:cs="Times New Roman"/>
          <w:szCs w:val="22"/>
        </w:rPr>
      </w:pPr>
    </w:p>
    <w:p w14:paraId="3A94CDC0" w14:textId="2A8C886B" w:rsidR="003C1D94" w:rsidRPr="003C1D94" w:rsidRDefault="003C1D94" w:rsidP="003C1D94">
      <w:pPr>
        <w:spacing w:line="360" w:lineRule="auto"/>
        <w:jc w:val="both"/>
        <w:rPr>
          <w:rFonts w:cs="Times New Roman"/>
          <w:szCs w:val="22"/>
        </w:rPr>
      </w:pPr>
      <w:r w:rsidRPr="003C1D94">
        <w:rPr>
          <w:rFonts w:cs="Times New Roman"/>
          <w:szCs w:val="22"/>
        </w:rPr>
        <w:t xml:space="preserve">This dissertation investigates the key determinants influencing consumer purchase intentions toward Nescafé instant coffee in Hong Kong, focusing on social media marketing activities, environmental </w:t>
      </w:r>
      <w:r w:rsidR="00ED409C">
        <w:rPr>
          <w:rFonts w:cs="Times New Roman"/>
          <w:szCs w:val="22"/>
        </w:rPr>
        <w:t>conscious</w:t>
      </w:r>
      <w:r w:rsidRPr="003C1D94">
        <w:rPr>
          <w:rFonts w:cs="Times New Roman"/>
          <w:szCs w:val="22"/>
        </w:rPr>
        <w:t>, sustainability practices, and brand trust. Motivated by a gap in local scholarship and the evolving dynamics of Hong Kong's coffee market</w:t>
      </w:r>
      <w:r>
        <w:rPr>
          <w:rFonts w:cs="Times New Roman" w:hint="eastAsia"/>
          <w:szCs w:val="22"/>
        </w:rPr>
        <w:t xml:space="preserve">, </w:t>
      </w:r>
      <w:r w:rsidRPr="003C1D94">
        <w:rPr>
          <w:rFonts w:cs="Times New Roman"/>
          <w:szCs w:val="22"/>
        </w:rPr>
        <w:t>characterized by digital engagement and heightened sustainability awareness</w:t>
      </w:r>
      <w:r>
        <w:rPr>
          <w:rFonts w:cs="Times New Roman" w:hint="eastAsia"/>
          <w:szCs w:val="22"/>
        </w:rPr>
        <w:t xml:space="preserve">, </w:t>
      </w:r>
      <w:r w:rsidRPr="003C1D94">
        <w:rPr>
          <w:rFonts w:cs="Times New Roman"/>
          <w:szCs w:val="22"/>
        </w:rPr>
        <w:t>the research aims to clarify how these factors interrelate and impact consumer choice. Adopting a mixed-methods approach, the study integrates qualitative data from focus group interviews and quantitative data from structured online questionnaires completed by 238 Hong Kong residents. This methodological triangulation enhances the robustness and validity of the findings.</w:t>
      </w:r>
    </w:p>
    <w:p w14:paraId="747D255A" w14:textId="73B7ADD6" w:rsidR="003C1D94" w:rsidRPr="003C1D94" w:rsidRDefault="003C1D94" w:rsidP="003C1D94">
      <w:pPr>
        <w:spacing w:line="360" w:lineRule="auto"/>
        <w:jc w:val="both"/>
        <w:rPr>
          <w:rFonts w:cs="Times New Roman"/>
          <w:szCs w:val="22"/>
        </w:rPr>
      </w:pPr>
      <w:r w:rsidRPr="003C1D94">
        <w:rPr>
          <w:rFonts w:cs="Times New Roman"/>
          <w:szCs w:val="22"/>
        </w:rPr>
        <w:t>The research confirms that all four investigated factors</w:t>
      </w:r>
      <w:r w:rsidR="00C83606">
        <w:rPr>
          <w:rFonts w:cs="Times New Roman" w:hint="eastAsia"/>
          <w:szCs w:val="22"/>
        </w:rPr>
        <w:t xml:space="preserve">, social media marketing activities, </w:t>
      </w:r>
      <w:r w:rsidR="00C83606">
        <w:rPr>
          <w:rFonts w:cs="Times New Roman"/>
          <w:szCs w:val="22"/>
        </w:rPr>
        <w:t>environmental</w:t>
      </w:r>
      <w:r w:rsidR="00C83606">
        <w:rPr>
          <w:rFonts w:cs="Times New Roman" w:hint="eastAsia"/>
          <w:szCs w:val="22"/>
        </w:rPr>
        <w:t xml:space="preserve"> conscious, sustainability and brand </w:t>
      </w:r>
      <w:r w:rsidR="00C83606">
        <w:rPr>
          <w:rFonts w:cs="Times New Roman"/>
          <w:szCs w:val="22"/>
        </w:rPr>
        <w:t>trust are</w:t>
      </w:r>
      <w:r w:rsidR="00C83606">
        <w:rPr>
          <w:rFonts w:cs="Times New Roman" w:hint="eastAsia"/>
          <w:szCs w:val="22"/>
        </w:rPr>
        <w:t xml:space="preserve"> </w:t>
      </w:r>
      <w:r w:rsidRPr="003C1D94">
        <w:rPr>
          <w:rFonts w:cs="Times New Roman"/>
          <w:szCs w:val="22"/>
        </w:rPr>
        <w:t>positively and significantly impact purchase intention for Nescafé instant coffee. Regression analysis demonstrates that word-of-mouth social media marketing and brand trust are the most influential predictors, closely followed by environmental conscious</w:t>
      </w:r>
      <w:r w:rsidR="005069E5">
        <w:rPr>
          <w:rFonts w:cs="Times New Roman" w:hint="eastAsia"/>
          <w:szCs w:val="22"/>
        </w:rPr>
        <w:t xml:space="preserve"> and</w:t>
      </w:r>
      <w:r w:rsidR="005069E5" w:rsidRPr="005069E5">
        <w:rPr>
          <w:rFonts w:cs="Times New Roman"/>
          <w:szCs w:val="22"/>
        </w:rPr>
        <w:t xml:space="preserve"> </w:t>
      </w:r>
      <w:r w:rsidR="005069E5" w:rsidRPr="003C1D94">
        <w:rPr>
          <w:rFonts w:cs="Times New Roman"/>
          <w:szCs w:val="22"/>
        </w:rPr>
        <w:t>sustainability</w:t>
      </w:r>
      <w:r w:rsidRPr="003C1D94">
        <w:rPr>
          <w:rFonts w:cs="Times New Roman"/>
          <w:szCs w:val="22"/>
        </w:rPr>
        <w:t>. These relationships are substantiated through strong internal reliability and statistical significance, reinforcing the direct and interconnected effects of these constructs on consumer behavior within the fast-moving consumer goods sector.</w:t>
      </w:r>
    </w:p>
    <w:p w14:paraId="7EEF2CA5" w14:textId="37530C61" w:rsidR="00A40784" w:rsidRDefault="003C1D94" w:rsidP="003C1D94">
      <w:pPr>
        <w:spacing w:line="360" w:lineRule="auto"/>
        <w:jc w:val="both"/>
        <w:rPr>
          <w:rFonts w:cs="Times New Roman"/>
          <w:szCs w:val="22"/>
        </w:rPr>
      </w:pPr>
      <w:r w:rsidRPr="003C1D94">
        <w:rPr>
          <w:rFonts w:cs="Times New Roman"/>
          <w:szCs w:val="22"/>
        </w:rPr>
        <w:t>The conclusions highlight the necessity for Nescafé and similar brands to prioritize authentic digital engagement, transparent communication of sustainable practices, and continuous reinforcement of product quality and trust. Recommendations advocate for intensified social media advocacy, educational initiatives promoting eco-responsibility, and credible certification of sustainability efforts to counteract consumer skepticism. While contextual limitations exist</w:t>
      </w:r>
      <w:r w:rsidR="005316FD">
        <w:rPr>
          <w:rFonts w:cs="Times New Roman" w:hint="eastAsia"/>
          <w:szCs w:val="22"/>
        </w:rPr>
        <w:t xml:space="preserve"> </w:t>
      </w:r>
      <w:r w:rsidRPr="003C1D94">
        <w:rPr>
          <w:rFonts w:cs="Times New Roman"/>
          <w:szCs w:val="22"/>
        </w:rPr>
        <w:t>such as reliance on self-reported, cross-sectional data and non-probability sampling</w:t>
      </w:r>
      <w:r w:rsidR="005069E5">
        <w:rPr>
          <w:rFonts w:cs="Times New Roman" w:hint="eastAsia"/>
          <w:szCs w:val="22"/>
        </w:rPr>
        <w:t xml:space="preserve">, </w:t>
      </w:r>
      <w:r w:rsidRPr="003C1D94">
        <w:rPr>
          <w:rFonts w:cs="Times New Roman"/>
          <w:szCs w:val="22"/>
        </w:rPr>
        <w:t>the dissertation provides actionable managerial insights and sets a precedent for further academic inquiry in digitally connected, ethically conscious consumer markets.</w:t>
      </w:r>
    </w:p>
    <w:p w14:paraId="5F1F98E5" w14:textId="77777777" w:rsidR="00C850A5" w:rsidRDefault="00C850A5" w:rsidP="00A40784">
      <w:pPr>
        <w:spacing w:line="360" w:lineRule="auto"/>
        <w:jc w:val="both"/>
        <w:rPr>
          <w:rFonts w:cs="Times New Roman"/>
          <w:szCs w:val="22"/>
        </w:rPr>
      </w:pPr>
    </w:p>
    <w:p w14:paraId="37B0BE9D" w14:textId="77777777" w:rsidR="00A5082E" w:rsidRDefault="00A5082E" w:rsidP="00A40784">
      <w:pPr>
        <w:spacing w:line="360" w:lineRule="auto"/>
        <w:jc w:val="both"/>
        <w:rPr>
          <w:rFonts w:cs="Times New Roman"/>
          <w:szCs w:val="22"/>
        </w:rPr>
      </w:pPr>
    </w:p>
    <w:p w14:paraId="5288B563" w14:textId="77777777" w:rsidR="00A5082E" w:rsidRDefault="00A5082E" w:rsidP="00A40784">
      <w:pPr>
        <w:spacing w:line="360" w:lineRule="auto"/>
        <w:jc w:val="both"/>
        <w:rPr>
          <w:rFonts w:cs="Times New Roman"/>
          <w:szCs w:val="22"/>
        </w:rPr>
      </w:pPr>
    </w:p>
    <w:p w14:paraId="23469427" w14:textId="5D952970" w:rsidR="00A40784" w:rsidRDefault="00A40784" w:rsidP="00A40784">
      <w:pPr>
        <w:jc w:val="both"/>
        <w:rPr>
          <w:rFonts w:cs="Times New Roman"/>
          <w:sz w:val="21"/>
          <w:szCs w:val="21"/>
        </w:rPr>
      </w:pPr>
      <w:r w:rsidRPr="007B5EA4">
        <w:rPr>
          <w:rFonts w:cs="Times New Roman"/>
          <w:sz w:val="21"/>
          <w:szCs w:val="21"/>
        </w:rPr>
        <w:t xml:space="preserve">Keywords: Social Media Marketing Activities; Brand Trust; Environmental </w:t>
      </w:r>
      <w:r w:rsidR="00ED409C">
        <w:rPr>
          <w:rFonts w:cs="Times New Roman"/>
          <w:sz w:val="21"/>
          <w:szCs w:val="21"/>
        </w:rPr>
        <w:t>Conscious</w:t>
      </w:r>
      <w:r w:rsidRPr="007B5EA4">
        <w:rPr>
          <w:rFonts w:cs="Times New Roman"/>
          <w:sz w:val="21"/>
          <w:szCs w:val="21"/>
        </w:rPr>
        <w:t>; Sustainability; Purchase Intention; Instant Coffee; FMCG;</w:t>
      </w:r>
      <w:r>
        <w:rPr>
          <w:rFonts w:cs="Times New Roman"/>
          <w:sz w:val="21"/>
          <w:szCs w:val="21"/>
        </w:rPr>
        <w:t xml:space="preserve"> </w:t>
      </w:r>
      <w:r w:rsidRPr="007B5EA4">
        <w:rPr>
          <w:rFonts w:cs="Times New Roman"/>
          <w:sz w:val="21"/>
          <w:szCs w:val="21"/>
        </w:rPr>
        <w:t>Nescafé</w:t>
      </w:r>
    </w:p>
    <w:p w14:paraId="65AE60A7" w14:textId="77777777" w:rsidR="00A40784" w:rsidRDefault="00A40784" w:rsidP="00A40784">
      <w:pPr>
        <w:rPr>
          <w:rFonts w:cs="Times New Roman"/>
          <w:sz w:val="21"/>
          <w:szCs w:val="21"/>
        </w:rPr>
      </w:pPr>
      <w:r>
        <w:rPr>
          <w:rFonts w:cs="Times New Roman"/>
          <w:sz w:val="21"/>
          <w:szCs w:val="21"/>
        </w:rPr>
        <w:br w:type="page"/>
      </w:r>
    </w:p>
    <w:p w14:paraId="18FBC09C" w14:textId="16C2A5CE" w:rsidR="00251527" w:rsidRPr="007F198D" w:rsidRDefault="00251527" w:rsidP="008E5F38">
      <w:pPr>
        <w:pStyle w:val="Heading"/>
        <w:numPr>
          <w:ilvl w:val="0"/>
          <w:numId w:val="10"/>
        </w:numPr>
        <w:ind w:left="720"/>
        <w:rPr>
          <w:rFonts w:cs="Times New Roman"/>
          <w:szCs w:val="28"/>
        </w:rPr>
      </w:pPr>
      <w:bookmarkStart w:id="3" w:name="_Toc213748889"/>
      <w:r w:rsidRPr="007F198D">
        <w:rPr>
          <w:rFonts w:cs="Times New Roman"/>
          <w:szCs w:val="28"/>
        </w:rPr>
        <w:lastRenderedPageBreak/>
        <w:t>DECLARATION</w:t>
      </w:r>
      <w:bookmarkEnd w:id="3"/>
    </w:p>
    <w:p w14:paraId="2A20EB59" w14:textId="27F318E2" w:rsidR="00251527" w:rsidRDefault="00FE2964" w:rsidP="00251527">
      <w:r w:rsidRPr="00FE2964">
        <w:rPr>
          <w:noProof/>
        </w:rPr>
        <w:drawing>
          <wp:inline distT="0" distB="0" distL="0" distR="0" wp14:anchorId="340E6D78" wp14:editId="6CA6AC86">
            <wp:extent cx="5868063" cy="7428565"/>
            <wp:effectExtent l="0" t="0" r="0" b="1270"/>
            <wp:docPr id="21701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01124" name=""/>
                    <pic:cNvPicPr/>
                  </pic:nvPicPr>
                  <pic:blipFill>
                    <a:blip r:embed="rId12"/>
                    <a:stretch>
                      <a:fillRect/>
                    </a:stretch>
                  </pic:blipFill>
                  <pic:spPr>
                    <a:xfrm>
                      <a:off x="0" y="0"/>
                      <a:ext cx="5884452" cy="7449312"/>
                    </a:xfrm>
                    <a:prstGeom prst="rect">
                      <a:avLst/>
                    </a:prstGeom>
                  </pic:spPr>
                </pic:pic>
              </a:graphicData>
            </a:graphic>
          </wp:inline>
        </w:drawing>
      </w:r>
    </w:p>
    <w:p w14:paraId="44391A9F" w14:textId="77777777" w:rsidR="001B2D97" w:rsidRDefault="00251527">
      <w:r>
        <w:br w:type="page"/>
      </w:r>
      <w:r w:rsidR="004625EC" w:rsidRPr="004625EC">
        <w:rPr>
          <w:noProof/>
        </w:rPr>
        <w:lastRenderedPageBreak/>
        <w:drawing>
          <wp:inline distT="0" distB="0" distL="0" distR="0" wp14:anchorId="45811097" wp14:editId="72330AF6">
            <wp:extent cx="5939624" cy="7409378"/>
            <wp:effectExtent l="0" t="0" r="4445" b="1270"/>
            <wp:docPr id="938322994"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322994" name="Picture 1" descr="A document with text on it&#10;&#10;AI-generated content may be incorrect."/>
                    <pic:cNvPicPr/>
                  </pic:nvPicPr>
                  <pic:blipFill>
                    <a:blip r:embed="rId13"/>
                    <a:stretch>
                      <a:fillRect/>
                    </a:stretch>
                  </pic:blipFill>
                  <pic:spPr>
                    <a:xfrm>
                      <a:off x="0" y="0"/>
                      <a:ext cx="5949235" cy="7421367"/>
                    </a:xfrm>
                    <a:prstGeom prst="rect">
                      <a:avLst/>
                    </a:prstGeom>
                  </pic:spPr>
                </pic:pic>
              </a:graphicData>
            </a:graphic>
          </wp:inline>
        </w:drawing>
      </w:r>
    </w:p>
    <w:p w14:paraId="45AC6B94" w14:textId="0905F29D" w:rsidR="00FE2964" w:rsidRDefault="00FE2964">
      <w:r>
        <w:br w:type="page"/>
      </w:r>
    </w:p>
    <w:p w14:paraId="62CFE3A3" w14:textId="51FD1329" w:rsidR="009C4DAA" w:rsidRPr="007F198D" w:rsidRDefault="009C4DAA" w:rsidP="009C4DAA">
      <w:pPr>
        <w:pStyle w:val="Heading"/>
        <w:numPr>
          <w:ilvl w:val="0"/>
          <w:numId w:val="10"/>
        </w:numPr>
        <w:ind w:left="720"/>
        <w:rPr>
          <w:rFonts w:cs="Times New Roman"/>
          <w:szCs w:val="28"/>
        </w:rPr>
      </w:pPr>
      <w:bookmarkStart w:id="4" w:name="_Toc213748890"/>
      <w:bookmarkEnd w:id="1"/>
      <w:r w:rsidRPr="007F198D">
        <w:rPr>
          <w:rFonts w:cs="Times New Roman"/>
          <w:szCs w:val="28"/>
        </w:rPr>
        <w:lastRenderedPageBreak/>
        <w:t>TABLE OF CONTENTS</w:t>
      </w:r>
      <w:bookmarkEnd w:id="4"/>
    </w:p>
    <w:bookmarkStart w:id="5" w:name="_Toc209184642" w:displacedByCustomXml="next"/>
    <w:sdt>
      <w:sdtPr>
        <w:rPr>
          <w:rFonts w:ascii="Times New Roman" w:eastAsiaTheme="minorEastAsia" w:hAnsi="Times New Roman" w:cstheme="minorBidi"/>
          <w:color w:val="auto"/>
          <w:kern w:val="2"/>
          <w:sz w:val="22"/>
          <w:szCs w:val="24"/>
          <w:lang w:eastAsia="zh-TW"/>
          <w14:ligatures w14:val="standardContextual"/>
        </w:rPr>
        <w:id w:val="-484322668"/>
        <w:docPartObj>
          <w:docPartGallery w:val="Table of Contents"/>
          <w:docPartUnique/>
        </w:docPartObj>
      </w:sdtPr>
      <w:sdtEndPr>
        <w:rPr>
          <w:noProof/>
        </w:rPr>
      </w:sdtEndPr>
      <w:sdtContent>
        <w:p w14:paraId="1CA8C737" w14:textId="79F28940" w:rsidR="00D60073" w:rsidRPr="00A16D04" w:rsidRDefault="00D60073" w:rsidP="00B20EC5">
          <w:pPr>
            <w:pStyle w:val="TOCHeading"/>
            <w:spacing w:line="240" w:lineRule="auto"/>
            <w:rPr>
              <w:sz w:val="2"/>
              <w:szCs w:val="2"/>
            </w:rPr>
          </w:pPr>
        </w:p>
        <w:p w14:paraId="33846EF4" w14:textId="1FB2723B" w:rsidR="00FD0236" w:rsidRPr="00FD0236" w:rsidRDefault="00A40784" w:rsidP="00FD0236">
          <w:pPr>
            <w:pStyle w:val="TOC1"/>
            <w:rPr>
              <w:rFonts w:asciiTheme="majorBidi" w:eastAsiaTheme="minorEastAsia" w:hAnsiTheme="majorBidi" w:cstheme="majorBidi"/>
              <w:b w:val="0"/>
              <w:bCs w:val="0"/>
              <w:noProof/>
              <w:sz w:val="24"/>
              <w:szCs w:val="24"/>
              <w:lang w:eastAsia="zh-CN"/>
            </w:rPr>
          </w:pPr>
          <w:r w:rsidRPr="00A16D04">
            <w:fldChar w:fldCharType="begin"/>
          </w:r>
          <w:r w:rsidRPr="00A16D04">
            <w:instrText xml:space="preserve"> TOC \o "1-1" \f \h \z \t "Heading 2,3,Heading 3,3" </w:instrText>
          </w:r>
          <w:r w:rsidRPr="00A16D04">
            <w:fldChar w:fldCharType="separate"/>
          </w:r>
          <w:hyperlink w:anchor="_Toc213748887" w:history="1">
            <w:r w:rsidR="00FD0236" w:rsidRPr="00FD0236">
              <w:rPr>
                <w:rStyle w:val="Hyperlink"/>
                <w:rFonts w:asciiTheme="majorBidi" w:hAnsiTheme="majorBidi" w:cstheme="majorBidi"/>
                <w:b w:val="0"/>
                <w:bCs w:val="0"/>
                <w:noProof/>
              </w:rPr>
              <w:t>I.</w:t>
            </w:r>
            <w:r w:rsidR="00FD0236" w:rsidRPr="00FD0236">
              <w:rPr>
                <w:rFonts w:asciiTheme="majorBidi" w:eastAsiaTheme="minorEastAsia" w:hAnsiTheme="majorBidi" w:cstheme="majorBidi"/>
                <w:b w:val="0"/>
                <w:bCs w:val="0"/>
                <w:noProof/>
                <w:sz w:val="24"/>
                <w:szCs w:val="24"/>
                <w:lang w:eastAsia="zh-CN"/>
              </w:rPr>
              <w:tab/>
            </w:r>
            <w:r w:rsidR="00FD0236" w:rsidRPr="00FD0236">
              <w:rPr>
                <w:rStyle w:val="Hyperlink"/>
                <w:rFonts w:asciiTheme="majorBidi" w:hAnsiTheme="majorBidi" w:cstheme="majorBidi"/>
                <w:b w:val="0"/>
                <w:bCs w:val="0"/>
                <w:noProof/>
              </w:rPr>
              <w:t>COVER PAGE</w:t>
            </w:r>
            <w:r w:rsidR="00FD0236" w:rsidRPr="00FD0236">
              <w:rPr>
                <w:rFonts w:asciiTheme="majorBidi" w:hAnsiTheme="majorBidi" w:cstheme="majorBidi"/>
                <w:b w:val="0"/>
                <w:bCs w:val="0"/>
                <w:noProof/>
                <w:webHidden/>
              </w:rPr>
              <w:tab/>
            </w:r>
            <w:r w:rsidR="00FD0236" w:rsidRPr="00FD0236">
              <w:rPr>
                <w:rFonts w:asciiTheme="majorBidi" w:hAnsiTheme="majorBidi" w:cstheme="majorBidi"/>
                <w:b w:val="0"/>
                <w:bCs w:val="0"/>
                <w:noProof/>
                <w:webHidden/>
              </w:rPr>
              <w:fldChar w:fldCharType="begin"/>
            </w:r>
            <w:r w:rsidR="00FD0236" w:rsidRPr="00FD0236">
              <w:rPr>
                <w:rFonts w:asciiTheme="majorBidi" w:hAnsiTheme="majorBidi" w:cstheme="majorBidi"/>
                <w:b w:val="0"/>
                <w:bCs w:val="0"/>
                <w:noProof/>
                <w:webHidden/>
              </w:rPr>
              <w:instrText xml:space="preserve"> PAGEREF _Toc213748887 \h </w:instrText>
            </w:r>
            <w:r w:rsidR="00FD0236" w:rsidRPr="00FD0236">
              <w:rPr>
                <w:rFonts w:asciiTheme="majorBidi" w:hAnsiTheme="majorBidi" w:cstheme="majorBidi"/>
                <w:b w:val="0"/>
                <w:bCs w:val="0"/>
                <w:noProof/>
                <w:webHidden/>
              </w:rPr>
            </w:r>
            <w:r w:rsidR="00FD0236" w:rsidRPr="00FD0236">
              <w:rPr>
                <w:rFonts w:asciiTheme="majorBidi" w:hAnsiTheme="majorBidi" w:cstheme="majorBidi"/>
                <w:b w:val="0"/>
                <w:bCs w:val="0"/>
                <w:noProof/>
                <w:webHidden/>
              </w:rPr>
              <w:fldChar w:fldCharType="separate"/>
            </w:r>
            <w:r w:rsidR="00FD0236" w:rsidRPr="00FD0236">
              <w:rPr>
                <w:rFonts w:asciiTheme="majorBidi" w:hAnsiTheme="majorBidi" w:cstheme="majorBidi"/>
                <w:b w:val="0"/>
                <w:bCs w:val="0"/>
                <w:noProof/>
                <w:webHidden/>
              </w:rPr>
              <w:t>i</w:t>
            </w:r>
            <w:r w:rsidR="00FD0236" w:rsidRPr="00FD0236">
              <w:rPr>
                <w:rFonts w:asciiTheme="majorBidi" w:hAnsiTheme="majorBidi" w:cstheme="majorBidi"/>
                <w:b w:val="0"/>
                <w:bCs w:val="0"/>
                <w:noProof/>
                <w:webHidden/>
              </w:rPr>
              <w:fldChar w:fldCharType="end"/>
            </w:r>
          </w:hyperlink>
        </w:p>
        <w:p w14:paraId="7AA15DA1" w14:textId="5581EC45" w:rsidR="00FD0236" w:rsidRPr="00FD0236" w:rsidRDefault="00FD0236" w:rsidP="00FD0236">
          <w:pPr>
            <w:pStyle w:val="TOC1"/>
            <w:rPr>
              <w:rFonts w:asciiTheme="majorBidi" w:eastAsiaTheme="minorEastAsia" w:hAnsiTheme="majorBidi" w:cstheme="majorBidi"/>
              <w:b w:val="0"/>
              <w:bCs w:val="0"/>
              <w:noProof/>
              <w:sz w:val="24"/>
              <w:szCs w:val="24"/>
              <w:lang w:eastAsia="zh-CN"/>
            </w:rPr>
          </w:pPr>
          <w:hyperlink w:anchor="_Toc213748888" w:history="1">
            <w:r w:rsidRPr="00FD0236">
              <w:rPr>
                <w:rStyle w:val="Hyperlink"/>
                <w:rFonts w:asciiTheme="majorBidi" w:hAnsiTheme="majorBidi" w:cstheme="majorBidi"/>
                <w:b w:val="0"/>
                <w:bCs w:val="0"/>
                <w:noProof/>
              </w:rPr>
              <w:t>II.</w:t>
            </w:r>
            <w:r w:rsidRPr="00FD0236">
              <w:rPr>
                <w:rFonts w:asciiTheme="majorBidi" w:eastAsiaTheme="minorEastAsia" w:hAnsiTheme="majorBidi" w:cstheme="majorBidi"/>
                <w:b w:val="0"/>
                <w:bCs w:val="0"/>
                <w:noProof/>
                <w:sz w:val="24"/>
                <w:szCs w:val="24"/>
                <w:lang w:eastAsia="zh-CN"/>
              </w:rPr>
              <w:tab/>
            </w:r>
            <w:r w:rsidRPr="00FD0236">
              <w:rPr>
                <w:rStyle w:val="Hyperlink"/>
                <w:rFonts w:asciiTheme="majorBidi" w:hAnsiTheme="majorBidi" w:cstheme="majorBidi"/>
                <w:b w:val="0"/>
                <w:bCs w:val="0"/>
                <w:noProof/>
              </w:rPr>
              <w:t>ABSTRACT</w:t>
            </w:r>
            <w:r w:rsidRPr="00FD0236">
              <w:rPr>
                <w:rFonts w:asciiTheme="majorBidi" w:hAnsiTheme="majorBidi" w:cstheme="majorBidi"/>
                <w:b w:val="0"/>
                <w:bCs w:val="0"/>
                <w:noProof/>
                <w:webHidden/>
              </w:rPr>
              <w:tab/>
            </w:r>
            <w:r w:rsidRPr="00FD0236">
              <w:rPr>
                <w:rFonts w:asciiTheme="majorBidi" w:hAnsiTheme="majorBidi" w:cstheme="majorBidi"/>
                <w:b w:val="0"/>
                <w:bCs w:val="0"/>
                <w:noProof/>
                <w:webHidden/>
              </w:rPr>
              <w:fldChar w:fldCharType="begin"/>
            </w:r>
            <w:r w:rsidRPr="00FD0236">
              <w:rPr>
                <w:rFonts w:asciiTheme="majorBidi" w:hAnsiTheme="majorBidi" w:cstheme="majorBidi"/>
                <w:b w:val="0"/>
                <w:bCs w:val="0"/>
                <w:noProof/>
                <w:webHidden/>
              </w:rPr>
              <w:instrText xml:space="preserve"> PAGEREF _Toc213748888 \h </w:instrText>
            </w:r>
            <w:r w:rsidRPr="00FD0236">
              <w:rPr>
                <w:rFonts w:asciiTheme="majorBidi" w:hAnsiTheme="majorBidi" w:cstheme="majorBidi"/>
                <w:b w:val="0"/>
                <w:bCs w:val="0"/>
                <w:noProof/>
                <w:webHidden/>
              </w:rPr>
            </w:r>
            <w:r w:rsidRPr="00FD0236">
              <w:rPr>
                <w:rFonts w:asciiTheme="majorBidi" w:hAnsiTheme="majorBidi" w:cstheme="majorBidi"/>
                <w:b w:val="0"/>
                <w:bCs w:val="0"/>
                <w:noProof/>
                <w:webHidden/>
              </w:rPr>
              <w:fldChar w:fldCharType="separate"/>
            </w:r>
            <w:r w:rsidRPr="00FD0236">
              <w:rPr>
                <w:rFonts w:asciiTheme="majorBidi" w:hAnsiTheme="majorBidi" w:cstheme="majorBidi"/>
                <w:b w:val="0"/>
                <w:bCs w:val="0"/>
                <w:noProof/>
                <w:webHidden/>
              </w:rPr>
              <w:t>ii</w:t>
            </w:r>
            <w:r w:rsidRPr="00FD0236">
              <w:rPr>
                <w:rFonts w:asciiTheme="majorBidi" w:hAnsiTheme="majorBidi" w:cstheme="majorBidi"/>
                <w:b w:val="0"/>
                <w:bCs w:val="0"/>
                <w:noProof/>
                <w:webHidden/>
              </w:rPr>
              <w:fldChar w:fldCharType="end"/>
            </w:r>
          </w:hyperlink>
        </w:p>
        <w:p w14:paraId="1B91E546" w14:textId="07EB9B95" w:rsidR="00FD0236" w:rsidRPr="00FD0236" w:rsidRDefault="00FD0236" w:rsidP="00FD0236">
          <w:pPr>
            <w:pStyle w:val="TOC1"/>
            <w:rPr>
              <w:rFonts w:asciiTheme="majorBidi" w:eastAsiaTheme="minorEastAsia" w:hAnsiTheme="majorBidi" w:cstheme="majorBidi"/>
              <w:b w:val="0"/>
              <w:bCs w:val="0"/>
              <w:noProof/>
              <w:sz w:val="24"/>
              <w:szCs w:val="24"/>
              <w:lang w:eastAsia="zh-CN"/>
            </w:rPr>
          </w:pPr>
          <w:hyperlink w:anchor="_Toc213748889" w:history="1">
            <w:r w:rsidRPr="00FD0236">
              <w:rPr>
                <w:rStyle w:val="Hyperlink"/>
                <w:rFonts w:asciiTheme="majorBidi" w:hAnsiTheme="majorBidi" w:cstheme="majorBidi"/>
                <w:b w:val="0"/>
                <w:bCs w:val="0"/>
                <w:noProof/>
              </w:rPr>
              <w:t>III.</w:t>
            </w:r>
            <w:r w:rsidRPr="00FD0236">
              <w:rPr>
                <w:rFonts w:asciiTheme="majorBidi" w:eastAsiaTheme="minorEastAsia" w:hAnsiTheme="majorBidi" w:cstheme="majorBidi"/>
                <w:b w:val="0"/>
                <w:bCs w:val="0"/>
                <w:noProof/>
                <w:sz w:val="24"/>
                <w:szCs w:val="24"/>
                <w:lang w:eastAsia="zh-CN"/>
              </w:rPr>
              <w:tab/>
            </w:r>
            <w:r w:rsidRPr="00FD0236">
              <w:rPr>
                <w:rStyle w:val="Hyperlink"/>
                <w:rFonts w:asciiTheme="majorBidi" w:hAnsiTheme="majorBidi" w:cstheme="majorBidi"/>
                <w:b w:val="0"/>
                <w:bCs w:val="0"/>
                <w:noProof/>
              </w:rPr>
              <w:t>DECLARATION</w:t>
            </w:r>
            <w:r w:rsidRPr="00FD0236">
              <w:rPr>
                <w:rFonts w:asciiTheme="majorBidi" w:hAnsiTheme="majorBidi" w:cstheme="majorBidi"/>
                <w:b w:val="0"/>
                <w:bCs w:val="0"/>
                <w:noProof/>
                <w:webHidden/>
              </w:rPr>
              <w:tab/>
            </w:r>
            <w:r w:rsidRPr="00FD0236">
              <w:rPr>
                <w:rFonts w:asciiTheme="majorBidi" w:hAnsiTheme="majorBidi" w:cstheme="majorBidi"/>
                <w:b w:val="0"/>
                <w:bCs w:val="0"/>
                <w:noProof/>
                <w:webHidden/>
              </w:rPr>
              <w:fldChar w:fldCharType="begin"/>
            </w:r>
            <w:r w:rsidRPr="00FD0236">
              <w:rPr>
                <w:rFonts w:asciiTheme="majorBidi" w:hAnsiTheme="majorBidi" w:cstheme="majorBidi"/>
                <w:b w:val="0"/>
                <w:bCs w:val="0"/>
                <w:noProof/>
                <w:webHidden/>
              </w:rPr>
              <w:instrText xml:space="preserve"> PAGEREF _Toc213748889 \h </w:instrText>
            </w:r>
            <w:r w:rsidRPr="00FD0236">
              <w:rPr>
                <w:rFonts w:asciiTheme="majorBidi" w:hAnsiTheme="majorBidi" w:cstheme="majorBidi"/>
                <w:b w:val="0"/>
                <w:bCs w:val="0"/>
                <w:noProof/>
                <w:webHidden/>
              </w:rPr>
            </w:r>
            <w:r w:rsidRPr="00FD0236">
              <w:rPr>
                <w:rFonts w:asciiTheme="majorBidi" w:hAnsiTheme="majorBidi" w:cstheme="majorBidi"/>
                <w:b w:val="0"/>
                <w:bCs w:val="0"/>
                <w:noProof/>
                <w:webHidden/>
              </w:rPr>
              <w:fldChar w:fldCharType="separate"/>
            </w:r>
            <w:r w:rsidRPr="00FD0236">
              <w:rPr>
                <w:rFonts w:asciiTheme="majorBidi" w:hAnsiTheme="majorBidi" w:cstheme="majorBidi"/>
                <w:b w:val="0"/>
                <w:bCs w:val="0"/>
                <w:noProof/>
                <w:webHidden/>
              </w:rPr>
              <w:t>iii</w:t>
            </w:r>
            <w:r w:rsidRPr="00FD0236">
              <w:rPr>
                <w:rFonts w:asciiTheme="majorBidi" w:hAnsiTheme="majorBidi" w:cstheme="majorBidi"/>
                <w:b w:val="0"/>
                <w:bCs w:val="0"/>
                <w:noProof/>
                <w:webHidden/>
              </w:rPr>
              <w:fldChar w:fldCharType="end"/>
            </w:r>
          </w:hyperlink>
        </w:p>
        <w:p w14:paraId="4715649A" w14:textId="7AA92F14" w:rsidR="00FD0236" w:rsidRPr="00FD0236" w:rsidRDefault="00FD0236" w:rsidP="00FD0236">
          <w:pPr>
            <w:pStyle w:val="TOC1"/>
            <w:rPr>
              <w:rFonts w:asciiTheme="majorBidi" w:eastAsiaTheme="minorEastAsia" w:hAnsiTheme="majorBidi" w:cstheme="majorBidi"/>
              <w:b w:val="0"/>
              <w:bCs w:val="0"/>
              <w:noProof/>
              <w:sz w:val="24"/>
              <w:szCs w:val="24"/>
              <w:lang w:eastAsia="zh-CN"/>
            </w:rPr>
          </w:pPr>
          <w:hyperlink w:anchor="_Toc213748890" w:history="1">
            <w:r w:rsidRPr="00FD0236">
              <w:rPr>
                <w:rStyle w:val="Hyperlink"/>
                <w:rFonts w:asciiTheme="majorBidi" w:hAnsiTheme="majorBidi" w:cstheme="majorBidi"/>
                <w:b w:val="0"/>
                <w:bCs w:val="0"/>
                <w:noProof/>
              </w:rPr>
              <w:t>IV.</w:t>
            </w:r>
            <w:r w:rsidRPr="00FD0236">
              <w:rPr>
                <w:rFonts w:asciiTheme="majorBidi" w:eastAsiaTheme="minorEastAsia" w:hAnsiTheme="majorBidi" w:cstheme="majorBidi"/>
                <w:b w:val="0"/>
                <w:bCs w:val="0"/>
                <w:noProof/>
                <w:sz w:val="24"/>
                <w:szCs w:val="24"/>
                <w:lang w:eastAsia="zh-CN"/>
              </w:rPr>
              <w:tab/>
            </w:r>
            <w:r w:rsidRPr="00FD0236">
              <w:rPr>
                <w:rStyle w:val="Hyperlink"/>
                <w:rFonts w:asciiTheme="majorBidi" w:hAnsiTheme="majorBidi" w:cstheme="majorBidi"/>
                <w:b w:val="0"/>
                <w:bCs w:val="0"/>
                <w:noProof/>
              </w:rPr>
              <w:t>TABLE OF CONTENTS</w:t>
            </w:r>
            <w:r w:rsidRPr="00FD0236">
              <w:rPr>
                <w:rFonts w:asciiTheme="majorBidi" w:hAnsiTheme="majorBidi" w:cstheme="majorBidi"/>
                <w:b w:val="0"/>
                <w:bCs w:val="0"/>
                <w:noProof/>
                <w:webHidden/>
              </w:rPr>
              <w:tab/>
            </w:r>
            <w:r w:rsidRPr="00FD0236">
              <w:rPr>
                <w:rFonts w:asciiTheme="majorBidi" w:hAnsiTheme="majorBidi" w:cstheme="majorBidi"/>
                <w:b w:val="0"/>
                <w:bCs w:val="0"/>
                <w:noProof/>
                <w:webHidden/>
              </w:rPr>
              <w:fldChar w:fldCharType="begin"/>
            </w:r>
            <w:r w:rsidRPr="00FD0236">
              <w:rPr>
                <w:rFonts w:asciiTheme="majorBidi" w:hAnsiTheme="majorBidi" w:cstheme="majorBidi"/>
                <w:b w:val="0"/>
                <w:bCs w:val="0"/>
                <w:noProof/>
                <w:webHidden/>
              </w:rPr>
              <w:instrText xml:space="preserve"> PAGEREF _Toc213748890 \h </w:instrText>
            </w:r>
            <w:r w:rsidRPr="00FD0236">
              <w:rPr>
                <w:rFonts w:asciiTheme="majorBidi" w:hAnsiTheme="majorBidi" w:cstheme="majorBidi"/>
                <w:b w:val="0"/>
                <w:bCs w:val="0"/>
                <w:noProof/>
                <w:webHidden/>
              </w:rPr>
            </w:r>
            <w:r w:rsidRPr="00FD0236">
              <w:rPr>
                <w:rFonts w:asciiTheme="majorBidi" w:hAnsiTheme="majorBidi" w:cstheme="majorBidi"/>
                <w:b w:val="0"/>
                <w:bCs w:val="0"/>
                <w:noProof/>
                <w:webHidden/>
              </w:rPr>
              <w:fldChar w:fldCharType="separate"/>
            </w:r>
            <w:r w:rsidRPr="00FD0236">
              <w:rPr>
                <w:rFonts w:asciiTheme="majorBidi" w:hAnsiTheme="majorBidi" w:cstheme="majorBidi"/>
                <w:b w:val="0"/>
                <w:bCs w:val="0"/>
                <w:noProof/>
                <w:webHidden/>
              </w:rPr>
              <w:t>v</w:t>
            </w:r>
            <w:r w:rsidRPr="00FD0236">
              <w:rPr>
                <w:rFonts w:asciiTheme="majorBidi" w:hAnsiTheme="majorBidi" w:cstheme="majorBidi"/>
                <w:b w:val="0"/>
                <w:bCs w:val="0"/>
                <w:noProof/>
                <w:webHidden/>
              </w:rPr>
              <w:fldChar w:fldCharType="end"/>
            </w:r>
          </w:hyperlink>
        </w:p>
        <w:p w14:paraId="1AC14E4D" w14:textId="154BEE9F" w:rsidR="00FD0236" w:rsidRPr="00FD0236" w:rsidRDefault="00FD0236" w:rsidP="00FD0236">
          <w:pPr>
            <w:pStyle w:val="TOC1"/>
            <w:rPr>
              <w:rFonts w:asciiTheme="majorBidi" w:eastAsiaTheme="minorEastAsia" w:hAnsiTheme="majorBidi" w:cstheme="majorBidi"/>
              <w:b w:val="0"/>
              <w:bCs w:val="0"/>
              <w:noProof/>
              <w:sz w:val="24"/>
              <w:szCs w:val="24"/>
              <w:lang w:eastAsia="zh-CN"/>
            </w:rPr>
          </w:pPr>
          <w:hyperlink w:anchor="_Toc213748891" w:history="1">
            <w:r w:rsidRPr="00FD0236">
              <w:rPr>
                <w:rStyle w:val="Hyperlink"/>
                <w:rFonts w:asciiTheme="majorBidi" w:hAnsiTheme="majorBidi" w:cstheme="majorBidi"/>
                <w:b w:val="0"/>
                <w:bCs w:val="0"/>
                <w:noProof/>
              </w:rPr>
              <w:t>V.</w:t>
            </w:r>
            <w:r w:rsidRPr="00FD0236">
              <w:rPr>
                <w:rFonts w:asciiTheme="majorBidi" w:eastAsiaTheme="minorEastAsia" w:hAnsiTheme="majorBidi" w:cstheme="majorBidi"/>
                <w:b w:val="0"/>
                <w:bCs w:val="0"/>
                <w:noProof/>
                <w:sz w:val="24"/>
                <w:szCs w:val="24"/>
                <w:lang w:eastAsia="zh-CN"/>
              </w:rPr>
              <w:tab/>
            </w:r>
            <w:r w:rsidRPr="00FD0236">
              <w:rPr>
                <w:rStyle w:val="Hyperlink"/>
                <w:rFonts w:asciiTheme="majorBidi" w:hAnsiTheme="majorBidi" w:cstheme="majorBidi"/>
                <w:b w:val="0"/>
                <w:bCs w:val="0"/>
                <w:noProof/>
              </w:rPr>
              <w:t>LIST OF FIGURES</w:t>
            </w:r>
            <w:r w:rsidRPr="00FD0236">
              <w:rPr>
                <w:rFonts w:asciiTheme="majorBidi" w:hAnsiTheme="majorBidi" w:cstheme="majorBidi"/>
                <w:b w:val="0"/>
                <w:bCs w:val="0"/>
                <w:noProof/>
                <w:webHidden/>
              </w:rPr>
              <w:tab/>
            </w:r>
            <w:r w:rsidRPr="00FD0236">
              <w:rPr>
                <w:rFonts w:asciiTheme="majorBidi" w:hAnsiTheme="majorBidi" w:cstheme="majorBidi"/>
                <w:b w:val="0"/>
                <w:bCs w:val="0"/>
                <w:noProof/>
                <w:webHidden/>
              </w:rPr>
              <w:fldChar w:fldCharType="begin"/>
            </w:r>
            <w:r w:rsidRPr="00FD0236">
              <w:rPr>
                <w:rFonts w:asciiTheme="majorBidi" w:hAnsiTheme="majorBidi" w:cstheme="majorBidi"/>
                <w:b w:val="0"/>
                <w:bCs w:val="0"/>
                <w:noProof/>
                <w:webHidden/>
              </w:rPr>
              <w:instrText xml:space="preserve"> PAGEREF _Toc213748891 \h </w:instrText>
            </w:r>
            <w:r w:rsidRPr="00FD0236">
              <w:rPr>
                <w:rFonts w:asciiTheme="majorBidi" w:hAnsiTheme="majorBidi" w:cstheme="majorBidi"/>
                <w:b w:val="0"/>
                <w:bCs w:val="0"/>
                <w:noProof/>
                <w:webHidden/>
              </w:rPr>
            </w:r>
            <w:r w:rsidRPr="00FD0236">
              <w:rPr>
                <w:rFonts w:asciiTheme="majorBidi" w:hAnsiTheme="majorBidi" w:cstheme="majorBidi"/>
                <w:b w:val="0"/>
                <w:bCs w:val="0"/>
                <w:noProof/>
                <w:webHidden/>
              </w:rPr>
              <w:fldChar w:fldCharType="separate"/>
            </w:r>
            <w:r w:rsidRPr="00FD0236">
              <w:rPr>
                <w:rFonts w:asciiTheme="majorBidi" w:hAnsiTheme="majorBidi" w:cstheme="majorBidi"/>
                <w:b w:val="0"/>
                <w:bCs w:val="0"/>
                <w:noProof/>
                <w:webHidden/>
              </w:rPr>
              <w:t>viii</w:t>
            </w:r>
            <w:r w:rsidRPr="00FD0236">
              <w:rPr>
                <w:rFonts w:asciiTheme="majorBidi" w:hAnsiTheme="majorBidi" w:cstheme="majorBidi"/>
                <w:b w:val="0"/>
                <w:bCs w:val="0"/>
                <w:noProof/>
                <w:webHidden/>
              </w:rPr>
              <w:fldChar w:fldCharType="end"/>
            </w:r>
          </w:hyperlink>
        </w:p>
        <w:p w14:paraId="04E59819" w14:textId="3FA15D56" w:rsidR="00FD0236" w:rsidRPr="00FD0236" w:rsidRDefault="00FD0236" w:rsidP="00FD0236">
          <w:pPr>
            <w:pStyle w:val="TOC1"/>
            <w:rPr>
              <w:rFonts w:asciiTheme="majorBidi" w:eastAsiaTheme="minorEastAsia" w:hAnsiTheme="majorBidi" w:cstheme="majorBidi"/>
              <w:b w:val="0"/>
              <w:bCs w:val="0"/>
              <w:noProof/>
              <w:sz w:val="24"/>
              <w:szCs w:val="24"/>
              <w:lang w:eastAsia="zh-CN"/>
            </w:rPr>
          </w:pPr>
          <w:hyperlink w:anchor="_Toc213748892" w:history="1">
            <w:r w:rsidRPr="00FD0236">
              <w:rPr>
                <w:rStyle w:val="Hyperlink"/>
                <w:rFonts w:asciiTheme="majorBidi" w:hAnsiTheme="majorBidi" w:cstheme="majorBidi"/>
                <w:b w:val="0"/>
                <w:bCs w:val="0"/>
                <w:noProof/>
              </w:rPr>
              <w:t>VI.</w:t>
            </w:r>
            <w:r w:rsidRPr="00FD0236">
              <w:rPr>
                <w:rFonts w:asciiTheme="majorBidi" w:eastAsiaTheme="minorEastAsia" w:hAnsiTheme="majorBidi" w:cstheme="majorBidi"/>
                <w:b w:val="0"/>
                <w:bCs w:val="0"/>
                <w:noProof/>
                <w:sz w:val="24"/>
                <w:szCs w:val="24"/>
                <w:lang w:eastAsia="zh-CN"/>
              </w:rPr>
              <w:tab/>
            </w:r>
            <w:r w:rsidRPr="00FD0236">
              <w:rPr>
                <w:rStyle w:val="Hyperlink"/>
                <w:rFonts w:asciiTheme="majorBidi" w:hAnsiTheme="majorBidi" w:cstheme="majorBidi"/>
                <w:b w:val="0"/>
                <w:bCs w:val="0"/>
                <w:noProof/>
              </w:rPr>
              <w:t>LIST OF TABLES</w:t>
            </w:r>
            <w:r w:rsidRPr="00FD0236">
              <w:rPr>
                <w:rFonts w:asciiTheme="majorBidi" w:hAnsiTheme="majorBidi" w:cstheme="majorBidi"/>
                <w:b w:val="0"/>
                <w:bCs w:val="0"/>
                <w:noProof/>
                <w:webHidden/>
              </w:rPr>
              <w:tab/>
            </w:r>
            <w:r w:rsidRPr="00FD0236">
              <w:rPr>
                <w:rFonts w:asciiTheme="majorBidi" w:hAnsiTheme="majorBidi" w:cstheme="majorBidi"/>
                <w:b w:val="0"/>
                <w:bCs w:val="0"/>
                <w:noProof/>
                <w:webHidden/>
              </w:rPr>
              <w:fldChar w:fldCharType="begin"/>
            </w:r>
            <w:r w:rsidRPr="00FD0236">
              <w:rPr>
                <w:rFonts w:asciiTheme="majorBidi" w:hAnsiTheme="majorBidi" w:cstheme="majorBidi"/>
                <w:b w:val="0"/>
                <w:bCs w:val="0"/>
                <w:noProof/>
                <w:webHidden/>
              </w:rPr>
              <w:instrText xml:space="preserve"> PAGEREF _Toc213748892 \h </w:instrText>
            </w:r>
            <w:r w:rsidRPr="00FD0236">
              <w:rPr>
                <w:rFonts w:asciiTheme="majorBidi" w:hAnsiTheme="majorBidi" w:cstheme="majorBidi"/>
                <w:b w:val="0"/>
                <w:bCs w:val="0"/>
                <w:noProof/>
                <w:webHidden/>
              </w:rPr>
            </w:r>
            <w:r w:rsidRPr="00FD0236">
              <w:rPr>
                <w:rFonts w:asciiTheme="majorBidi" w:hAnsiTheme="majorBidi" w:cstheme="majorBidi"/>
                <w:b w:val="0"/>
                <w:bCs w:val="0"/>
                <w:noProof/>
                <w:webHidden/>
              </w:rPr>
              <w:fldChar w:fldCharType="separate"/>
            </w:r>
            <w:r w:rsidRPr="00FD0236">
              <w:rPr>
                <w:rFonts w:asciiTheme="majorBidi" w:hAnsiTheme="majorBidi" w:cstheme="majorBidi"/>
                <w:b w:val="0"/>
                <w:bCs w:val="0"/>
                <w:noProof/>
                <w:webHidden/>
              </w:rPr>
              <w:t>ix</w:t>
            </w:r>
            <w:r w:rsidRPr="00FD0236">
              <w:rPr>
                <w:rFonts w:asciiTheme="majorBidi" w:hAnsiTheme="majorBidi" w:cstheme="majorBidi"/>
                <w:b w:val="0"/>
                <w:bCs w:val="0"/>
                <w:noProof/>
                <w:webHidden/>
              </w:rPr>
              <w:fldChar w:fldCharType="end"/>
            </w:r>
          </w:hyperlink>
        </w:p>
        <w:p w14:paraId="7708AC6E" w14:textId="40C6FA4F" w:rsidR="00FD0236" w:rsidRPr="00FD0236" w:rsidRDefault="00FD0236" w:rsidP="00FD0236">
          <w:pPr>
            <w:pStyle w:val="TOC1"/>
            <w:rPr>
              <w:rFonts w:asciiTheme="majorBidi" w:eastAsiaTheme="minorEastAsia" w:hAnsiTheme="majorBidi" w:cstheme="majorBidi"/>
              <w:b w:val="0"/>
              <w:bCs w:val="0"/>
              <w:noProof/>
              <w:sz w:val="24"/>
              <w:szCs w:val="24"/>
              <w:lang w:eastAsia="zh-CN"/>
            </w:rPr>
          </w:pPr>
          <w:hyperlink w:anchor="_Toc213748893" w:history="1">
            <w:r w:rsidRPr="00FD0236">
              <w:rPr>
                <w:rStyle w:val="Hyperlink"/>
                <w:rFonts w:asciiTheme="majorBidi" w:hAnsiTheme="majorBidi" w:cstheme="majorBidi"/>
                <w:b w:val="0"/>
                <w:bCs w:val="0"/>
                <w:noProof/>
              </w:rPr>
              <w:t>1.</w:t>
            </w:r>
            <w:r w:rsidRPr="00FD0236">
              <w:rPr>
                <w:rFonts w:asciiTheme="majorBidi" w:eastAsiaTheme="minorEastAsia" w:hAnsiTheme="majorBidi" w:cstheme="majorBidi"/>
                <w:b w:val="0"/>
                <w:bCs w:val="0"/>
                <w:noProof/>
                <w:sz w:val="24"/>
                <w:szCs w:val="24"/>
                <w:lang w:eastAsia="zh-CN"/>
              </w:rPr>
              <w:tab/>
            </w:r>
            <w:r w:rsidRPr="00FD0236">
              <w:rPr>
                <w:rStyle w:val="Hyperlink"/>
                <w:rFonts w:asciiTheme="majorBidi" w:hAnsiTheme="majorBidi" w:cstheme="majorBidi"/>
                <w:b w:val="0"/>
                <w:bCs w:val="0"/>
                <w:noProof/>
              </w:rPr>
              <w:t>Introduction</w:t>
            </w:r>
            <w:r w:rsidRPr="00FD0236">
              <w:rPr>
                <w:rFonts w:asciiTheme="majorBidi" w:hAnsiTheme="majorBidi" w:cstheme="majorBidi"/>
                <w:b w:val="0"/>
                <w:bCs w:val="0"/>
                <w:noProof/>
                <w:webHidden/>
              </w:rPr>
              <w:tab/>
            </w:r>
            <w:r w:rsidRPr="00FD0236">
              <w:rPr>
                <w:rFonts w:asciiTheme="majorBidi" w:hAnsiTheme="majorBidi" w:cstheme="majorBidi"/>
                <w:b w:val="0"/>
                <w:bCs w:val="0"/>
                <w:noProof/>
                <w:webHidden/>
              </w:rPr>
              <w:fldChar w:fldCharType="begin"/>
            </w:r>
            <w:r w:rsidRPr="00FD0236">
              <w:rPr>
                <w:rFonts w:asciiTheme="majorBidi" w:hAnsiTheme="majorBidi" w:cstheme="majorBidi"/>
                <w:b w:val="0"/>
                <w:bCs w:val="0"/>
                <w:noProof/>
                <w:webHidden/>
              </w:rPr>
              <w:instrText xml:space="preserve"> PAGEREF _Toc213748893 \h </w:instrText>
            </w:r>
            <w:r w:rsidRPr="00FD0236">
              <w:rPr>
                <w:rFonts w:asciiTheme="majorBidi" w:hAnsiTheme="majorBidi" w:cstheme="majorBidi"/>
                <w:b w:val="0"/>
                <w:bCs w:val="0"/>
                <w:noProof/>
                <w:webHidden/>
              </w:rPr>
            </w:r>
            <w:r w:rsidRPr="00FD0236">
              <w:rPr>
                <w:rFonts w:asciiTheme="majorBidi" w:hAnsiTheme="majorBidi" w:cstheme="majorBidi"/>
                <w:b w:val="0"/>
                <w:bCs w:val="0"/>
                <w:noProof/>
                <w:webHidden/>
              </w:rPr>
              <w:fldChar w:fldCharType="separate"/>
            </w:r>
            <w:r w:rsidRPr="00FD0236">
              <w:rPr>
                <w:rFonts w:asciiTheme="majorBidi" w:hAnsiTheme="majorBidi" w:cstheme="majorBidi"/>
                <w:b w:val="0"/>
                <w:bCs w:val="0"/>
                <w:noProof/>
                <w:webHidden/>
              </w:rPr>
              <w:t>1</w:t>
            </w:r>
            <w:r w:rsidRPr="00FD0236">
              <w:rPr>
                <w:rFonts w:asciiTheme="majorBidi" w:hAnsiTheme="majorBidi" w:cstheme="majorBidi"/>
                <w:b w:val="0"/>
                <w:bCs w:val="0"/>
                <w:noProof/>
                <w:webHidden/>
              </w:rPr>
              <w:fldChar w:fldCharType="end"/>
            </w:r>
          </w:hyperlink>
        </w:p>
        <w:p w14:paraId="22CBDE64" w14:textId="6533E33E"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894" w:history="1">
            <w:r w:rsidRPr="00FD0236">
              <w:rPr>
                <w:rStyle w:val="Hyperlink"/>
                <w:rFonts w:asciiTheme="majorBidi" w:hAnsiTheme="majorBidi" w:cstheme="majorBidi"/>
                <w:noProof/>
              </w:rPr>
              <w:t>1.1.</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Research Background</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_Toc213748894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1</w:t>
            </w:r>
            <w:r w:rsidRPr="00FD0236">
              <w:rPr>
                <w:rFonts w:asciiTheme="majorBidi" w:hAnsiTheme="majorBidi" w:cstheme="majorBidi"/>
                <w:noProof/>
                <w:webHidden/>
              </w:rPr>
              <w:fldChar w:fldCharType="end"/>
            </w:r>
          </w:hyperlink>
        </w:p>
        <w:p w14:paraId="021F617F" w14:textId="6197B97E"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895" w:history="1">
            <w:r w:rsidRPr="00FD0236">
              <w:rPr>
                <w:rStyle w:val="Hyperlink"/>
                <w:rFonts w:asciiTheme="majorBidi" w:hAnsiTheme="majorBidi" w:cstheme="majorBidi"/>
                <w:noProof/>
              </w:rPr>
              <w:t>1.2.</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Research Motivation</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_Toc213748895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6</w:t>
            </w:r>
            <w:r w:rsidRPr="00FD0236">
              <w:rPr>
                <w:rFonts w:asciiTheme="majorBidi" w:hAnsiTheme="majorBidi" w:cstheme="majorBidi"/>
                <w:noProof/>
                <w:webHidden/>
              </w:rPr>
              <w:fldChar w:fldCharType="end"/>
            </w:r>
          </w:hyperlink>
        </w:p>
        <w:p w14:paraId="08EBFD56" w14:textId="580E1297"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896" w:history="1">
            <w:r w:rsidRPr="00FD0236">
              <w:rPr>
                <w:rStyle w:val="Hyperlink"/>
                <w:rFonts w:asciiTheme="majorBidi" w:hAnsiTheme="majorBidi" w:cstheme="majorBidi"/>
                <w:noProof/>
              </w:rPr>
              <w:t>1.3.</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Research Questions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_Toc213748896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6</w:t>
            </w:r>
            <w:r w:rsidRPr="00FD0236">
              <w:rPr>
                <w:rFonts w:asciiTheme="majorBidi" w:hAnsiTheme="majorBidi" w:cstheme="majorBidi"/>
                <w:noProof/>
                <w:webHidden/>
              </w:rPr>
              <w:fldChar w:fldCharType="end"/>
            </w:r>
          </w:hyperlink>
        </w:p>
        <w:p w14:paraId="6062888F" w14:textId="330C2957"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897" w:history="1">
            <w:r w:rsidRPr="00FD0236">
              <w:rPr>
                <w:rStyle w:val="Hyperlink"/>
                <w:rFonts w:asciiTheme="majorBidi" w:hAnsiTheme="majorBidi" w:cstheme="majorBidi"/>
                <w:noProof/>
              </w:rPr>
              <w:t>1.4.</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Research Aims and Objectives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_Toc213748897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6</w:t>
            </w:r>
            <w:r w:rsidRPr="00FD0236">
              <w:rPr>
                <w:rFonts w:asciiTheme="majorBidi" w:hAnsiTheme="majorBidi" w:cstheme="majorBidi"/>
                <w:noProof/>
                <w:webHidden/>
              </w:rPr>
              <w:fldChar w:fldCharType="end"/>
            </w:r>
          </w:hyperlink>
        </w:p>
        <w:p w14:paraId="3F1DCF40" w14:textId="70A9B35A"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898" w:history="1">
            <w:r w:rsidRPr="00FD0236">
              <w:rPr>
                <w:rStyle w:val="Hyperlink"/>
                <w:rFonts w:asciiTheme="majorBidi" w:hAnsiTheme="majorBidi" w:cstheme="majorBidi"/>
                <w:noProof/>
              </w:rPr>
              <w:t>1.5.</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Research Limitation</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_Toc213748898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7</w:t>
            </w:r>
            <w:r w:rsidRPr="00FD0236">
              <w:rPr>
                <w:rFonts w:asciiTheme="majorBidi" w:hAnsiTheme="majorBidi" w:cstheme="majorBidi"/>
                <w:noProof/>
                <w:webHidden/>
              </w:rPr>
              <w:fldChar w:fldCharType="end"/>
            </w:r>
          </w:hyperlink>
        </w:p>
        <w:p w14:paraId="75A497B9" w14:textId="2AEEBF15"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899" w:history="1">
            <w:r w:rsidRPr="00FD0236">
              <w:rPr>
                <w:rStyle w:val="Hyperlink"/>
                <w:rFonts w:asciiTheme="majorBidi" w:hAnsiTheme="majorBidi" w:cstheme="majorBidi"/>
                <w:noProof/>
              </w:rPr>
              <w:t>1.6.</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Concluding Summary</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_Toc213748899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8</w:t>
            </w:r>
            <w:r w:rsidRPr="00FD0236">
              <w:rPr>
                <w:rFonts w:asciiTheme="majorBidi" w:hAnsiTheme="majorBidi" w:cstheme="majorBidi"/>
                <w:noProof/>
                <w:webHidden/>
              </w:rPr>
              <w:fldChar w:fldCharType="end"/>
            </w:r>
          </w:hyperlink>
        </w:p>
        <w:p w14:paraId="465D8D5E" w14:textId="47BB58B9" w:rsidR="00FD0236" w:rsidRPr="00FD0236" w:rsidRDefault="00FD0236" w:rsidP="00FD0236">
          <w:pPr>
            <w:pStyle w:val="TOC1"/>
            <w:rPr>
              <w:rFonts w:asciiTheme="majorBidi" w:eastAsiaTheme="minorEastAsia" w:hAnsiTheme="majorBidi" w:cstheme="majorBidi"/>
              <w:b w:val="0"/>
              <w:bCs w:val="0"/>
              <w:noProof/>
              <w:sz w:val="24"/>
              <w:szCs w:val="24"/>
              <w:lang w:eastAsia="zh-CN"/>
            </w:rPr>
          </w:pPr>
          <w:hyperlink w:anchor="_Toc213748900" w:history="1">
            <w:r w:rsidRPr="00FD0236">
              <w:rPr>
                <w:rStyle w:val="Hyperlink"/>
                <w:rFonts w:asciiTheme="majorBidi" w:hAnsiTheme="majorBidi" w:cstheme="majorBidi"/>
                <w:b w:val="0"/>
                <w:bCs w:val="0"/>
                <w:noProof/>
              </w:rPr>
              <w:t>2.</w:t>
            </w:r>
            <w:r w:rsidRPr="00FD0236">
              <w:rPr>
                <w:rFonts w:asciiTheme="majorBidi" w:eastAsiaTheme="minorEastAsia" w:hAnsiTheme="majorBidi" w:cstheme="majorBidi"/>
                <w:b w:val="0"/>
                <w:bCs w:val="0"/>
                <w:noProof/>
                <w:sz w:val="24"/>
                <w:szCs w:val="24"/>
                <w:lang w:eastAsia="zh-CN"/>
              </w:rPr>
              <w:tab/>
            </w:r>
            <w:r w:rsidRPr="00FD0236">
              <w:rPr>
                <w:rStyle w:val="Hyperlink"/>
                <w:rFonts w:asciiTheme="majorBidi" w:hAnsiTheme="majorBidi" w:cstheme="majorBidi"/>
                <w:b w:val="0"/>
                <w:bCs w:val="0"/>
                <w:noProof/>
              </w:rPr>
              <w:t>Literature Review</w:t>
            </w:r>
            <w:r w:rsidRPr="00FD0236">
              <w:rPr>
                <w:rFonts w:asciiTheme="majorBidi" w:hAnsiTheme="majorBidi" w:cstheme="majorBidi"/>
                <w:b w:val="0"/>
                <w:bCs w:val="0"/>
                <w:noProof/>
                <w:webHidden/>
              </w:rPr>
              <w:tab/>
            </w:r>
            <w:r w:rsidRPr="00FD0236">
              <w:rPr>
                <w:rFonts w:asciiTheme="majorBidi" w:hAnsiTheme="majorBidi" w:cstheme="majorBidi"/>
                <w:b w:val="0"/>
                <w:bCs w:val="0"/>
                <w:noProof/>
                <w:webHidden/>
              </w:rPr>
              <w:fldChar w:fldCharType="begin"/>
            </w:r>
            <w:r w:rsidRPr="00FD0236">
              <w:rPr>
                <w:rFonts w:asciiTheme="majorBidi" w:hAnsiTheme="majorBidi" w:cstheme="majorBidi"/>
                <w:b w:val="0"/>
                <w:bCs w:val="0"/>
                <w:noProof/>
                <w:webHidden/>
              </w:rPr>
              <w:instrText xml:space="preserve"> PAGEREF _Toc213748900 \h </w:instrText>
            </w:r>
            <w:r w:rsidRPr="00FD0236">
              <w:rPr>
                <w:rFonts w:asciiTheme="majorBidi" w:hAnsiTheme="majorBidi" w:cstheme="majorBidi"/>
                <w:b w:val="0"/>
                <w:bCs w:val="0"/>
                <w:noProof/>
                <w:webHidden/>
              </w:rPr>
            </w:r>
            <w:r w:rsidRPr="00FD0236">
              <w:rPr>
                <w:rFonts w:asciiTheme="majorBidi" w:hAnsiTheme="majorBidi" w:cstheme="majorBidi"/>
                <w:b w:val="0"/>
                <w:bCs w:val="0"/>
                <w:noProof/>
                <w:webHidden/>
              </w:rPr>
              <w:fldChar w:fldCharType="separate"/>
            </w:r>
            <w:r w:rsidRPr="00FD0236">
              <w:rPr>
                <w:rFonts w:asciiTheme="majorBidi" w:hAnsiTheme="majorBidi" w:cstheme="majorBidi"/>
                <w:b w:val="0"/>
                <w:bCs w:val="0"/>
                <w:noProof/>
                <w:webHidden/>
              </w:rPr>
              <w:t>9</w:t>
            </w:r>
            <w:r w:rsidRPr="00FD0236">
              <w:rPr>
                <w:rFonts w:asciiTheme="majorBidi" w:hAnsiTheme="majorBidi" w:cstheme="majorBidi"/>
                <w:b w:val="0"/>
                <w:bCs w:val="0"/>
                <w:noProof/>
                <w:webHidden/>
              </w:rPr>
              <w:fldChar w:fldCharType="end"/>
            </w:r>
          </w:hyperlink>
        </w:p>
        <w:p w14:paraId="0E051E0D" w14:textId="4B7F9C92"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01" w:history="1">
            <w:r w:rsidRPr="00FD0236">
              <w:rPr>
                <w:rStyle w:val="Hyperlink"/>
                <w:rFonts w:asciiTheme="majorBidi" w:hAnsiTheme="majorBidi" w:cstheme="majorBidi"/>
                <w:noProof/>
              </w:rPr>
              <w:t>2.1.</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Social Media Marketing Activities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_Toc213748901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9</w:t>
            </w:r>
            <w:r w:rsidRPr="00FD0236">
              <w:rPr>
                <w:rFonts w:asciiTheme="majorBidi" w:hAnsiTheme="majorBidi" w:cstheme="majorBidi"/>
                <w:noProof/>
                <w:webHidden/>
              </w:rPr>
              <w:fldChar w:fldCharType="end"/>
            </w:r>
          </w:hyperlink>
        </w:p>
        <w:p w14:paraId="755E9676" w14:textId="34131E15"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02" w:history="1">
            <w:r w:rsidRPr="00FD0236">
              <w:rPr>
                <w:rStyle w:val="Hyperlink"/>
                <w:rFonts w:asciiTheme="majorBidi" w:hAnsiTheme="majorBidi" w:cstheme="majorBidi"/>
                <w:noProof/>
              </w:rPr>
              <w:t>2.1.1.</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Definition of Social Media Marketing Activities (SMMA)</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_Toc213748902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9</w:t>
            </w:r>
            <w:r w:rsidRPr="00FD0236">
              <w:rPr>
                <w:rFonts w:asciiTheme="majorBidi" w:hAnsiTheme="majorBidi" w:cstheme="majorBidi"/>
                <w:noProof/>
                <w:webHidden/>
              </w:rPr>
              <w:fldChar w:fldCharType="end"/>
            </w:r>
          </w:hyperlink>
        </w:p>
        <w:p w14:paraId="48BF207B" w14:textId="0D6F54C7"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03" w:history="1">
            <w:r w:rsidRPr="00FD0236">
              <w:rPr>
                <w:rStyle w:val="Hyperlink"/>
                <w:rFonts w:asciiTheme="majorBidi" w:hAnsiTheme="majorBidi" w:cstheme="majorBidi"/>
                <w:noProof/>
              </w:rPr>
              <w:t>2.1.2.</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Measurement of Social Media Marketing Activities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_Toc213748903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10</w:t>
            </w:r>
            <w:r w:rsidRPr="00FD0236">
              <w:rPr>
                <w:rFonts w:asciiTheme="majorBidi" w:hAnsiTheme="majorBidi" w:cstheme="majorBidi"/>
                <w:noProof/>
                <w:webHidden/>
              </w:rPr>
              <w:fldChar w:fldCharType="end"/>
            </w:r>
          </w:hyperlink>
        </w:p>
        <w:p w14:paraId="674DF303" w14:textId="2C3F33F5"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04" w:history="1">
            <w:r w:rsidRPr="00FD0236">
              <w:rPr>
                <w:rStyle w:val="Hyperlink"/>
                <w:rFonts w:asciiTheme="majorBidi" w:hAnsiTheme="majorBidi" w:cstheme="majorBidi"/>
                <w:noProof/>
              </w:rPr>
              <w:t>2.1.3.</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Concluding Summary</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_Toc213748904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11</w:t>
            </w:r>
            <w:r w:rsidRPr="00FD0236">
              <w:rPr>
                <w:rFonts w:asciiTheme="majorBidi" w:hAnsiTheme="majorBidi" w:cstheme="majorBidi"/>
                <w:noProof/>
                <w:webHidden/>
              </w:rPr>
              <w:fldChar w:fldCharType="end"/>
            </w:r>
          </w:hyperlink>
        </w:p>
        <w:p w14:paraId="34709C3F" w14:textId="49525928"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05" w:history="1">
            <w:r w:rsidRPr="00FD0236">
              <w:rPr>
                <w:rStyle w:val="Hyperlink"/>
                <w:rFonts w:asciiTheme="majorBidi" w:hAnsiTheme="majorBidi" w:cstheme="majorBidi"/>
                <w:noProof/>
              </w:rPr>
              <w:t>2.2.</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Environmental Conscious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_Toc213748905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12</w:t>
            </w:r>
            <w:r w:rsidRPr="00FD0236">
              <w:rPr>
                <w:rFonts w:asciiTheme="majorBidi" w:hAnsiTheme="majorBidi" w:cstheme="majorBidi"/>
                <w:noProof/>
                <w:webHidden/>
              </w:rPr>
              <w:fldChar w:fldCharType="end"/>
            </w:r>
          </w:hyperlink>
        </w:p>
        <w:p w14:paraId="5F26F4C7" w14:textId="10DE30C8"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06" w:history="1">
            <w:r w:rsidRPr="00FD0236">
              <w:rPr>
                <w:rStyle w:val="Hyperlink"/>
                <w:rFonts w:asciiTheme="majorBidi" w:hAnsiTheme="majorBidi" w:cstheme="majorBidi"/>
                <w:noProof/>
              </w:rPr>
              <w:t>2.2.1.</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Definition of Environmental Conscious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_Toc213748906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12</w:t>
            </w:r>
            <w:r w:rsidRPr="00FD0236">
              <w:rPr>
                <w:rFonts w:asciiTheme="majorBidi" w:hAnsiTheme="majorBidi" w:cstheme="majorBidi"/>
                <w:noProof/>
                <w:webHidden/>
              </w:rPr>
              <w:fldChar w:fldCharType="end"/>
            </w:r>
          </w:hyperlink>
        </w:p>
        <w:p w14:paraId="7489529A" w14:textId="59E1C92B"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07" w:history="1">
            <w:r w:rsidRPr="00FD0236">
              <w:rPr>
                <w:rStyle w:val="Hyperlink"/>
                <w:rFonts w:asciiTheme="majorBidi" w:hAnsiTheme="majorBidi" w:cstheme="majorBidi"/>
                <w:noProof/>
              </w:rPr>
              <w:t>2.2.2.</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Measurement of Environmental Conscious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_Toc213748907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13</w:t>
            </w:r>
            <w:r w:rsidRPr="00FD0236">
              <w:rPr>
                <w:rFonts w:asciiTheme="majorBidi" w:hAnsiTheme="majorBidi" w:cstheme="majorBidi"/>
                <w:noProof/>
                <w:webHidden/>
              </w:rPr>
              <w:fldChar w:fldCharType="end"/>
            </w:r>
          </w:hyperlink>
        </w:p>
        <w:p w14:paraId="5332D5C1" w14:textId="04002C74"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08" w:history="1">
            <w:r w:rsidRPr="00FD0236">
              <w:rPr>
                <w:rStyle w:val="Hyperlink"/>
                <w:rFonts w:asciiTheme="majorBidi" w:hAnsiTheme="majorBidi" w:cstheme="majorBidi"/>
                <w:noProof/>
              </w:rPr>
              <w:t>2.2.3.</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Concluding Summary</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_Toc213748908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14</w:t>
            </w:r>
            <w:r w:rsidRPr="00FD0236">
              <w:rPr>
                <w:rFonts w:asciiTheme="majorBidi" w:hAnsiTheme="majorBidi" w:cstheme="majorBidi"/>
                <w:noProof/>
                <w:webHidden/>
              </w:rPr>
              <w:fldChar w:fldCharType="end"/>
            </w:r>
          </w:hyperlink>
        </w:p>
        <w:p w14:paraId="603F3809" w14:textId="7B05C1F4"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09" w:history="1">
            <w:r w:rsidRPr="00FD0236">
              <w:rPr>
                <w:rStyle w:val="Hyperlink"/>
                <w:rFonts w:asciiTheme="majorBidi" w:hAnsiTheme="majorBidi" w:cstheme="majorBidi"/>
                <w:noProof/>
              </w:rPr>
              <w:t>2.3.</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Sustainability</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_Toc213748909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15</w:t>
            </w:r>
            <w:r w:rsidRPr="00FD0236">
              <w:rPr>
                <w:rFonts w:asciiTheme="majorBidi" w:hAnsiTheme="majorBidi" w:cstheme="majorBidi"/>
                <w:noProof/>
                <w:webHidden/>
              </w:rPr>
              <w:fldChar w:fldCharType="end"/>
            </w:r>
          </w:hyperlink>
        </w:p>
        <w:p w14:paraId="745592D3" w14:textId="7A5BCB7A"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10" w:history="1">
            <w:r w:rsidRPr="00FD0236">
              <w:rPr>
                <w:rStyle w:val="Hyperlink"/>
                <w:rFonts w:asciiTheme="majorBidi" w:hAnsiTheme="majorBidi" w:cstheme="majorBidi"/>
                <w:noProof/>
              </w:rPr>
              <w:t>2.3.1.</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Definition of Sustainability</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_Toc213748910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15</w:t>
            </w:r>
            <w:r w:rsidRPr="00FD0236">
              <w:rPr>
                <w:rFonts w:asciiTheme="majorBidi" w:hAnsiTheme="majorBidi" w:cstheme="majorBidi"/>
                <w:noProof/>
                <w:webHidden/>
              </w:rPr>
              <w:fldChar w:fldCharType="end"/>
            </w:r>
          </w:hyperlink>
        </w:p>
        <w:p w14:paraId="11EE9587" w14:textId="0209C807"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11" w:history="1">
            <w:r w:rsidRPr="00FD0236">
              <w:rPr>
                <w:rStyle w:val="Hyperlink"/>
                <w:rFonts w:asciiTheme="majorBidi" w:hAnsiTheme="majorBidi" w:cstheme="majorBidi"/>
                <w:noProof/>
              </w:rPr>
              <w:t>2.3.2.</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Measurement of Sustainability</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_Toc213748911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16</w:t>
            </w:r>
            <w:r w:rsidRPr="00FD0236">
              <w:rPr>
                <w:rFonts w:asciiTheme="majorBidi" w:hAnsiTheme="majorBidi" w:cstheme="majorBidi"/>
                <w:noProof/>
                <w:webHidden/>
              </w:rPr>
              <w:fldChar w:fldCharType="end"/>
            </w:r>
          </w:hyperlink>
        </w:p>
        <w:p w14:paraId="08EB0CAD" w14:textId="74682864"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12" w:history="1">
            <w:r w:rsidRPr="00FD0236">
              <w:rPr>
                <w:rStyle w:val="Hyperlink"/>
                <w:rFonts w:asciiTheme="majorBidi" w:hAnsiTheme="majorBidi" w:cstheme="majorBidi"/>
                <w:noProof/>
              </w:rPr>
              <w:t>2.3.3.</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Concluding Summary</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_Toc213748912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17</w:t>
            </w:r>
            <w:r w:rsidRPr="00FD0236">
              <w:rPr>
                <w:rFonts w:asciiTheme="majorBidi" w:hAnsiTheme="majorBidi" w:cstheme="majorBidi"/>
                <w:noProof/>
                <w:webHidden/>
              </w:rPr>
              <w:fldChar w:fldCharType="end"/>
            </w:r>
          </w:hyperlink>
        </w:p>
        <w:p w14:paraId="3C51F7E7" w14:textId="732D1AF1"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13" w:history="1">
            <w:r w:rsidRPr="00FD0236">
              <w:rPr>
                <w:rStyle w:val="Hyperlink"/>
                <w:rFonts w:asciiTheme="majorBidi" w:hAnsiTheme="majorBidi" w:cstheme="majorBidi"/>
                <w:noProof/>
              </w:rPr>
              <w:t>2.4.</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Brand Trust</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_Toc213748913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18</w:t>
            </w:r>
            <w:r w:rsidRPr="00FD0236">
              <w:rPr>
                <w:rFonts w:asciiTheme="majorBidi" w:hAnsiTheme="majorBidi" w:cstheme="majorBidi"/>
                <w:noProof/>
                <w:webHidden/>
              </w:rPr>
              <w:fldChar w:fldCharType="end"/>
            </w:r>
          </w:hyperlink>
        </w:p>
        <w:p w14:paraId="2FA03575" w14:textId="5593E019"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14" w:history="1">
            <w:r w:rsidRPr="00FD0236">
              <w:rPr>
                <w:rStyle w:val="Hyperlink"/>
                <w:rFonts w:asciiTheme="majorBidi" w:hAnsiTheme="majorBidi" w:cstheme="majorBidi"/>
                <w:noProof/>
              </w:rPr>
              <w:t>2.4.1.</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Definition of Brand Trust</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_Toc213748914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18</w:t>
            </w:r>
            <w:r w:rsidRPr="00FD0236">
              <w:rPr>
                <w:rFonts w:asciiTheme="majorBidi" w:hAnsiTheme="majorBidi" w:cstheme="majorBidi"/>
                <w:noProof/>
                <w:webHidden/>
              </w:rPr>
              <w:fldChar w:fldCharType="end"/>
            </w:r>
          </w:hyperlink>
        </w:p>
        <w:p w14:paraId="302F897E" w14:textId="4445F6B3"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15" w:history="1">
            <w:r w:rsidRPr="00FD0236">
              <w:rPr>
                <w:rStyle w:val="Hyperlink"/>
                <w:rFonts w:asciiTheme="majorBidi" w:hAnsiTheme="majorBidi" w:cstheme="majorBidi"/>
                <w:noProof/>
              </w:rPr>
              <w:t>2.4.2.</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Measurement of Brand Trust</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_Toc213748915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19</w:t>
            </w:r>
            <w:r w:rsidRPr="00FD0236">
              <w:rPr>
                <w:rFonts w:asciiTheme="majorBidi" w:hAnsiTheme="majorBidi" w:cstheme="majorBidi"/>
                <w:noProof/>
                <w:webHidden/>
              </w:rPr>
              <w:fldChar w:fldCharType="end"/>
            </w:r>
          </w:hyperlink>
        </w:p>
        <w:p w14:paraId="2ABA8542" w14:textId="4AB754C9"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16" w:history="1">
            <w:r w:rsidRPr="00FD0236">
              <w:rPr>
                <w:rStyle w:val="Hyperlink"/>
                <w:rFonts w:asciiTheme="majorBidi" w:hAnsiTheme="majorBidi" w:cstheme="majorBidi"/>
                <w:noProof/>
              </w:rPr>
              <w:t>2.4.3.</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Concluding Summary</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_Toc213748916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20</w:t>
            </w:r>
            <w:r w:rsidRPr="00FD0236">
              <w:rPr>
                <w:rFonts w:asciiTheme="majorBidi" w:hAnsiTheme="majorBidi" w:cstheme="majorBidi"/>
                <w:noProof/>
                <w:webHidden/>
              </w:rPr>
              <w:fldChar w:fldCharType="end"/>
            </w:r>
          </w:hyperlink>
        </w:p>
        <w:p w14:paraId="509710B0" w14:textId="6FE604CB"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17" w:history="1">
            <w:r w:rsidRPr="00FD0236">
              <w:rPr>
                <w:rStyle w:val="Hyperlink"/>
                <w:rFonts w:asciiTheme="majorBidi" w:hAnsiTheme="majorBidi" w:cstheme="majorBidi"/>
                <w:noProof/>
              </w:rPr>
              <w:t>2.5.</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Relationship between Variables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_Toc213748917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21</w:t>
            </w:r>
            <w:r w:rsidRPr="00FD0236">
              <w:rPr>
                <w:rFonts w:asciiTheme="majorBidi" w:hAnsiTheme="majorBidi" w:cstheme="majorBidi"/>
                <w:noProof/>
                <w:webHidden/>
              </w:rPr>
              <w:fldChar w:fldCharType="end"/>
            </w:r>
          </w:hyperlink>
        </w:p>
        <w:p w14:paraId="4E68165D" w14:textId="7C746CC3"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18" w:history="1">
            <w:r w:rsidRPr="00FD0236">
              <w:rPr>
                <w:rStyle w:val="Hyperlink"/>
                <w:rFonts w:asciiTheme="majorBidi" w:hAnsiTheme="majorBidi" w:cstheme="majorBidi"/>
                <w:noProof/>
              </w:rPr>
              <w:t>2.5.1.</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Social Meida Marketing Activities and Purchase Intention</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_Toc213748918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21</w:t>
            </w:r>
            <w:r w:rsidRPr="00FD0236">
              <w:rPr>
                <w:rFonts w:asciiTheme="majorBidi" w:hAnsiTheme="majorBidi" w:cstheme="majorBidi"/>
                <w:noProof/>
                <w:webHidden/>
              </w:rPr>
              <w:fldChar w:fldCharType="end"/>
            </w:r>
          </w:hyperlink>
        </w:p>
        <w:p w14:paraId="0A2ED33E" w14:textId="4BE5AADC"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19" w:history="1">
            <w:r w:rsidRPr="00FD0236">
              <w:rPr>
                <w:rStyle w:val="Hyperlink"/>
                <w:rFonts w:asciiTheme="majorBidi" w:hAnsiTheme="majorBidi" w:cstheme="majorBidi"/>
                <w:noProof/>
              </w:rPr>
              <w:t>2.5.2.</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Environmental Conscious and Purchase Intention</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_Toc213748919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21</w:t>
            </w:r>
            <w:r w:rsidRPr="00FD0236">
              <w:rPr>
                <w:rFonts w:asciiTheme="majorBidi" w:hAnsiTheme="majorBidi" w:cstheme="majorBidi"/>
                <w:noProof/>
                <w:webHidden/>
              </w:rPr>
              <w:fldChar w:fldCharType="end"/>
            </w:r>
          </w:hyperlink>
        </w:p>
        <w:p w14:paraId="416AA2C0" w14:textId="058F46CD"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20" w:history="1">
            <w:r w:rsidRPr="00FD0236">
              <w:rPr>
                <w:rStyle w:val="Hyperlink"/>
                <w:rFonts w:asciiTheme="majorBidi" w:hAnsiTheme="majorBidi" w:cstheme="majorBidi"/>
                <w:noProof/>
              </w:rPr>
              <w:t>2.5.3.</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Sustainability and Purchase Intention</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_Toc213748920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21</w:t>
            </w:r>
            <w:r w:rsidRPr="00FD0236">
              <w:rPr>
                <w:rFonts w:asciiTheme="majorBidi" w:hAnsiTheme="majorBidi" w:cstheme="majorBidi"/>
                <w:noProof/>
                <w:webHidden/>
              </w:rPr>
              <w:fldChar w:fldCharType="end"/>
            </w:r>
          </w:hyperlink>
        </w:p>
        <w:p w14:paraId="32F2868E" w14:textId="34C55BF2"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hyperlink w:anchor="_Toc213748921" w:history="1">
            <w:r w:rsidRPr="00FD0236">
              <w:rPr>
                <w:rStyle w:val="Hyperlink"/>
                <w:rFonts w:asciiTheme="majorBidi" w:hAnsiTheme="majorBidi" w:cstheme="majorBidi"/>
                <w:noProof/>
              </w:rPr>
              <w:t>2.5.4.</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Brand Trust and Purchase Intention</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_Toc213748921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22</w:t>
            </w:r>
            <w:r w:rsidRPr="00FD0236">
              <w:rPr>
                <w:rFonts w:asciiTheme="majorBidi" w:hAnsiTheme="majorBidi" w:cstheme="majorBidi"/>
                <w:noProof/>
                <w:webHidden/>
              </w:rPr>
              <w:fldChar w:fldCharType="end"/>
            </w:r>
          </w:hyperlink>
        </w:p>
        <w:p w14:paraId="1D20B128" w14:textId="4EEE5439" w:rsidR="00FD0236" w:rsidRPr="00FD0236" w:rsidRDefault="00FD0236" w:rsidP="00FD0236">
          <w:pPr>
            <w:pStyle w:val="TOC1"/>
            <w:rPr>
              <w:rFonts w:asciiTheme="majorBidi" w:eastAsiaTheme="minorEastAsia" w:hAnsiTheme="majorBidi" w:cstheme="majorBidi"/>
              <w:b w:val="0"/>
              <w:bCs w:val="0"/>
              <w:noProof/>
              <w:sz w:val="24"/>
              <w:szCs w:val="24"/>
              <w:lang w:eastAsia="zh-CN"/>
            </w:rPr>
          </w:pPr>
          <w:hyperlink w:anchor="_Toc213748922" w:history="1">
            <w:r w:rsidRPr="00FD0236">
              <w:rPr>
                <w:rStyle w:val="Hyperlink"/>
                <w:rFonts w:asciiTheme="majorBidi" w:hAnsiTheme="majorBidi" w:cstheme="majorBidi"/>
                <w:b w:val="0"/>
                <w:bCs w:val="0"/>
                <w:noProof/>
              </w:rPr>
              <w:t>3.</w:t>
            </w:r>
            <w:r w:rsidRPr="00FD0236">
              <w:rPr>
                <w:rFonts w:asciiTheme="majorBidi" w:eastAsiaTheme="minorEastAsia" w:hAnsiTheme="majorBidi" w:cstheme="majorBidi"/>
                <w:b w:val="0"/>
                <w:bCs w:val="0"/>
                <w:noProof/>
                <w:sz w:val="24"/>
                <w:szCs w:val="24"/>
                <w:lang w:eastAsia="zh-CN"/>
              </w:rPr>
              <w:tab/>
            </w:r>
            <w:r w:rsidRPr="00FD0236">
              <w:rPr>
                <w:rStyle w:val="Hyperlink"/>
                <w:rFonts w:asciiTheme="majorBidi" w:hAnsiTheme="majorBidi" w:cstheme="majorBidi"/>
                <w:b w:val="0"/>
                <w:bCs w:val="0"/>
                <w:noProof/>
              </w:rPr>
              <w:t>Research Methodology</w:t>
            </w:r>
            <w:r w:rsidRPr="00FD0236">
              <w:rPr>
                <w:rFonts w:asciiTheme="majorBidi" w:hAnsiTheme="majorBidi" w:cstheme="majorBidi"/>
                <w:b w:val="0"/>
                <w:bCs w:val="0"/>
                <w:noProof/>
                <w:webHidden/>
              </w:rPr>
              <w:tab/>
            </w:r>
            <w:r w:rsidRPr="00FD0236">
              <w:rPr>
                <w:rFonts w:asciiTheme="majorBidi" w:hAnsiTheme="majorBidi" w:cstheme="majorBidi"/>
                <w:b w:val="0"/>
                <w:bCs w:val="0"/>
                <w:noProof/>
                <w:webHidden/>
              </w:rPr>
              <w:fldChar w:fldCharType="begin"/>
            </w:r>
            <w:r w:rsidRPr="00FD0236">
              <w:rPr>
                <w:rFonts w:asciiTheme="majorBidi" w:hAnsiTheme="majorBidi" w:cstheme="majorBidi"/>
                <w:b w:val="0"/>
                <w:bCs w:val="0"/>
                <w:noProof/>
                <w:webHidden/>
              </w:rPr>
              <w:instrText xml:space="preserve"> PAGEREF _Toc213748922 \h </w:instrText>
            </w:r>
            <w:r w:rsidRPr="00FD0236">
              <w:rPr>
                <w:rFonts w:asciiTheme="majorBidi" w:hAnsiTheme="majorBidi" w:cstheme="majorBidi"/>
                <w:b w:val="0"/>
                <w:bCs w:val="0"/>
                <w:noProof/>
                <w:webHidden/>
              </w:rPr>
            </w:r>
            <w:r w:rsidRPr="00FD0236">
              <w:rPr>
                <w:rFonts w:asciiTheme="majorBidi" w:hAnsiTheme="majorBidi" w:cstheme="majorBidi"/>
                <w:b w:val="0"/>
                <w:bCs w:val="0"/>
                <w:noProof/>
                <w:webHidden/>
              </w:rPr>
              <w:fldChar w:fldCharType="separate"/>
            </w:r>
            <w:r w:rsidRPr="00FD0236">
              <w:rPr>
                <w:rFonts w:asciiTheme="majorBidi" w:hAnsiTheme="majorBidi" w:cstheme="majorBidi"/>
                <w:b w:val="0"/>
                <w:bCs w:val="0"/>
                <w:noProof/>
                <w:webHidden/>
              </w:rPr>
              <w:t>23</w:t>
            </w:r>
            <w:r w:rsidRPr="00FD0236">
              <w:rPr>
                <w:rFonts w:asciiTheme="majorBidi" w:hAnsiTheme="majorBidi" w:cstheme="majorBidi"/>
                <w:b w:val="0"/>
                <w:bCs w:val="0"/>
                <w:noProof/>
                <w:webHidden/>
              </w:rPr>
              <w:fldChar w:fldCharType="end"/>
            </w:r>
          </w:hyperlink>
        </w:p>
        <w:p w14:paraId="0A390E85" w14:textId="3A025C17"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23" w:history="1">
            <w:r w:rsidRPr="00FD0236">
              <w:rPr>
                <w:rStyle w:val="Hyperlink"/>
                <w:rFonts w:asciiTheme="majorBidi" w:hAnsiTheme="majorBidi" w:cstheme="majorBidi"/>
                <w:noProof/>
              </w:rPr>
              <w:t>3.1.</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Type of Research</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_Toc213748923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23</w:t>
            </w:r>
            <w:r w:rsidRPr="00FD0236">
              <w:rPr>
                <w:rFonts w:asciiTheme="majorBidi" w:hAnsiTheme="majorBidi" w:cstheme="majorBidi"/>
                <w:noProof/>
                <w:webHidden/>
              </w:rPr>
              <w:fldChar w:fldCharType="end"/>
            </w:r>
          </w:hyperlink>
        </w:p>
        <w:p w14:paraId="49EEC6A1" w14:textId="0B4166F0"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24" w:history="1">
            <w:r w:rsidRPr="00FD0236">
              <w:rPr>
                <w:rStyle w:val="Hyperlink"/>
                <w:rFonts w:asciiTheme="majorBidi" w:hAnsiTheme="majorBidi" w:cstheme="majorBidi"/>
                <w:noProof/>
              </w:rPr>
              <w:t>3.1.1.</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Qualitative Research</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_Toc213748924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23</w:t>
            </w:r>
            <w:r w:rsidRPr="00FD0236">
              <w:rPr>
                <w:rFonts w:asciiTheme="majorBidi" w:hAnsiTheme="majorBidi" w:cstheme="majorBidi"/>
                <w:noProof/>
                <w:webHidden/>
              </w:rPr>
              <w:fldChar w:fldCharType="end"/>
            </w:r>
          </w:hyperlink>
        </w:p>
        <w:p w14:paraId="6846DECF" w14:textId="595B24D4"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25" w:history="1">
            <w:r w:rsidRPr="00FD0236">
              <w:rPr>
                <w:rStyle w:val="Hyperlink"/>
                <w:rFonts w:asciiTheme="majorBidi" w:hAnsiTheme="majorBidi" w:cstheme="majorBidi"/>
                <w:noProof/>
              </w:rPr>
              <w:t>3.1.2.</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Quantitative Research</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_Toc213748925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23</w:t>
            </w:r>
            <w:r w:rsidRPr="00FD0236">
              <w:rPr>
                <w:rFonts w:asciiTheme="majorBidi" w:hAnsiTheme="majorBidi" w:cstheme="majorBidi"/>
                <w:noProof/>
                <w:webHidden/>
              </w:rPr>
              <w:fldChar w:fldCharType="end"/>
            </w:r>
          </w:hyperlink>
        </w:p>
        <w:p w14:paraId="01DEA09E" w14:textId="7DDC934D"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26" w:history="1">
            <w:r w:rsidRPr="00FD0236">
              <w:rPr>
                <w:rStyle w:val="Hyperlink"/>
                <w:rFonts w:asciiTheme="majorBidi" w:hAnsiTheme="majorBidi" w:cstheme="majorBidi"/>
                <w:noProof/>
              </w:rPr>
              <w:t>3.1.3.</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Triangulation Research</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_Toc213748926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24</w:t>
            </w:r>
            <w:r w:rsidRPr="00FD0236">
              <w:rPr>
                <w:rFonts w:asciiTheme="majorBidi" w:hAnsiTheme="majorBidi" w:cstheme="majorBidi"/>
                <w:noProof/>
                <w:webHidden/>
              </w:rPr>
              <w:fldChar w:fldCharType="end"/>
            </w:r>
          </w:hyperlink>
        </w:p>
        <w:p w14:paraId="54C472B6" w14:textId="5196CAAB"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27" w:history="1">
            <w:r w:rsidRPr="00FD0236">
              <w:rPr>
                <w:rStyle w:val="Hyperlink"/>
                <w:rFonts w:asciiTheme="majorBidi" w:hAnsiTheme="majorBidi" w:cstheme="majorBidi"/>
                <w:noProof/>
              </w:rPr>
              <w:t>3.2.</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Research Hypothesis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_Toc213748927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24</w:t>
            </w:r>
            <w:r w:rsidRPr="00FD0236">
              <w:rPr>
                <w:rFonts w:asciiTheme="majorBidi" w:hAnsiTheme="majorBidi" w:cstheme="majorBidi"/>
                <w:noProof/>
                <w:webHidden/>
              </w:rPr>
              <w:fldChar w:fldCharType="end"/>
            </w:r>
          </w:hyperlink>
        </w:p>
        <w:p w14:paraId="0F719B7F" w14:textId="48490B49"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28" w:history="1">
            <w:r w:rsidRPr="00FD0236">
              <w:rPr>
                <w:rStyle w:val="Hyperlink"/>
                <w:rFonts w:asciiTheme="majorBidi" w:hAnsiTheme="majorBidi" w:cstheme="majorBidi"/>
                <w:noProof/>
              </w:rPr>
              <w:t>3.3.</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Conceptual Research Model</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_Toc213748928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26</w:t>
            </w:r>
            <w:r w:rsidRPr="00FD0236">
              <w:rPr>
                <w:rFonts w:asciiTheme="majorBidi" w:hAnsiTheme="majorBidi" w:cstheme="majorBidi"/>
                <w:noProof/>
                <w:webHidden/>
              </w:rPr>
              <w:fldChar w:fldCharType="end"/>
            </w:r>
          </w:hyperlink>
        </w:p>
        <w:p w14:paraId="1467066B" w14:textId="609224CE"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29" w:history="1">
            <w:r w:rsidRPr="00FD0236">
              <w:rPr>
                <w:rStyle w:val="Hyperlink"/>
                <w:rFonts w:asciiTheme="majorBidi" w:hAnsiTheme="majorBidi" w:cstheme="majorBidi"/>
                <w:noProof/>
              </w:rPr>
              <w:t>3.4.</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Type of Data</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_Toc213748929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27</w:t>
            </w:r>
            <w:r w:rsidRPr="00FD0236">
              <w:rPr>
                <w:rFonts w:asciiTheme="majorBidi" w:hAnsiTheme="majorBidi" w:cstheme="majorBidi"/>
                <w:noProof/>
                <w:webHidden/>
              </w:rPr>
              <w:fldChar w:fldCharType="end"/>
            </w:r>
          </w:hyperlink>
        </w:p>
        <w:p w14:paraId="4F6E01F3" w14:textId="4600C4C9"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30" w:history="1">
            <w:r w:rsidRPr="00FD0236">
              <w:rPr>
                <w:rStyle w:val="Hyperlink"/>
                <w:rFonts w:asciiTheme="majorBidi" w:hAnsiTheme="majorBidi" w:cstheme="majorBidi"/>
                <w:noProof/>
              </w:rPr>
              <w:t>3.4.1.</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Primary Data</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_Toc213748930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27</w:t>
            </w:r>
            <w:r w:rsidRPr="00FD0236">
              <w:rPr>
                <w:rFonts w:asciiTheme="majorBidi" w:hAnsiTheme="majorBidi" w:cstheme="majorBidi"/>
                <w:noProof/>
                <w:webHidden/>
              </w:rPr>
              <w:fldChar w:fldCharType="end"/>
            </w:r>
          </w:hyperlink>
        </w:p>
        <w:p w14:paraId="4A4DA144" w14:textId="164A80AF"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31" w:history="1">
            <w:r w:rsidRPr="00FD0236">
              <w:rPr>
                <w:rStyle w:val="Hyperlink"/>
                <w:rFonts w:asciiTheme="majorBidi" w:hAnsiTheme="majorBidi" w:cstheme="majorBidi"/>
                <w:noProof/>
              </w:rPr>
              <w:t>3.4.2.</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Secondary Data</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_Toc213748931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27</w:t>
            </w:r>
            <w:r w:rsidRPr="00FD0236">
              <w:rPr>
                <w:rFonts w:asciiTheme="majorBidi" w:hAnsiTheme="majorBidi" w:cstheme="majorBidi"/>
                <w:noProof/>
                <w:webHidden/>
              </w:rPr>
              <w:fldChar w:fldCharType="end"/>
            </w:r>
          </w:hyperlink>
        </w:p>
        <w:p w14:paraId="1F308D50" w14:textId="1C7C7C9A"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32" w:history="1">
            <w:r w:rsidRPr="00FD0236">
              <w:rPr>
                <w:rStyle w:val="Hyperlink"/>
                <w:rFonts w:asciiTheme="majorBidi" w:hAnsiTheme="majorBidi" w:cstheme="majorBidi"/>
                <w:noProof/>
              </w:rPr>
              <w:t>3.5.</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Participant of Study</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_Toc213748932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27</w:t>
            </w:r>
            <w:r w:rsidRPr="00FD0236">
              <w:rPr>
                <w:rFonts w:asciiTheme="majorBidi" w:hAnsiTheme="majorBidi" w:cstheme="majorBidi"/>
                <w:noProof/>
                <w:webHidden/>
              </w:rPr>
              <w:fldChar w:fldCharType="end"/>
            </w:r>
          </w:hyperlink>
        </w:p>
        <w:p w14:paraId="24AA0736" w14:textId="58D4A358"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33" w:history="1">
            <w:r w:rsidRPr="00FD0236">
              <w:rPr>
                <w:rStyle w:val="Hyperlink"/>
                <w:rFonts w:asciiTheme="majorBidi" w:hAnsiTheme="majorBidi" w:cstheme="majorBidi"/>
                <w:noProof/>
              </w:rPr>
              <w:t>3.5.1.</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Sample Strategy</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_Toc213748933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28</w:t>
            </w:r>
            <w:r w:rsidRPr="00FD0236">
              <w:rPr>
                <w:rFonts w:asciiTheme="majorBidi" w:hAnsiTheme="majorBidi" w:cstheme="majorBidi"/>
                <w:noProof/>
                <w:webHidden/>
              </w:rPr>
              <w:fldChar w:fldCharType="end"/>
            </w:r>
          </w:hyperlink>
        </w:p>
        <w:p w14:paraId="29E37198" w14:textId="300344B1"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34" w:history="1">
            <w:r w:rsidRPr="00FD0236">
              <w:rPr>
                <w:rStyle w:val="Hyperlink"/>
                <w:rFonts w:asciiTheme="majorBidi" w:hAnsiTheme="majorBidi" w:cstheme="majorBidi"/>
                <w:noProof/>
              </w:rPr>
              <w:t>3.5.2.</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Sample Size</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_Toc213748934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28</w:t>
            </w:r>
            <w:r w:rsidRPr="00FD0236">
              <w:rPr>
                <w:rFonts w:asciiTheme="majorBidi" w:hAnsiTheme="majorBidi" w:cstheme="majorBidi"/>
                <w:noProof/>
                <w:webHidden/>
              </w:rPr>
              <w:fldChar w:fldCharType="end"/>
            </w:r>
          </w:hyperlink>
        </w:p>
        <w:p w14:paraId="158998EE" w14:textId="45975C1D"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35" w:history="1">
            <w:r w:rsidRPr="00FD0236">
              <w:rPr>
                <w:rStyle w:val="Hyperlink"/>
                <w:rFonts w:asciiTheme="majorBidi" w:hAnsiTheme="majorBidi" w:cstheme="majorBidi"/>
                <w:noProof/>
              </w:rPr>
              <w:t>3.6.</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Data Analytical Methods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_Toc213748935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28</w:t>
            </w:r>
            <w:r w:rsidRPr="00FD0236">
              <w:rPr>
                <w:rFonts w:asciiTheme="majorBidi" w:hAnsiTheme="majorBidi" w:cstheme="majorBidi"/>
                <w:noProof/>
                <w:webHidden/>
              </w:rPr>
              <w:fldChar w:fldCharType="end"/>
            </w:r>
          </w:hyperlink>
        </w:p>
        <w:p w14:paraId="5ABCAB97" w14:textId="3E474F7C"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36" w:history="1">
            <w:r w:rsidRPr="00FD0236">
              <w:rPr>
                <w:rStyle w:val="Hyperlink"/>
                <w:rFonts w:asciiTheme="majorBidi" w:hAnsiTheme="majorBidi" w:cstheme="majorBidi"/>
                <w:noProof/>
              </w:rPr>
              <w:t>3.6.1.</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Descriptive Data Analysis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_Toc213748936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29</w:t>
            </w:r>
            <w:r w:rsidRPr="00FD0236">
              <w:rPr>
                <w:rFonts w:asciiTheme="majorBidi" w:hAnsiTheme="majorBidi" w:cstheme="majorBidi"/>
                <w:noProof/>
                <w:webHidden/>
              </w:rPr>
              <w:fldChar w:fldCharType="end"/>
            </w:r>
          </w:hyperlink>
        </w:p>
        <w:p w14:paraId="130FA47D" w14:textId="380D99DB"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37" w:history="1">
            <w:r w:rsidRPr="00FD0236">
              <w:rPr>
                <w:rStyle w:val="Hyperlink"/>
                <w:rFonts w:asciiTheme="majorBidi" w:hAnsiTheme="majorBidi" w:cstheme="majorBidi"/>
                <w:noProof/>
              </w:rPr>
              <w:t>3.6.2.</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Reliability testing</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_Toc213748937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29</w:t>
            </w:r>
            <w:r w:rsidRPr="00FD0236">
              <w:rPr>
                <w:rFonts w:asciiTheme="majorBidi" w:hAnsiTheme="majorBidi" w:cstheme="majorBidi"/>
                <w:noProof/>
                <w:webHidden/>
              </w:rPr>
              <w:fldChar w:fldCharType="end"/>
            </w:r>
          </w:hyperlink>
        </w:p>
        <w:p w14:paraId="5A2600B6" w14:textId="338193BE"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38" w:history="1">
            <w:r w:rsidRPr="00FD0236">
              <w:rPr>
                <w:rStyle w:val="Hyperlink"/>
                <w:rFonts w:asciiTheme="majorBidi" w:hAnsiTheme="majorBidi" w:cstheme="majorBidi"/>
                <w:noProof/>
              </w:rPr>
              <w:t>3.6.3.</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Pearson’s Correlation Coefficient</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_Toc213748938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30</w:t>
            </w:r>
            <w:r w:rsidRPr="00FD0236">
              <w:rPr>
                <w:rFonts w:asciiTheme="majorBidi" w:hAnsiTheme="majorBidi" w:cstheme="majorBidi"/>
                <w:noProof/>
                <w:webHidden/>
              </w:rPr>
              <w:fldChar w:fldCharType="end"/>
            </w:r>
          </w:hyperlink>
        </w:p>
        <w:p w14:paraId="7EF633E2" w14:textId="74016C93"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39" w:history="1">
            <w:r w:rsidRPr="00FD0236">
              <w:rPr>
                <w:rStyle w:val="Hyperlink"/>
                <w:rFonts w:asciiTheme="majorBidi" w:hAnsiTheme="majorBidi" w:cstheme="majorBidi"/>
                <w:noProof/>
              </w:rPr>
              <w:t>3.6.4.</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Regression Analysis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_Toc213748939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30</w:t>
            </w:r>
            <w:r w:rsidRPr="00FD0236">
              <w:rPr>
                <w:rFonts w:asciiTheme="majorBidi" w:hAnsiTheme="majorBidi" w:cstheme="majorBidi"/>
                <w:noProof/>
                <w:webHidden/>
              </w:rPr>
              <w:fldChar w:fldCharType="end"/>
            </w:r>
          </w:hyperlink>
        </w:p>
        <w:p w14:paraId="46316946" w14:textId="226168E1"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40" w:history="1">
            <w:r w:rsidRPr="00FD0236">
              <w:rPr>
                <w:rStyle w:val="Hyperlink"/>
                <w:rFonts w:asciiTheme="majorBidi" w:hAnsiTheme="majorBidi" w:cstheme="majorBidi"/>
                <w:noProof/>
              </w:rPr>
              <w:t>3.7.</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Questionnaire and Instrument Design</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_Toc213748940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31</w:t>
            </w:r>
            <w:r w:rsidRPr="00FD0236">
              <w:rPr>
                <w:rFonts w:asciiTheme="majorBidi" w:hAnsiTheme="majorBidi" w:cstheme="majorBidi"/>
                <w:noProof/>
                <w:webHidden/>
              </w:rPr>
              <w:fldChar w:fldCharType="end"/>
            </w:r>
          </w:hyperlink>
        </w:p>
        <w:p w14:paraId="70A08C27" w14:textId="1DA6A487"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41" w:history="1">
            <w:r w:rsidRPr="00FD0236">
              <w:rPr>
                <w:rStyle w:val="Hyperlink"/>
                <w:rFonts w:asciiTheme="majorBidi" w:hAnsiTheme="majorBidi" w:cstheme="majorBidi"/>
                <w:noProof/>
              </w:rPr>
              <w:t>3.7.1.</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Pilot Test Questionnaire Design</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_Toc213748941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31</w:t>
            </w:r>
            <w:r w:rsidRPr="00FD0236">
              <w:rPr>
                <w:rFonts w:asciiTheme="majorBidi" w:hAnsiTheme="majorBidi" w:cstheme="majorBidi"/>
                <w:noProof/>
                <w:webHidden/>
              </w:rPr>
              <w:fldChar w:fldCharType="end"/>
            </w:r>
          </w:hyperlink>
        </w:p>
        <w:p w14:paraId="5A2D9952" w14:textId="06EB968A"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42" w:history="1">
            <w:r w:rsidRPr="00FD0236">
              <w:rPr>
                <w:rStyle w:val="Hyperlink"/>
                <w:rFonts w:asciiTheme="majorBidi" w:hAnsiTheme="majorBidi" w:cstheme="majorBidi"/>
                <w:noProof/>
              </w:rPr>
              <w:t>3.7.2.</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Pilot Test Reliability Result</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_Toc213748942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33</w:t>
            </w:r>
            <w:r w:rsidRPr="00FD0236">
              <w:rPr>
                <w:rFonts w:asciiTheme="majorBidi" w:hAnsiTheme="majorBidi" w:cstheme="majorBidi"/>
                <w:noProof/>
                <w:webHidden/>
              </w:rPr>
              <w:fldChar w:fldCharType="end"/>
            </w:r>
          </w:hyperlink>
        </w:p>
        <w:p w14:paraId="225FC106" w14:textId="204B047E"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43" w:history="1">
            <w:r w:rsidRPr="00FD0236">
              <w:rPr>
                <w:rStyle w:val="Hyperlink"/>
                <w:rFonts w:asciiTheme="majorBidi" w:hAnsiTheme="majorBidi" w:cstheme="majorBidi"/>
                <w:noProof/>
              </w:rPr>
              <w:t>3.7.3.</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Final Questionnaire Implementation</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_Toc213748943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33</w:t>
            </w:r>
            <w:r w:rsidRPr="00FD0236">
              <w:rPr>
                <w:rFonts w:asciiTheme="majorBidi" w:hAnsiTheme="majorBidi" w:cstheme="majorBidi"/>
                <w:noProof/>
                <w:webHidden/>
              </w:rPr>
              <w:fldChar w:fldCharType="end"/>
            </w:r>
          </w:hyperlink>
        </w:p>
        <w:p w14:paraId="4E7CBBAD" w14:textId="07BFCDCB"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44" w:history="1">
            <w:r w:rsidRPr="00FD0236">
              <w:rPr>
                <w:rStyle w:val="Hyperlink"/>
                <w:rFonts w:asciiTheme="majorBidi" w:hAnsiTheme="majorBidi" w:cstheme="majorBidi"/>
                <w:noProof/>
              </w:rPr>
              <w:t>3.7.4.</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Methodology Limitation</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_Toc213748944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35</w:t>
            </w:r>
            <w:r w:rsidRPr="00FD0236">
              <w:rPr>
                <w:rFonts w:asciiTheme="majorBidi" w:hAnsiTheme="majorBidi" w:cstheme="majorBidi"/>
                <w:noProof/>
                <w:webHidden/>
              </w:rPr>
              <w:fldChar w:fldCharType="end"/>
            </w:r>
          </w:hyperlink>
        </w:p>
        <w:p w14:paraId="2238B40A" w14:textId="590ECB37"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45" w:history="1">
            <w:r w:rsidRPr="00FD0236">
              <w:rPr>
                <w:rStyle w:val="Hyperlink"/>
                <w:rFonts w:asciiTheme="majorBidi" w:hAnsiTheme="majorBidi" w:cstheme="majorBidi"/>
                <w:noProof/>
              </w:rPr>
              <w:t>3.8.</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Validity, Reliability, and Ethical Considerations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_Toc213748945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36</w:t>
            </w:r>
            <w:r w:rsidRPr="00FD0236">
              <w:rPr>
                <w:rFonts w:asciiTheme="majorBidi" w:hAnsiTheme="majorBidi" w:cstheme="majorBidi"/>
                <w:noProof/>
                <w:webHidden/>
              </w:rPr>
              <w:fldChar w:fldCharType="end"/>
            </w:r>
          </w:hyperlink>
        </w:p>
        <w:p w14:paraId="745FB574" w14:textId="6550D332"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46" w:history="1">
            <w:r w:rsidRPr="00FD0236">
              <w:rPr>
                <w:rStyle w:val="Hyperlink"/>
                <w:rFonts w:asciiTheme="majorBidi" w:hAnsiTheme="majorBidi" w:cstheme="majorBidi"/>
                <w:noProof/>
              </w:rPr>
              <w:t>3.9.</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Concluding Summary</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_Toc213748946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36</w:t>
            </w:r>
            <w:r w:rsidRPr="00FD0236">
              <w:rPr>
                <w:rFonts w:asciiTheme="majorBidi" w:hAnsiTheme="majorBidi" w:cstheme="majorBidi"/>
                <w:noProof/>
                <w:webHidden/>
              </w:rPr>
              <w:fldChar w:fldCharType="end"/>
            </w:r>
          </w:hyperlink>
        </w:p>
        <w:p w14:paraId="16C10A78" w14:textId="1CA9506F" w:rsidR="00FD0236" w:rsidRPr="00FD0236" w:rsidRDefault="00FD0236" w:rsidP="00FD0236">
          <w:pPr>
            <w:pStyle w:val="TOC1"/>
            <w:rPr>
              <w:rFonts w:asciiTheme="majorBidi" w:eastAsiaTheme="minorEastAsia" w:hAnsiTheme="majorBidi" w:cstheme="majorBidi"/>
              <w:b w:val="0"/>
              <w:bCs w:val="0"/>
              <w:noProof/>
              <w:sz w:val="24"/>
              <w:szCs w:val="24"/>
              <w:lang w:eastAsia="zh-CN"/>
            </w:rPr>
          </w:pPr>
          <w:hyperlink w:anchor="_Toc213748947" w:history="1">
            <w:r w:rsidRPr="00FD0236">
              <w:rPr>
                <w:rStyle w:val="Hyperlink"/>
                <w:rFonts w:asciiTheme="majorBidi" w:hAnsiTheme="majorBidi" w:cstheme="majorBidi"/>
                <w:b w:val="0"/>
                <w:bCs w:val="0"/>
                <w:noProof/>
              </w:rPr>
              <w:t>4.</w:t>
            </w:r>
            <w:r w:rsidRPr="00FD0236">
              <w:rPr>
                <w:rFonts w:asciiTheme="majorBidi" w:eastAsiaTheme="minorEastAsia" w:hAnsiTheme="majorBidi" w:cstheme="majorBidi"/>
                <w:b w:val="0"/>
                <w:bCs w:val="0"/>
                <w:noProof/>
                <w:sz w:val="24"/>
                <w:szCs w:val="24"/>
                <w:lang w:eastAsia="zh-CN"/>
              </w:rPr>
              <w:tab/>
            </w:r>
            <w:r w:rsidRPr="00FD0236">
              <w:rPr>
                <w:rStyle w:val="Hyperlink"/>
                <w:rFonts w:asciiTheme="majorBidi" w:hAnsiTheme="majorBidi" w:cstheme="majorBidi"/>
                <w:b w:val="0"/>
                <w:bCs w:val="0"/>
                <w:noProof/>
              </w:rPr>
              <w:t>Research Results and Analysis</w:t>
            </w:r>
            <w:r w:rsidRPr="00FD0236">
              <w:rPr>
                <w:rFonts w:asciiTheme="majorBidi" w:hAnsiTheme="majorBidi" w:cstheme="majorBidi"/>
                <w:b w:val="0"/>
                <w:bCs w:val="0"/>
                <w:noProof/>
                <w:webHidden/>
              </w:rPr>
              <w:tab/>
            </w:r>
            <w:r w:rsidRPr="00FD0236">
              <w:rPr>
                <w:rFonts w:asciiTheme="majorBidi" w:hAnsiTheme="majorBidi" w:cstheme="majorBidi"/>
                <w:b w:val="0"/>
                <w:bCs w:val="0"/>
                <w:noProof/>
                <w:webHidden/>
              </w:rPr>
              <w:fldChar w:fldCharType="begin"/>
            </w:r>
            <w:r w:rsidRPr="00FD0236">
              <w:rPr>
                <w:rFonts w:asciiTheme="majorBidi" w:hAnsiTheme="majorBidi" w:cstheme="majorBidi"/>
                <w:b w:val="0"/>
                <w:bCs w:val="0"/>
                <w:noProof/>
                <w:webHidden/>
              </w:rPr>
              <w:instrText xml:space="preserve"> PAGEREF _Toc213748947 \h </w:instrText>
            </w:r>
            <w:r w:rsidRPr="00FD0236">
              <w:rPr>
                <w:rFonts w:asciiTheme="majorBidi" w:hAnsiTheme="majorBidi" w:cstheme="majorBidi"/>
                <w:b w:val="0"/>
                <w:bCs w:val="0"/>
                <w:noProof/>
                <w:webHidden/>
              </w:rPr>
            </w:r>
            <w:r w:rsidRPr="00FD0236">
              <w:rPr>
                <w:rFonts w:asciiTheme="majorBidi" w:hAnsiTheme="majorBidi" w:cstheme="majorBidi"/>
                <w:b w:val="0"/>
                <w:bCs w:val="0"/>
                <w:noProof/>
                <w:webHidden/>
              </w:rPr>
              <w:fldChar w:fldCharType="separate"/>
            </w:r>
            <w:r w:rsidRPr="00FD0236">
              <w:rPr>
                <w:rFonts w:asciiTheme="majorBidi" w:hAnsiTheme="majorBidi" w:cstheme="majorBidi"/>
                <w:b w:val="0"/>
                <w:bCs w:val="0"/>
                <w:noProof/>
                <w:webHidden/>
              </w:rPr>
              <w:t>37</w:t>
            </w:r>
            <w:r w:rsidRPr="00FD0236">
              <w:rPr>
                <w:rFonts w:asciiTheme="majorBidi" w:hAnsiTheme="majorBidi" w:cstheme="majorBidi"/>
                <w:b w:val="0"/>
                <w:bCs w:val="0"/>
                <w:noProof/>
                <w:webHidden/>
              </w:rPr>
              <w:fldChar w:fldCharType="end"/>
            </w:r>
          </w:hyperlink>
        </w:p>
        <w:p w14:paraId="06BB63A8" w14:textId="0179AF40"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48" w:history="1">
            <w:r w:rsidRPr="00FD0236">
              <w:rPr>
                <w:rStyle w:val="Hyperlink"/>
                <w:rFonts w:asciiTheme="majorBidi" w:hAnsiTheme="majorBidi" w:cstheme="majorBidi"/>
                <w:noProof/>
              </w:rPr>
              <w:t>4.1.</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Questionnaire Collection Methods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_Toc213748948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37</w:t>
            </w:r>
            <w:r w:rsidRPr="00FD0236">
              <w:rPr>
                <w:rFonts w:asciiTheme="majorBidi" w:hAnsiTheme="majorBidi" w:cstheme="majorBidi"/>
                <w:noProof/>
                <w:webHidden/>
              </w:rPr>
              <w:fldChar w:fldCharType="end"/>
            </w:r>
          </w:hyperlink>
        </w:p>
        <w:p w14:paraId="5DEAD123" w14:textId="51963342"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49" w:history="1">
            <w:r w:rsidRPr="00FD0236">
              <w:rPr>
                <w:rStyle w:val="Hyperlink"/>
                <w:rFonts w:asciiTheme="majorBidi" w:hAnsiTheme="majorBidi" w:cstheme="majorBidi"/>
                <w:noProof/>
              </w:rPr>
              <w:t>4.2.</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Descriptive Statistics on Demographic Information</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_Toc213748949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37</w:t>
            </w:r>
            <w:r w:rsidRPr="00FD0236">
              <w:rPr>
                <w:rFonts w:asciiTheme="majorBidi" w:hAnsiTheme="majorBidi" w:cstheme="majorBidi"/>
                <w:noProof/>
                <w:webHidden/>
              </w:rPr>
              <w:fldChar w:fldCharType="end"/>
            </w:r>
          </w:hyperlink>
        </w:p>
        <w:p w14:paraId="146612E5" w14:textId="54DF075E"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50" w:history="1">
            <w:r w:rsidRPr="00FD0236">
              <w:rPr>
                <w:rStyle w:val="Hyperlink"/>
                <w:rFonts w:asciiTheme="majorBidi" w:hAnsiTheme="majorBidi" w:cstheme="majorBidi"/>
                <w:noProof/>
              </w:rPr>
              <w:t>4.3.</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Descriptive Statistics on Core Content</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_Toc213748950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39</w:t>
            </w:r>
            <w:r w:rsidRPr="00FD0236">
              <w:rPr>
                <w:rFonts w:asciiTheme="majorBidi" w:hAnsiTheme="majorBidi" w:cstheme="majorBidi"/>
                <w:noProof/>
                <w:webHidden/>
              </w:rPr>
              <w:fldChar w:fldCharType="end"/>
            </w:r>
          </w:hyperlink>
        </w:p>
        <w:p w14:paraId="2AEF933D" w14:textId="79553B37"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51" w:history="1">
            <w:r w:rsidRPr="00FD0236">
              <w:rPr>
                <w:rStyle w:val="Hyperlink"/>
                <w:rFonts w:asciiTheme="majorBidi" w:hAnsiTheme="majorBidi" w:cstheme="majorBidi"/>
                <w:noProof/>
              </w:rPr>
              <w:t>4.4.</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Reliability Analysis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_Toc213748951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41</w:t>
            </w:r>
            <w:r w:rsidRPr="00FD0236">
              <w:rPr>
                <w:rFonts w:asciiTheme="majorBidi" w:hAnsiTheme="majorBidi" w:cstheme="majorBidi"/>
                <w:noProof/>
                <w:webHidden/>
              </w:rPr>
              <w:fldChar w:fldCharType="end"/>
            </w:r>
          </w:hyperlink>
        </w:p>
        <w:p w14:paraId="43F05FE7" w14:textId="4CF2C769"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52" w:history="1">
            <w:r w:rsidRPr="00FD0236">
              <w:rPr>
                <w:rStyle w:val="Hyperlink"/>
                <w:rFonts w:asciiTheme="majorBidi" w:hAnsiTheme="majorBidi" w:cstheme="majorBidi"/>
                <w:noProof/>
              </w:rPr>
              <w:t>4.5.</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Correlational Analyses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_Toc213748952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42</w:t>
            </w:r>
            <w:r w:rsidRPr="00FD0236">
              <w:rPr>
                <w:rFonts w:asciiTheme="majorBidi" w:hAnsiTheme="majorBidi" w:cstheme="majorBidi"/>
                <w:noProof/>
                <w:webHidden/>
              </w:rPr>
              <w:fldChar w:fldCharType="end"/>
            </w:r>
          </w:hyperlink>
        </w:p>
        <w:p w14:paraId="779C0B77" w14:textId="51F723D5"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53" w:history="1">
            <w:r w:rsidRPr="00FD0236">
              <w:rPr>
                <w:rStyle w:val="Hyperlink"/>
                <w:rFonts w:asciiTheme="majorBidi" w:hAnsiTheme="majorBidi" w:cstheme="majorBidi"/>
                <w:noProof/>
              </w:rPr>
              <w:t>4.6.</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Regression Analyses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_Toc213748953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44</w:t>
            </w:r>
            <w:r w:rsidRPr="00FD0236">
              <w:rPr>
                <w:rFonts w:asciiTheme="majorBidi" w:hAnsiTheme="majorBidi" w:cstheme="majorBidi"/>
                <w:noProof/>
                <w:webHidden/>
              </w:rPr>
              <w:fldChar w:fldCharType="end"/>
            </w:r>
          </w:hyperlink>
        </w:p>
        <w:p w14:paraId="3870B94F" w14:textId="0D33199D"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54" w:history="1">
            <w:r w:rsidRPr="00FD0236">
              <w:rPr>
                <w:rStyle w:val="Hyperlink"/>
                <w:rFonts w:asciiTheme="majorBidi" w:hAnsiTheme="majorBidi" w:cstheme="majorBidi"/>
                <w:noProof/>
              </w:rPr>
              <w:t>4.7.</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Verification of Research Hypotheses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_Toc213748954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49</w:t>
            </w:r>
            <w:r w:rsidRPr="00FD0236">
              <w:rPr>
                <w:rFonts w:asciiTheme="majorBidi" w:hAnsiTheme="majorBidi" w:cstheme="majorBidi"/>
                <w:noProof/>
                <w:webHidden/>
              </w:rPr>
              <w:fldChar w:fldCharType="end"/>
            </w:r>
          </w:hyperlink>
        </w:p>
        <w:p w14:paraId="5781E6E3" w14:textId="1581C5E0"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55" w:history="1">
            <w:r w:rsidRPr="00FD0236">
              <w:rPr>
                <w:rStyle w:val="Hyperlink"/>
                <w:rFonts w:asciiTheme="majorBidi" w:hAnsiTheme="majorBidi" w:cstheme="majorBidi"/>
                <w:noProof/>
              </w:rPr>
              <w:t>4.8.</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Concluding Summary</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_Toc213748955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50</w:t>
            </w:r>
            <w:r w:rsidRPr="00FD0236">
              <w:rPr>
                <w:rFonts w:asciiTheme="majorBidi" w:hAnsiTheme="majorBidi" w:cstheme="majorBidi"/>
                <w:noProof/>
                <w:webHidden/>
              </w:rPr>
              <w:fldChar w:fldCharType="end"/>
            </w:r>
          </w:hyperlink>
        </w:p>
        <w:p w14:paraId="2D836E7A" w14:textId="093FF1A4" w:rsidR="00FD0236" w:rsidRPr="00FD0236" w:rsidRDefault="00FD0236" w:rsidP="00FD0236">
          <w:pPr>
            <w:pStyle w:val="TOC1"/>
            <w:rPr>
              <w:rFonts w:asciiTheme="majorBidi" w:eastAsiaTheme="minorEastAsia" w:hAnsiTheme="majorBidi" w:cstheme="majorBidi"/>
              <w:b w:val="0"/>
              <w:bCs w:val="0"/>
              <w:noProof/>
              <w:sz w:val="24"/>
              <w:szCs w:val="24"/>
              <w:lang w:eastAsia="zh-CN"/>
            </w:rPr>
          </w:pPr>
          <w:hyperlink w:anchor="_Toc213748956" w:history="1">
            <w:r w:rsidRPr="00FD0236">
              <w:rPr>
                <w:rStyle w:val="Hyperlink"/>
                <w:rFonts w:asciiTheme="majorBidi" w:hAnsiTheme="majorBidi" w:cstheme="majorBidi"/>
                <w:b w:val="0"/>
                <w:bCs w:val="0"/>
                <w:noProof/>
              </w:rPr>
              <w:t>5.</w:t>
            </w:r>
            <w:r w:rsidRPr="00FD0236">
              <w:rPr>
                <w:rFonts w:asciiTheme="majorBidi" w:eastAsiaTheme="minorEastAsia" w:hAnsiTheme="majorBidi" w:cstheme="majorBidi"/>
                <w:b w:val="0"/>
                <w:bCs w:val="0"/>
                <w:noProof/>
                <w:sz w:val="24"/>
                <w:szCs w:val="24"/>
                <w:lang w:eastAsia="zh-CN"/>
              </w:rPr>
              <w:tab/>
            </w:r>
            <w:r w:rsidRPr="00FD0236">
              <w:rPr>
                <w:rStyle w:val="Hyperlink"/>
                <w:rFonts w:asciiTheme="majorBidi" w:hAnsiTheme="majorBidi" w:cstheme="majorBidi"/>
                <w:b w:val="0"/>
                <w:bCs w:val="0"/>
                <w:noProof/>
              </w:rPr>
              <w:t>Discussion, Conclusion and Recommendations</w:t>
            </w:r>
            <w:r w:rsidRPr="00FD0236">
              <w:rPr>
                <w:rFonts w:asciiTheme="majorBidi" w:hAnsiTheme="majorBidi" w:cstheme="majorBidi"/>
                <w:b w:val="0"/>
                <w:bCs w:val="0"/>
                <w:noProof/>
                <w:webHidden/>
              </w:rPr>
              <w:tab/>
            </w:r>
            <w:r w:rsidRPr="00FD0236">
              <w:rPr>
                <w:rFonts w:asciiTheme="majorBidi" w:hAnsiTheme="majorBidi" w:cstheme="majorBidi"/>
                <w:b w:val="0"/>
                <w:bCs w:val="0"/>
                <w:noProof/>
                <w:webHidden/>
              </w:rPr>
              <w:fldChar w:fldCharType="begin"/>
            </w:r>
            <w:r w:rsidRPr="00FD0236">
              <w:rPr>
                <w:rFonts w:asciiTheme="majorBidi" w:hAnsiTheme="majorBidi" w:cstheme="majorBidi"/>
                <w:b w:val="0"/>
                <w:bCs w:val="0"/>
                <w:noProof/>
                <w:webHidden/>
              </w:rPr>
              <w:instrText xml:space="preserve"> PAGEREF _Toc213748956 \h </w:instrText>
            </w:r>
            <w:r w:rsidRPr="00FD0236">
              <w:rPr>
                <w:rFonts w:asciiTheme="majorBidi" w:hAnsiTheme="majorBidi" w:cstheme="majorBidi"/>
                <w:b w:val="0"/>
                <w:bCs w:val="0"/>
                <w:noProof/>
                <w:webHidden/>
              </w:rPr>
            </w:r>
            <w:r w:rsidRPr="00FD0236">
              <w:rPr>
                <w:rFonts w:asciiTheme="majorBidi" w:hAnsiTheme="majorBidi" w:cstheme="majorBidi"/>
                <w:b w:val="0"/>
                <w:bCs w:val="0"/>
                <w:noProof/>
                <w:webHidden/>
              </w:rPr>
              <w:fldChar w:fldCharType="separate"/>
            </w:r>
            <w:r w:rsidRPr="00FD0236">
              <w:rPr>
                <w:rFonts w:asciiTheme="majorBidi" w:hAnsiTheme="majorBidi" w:cstheme="majorBidi"/>
                <w:b w:val="0"/>
                <w:bCs w:val="0"/>
                <w:noProof/>
                <w:webHidden/>
              </w:rPr>
              <w:t>51</w:t>
            </w:r>
            <w:r w:rsidRPr="00FD0236">
              <w:rPr>
                <w:rFonts w:asciiTheme="majorBidi" w:hAnsiTheme="majorBidi" w:cstheme="majorBidi"/>
                <w:b w:val="0"/>
                <w:bCs w:val="0"/>
                <w:noProof/>
                <w:webHidden/>
              </w:rPr>
              <w:fldChar w:fldCharType="end"/>
            </w:r>
          </w:hyperlink>
        </w:p>
        <w:p w14:paraId="26321A42" w14:textId="48B4DE34"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57" w:history="1">
            <w:r w:rsidRPr="00FD0236">
              <w:rPr>
                <w:rStyle w:val="Hyperlink"/>
                <w:rFonts w:asciiTheme="majorBidi" w:hAnsiTheme="majorBidi" w:cstheme="majorBidi"/>
                <w:noProof/>
              </w:rPr>
              <w:t>5.2.</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Recommendations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_Toc213748957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51</w:t>
            </w:r>
            <w:r w:rsidRPr="00FD0236">
              <w:rPr>
                <w:rFonts w:asciiTheme="majorBidi" w:hAnsiTheme="majorBidi" w:cstheme="majorBidi"/>
                <w:noProof/>
                <w:webHidden/>
              </w:rPr>
              <w:fldChar w:fldCharType="end"/>
            </w:r>
          </w:hyperlink>
        </w:p>
        <w:p w14:paraId="6B262AF1" w14:textId="3B98DD4E"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58" w:history="1">
            <w:r w:rsidRPr="00FD0236">
              <w:rPr>
                <w:rStyle w:val="Hyperlink"/>
                <w:rFonts w:asciiTheme="majorBidi" w:hAnsiTheme="majorBidi" w:cstheme="majorBidi"/>
                <w:noProof/>
              </w:rPr>
              <w:t>5.2.1.</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Intensifying Social Media Word-of-Mouth and Influencer Advocacy</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_Toc213748958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52</w:t>
            </w:r>
            <w:r w:rsidRPr="00FD0236">
              <w:rPr>
                <w:rFonts w:asciiTheme="majorBidi" w:hAnsiTheme="majorBidi" w:cstheme="majorBidi"/>
                <w:noProof/>
                <w:webHidden/>
              </w:rPr>
              <w:fldChar w:fldCharType="end"/>
            </w:r>
          </w:hyperlink>
        </w:p>
        <w:p w14:paraId="324A5F01" w14:textId="6D0240A7"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59" w:history="1">
            <w:r w:rsidRPr="00FD0236">
              <w:rPr>
                <w:rStyle w:val="Hyperlink"/>
                <w:rFonts w:asciiTheme="majorBidi" w:hAnsiTheme="majorBidi" w:cstheme="majorBidi"/>
                <w:noProof/>
              </w:rPr>
              <w:t>5.2.2.</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Personalize Entertainment Content in Social Media Marketing</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_Toc213748959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52</w:t>
            </w:r>
            <w:r w:rsidRPr="00FD0236">
              <w:rPr>
                <w:rFonts w:asciiTheme="majorBidi" w:hAnsiTheme="majorBidi" w:cstheme="majorBidi"/>
                <w:noProof/>
                <w:webHidden/>
              </w:rPr>
              <w:fldChar w:fldCharType="end"/>
            </w:r>
          </w:hyperlink>
        </w:p>
        <w:p w14:paraId="6A2B8227" w14:textId="48A01CE0"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60" w:history="1">
            <w:r w:rsidRPr="00FD0236">
              <w:rPr>
                <w:rStyle w:val="Hyperlink"/>
                <w:rFonts w:asciiTheme="majorBidi" w:hAnsiTheme="majorBidi" w:cstheme="majorBidi"/>
                <w:noProof/>
              </w:rPr>
              <w:t>5.2.3.</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Promote Environmental Education and Regulatory Advocacy</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_Toc213748960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53</w:t>
            </w:r>
            <w:r w:rsidRPr="00FD0236">
              <w:rPr>
                <w:rFonts w:asciiTheme="majorBidi" w:hAnsiTheme="majorBidi" w:cstheme="majorBidi"/>
                <w:noProof/>
                <w:webHidden/>
              </w:rPr>
              <w:fldChar w:fldCharType="end"/>
            </w:r>
          </w:hyperlink>
        </w:p>
        <w:p w14:paraId="222CF560" w14:textId="3081B5E5"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61" w:history="1">
            <w:r w:rsidRPr="00FD0236">
              <w:rPr>
                <w:rStyle w:val="Hyperlink"/>
                <w:rFonts w:asciiTheme="majorBidi" w:hAnsiTheme="majorBidi" w:cstheme="majorBidi"/>
                <w:noProof/>
              </w:rPr>
              <w:t>5.2.4.</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Promote Sustainable Packaging</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_Toc213748961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53</w:t>
            </w:r>
            <w:r w:rsidRPr="00FD0236">
              <w:rPr>
                <w:rFonts w:asciiTheme="majorBidi" w:hAnsiTheme="majorBidi" w:cstheme="majorBidi"/>
                <w:noProof/>
                <w:webHidden/>
              </w:rPr>
              <w:fldChar w:fldCharType="end"/>
            </w:r>
          </w:hyperlink>
        </w:p>
        <w:p w14:paraId="31CE2A3C" w14:textId="7607C75B"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62" w:history="1">
            <w:r w:rsidRPr="00FD0236">
              <w:rPr>
                <w:rStyle w:val="Hyperlink"/>
                <w:rFonts w:asciiTheme="majorBidi" w:hAnsiTheme="majorBidi" w:cstheme="majorBidi"/>
                <w:noProof/>
              </w:rPr>
              <w:t>5.2.5.</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Strengthen Brand Trust Through Quality Assurance and Transparency</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_Toc213748962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54</w:t>
            </w:r>
            <w:r w:rsidRPr="00FD0236">
              <w:rPr>
                <w:rFonts w:asciiTheme="majorBidi" w:hAnsiTheme="majorBidi" w:cstheme="majorBidi"/>
                <w:noProof/>
                <w:webHidden/>
              </w:rPr>
              <w:fldChar w:fldCharType="end"/>
            </w:r>
          </w:hyperlink>
        </w:p>
        <w:p w14:paraId="4D3708C7" w14:textId="6A883923"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63" w:history="1">
            <w:r w:rsidRPr="00FD0236">
              <w:rPr>
                <w:rStyle w:val="Hyperlink"/>
                <w:rFonts w:asciiTheme="majorBidi" w:hAnsiTheme="majorBidi" w:cstheme="majorBidi"/>
                <w:noProof/>
              </w:rPr>
              <w:t>5.2.6.</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Digital Platform Investments to Enhance Consumer Engagement</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_Toc213748963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54</w:t>
            </w:r>
            <w:r w:rsidRPr="00FD0236">
              <w:rPr>
                <w:rFonts w:asciiTheme="majorBidi" w:hAnsiTheme="majorBidi" w:cstheme="majorBidi"/>
                <w:noProof/>
                <w:webHidden/>
              </w:rPr>
              <w:fldChar w:fldCharType="end"/>
            </w:r>
          </w:hyperlink>
        </w:p>
        <w:p w14:paraId="535890FC" w14:textId="0E2EA8FC" w:rsidR="00FD0236" w:rsidRPr="00FD0236" w:rsidRDefault="00FD0236">
          <w:pPr>
            <w:pStyle w:val="TOC3"/>
            <w:tabs>
              <w:tab w:val="left" w:pos="1320"/>
              <w:tab w:val="right" w:leader="dot" w:pos="9350"/>
            </w:tabs>
            <w:rPr>
              <w:rFonts w:asciiTheme="majorBidi" w:hAnsiTheme="majorBidi" w:cstheme="majorBidi"/>
              <w:noProof/>
              <w:sz w:val="24"/>
              <w:szCs w:val="24"/>
              <w:lang w:eastAsia="zh-CN"/>
            </w:rPr>
          </w:pPr>
          <w:r>
            <w:rPr>
              <w:rStyle w:val="Hyperlink"/>
              <w:rFonts w:asciiTheme="majorBidi" w:hAnsiTheme="majorBidi" w:cstheme="majorBidi"/>
              <w:noProof/>
              <w:u w:val="none"/>
            </w:rPr>
            <w:t xml:space="preserve">   </w:t>
          </w:r>
          <w:hyperlink w:anchor="_Toc213748964" w:history="1">
            <w:r w:rsidRPr="00FD0236">
              <w:rPr>
                <w:rStyle w:val="Hyperlink"/>
                <w:rFonts w:asciiTheme="majorBidi" w:hAnsiTheme="majorBidi" w:cstheme="majorBidi"/>
                <w:noProof/>
              </w:rPr>
              <w:t>5.2.7.</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Measuring Recommendation Impact Using Key Performance Indicators (KPIs)</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_Toc213748964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54</w:t>
            </w:r>
            <w:r w:rsidRPr="00FD0236">
              <w:rPr>
                <w:rFonts w:asciiTheme="majorBidi" w:hAnsiTheme="majorBidi" w:cstheme="majorBidi"/>
                <w:noProof/>
                <w:webHidden/>
              </w:rPr>
              <w:fldChar w:fldCharType="end"/>
            </w:r>
          </w:hyperlink>
        </w:p>
        <w:p w14:paraId="07BEF375" w14:textId="33135CA5"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65" w:history="1">
            <w:r w:rsidRPr="00FD0236">
              <w:rPr>
                <w:rStyle w:val="Hyperlink"/>
                <w:rFonts w:asciiTheme="majorBidi" w:hAnsiTheme="majorBidi" w:cstheme="majorBidi"/>
                <w:noProof/>
              </w:rPr>
              <w:t>5.3.</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Research Limitation Research Limitation</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_Toc213748965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55</w:t>
            </w:r>
            <w:r w:rsidRPr="00FD0236">
              <w:rPr>
                <w:rFonts w:asciiTheme="majorBidi" w:hAnsiTheme="majorBidi" w:cstheme="majorBidi"/>
                <w:noProof/>
                <w:webHidden/>
              </w:rPr>
              <w:fldChar w:fldCharType="end"/>
            </w:r>
          </w:hyperlink>
        </w:p>
        <w:p w14:paraId="438E9629" w14:textId="149FEEE2" w:rsidR="00FD0236" w:rsidRPr="00FD0236" w:rsidRDefault="00FD0236">
          <w:pPr>
            <w:pStyle w:val="TOC3"/>
            <w:tabs>
              <w:tab w:val="left" w:pos="1100"/>
              <w:tab w:val="right" w:leader="dot" w:pos="9350"/>
            </w:tabs>
            <w:rPr>
              <w:rFonts w:asciiTheme="majorBidi" w:hAnsiTheme="majorBidi" w:cstheme="majorBidi"/>
              <w:noProof/>
              <w:sz w:val="24"/>
              <w:szCs w:val="24"/>
              <w:lang w:eastAsia="zh-CN"/>
            </w:rPr>
          </w:pPr>
          <w:hyperlink w:anchor="_Toc213748966" w:history="1">
            <w:r w:rsidRPr="00FD0236">
              <w:rPr>
                <w:rStyle w:val="Hyperlink"/>
                <w:rFonts w:asciiTheme="majorBidi" w:hAnsiTheme="majorBidi" w:cstheme="majorBidi"/>
                <w:noProof/>
              </w:rPr>
              <w:t>5.4.</w:t>
            </w:r>
            <w:r w:rsidRPr="00FD0236">
              <w:rPr>
                <w:rFonts w:asciiTheme="majorBidi" w:hAnsiTheme="majorBidi" w:cstheme="majorBidi"/>
                <w:noProof/>
                <w:sz w:val="24"/>
                <w:szCs w:val="24"/>
                <w:lang w:eastAsia="zh-CN"/>
              </w:rPr>
              <w:tab/>
            </w:r>
            <w:r w:rsidRPr="00FD0236">
              <w:rPr>
                <w:rStyle w:val="Hyperlink"/>
                <w:rFonts w:asciiTheme="majorBidi" w:hAnsiTheme="majorBidi" w:cstheme="majorBidi"/>
                <w:noProof/>
              </w:rPr>
              <w:t>Future Research Direction</w:t>
            </w:r>
            <w:r w:rsidRPr="00FD0236">
              <w:rPr>
                <w:rFonts w:asciiTheme="majorBidi" w:hAnsiTheme="majorBidi" w:cstheme="majorBidi"/>
                <w:noProof/>
                <w:webHidden/>
              </w:rPr>
              <w:tab/>
            </w:r>
            <w:r w:rsidRPr="00FD0236">
              <w:rPr>
                <w:rFonts w:asciiTheme="majorBidi" w:hAnsiTheme="majorBidi" w:cstheme="majorBidi"/>
                <w:noProof/>
                <w:webHidden/>
              </w:rPr>
              <w:fldChar w:fldCharType="begin"/>
            </w:r>
            <w:r w:rsidRPr="00FD0236">
              <w:rPr>
                <w:rFonts w:asciiTheme="majorBidi" w:hAnsiTheme="majorBidi" w:cstheme="majorBidi"/>
                <w:noProof/>
                <w:webHidden/>
              </w:rPr>
              <w:instrText xml:space="preserve"> PAGEREF _Toc213748966 \h </w:instrText>
            </w:r>
            <w:r w:rsidRPr="00FD0236">
              <w:rPr>
                <w:rFonts w:asciiTheme="majorBidi" w:hAnsiTheme="majorBidi" w:cstheme="majorBidi"/>
                <w:noProof/>
                <w:webHidden/>
              </w:rPr>
            </w:r>
            <w:r w:rsidRPr="00FD0236">
              <w:rPr>
                <w:rFonts w:asciiTheme="majorBidi" w:hAnsiTheme="majorBidi" w:cstheme="majorBidi"/>
                <w:noProof/>
                <w:webHidden/>
              </w:rPr>
              <w:fldChar w:fldCharType="separate"/>
            </w:r>
            <w:r w:rsidRPr="00FD0236">
              <w:rPr>
                <w:rFonts w:asciiTheme="majorBidi" w:hAnsiTheme="majorBidi" w:cstheme="majorBidi"/>
                <w:noProof/>
                <w:webHidden/>
              </w:rPr>
              <w:t>55</w:t>
            </w:r>
            <w:r w:rsidRPr="00FD0236">
              <w:rPr>
                <w:rFonts w:asciiTheme="majorBidi" w:hAnsiTheme="majorBidi" w:cstheme="majorBidi"/>
                <w:noProof/>
                <w:webHidden/>
              </w:rPr>
              <w:fldChar w:fldCharType="end"/>
            </w:r>
          </w:hyperlink>
        </w:p>
        <w:p w14:paraId="502387BF" w14:textId="3C73B813" w:rsidR="00FD0236" w:rsidRPr="00FD0236" w:rsidRDefault="00FD0236" w:rsidP="00FD0236">
          <w:pPr>
            <w:pStyle w:val="TOC1"/>
            <w:rPr>
              <w:rFonts w:asciiTheme="majorBidi" w:eastAsiaTheme="minorEastAsia" w:hAnsiTheme="majorBidi" w:cstheme="majorBidi"/>
              <w:b w:val="0"/>
              <w:bCs w:val="0"/>
              <w:noProof/>
              <w:sz w:val="24"/>
              <w:szCs w:val="24"/>
              <w:lang w:eastAsia="zh-CN"/>
            </w:rPr>
          </w:pPr>
          <w:hyperlink w:anchor="_Toc213748967" w:history="1">
            <w:r w:rsidRPr="00FD0236">
              <w:rPr>
                <w:rStyle w:val="Hyperlink"/>
                <w:rFonts w:asciiTheme="majorBidi" w:hAnsiTheme="majorBidi" w:cstheme="majorBidi"/>
                <w:b w:val="0"/>
                <w:bCs w:val="0"/>
                <w:noProof/>
              </w:rPr>
              <w:t>VII.</w:t>
            </w:r>
            <w:r w:rsidRPr="00FD0236">
              <w:rPr>
                <w:rFonts w:asciiTheme="majorBidi" w:eastAsiaTheme="minorEastAsia" w:hAnsiTheme="majorBidi" w:cstheme="majorBidi"/>
                <w:b w:val="0"/>
                <w:bCs w:val="0"/>
                <w:noProof/>
                <w:sz w:val="24"/>
                <w:szCs w:val="24"/>
                <w:lang w:eastAsia="zh-CN"/>
              </w:rPr>
              <w:tab/>
            </w:r>
            <w:r w:rsidRPr="00FD0236">
              <w:rPr>
                <w:rStyle w:val="Hyperlink"/>
                <w:rFonts w:asciiTheme="majorBidi" w:hAnsiTheme="majorBidi" w:cstheme="majorBidi"/>
                <w:b w:val="0"/>
                <w:bCs w:val="0"/>
                <w:noProof/>
              </w:rPr>
              <w:t>REFERENCE LIST</w:t>
            </w:r>
            <w:r w:rsidRPr="00FD0236">
              <w:rPr>
                <w:rFonts w:asciiTheme="majorBidi" w:hAnsiTheme="majorBidi" w:cstheme="majorBidi"/>
                <w:b w:val="0"/>
                <w:bCs w:val="0"/>
                <w:noProof/>
                <w:webHidden/>
              </w:rPr>
              <w:tab/>
            </w:r>
            <w:r w:rsidRPr="00FD0236">
              <w:rPr>
                <w:rFonts w:asciiTheme="majorBidi" w:hAnsiTheme="majorBidi" w:cstheme="majorBidi"/>
                <w:b w:val="0"/>
                <w:bCs w:val="0"/>
                <w:noProof/>
                <w:webHidden/>
              </w:rPr>
              <w:fldChar w:fldCharType="begin"/>
            </w:r>
            <w:r w:rsidRPr="00FD0236">
              <w:rPr>
                <w:rFonts w:asciiTheme="majorBidi" w:hAnsiTheme="majorBidi" w:cstheme="majorBidi"/>
                <w:b w:val="0"/>
                <w:bCs w:val="0"/>
                <w:noProof/>
                <w:webHidden/>
              </w:rPr>
              <w:instrText xml:space="preserve"> PAGEREF _Toc213748967 \h </w:instrText>
            </w:r>
            <w:r w:rsidRPr="00FD0236">
              <w:rPr>
                <w:rFonts w:asciiTheme="majorBidi" w:hAnsiTheme="majorBidi" w:cstheme="majorBidi"/>
                <w:b w:val="0"/>
                <w:bCs w:val="0"/>
                <w:noProof/>
                <w:webHidden/>
              </w:rPr>
            </w:r>
            <w:r w:rsidRPr="00FD0236">
              <w:rPr>
                <w:rFonts w:asciiTheme="majorBidi" w:hAnsiTheme="majorBidi" w:cstheme="majorBidi"/>
                <w:b w:val="0"/>
                <w:bCs w:val="0"/>
                <w:noProof/>
                <w:webHidden/>
              </w:rPr>
              <w:fldChar w:fldCharType="separate"/>
            </w:r>
            <w:r w:rsidRPr="00FD0236">
              <w:rPr>
                <w:rFonts w:asciiTheme="majorBidi" w:hAnsiTheme="majorBidi" w:cstheme="majorBidi"/>
                <w:b w:val="0"/>
                <w:bCs w:val="0"/>
                <w:noProof/>
                <w:webHidden/>
              </w:rPr>
              <w:t>56</w:t>
            </w:r>
            <w:r w:rsidRPr="00FD0236">
              <w:rPr>
                <w:rFonts w:asciiTheme="majorBidi" w:hAnsiTheme="majorBidi" w:cstheme="majorBidi"/>
                <w:b w:val="0"/>
                <w:bCs w:val="0"/>
                <w:noProof/>
                <w:webHidden/>
              </w:rPr>
              <w:fldChar w:fldCharType="end"/>
            </w:r>
          </w:hyperlink>
        </w:p>
        <w:p w14:paraId="7E1B96F4" w14:textId="70757E48" w:rsidR="00FD0236" w:rsidRPr="00FD0236" w:rsidRDefault="00FD0236" w:rsidP="00FD0236">
          <w:pPr>
            <w:pStyle w:val="TOC1"/>
            <w:rPr>
              <w:rFonts w:asciiTheme="majorBidi" w:eastAsiaTheme="minorEastAsia" w:hAnsiTheme="majorBidi" w:cstheme="majorBidi"/>
              <w:b w:val="0"/>
              <w:bCs w:val="0"/>
              <w:noProof/>
              <w:sz w:val="24"/>
              <w:szCs w:val="24"/>
              <w:lang w:eastAsia="zh-CN"/>
            </w:rPr>
          </w:pPr>
          <w:hyperlink w:anchor="_Toc213748968" w:history="1">
            <w:r w:rsidRPr="00FD0236">
              <w:rPr>
                <w:rStyle w:val="Hyperlink"/>
                <w:rFonts w:asciiTheme="majorBidi" w:hAnsiTheme="majorBidi" w:cstheme="majorBidi"/>
                <w:b w:val="0"/>
                <w:bCs w:val="0"/>
                <w:noProof/>
              </w:rPr>
              <w:t>VIII.</w:t>
            </w:r>
            <w:r w:rsidRPr="00FD0236">
              <w:rPr>
                <w:rFonts w:asciiTheme="majorBidi" w:eastAsiaTheme="minorEastAsia" w:hAnsiTheme="majorBidi" w:cstheme="majorBidi"/>
                <w:b w:val="0"/>
                <w:bCs w:val="0"/>
                <w:noProof/>
                <w:sz w:val="24"/>
                <w:szCs w:val="24"/>
                <w:lang w:eastAsia="zh-CN"/>
              </w:rPr>
              <w:tab/>
            </w:r>
            <w:r w:rsidRPr="00FD0236">
              <w:rPr>
                <w:rStyle w:val="Hyperlink"/>
                <w:rFonts w:asciiTheme="majorBidi" w:hAnsiTheme="majorBidi" w:cstheme="majorBidi"/>
                <w:b w:val="0"/>
                <w:bCs w:val="0"/>
                <w:noProof/>
              </w:rPr>
              <w:t>APPENDIX 1 – Focus Group for Framework Research</w:t>
            </w:r>
            <w:r w:rsidRPr="00FD0236">
              <w:rPr>
                <w:rFonts w:asciiTheme="majorBidi" w:hAnsiTheme="majorBidi" w:cstheme="majorBidi"/>
                <w:b w:val="0"/>
                <w:bCs w:val="0"/>
                <w:noProof/>
                <w:webHidden/>
              </w:rPr>
              <w:tab/>
            </w:r>
            <w:r w:rsidRPr="00FD0236">
              <w:rPr>
                <w:rFonts w:asciiTheme="majorBidi" w:hAnsiTheme="majorBidi" w:cstheme="majorBidi"/>
                <w:b w:val="0"/>
                <w:bCs w:val="0"/>
                <w:noProof/>
                <w:webHidden/>
              </w:rPr>
              <w:fldChar w:fldCharType="begin"/>
            </w:r>
            <w:r w:rsidRPr="00FD0236">
              <w:rPr>
                <w:rFonts w:asciiTheme="majorBidi" w:hAnsiTheme="majorBidi" w:cstheme="majorBidi"/>
                <w:b w:val="0"/>
                <w:bCs w:val="0"/>
                <w:noProof/>
                <w:webHidden/>
              </w:rPr>
              <w:instrText xml:space="preserve"> PAGEREF _Toc213748968 \h </w:instrText>
            </w:r>
            <w:r w:rsidRPr="00FD0236">
              <w:rPr>
                <w:rFonts w:asciiTheme="majorBidi" w:hAnsiTheme="majorBidi" w:cstheme="majorBidi"/>
                <w:b w:val="0"/>
                <w:bCs w:val="0"/>
                <w:noProof/>
                <w:webHidden/>
              </w:rPr>
            </w:r>
            <w:r w:rsidRPr="00FD0236">
              <w:rPr>
                <w:rFonts w:asciiTheme="majorBidi" w:hAnsiTheme="majorBidi" w:cstheme="majorBidi"/>
                <w:b w:val="0"/>
                <w:bCs w:val="0"/>
                <w:noProof/>
                <w:webHidden/>
              </w:rPr>
              <w:fldChar w:fldCharType="separate"/>
            </w:r>
            <w:r w:rsidRPr="00FD0236">
              <w:rPr>
                <w:rFonts w:asciiTheme="majorBidi" w:hAnsiTheme="majorBidi" w:cstheme="majorBidi"/>
                <w:b w:val="0"/>
                <w:bCs w:val="0"/>
                <w:noProof/>
                <w:webHidden/>
              </w:rPr>
              <w:t>66</w:t>
            </w:r>
            <w:r w:rsidRPr="00FD0236">
              <w:rPr>
                <w:rFonts w:asciiTheme="majorBidi" w:hAnsiTheme="majorBidi" w:cstheme="majorBidi"/>
                <w:b w:val="0"/>
                <w:bCs w:val="0"/>
                <w:noProof/>
                <w:webHidden/>
              </w:rPr>
              <w:fldChar w:fldCharType="end"/>
            </w:r>
          </w:hyperlink>
        </w:p>
        <w:p w14:paraId="037B166A" w14:textId="04B0C5D0" w:rsidR="00FD0236" w:rsidRPr="00FD0236" w:rsidRDefault="00FD0236" w:rsidP="00FD0236">
          <w:pPr>
            <w:pStyle w:val="TOC1"/>
            <w:rPr>
              <w:rFonts w:asciiTheme="majorBidi" w:eastAsiaTheme="minorEastAsia" w:hAnsiTheme="majorBidi" w:cstheme="majorBidi"/>
              <w:b w:val="0"/>
              <w:bCs w:val="0"/>
              <w:noProof/>
              <w:sz w:val="24"/>
              <w:szCs w:val="24"/>
              <w:lang w:eastAsia="zh-CN"/>
            </w:rPr>
          </w:pPr>
          <w:hyperlink w:anchor="_Toc213748969" w:history="1">
            <w:r w:rsidRPr="00FD0236">
              <w:rPr>
                <w:rStyle w:val="Hyperlink"/>
                <w:rFonts w:asciiTheme="majorBidi" w:hAnsiTheme="majorBidi" w:cstheme="majorBidi"/>
                <w:b w:val="0"/>
                <w:bCs w:val="0"/>
                <w:noProof/>
              </w:rPr>
              <w:t>IX.</w:t>
            </w:r>
            <w:r w:rsidRPr="00FD0236">
              <w:rPr>
                <w:rFonts w:asciiTheme="majorBidi" w:eastAsiaTheme="minorEastAsia" w:hAnsiTheme="majorBidi" w:cstheme="majorBidi"/>
                <w:b w:val="0"/>
                <w:bCs w:val="0"/>
                <w:noProof/>
                <w:sz w:val="24"/>
                <w:szCs w:val="24"/>
                <w:lang w:eastAsia="zh-CN"/>
              </w:rPr>
              <w:tab/>
            </w:r>
            <w:r w:rsidRPr="00FD0236">
              <w:rPr>
                <w:rStyle w:val="Hyperlink"/>
                <w:rFonts w:asciiTheme="majorBidi" w:hAnsiTheme="majorBidi" w:cstheme="majorBidi"/>
                <w:b w:val="0"/>
                <w:bCs w:val="0"/>
                <w:noProof/>
              </w:rPr>
              <w:t>APPENDIX 2 – Final Questionnaire</w:t>
            </w:r>
            <w:r w:rsidRPr="00FD0236">
              <w:rPr>
                <w:rFonts w:asciiTheme="majorBidi" w:hAnsiTheme="majorBidi" w:cstheme="majorBidi"/>
                <w:b w:val="0"/>
                <w:bCs w:val="0"/>
                <w:noProof/>
                <w:webHidden/>
              </w:rPr>
              <w:tab/>
            </w:r>
            <w:r w:rsidRPr="00FD0236">
              <w:rPr>
                <w:rFonts w:asciiTheme="majorBidi" w:hAnsiTheme="majorBidi" w:cstheme="majorBidi"/>
                <w:b w:val="0"/>
                <w:bCs w:val="0"/>
                <w:noProof/>
                <w:webHidden/>
              </w:rPr>
              <w:fldChar w:fldCharType="begin"/>
            </w:r>
            <w:r w:rsidRPr="00FD0236">
              <w:rPr>
                <w:rFonts w:asciiTheme="majorBidi" w:hAnsiTheme="majorBidi" w:cstheme="majorBidi"/>
                <w:b w:val="0"/>
                <w:bCs w:val="0"/>
                <w:noProof/>
                <w:webHidden/>
              </w:rPr>
              <w:instrText xml:space="preserve"> PAGEREF _Toc213748969 \h </w:instrText>
            </w:r>
            <w:r w:rsidRPr="00FD0236">
              <w:rPr>
                <w:rFonts w:asciiTheme="majorBidi" w:hAnsiTheme="majorBidi" w:cstheme="majorBidi"/>
                <w:b w:val="0"/>
                <w:bCs w:val="0"/>
                <w:noProof/>
                <w:webHidden/>
              </w:rPr>
            </w:r>
            <w:r w:rsidRPr="00FD0236">
              <w:rPr>
                <w:rFonts w:asciiTheme="majorBidi" w:hAnsiTheme="majorBidi" w:cstheme="majorBidi"/>
                <w:b w:val="0"/>
                <w:bCs w:val="0"/>
                <w:noProof/>
                <w:webHidden/>
              </w:rPr>
              <w:fldChar w:fldCharType="separate"/>
            </w:r>
            <w:r w:rsidRPr="00FD0236">
              <w:rPr>
                <w:rFonts w:asciiTheme="majorBidi" w:hAnsiTheme="majorBidi" w:cstheme="majorBidi"/>
                <w:b w:val="0"/>
                <w:bCs w:val="0"/>
                <w:noProof/>
                <w:webHidden/>
              </w:rPr>
              <w:t>70</w:t>
            </w:r>
            <w:r w:rsidRPr="00FD0236">
              <w:rPr>
                <w:rFonts w:asciiTheme="majorBidi" w:hAnsiTheme="majorBidi" w:cstheme="majorBidi"/>
                <w:b w:val="0"/>
                <w:bCs w:val="0"/>
                <w:noProof/>
                <w:webHidden/>
              </w:rPr>
              <w:fldChar w:fldCharType="end"/>
            </w:r>
          </w:hyperlink>
        </w:p>
        <w:p w14:paraId="24179915" w14:textId="2A0BCD85" w:rsidR="00FD0236" w:rsidRPr="00FD0236" w:rsidRDefault="00FD0236" w:rsidP="00FD0236">
          <w:pPr>
            <w:pStyle w:val="TOC1"/>
            <w:rPr>
              <w:rFonts w:asciiTheme="majorBidi" w:eastAsiaTheme="minorEastAsia" w:hAnsiTheme="majorBidi" w:cstheme="majorBidi"/>
              <w:b w:val="0"/>
              <w:bCs w:val="0"/>
              <w:noProof/>
              <w:sz w:val="24"/>
              <w:szCs w:val="24"/>
              <w:lang w:eastAsia="zh-CN"/>
            </w:rPr>
          </w:pPr>
          <w:hyperlink w:anchor="_Toc213748970" w:history="1">
            <w:r w:rsidRPr="00FD0236">
              <w:rPr>
                <w:rStyle w:val="Hyperlink"/>
                <w:rFonts w:asciiTheme="majorBidi" w:hAnsiTheme="majorBidi" w:cstheme="majorBidi"/>
                <w:b w:val="0"/>
                <w:bCs w:val="0"/>
                <w:noProof/>
              </w:rPr>
              <w:t>X.</w:t>
            </w:r>
            <w:r w:rsidRPr="00FD0236">
              <w:rPr>
                <w:rFonts w:asciiTheme="majorBidi" w:eastAsiaTheme="minorEastAsia" w:hAnsiTheme="majorBidi" w:cstheme="majorBidi"/>
                <w:b w:val="0"/>
                <w:bCs w:val="0"/>
                <w:noProof/>
                <w:sz w:val="24"/>
                <w:szCs w:val="24"/>
                <w:lang w:eastAsia="zh-CN"/>
              </w:rPr>
              <w:tab/>
            </w:r>
            <w:r w:rsidRPr="00FD0236">
              <w:rPr>
                <w:rStyle w:val="Hyperlink"/>
                <w:rFonts w:asciiTheme="majorBidi" w:hAnsiTheme="majorBidi" w:cstheme="majorBidi"/>
                <w:b w:val="0"/>
                <w:bCs w:val="0"/>
                <w:noProof/>
              </w:rPr>
              <w:t>APPENDIX 3 – Dissertation Proposal</w:t>
            </w:r>
            <w:r w:rsidRPr="00FD0236">
              <w:rPr>
                <w:rFonts w:asciiTheme="majorBidi" w:hAnsiTheme="majorBidi" w:cstheme="majorBidi"/>
                <w:b w:val="0"/>
                <w:bCs w:val="0"/>
                <w:noProof/>
                <w:webHidden/>
              </w:rPr>
              <w:tab/>
            </w:r>
            <w:r w:rsidRPr="00FD0236">
              <w:rPr>
                <w:rFonts w:asciiTheme="majorBidi" w:hAnsiTheme="majorBidi" w:cstheme="majorBidi"/>
                <w:b w:val="0"/>
                <w:bCs w:val="0"/>
                <w:noProof/>
                <w:webHidden/>
              </w:rPr>
              <w:fldChar w:fldCharType="begin"/>
            </w:r>
            <w:r w:rsidRPr="00FD0236">
              <w:rPr>
                <w:rFonts w:asciiTheme="majorBidi" w:hAnsiTheme="majorBidi" w:cstheme="majorBidi"/>
                <w:b w:val="0"/>
                <w:bCs w:val="0"/>
                <w:noProof/>
                <w:webHidden/>
              </w:rPr>
              <w:instrText xml:space="preserve"> PAGEREF _Toc213748970 \h </w:instrText>
            </w:r>
            <w:r w:rsidRPr="00FD0236">
              <w:rPr>
                <w:rFonts w:asciiTheme="majorBidi" w:hAnsiTheme="majorBidi" w:cstheme="majorBidi"/>
                <w:b w:val="0"/>
                <w:bCs w:val="0"/>
                <w:noProof/>
                <w:webHidden/>
              </w:rPr>
            </w:r>
            <w:r w:rsidRPr="00FD0236">
              <w:rPr>
                <w:rFonts w:asciiTheme="majorBidi" w:hAnsiTheme="majorBidi" w:cstheme="majorBidi"/>
                <w:b w:val="0"/>
                <w:bCs w:val="0"/>
                <w:noProof/>
                <w:webHidden/>
              </w:rPr>
              <w:fldChar w:fldCharType="separate"/>
            </w:r>
            <w:r w:rsidRPr="00FD0236">
              <w:rPr>
                <w:rFonts w:asciiTheme="majorBidi" w:hAnsiTheme="majorBidi" w:cstheme="majorBidi"/>
                <w:b w:val="0"/>
                <w:bCs w:val="0"/>
                <w:noProof/>
                <w:webHidden/>
              </w:rPr>
              <w:t>72</w:t>
            </w:r>
            <w:r w:rsidRPr="00FD0236">
              <w:rPr>
                <w:rFonts w:asciiTheme="majorBidi" w:hAnsiTheme="majorBidi" w:cstheme="majorBidi"/>
                <w:b w:val="0"/>
                <w:bCs w:val="0"/>
                <w:noProof/>
                <w:webHidden/>
              </w:rPr>
              <w:fldChar w:fldCharType="end"/>
            </w:r>
          </w:hyperlink>
        </w:p>
        <w:p w14:paraId="3858736D" w14:textId="7DB62AD1" w:rsidR="00FD0236" w:rsidRPr="00FD0236" w:rsidRDefault="00FD0236" w:rsidP="00FD0236">
          <w:pPr>
            <w:pStyle w:val="TOC1"/>
            <w:rPr>
              <w:rFonts w:asciiTheme="majorBidi" w:eastAsiaTheme="minorEastAsia" w:hAnsiTheme="majorBidi" w:cstheme="majorBidi"/>
              <w:b w:val="0"/>
              <w:bCs w:val="0"/>
              <w:noProof/>
              <w:sz w:val="24"/>
              <w:szCs w:val="24"/>
              <w:lang w:eastAsia="zh-CN"/>
            </w:rPr>
          </w:pPr>
          <w:hyperlink w:anchor="_Toc213748971" w:history="1">
            <w:r w:rsidRPr="00FD0236">
              <w:rPr>
                <w:rStyle w:val="Hyperlink"/>
                <w:rFonts w:asciiTheme="majorBidi" w:hAnsiTheme="majorBidi" w:cstheme="majorBidi"/>
                <w:b w:val="0"/>
                <w:bCs w:val="0"/>
                <w:noProof/>
              </w:rPr>
              <w:t>XI.</w:t>
            </w:r>
            <w:r w:rsidRPr="00FD0236">
              <w:rPr>
                <w:rFonts w:asciiTheme="majorBidi" w:eastAsiaTheme="minorEastAsia" w:hAnsiTheme="majorBidi" w:cstheme="majorBidi"/>
                <w:b w:val="0"/>
                <w:bCs w:val="0"/>
                <w:noProof/>
                <w:sz w:val="24"/>
                <w:szCs w:val="24"/>
                <w:lang w:eastAsia="zh-CN"/>
              </w:rPr>
              <w:tab/>
            </w:r>
            <w:r w:rsidRPr="00FD0236">
              <w:rPr>
                <w:rStyle w:val="Hyperlink"/>
                <w:rFonts w:asciiTheme="majorBidi" w:hAnsiTheme="majorBidi" w:cstheme="majorBidi"/>
                <w:b w:val="0"/>
                <w:bCs w:val="0"/>
                <w:noProof/>
              </w:rPr>
              <w:t>APPENDIX 4 – GA19 Postgraduate Taught Dissertation Supervision Record</w:t>
            </w:r>
            <w:r w:rsidRPr="00FD0236">
              <w:rPr>
                <w:rFonts w:asciiTheme="majorBidi" w:hAnsiTheme="majorBidi" w:cstheme="majorBidi"/>
                <w:b w:val="0"/>
                <w:bCs w:val="0"/>
                <w:noProof/>
                <w:webHidden/>
              </w:rPr>
              <w:tab/>
            </w:r>
            <w:r w:rsidRPr="00FD0236">
              <w:rPr>
                <w:rFonts w:asciiTheme="majorBidi" w:hAnsiTheme="majorBidi" w:cstheme="majorBidi"/>
                <w:b w:val="0"/>
                <w:bCs w:val="0"/>
                <w:noProof/>
                <w:webHidden/>
              </w:rPr>
              <w:fldChar w:fldCharType="begin"/>
            </w:r>
            <w:r w:rsidRPr="00FD0236">
              <w:rPr>
                <w:rFonts w:asciiTheme="majorBidi" w:hAnsiTheme="majorBidi" w:cstheme="majorBidi"/>
                <w:b w:val="0"/>
                <w:bCs w:val="0"/>
                <w:noProof/>
                <w:webHidden/>
              </w:rPr>
              <w:instrText xml:space="preserve"> PAGEREF _Toc213748971 \h </w:instrText>
            </w:r>
            <w:r w:rsidRPr="00FD0236">
              <w:rPr>
                <w:rFonts w:asciiTheme="majorBidi" w:hAnsiTheme="majorBidi" w:cstheme="majorBidi"/>
                <w:b w:val="0"/>
                <w:bCs w:val="0"/>
                <w:noProof/>
                <w:webHidden/>
              </w:rPr>
            </w:r>
            <w:r w:rsidRPr="00FD0236">
              <w:rPr>
                <w:rFonts w:asciiTheme="majorBidi" w:hAnsiTheme="majorBidi" w:cstheme="majorBidi"/>
                <w:b w:val="0"/>
                <w:bCs w:val="0"/>
                <w:noProof/>
                <w:webHidden/>
              </w:rPr>
              <w:fldChar w:fldCharType="separate"/>
            </w:r>
            <w:r w:rsidRPr="00FD0236">
              <w:rPr>
                <w:rFonts w:asciiTheme="majorBidi" w:hAnsiTheme="majorBidi" w:cstheme="majorBidi"/>
                <w:b w:val="0"/>
                <w:bCs w:val="0"/>
                <w:noProof/>
                <w:webHidden/>
              </w:rPr>
              <w:t>101</w:t>
            </w:r>
            <w:r w:rsidRPr="00FD0236">
              <w:rPr>
                <w:rFonts w:asciiTheme="majorBidi" w:hAnsiTheme="majorBidi" w:cstheme="majorBidi"/>
                <w:b w:val="0"/>
                <w:bCs w:val="0"/>
                <w:noProof/>
                <w:webHidden/>
              </w:rPr>
              <w:fldChar w:fldCharType="end"/>
            </w:r>
          </w:hyperlink>
        </w:p>
        <w:p w14:paraId="11EF52F0" w14:textId="3450EA4D" w:rsidR="00D60073" w:rsidRPr="00A16D04" w:rsidRDefault="00A40784">
          <w:r w:rsidRPr="00A16D04">
            <w:rPr>
              <w:rFonts w:cs="Times New Roman"/>
              <w:szCs w:val="22"/>
            </w:rPr>
            <w:fldChar w:fldCharType="end"/>
          </w:r>
        </w:p>
      </w:sdtContent>
    </w:sdt>
    <w:p w14:paraId="6D1D2324" w14:textId="42BA3AB5" w:rsidR="00A16D04" w:rsidRDefault="00A16D04">
      <w:r>
        <w:br w:type="page"/>
      </w:r>
    </w:p>
    <w:p w14:paraId="61C874F8" w14:textId="4C8A34EC" w:rsidR="00E31A41" w:rsidRDefault="00E31A41" w:rsidP="00E31A41">
      <w:pPr>
        <w:pStyle w:val="Heading"/>
        <w:numPr>
          <w:ilvl w:val="0"/>
          <w:numId w:val="10"/>
        </w:numPr>
        <w:ind w:left="720"/>
        <w:rPr>
          <w:rFonts w:cs="Times New Roman"/>
          <w:sz w:val="22"/>
          <w:szCs w:val="22"/>
        </w:rPr>
      </w:pPr>
      <w:bookmarkStart w:id="6" w:name="_Toc213748891"/>
      <w:r>
        <w:rPr>
          <w:rFonts w:cs="Times New Roman"/>
          <w:sz w:val="22"/>
          <w:szCs w:val="22"/>
        </w:rPr>
        <w:lastRenderedPageBreak/>
        <w:t>LIST OF FIGURES</w:t>
      </w:r>
      <w:bookmarkEnd w:id="6"/>
    </w:p>
    <w:p w14:paraId="1C0A25D0" w14:textId="77777777" w:rsidR="00C905F9" w:rsidRDefault="00C905F9">
      <w:pPr>
        <w:pStyle w:val="TableofFigures"/>
        <w:tabs>
          <w:tab w:val="right" w:leader="dot" w:pos="9350"/>
        </w:tabs>
      </w:pPr>
    </w:p>
    <w:tbl>
      <w:tblPr>
        <w:tblStyle w:val="TableGridLight"/>
        <w:tblW w:w="923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33"/>
        <w:gridCol w:w="498"/>
      </w:tblGrid>
      <w:tr w:rsidR="00E00F8F" w:rsidRPr="00E00F8F" w14:paraId="20B46676" w14:textId="77777777" w:rsidTr="00300FB0">
        <w:trPr>
          <w:trHeight w:val="524"/>
        </w:trPr>
        <w:tc>
          <w:tcPr>
            <w:tcW w:w="8735" w:type="dxa"/>
            <w:noWrap/>
            <w:vAlign w:val="bottom"/>
          </w:tcPr>
          <w:tbl>
            <w:tblPr>
              <w:tblW w:w="8617" w:type="dxa"/>
              <w:tblLook w:val="04A0" w:firstRow="1" w:lastRow="0" w:firstColumn="1" w:lastColumn="0" w:noHBand="0" w:noVBand="1"/>
            </w:tblPr>
            <w:tblGrid>
              <w:gridCol w:w="1415"/>
              <w:gridCol w:w="6721"/>
              <w:gridCol w:w="481"/>
            </w:tblGrid>
            <w:tr w:rsidR="00300FB0" w:rsidRPr="00300FB0" w14:paraId="752695D4" w14:textId="77777777" w:rsidTr="005E3769">
              <w:trPr>
                <w:trHeight w:val="589"/>
              </w:trPr>
              <w:tc>
                <w:tcPr>
                  <w:tcW w:w="1415" w:type="dxa"/>
                  <w:tcBorders>
                    <w:top w:val="nil"/>
                    <w:left w:val="nil"/>
                    <w:bottom w:val="nil"/>
                    <w:right w:val="nil"/>
                  </w:tcBorders>
                  <w:noWrap/>
                  <w:vAlign w:val="bottom"/>
                  <w:hideMark/>
                </w:tcPr>
                <w:p w14:paraId="515784F6"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1.1.1</w:t>
                  </w:r>
                </w:p>
              </w:tc>
              <w:tc>
                <w:tcPr>
                  <w:tcW w:w="6721" w:type="dxa"/>
                  <w:tcBorders>
                    <w:top w:val="nil"/>
                    <w:left w:val="nil"/>
                    <w:bottom w:val="nil"/>
                    <w:right w:val="nil"/>
                  </w:tcBorders>
                  <w:noWrap/>
                  <w:vAlign w:val="bottom"/>
                  <w:hideMark/>
                </w:tcPr>
                <w:p w14:paraId="2594ABA8" w14:textId="615D1459"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Global Instant Coffee Market size from Year 2018 and projection to Year 2030</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538A2126"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1</w:t>
                  </w:r>
                </w:p>
              </w:tc>
            </w:tr>
            <w:tr w:rsidR="00300FB0" w:rsidRPr="00300FB0" w14:paraId="10052522" w14:textId="77777777" w:rsidTr="005E3769">
              <w:trPr>
                <w:trHeight w:val="589"/>
              </w:trPr>
              <w:tc>
                <w:tcPr>
                  <w:tcW w:w="1415" w:type="dxa"/>
                  <w:tcBorders>
                    <w:top w:val="nil"/>
                    <w:left w:val="nil"/>
                    <w:bottom w:val="nil"/>
                    <w:right w:val="nil"/>
                  </w:tcBorders>
                  <w:noWrap/>
                  <w:vAlign w:val="bottom"/>
                  <w:hideMark/>
                </w:tcPr>
                <w:p w14:paraId="644EDCDA"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1.1.2</w:t>
                  </w:r>
                </w:p>
              </w:tc>
              <w:tc>
                <w:tcPr>
                  <w:tcW w:w="6721" w:type="dxa"/>
                  <w:tcBorders>
                    <w:top w:val="nil"/>
                    <w:left w:val="nil"/>
                    <w:bottom w:val="nil"/>
                    <w:right w:val="nil"/>
                  </w:tcBorders>
                  <w:noWrap/>
                  <w:vAlign w:val="bottom"/>
                  <w:hideMark/>
                </w:tcPr>
                <w:p w14:paraId="407B7455" w14:textId="40FF140C"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Hong Kong Instant Coffee Revenue Change from Year 2019 and projection to Year 2030</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5B2AB240"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2</w:t>
                  </w:r>
                </w:p>
              </w:tc>
            </w:tr>
            <w:tr w:rsidR="00300FB0" w:rsidRPr="00300FB0" w14:paraId="50F668EB" w14:textId="77777777" w:rsidTr="005E3769">
              <w:trPr>
                <w:trHeight w:val="589"/>
              </w:trPr>
              <w:tc>
                <w:tcPr>
                  <w:tcW w:w="1415" w:type="dxa"/>
                  <w:tcBorders>
                    <w:top w:val="nil"/>
                    <w:left w:val="nil"/>
                    <w:bottom w:val="nil"/>
                    <w:right w:val="nil"/>
                  </w:tcBorders>
                  <w:noWrap/>
                  <w:vAlign w:val="bottom"/>
                  <w:hideMark/>
                </w:tcPr>
                <w:p w14:paraId="306E41B3"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1.1.3</w:t>
                  </w:r>
                </w:p>
              </w:tc>
              <w:tc>
                <w:tcPr>
                  <w:tcW w:w="6721" w:type="dxa"/>
                  <w:tcBorders>
                    <w:top w:val="nil"/>
                    <w:left w:val="nil"/>
                    <w:bottom w:val="nil"/>
                    <w:right w:val="nil"/>
                  </w:tcBorders>
                  <w:noWrap/>
                  <w:vAlign w:val="bottom"/>
                  <w:hideMark/>
                </w:tcPr>
                <w:p w14:paraId="10DB3A49" w14:textId="79F8220A"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Overview of Social Media Use in Hong Kong</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4557B638"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3</w:t>
                  </w:r>
                </w:p>
              </w:tc>
            </w:tr>
            <w:tr w:rsidR="00300FB0" w:rsidRPr="00300FB0" w14:paraId="44BB7ECC" w14:textId="77777777" w:rsidTr="005E3769">
              <w:trPr>
                <w:trHeight w:val="589"/>
              </w:trPr>
              <w:tc>
                <w:tcPr>
                  <w:tcW w:w="1415" w:type="dxa"/>
                  <w:tcBorders>
                    <w:top w:val="nil"/>
                    <w:left w:val="nil"/>
                    <w:bottom w:val="nil"/>
                    <w:right w:val="nil"/>
                  </w:tcBorders>
                  <w:noWrap/>
                  <w:vAlign w:val="bottom"/>
                  <w:hideMark/>
                </w:tcPr>
                <w:p w14:paraId="1823F2C3"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1.1.4</w:t>
                  </w:r>
                </w:p>
              </w:tc>
              <w:tc>
                <w:tcPr>
                  <w:tcW w:w="6721" w:type="dxa"/>
                  <w:tcBorders>
                    <w:top w:val="nil"/>
                    <w:left w:val="nil"/>
                    <w:bottom w:val="nil"/>
                    <w:right w:val="nil"/>
                  </w:tcBorders>
                  <w:noWrap/>
                  <w:vAlign w:val="bottom"/>
                  <w:hideMark/>
                </w:tcPr>
                <w:p w14:paraId="3624F231" w14:textId="7A0C62E9"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Main Reasons for Using Social Media</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426C02FD"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4</w:t>
                  </w:r>
                </w:p>
              </w:tc>
            </w:tr>
            <w:tr w:rsidR="00300FB0" w:rsidRPr="00300FB0" w14:paraId="21C9FF9E" w14:textId="77777777" w:rsidTr="005E3769">
              <w:trPr>
                <w:trHeight w:val="589"/>
              </w:trPr>
              <w:tc>
                <w:tcPr>
                  <w:tcW w:w="1415" w:type="dxa"/>
                  <w:tcBorders>
                    <w:top w:val="nil"/>
                    <w:left w:val="nil"/>
                    <w:bottom w:val="nil"/>
                    <w:right w:val="nil"/>
                  </w:tcBorders>
                  <w:noWrap/>
                  <w:vAlign w:val="bottom"/>
                  <w:hideMark/>
                </w:tcPr>
                <w:p w14:paraId="67FC3E9C"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1.1.5</w:t>
                  </w:r>
                </w:p>
              </w:tc>
              <w:tc>
                <w:tcPr>
                  <w:tcW w:w="6721" w:type="dxa"/>
                  <w:tcBorders>
                    <w:top w:val="nil"/>
                    <w:left w:val="nil"/>
                    <w:bottom w:val="nil"/>
                    <w:right w:val="nil"/>
                  </w:tcBorders>
                  <w:noWrap/>
                  <w:vAlign w:val="bottom"/>
                  <w:hideMark/>
                </w:tcPr>
                <w:p w14:paraId="52FAD318" w14:textId="6A2732F1"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Hong Kong People Concern toward Sustainability and the Environment</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7B811330"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5</w:t>
                  </w:r>
                </w:p>
              </w:tc>
            </w:tr>
            <w:tr w:rsidR="00300FB0" w:rsidRPr="00300FB0" w14:paraId="2A2FBB8C" w14:textId="77777777" w:rsidTr="005E3769">
              <w:trPr>
                <w:trHeight w:val="589"/>
              </w:trPr>
              <w:tc>
                <w:tcPr>
                  <w:tcW w:w="1415" w:type="dxa"/>
                  <w:tcBorders>
                    <w:top w:val="nil"/>
                    <w:left w:val="nil"/>
                    <w:bottom w:val="nil"/>
                    <w:right w:val="nil"/>
                  </w:tcBorders>
                  <w:noWrap/>
                  <w:vAlign w:val="bottom"/>
                  <w:hideMark/>
                </w:tcPr>
                <w:p w14:paraId="5D600885"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1.1.6</w:t>
                  </w:r>
                </w:p>
              </w:tc>
              <w:tc>
                <w:tcPr>
                  <w:tcW w:w="6721" w:type="dxa"/>
                  <w:tcBorders>
                    <w:top w:val="nil"/>
                    <w:left w:val="nil"/>
                    <w:bottom w:val="nil"/>
                    <w:right w:val="nil"/>
                  </w:tcBorders>
                  <w:noWrap/>
                  <w:vAlign w:val="bottom"/>
                  <w:hideMark/>
                </w:tcPr>
                <w:p w14:paraId="4833B207" w14:textId="45F40071"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Hong Kong People Willingness to Pay More for Sustainable Efforts</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02419CF9"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5</w:t>
                  </w:r>
                </w:p>
              </w:tc>
            </w:tr>
            <w:tr w:rsidR="00300FB0" w:rsidRPr="00300FB0" w14:paraId="603F7C72" w14:textId="77777777" w:rsidTr="005E3769">
              <w:trPr>
                <w:trHeight w:val="589"/>
              </w:trPr>
              <w:tc>
                <w:tcPr>
                  <w:tcW w:w="1415" w:type="dxa"/>
                  <w:tcBorders>
                    <w:top w:val="nil"/>
                    <w:left w:val="nil"/>
                    <w:bottom w:val="nil"/>
                    <w:right w:val="nil"/>
                  </w:tcBorders>
                  <w:noWrap/>
                  <w:vAlign w:val="bottom"/>
                  <w:hideMark/>
                </w:tcPr>
                <w:p w14:paraId="043AC175"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3.3</w:t>
                  </w:r>
                </w:p>
              </w:tc>
              <w:tc>
                <w:tcPr>
                  <w:tcW w:w="6721" w:type="dxa"/>
                  <w:tcBorders>
                    <w:top w:val="nil"/>
                    <w:left w:val="nil"/>
                    <w:bottom w:val="nil"/>
                    <w:right w:val="nil"/>
                  </w:tcBorders>
                  <w:noWrap/>
                  <w:vAlign w:val="bottom"/>
                  <w:hideMark/>
                </w:tcPr>
                <w:p w14:paraId="5D1C5695" w14:textId="2AFD4133"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Conceptual Research Model</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23326AFF"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26</w:t>
                  </w:r>
                </w:p>
              </w:tc>
            </w:tr>
            <w:tr w:rsidR="00300FB0" w:rsidRPr="00300FB0" w14:paraId="27B583B0" w14:textId="77777777" w:rsidTr="005E3769">
              <w:trPr>
                <w:trHeight w:val="589"/>
              </w:trPr>
              <w:tc>
                <w:tcPr>
                  <w:tcW w:w="1415" w:type="dxa"/>
                  <w:tcBorders>
                    <w:top w:val="nil"/>
                    <w:left w:val="nil"/>
                    <w:bottom w:val="nil"/>
                    <w:right w:val="nil"/>
                  </w:tcBorders>
                  <w:noWrap/>
                  <w:vAlign w:val="bottom"/>
                  <w:hideMark/>
                </w:tcPr>
                <w:p w14:paraId="7E960A03"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4.2.1</w:t>
                  </w:r>
                </w:p>
              </w:tc>
              <w:tc>
                <w:tcPr>
                  <w:tcW w:w="6721" w:type="dxa"/>
                  <w:tcBorders>
                    <w:top w:val="nil"/>
                    <w:left w:val="nil"/>
                    <w:bottom w:val="nil"/>
                    <w:right w:val="nil"/>
                  </w:tcBorders>
                  <w:noWrap/>
                  <w:vAlign w:val="bottom"/>
                  <w:hideMark/>
                </w:tcPr>
                <w:p w14:paraId="5D0B04CE" w14:textId="4EC25A8D"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Respondents Demographic Overview</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0AC44C73"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37</w:t>
                  </w:r>
                </w:p>
              </w:tc>
            </w:tr>
            <w:tr w:rsidR="00300FB0" w:rsidRPr="00300FB0" w14:paraId="19BD2D80" w14:textId="77777777" w:rsidTr="005E3769">
              <w:trPr>
                <w:trHeight w:val="589"/>
              </w:trPr>
              <w:tc>
                <w:tcPr>
                  <w:tcW w:w="1415" w:type="dxa"/>
                  <w:tcBorders>
                    <w:top w:val="nil"/>
                    <w:left w:val="nil"/>
                    <w:bottom w:val="nil"/>
                    <w:right w:val="nil"/>
                  </w:tcBorders>
                  <w:noWrap/>
                  <w:vAlign w:val="bottom"/>
                  <w:hideMark/>
                </w:tcPr>
                <w:p w14:paraId="7989BB58"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4.6.6</w:t>
                  </w:r>
                </w:p>
              </w:tc>
              <w:tc>
                <w:tcPr>
                  <w:tcW w:w="6721" w:type="dxa"/>
                  <w:tcBorders>
                    <w:top w:val="nil"/>
                    <w:left w:val="nil"/>
                    <w:bottom w:val="nil"/>
                    <w:right w:val="nil"/>
                  </w:tcBorders>
                  <w:noWrap/>
                  <w:vAlign w:val="bottom"/>
                  <w:hideMark/>
                </w:tcPr>
                <w:p w14:paraId="33E518F4" w14:textId="12A0DDBB"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Normality of Residuals Histogram and Normal P-Plot of Regression Standardized Residual</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76FB1763"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48</w:t>
                  </w:r>
                </w:p>
              </w:tc>
            </w:tr>
            <w:tr w:rsidR="00300FB0" w:rsidRPr="00300FB0" w14:paraId="47412721" w14:textId="77777777" w:rsidTr="005E3769">
              <w:trPr>
                <w:trHeight w:val="589"/>
              </w:trPr>
              <w:tc>
                <w:tcPr>
                  <w:tcW w:w="1415" w:type="dxa"/>
                  <w:tcBorders>
                    <w:top w:val="nil"/>
                    <w:left w:val="nil"/>
                    <w:bottom w:val="nil"/>
                    <w:right w:val="nil"/>
                  </w:tcBorders>
                  <w:noWrap/>
                  <w:vAlign w:val="bottom"/>
                  <w:hideMark/>
                </w:tcPr>
                <w:p w14:paraId="098736C9"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4.6.7</w:t>
                  </w:r>
                </w:p>
              </w:tc>
              <w:tc>
                <w:tcPr>
                  <w:tcW w:w="6721" w:type="dxa"/>
                  <w:tcBorders>
                    <w:top w:val="nil"/>
                    <w:left w:val="nil"/>
                    <w:bottom w:val="nil"/>
                    <w:right w:val="nil"/>
                  </w:tcBorders>
                  <w:noWrap/>
                  <w:vAlign w:val="bottom"/>
                  <w:hideMark/>
                </w:tcPr>
                <w:p w14:paraId="234D61BD" w14:textId="3AA525A4"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Scatterplot of Standardized Residuals</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6AAB4349"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48</w:t>
                  </w:r>
                </w:p>
              </w:tc>
            </w:tr>
            <w:tr w:rsidR="00300FB0" w:rsidRPr="00300FB0" w14:paraId="78CD5637" w14:textId="77777777" w:rsidTr="005E3769">
              <w:trPr>
                <w:trHeight w:val="589"/>
              </w:trPr>
              <w:tc>
                <w:tcPr>
                  <w:tcW w:w="1415" w:type="dxa"/>
                  <w:tcBorders>
                    <w:top w:val="nil"/>
                    <w:left w:val="nil"/>
                    <w:bottom w:val="nil"/>
                    <w:right w:val="nil"/>
                  </w:tcBorders>
                  <w:noWrap/>
                  <w:vAlign w:val="bottom"/>
                  <w:hideMark/>
                </w:tcPr>
                <w:p w14:paraId="2986EE23"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4.7</w:t>
                  </w:r>
                </w:p>
              </w:tc>
              <w:tc>
                <w:tcPr>
                  <w:tcW w:w="6721" w:type="dxa"/>
                  <w:tcBorders>
                    <w:top w:val="nil"/>
                    <w:left w:val="nil"/>
                    <w:bottom w:val="nil"/>
                    <w:right w:val="nil"/>
                  </w:tcBorders>
                  <w:noWrap/>
                  <w:vAlign w:val="bottom"/>
                  <w:hideMark/>
                </w:tcPr>
                <w:p w14:paraId="386A83B1" w14:textId="59EC720E"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Research Result on the Conceptual Framework</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694AE202"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49</w:t>
                  </w:r>
                </w:p>
              </w:tc>
            </w:tr>
          </w:tbl>
          <w:p w14:paraId="29F5A76B" w14:textId="374CBA98" w:rsidR="00E00F8F" w:rsidRPr="00732131" w:rsidRDefault="00E00F8F" w:rsidP="00732131">
            <w:pPr>
              <w:spacing w:line="276" w:lineRule="auto"/>
              <w:jc w:val="center"/>
              <w:rPr>
                <w:rFonts w:eastAsia="Times New Roman" w:cs="Times New Roman"/>
                <w:color w:val="000000"/>
                <w:kern w:val="0"/>
                <w:szCs w:val="22"/>
                <w14:ligatures w14:val="none"/>
              </w:rPr>
            </w:pPr>
          </w:p>
        </w:tc>
        <w:tc>
          <w:tcPr>
            <w:tcW w:w="498" w:type="dxa"/>
            <w:noWrap/>
            <w:vAlign w:val="bottom"/>
          </w:tcPr>
          <w:p w14:paraId="50246E9D" w14:textId="18134BB9"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26331827" w14:textId="77777777" w:rsidTr="00300FB0">
        <w:trPr>
          <w:trHeight w:val="524"/>
        </w:trPr>
        <w:tc>
          <w:tcPr>
            <w:tcW w:w="8735" w:type="dxa"/>
            <w:noWrap/>
            <w:vAlign w:val="bottom"/>
          </w:tcPr>
          <w:p w14:paraId="43CB8626" w14:textId="7B674BFF" w:rsidR="00E00F8F" w:rsidRPr="00E26C06" w:rsidRDefault="00E00F8F" w:rsidP="00732131">
            <w:pPr>
              <w:spacing w:line="276" w:lineRule="auto"/>
              <w:ind w:left="1147" w:hanging="1170"/>
              <w:jc w:val="center"/>
              <w:rPr>
                <w:rFonts w:cs="Times New Roman" w:hint="eastAsia"/>
                <w:color w:val="000000"/>
                <w:kern w:val="0"/>
                <w:szCs w:val="22"/>
                <w14:ligatures w14:val="none"/>
              </w:rPr>
            </w:pPr>
          </w:p>
        </w:tc>
        <w:tc>
          <w:tcPr>
            <w:tcW w:w="498" w:type="dxa"/>
            <w:noWrap/>
            <w:vAlign w:val="bottom"/>
          </w:tcPr>
          <w:p w14:paraId="71E62C01" w14:textId="159F3083"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0741A440" w14:textId="77777777" w:rsidTr="00300FB0">
        <w:trPr>
          <w:trHeight w:val="524"/>
        </w:trPr>
        <w:tc>
          <w:tcPr>
            <w:tcW w:w="8735" w:type="dxa"/>
            <w:noWrap/>
            <w:vAlign w:val="bottom"/>
          </w:tcPr>
          <w:p w14:paraId="11325854" w14:textId="30DA5B26" w:rsidR="00E00F8F" w:rsidRPr="00732131" w:rsidRDefault="00E00F8F" w:rsidP="00732131">
            <w:pPr>
              <w:spacing w:line="276" w:lineRule="auto"/>
              <w:jc w:val="center"/>
              <w:rPr>
                <w:rFonts w:eastAsia="Times New Roman" w:cs="Times New Roman"/>
                <w:color w:val="000000"/>
                <w:kern w:val="0"/>
                <w:szCs w:val="22"/>
                <w14:ligatures w14:val="none"/>
              </w:rPr>
            </w:pPr>
          </w:p>
        </w:tc>
        <w:tc>
          <w:tcPr>
            <w:tcW w:w="498" w:type="dxa"/>
            <w:noWrap/>
            <w:vAlign w:val="bottom"/>
          </w:tcPr>
          <w:p w14:paraId="53733EEB" w14:textId="44DB6C66"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1FF7E303" w14:textId="77777777" w:rsidTr="00300FB0">
        <w:trPr>
          <w:trHeight w:val="524"/>
        </w:trPr>
        <w:tc>
          <w:tcPr>
            <w:tcW w:w="8735" w:type="dxa"/>
            <w:noWrap/>
            <w:vAlign w:val="bottom"/>
          </w:tcPr>
          <w:p w14:paraId="7C46EDC8" w14:textId="25727125" w:rsidR="00E00F8F" w:rsidRPr="00732131" w:rsidRDefault="00E00F8F" w:rsidP="00732131">
            <w:pPr>
              <w:spacing w:line="276" w:lineRule="auto"/>
              <w:jc w:val="center"/>
              <w:rPr>
                <w:rFonts w:cs="Times New Roman" w:hint="eastAsia"/>
                <w:color w:val="000000"/>
                <w:kern w:val="0"/>
                <w:szCs w:val="22"/>
                <w14:ligatures w14:val="none"/>
              </w:rPr>
            </w:pPr>
          </w:p>
        </w:tc>
        <w:tc>
          <w:tcPr>
            <w:tcW w:w="498" w:type="dxa"/>
            <w:noWrap/>
            <w:vAlign w:val="bottom"/>
          </w:tcPr>
          <w:p w14:paraId="481D1D3F" w14:textId="43E78F54"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6E8B9798" w14:textId="77777777" w:rsidTr="00300FB0">
        <w:trPr>
          <w:trHeight w:val="524"/>
        </w:trPr>
        <w:tc>
          <w:tcPr>
            <w:tcW w:w="8735" w:type="dxa"/>
            <w:noWrap/>
            <w:vAlign w:val="bottom"/>
          </w:tcPr>
          <w:p w14:paraId="03CCBDDD" w14:textId="5A7FDA34" w:rsidR="00E00F8F" w:rsidRPr="00732131" w:rsidRDefault="00E00F8F" w:rsidP="00732131">
            <w:pPr>
              <w:spacing w:line="276" w:lineRule="auto"/>
              <w:rPr>
                <w:rFonts w:cs="Times New Roman" w:hint="eastAsia"/>
                <w:color w:val="000000"/>
                <w:kern w:val="0"/>
                <w:szCs w:val="22"/>
                <w14:ligatures w14:val="none"/>
              </w:rPr>
            </w:pPr>
          </w:p>
        </w:tc>
        <w:tc>
          <w:tcPr>
            <w:tcW w:w="498" w:type="dxa"/>
            <w:noWrap/>
            <w:vAlign w:val="bottom"/>
          </w:tcPr>
          <w:p w14:paraId="609C7D9B" w14:textId="326B53F0"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733BD4DD" w14:textId="77777777" w:rsidTr="00300FB0">
        <w:trPr>
          <w:trHeight w:val="524"/>
        </w:trPr>
        <w:tc>
          <w:tcPr>
            <w:tcW w:w="8735" w:type="dxa"/>
            <w:noWrap/>
            <w:vAlign w:val="bottom"/>
          </w:tcPr>
          <w:p w14:paraId="7C439ED2" w14:textId="1D2BD4E3" w:rsidR="00E00F8F" w:rsidRPr="00732131" w:rsidRDefault="00E00F8F" w:rsidP="00732131">
            <w:pPr>
              <w:spacing w:line="276" w:lineRule="auto"/>
              <w:rPr>
                <w:rFonts w:cs="Times New Roman" w:hint="eastAsia"/>
                <w:color w:val="000000"/>
                <w:kern w:val="0"/>
                <w:szCs w:val="22"/>
                <w14:ligatures w14:val="none"/>
              </w:rPr>
            </w:pPr>
          </w:p>
        </w:tc>
        <w:tc>
          <w:tcPr>
            <w:tcW w:w="498" w:type="dxa"/>
            <w:noWrap/>
            <w:vAlign w:val="bottom"/>
          </w:tcPr>
          <w:p w14:paraId="4930E130" w14:textId="75E2E9AF"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5B6EFECB" w14:textId="77777777" w:rsidTr="00300FB0">
        <w:trPr>
          <w:trHeight w:val="524"/>
        </w:trPr>
        <w:tc>
          <w:tcPr>
            <w:tcW w:w="8735" w:type="dxa"/>
            <w:noWrap/>
            <w:vAlign w:val="bottom"/>
          </w:tcPr>
          <w:p w14:paraId="596207BD" w14:textId="5DECA86C" w:rsidR="00E00F8F" w:rsidRPr="00732131" w:rsidRDefault="00E00F8F" w:rsidP="00732131">
            <w:pPr>
              <w:spacing w:line="276" w:lineRule="auto"/>
              <w:jc w:val="center"/>
              <w:rPr>
                <w:rFonts w:eastAsia="Times New Roman" w:cs="Times New Roman"/>
                <w:color w:val="000000"/>
                <w:kern w:val="0"/>
                <w:szCs w:val="22"/>
                <w14:ligatures w14:val="none"/>
              </w:rPr>
            </w:pPr>
          </w:p>
        </w:tc>
        <w:tc>
          <w:tcPr>
            <w:tcW w:w="498" w:type="dxa"/>
            <w:noWrap/>
            <w:vAlign w:val="bottom"/>
          </w:tcPr>
          <w:p w14:paraId="20CFB567" w14:textId="3592DB1D"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73260FDD" w14:textId="77777777" w:rsidTr="00300FB0">
        <w:trPr>
          <w:trHeight w:val="524"/>
        </w:trPr>
        <w:tc>
          <w:tcPr>
            <w:tcW w:w="8735" w:type="dxa"/>
            <w:noWrap/>
            <w:vAlign w:val="bottom"/>
          </w:tcPr>
          <w:p w14:paraId="4C318B6F" w14:textId="148483A9" w:rsidR="00E00F8F" w:rsidRPr="00732131" w:rsidRDefault="00E00F8F" w:rsidP="00732131">
            <w:pPr>
              <w:spacing w:line="276" w:lineRule="auto"/>
              <w:jc w:val="center"/>
              <w:rPr>
                <w:rFonts w:eastAsia="Times New Roman" w:cs="Times New Roman"/>
                <w:color w:val="000000"/>
                <w:kern w:val="0"/>
                <w:szCs w:val="22"/>
                <w14:ligatures w14:val="none"/>
              </w:rPr>
            </w:pPr>
          </w:p>
        </w:tc>
        <w:tc>
          <w:tcPr>
            <w:tcW w:w="498" w:type="dxa"/>
            <w:noWrap/>
            <w:vAlign w:val="bottom"/>
          </w:tcPr>
          <w:p w14:paraId="23BF0B6D" w14:textId="5B061C9C"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2EE990CD" w14:textId="77777777" w:rsidTr="00300FB0">
        <w:trPr>
          <w:trHeight w:val="524"/>
        </w:trPr>
        <w:tc>
          <w:tcPr>
            <w:tcW w:w="8735" w:type="dxa"/>
            <w:noWrap/>
            <w:vAlign w:val="bottom"/>
          </w:tcPr>
          <w:p w14:paraId="163B8521" w14:textId="11F1F731" w:rsidR="00E00F8F" w:rsidRPr="00732131" w:rsidRDefault="00E00F8F" w:rsidP="00732131">
            <w:pPr>
              <w:spacing w:line="276" w:lineRule="auto"/>
              <w:ind w:left="1147" w:hanging="1147"/>
              <w:rPr>
                <w:rFonts w:eastAsia="Times New Roman" w:cs="Times New Roman"/>
                <w:color w:val="000000"/>
                <w:kern w:val="0"/>
                <w:szCs w:val="22"/>
                <w14:ligatures w14:val="none"/>
              </w:rPr>
            </w:pPr>
          </w:p>
        </w:tc>
        <w:tc>
          <w:tcPr>
            <w:tcW w:w="498" w:type="dxa"/>
            <w:noWrap/>
            <w:vAlign w:val="bottom"/>
          </w:tcPr>
          <w:p w14:paraId="046EEF93" w14:textId="3ABBAEF4"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34A800E7" w14:textId="77777777" w:rsidTr="00300FB0">
        <w:trPr>
          <w:trHeight w:val="524"/>
        </w:trPr>
        <w:tc>
          <w:tcPr>
            <w:tcW w:w="8735" w:type="dxa"/>
            <w:noWrap/>
            <w:vAlign w:val="bottom"/>
          </w:tcPr>
          <w:p w14:paraId="5164DD5E" w14:textId="6CA2771F" w:rsidR="00E00F8F" w:rsidRPr="00732131" w:rsidRDefault="00E00F8F" w:rsidP="00732131">
            <w:pPr>
              <w:spacing w:line="276" w:lineRule="auto"/>
              <w:jc w:val="center"/>
              <w:rPr>
                <w:rFonts w:eastAsia="Times New Roman" w:cs="Times New Roman"/>
                <w:color w:val="000000"/>
                <w:kern w:val="0"/>
                <w:szCs w:val="22"/>
                <w14:ligatures w14:val="none"/>
              </w:rPr>
            </w:pPr>
          </w:p>
        </w:tc>
        <w:tc>
          <w:tcPr>
            <w:tcW w:w="498" w:type="dxa"/>
            <w:noWrap/>
            <w:vAlign w:val="bottom"/>
          </w:tcPr>
          <w:p w14:paraId="258D3146" w14:textId="0AA4BAE4"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45F6F93E" w14:textId="77777777" w:rsidTr="00300FB0">
        <w:trPr>
          <w:trHeight w:val="524"/>
        </w:trPr>
        <w:tc>
          <w:tcPr>
            <w:tcW w:w="8735" w:type="dxa"/>
            <w:noWrap/>
            <w:vAlign w:val="bottom"/>
          </w:tcPr>
          <w:p w14:paraId="2C3779C8" w14:textId="1181F43F" w:rsidR="00E00F8F" w:rsidRPr="00732131" w:rsidRDefault="00E00F8F" w:rsidP="00732131">
            <w:pPr>
              <w:spacing w:line="276" w:lineRule="auto"/>
              <w:jc w:val="center"/>
              <w:rPr>
                <w:rFonts w:eastAsia="Times New Roman" w:cs="Times New Roman"/>
                <w:color w:val="000000"/>
                <w:kern w:val="0"/>
                <w:szCs w:val="22"/>
                <w14:ligatures w14:val="none"/>
              </w:rPr>
            </w:pPr>
          </w:p>
        </w:tc>
        <w:tc>
          <w:tcPr>
            <w:tcW w:w="498" w:type="dxa"/>
            <w:noWrap/>
            <w:vAlign w:val="bottom"/>
          </w:tcPr>
          <w:p w14:paraId="6747BBA8" w14:textId="2FC0C63E" w:rsidR="00E00F8F" w:rsidRPr="00732131" w:rsidRDefault="00E00F8F" w:rsidP="00732131">
            <w:pPr>
              <w:spacing w:line="276" w:lineRule="auto"/>
              <w:jc w:val="center"/>
              <w:rPr>
                <w:rFonts w:eastAsia="Times New Roman" w:cs="Times New Roman"/>
                <w:color w:val="000000"/>
                <w:kern w:val="0"/>
                <w:szCs w:val="22"/>
                <w14:ligatures w14:val="none"/>
              </w:rPr>
            </w:pPr>
          </w:p>
        </w:tc>
      </w:tr>
    </w:tbl>
    <w:p w14:paraId="1D9C2DF8" w14:textId="77777777" w:rsidR="008614DF" w:rsidRPr="00E00F8F" w:rsidRDefault="008614DF" w:rsidP="00E31A41"/>
    <w:p w14:paraId="6C832CF5" w14:textId="7F60B108" w:rsidR="00E31A41" w:rsidRDefault="00E31A41">
      <w:r>
        <w:br w:type="page"/>
      </w:r>
    </w:p>
    <w:p w14:paraId="4ECAD27B" w14:textId="36D52025" w:rsidR="00E31A41" w:rsidRPr="00915260" w:rsidRDefault="00E31A41" w:rsidP="00E31A41">
      <w:pPr>
        <w:pStyle w:val="Heading"/>
        <w:numPr>
          <w:ilvl w:val="0"/>
          <w:numId w:val="10"/>
        </w:numPr>
        <w:ind w:left="720"/>
        <w:rPr>
          <w:rFonts w:cs="Times New Roman"/>
          <w:sz w:val="22"/>
          <w:szCs w:val="22"/>
        </w:rPr>
      </w:pPr>
      <w:bookmarkStart w:id="7" w:name="_Toc213748892"/>
      <w:r>
        <w:rPr>
          <w:rFonts w:cs="Times New Roman"/>
          <w:sz w:val="22"/>
          <w:szCs w:val="22"/>
        </w:rPr>
        <w:lastRenderedPageBreak/>
        <w:t>LIST OF TABLES</w:t>
      </w:r>
      <w:bookmarkEnd w:id="7"/>
    </w:p>
    <w:p w14:paraId="45C5D3E0" w14:textId="77777777" w:rsidR="00592AD1" w:rsidRDefault="00592AD1" w:rsidP="00A93ACA"/>
    <w:tbl>
      <w:tblPr>
        <w:tblStyle w:val="TableGridLight"/>
        <w:tblW w:w="9276" w:type="dxa"/>
        <w:tblLook w:val="04A0" w:firstRow="1" w:lastRow="0" w:firstColumn="1" w:lastColumn="0" w:noHBand="0" w:noVBand="1"/>
      </w:tblPr>
      <w:tblGrid>
        <w:gridCol w:w="1353"/>
        <w:gridCol w:w="7433"/>
        <w:gridCol w:w="503"/>
      </w:tblGrid>
      <w:tr w:rsidR="00C82A95" w:rsidRPr="00C82A95" w14:paraId="201B1E5E" w14:textId="77777777" w:rsidTr="005E3769">
        <w:trPr>
          <w:trHeight w:val="366"/>
        </w:trPr>
        <w:tc>
          <w:tcPr>
            <w:tcW w:w="1353" w:type="dxa"/>
            <w:noWrap/>
            <w:vAlign w:val="bottom"/>
            <w:hideMark/>
          </w:tcPr>
          <w:p w14:paraId="000835C8"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2.2.1</w:t>
            </w:r>
          </w:p>
        </w:tc>
        <w:tc>
          <w:tcPr>
            <w:tcW w:w="7420" w:type="dxa"/>
            <w:noWrap/>
            <w:vAlign w:val="bottom"/>
            <w:hideMark/>
          </w:tcPr>
          <w:p w14:paraId="5603F3E0" w14:textId="7AC43B25"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Definition of Social Media Marketing Activities</w:t>
            </w:r>
            <w:r w:rsidR="005E3769">
              <w:rPr>
                <w:rFonts w:eastAsia="Times New Roman" w:cs="Times New Roman"/>
                <w:kern w:val="0"/>
                <w:sz w:val="20"/>
                <w:szCs w:val="20"/>
                <w:lang w:eastAsia="zh-CN"/>
                <w14:ligatures w14:val="none"/>
              </w:rPr>
              <w:t>…………………………………………..</w:t>
            </w:r>
          </w:p>
        </w:tc>
        <w:tc>
          <w:tcPr>
            <w:tcW w:w="503" w:type="dxa"/>
            <w:noWrap/>
            <w:vAlign w:val="bottom"/>
            <w:hideMark/>
          </w:tcPr>
          <w:p w14:paraId="70AFB762"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10</w:t>
            </w:r>
          </w:p>
        </w:tc>
      </w:tr>
      <w:tr w:rsidR="00C82A95" w:rsidRPr="00C82A95" w14:paraId="0C7BCBD5" w14:textId="77777777" w:rsidTr="005E3769">
        <w:trPr>
          <w:trHeight w:val="366"/>
        </w:trPr>
        <w:tc>
          <w:tcPr>
            <w:tcW w:w="1353" w:type="dxa"/>
            <w:noWrap/>
            <w:vAlign w:val="bottom"/>
            <w:hideMark/>
          </w:tcPr>
          <w:p w14:paraId="4B68C80D"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2.2.2</w:t>
            </w:r>
          </w:p>
        </w:tc>
        <w:tc>
          <w:tcPr>
            <w:tcW w:w="7420" w:type="dxa"/>
            <w:noWrap/>
            <w:vAlign w:val="bottom"/>
            <w:hideMark/>
          </w:tcPr>
          <w:p w14:paraId="0DCF74A4" w14:textId="0669EEDF"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Measurement of SMMA</w:t>
            </w:r>
            <w:r w:rsidR="005E3769">
              <w:rPr>
                <w:rFonts w:eastAsia="Times New Roman" w:cs="Times New Roman"/>
                <w:kern w:val="0"/>
                <w:sz w:val="20"/>
                <w:szCs w:val="20"/>
                <w:lang w:eastAsia="zh-CN"/>
                <w14:ligatures w14:val="none"/>
              </w:rPr>
              <w:t>……………………………………………………………………</w:t>
            </w:r>
          </w:p>
        </w:tc>
        <w:tc>
          <w:tcPr>
            <w:tcW w:w="503" w:type="dxa"/>
            <w:noWrap/>
            <w:vAlign w:val="bottom"/>
            <w:hideMark/>
          </w:tcPr>
          <w:p w14:paraId="6ABA69DA"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11</w:t>
            </w:r>
          </w:p>
        </w:tc>
      </w:tr>
      <w:tr w:rsidR="00C82A95" w:rsidRPr="00C82A95" w14:paraId="5DAF2A76" w14:textId="77777777" w:rsidTr="005E3769">
        <w:trPr>
          <w:trHeight w:val="366"/>
        </w:trPr>
        <w:tc>
          <w:tcPr>
            <w:tcW w:w="1353" w:type="dxa"/>
            <w:noWrap/>
            <w:vAlign w:val="bottom"/>
            <w:hideMark/>
          </w:tcPr>
          <w:p w14:paraId="0447529F"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2.2.1</w:t>
            </w:r>
          </w:p>
        </w:tc>
        <w:tc>
          <w:tcPr>
            <w:tcW w:w="7420" w:type="dxa"/>
            <w:noWrap/>
            <w:vAlign w:val="bottom"/>
            <w:hideMark/>
          </w:tcPr>
          <w:p w14:paraId="3F393FA1" w14:textId="3FE58BD5"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Definition of Environmental Conscious</w:t>
            </w:r>
            <w:r w:rsidR="005E3769">
              <w:rPr>
                <w:rFonts w:eastAsia="Times New Roman" w:cs="Times New Roman"/>
                <w:kern w:val="0"/>
                <w:sz w:val="20"/>
                <w:szCs w:val="20"/>
                <w:lang w:eastAsia="zh-CN"/>
                <w14:ligatures w14:val="none"/>
              </w:rPr>
              <w:t>……………………………………………………</w:t>
            </w:r>
          </w:p>
        </w:tc>
        <w:tc>
          <w:tcPr>
            <w:tcW w:w="503" w:type="dxa"/>
            <w:noWrap/>
            <w:vAlign w:val="bottom"/>
            <w:hideMark/>
          </w:tcPr>
          <w:p w14:paraId="124AE13A"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13</w:t>
            </w:r>
          </w:p>
        </w:tc>
      </w:tr>
      <w:tr w:rsidR="00C82A95" w:rsidRPr="00C82A95" w14:paraId="3F1222E8" w14:textId="77777777" w:rsidTr="005E3769">
        <w:trPr>
          <w:trHeight w:val="366"/>
        </w:trPr>
        <w:tc>
          <w:tcPr>
            <w:tcW w:w="1353" w:type="dxa"/>
            <w:noWrap/>
            <w:vAlign w:val="bottom"/>
            <w:hideMark/>
          </w:tcPr>
          <w:p w14:paraId="23FCDA25"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2.2.2</w:t>
            </w:r>
          </w:p>
        </w:tc>
        <w:tc>
          <w:tcPr>
            <w:tcW w:w="7420" w:type="dxa"/>
            <w:noWrap/>
            <w:vAlign w:val="bottom"/>
            <w:hideMark/>
          </w:tcPr>
          <w:p w14:paraId="364978C9" w14:textId="0B5ED4C8"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Measurement of Environmental Conscious</w:t>
            </w:r>
            <w:r w:rsidR="005E3769">
              <w:rPr>
                <w:rFonts w:eastAsia="Times New Roman" w:cs="Times New Roman"/>
                <w:kern w:val="0"/>
                <w:sz w:val="20"/>
                <w:szCs w:val="20"/>
                <w:lang w:eastAsia="zh-CN"/>
                <w14:ligatures w14:val="none"/>
              </w:rPr>
              <w:t>………………………………………………...</w:t>
            </w:r>
          </w:p>
        </w:tc>
        <w:tc>
          <w:tcPr>
            <w:tcW w:w="503" w:type="dxa"/>
            <w:noWrap/>
            <w:vAlign w:val="bottom"/>
            <w:hideMark/>
          </w:tcPr>
          <w:p w14:paraId="3BAB8B77"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14</w:t>
            </w:r>
          </w:p>
        </w:tc>
      </w:tr>
      <w:tr w:rsidR="00C82A95" w:rsidRPr="00C82A95" w14:paraId="0E57CF6B" w14:textId="77777777" w:rsidTr="005E3769">
        <w:trPr>
          <w:trHeight w:val="366"/>
        </w:trPr>
        <w:tc>
          <w:tcPr>
            <w:tcW w:w="1353" w:type="dxa"/>
            <w:noWrap/>
            <w:vAlign w:val="bottom"/>
            <w:hideMark/>
          </w:tcPr>
          <w:p w14:paraId="35D1ED7B"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2.3.1</w:t>
            </w:r>
          </w:p>
        </w:tc>
        <w:tc>
          <w:tcPr>
            <w:tcW w:w="7420" w:type="dxa"/>
            <w:noWrap/>
            <w:vAlign w:val="bottom"/>
            <w:hideMark/>
          </w:tcPr>
          <w:p w14:paraId="5190614C" w14:textId="3E6A6A36"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Definition of Sustainability</w:t>
            </w:r>
            <w:r w:rsidR="005E3769">
              <w:rPr>
                <w:rFonts w:eastAsia="Times New Roman" w:cs="Times New Roman"/>
                <w:kern w:val="0"/>
                <w:sz w:val="20"/>
                <w:szCs w:val="20"/>
                <w:lang w:eastAsia="zh-CN"/>
                <w14:ligatures w14:val="none"/>
              </w:rPr>
              <w:t>…………………………………………………………………</w:t>
            </w:r>
          </w:p>
        </w:tc>
        <w:tc>
          <w:tcPr>
            <w:tcW w:w="503" w:type="dxa"/>
            <w:noWrap/>
            <w:vAlign w:val="bottom"/>
            <w:hideMark/>
          </w:tcPr>
          <w:p w14:paraId="2AF183BE"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16</w:t>
            </w:r>
          </w:p>
        </w:tc>
      </w:tr>
      <w:tr w:rsidR="00C82A95" w:rsidRPr="00C82A95" w14:paraId="73892DDE" w14:textId="77777777" w:rsidTr="005E3769">
        <w:trPr>
          <w:trHeight w:val="366"/>
        </w:trPr>
        <w:tc>
          <w:tcPr>
            <w:tcW w:w="1353" w:type="dxa"/>
            <w:noWrap/>
            <w:vAlign w:val="bottom"/>
            <w:hideMark/>
          </w:tcPr>
          <w:p w14:paraId="59BCE29C"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2.3.2</w:t>
            </w:r>
          </w:p>
        </w:tc>
        <w:tc>
          <w:tcPr>
            <w:tcW w:w="7420" w:type="dxa"/>
            <w:noWrap/>
            <w:vAlign w:val="bottom"/>
            <w:hideMark/>
          </w:tcPr>
          <w:p w14:paraId="3E4E50FD" w14:textId="2D27D866"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Measurement of Sustainability</w:t>
            </w:r>
            <w:r w:rsidR="005E3769">
              <w:rPr>
                <w:rFonts w:eastAsia="Times New Roman" w:cs="Times New Roman"/>
                <w:kern w:val="0"/>
                <w:sz w:val="20"/>
                <w:szCs w:val="20"/>
                <w:lang w:eastAsia="zh-CN"/>
                <w14:ligatures w14:val="none"/>
              </w:rPr>
              <w:t>……………………………………………………………..</w:t>
            </w:r>
          </w:p>
        </w:tc>
        <w:tc>
          <w:tcPr>
            <w:tcW w:w="503" w:type="dxa"/>
            <w:noWrap/>
            <w:vAlign w:val="bottom"/>
            <w:hideMark/>
          </w:tcPr>
          <w:p w14:paraId="5D85DD57"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17</w:t>
            </w:r>
          </w:p>
        </w:tc>
      </w:tr>
      <w:tr w:rsidR="00C82A95" w:rsidRPr="00C82A95" w14:paraId="07ACBB8B" w14:textId="77777777" w:rsidTr="005E3769">
        <w:trPr>
          <w:trHeight w:val="366"/>
        </w:trPr>
        <w:tc>
          <w:tcPr>
            <w:tcW w:w="1353" w:type="dxa"/>
            <w:noWrap/>
            <w:vAlign w:val="bottom"/>
            <w:hideMark/>
          </w:tcPr>
          <w:p w14:paraId="70B180A0"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2.4.1</w:t>
            </w:r>
          </w:p>
        </w:tc>
        <w:tc>
          <w:tcPr>
            <w:tcW w:w="7420" w:type="dxa"/>
            <w:noWrap/>
            <w:vAlign w:val="bottom"/>
            <w:hideMark/>
          </w:tcPr>
          <w:p w14:paraId="64A07861" w14:textId="35FD5A4E"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Definition of Brand Trust</w:t>
            </w:r>
            <w:r w:rsidR="005E3769">
              <w:rPr>
                <w:rFonts w:eastAsia="Times New Roman" w:cs="Times New Roman"/>
                <w:kern w:val="0"/>
                <w:sz w:val="20"/>
                <w:szCs w:val="20"/>
                <w:lang w:eastAsia="zh-CN"/>
                <w14:ligatures w14:val="none"/>
              </w:rPr>
              <w:t>…………………………………………………………………..</w:t>
            </w:r>
          </w:p>
        </w:tc>
        <w:tc>
          <w:tcPr>
            <w:tcW w:w="503" w:type="dxa"/>
            <w:noWrap/>
            <w:vAlign w:val="bottom"/>
            <w:hideMark/>
          </w:tcPr>
          <w:p w14:paraId="7B36FD9F"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19</w:t>
            </w:r>
          </w:p>
        </w:tc>
      </w:tr>
      <w:tr w:rsidR="00C82A95" w:rsidRPr="00C82A95" w14:paraId="28D1F957" w14:textId="77777777" w:rsidTr="005E3769">
        <w:trPr>
          <w:trHeight w:val="366"/>
        </w:trPr>
        <w:tc>
          <w:tcPr>
            <w:tcW w:w="1353" w:type="dxa"/>
            <w:noWrap/>
            <w:vAlign w:val="bottom"/>
            <w:hideMark/>
          </w:tcPr>
          <w:p w14:paraId="08A383DD"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2.4,2</w:t>
            </w:r>
          </w:p>
        </w:tc>
        <w:tc>
          <w:tcPr>
            <w:tcW w:w="7420" w:type="dxa"/>
            <w:noWrap/>
            <w:vAlign w:val="bottom"/>
            <w:hideMark/>
          </w:tcPr>
          <w:p w14:paraId="040669E4" w14:textId="5D5C5A07"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Measurement of Brand Trust</w:t>
            </w:r>
            <w:r w:rsidR="005E3769">
              <w:rPr>
                <w:rFonts w:eastAsia="Times New Roman" w:cs="Times New Roman"/>
                <w:kern w:val="0"/>
                <w:sz w:val="20"/>
                <w:szCs w:val="20"/>
                <w:lang w:eastAsia="zh-CN"/>
                <w14:ligatures w14:val="none"/>
              </w:rPr>
              <w:t>……………………………………………………………….</w:t>
            </w:r>
          </w:p>
        </w:tc>
        <w:tc>
          <w:tcPr>
            <w:tcW w:w="503" w:type="dxa"/>
            <w:noWrap/>
            <w:vAlign w:val="bottom"/>
            <w:hideMark/>
          </w:tcPr>
          <w:p w14:paraId="0518F093"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20</w:t>
            </w:r>
          </w:p>
        </w:tc>
      </w:tr>
      <w:tr w:rsidR="00C82A95" w:rsidRPr="00C82A95" w14:paraId="4D17F59B" w14:textId="77777777" w:rsidTr="005E3769">
        <w:trPr>
          <w:trHeight w:val="366"/>
        </w:trPr>
        <w:tc>
          <w:tcPr>
            <w:tcW w:w="1353" w:type="dxa"/>
            <w:noWrap/>
            <w:vAlign w:val="bottom"/>
            <w:hideMark/>
          </w:tcPr>
          <w:p w14:paraId="1A575274"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3.3</w:t>
            </w:r>
          </w:p>
        </w:tc>
        <w:tc>
          <w:tcPr>
            <w:tcW w:w="7420" w:type="dxa"/>
            <w:noWrap/>
            <w:vAlign w:val="bottom"/>
            <w:hideMark/>
          </w:tcPr>
          <w:p w14:paraId="2302E96F" w14:textId="5095C24F"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Hypotheses of relationships between variables</w:t>
            </w:r>
            <w:r w:rsidR="005E3769">
              <w:rPr>
                <w:rFonts w:eastAsia="Times New Roman" w:cs="Times New Roman"/>
                <w:kern w:val="0"/>
                <w:sz w:val="20"/>
                <w:szCs w:val="20"/>
                <w:lang w:eastAsia="zh-CN"/>
                <w14:ligatures w14:val="none"/>
              </w:rPr>
              <w:t>…………………………………………….</w:t>
            </w:r>
          </w:p>
        </w:tc>
        <w:tc>
          <w:tcPr>
            <w:tcW w:w="503" w:type="dxa"/>
            <w:noWrap/>
            <w:vAlign w:val="bottom"/>
            <w:hideMark/>
          </w:tcPr>
          <w:p w14:paraId="41C21121"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26</w:t>
            </w:r>
          </w:p>
        </w:tc>
      </w:tr>
      <w:tr w:rsidR="00C82A95" w:rsidRPr="00C82A95" w14:paraId="7D7F92E8" w14:textId="77777777" w:rsidTr="005E3769">
        <w:trPr>
          <w:trHeight w:val="366"/>
        </w:trPr>
        <w:tc>
          <w:tcPr>
            <w:tcW w:w="1353" w:type="dxa"/>
            <w:noWrap/>
            <w:vAlign w:val="bottom"/>
            <w:hideMark/>
          </w:tcPr>
          <w:p w14:paraId="2B361440"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3.6.1</w:t>
            </w:r>
          </w:p>
        </w:tc>
        <w:tc>
          <w:tcPr>
            <w:tcW w:w="7420" w:type="dxa"/>
            <w:noWrap/>
            <w:vAlign w:val="bottom"/>
            <w:hideMark/>
          </w:tcPr>
          <w:p w14:paraId="54B3A607" w14:textId="0427DEB3"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Descriptive Data Interpretation</w:t>
            </w:r>
            <w:r w:rsidR="005E3769">
              <w:rPr>
                <w:rFonts w:eastAsia="Times New Roman" w:cs="Times New Roman"/>
                <w:kern w:val="0"/>
                <w:sz w:val="20"/>
                <w:szCs w:val="20"/>
                <w:lang w:eastAsia="zh-CN"/>
                <w14:ligatures w14:val="none"/>
              </w:rPr>
              <w:t>……………………………………………………………..</w:t>
            </w:r>
          </w:p>
        </w:tc>
        <w:tc>
          <w:tcPr>
            <w:tcW w:w="503" w:type="dxa"/>
            <w:noWrap/>
            <w:vAlign w:val="bottom"/>
            <w:hideMark/>
          </w:tcPr>
          <w:p w14:paraId="0AF53F06"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29</w:t>
            </w:r>
          </w:p>
        </w:tc>
      </w:tr>
      <w:tr w:rsidR="00C82A95" w:rsidRPr="00C82A95" w14:paraId="2870F257" w14:textId="77777777" w:rsidTr="005E3769">
        <w:trPr>
          <w:trHeight w:val="366"/>
        </w:trPr>
        <w:tc>
          <w:tcPr>
            <w:tcW w:w="1353" w:type="dxa"/>
            <w:noWrap/>
            <w:vAlign w:val="bottom"/>
            <w:hideMark/>
          </w:tcPr>
          <w:p w14:paraId="2233C44C"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3.6.2</w:t>
            </w:r>
          </w:p>
        </w:tc>
        <w:tc>
          <w:tcPr>
            <w:tcW w:w="7420" w:type="dxa"/>
            <w:noWrap/>
            <w:vAlign w:val="bottom"/>
            <w:hideMark/>
          </w:tcPr>
          <w:p w14:paraId="36FE4E62" w14:textId="7D2230A7"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Reliability Test Result Interpretation</w:t>
            </w:r>
            <w:r w:rsidR="005E3769">
              <w:rPr>
                <w:rFonts w:eastAsia="Times New Roman" w:cs="Times New Roman"/>
                <w:kern w:val="0"/>
                <w:sz w:val="20"/>
                <w:szCs w:val="20"/>
                <w:lang w:eastAsia="zh-CN"/>
                <w14:ligatures w14:val="none"/>
              </w:rPr>
              <w:t>……………………………………………………….</w:t>
            </w:r>
          </w:p>
        </w:tc>
        <w:tc>
          <w:tcPr>
            <w:tcW w:w="503" w:type="dxa"/>
            <w:noWrap/>
            <w:vAlign w:val="bottom"/>
            <w:hideMark/>
          </w:tcPr>
          <w:p w14:paraId="5511D6F9"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30</w:t>
            </w:r>
          </w:p>
        </w:tc>
      </w:tr>
      <w:tr w:rsidR="00C82A95" w:rsidRPr="00C82A95" w14:paraId="59A94457" w14:textId="77777777" w:rsidTr="005E3769">
        <w:trPr>
          <w:trHeight w:val="366"/>
        </w:trPr>
        <w:tc>
          <w:tcPr>
            <w:tcW w:w="1353" w:type="dxa"/>
            <w:noWrap/>
            <w:vAlign w:val="bottom"/>
            <w:hideMark/>
          </w:tcPr>
          <w:p w14:paraId="100DABF4"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3.6.3</w:t>
            </w:r>
          </w:p>
        </w:tc>
        <w:tc>
          <w:tcPr>
            <w:tcW w:w="7420" w:type="dxa"/>
            <w:noWrap/>
            <w:vAlign w:val="bottom"/>
            <w:hideMark/>
          </w:tcPr>
          <w:p w14:paraId="778A79E4" w14:textId="48EE8CF4"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Pearson's Correlation Coefficient Interpretation</w:t>
            </w:r>
            <w:r w:rsidR="005E3769">
              <w:rPr>
                <w:rFonts w:eastAsia="Times New Roman" w:cs="Times New Roman"/>
                <w:kern w:val="0"/>
                <w:sz w:val="20"/>
                <w:szCs w:val="20"/>
                <w:lang w:eastAsia="zh-CN"/>
                <w14:ligatures w14:val="none"/>
              </w:rPr>
              <w:t>……………………………………………</w:t>
            </w:r>
          </w:p>
        </w:tc>
        <w:tc>
          <w:tcPr>
            <w:tcW w:w="503" w:type="dxa"/>
            <w:noWrap/>
            <w:vAlign w:val="bottom"/>
            <w:hideMark/>
          </w:tcPr>
          <w:p w14:paraId="16732042"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30</w:t>
            </w:r>
          </w:p>
        </w:tc>
      </w:tr>
      <w:tr w:rsidR="00C82A95" w:rsidRPr="00C82A95" w14:paraId="655AF3DE" w14:textId="77777777" w:rsidTr="005E3769">
        <w:trPr>
          <w:trHeight w:val="366"/>
        </w:trPr>
        <w:tc>
          <w:tcPr>
            <w:tcW w:w="1353" w:type="dxa"/>
            <w:noWrap/>
            <w:vAlign w:val="bottom"/>
            <w:hideMark/>
          </w:tcPr>
          <w:p w14:paraId="4DAF9891"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3.6.4</w:t>
            </w:r>
          </w:p>
        </w:tc>
        <w:tc>
          <w:tcPr>
            <w:tcW w:w="7420" w:type="dxa"/>
            <w:noWrap/>
            <w:vAlign w:val="bottom"/>
            <w:hideMark/>
          </w:tcPr>
          <w:p w14:paraId="647CE025" w14:textId="749A2AE1"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Regression Analysis Interpretation</w:t>
            </w:r>
            <w:r w:rsidR="005E3769">
              <w:rPr>
                <w:rFonts w:eastAsia="Times New Roman" w:cs="Times New Roman"/>
                <w:kern w:val="0"/>
                <w:sz w:val="20"/>
                <w:szCs w:val="20"/>
                <w:lang w:eastAsia="zh-CN"/>
                <w14:ligatures w14:val="none"/>
              </w:rPr>
              <w:t>…………………………………………………………</w:t>
            </w:r>
          </w:p>
        </w:tc>
        <w:tc>
          <w:tcPr>
            <w:tcW w:w="503" w:type="dxa"/>
            <w:noWrap/>
            <w:vAlign w:val="bottom"/>
            <w:hideMark/>
          </w:tcPr>
          <w:p w14:paraId="25AFD3BE"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31</w:t>
            </w:r>
          </w:p>
        </w:tc>
      </w:tr>
      <w:tr w:rsidR="00C82A95" w:rsidRPr="00C82A95" w14:paraId="4A01C979" w14:textId="77777777" w:rsidTr="005E3769">
        <w:trPr>
          <w:trHeight w:val="366"/>
        </w:trPr>
        <w:tc>
          <w:tcPr>
            <w:tcW w:w="1353" w:type="dxa"/>
            <w:noWrap/>
            <w:vAlign w:val="bottom"/>
            <w:hideMark/>
          </w:tcPr>
          <w:p w14:paraId="6D4A6F4D"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3.7.1</w:t>
            </w:r>
          </w:p>
        </w:tc>
        <w:tc>
          <w:tcPr>
            <w:tcW w:w="7420" w:type="dxa"/>
            <w:noWrap/>
            <w:vAlign w:val="bottom"/>
            <w:hideMark/>
          </w:tcPr>
          <w:p w14:paraId="5B9CCD24" w14:textId="39E09F4E"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Pilot Test Questionnaire</w:t>
            </w:r>
            <w:r w:rsidR="005E3769">
              <w:rPr>
                <w:rFonts w:eastAsia="Times New Roman" w:cs="Times New Roman"/>
                <w:kern w:val="0"/>
                <w:sz w:val="20"/>
                <w:szCs w:val="20"/>
                <w:lang w:eastAsia="zh-CN"/>
                <w14:ligatures w14:val="none"/>
              </w:rPr>
              <w:t>……………………………………………………………………</w:t>
            </w:r>
          </w:p>
        </w:tc>
        <w:tc>
          <w:tcPr>
            <w:tcW w:w="503" w:type="dxa"/>
            <w:noWrap/>
            <w:vAlign w:val="bottom"/>
            <w:hideMark/>
          </w:tcPr>
          <w:p w14:paraId="2976B4C6"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32</w:t>
            </w:r>
          </w:p>
        </w:tc>
      </w:tr>
      <w:tr w:rsidR="00C82A95" w:rsidRPr="00C82A95" w14:paraId="3B47D391" w14:textId="77777777" w:rsidTr="005E3769">
        <w:trPr>
          <w:trHeight w:val="366"/>
        </w:trPr>
        <w:tc>
          <w:tcPr>
            <w:tcW w:w="1353" w:type="dxa"/>
            <w:noWrap/>
            <w:vAlign w:val="bottom"/>
            <w:hideMark/>
          </w:tcPr>
          <w:p w14:paraId="419B13FA"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3.7.2</w:t>
            </w:r>
          </w:p>
        </w:tc>
        <w:tc>
          <w:tcPr>
            <w:tcW w:w="7420" w:type="dxa"/>
            <w:noWrap/>
            <w:vAlign w:val="bottom"/>
            <w:hideMark/>
          </w:tcPr>
          <w:p w14:paraId="755A42AC" w14:textId="0F11930A"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Pilot Test Reliability Test Result</w:t>
            </w:r>
            <w:r w:rsidR="005E3769">
              <w:rPr>
                <w:rFonts w:eastAsia="Times New Roman" w:cs="Times New Roman"/>
                <w:kern w:val="0"/>
                <w:sz w:val="20"/>
                <w:szCs w:val="20"/>
                <w:lang w:eastAsia="zh-CN"/>
                <w14:ligatures w14:val="none"/>
              </w:rPr>
              <w:t>…………………………………………………………...</w:t>
            </w:r>
          </w:p>
        </w:tc>
        <w:tc>
          <w:tcPr>
            <w:tcW w:w="503" w:type="dxa"/>
            <w:noWrap/>
            <w:vAlign w:val="bottom"/>
            <w:hideMark/>
          </w:tcPr>
          <w:p w14:paraId="22BCAD0F"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33</w:t>
            </w:r>
          </w:p>
        </w:tc>
      </w:tr>
      <w:tr w:rsidR="00C82A95" w:rsidRPr="00C82A95" w14:paraId="3933F5D3" w14:textId="77777777" w:rsidTr="005E3769">
        <w:trPr>
          <w:trHeight w:val="366"/>
        </w:trPr>
        <w:tc>
          <w:tcPr>
            <w:tcW w:w="1353" w:type="dxa"/>
            <w:noWrap/>
            <w:vAlign w:val="bottom"/>
            <w:hideMark/>
          </w:tcPr>
          <w:p w14:paraId="4D8C4794"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3.7.3.1</w:t>
            </w:r>
          </w:p>
        </w:tc>
        <w:tc>
          <w:tcPr>
            <w:tcW w:w="7420" w:type="dxa"/>
            <w:noWrap/>
            <w:vAlign w:val="bottom"/>
            <w:hideMark/>
          </w:tcPr>
          <w:p w14:paraId="19A2D3CE" w14:textId="704EEA7A"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Questionnaire comparison of initial and final</w:t>
            </w:r>
            <w:r w:rsidR="005E3769">
              <w:rPr>
                <w:rFonts w:eastAsia="Times New Roman" w:cs="Times New Roman"/>
                <w:kern w:val="0"/>
                <w:sz w:val="20"/>
                <w:szCs w:val="20"/>
                <w:lang w:eastAsia="zh-CN"/>
                <w14:ligatures w14:val="none"/>
              </w:rPr>
              <w:t>………………………………………………</w:t>
            </w:r>
          </w:p>
        </w:tc>
        <w:tc>
          <w:tcPr>
            <w:tcW w:w="503" w:type="dxa"/>
            <w:noWrap/>
            <w:vAlign w:val="bottom"/>
            <w:hideMark/>
          </w:tcPr>
          <w:p w14:paraId="16A453EA"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34</w:t>
            </w:r>
          </w:p>
        </w:tc>
      </w:tr>
      <w:tr w:rsidR="00C82A95" w:rsidRPr="00C82A95" w14:paraId="17AA8BDB" w14:textId="77777777" w:rsidTr="005E3769">
        <w:trPr>
          <w:trHeight w:val="366"/>
        </w:trPr>
        <w:tc>
          <w:tcPr>
            <w:tcW w:w="1353" w:type="dxa"/>
            <w:noWrap/>
            <w:vAlign w:val="bottom"/>
            <w:hideMark/>
          </w:tcPr>
          <w:p w14:paraId="196A73E0"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3.7.3.2</w:t>
            </w:r>
          </w:p>
        </w:tc>
        <w:tc>
          <w:tcPr>
            <w:tcW w:w="7420" w:type="dxa"/>
            <w:noWrap/>
            <w:vAlign w:val="bottom"/>
            <w:hideMark/>
          </w:tcPr>
          <w:p w14:paraId="23EC1226" w14:textId="15B65618"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Pilot Test Reliability Test Comparison after deleted questions</w:t>
            </w:r>
            <w:r w:rsidR="005E3769">
              <w:rPr>
                <w:rFonts w:eastAsia="Times New Roman" w:cs="Times New Roman"/>
                <w:kern w:val="0"/>
                <w:sz w:val="20"/>
                <w:szCs w:val="20"/>
                <w:lang w:eastAsia="zh-CN"/>
                <w14:ligatures w14:val="none"/>
              </w:rPr>
              <w:t>…………………………….</w:t>
            </w:r>
          </w:p>
        </w:tc>
        <w:tc>
          <w:tcPr>
            <w:tcW w:w="503" w:type="dxa"/>
            <w:noWrap/>
            <w:vAlign w:val="bottom"/>
            <w:hideMark/>
          </w:tcPr>
          <w:p w14:paraId="3280F101"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35</w:t>
            </w:r>
          </w:p>
        </w:tc>
      </w:tr>
      <w:tr w:rsidR="00C82A95" w:rsidRPr="00C82A95" w14:paraId="3A925DA9" w14:textId="77777777" w:rsidTr="005E3769">
        <w:trPr>
          <w:trHeight w:val="366"/>
        </w:trPr>
        <w:tc>
          <w:tcPr>
            <w:tcW w:w="1353" w:type="dxa"/>
            <w:noWrap/>
            <w:vAlign w:val="bottom"/>
            <w:hideMark/>
          </w:tcPr>
          <w:p w14:paraId="04C417E5"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4.2.1</w:t>
            </w:r>
          </w:p>
        </w:tc>
        <w:tc>
          <w:tcPr>
            <w:tcW w:w="7420" w:type="dxa"/>
            <w:noWrap/>
            <w:vAlign w:val="bottom"/>
            <w:hideMark/>
          </w:tcPr>
          <w:p w14:paraId="71D55CAB" w14:textId="2A1FD47A"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Respondents Demographic Comparison with HK Government Data</w:t>
            </w:r>
            <w:r w:rsidR="005E3769">
              <w:rPr>
                <w:rFonts w:eastAsia="Times New Roman" w:cs="Times New Roman"/>
                <w:kern w:val="0"/>
                <w:sz w:val="20"/>
                <w:szCs w:val="20"/>
                <w:lang w:eastAsia="zh-CN"/>
                <w14:ligatures w14:val="none"/>
              </w:rPr>
              <w:t>……………………...</w:t>
            </w:r>
          </w:p>
        </w:tc>
        <w:tc>
          <w:tcPr>
            <w:tcW w:w="503" w:type="dxa"/>
            <w:noWrap/>
            <w:vAlign w:val="bottom"/>
            <w:hideMark/>
          </w:tcPr>
          <w:p w14:paraId="2150F9F8"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38</w:t>
            </w:r>
          </w:p>
        </w:tc>
      </w:tr>
      <w:tr w:rsidR="00C82A95" w:rsidRPr="00C82A95" w14:paraId="713EF880" w14:textId="77777777" w:rsidTr="005E3769">
        <w:trPr>
          <w:trHeight w:val="366"/>
        </w:trPr>
        <w:tc>
          <w:tcPr>
            <w:tcW w:w="1353" w:type="dxa"/>
            <w:noWrap/>
            <w:vAlign w:val="bottom"/>
            <w:hideMark/>
          </w:tcPr>
          <w:p w14:paraId="1C1FE993"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4.2.2</w:t>
            </w:r>
          </w:p>
        </w:tc>
        <w:tc>
          <w:tcPr>
            <w:tcW w:w="7420" w:type="dxa"/>
            <w:noWrap/>
            <w:vAlign w:val="bottom"/>
            <w:hideMark/>
          </w:tcPr>
          <w:p w14:paraId="0F506354" w14:textId="6EF0FE06"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Respondents Age Group Overview &amp; Comparison with HK Government Data</w:t>
            </w:r>
            <w:r w:rsidR="005E3769">
              <w:rPr>
                <w:rFonts w:eastAsia="Times New Roman" w:cs="Times New Roman"/>
                <w:kern w:val="0"/>
                <w:sz w:val="20"/>
                <w:szCs w:val="20"/>
                <w:lang w:eastAsia="zh-CN"/>
                <w14:ligatures w14:val="none"/>
              </w:rPr>
              <w:t>…………..</w:t>
            </w:r>
          </w:p>
        </w:tc>
        <w:tc>
          <w:tcPr>
            <w:tcW w:w="503" w:type="dxa"/>
            <w:noWrap/>
            <w:vAlign w:val="bottom"/>
            <w:hideMark/>
          </w:tcPr>
          <w:p w14:paraId="19FF4677"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38</w:t>
            </w:r>
          </w:p>
        </w:tc>
      </w:tr>
      <w:tr w:rsidR="00C82A95" w:rsidRPr="00C82A95" w14:paraId="0EBF901C" w14:textId="77777777" w:rsidTr="005E3769">
        <w:trPr>
          <w:trHeight w:val="366"/>
        </w:trPr>
        <w:tc>
          <w:tcPr>
            <w:tcW w:w="1353" w:type="dxa"/>
            <w:noWrap/>
            <w:vAlign w:val="bottom"/>
            <w:hideMark/>
          </w:tcPr>
          <w:p w14:paraId="17D04C53"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4.2.3</w:t>
            </w:r>
          </w:p>
        </w:tc>
        <w:tc>
          <w:tcPr>
            <w:tcW w:w="7420" w:type="dxa"/>
            <w:noWrap/>
            <w:vAlign w:val="bottom"/>
            <w:hideMark/>
          </w:tcPr>
          <w:p w14:paraId="2D0CCF84" w14:textId="05068C7B"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Respondents Education Level Overview &amp; Comparison with HK Government Data</w:t>
            </w:r>
            <w:r w:rsidR="005E3769">
              <w:rPr>
                <w:rFonts w:eastAsia="Times New Roman" w:cs="Times New Roman"/>
                <w:kern w:val="0"/>
                <w:sz w:val="20"/>
                <w:szCs w:val="20"/>
                <w:lang w:eastAsia="zh-CN"/>
                <w14:ligatures w14:val="none"/>
              </w:rPr>
              <w:t>……..</w:t>
            </w:r>
          </w:p>
        </w:tc>
        <w:tc>
          <w:tcPr>
            <w:tcW w:w="503" w:type="dxa"/>
            <w:noWrap/>
            <w:vAlign w:val="bottom"/>
            <w:hideMark/>
          </w:tcPr>
          <w:p w14:paraId="5F81B9BE"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39</w:t>
            </w:r>
          </w:p>
        </w:tc>
      </w:tr>
      <w:tr w:rsidR="00C82A95" w:rsidRPr="00C82A95" w14:paraId="3598AFB7" w14:textId="77777777" w:rsidTr="005E3769">
        <w:trPr>
          <w:trHeight w:val="366"/>
        </w:trPr>
        <w:tc>
          <w:tcPr>
            <w:tcW w:w="1353" w:type="dxa"/>
            <w:noWrap/>
            <w:vAlign w:val="bottom"/>
            <w:hideMark/>
          </w:tcPr>
          <w:p w14:paraId="66082CBB"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4.2.4</w:t>
            </w:r>
          </w:p>
        </w:tc>
        <w:tc>
          <w:tcPr>
            <w:tcW w:w="7420" w:type="dxa"/>
            <w:noWrap/>
            <w:vAlign w:val="bottom"/>
            <w:hideMark/>
          </w:tcPr>
          <w:p w14:paraId="62A8E25D" w14:textId="6D9DCCB9"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Monthly Personal Income Distribution of Respondents Compare to Hong Kong Population</w:t>
            </w:r>
            <w:r w:rsidR="005E3769">
              <w:rPr>
                <w:rFonts w:eastAsia="Times New Roman" w:cs="Times New Roman"/>
                <w:kern w:val="0"/>
                <w:sz w:val="20"/>
                <w:szCs w:val="20"/>
                <w:lang w:eastAsia="zh-CN"/>
                <w14:ligatures w14:val="none"/>
              </w:rPr>
              <w:t>…………………………………………………………………………………...</w:t>
            </w:r>
          </w:p>
        </w:tc>
        <w:tc>
          <w:tcPr>
            <w:tcW w:w="503" w:type="dxa"/>
            <w:noWrap/>
            <w:vAlign w:val="bottom"/>
            <w:hideMark/>
          </w:tcPr>
          <w:p w14:paraId="0401013A"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39</w:t>
            </w:r>
          </w:p>
        </w:tc>
      </w:tr>
      <w:tr w:rsidR="00C82A95" w:rsidRPr="00C82A95" w14:paraId="45E16C2C" w14:textId="77777777" w:rsidTr="005E3769">
        <w:trPr>
          <w:trHeight w:val="366"/>
        </w:trPr>
        <w:tc>
          <w:tcPr>
            <w:tcW w:w="1353" w:type="dxa"/>
            <w:noWrap/>
            <w:vAlign w:val="bottom"/>
            <w:hideMark/>
          </w:tcPr>
          <w:p w14:paraId="3D99C850"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4.3</w:t>
            </w:r>
          </w:p>
        </w:tc>
        <w:tc>
          <w:tcPr>
            <w:tcW w:w="7420" w:type="dxa"/>
            <w:noWrap/>
            <w:vAlign w:val="bottom"/>
            <w:hideMark/>
          </w:tcPr>
          <w:p w14:paraId="4FA66DD1" w14:textId="6A3E10E5"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Core Content Mean and Standard Deviation Overview</w:t>
            </w:r>
            <w:r w:rsidR="005E3769">
              <w:rPr>
                <w:rFonts w:eastAsia="Times New Roman" w:cs="Times New Roman"/>
                <w:kern w:val="0"/>
                <w:sz w:val="20"/>
                <w:szCs w:val="20"/>
                <w:lang w:eastAsia="zh-CN"/>
                <w14:ligatures w14:val="none"/>
              </w:rPr>
              <w:t>…………………………………….</w:t>
            </w:r>
          </w:p>
        </w:tc>
        <w:tc>
          <w:tcPr>
            <w:tcW w:w="503" w:type="dxa"/>
            <w:noWrap/>
            <w:vAlign w:val="bottom"/>
            <w:hideMark/>
          </w:tcPr>
          <w:p w14:paraId="3ECFD314"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41</w:t>
            </w:r>
          </w:p>
        </w:tc>
      </w:tr>
      <w:tr w:rsidR="00C82A95" w:rsidRPr="00C82A95" w14:paraId="1DBBD976" w14:textId="77777777" w:rsidTr="005E3769">
        <w:trPr>
          <w:trHeight w:val="366"/>
        </w:trPr>
        <w:tc>
          <w:tcPr>
            <w:tcW w:w="1353" w:type="dxa"/>
            <w:noWrap/>
            <w:vAlign w:val="bottom"/>
            <w:hideMark/>
          </w:tcPr>
          <w:p w14:paraId="73FFBFE1"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4.4</w:t>
            </w:r>
          </w:p>
        </w:tc>
        <w:tc>
          <w:tcPr>
            <w:tcW w:w="7420" w:type="dxa"/>
            <w:noWrap/>
            <w:vAlign w:val="bottom"/>
            <w:hideMark/>
          </w:tcPr>
          <w:p w14:paraId="35710A28" w14:textId="73223375"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Reliability Statistic Result</w:t>
            </w:r>
            <w:r w:rsidR="005E3769">
              <w:rPr>
                <w:rFonts w:eastAsia="Times New Roman" w:cs="Times New Roman"/>
                <w:kern w:val="0"/>
                <w:sz w:val="20"/>
                <w:szCs w:val="20"/>
                <w:lang w:eastAsia="zh-CN"/>
                <w14:ligatures w14:val="none"/>
              </w:rPr>
              <w:t>…………………………………………………………………..</w:t>
            </w:r>
          </w:p>
        </w:tc>
        <w:tc>
          <w:tcPr>
            <w:tcW w:w="503" w:type="dxa"/>
            <w:noWrap/>
            <w:vAlign w:val="bottom"/>
            <w:hideMark/>
          </w:tcPr>
          <w:p w14:paraId="4C9F7E44"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42</w:t>
            </w:r>
          </w:p>
        </w:tc>
      </w:tr>
      <w:tr w:rsidR="00C82A95" w:rsidRPr="00C82A95" w14:paraId="6B359A16" w14:textId="77777777" w:rsidTr="005E3769">
        <w:trPr>
          <w:trHeight w:val="366"/>
        </w:trPr>
        <w:tc>
          <w:tcPr>
            <w:tcW w:w="1353" w:type="dxa"/>
            <w:noWrap/>
            <w:vAlign w:val="bottom"/>
            <w:hideMark/>
          </w:tcPr>
          <w:p w14:paraId="4A9246C7"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4.5</w:t>
            </w:r>
          </w:p>
        </w:tc>
        <w:tc>
          <w:tcPr>
            <w:tcW w:w="7420" w:type="dxa"/>
            <w:noWrap/>
            <w:vAlign w:val="bottom"/>
            <w:hideMark/>
          </w:tcPr>
          <w:p w14:paraId="68B221FF" w14:textId="09E2A071"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Correlation between Variables</w:t>
            </w:r>
            <w:r w:rsidR="005E3769">
              <w:rPr>
                <w:rFonts w:eastAsia="Times New Roman" w:cs="Times New Roman"/>
                <w:kern w:val="0"/>
                <w:sz w:val="20"/>
                <w:szCs w:val="20"/>
                <w:lang w:eastAsia="zh-CN"/>
                <w14:ligatures w14:val="none"/>
              </w:rPr>
              <w:t>……………………………………………………………...</w:t>
            </w:r>
          </w:p>
        </w:tc>
        <w:tc>
          <w:tcPr>
            <w:tcW w:w="503" w:type="dxa"/>
            <w:noWrap/>
            <w:vAlign w:val="bottom"/>
            <w:hideMark/>
          </w:tcPr>
          <w:p w14:paraId="14CF2E72"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44</w:t>
            </w:r>
          </w:p>
        </w:tc>
      </w:tr>
      <w:tr w:rsidR="00C82A95" w:rsidRPr="00C82A95" w14:paraId="2FE686C1" w14:textId="77777777" w:rsidTr="005E3769">
        <w:trPr>
          <w:trHeight w:val="366"/>
        </w:trPr>
        <w:tc>
          <w:tcPr>
            <w:tcW w:w="1353" w:type="dxa"/>
            <w:noWrap/>
            <w:vAlign w:val="bottom"/>
            <w:hideMark/>
          </w:tcPr>
          <w:p w14:paraId="0265338F"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4.6.1</w:t>
            </w:r>
          </w:p>
        </w:tc>
        <w:tc>
          <w:tcPr>
            <w:tcW w:w="7420" w:type="dxa"/>
            <w:noWrap/>
            <w:vAlign w:val="bottom"/>
            <w:hideMark/>
          </w:tcPr>
          <w:p w14:paraId="7F77A846" w14:textId="487ED35E"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Regression Analysis Model Summary</w:t>
            </w:r>
            <w:r w:rsidR="005E3769">
              <w:rPr>
                <w:rFonts w:eastAsia="Times New Roman" w:cs="Times New Roman"/>
                <w:kern w:val="0"/>
                <w:sz w:val="20"/>
                <w:szCs w:val="20"/>
                <w:lang w:eastAsia="zh-CN"/>
                <w14:ligatures w14:val="none"/>
              </w:rPr>
              <w:t>……………………………………………………...</w:t>
            </w:r>
          </w:p>
        </w:tc>
        <w:tc>
          <w:tcPr>
            <w:tcW w:w="503" w:type="dxa"/>
            <w:noWrap/>
            <w:vAlign w:val="bottom"/>
            <w:hideMark/>
          </w:tcPr>
          <w:p w14:paraId="2C7F6F88"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45</w:t>
            </w:r>
          </w:p>
        </w:tc>
      </w:tr>
      <w:tr w:rsidR="00C82A95" w:rsidRPr="00C82A95" w14:paraId="3755A83C" w14:textId="77777777" w:rsidTr="005E3769">
        <w:trPr>
          <w:trHeight w:val="366"/>
        </w:trPr>
        <w:tc>
          <w:tcPr>
            <w:tcW w:w="1353" w:type="dxa"/>
            <w:noWrap/>
            <w:vAlign w:val="bottom"/>
            <w:hideMark/>
          </w:tcPr>
          <w:p w14:paraId="39CC657E"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4.6.2</w:t>
            </w:r>
          </w:p>
        </w:tc>
        <w:tc>
          <w:tcPr>
            <w:tcW w:w="7420" w:type="dxa"/>
            <w:noWrap/>
            <w:vAlign w:val="bottom"/>
            <w:hideMark/>
          </w:tcPr>
          <w:p w14:paraId="715E6245" w14:textId="4E7C3CF4"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ANOVA and Model Significance</w:t>
            </w:r>
            <w:r w:rsidR="005E3769">
              <w:rPr>
                <w:rFonts w:eastAsia="Times New Roman" w:cs="Times New Roman"/>
                <w:kern w:val="0"/>
                <w:sz w:val="20"/>
                <w:szCs w:val="20"/>
                <w:lang w:eastAsia="zh-CN"/>
                <w14:ligatures w14:val="none"/>
              </w:rPr>
              <w:t>…………………………………………………………..</w:t>
            </w:r>
          </w:p>
        </w:tc>
        <w:tc>
          <w:tcPr>
            <w:tcW w:w="503" w:type="dxa"/>
            <w:noWrap/>
            <w:vAlign w:val="bottom"/>
            <w:hideMark/>
          </w:tcPr>
          <w:p w14:paraId="4CECE68E"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45</w:t>
            </w:r>
          </w:p>
        </w:tc>
      </w:tr>
      <w:tr w:rsidR="00C82A95" w:rsidRPr="00C82A95" w14:paraId="26AF7E23" w14:textId="77777777" w:rsidTr="005E3769">
        <w:trPr>
          <w:trHeight w:val="366"/>
        </w:trPr>
        <w:tc>
          <w:tcPr>
            <w:tcW w:w="1353" w:type="dxa"/>
            <w:noWrap/>
            <w:vAlign w:val="bottom"/>
            <w:hideMark/>
          </w:tcPr>
          <w:p w14:paraId="6C23C6AF"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4.6.3</w:t>
            </w:r>
          </w:p>
        </w:tc>
        <w:tc>
          <w:tcPr>
            <w:tcW w:w="7420" w:type="dxa"/>
            <w:noWrap/>
            <w:vAlign w:val="bottom"/>
            <w:hideMark/>
          </w:tcPr>
          <w:p w14:paraId="338A0CF4" w14:textId="07B2AF39"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Coefficients Summary</w:t>
            </w:r>
            <w:r w:rsidR="005E3769">
              <w:rPr>
                <w:rFonts w:eastAsia="Times New Roman" w:cs="Times New Roman"/>
                <w:kern w:val="0"/>
                <w:sz w:val="20"/>
                <w:szCs w:val="20"/>
                <w:lang w:eastAsia="zh-CN"/>
                <w14:ligatures w14:val="none"/>
              </w:rPr>
              <w:t>………………………………………………………………………</w:t>
            </w:r>
          </w:p>
        </w:tc>
        <w:tc>
          <w:tcPr>
            <w:tcW w:w="503" w:type="dxa"/>
            <w:noWrap/>
            <w:vAlign w:val="bottom"/>
            <w:hideMark/>
          </w:tcPr>
          <w:p w14:paraId="521FBD56"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46</w:t>
            </w:r>
          </w:p>
        </w:tc>
      </w:tr>
      <w:tr w:rsidR="00C82A95" w:rsidRPr="00C82A95" w14:paraId="5C67264A" w14:textId="77777777" w:rsidTr="005E3769">
        <w:trPr>
          <w:trHeight w:val="366"/>
        </w:trPr>
        <w:tc>
          <w:tcPr>
            <w:tcW w:w="1353" w:type="dxa"/>
            <w:noWrap/>
            <w:vAlign w:val="bottom"/>
            <w:hideMark/>
          </w:tcPr>
          <w:p w14:paraId="3586BBCA"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4.6.4</w:t>
            </w:r>
          </w:p>
        </w:tc>
        <w:tc>
          <w:tcPr>
            <w:tcW w:w="7420" w:type="dxa"/>
            <w:noWrap/>
            <w:vAlign w:val="bottom"/>
            <w:hideMark/>
          </w:tcPr>
          <w:p w14:paraId="0CDEFB45" w14:textId="1AB691F9"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Collinearity Diagnostics</w:t>
            </w:r>
            <w:r w:rsidR="005E3769">
              <w:rPr>
                <w:rFonts w:eastAsia="Times New Roman" w:cs="Times New Roman"/>
                <w:kern w:val="0"/>
                <w:sz w:val="20"/>
                <w:szCs w:val="20"/>
                <w:lang w:eastAsia="zh-CN"/>
                <w14:ligatures w14:val="none"/>
              </w:rPr>
              <w:t>…………………………………………………………………….</w:t>
            </w:r>
          </w:p>
        </w:tc>
        <w:tc>
          <w:tcPr>
            <w:tcW w:w="503" w:type="dxa"/>
            <w:noWrap/>
            <w:vAlign w:val="bottom"/>
            <w:hideMark/>
          </w:tcPr>
          <w:p w14:paraId="615A3319"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47</w:t>
            </w:r>
          </w:p>
        </w:tc>
      </w:tr>
      <w:tr w:rsidR="00C82A95" w:rsidRPr="00C82A95" w14:paraId="554A947A" w14:textId="77777777" w:rsidTr="005E3769">
        <w:trPr>
          <w:trHeight w:val="366"/>
        </w:trPr>
        <w:tc>
          <w:tcPr>
            <w:tcW w:w="1353" w:type="dxa"/>
            <w:noWrap/>
            <w:vAlign w:val="bottom"/>
            <w:hideMark/>
          </w:tcPr>
          <w:p w14:paraId="7C34C769"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4.6.4</w:t>
            </w:r>
          </w:p>
        </w:tc>
        <w:tc>
          <w:tcPr>
            <w:tcW w:w="7420" w:type="dxa"/>
            <w:noWrap/>
            <w:vAlign w:val="bottom"/>
            <w:hideMark/>
          </w:tcPr>
          <w:p w14:paraId="0FD301E1" w14:textId="1F06A5D6"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Residuals Statistic</w:t>
            </w:r>
            <w:r w:rsidR="005E3769">
              <w:rPr>
                <w:rFonts w:eastAsia="Times New Roman" w:cs="Times New Roman"/>
                <w:kern w:val="0"/>
                <w:sz w:val="20"/>
                <w:szCs w:val="20"/>
                <w:lang w:eastAsia="zh-CN"/>
                <w14:ligatures w14:val="none"/>
              </w:rPr>
              <w:t>…………………………………………………………………………..</w:t>
            </w:r>
          </w:p>
        </w:tc>
        <w:tc>
          <w:tcPr>
            <w:tcW w:w="503" w:type="dxa"/>
            <w:noWrap/>
            <w:vAlign w:val="bottom"/>
            <w:hideMark/>
          </w:tcPr>
          <w:p w14:paraId="2CFBDC99"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47</w:t>
            </w:r>
          </w:p>
        </w:tc>
      </w:tr>
    </w:tbl>
    <w:p w14:paraId="4E8382C6" w14:textId="2B684C4E" w:rsidR="005C4A9D" w:rsidRDefault="00E31A41" w:rsidP="00F52A53">
      <w:pPr>
        <w:spacing w:line="240" w:lineRule="auto"/>
        <w:rPr>
          <w:rFonts w:eastAsiaTheme="majorEastAsia" w:cs="Times New Roman"/>
          <w:szCs w:val="22"/>
        </w:rPr>
      </w:pPr>
      <w:r w:rsidRPr="008614DF">
        <w:rPr>
          <w:rFonts w:eastAsiaTheme="majorEastAsia" w:cs="Times New Roman"/>
          <w:szCs w:val="22"/>
        </w:rPr>
        <w:br w:type="page"/>
      </w:r>
    </w:p>
    <w:p w14:paraId="1FD69D0A" w14:textId="1CA8531B" w:rsidR="005C4A9D" w:rsidRDefault="005C4A9D">
      <w:pPr>
        <w:rPr>
          <w:rFonts w:eastAsiaTheme="majorEastAsia" w:cs="Times New Roman"/>
          <w:b/>
          <w:szCs w:val="22"/>
        </w:rPr>
        <w:sectPr w:rsidR="005C4A9D" w:rsidSect="008E5F38">
          <w:footerReference w:type="default" r:id="rId14"/>
          <w:pgSz w:w="12240" w:h="15840"/>
          <w:pgMar w:top="1440" w:right="1440" w:bottom="810" w:left="1440" w:header="720" w:footer="720" w:gutter="0"/>
          <w:pgNumType w:fmt="lowerRoman"/>
          <w:cols w:space="720"/>
          <w:docGrid w:linePitch="360"/>
        </w:sectPr>
      </w:pPr>
    </w:p>
    <w:p w14:paraId="2D6B2638" w14:textId="262D40A7" w:rsidR="002D0E69" w:rsidRPr="00915260" w:rsidRDefault="002D0E69" w:rsidP="004F76CE">
      <w:pPr>
        <w:pStyle w:val="Heading"/>
        <w:numPr>
          <w:ilvl w:val="0"/>
          <w:numId w:val="5"/>
        </w:numPr>
        <w:spacing w:line="360" w:lineRule="auto"/>
        <w:jc w:val="both"/>
        <w:rPr>
          <w:rFonts w:cs="Times New Roman"/>
          <w:szCs w:val="28"/>
        </w:rPr>
      </w:pPr>
      <w:bookmarkStart w:id="8" w:name="_Toc213748893"/>
      <w:r w:rsidRPr="00915260">
        <w:rPr>
          <w:rFonts w:cs="Times New Roman"/>
          <w:szCs w:val="28"/>
        </w:rPr>
        <w:lastRenderedPageBreak/>
        <w:t>Introduction</w:t>
      </w:r>
      <w:bookmarkEnd w:id="5"/>
      <w:bookmarkEnd w:id="8"/>
    </w:p>
    <w:p w14:paraId="77762FB4" w14:textId="1829F1F5" w:rsidR="00677DEB" w:rsidRPr="00915260" w:rsidRDefault="008A7998" w:rsidP="004F76CE">
      <w:pPr>
        <w:spacing w:line="360" w:lineRule="auto"/>
        <w:jc w:val="both"/>
        <w:rPr>
          <w:rFonts w:cs="Times New Roman"/>
          <w:szCs w:val="22"/>
        </w:rPr>
      </w:pPr>
      <w:r w:rsidRPr="00915260">
        <w:rPr>
          <w:rFonts w:cs="Times New Roman"/>
          <w:szCs w:val="22"/>
        </w:rPr>
        <w:t xml:space="preserve">This chapter examines the global and Hong Kong instant coffee industries, analyzing trends, preferences, and competitive dynamics. It covers the study’s background, rationale, and relevance </w:t>
      </w:r>
      <w:r w:rsidR="007D3B2E" w:rsidRPr="00915260">
        <w:rPr>
          <w:rFonts w:cs="Times New Roman"/>
          <w:szCs w:val="22"/>
        </w:rPr>
        <w:t>considering</w:t>
      </w:r>
      <w:r w:rsidRPr="00915260">
        <w:rPr>
          <w:rFonts w:cs="Times New Roman"/>
          <w:szCs w:val="22"/>
        </w:rPr>
        <w:t xml:space="preserve"> evolving market demands. Research questions and objectives are stated, providing a framework for the investigation. The chapter concludes by outlining the potential contributions of this study, emphasizing how its findings could enhance business practices and strategies within the instant coffee sector.</w:t>
      </w:r>
    </w:p>
    <w:p w14:paraId="238CF2BB" w14:textId="77777777" w:rsidR="00971EFF" w:rsidRPr="00915260" w:rsidRDefault="00971EFF" w:rsidP="004F76CE">
      <w:pPr>
        <w:spacing w:line="360" w:lineRule="auto"/>
        <w:jc w:val="both"/>
        <w:rPr>
          <w:rFonts w:cs="Times New Roman"/>
          <w:szCs w:val="22"/>
        </w:rPr>
      </w:pPr>
    </w:p>
    <w:p w14:paraId="3CBD0678" w14:textId="71D1AC30" w:rsidR="0036005C" w:rsidRPr="00915260" w:rsidRDefault="00677DEB" w:rsidP="004F76CE">
      <w:pPr>
        <w:pStyle w:val="Heading2"/>
        <w:numPr>
          <w:ilvl w:val="1"/>
          <w:numId w:val="5"/>
        </w:numPr>
        <w:spacing w:line="360" w:lineRule="auto"/>
        <w:ind w:left="450"/>
        <w:rPr>
          <w:rFonts w:cs="Times New Roman"/>
          <w:b/>
          <w:bCs/>
          <w:sz w:val="22"/>
          <w:szCs w:val="22"/>
        </w:rPr>
      </w:pPr>
      <w:bookmarkStart w:id="9" w:name="_Toc209184643"/>
      <w:bookmarkStart w:id="10" w:name="_Toc213748894"/>
      <w:r w:rsidRPr="00915260">
        <w:rPr>
          <w:rFonts w:cs="Times New Roman"/>
          <w:b/>
          <w:bCs/>
          <w:sz w:val="22"/>
          <w:szCs w:val="22"/>
        </w:rPr>
        <w:t>R</w:t>
      </w:r>
      <w:r w:rsidR="0036005C" w:rsidRPr="00915260">
        <w:rPr>
          <w:rFonts w:cs="Times New Roman"/>
          <w:b/>
          <w:bCs/>
          <w:sz w:val="22"/>
          <w:szCs w:val="22"/>
        </w:rPr>
        <w:t xml:space="preserve">esearch </w:t>
      </w:r>
      <w:r w:rsidR="004062AB" w:rsidRPr="00915260">
        <w:rPr>
          <w:rFonts w:cs="Times New Roman"/>
          <w:b/>
          <w:bCs/>
          <w:sz w:val="22"/>
          <w:szCs w:val="22"/>
        </w:rPr>
        <w:t>B</w:t>
      </w:r>
      <w:r w:rsidR="0036005C" w:rsidRPr="00915260">
        <w:rPr>
          <w:rFonts w:cs="Times New Roman"/>
          <w:b/>
          <w:bCs/>
          <w:sz w:val="22"/>
          <w:szCs w:val="22"/>
        </w:rPr>
        <w:t>ackground</w:t>
      </w:r>
      <w:bookmarkEnd w:id="9"/>
      <w:bookmarkEnd w:id="10"/>
    </w:p>
    <w:p w14:paraId="51C0D444" w14:textId="0AB94F21" w:rsidR="005D3816" w:rsidRPr="00915260" w:rsidRDefault="0042100C" w:rsidP="0034291F">
      <w:pPr>
        <w:spacing w:line="360" w:lineRule="auto"/>
        <w:jc w:val="both"/>
        <w:rPr>
          <w:rFonts w:eastAsiaTheme="majorEastAsia" w:cs="Times New Roman"/>
          <w:szCs w:val="22"/>
        </w:rPr>
      </w:pPr>
      <w:r w:rsidRPr="0042100C">
        <w:rPr>
          <w:rFonts w:eastAsiaTheme="majorEastAsia" w:cs="Times New Roman"/>
          <w:szCs w:val="22"/>
        </w:rPr>
        <w:t xml:space="preserve">The global instant coffee industry continues to experience steady growth, driven by convenience-oriented consumption, rapid urbanization, and the evolution of coffee culture. </w:t>
      </w:r>
      <w:r w:rsidR="00A55EAC">
        <w:rPr>
          <w:rFonts w:eastAsiaTheme="majorEastAsia" w:cs="Times New Roman" w:hint="eastAsia"/>
          <w:szCs w:val="22"/>
        </w:rPr>
        <w:t xml:space="preserve">From Figure 1.1.1 show the global instant </w:t>
      </w:r>
      <w:r w:rsidR="00A55EAC">
        <w:rPr>
          <w:rFonts w:eastAsiaTheme="majorEastAsia" w:cs="Times New Roman"/>
          <w:szCs w:val="22"/>
        </w:rPr>
        <w:t>coffee</w:t>
      </w:r>
      <w:r w:rsidR="00A55EAC">
        <w:rPr>
          <w:rFonts w:eastAsiaTheme="majorEastAsia" w:cs="Times New Roman" w:hint="eastAsia"/>
          <w:szCs w:val="22"/>
        </w:rPr>
        <w:t xml:space="preserve"> market size </w:t>
      </w:r>
      <w:r w:rsidR="00582C1C">
        <w:rPr>
          <w:rFonts w:eastAsiaTheme="majorEastAsia" w:cs="Times New Roman" w:hint="eastAsia"/>
          <w:szCs w:val="22"/>
        </w:rPr>
        <w:t xml:space="preserve">is projected to reach USD </w:t>
      </w:r>
      <w:r w:rsidR="00CC02FA">
        <w:rPr>
          <w:rFonts w:eastAsiaTheme="majorEastAsia" w:cs="Times New Roman" w:hint="eastAsia"/>
          <w:szCs w:val="22"/>
        </w:rPr>
        <w:t>110.28</w:t>
      </w:r>
      <w:r w:rsidR="00582C1C">
        <w:rPr>
          <w:rFonts w:eastAsiaTheme="majorEastAsia" w:cs="Times New Roman" w:hint="eastAsia"/>
          <w:szCs w:val="22"/>
        </w:rPr>
        <w:t xml:space="preserve"> billion by 2030</w:t>
      </w:r>
      <w:r w:rsidR="00CC02FA">
        <w:rPr>
          <w:rFonts w:eastAsiaTheme="majorEastAsia" w:cs="Times New Roman" w:hint="eastAsia"/>
          <w:szCs w:val="22"/>
        </w:rPr>
        <w:t xml:space="preserve"> </w:t>
      </w:r>
      <w:r w:rsidRPr="0042100C">
        <w:rPr>
          <w:rFonts w:eastAsiaTheme="majorEastAsia" w:cs="Times New Roman"/>
          <w:szCs w:val="22"/>
        </w:rPr>
        <w:t>(CAGR 5</w:t>
      </w:r>
      <w:r w:rsidR="00A06F79">
        <w:rPr>
          <w:rFonts w:eastAsiaTheme="majorEastAsia" w:cs="Times New Roman" w:hint="eastAsia"/>
          <w:szCs w:val="22"/>
        </w:rPr>
        <w:t>.4</w:t>
      </w:r>
      <w:r w:rsidRPr="0042100C">
        <w:rPr>
          <w:rFonts w:eastAsiaTheme="majorEastAsia" w:cs="Times New Roman"/>
          <w:szCs w:val="22"/>
        </w:rPr>
        <w:t>%), supported by innovations in flavor, sustainability, and packaging technologies (Grand View Research, 2024). Enhanced sachet portability, “home café” aesthetics, and digital marketing integration have reshaped how consumers perceive instant coffee—from a functional commodity to a lifestyle-oriented product.</w:t>
      </w:r>
      <w:r w:rsidR="00207100">
        <w:rPr>
          <w:rFonts w:eastAsiaTheme="majorEastAsia" w:cs="Times New Roman"/>
          <w:szCs w:val="22"/>
        </w:rPr>
        <w:t xml:space="preserve"> According to Grand View Research (2024), t</w:t>
      </w:r>
      <w:r w:rsidR="00207100" w:rsidRPr="00207100">
        <w:rPr>
          <w:rFonts w:eastAsiaTheme="majorEastAsia" w:cs="Times New Roman"/>
          <w:szCs w:val="22"/>
        </w:rPr>
        <w:t>he report identifies “a significant increase in consumption of coffee by all age groups,” with a growing preference for instant coffee associated with health benefits, convenience, and quick preparation, especially among Gen Z and millennials. This reflects shifting consumer values toward “instant gratification” and health-conscious choices, which aligns with social media-driven purchasing and the focus on digital branding strategies.</w:t>
      </w:r>
    </w:p>
    <w:p w14:paraId="2508D841" w14:textId="030A161C" w:rsidR="00055E9B" w:rsidRPr="00915260" w:rsidRDefault="00702BA6" w:rsidP="003C1EA0">
      <w:pPr>
        <w:spacing w:line="360" w:lineRule="auto"/>
        <w:jc w:val="center"/>
        <w:rPr>
          <w:rFonts w:eastAsiaTheme="majorEastAsia" w:cs="Times New Roman"/>
          <w:szCs w:val="22"/>
        </w:rPr>
      </w:pPr>
      <w:r w:rsidRPr="00702BA6">
        <w:rPr>
          <w:rFonts w:eastAsiaTheme="majorEastAsia" w:cs="Times New Roman"/>
          <w:noProof/>
          <w:szCs w:val="22"/>
        </w:rPr>
        <w:drawing>
          <wp:inline distT="0" distB="0" distL="0" distR="0" wp14:anchorId="34FEE5E5" wp14:editId="2FDC6924">
            <wp:extent cx="4897999" cy="3260785"/>
            <wp:effectExtent l="0" t="0" r="0" b="0"/>
            <wp:docPr id="1495359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359564" name=""/>
                    <pic:cNvPicPr/>
                  </pic:nvPicPr>
                  <pic:blipFill>
                    <a:blip r:embed="rId15"/>
                    <a:stretch>
                      <a:fillRect/>
                    </a:stretch>
                  </pic:blipFill>
                  <pic:spPr>
                    <a:xfrm>
                      <a:off x="0" y="0"/>
                      <a:ext cx="4903356" cy="3264352"/>
                    </a:xfrm>
                    <a:prstGeom prst="rect">
                      <a:avLst/>
                    </a:prstGeom>
                  </pic:spPr>
                </pic:pic>
              </a:graphicData>
            </a:graphic>
          </wp:inline>
        </w:drawing>
      </w:r>
    </w:p>
    <w:p w14:paraId="52D30362" w14:textId="77777777" w:rsidR="005B5694" w:rsidRPr="00915260" w:rsidRDefault="005B5694" w:rsidP="005B5694">
      <w:pPr>
        <w:spacing w:line="360" w:lineRule="auto"/>
        <w:rPr>
          <w:rFonts w:eastAsiaTheme="majorEastAsia" w:cs="Times New Roman"/>
          <w:szCs w:val="22"/>
        </w:rPr>
      </w:pPr>
    </w:p>
    <w:p w14:paraId="0435A1F1" w14:textId="4C4A3DB1" w:rsidR="005B5694" w:rsidRDefault="006D06F5" w:rsidP="0060216A">
      <w:pPr>
        <w:spacing w:line="360" w:lineRule="auto"/>
        <w:jc w:val="both"/>
        <w:rPr>
          <w:rFonts w:eastAsiaTheme="majorEastAsia" w:cs="Times New Roman"/>
          <w:szCs w:val="22"/>
        </w:rPr>
      </w:pPr>
      <w:r>
        <w:rPr>
          <w:rFonts w:eastAsiaTheme="majorEastAsia" w:cs="Times New Roman"/>
          <w:szCs w:val="22"/>
        </w:rPr>
        <w:t>Figure 1.1.2 show t</w:t>
      </w:r>
      <w:r w:rsidR="00D54860" w:rsidRPr="00D54860">
        <w:rPr>
          <w:rFonts w:eastAsiaTheme="majorEastAsia" w:cs="Times New Roman"/>
          <w:szCs w:val="22"/>
        </w:rPr>
        <w:t>he at-home instant coffee market in Hong Kong is forecasted to grow at CAGR of approximately 1% from 2025 to 2030, reflecting a mature and stable market with incremental expansion. Leading global brands continue to dominate retail sales channels</w:t>
      </w:r>
      <w:r w:rsidR="00EF3E55">
        <w:rPr>
          <w:rFonts w:eastAsiaTheme="majorEastAsia" w:cs="Times New Roman"/>
          <w:szCs w:val="22"/>
        </w:rPr>
        <w:t xml:space="preserve"> like </w:t>
      </w:r>
      <w:r w:rsidR="00D54860" w:rsidRPr="00D54860">
        <w:rPr>
          <w:rFonts w:eastAsiaTheme="majorEastAsia" w:cs="Times New Roman"/>
          <w:szCs w:val="22"/>
        </w:rPr>
        <w:t>supermarkets, convenience stores, and eCommerce</w:t>
      </w:r>
      <w:r w:rsidR="00EF3E55">
        <w:rPr>
          <w:rFonts w:eastAsiaTheme="majorEastAsia" w:cs="Times New Roman"/>
          <w:szCs w:val="22"/>
        </w:rPr>
        <w:t xml:space="preserve">, </w:t>
      </w:r>
      <w:r w:rsidR="00D54860" w:rsidRPr="00D54860">
        <w:rPr>
          <w:rFonts w:eastAsiaTheme="majorEastAsia" w:cs="Times New Roman"/>
          <w:szCs w:val="22"/>
        </w:rPr>
        <w:t xml:space="preserve">where convenience and affordability drive steady demand among urban households </w:t>
      </w:r>
      <w:r w:rsidR="005E14AE" w:rsidRPr="005E14AE">
        <w:rPr>
          <w:rFonts w:eastAsiaTheme="majorEastAsia" w:cs="Times New Roman"/>
          <w:szCs w:val="22"/>
        </w:rPr>
        <w:t>(Statista, 2025).</w:t>
      </w:r>
      <w:r w:rsidR="005E14AE">
        <w:rPr>
          <w:rFonts w:eastAsiaTheme="majorEastAsia" w:cs="Times New Roman" w:hint="eastAsia"/>
          <w:szCs w:val="22"/>
        </w:rPr>
        <w:t xml:space="preserve"> </w:t>
      </w:r>
      <w:r w:rsidR="00C4178A">
        <w:rPr>
          <w:rFonts w:eastAsiaTheme="majorEastAsia" w:cs="Times New Roman" w:hint="eastAsia"/>
          <w:szCs w:val="22"/>
        </w:rPr>
        <w:t>I</w:t>
      </w:r>
      <w:r w:rsidR="009957C6" w:rsidRPr="009957C6">
        <w:rPr>
          <w:rFonts w:eastAsiaTheme="majorEastAsia" w:cs="Times New Roman"/>
          <w:szCs w:val="22"/>
        </w:rPr>
        <w:t>nstant coffee dominates the at-home consumption segment, aligning with post-pandemic lifestyle shifts emphasizing flexibility, self-care, and digital convenience. Despite a modest overall CAGR</w:t>
      </w:r>
      <w:r w:rsidR="00363082">
        <w:rPr>
          <w:rFonts w:eastAsiaTheme="majorEastAsia" w:cs="Times New Roman"/>
          <w:szCs w:val="22"/>
        </w:rPr>
        <w:t xml:space="preserve"> from Statista Marketing </w:t>
      </w:r>
      <w:r w:rsidR="007D3B2E">
        <w:rPr>
          <w:rFonts w:eastAsiaTheme="majorEastAsia" w:cs="Times New Roman"/>
          <w:szCs w:val="22"/>
        </w:rPr>
        <w:t>Insights,</w:t>
      </w:r>
      <w:r w:rsidR="009957C6" w:rsidRPr="009957C6">
        <w:rPr>
          <w:rFonts w:eastAsiaTheme="majorEastAsia" w:cs="Times New Roman"/>
          <w:szCs w:val="22"/>
        </w:rPr>
        <w:t xml:space="preserve"> the market remains highly profitable, supported by premiumization trends, such as instant blends infused with vitamins, reduced sugar, and sustainable packaging (Statista, 2025). </w:t>
      </w:r>
      <w:r w:rsidR="00E64128" w:rsidRPr="00E64128">
        <w:rPr>
          <w:rFonts w:eastAsiaTheme="majorEastAsia" w:cs="Times New Roman"/>
          <w:szCs w:val="22"/>
        </w:rPr>
        <w:t>Hong Kong’s instant coffee at-home segment reflects strong penetration in daily consumer routines</w:t>
      </w:r>
      <w:r w:rsidR="00C25FC5">
        <w:rPr>
          <w:rFonts w:eastAsiaTheme="majorEastAsia" w:cs="Times New Roman"/>
          <w:szCs w:val="22"/>
        </w:rPr>
        <w:t>. Data</w:t>
      </w:r>
      <w:r w:rsidR="009957C6" w:rsidRPr="009957C6">
        <w:rPr>
          <w:rFonts w:eastAsiaTheme="majorEastAsia" w:cs="Times New Roman"/>
          <w:szCs w:val="22"/>
        </w:rPr>
        <w:t xml:space="preserve"> from Hong Kong’s Census and Statistics Department (2024</w:t>
      </w:r>
      <w:r w:rsidR="00A14F0A">
        <w:rPr>
          <w:rFonts w:eastAsiaTheme="majorEastAsia" w:cs="Times New Roman"/>
          <w:szCs w:val="22"/>
        </w:rPr>
        <w:t>b</w:t>
      </w:r>
      <w:r w:rsidR="009957C6" w:rsidRPr="009957C6">
        <w:rPr>
          <w:rFonts w:eastAsiaTheme="majorEastAsia" w:cs="Times New Roman"/>
          <w:szCs w:val="22"/>
        </w:rPr>
        <w:t xml:space="preserve">) </w:t>
      </w:r>
      <w:r w:rsidR="00591CE0" w:rsidRPr="009957C6">
        <w:rPr>
          <w:rFonts w:eastAsiaTheme="majorEastAsia" w:cs="Times New Roman"/>
          <w:szCs w:val="22"/>
        </w:rPr>
        <w:t>show that</w:t>
      </w:r>
      <w:r w:rsidR="009957C6" w:rsidRPr="009957C6">
        <w:rPr>
          <w:rFonts w:eastAsiaTheme="majorEastAsia" w:cs="Times New Roman"/>
          <w:szCs w:val="22"/>
        </w:rPr>
        <w:t xml:space="preserve"> over 68% of adults consume coffee daily, with instant coffee accounting for more than 60% of at-home consumption. Consumers prioritize health benefits and time efficiency: approximately 52% associate instant coffee with wellness attributes, reflecting growing demand for balanced indulgence and sustainability awareness.</w:t>
      </w:r>
    </w:p>
    <w:p w14:paraId="3D0664B5" w14:textId="75CC9CB4" w:rsidR="009957C6" w:rsidRPr="00915260" w:rsidRDefault="009957C6" w:rsidP="0060216A">
      <w:pPr>
        <w:spacing w:line="360" w:lineRule="auto"/>
        <w:jc w:val="both"/>
        <w:rPr>
          <w:rFonts w:eastAsiaTheme="majorEastAsia" w:cs="Times New Roman"/>
          <w:szCs w:val="22"/>
        </w:rPr>
      </w:pPr>
      <w:r w:rsidRPr="009957C6">
        <w:rPr>
          <w:rFonts w:eastAsiaTheme="majorEastAsia" w:cs="Times New Roman"/>
          <w:szCs w:val="22"/>
        </w:rPr>
        <w:t>This dual emphasis</w:t>
      </w:r>
      <w:r w:rsidR="00480A0F">
        <w:rPr>
          <w:rFonts w:eastAsiaTheme="majorEastAsia" w:cs="Times New Roman"/>
          <w:szCs w:val="22"/>
        </w:rPr>
        <w:t xml:space="preserve"> o</w:t>
      </w:r>
      <w:r w:rsidRPr="009957C6">
        <w:rPr>
          <w:rFonts w:eastAsiaTheme="majorEastAsia" w:cs="Times New Roman"/>
          <w:szCs w:val="22"/>
        </w:rPr>
        <w:t xml:space="preserve">n health and </w:t>
      </w:r>
      <w:r w:rsidR="00591CE0" w:rsidRPr="009957C6">
        <w:rPr>
          <w:rFonts w:eastAsiaTheme="majorEastAsia" w:cs="Times New Roman"/>
          <w:szCs w:val="22"/>
        </w:rPr>
        <w:t>convenience</w:t>
      </w:r>
      <w:r w:rsidR="00480A0F">
        <w:rPr>
          <w:rFonts w:eastAsiaTheme="majorEastAsia" w:cs="Times New Roman"/>
          <w:szCs w:val="22"/>
        </w:rPr>
        <w:t xml:space="preserve"> </w:t>
      </w:r>
      <w:r w:rsidRPr="009957C6">
        <w:rPr>
          <w:rFonts w:eastAsiaTheme="majorEastAsia" w:cs="Times New Roman"/>
          <w:szCs w:val="22"/>
        </w:rPr>
        <w:t>creates strategic opportunities for brands such as Nestlé to leverage innovation, transparency, and social media communication to maintain trust and relevance in an increasingly competitive market.</w:t>
      </w:r>
    </w:p>
    <w:p w14:paraId="0FB32395" w14:textId="4FEC33DD" w:rsidR="00836673" w:rsidRDefault="00171087" w:rsidP="00836673">
      <w:pPr>
        <w:keepNext/>
        <w:spacing w:line="360" w:lineRule="auto"/>
        <w:jc w:val="center"/>
      </w:pPr>
      <w:r w:rsidRPr="00171087">
        <w:rPr>
          <w:noProof/>
        </w:rPr>
        <w:drawing>
          <wp:inline distT="0" distB="0" distL="0" distR="0" wp14:anchorId="338E8E30" wp14:editId="134F4EE4">
            <wp:extent cx="5355836" cy="3381555"/>
            <wp:effectExtent l="0" t="0" r="0" b="9525"/>
            <wp:docPr id="1164639242" name="Picture 1" descr="A graph with blue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639242" name="Picture 1" descr="A graph with blue lines and numbers&#10;&#10;AI-generated content may be incorrect."/>
                    <pic:cNvPicPr/>
                  </pic:nvPicPr>
                  <pic:blipFill>
                    <a:blip r:embed="rId16"/>
                    <a:stretch>
                      <a:fillRect/>
                    </a:stretch>
                  </pic:blipFill>
                  <pic:spPr>
                    <a:xfrm>
                      <a:off x="0" y="0"/>
                      <a:ext cx="5361163" cy="3384918"/>
                    </a:xfrm>
                    <a:prstGeom prst="rect">
                      <a:avLst/>
                    </a:prstGeom>
                  </pic:spPr>
                </pic:pic>
              </a:graphicData>
            </a:graphic>
          </wp:inline>
        </w:drawing>
      </w:r>
    </w:p>
    <w:p w14:paraId="43A42E25" w14:textId="406B4504" w:rsidR="00A20542" w:rsidRPr="00915260" w:rsidRDefault="00A20542">
      <w:pPr>
        <w:rPr>
          <w:rFonts w:eastAsiaTheme="majorEastAsia" w:cs="Times New Roman"/>
          <w:szCs w:val="22"/>
        </w:rPr>
      </w:pPr>
    </w:p>
    <w:p w14:paraId="19D97D3B" w14:textId="0D521F56" w:rsidR="00430C72" w:rsidRDefault="00484628" w:rsidP="008B5510">
      <w:pPr>
        <w:spacing w:line="360" w:lineRule="auto"/>
        <w:jc w:val="both"/>
        <w:rPr>
          <w:rFonts w:eastAsiaTheme="majorEastAsia" w:cs="Times New Roman"/>
          <w:szCs w:val="22"/>
        </w:rPr>
      </w:pPr>
      <w:r w:rsidRPr="00484628">
        <w:rPr>
          <w:rFonts w:eastAsiaTheme="majorEastAsia" w:cs="Times New Roman"/>
          <w:szCs w:val="22"/>
        </w:rPr>
        <w:t xml:space="preserve">Digitalization has profoundly transformed how Hong Kong consumers discover and evaluate fast-moving consumer goods. </w:t>
      </w:r>
      <w:r w:rsidR="00522C95">
        <w:rPr>
          <w:rFonts w:eastAsiaTheme="majorEastAsia" w:cs="Times New Roman"/>
          <w:szCs w:val="22"/>
        </w:rPr>
        <w:t>Figure 1.1.3</w:t>
      </w:r>
      <w:r w:rsidR="00284720">
        <w:rPr>
          <w:rFonts w:eastAsiaTheme="majorEastAsia" w:cs="Times New Roman"/>
          <w:szCs w:val="22"/>
        </w:rPr>
        <w:t xml:space="preserve"> show the s</w:t>
      </w:r>
      <w:r w:rsidR="00E86AE0" w:rsidRPr="00E86AE0">
        <w:rPr>
          <w:rFonts w:eastAsiaTheme="majorEastAsia" w:cs="Times New Roman"/>
          <w:szCs w:val="22"/>
        </w:rPr>
        <w:t xml:space="preserve">ocial media holds significant influence in Hong Kong, with 6.15 million user </w:t>
      </w:r>
      <w:r w:rsidR="00E86AE0" w:rsidRPr="00E86AE0">
        <w:rPr>
          <w:rFonts w:eastAsiaTheme="majorEastAsia" w:cs="Times New Roman"/>
          <w:szCs w:val="22"/>
        </w:rPr>
        <w:lastRenderedPageBreak/>
        <w:t>identities accounting for 83.1% of the population in February 2025. Adults demonstrate even higher engagement at 85.5%, and users actively participate across an average of 6.4 platforms each month. Despite a slight reduction in daily usage to 1 hour 42 minutes, the breadth of platform adoption and deep integration into everyday life underscore social media's vital role in both communication and commerce, shaping public opinion and consumer behavior across the city</w:t>
      </w:r>
      <w:r w:rsidR="00284720">
        <w:rPr>
          <w:rFonts w:eastAsiaTheme="majorEastAsia" w:cs="Times New Roman"/>
          <w:szCs w:val="22"/>
        </w:rPr>
        <w:t xml:space="preserve"> (Meltwater, 2025)</w:t>
      </w:r>
      <w:r w:rsidR="00E86AE0" w:rsidRPr="00E86AE0">
        <w:rPr>
          <w:rFonts w:eastAsiaTheme="majorEastAsia" w:cs="Times New Roman"/>
          <w:szCs w:val="22"/>
        </w:rPr>
        <w:t>.</w:t>
      </w:r>
      <w:r w:rsidR="006E5D19">
        <w:rPr>
          <w:rFonts w:eastAsiaTheme="majorEastAsia" w:cs="Times New Roman" w:hint="eastAsia"/>
          <w:szCs w:val="22"/>
        </w:rPr>
        <w:t xml:space="preserve"> </w:t>
      </w:r>
      <w:r w:rsidR="006E5D19" w:rsidRPr="006E5D19">
        <w:rPr>
          <w:rFonts w:eastAsiaTheme="majorEastAsia" w:cs="Times New Roman"/>
          <w:szCs w:val="22"/>
        </w:rPr>
        <w:t>Qualitative studies and data-driven analyses reveal that brands engaging in robust digital storytelling, influencer partnerships, and transparent communications enjoy stronger consumer trust and positive brand attitudes. Importantly, trust emerges as a pivotal mediator between digital marketing efforts and purchase intention, particularly when consumers perceive brand claims about sustainability to be credible and authentic</w:t>
      </w:r>
      <w:r w:rsidR="006E5D19">
        <w:rPr>
          <w:rFonts w:eastAsiaTheme="majorEastAsia" w:cs="Times New Roman" w:hint="eastAsia"/>
          <w:szCs w:val="22"/>
        </w:rPr>
        <w:t xml:space="preserve"> </w:t>
      </w:r>
      <w:r w:rsidR="004D3A02" w:rsidRPr="004D3A02">
        <w:rPr>
          <w:rFonts w:eastAsiaTheme="majorEastAsia" w:cs="Times New Roman"/>
          <w:szCs w:val="22"/>
        </w:rPr>
        <w:t>(</w:t>
      </w:r>
      <w:proofErr w:type="spellStart"/>
      <w:r w:rsidR="004D3A02" w:rsidRPr="004D3A02">
        <w:rPr>
          <w:rFonts w:eastAsiaTheme="majorEastAsia" w:cs="Times New Roman"/>
          <w:szCs w:val="22"/>
        </w:rPr>
        <w:t>Jakwatanatham</w:t>
      </w:r>
      <w:proofErr w:type="spellEnd"/>
      <w:r w:rsidR="004D3A02" w:rsidRPr="004D3A02">
        <w:rPr>
          <w:rFonts w:eastAsiaTheme="majorEastAsia" w:cs="Times New Roman"/>
          <w:szCs w:val="22"/>
        </w:rPr>
        <w:t xml:space="preserve">, </w:t>
      </w:r>
      <w:proofErr w:type="spellStart"/>
      <w:r w:rsidR="004D3A02" w:rsidRPr="004D3A02">
        <w:rPr>
          <w:rFonts w:eastAsiaTheme="majorEastAsia" w:cs="Times New Roman"/>
          <w:szCs w:val="22"/>
        </w:rPr>
        <w:t>Phayaphrom</w:t>
      </w:r>
      <w:proofErr w:type="spellEnd"/>
      <w:r w:rsidR="004D3A02" w:rsidRPr="004D3A02">
        <w:rPr>
          <w:rFonts w:eastAsiaTheme="majorEastAsia" w:cs="Times New Roman"/>
          <w:szCs w:val="22"/>
        </w:rPr>
        <w:t xml:space="preserve"> and </w:t>
      </w:r>
      <w:proofErr w:type="spellStart"/>
      <w:r w:rsidR="004D3A02" w:rsidRPr="004D3A02">
        <w:rPr>
          <w:rFonts w:eastAsiaTheme="majorEastAsia" w:cs="Times New Roman"/>
          <w:szCs w:val="22"/>
        </w:rPr>
        <w:t>Nurittamont</w:t>
      </w:r>
      <w:proofErr w:type="spellEnd"/>
      <w:r w:rsidR="004D3A02" w:rsidRPr="004D3A02">
        <w:rPr>
          <w:rFonts w:eastAsiaTheme="majorEastAsia" w:cs="Times New Roman"/>
          <w:szCs w:val="22"/>
        </w:rPr>
        <w:t>, 2022)</w:t>
      </w:r>
      <w:r w:rsidR="006E5D19" w:rsidRPr="006E5D19">
        <w:rPr>
          <w:rFonts w:eastAsiaTheme="majorEastAsia" w:cs="Times New Roman"/>
          <w:szCs w:val="22"/>
        </w:rPr>
        <w:t>.</w:t>
      </w:r>
    </w:p>
    <w:p w14:paraId="49457081" w14:textId="488D41E7" w:rsidR="00873E54" w:rsidRDefault="003C38F7" w:rsidP="003C38F7">
      <w:pPr>
        <w:spacing w:line="360" w:lineRule="auto"/>
        <w:jc w:val="center"/>
        <w:rPr>
          <w:rFonts w:eastAsiaTheme="majorEastAsia" w:cs="Times New Roman"/>
          <w:szCs w:val="22"/>
        </w:rPr>
      </w:pPr>
      <w:r w:rsidRPr="003C38F7">
        <w:rPr>
          <w:rFonts w:eastAsiaTheme="majorEastAsia" w:cs="Times New Roman"/>
          <w:noProof/>
          <w:szCs w:val="22"/>
        </w:rPr>
        <w:drawing>
          <wp:inline distT="0" distB="0" distL="0" distR="0" wp14:anchorId="715BD917" wp14:editId="055E2286">
            <wp:extent cx="4201045" cy="2855343"/>
            <wp:effectExtent l="0" t="0" r="0" b="2540"/>
            <wp:docPr id="1846163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163447" name=""/>
                    <pic:cNvPicPr/>
                  </pic:nvPicPr>
                  <pic:blipFill>
                    <a:blip r:embed="rId17"/>
                    <a:stretch>
                      <a:fillRect/>
                    </a:stretch>
                  </pic:blipFill>
                  <pic:spPr>
                    <a:xfrm>
                      <a:off x="0" y="0"/>
                      <a:ext cx="4207302" cy="2859596"/>
                    </a:xfrm>
                    <a:prstGeom prst="rect">
                      <a:avLst/>
                    </a:prstGeom>
                  </pic:spPr>
                </pic:pic>
              </a:graphicData>
            </a:graphic>
          </wp:inline>
        </w:drawing>
      </w:r>
    </w:p>
    <w:p w14:paraId="46ACCD2D" w14:textId="77777777" w:rsidR="003C38F7" w:rsidRPr="00484628" w:rsidRDefault="003C38F7" w:rsidP="003C38F7">
      <w:pPr>
        <w:spacing w:line="360" w:lineRule="auto"/>
        <w:jc w:val="center"/>
        <w:rPr>
          <w:rFonts w:eastAsiaTheme="majorEastAsia" w:cs="Times New Roman"/>
          <w:szCs w:val="22"/>
        </w:rPr>
      </w:pPr>
    </w:p>
    <w:p w14:paraId="588F7CE9" w14:textId="2C2461F4" w:rsidR="00D144D3" w:rsidRDefault="00811FB4" w:rsidP="00811FB4">
      <w:pPr>
        <w:spacing w:line="360" w:lineRule="auto"/>
        <w:jc w:val="both"/>
        <w:rPr>
          <w:rFonts w:eastAsiaTheme="majorEastAsia" w:cs="Times New Roman" w:hint="eastAsia"/>
          <w:szCs w:val="22"/>
        </w:rPr>
      </w:pPr>
      <w:r w:rsidRPr="00811FB4">
        <w:rPr>
          <w:rFonts w:eastAsiaTheme="majorEastAsia" w:cs="Times New Roman"/>
          <w:szCs w:val="22"/>
        </w:rPr>
        <w:t>The data from Figure 1.1.4 provides valuable insight into the primary motivations driving social media usage among Hong Kong’s population. The most cited reasons for engaging with social media platforms are to fill spare time (43.6%) and to keep in touch with friends and family (42.0%), highlighting the role of social media as both a leisure activity and a crucial tool for maintaining social connections. Reading news stories (30.6%) and seeing what is being talked about (29.7%) are also prominent, emphasizing users' reliance on these platforms for real-time updates and collective discourse, rather than traditional news sources.</w:t>
      </w:r>
      <w:r w:rsidR="00B37F92">
        <w:rPr>
          <w:rFonts w:eastAsiaTheme="majorEastAsia" w:cs="Times New Roman" w:hint="eastAsia"/>
          <w:szCs w:val="22"/>
        </w:rPr>
        <w:t xml:space="preserve"> </w:t>
      </w:r>
      <w:r w:rsidR="00B37F92" w:rsidRPr="00B37F92">
        <w:rPr>
          <w:rFonts w:eastAsiaTheme="majorEastAsia" w:cs="Times New Roman"/>
          <w:szCs w:val="22"/>
        </w:rPr>
        <w:t xml:space="preserve">A significant proportion of users (26.5%) are interested in seeing content from </w:t>
      </w:r>
      <w:r w:rsidR="00A42549">
        <w:rPr>
          <w:rFonts w:eastAsiaTheme="majorEastAsia" w:cs="Times New Roman"/>
          <w:szCs w:val="22"/>
        </w:rPr>
        <w:t>their</w:t>
      </w:r>
      <w:r w:rsidR="00B37F92" w:rsidRPr="00B37F92">
        <w:rPr>
          <w:rFonts w:eastAsiaTheme="majorEastAsia" w:cs="Times New Roman"/>
          <w:szCs w:val="22"/>
        </w:rPr>
        <w:t xml:space="preserve"> favorite brands, while 26.1% seek informative content such as articles and videos. This demonstrates that social media functions as an important channel for brand engagement and consumer education, not just interpersonal communication. Further, inspiration for activities and purchases is a factor for 22.3% of users, and following celebrities or influencers motivates 21.1%, indicating the importance of aspirational and influencer-driven content in shaping interests and behaviors.</w:t>
      </w:r>
      <w:r w:rsidR="00B37F92">
        <w:rPr>
          <w:rFonts w:eastAsiaTheme="majorEastAsia" w:cs="Times New Roman" w:hint="eastAsia"/>
          <w:szCs w:val="22"/>
        </w:rPr>
        <w:t xml:space="preserve"> </w:t>
      </w:r>
      <w:r w:rsidR="00B37F92" w:rsidRPr="00B37F92">
        <w:rPr>
          <w:rFonts w:eastAsiaTheme="majorEastAsia" w:cs="Times New Roman"/>
          <w:szCs w:val="22"/>
        </w:rPr>
        <w:t xml:space="preserve">Reasons such as finding products to purchase </w:t>
      </w:r>
      <w:r w:rsidR="00B37F92" w:rsidRPr="00B37F92">
        <w:rPr>
          <w:rFonts w:eastAsiaTheme="majorEastAsia" w:cs="Times New Roman"/>
          <w:szCs w:val="22"/>
        </w:rPr>
        <w:lastRenderedPageBreak/>
        <w:t>(20.4%) and sharing opinions (19.2%) are also noteworthy, as they underscore the platforms’ evolving roles in commercial discovery and user-generated content. These findings align with academic literature, which highlights the multifaceted nature of social media</w:t>
      </w:r>
      <w:r w:rsidR="00B37F92">
        <w:rPr>
          <w:rFonts w:eastAsiaTheme="majorEastAsia" w:cs="Times New Roman" w:hint="eastAsia"/>
          <w:szCs w:val="22"/>
        </w:rPr>
        <w:t>.</w:t>
      </w:r>
    </w:p>
    <w:p w14:paraId="6CB9B32B" w14:textId="6E0E3089" w:rsidR="008A5623" w:rsidRPr="00915260" w:rsidRDefault="00781546" w:rsidP="00A76F5F">
      <w:pPr>
        <w:spacing w:line="360" w:lineRule="auto"/>
        <w:jc w:val="center"/>
        <w:rPr>
          <w:rFonts w:eastAsiaTheme="majorEastAsia" w:cs="Times New Roman"/>
          <w:szCs w:val="22"/>
        </w:rPr>
      </w:pPr>
      <w:r w:rsidRPr="00781546">
        <w:rPr>
          <w:rFonts w:eastAsiaTheme="majorEastAsia" w:cs="Times New Roman"/>
          <w:szCs w:val="22"/>
        </w:rPr>
        <w:drawing>
          <wp:inline distT="0" distB="0" distL="0" distR="0" wp14:anchorId="3168F460" wp14:editId="2273E36A">
            <wp:extent cx="4540483" cy="3054507"/>
            <wp:effectExtent l="0" t="0" r="0" b="0"/>
            <wp:docPr id="737030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030075" name=""/>
                    <pic:cNvPicPr/>
                  </pic:nvPicPr>
                  <pic:blipFill>
                    <a:blip r:embed="rId18"/>
                    <a:stretch>
                      <a:fillRect/>
                    </a:stretch>
                  </pic:blipFill>
                  <pic:spPr>
                    <a:xfrm>
                      <a:off x="0" y="0"/>
                      <a:ext cx="4540483" cy="3054507"/>
                    </a:xfrm>
                    <a:prstGeom prst="rect">
                      <a:avLst/>
                    </a:prstGeom>
                  </pic:spPr>
                </pic:pic>
              </a:graphicData>
            </a:graphic>
          </wp:inline>
        </w:drawing>
      </w:r>
    </w:p>
    <w:p w14:paraId="34F1961E" w14:textId="13478D9B" w:rsidR="00DF69E2" w:rsidRDefault="00B50428" w:rsidP="00DF69E2">
      <w:pPr>
        <w:spacing w:line="360" w:lineRule="auto"/>
        <w:jc w:val="both"/>
        <w:rPr>
          <w:rFonts w:eastAsiaTheme="majorEastAsia" w:cs="Times New Roman"/>
          <w:szCs w:val="22"/>
        </w:rPr>
      </w:pPr>
      <w:r w:rsidRPr="00B50428">
        <w:rPr>
          <w:rFonts w:eastAsiaTheme="majorEastAsia" w:cs="Times New Roman"/>
          <w:szCs w:val="22"/>
        </w:rPr>
        <w:t xml:space="preserve">Hong Kong consumers exhibit exceptionally high awareness and concern for sustainability. According to Standard Insights (2023), 93% of respondents are concerned about environmental issues, </w:t>
      </w:r>
      <w:r w:rsidR="00277081" w:rsidRPr="00277081">
        <w:rPr>
          <w:rFonts w:eastAsiaTheme="majorEastAsia" w:cs="Times New Roman"/>
          <w:szCs w:val="22"/>
        </w:rPr>
        <w:t>with 50.8% reporting they’re deeply worried about our planet’s future</w:t>
      </w:r>
      <w:r w:rsidR="00666F51">
        <w:rPr>
          <w:rFonts w:eastAsiaTheme="majorEastAsia" w:cs="Times New Roman" w:hint="eastAsia"/>
          <w:szCs w:val="22"/>
        </w:rPr>
        <w:t xml:space="preserve"> that show in </w:t>
      </w:r>
      <w:r w:rsidR="00BC051A">
        <w:rPr>
          <w:rFonts w:eastAsiaTheme="majorEastAsia" w:cs="Times New Roman" w:hint="eastAsia"/>
          <w:szCs w:val="22"/>
        </w:rPr>
        <w:t>F</w:t>
      </w:r>
      <w:r w:rsidR="00666F51">
        <w:rPr>
          <w:rFonts w:eastAsiaTheme="majorEastAsia" w:cs="Times New Roman" w:hint="eastAsia"/>
          <w:szCs w:val="22"/>
        </w:rPr>
        <w:t xml:space="preserve">igure 1.1.5, </w:t>
      </w:r>
      <w:r w:rsidRPr="00B50428">
        <w:rPr>
          <w:rFonts w:eastAsiaTheme="majorEastAsia" w:cs="Times New Roman"/>
          <w:szCs w:val="22"/>
        </w:rPr>
        <w:t xml:space="preserve">70% would stop </w:t>
      </w:r>
      <w:r w:rsidR="00D27638" w:rsidRPr="00B50428">
        <w:rPr>
          <w:rFonts w:eastAsiaTheme="majorEastAsia" w:cs="Times New Roman"/>
          <w:szCs w:val="22"/>
        </w:rPr>
        <w:t>buying</w:t>
      </w:r>
      <w:r w:rsidRPr="00B50428">
        <w:rPr>
          <w:rFonts w:eastAsiaTheme="majorEastAsia" w:cs="Times New Roman"/>
          <w:szCs w:val="22"/>
        </w:rPr>
        <w:t xml:space="preserve"> brands performing poorly in this area. Furthermore, </w:t>
      </w:r>
      <w:r w:rsidR="00B55E8E">
        <w:rPr>
          <w:rFonts w:eastAsiaTheme="majorEastAsia" w:cs="Times New Roman" w:hint="eastAsia"/>
          <w:szCs w:val="22"/>
        </w:rPr>
        <w:t xml:space="preserve">in </w:t>
      </w:r>
      <w:r w:rsidR="00BC051A">
        <w:rPr>
          <w:rFonts w:eastAsiaTheme="majorEastAsia" w:cs="Times New Roman" w:hint="eastAsia"/>
          <w:szCs w:val="22"/>
        </w:rPr>
        <w:t>F</w:t>
      </w:r>
      <w:r w:rsidR="00B55E8E">
        <w:rPr>
          <w:rFonts w:eastAsiaTheme="majorEastAsia" w:cs="Times New Roman" w:hint="eastAsia"/>
          <w:szCs w:val="22"/>
        </w:rPr>
        <w:t xml:space="preserve">igure 1.1.6, </w:t>
      </w:r>
      <w:r w:rsidR="00C72C36">
        <w:rPr>
          <w:rFonts w:eastAsiaTheme="majorEastAsia" w:cs="Times New Roman" w:hint="eastAsia"/>
          <w:szCs w:val="22"/>
        </w:rPr>
        <w:t>70</w:t>
      </w:r>
      <w:r w:rsidRPr="00B50428">
        <w:rPr>
          <w:rFonts w:eastAsiaTheme="majorEastAsia" w:cs="Times New Roman"/>
          <w:szCs w:val="22"/>
        </w:rPr>
        <w:t>% stated willingness to pay a premium for sustainable products, emphasizing the moral and lifestyle integration of green values. However, the same study reveals a 65% perception of greenwashing, highlighting consumers' skepticism toward unverified claims.</w:t>
      </w:r>
      <w:r w:rsidR="00DF69E2">
        <w:rPr>
          <w:rFonts w:eastAsiaTheme="majorEastAsia" w:cs="Times New Roman"/>
          <w:szCs w:val="22"/>
        </w:rPr>
        <w:t xml:space="preserve"> </w:t>
      </w:r>
      <w:r w:rsidRPr="00B50428">
        <w:rPr>
          <w:rFonts w:eastAsiaTheme="majorEastAsia" w:cs="Times New Roman"/>
          <w:szCs w:val="22"/>
        </w:rPr>
        <w:t>Government-led initiatives, such as Waste Blueprint for Hong Kong 2035 and the Hong Kong Green Purchasing Charter</w:t>
      </w:r>
      <w:r w:rsidR="00552B5D">
        <w:rPr>
          <w:rFonts w:eastAsiaTheme="majorEastAsia" w:cs="Times New Roman"/>
          <w:szCs w:val="22"/>
        </w:rPr>
        <w:t xml:space="preserve"> </w:t>
      </w:r>
      <w:r w:rsidR="00552B5D" w:rsidRPr="00552B5D">
        <w:rPr>
          <w:rFonts w:eastAsiaTheme="majorEastAsia" w:cs="Times New Roman"/>
          <w:szCs w:val="22"/>
        </w:rPr>
        <w:t>(GovHK , 2025)</w:t>
      </w:r>
      <w:r w:rsidRPr="00B50428">
        <w:rPr>
          <w:rFonts w:eastAsiaTheme="majorEastAsia" w:cs="Times New Roman"/>
          <w:szCs w:val="22"/>
        </w:rPr>
        <w:t xml:space="preserve">, reinforce the public's eco-awareness while reshaping business accountability. </w:t>
      </w:r>
      <w:r w:rsidR="00F5108B" w:rsidRPr="00F5108B">
        <w:rPr>
          <w:rFonts w:eastAsiaTheme="majorEastAsia" w:cs="Times New Roman"/>
          <w:szCs w:val="22"/>
        </w:rPr>
        <w:t>While many consumers report positive attitudes toward sustainability, the HKFYG study highlights a significant disparity between knowledge and practical action, suggesting that educational initiatives alone are insufficient. Therefore, Nescafé should design multistage programs that combine clear, relatable messaging about the environmental benefits of sustainable consumption with active prompts that make environmentally friendly choices easier and more appealing at the point of purchase</w:t>
      </w:r>
      <w:r w:rsidR="003D6EC7">
        <w:rPr>
          <w:rFonts w:eastAsiaTheme="majorEastAsia" w:cs="Times New Roman"/>
          <w:szCs w:val="22"/>
        </w:rPr>
        <w:t xml:space="preserve"> </w:t>
      </w:r>
      <w:r w:rsidR="003D6EC7" w:rsidRPr="003D6EC7">
        <w:rPr>
          <w:rFonts w:eastAsiaTheme="majorEastAsia" w:cs="Times New Roman"/>
          <w:szCs w:val="22"/>
        </w:rPr>
        <w:t>(HKFYG, 2023)</w:t>
      </w:r>
      <w:r w:rsidR="00F5108B" w:rsidRPr="00F5108B">
        <w:rPr>
          <w:rFonts w:eastAsiaTheme="majorEastAsia" w:cs="Times New Roman"/>
          <w:szCs w:val="22"/>
        </w:rPr>
        <w:t>.</w:t>
      </w:r>
      <w:r w:rsidR="00F5108B">
        <w:rPr>
          <w:rFonts w:eastAsiaTheme="majorEastAsia" w:cs="Times New Roman"/>
          <w:szCs w:val="22"/>
        </w:rPr>
        <w:t xml:space="preserve"> </w:t>
      </w:r>
      <w:r w:rsidRPr="00B50428">
        <w:rPr>
          <w:rFonts w:eastAsiaTheme="majorEastAsia" w:cs="Times New Roman"/>
          <w:szCs w:val="22"/>
        </w:rPr>
        <w:t>For the instant coffee industry, this suggests competitive differentiation lies not only in taste or convenience but also in supply chain transparency, recyclable packaging, and carbon reduction practices. Nestlé Hong Kong’s leadership in introducing plant-based packaging and achieving a 20% CO₂ reduction by 2025 establishes it as a role model for sustainability within FMCG</w:t>
      </w:r>
      <w:r w:rsidR="00E46F1C">
        <w:rPr>
          <w:rFonts w:eastAsiaTheme="majorEastAsia" w:cs="Times New Roman" w:hint="eastAsia"/>
          <w:szCs w:val="22"/>
        </w:rPr>
        <w:t xml:space="preserve"> </w:t>
      </w:r>
      <w:r w:rsidR="00887D40" w:rsidRPr="00887D40">
        <w:rPr>
          <w:rFonts w:eastAsiaTheme="majorEastAsia" w:cs="Times New Roman"/>
          <w:szCs w:val="22"/>
        </w:rPr>
        <w:t>(Nestlé Sustainability Report, 2025)</w:t>
      </w:r>
      <w:r w:rsidRPr="00B50428">
        <w:rPr>
          <w:rFonts w:eastAsiaTheme="majorEastAsia" w:cs="Times New Roman"/>
          <w:szCs w:val="22"/>
        </w:rPr>
        <w:t>.</w:t>
      </w:r>
      <w:r w:rsidR="0048722C">
        <w:rPr>
          <w:rFonts w:eastAsiaTheme="majorEastAsia" w:cs="Times New Roman" w:hint="eastAsia"/>
          <w:szCs w:val="22"/>
        </w:rPr>
        <w:t xml:space="preserve"> </w:t>
      </w:r>
      <w:r w:rsidRPr="00B50428">
        <w:rPr>
          <w:rFonts w:eastAsiaTheme="majorEastAsia" w:cs="Times New Roman"/>
          <w:szCs w:val="22"/>
        </w:rPr>
        <w:t>Sustainability thus transcends ethics</w:t>
      </w:r>
      <w:r w:rsidR="0048722C">
        <w:rPr>
          <w:rFonts w:eastAsiaTheme="majorEastAsia" w:cs="Times New Roman" w:hint="eastAsia"/>
          <w:szCs w:val="22"/>
        </w:rPr>
        <w:t xml:space="preserve">, </w:t>
      </w:r>
      <w:r w:rsidRPr="00B50428">
        <w:rPr>
          <w:rFonts w:eastAsiaTheme="majorEastAsia" w:cs="Times New Roman"/>
          <w:szCs w:val="22"/>
        </w:rPr>
        <w:t>it now operationalizes market legitimacy and consumer trust, directly connecting to brand authenticity and purchase intention.</w:t>
      </w:r>
    </w:p>
    <w:p w14:paraId="756C1C96" w14:textId="46BDBFFF" w:rsidR="00351C39" w:rsidRDefault="000E2981" w:rsidP="00351C39">
      <w:pPr>
        <w:pStyle w:val="Caption"/>
        <w:keepNext/>
        <w:jc w:val="center"/>
      </w:pPr>
      <w:r w:rsidRPr="000E2981">
        <w:rPr>
          <w:noProof/>
        </w:rPr>
        <w:lastRenderedPageBreak/>
        <w:drawing>
          <wp:inline distT="0" distB="0" distL="0" distR="0" wp14:anchorId="0695E849" wp14:editId="66271999">
            <wp:extent cx="4153113" cy="2806844"/>
            <wp:effectExtent l="0" t="0" r="0" b="0"/>
            <wp:docPr id="114909694" name="Picture 1" descr="A graph of green and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09694" name="Picture 1" descr="A graph of green and blue bars&#10;&#10;AI-generated content may be incorrect."/>
                    <pic:cNvPicPr/>
                  </pic:nvPicPr>
                  <pic:blipFill>
                    <a:blip r:embed="rId19"/>
                    <a:stretch>
                      <a:fillRect/>
                    </a:stretch>
                  </pic:blipFill>
                  <pic:spPr>
                    <a:xfrm>
                      <a:off x="0" y="0"/>
                      <a:ext cx="4153113" cy="2806844"/>
                    </a:xfrm>
                    <a:prstGeom prst="rect">
                      <a:avLst/>
                    </a:prstGeom>
                  </pic:spPr>
                </pic:pic>
              </a:graphicData>
            </a:graphic>
          </wp:inline>
        </w:drawing>
      </w:r>
    </w:p>
    <w:p w14:paraId="54CF3A8A" w14:textId="77777777" w:rsidR="000E2981" w:rsidRPr="000E2981" w:rsidRDefault="000E2981" w:rsidP="000E2981"/>
    <w:p w14:paraId="4B5DB641" w14:textId="76A64894" w:rsidR="00471BE5" w:rsidRDefault="00231EFA" w:rsidP="00DF69E2">
      <w:pPr>
        <w:spacing w:line="360" w:lineRule="auto"/>
        <w:jc w:val="center"/>
        <w:rPr>
          <w:rFonts w:eastAsiaTheme="majorEastAsia" w:cs="Times New Roman"/>
          <w:szCs w:val="22"/>
        </w:rPr>
      </w:pPr>
      <w:r w:rsidRPr="00231EFA">
        <w:rPr>
          <w:rFonts w:eastAsiaTheme="majorEastAsia" w:cs="Times New Roman"/>
          <w:noProof/>
          <w:szCs w:val="22"/>
        </w:rPr>
        <w:drawing>
          <wp:inline distT="0" distB="0" distL="0" distR="0" wp14:anchorId="643B4243" wp14:editId="08945B5A">
            <wp:extent cx="4064209" cy="2787793"/>
            <wp:effectExtent l="0" t="0" r="0" b="0"/>
            <wp:docPr id="2021842651" name="Picture 1" descr="A green graph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842651" name="Picture 1" descr="A green graph with text&#10;&#10;AI-generated content may be incorrect."/>
                    <pic:cNvPicPr/>
                  </pic:nvPicPr>
                  <pic:blipFill>
                    <a:blip r:embed="rId20"/>
                    <a:stretch>
                      <a:fillRect/>
                    </a:stretch>
                  </pic:blipFill>
                  <pic:spPr>
                    <a:xfrm>
                      <a:off x="0" y="0"/>
                      <a:ext cx="4064209" cy="2787793"/>
                    </a:xfrm>
                    <a:prstGeom prst="rect">
                      <a:avLst/>
                    </a:prstGeom>
                  </pic:spPr>
                </pic:pic>
              </a:graphicData>
            </a:graphic>
          </wp:inline>
        </w:drawing>
      </w:r>
    </w:p>
    <w:p w14:paraId="3157EB86" w14:textId="77777777" w:rsidR="000E2981" w:rsidRPr="00915260" w:rsidRDefault="000E2981" w:rsidP="00DF69E2">
      <w:pPr>
        <w:spacing w:line="360" w:lineRule="auto"/>
        <w:jc w:val="center"/>
        <w:rPr>
          <w:rFonts w:eastAsiaTheme="majorEastAsia" w:cs="Times New Roman"/>
          <w:szCs w:val="22"/>
        </w:rPr>
      </w:pPr>
    </w:p>
    <w:p w14:paraId="3FCAEA9D" w14:textId="77777777" w:rsidR="00B50428" w:rsidRPr="00B50428" w:rsidRDefault="00B50428" w:rsidP="00B50428">
      <w:pPr>
        <w:spacing w:line="360" w:lineRule="auto"/>
        <w:jc w:val="both"/>
        <w:rPr>
          <w:rFonts w:eastAsiaTheme="majorEastAsia" w:cs="Times New Roman"/>
          <w:szCs w:val="22"/>
        </w:rPr>
      </w:pPr>
      <w:r w:rsidRPr="00B50428">
        <w:rPr>
          <w:rFonts w:eastAsiaTheme="majorEastAsia" w:cs="Times New Roman"/>
          <w:szCs w:val="22"/>
        </w:rPr>
        <w:t>Brand trust mediates consumers’ perceptions of marketing practices, particularly in markets where skepticism toward environmental claims and digital advertising is high. Studies show that 80% of Hong Kong consumers prefer brands with visible social impact, and over 60% follow sustainability-related brand content online (Grey, 2025). For global brands like Nestlé, maintaining trust depends on perceived honesty, consistent quality, and demonstrated commitment to social good.</w:t>
      </w:r>
    </w:p>
    <w:p w14:paraId="06DA9556" w14:textId="7BD12A01" w:rsidR="005B5694" w:rsidRDefault="00B50428" w:rsidP="00B50428">
      <w:pPr>
        <w:spacing w:line="360" w:lineRule="auto"/>
        <w:jc w:val="both"/>
        <w:rPr>
          <w:rFonts w:eastAsiaTheme="majorEastAsia" w:cs="Times New Roman"/>
          <w:szCs w:val="22"/>
        </w:rPr>
      </w:pPr>
      <w:r w:rsidRPr="00B50428">
        <w:rPr>
          <w:rFonts w:eastAsiaTheme="majorEastAsia" w:cs="Times New Roman"/>
          <w:szCs w:val="22"/>
        </w:rPr>
        <w:t>Nestlé has maintained top-of-mind awareness in Hong Kong through its Nescafé brand</w:t>
      </w:r>
      <w:r w:rsidR="00B806AD">
        <w:rPr>
          <w:rFonts w:eastAsiaTheme="majorEastAsia" w:cs="Times New Roman" w:hint="eastAsia"/>
          <w:szCs w:val="22"/>
        </w:rPr>
        <w:t xml:space="preserve"> </w:t>
      </w:r>
      <w:r w:rsidR="00DB5B13" w:rsidRPr="00DB5B13">
        <w:rPr>
          <w:rFonts w:eastAsiaTheme="majorEastAsia" w:cs="Times New Roman"/>
          <w:szCs w:val="22"/>
        </w:rPr>
        <w:t>(</w:t>
      </w:r>
      <w:r w:rsidR="007D3B2E" w:rsidRPr="00DB5B13">
        <w:rPr>
          <w:rFonts w:eastAsiaTheme="majorEastAsia" w:cs="Times New Roman"/>
          <w:szCs w:val="22"/>
        </w:rPr>
        <w:t>Kantar Worldpanel</w:t>
      </w:r>
      <w:r w:rsidR="00DB5B13" w:rsidRPr="00DB5B13">
        <w:rPr>
          <w:rFonts w:eastAsiaTheme="majorEastAsia" w:cs="Times New Roman"/>
          <w:szCs w:val="22"/>
        </w:rPr>
        <w:t>, 2025)</w:t>
      </w:r>
      <w:r w:rsidRPr="00B50428">
        <w:rPr>
          <w:rFonts w:eastAsiaTheme="majorEastAsia" w:cs="Times New Roman"/>
          <w:szCs w:val="22"/>
        </w:rPr>
        <w:t xml:space="preserve">, combining global recognition with local adaptation strategies such as sustainable sourcing, recyclable packaging, </w:t>
      </w:r>
      <w:r w:rsidRPr="00B50428">
        <w:rPr>
          <w:rFonts w:eastAsiaTheme="majorEastAsia" w:cs="Times New Roman"/>
          <w:szCs w:val="22"/>
        </w:rPr>
        <w:lastRenderedPageBreak/>
        <w:t>and digital storytelling authenticity. Its efforts to advance regenerative agriculture and zero-waste packaging initiatives not only reinforce consumer trust but also address the expectation for brands to align purpose with practice</w:t>
      </w:r>
      <w:r w:rsidR="008A0609">
        <w:rPr>
          <w:rFonts w:eastAsiaTheme="majorEastAsia" w:cs="Times New Roman"/>
          <w:szCs w:val="22"/>
        </w:rPr>
        <w:t xml:space="preserve"> </w:t>
      </w:r>
      <w:r w:rsidR="008A0609" w:rsidRPr="008A0609">
        <w:rPr>
          <w:rFonts w:eastAsiaTheme="majorEastAsia" w:cs="Times New Roman"/>
          <w:szCs w:val="22"/>
        </w:rPr>
        <w:t>(UCLA, 2025)</w:t>
      </w:r>
      <w:r w:rsidRPr="00B50428">
        <w:rPr>
          <w:rFonts w:eastAsiaTheme="majorEastAsia" w:cs="Times New Roman"/>
          <w:szCs w:val="22"/>
        </w:rPr>
        <w:t xml:space="preserve">. This positions Nestlé as a fitting focal point for analyzing how brand trust converges with social media </w:t>
      </w:r>
      <w:r w:rsidR="0048394D">
        <w:rPr>
          <w:rFonts w:eastAsiaTheme="majorEastAsia" w:cs="Times New Roman"/>
          <w:szCs w:val="22"/>
        </w:rPr>
        <w:t xml:space="preserve">marketing activities </w:t>
      </w:r>
      <w:r w:rsidRPr="00B50428">
        <w:rPr>
          <w:rFonts w:eastAsiaTheme="majorEastAsia" w:cs="Times New Roman"/>
          <w:szCs w:val="22"/>
        </w:rPr>
        <w:t>strategy and sustainability to shape consumer purchase intentions.</w:t>
      </w:r>
    </w:p>
    <w:p w14:paraId="23530BB6" w14:textId="659E626C" w:rsidR="00CD1E89" w:rsidRPr="00915260" w:rsidRDefault="00CD1E89" w:rsidP="009760B7">
      <w:pPr>
        <w:spacing w:line="360" w:lineRule="auto"/>
        <w:jc w:val="both"/>
        <w:rPr>
          <w:rFonts w:eastAsiaTheme="majorEastAsia" w:cs="Times New Roman"/>
          <w:szCs w:val="22"/>
        </w:rPr>
      </w:pPr>
    </w:p>
    <w:p w14:paraId="23A6D066" w14:textId="19908797" w:rsidR="009F6713" w:rsidRPr="00915260" w:rsidRDefault="00CD1E89" w:rsidP="004F76CE">
      <w:pPr>
        <w:pStyle w:val="Heading2"/>
        <w:numPr>
          <w:ilvl w:val="1"/>
          <w:numId w:val="5"/>
        </w:numPr>
        <w:spacing w:line="360" w:lineRule="auto"/>
        <w:ind w:left="450"/>
        <w:rPr>
          <w:rFonts w:cs="Times New Roman"/>
          <w:b/>
          <w:bCs/>
          <w:sz w:val="22"/>
          <w:szCs w:val="22"/>
        </w:rPr>
      </w:pPr>
      <w:bookmarkStart w:id="11" w:name="_Toc209184644"/>
      <w:bookmarkStart w:id="12" w:name="_Toc213748895"/>
      <w:r w:rsidRPr="00915260">
        <w:rPr>
          <w:rFonts w:cs="Times New Roman"/>
          <w:b/>
          <w:bCs/>
          <w:sz w:val="22"/>
          <w:szCs w:val="22"/>
        </w:rPr>
        <w:t>R</w:t>
      </w:r>
      <w:r w:rsidR="0036005C" w:rsidRPr="00915260">
        <w:rPr>
          <w:rFonts w:cs="Times New Roman"/>
          <w:b/>
          <w:bCs/>
          <w:sz w:val="22"/>
          <w:szCs w:val="22"/>
        </w:rPr>
        <w:t xml:space="preserve">esearch </w:t>
      </w:r>
      <w:r w:rsidRPr="00915260">
        <w:rPr>
          <w:rFonts w:cs="Times New Roman"/>
          <w:b/>
          <w:bCs/>
          <w:sz w:val="22"/>
          <w:szCs w:val="22"/>
        </w:rPr>
        <w:t>M</w:t>
      </w:r>
      <w:r w:rsidR="0036005C" w:rsidRPr="00915260">
        <w:rPr>
          <w:rFonts w:cs="Times New Roman"/>
          <w:b/>
          <w:bCs/>
          <w:sz w:val="22"/>
          <w:szCs w:val="22"/>
        </w:rPr>
        <w:t>otivation</w:t>
      </w:r>
      <w:bookmarkEnd w:id="11"/>
      <w:bookmarkEnd w:id="12"/>
    </w:p>
    <w:p w14:paraId="1645E0E9" w14:textId="681AC76D" w:rsidR="007C30B3" w:rsidRPr="00915260" w:rsidRDefault="007C30B3" w:rsidP="007C30B3">
      <w:pPr>
        <w:spacing w:line="360" w:lineRule="auto"/>
        <w:jc w:val="both"/>
        <w:rPr>
          <w:rFonts w:eastAsiaTheme="majorEastAsia" w:cs="Times New Roman"/>
          <w:szCs w:val="22"/>
        </w:rPr>
      </w:pPr>
      <w:r w:rsidRPr="00915260">
        <w:rPr>
          <w:rFonts w:eastAsiaTheme="majorEastAsia" w:cs="Times New Roman"/>
          <w:szCs w:val="22"/>
        </w:rPr>
        <w:t>While extensive research exists globally on social media marketing, environmental conscious, sustainability, and brand trust as determinants of consumer purchase intention, limited academic attention has been dedicated to examining these variables within Hong Kong’s instant coffee market context. Existing literature often focuses on general coffee consumption or Western retail settings, leaving a clear empirical gap regarding how these factors interact in a densely digital, sustainability-conscious, and culturally hybrid market such as Hong Kong.</w:t>
      </w:r>
    </w:p>
    <w:p w14:paraId="3FC9C00A" w14:textId="77777777" w:rsidR="007C30B3" w:rsidRPr="00915260" w:rsidRDefault="007C30B3" w:rsidP="007C30B3">
      <w:pPr>
        <w:spacing w:line="360" w:lineRule="auto"/>
        <w:jc w:val="both"/>
        <w:rPr>
          <w:rFonts w:eastAsiaTheme="majorEastAsia" w:cs="Times New Roman"/>
          <w:szCs w:val="22"/>
        </w:rPr>
      </w:pPr>
      <w:r w:rsidRPr="00915260">
        <w:rPr>
          <w:rFonts w:eastAsiaTheme="majorEastAsia" w:cs="Times New Roman"/>
          <w:szCs w:val="22"/>
        </w:rPr>
        <w:t>This scarcity of local studies provides a strong academic motivation for conducting this research. By empirically investigating how social media marketing activities, environmental values, sustainability practices, and brand trust collectively influence purchase intention toward Nescafé, this study seeks to generate localized insights that extend beyond current global models.</w:t>
      </w:r>
    </w:p>
    <w:p w14:paraId="24A486DD" w14:textId="5634E557" w:rsidR="006D10FA" w:rsidRPr="00915260" w:rsidRDefault="007C30B3" w:rsidP="007C30B3">
      <w:pPr>
        <w:spacing w:line="360" w:lineRule="auto"/>
        <w:jc w:val="both"/>
        <w:rPr>
          <w:rFonts w:eastAsiaTheme="majorEastAsia" w:cs="Times New Roman"/>
          <w:szCs w:val="22"/>
        </w:rPr>
      </w:pPr>
      <w:r w:rsidRPr="00915260">
        <w:rPr>
          <w:rFonts w:eastAsiaTheme="majorEastAsia" w:cs="Times New Roman"/>
          <w:szCs w:val="22"/>
        </w:rPr>
        <w:t>From a managerial perspective, the findings will offer Nestlé Hong Kong actionable knowledge to refine brand positioning, strengthen consumer trust, and enhance digital marketing communication strategies aligned with the city’s evolving environmental awareness and consumer values. The study thus aims to make both scholarly and practical contributions by filling a critical research gap and supporting strategic decision-making in an increasingly competitive and ethically driven beverage market.</w:t>
      </w:r>
    </w:p>
    <w:p w14:paraId="14E94CD8" w14:textId="77777777" w:rsidR="00D121E1" w:rsidRPr="00915260" w:rsidRDefault="00D121E1" w:rsidP="007C30B3">
      <w:pPr>
        <w:spacing w:line="360" w:lineRule="auto"/>
        <w:jc w:val="both"/>
        <w:rPr>
          <w:rFonts w:eastAsiaTheme="majorEastAsia" w:cs="Times New Roman"/>
          <w:szCs w:val="22"/>
        </w:rPr>
      </w:pPr>
    </w:p>
    <w:p w14:paraId="4067AF44" w14:textId="382E60CD" w:rsidR="0036005C" w:rsidRPr="00915260" w:rsidRDefault="006D10FA" w:rsidP="004F76CE">
      <w:pPr>
        <w:pStyle w:val="Heading2"/>
        <w:numPr>
          <w:ilvl w:val="1"/>
          <w:numId w:val="5"/>
        </w:numPr>
        <w:spacing w:line="360" w:lineRule="auto"/>
        <w:ind w:left="450"/>
        <w:rPr>
          <w:rFonts w:cs="Times New Roman"/>
          <w:b/>
          <w:bCs/>
          <w:sz w:val="22"/>
          <w:szCs w:val="22"/>
        </w:rPr>
      </w:pPr>
      <w:bookmarkStart w:id="13" w:name="_Toc209184645"/>
      <w:bookmarkStart w:id="14" w:name="_Toc213748896"/>
      <w:r w:rsidRPr="00915260">
        <w:rPr>
          <w:rFonts w:cs="Times New Roman"/>
          <w:b/>
          <w:bCs/>
          <w:sz w:val="22"/>
          <w:szCs w:val="22"/>
        </w:rPr>
        <w:t>R</w:t>
      </w:r>
      <w:r w:rsidR="0036005C" w:rsidRPr="00915260">
        <w:rPr>
          <w:rFonts w:cs="Times New Roman"/>
          <w:b/>
          <w:bCs/>
          <w:sz w:val="22"/>
          <w:szCs w:val="22"/>
        </w:rPr>
        <w:t xml:space="preserve">esearch </w:t>
      </w:r>
      <w:r w:rsidRPr="00915260">
        <w:rPr>
          <w:rFonts w:cs="Times New Roman"/>
          <w:b/>
          <w:bCs/>
          <w:sz w:val="22"/>
          <w:szCs w:val="22"/>
        </w:rPr>
        <w:t>Q</w:t>
      </w:r>
      <w:r w:rsidR="0036005C" w:rsidRPr="00915260">
        <w:rPr>
          <w:rFonts w:cs="Times New Roman"/>
          <w:b/>
          <w:bCs/>
          <w:sz w:val="22"/>
          <w:szCs w:val="22"/>
        </w:rPr>
        <w:t>uestions</w:t>
      </w:r>
      <w:bookmarkEnd w:id="13"/>
      <w:bookmarkEnd w:id="14"/>
    </w:p>
    <w:p w14:paraId="676FCED2" w14:textId="3C60A828" w:rsidR="00C9005E" w:rsidRPr="00915260" w:rsidRDefault="00C9005E" w:rsidP="004F76CE">
      <w:pPr>
        <w:spacing w:line="360" w:lineRule="auto"/>
        <w:jc w:val="both"/>
        <w:rPr>
          <w:rFonts w:eastAsiaTheme="majorEastAsia" w:cs="Times New Roman"/>
          <w:szCs w:val="22"/>
        </w:rPr>
      </w:pPr>
      <w:r w:rsidRPr="00915260">
        <w:rPr>
          <w:rFonts w:eastAsiaTheme="majorEastAsia" w:cs="Times New Roman"/>
          <w:szCs w:val="22"/>
        </w:rPr>
        <w:t>This study aims to investigate the following key questions:</w:t>
      </w:r>
    </w:p>
    <w:p w14:paraId="6D5DC179" w14:textId="3DDB00FE" w:rsidR="00CE7B5E" w:rsidRPr="00915260" w:rsidRDefault="00C9005E" w:rsidP="004F76CE">
      <w:pPr>
        <w:pStyle w:val="ListParagraph"/>
        <w:numPr>
          <w:ilvl w:val="0"/>
          <w:numId w:val="3"/>
        </w:numPr>
        <w:spacing w:line="360" w:lineRule="auto"/>
        <w:jc w:val="both"/>
        <w:rPr>
          <w:rFonts w:eastAsiaTheme="majorEastAsia" w:cs="Times New Roman"/>
          <w:i/>
          <w:iCs/>
          <w:szCs w:val="22"/>
        </w:rPr>
      </w:pPr>
      <w:r w:rsidRPr="00915260">
        <w:rPr>
          <w:rFonts w:eastAsiaTheme="majorEastAsia" w:cs="Times New Roman"/>
          <w:i/>
          <w:iCs/>
          <w:szCs w:val="22"/>
        </w:rPr>
        <w:t xml:space="preserve">What are the key factors influence consumer purchase intention for Nescafe </w:t>
      </w:r>
      <w:r w:rsidR="00CF1273" w:rsidRPr="00915260">
        <w:rPr>
          <w:rFonts w:eastAsiaTheme="majorEastAsia" w:cs="Times New Roman"/>
          <w:i/>
          <w:iCs/>
          <w:szCs w:val="22"/>
        </w:rPr>
        <w:t>i</w:t>
      </w:r>
      <w:r w:rsidRPr="00915260">
        <w:rPr>
          <w:rFonts w:eastAsiaTheme="majorEastAsia" w:cs="Times New Roman"/>
          <w:i/>
          <w:iCs/>
          <w:szCs w:val="22"/>
        </w:rPr>
        <w:t>nstant coffee</w:t>
      </w:r>
      <w:r w:rsidR="00CF1273" w:rsidRPr="00915260">
        <w:rPr>
          <w:rFonts w:eastAsiaTheme="majorEastAsia" w:cs="Times New Roman"/>
          <w:i/>
          <w:iCs/>
          <w:szCs w:val="22"/>
        </w:rPr>
        <w:t xml:space="preserve"> in Hong Kong?</w:t>
      </w:r>
    </w:p>
    <w:p w14:paraId="7A05AFBC" w14:textId="2F67E712" w:rsidR="00C9005E" w:rsidRPr="00915260" w:rsidRDefault="00CF1273" w:rsidP="004F76CE">
      <w:pPr>
        <w:pStyle w:val="ListParagraph"/>
        <w:numPr>
          <w:ilvl w:val="0"/>
          <w:numId w:val="3"/>
        </w:numPr>
        <w:spacing w:line="360" w:lineRule="auto"/>
        <w:jc w:val="both"/>
        <w:rPr>
          <w:rFonts w:eastAsiaTheme="majorEastAsia" w:cs="Times New Roman"/>
          <w:i/>
          <w:iCs/>
          <w:szCs w:val="22"/>
        </w:rPr>
      </w:pPr>
      <w:r w:rsidRPr="00915260">
        <w:rPr>
          <w:rFonts w:eastAsiaTheme="majorEastAsia" w:cs="Times New Roman"/>
          <w:i/>
          <w:iCs/>
          <w:szCs w:val="22"/>
        </w:rPr>
        <w:t xml:space="preserve">How do these factors interrelate </w:t>
      </w:r>
      <w:r w:rsidR="008D4574" w:rsidRPr="00915260">
        <w:rPr>
          <w:rFonts w:eastAsiaTheme="majorEastAsia" w:cs="Times New Roman"/>
          <w:i/>
          <w:iCs/>
          <w:szCs w:val="22"/>
        </w:rPr>
        <w:t>for purchase intention in instant coffee industry?</w:t>
      </w:r>
    </w:p>
    <w:p w14:paraId="04BCE085" w14:textId="55DDC3E6" w:rsidR="008D4574" w:rsidRPr="00915260" w:rsidRDefault="00A96AEA" w:rsidP="004F76CE">
      <w:pPr>
        <w:pStyle w:val="ListParagraph"/>
        <w:numPr>
          <w:ilvl w:val="0"/>
          <w:numId w:val="3"/>
        </w:numPr>
        <w:spacing w:line="360" w:lineRule="auto"/>
        <w:jc w:val="both"/>
        <w:rPr>
          <w:rFonts w:eastAsiaTheme="majorEastAsia" w:cs="Times New Roman"/>
          <w:i/>
          <w:iCs/>
          <w:szCs w:val="22"/>
        </w:rPr>
      </w:pPr>
      <w:r w:rsidRPr="00915260">
        <w:rPr>
          <w:rFonts w:eastAsiaTheme="majorEastAsia" w:cs="Times New Roman"/>
          <w:i/>
          <w:iCs/>
          <w:szCs w:val="22"/>
        </w:rPr>
        <w:t>What practical recommendations can be made to Nestlé regarding Nescafé instant coffee to effectively enhance its market presence in Hong Kong?</w:t>
      </w:r>
    </w:p>
    <w:p w14:paraId="10DE7915" w14:textId="77777777" w:rsidR="00C9005E" w:rsidRPr="00915260" w:rsidRDefault="00C9005E" w:rsidP="004F76CE">
      <w:pPr>
        <w:spacing w:line="360" w:lineRule="auto"/>
        <w:jc w:val="both"/>
        <w:rPr>
          <w:rFonts w:eastAsiaTheme="majorEastAsia" w:cs="Times New Roman"/>
          <w:szCs w:val="22"/>
        </w:rPr>
      </w:pPr>
    </w:p>
    <w:p w14:paraId="006F73DF" w14:textId="5EBC9FA8" w:rsidR="003D06D9" w:rsidRPr="00915260" w:rsidRDefault="006A464C" w:rsidP="004F76CE">
      <w:pPr>
        <w:pStyle w:val="Heading2"/>
        <w:numPr>
          <w:ilvl w:val="1"/>
          <w:numId w:val="5"/>
        </w:numPr>
        <w:spacing w:line="360" w:lineRule="auto"/>
        <w:ind w:left="450"/>
        <w:rPr>
          <w:rFonts w:cs="Times New Roman"/>
          <w:b/>
          <w:bCs/>
          <w:sz w:val="22"/>
          <w:szCs w:val="22"/>
        </w:rPr>
      </w:pPr>
      <w:bookmarkStart w:id="15" w:name="_Toc209184646"/>
      <w:bookmarkStart w:id="16" w:name="_Toc213748897"/>
      <w:r w:rsidRPr="00915260">
        <w:rPr>
          <w:rFonts w:cs="Times New Roman"/>
          <w:b/>
          <w:bCs/>
          <w:sz w:val="22"/>
          <w:szCs w:val="22"/>
        </w:rPr>
        <w:t>Research Aims and Objectives</w:t>
      </w:r>
      <w:bookmarkEnd w:id="15"/>
      <w:bookmarkEnd w:id="16"/>
    </w:p>
    <w:p w14:paraId="3874BEBD" w14:textId="45F05D5C" w:rsidR="00E544ED" w:rsidRPr="00915260" w:rsidRDefault="00381948" w:rsidP="004F76CE">
      <w:pPr>
        <w:spacing w:line="360" w:lineRule="auto"/>
        <w:jc w:val="both"/>
        <w:rPr>
          <w:rFonts w:eastAsiaTheme="majorEastAsia" w:cs="Times New Roman"/>
          <w:szCs w:val="22"/>
        </w:rPr>
      </w:pPr>
      <w:r w:rsidRPr="00381948">
        <w:rPr>
          <w:rFonts w:eastAsiaTheme="majorEastAsia" w:cs="Times New Roman"/>
          <w:szCs w:val="22"/>
        </w:rPr>
        <w:t>Given the dynamic intersection of digitalization and sustainability in Hong Kong, this research further distinguishes by addressing</w:t>
      </w:r>
      <w:r>
        <w:rPr>
          <w:rFonts w:eastAsiaTheme="majorEastAsia" w:cs="Times New Roman" w:hint="eastAsia"/>
          <w:szCs w:val="22"/>
        </w:rPr>
        <w:t xml:space="preserve"> </w:t>
      </w:r>
      <w:r w:rsidR="003825B9">
        <w:rPr>
          <w:rFonts w:eastAsiaTheme="majorEastAsia" w:cs="Times New Roman" w:hint="eastAsia"/>
          <w:szCs w:val="22"/>
        </w:rPr>
        <w:t>the factors</w:t>
      </w:r>
      <w:r w:rsidRPr="00381948">
        <w:rPr>
          <w:rFonts w:eastAsiaTheme="majorEastAsia" w:cs="Times New Roman"/>
          <w:szCs w:val="22"/>
        </w:rPr>
        <w:t xml:space="preserve"> to affect purchase intention in the instant coffee segment. The study’s contribution lies in </w:t>
      </w:r>
      <w:r w:rsidRPr="00381948">
        <w:rPr>
          <w:rFonts w:eastAsiaTheme="majorEastAsia" w:cs="Times New Roman"/>
          <w:szCs w:val="22"/>
        </w:rPr>
        <w:lastRenderedPageBreak/>
        <w:t>its comprehensive investigation of these variables</w:t>
      </w:r>
      <w:r w:rsidR="003825B9">
        <w:rPr>
          <w:rFonts w:eastAsiaTheme="majorEastAsia" w:cs="Times New Roman" w:hint="eastAsia"/>
          <w:szCs w:val="22"/>
        </w:rPr>
        <w:t xml:space="preserve"> including </w:t>
      </w:r>
      <w:r w:rsidRPr="00381948">
        <w:rPr>
          <w:rFonts w:eastAsiaTheme="majorEastAsia" w:cs="Times New Roman"/>
          <w:szCs w:val="22"/>
        </w:rPr>
        <w:t>social media marketing</w:t>
      </w:r>
      <w:r w:rsidR="003825B9">
        <w:rPr>
          <w:rFonts w:eastAsiaTheme="majorEastAsia" w:cs="Times New Roman" w:hint="eastAsia"/>
          <w:szCs w:val="22"/>
        </w:rPr>
        <w:t xml:space="preserve"> activities</w:t>
      </w:r>
      <w:r w:rsidRPr="00381948">
        <w:rPr>
          <w:rFonts w:eastAsiaTheme="majorEastAsia" w:cs="Times New Roman"/>
          <w:szCs w:val="22"/>
        </w:rPr>
        <w:t>, sustainability, environmental conscious, and brand trust</w:t>
      </w:r>
      <w:r w:rsidR="003825B9">
        <w:rPr>
          <w:rFonts w:eastAsiaTheme="majorEastAsia" w:cs="Times New Roman" w:hint="eastAsia"/>
          <w:szCs w:val="22"/>
        </w:rPr>
        <w:t xml:space="preserve"> </w:t>
      </w:r>
      <w:r w:rsidRPr="00381948">
        <w:rPr>
          <w:rFonts w:eastAsiaTheme="majorEastAsia" w:cs="Times New Roman"/>
          <w:szCs w:val="22"/>
        </w:rPr>
        <w:t xml:space="preserve">within Hong Kong’s unique cultural and digital milieu. Such insights are crucial for brands pursuing sustained relevance in local </w:t>
      </w:r>
      <w:r w:rsidR="003825B9">
        <w:rPr>
          <w:rFonts w:eastAsiaTheme="majorEastAsia" w:cs="Times New Roman" w:hint="eastAsia"/>
          <w:szCs w:val="22"/>
        </w:rPr>
        <w:t>instant</w:t>
      </w:r>
      <w:r w:rsidRPr="00381948">
        <w:rPr>
          <w:rFonts w:eastAsiaTheme="majorEastAsia" w:cs="Times New Roman"/>
          <w:szCs w:val="22"/>
        </w:rPr>
        <w:t xml:space="preserve"> coffee markets while navigating increased scrutiny around green marketing and digital engagement strategies.</w:t>
      </w:r>
      <w:r>
        <w:rPr>
          <w:rFonts w:eastAsiaTheme="majorEastAsia" w:cs="Times New Roman" w:hint="eastAsia"/>
          <w:szCs w:val="22"/>
        </w:rPr>
        <w:t xml:space="preserve"> </w:t>
      </w:r>
      <w:r w:rsidR="00E544ED" w:rsidRPr="00915260">
        <w:rPr>
          <w:rFonts w:eastAsiaTheme="majorEastAsia" w:cs="Times New Roman"/>
          <w:szCs w:val="22"/>
        </w:rPr>
        <w:t>This research aims to comprehensively examine the relative impact of brand authenticity, sustainability practices, and evolving cultural trends on consumers’ purchase intentions toward Nescafé, a leading instant coffee brand in Hong Kong’s dynamic coffee market.</w:t>
      </w:r>
      <w:r w:rsidR="00F934AC" w:rsidRPr="00915260">
        <w:rPr>
          <w:rFonts w:cs="Times New Roman"/>
          <w:szCs w:val="22"/>
        </w:rPr>
        <w:t xml:space="preserve"> </w:t>
      </w:r>
      <w:r w:rsidR="00F934AC" w:rsidRPr="00915260">
        <w:rPr>
          <w:rFonts w:eastAsiaTheme="majorEastAsia" w:cs="Times New Roman"/>
          <w:szCs w:val="22"/>
        </w:rPr>
        <w:t>Motivated by the city’s transformation, characterized by experiential consumption, social media</w:t>
      </w:r>
      <w:r w:rsidR="00B45C2B" w:rsidRPr="00915260">
        <w:rPr>
          <w:rFonts w:eastAsiaTheme="majorEastAsia" w:cs="Times New Roman"/>
          <w:szCs w:val="22"/>
        </w:rPr>
        <w:t xml:space="preserve"> marketing</w:t>
      </w:r>
      <w:r w:rsidR="00F934AC" w:rsidRPr="00915260">
        <w:rPr>
          <w:rFonts w:eastAsiaTheme="majorEastAsia" w:cs="Times New Roman"/>
          <w:szCs w:val="22"/>
        </w:rPr>
        <w:t xml:space="preserve"> activities engagement, and environmental conscious</w:t>
      </w:r>
      <w:r w:rsidR="00B45C2B" w:rsidRPr="00915260">
        <w:rPr>
          <w:rFonts w:eastAsiaTheme="majorEastAsia" w:cs="Times New Roman"/>
          <w:szCs w:val="22"/>
        </w:rPr>
        <w:t xml:space="preserve"> and sustainability, </w:t>
      </w:r>
      <w:r w:rsidR="00F934AC" w:rsidRPr="00915260">
        <w:rPr>
          <w:rFonts w:eastAsiaTheme="majorEastAsia" w:cs="Times New Roman"/>
          <w:szCs w:val="22"/>
        </w:rPr>
        <w:t xml:space="preserve">this study seeks to </w:t>
      </w:r>
      <w:r w:rsidR="00775958">
        <w:rPr>
          <w:rFonts w:eastAsiaTheme="majorEastAsia" w:cs="Times New Roman" w:hint="eastAsia"/>
          <w:szCs w:val="22"/>
        </w:rPr>
        <w:t>tailor for Hong Kong market</w:t>
      </w:r>
      <w:r w:rsidR="00F934AC" w:rsidRPr="00915260">
        <w:rPr>
          <w:rFonts w:eastAsiaTheme="majorEastAsia" w:cs="Times New Roman"/>
          <w:szCs w:val="22"/>
        </w:rPr>
        <w:t xml:space="preserve"> on how these critical factors influence preference formation within the commoditized instant coffee segment. Understanding these influences is essential for crafting brand strategies that resonate with Hong Kong’s increasingly sophisticated and ethically minded consumers.</w:t>
      </w:r>
      <w:r w:rsidR="00320784" w:rsidRPr="00915260">
        <w:rPr>
          <w:rFonts w:eastAsiaTheme="majorEastAsia" w:cs="Times New Roman"/>
          <w:szCs w:val="22"/>
        </w:rPr>
        <w:t xml:space="preserve"> The research objectives are structured to systematically investigate this broad aim by breaking it down into measurable and achievable goals. </w:t>
      </w:r>
      <w:r w:rsidR="00840D75" w:rsidRPr="00915260">
        <w:rPr>
          <w:rFonts w:eastAsiaTheme="majorEastAsia" w:cs="Times New Roman"/>
          <w:szCs w:val="22"/>
        </w:rPr>
        <w:t>This</w:t>
      </w:r>
      <w:r w:rsidR="00320784" w:rsidRPr="00915260">
        <w:rPr>
          <w:rFonts w:eastAsiaTheme="majorEastAsia" w:cs="Times New Roman"/>
          <w:szCs w:val="22"/>
        </w:rPr>
        <w:t xml:space="preserve"> research will analyze key variables relationship with purchase intention, consumer perceptions of brand authenticity in the context of Nescafé, exploring how transparency, consistency, and genuine brand engagement affect consumer trust and loyalty. This objective addresses the documented rise in consumer demand for authentic brands that offer credibility and trustworthy narratives, a key concern given that 88% of Hong Kong consumers prioritize perceived genuineness in purchasing decisions</w:t>
      </w:r>
      <w:r w:rsidR="000F2FB1" w:rsidRPr="00915260">
        <w:rPr>
          <w:rFonts w:eastAsiaTheme="majorEastAsia" w:cs="Times New Roman"/>
          <w:szCs w:val="22"/>
        </w:rPr>
        <w:t xml:space="preserve"> (</w:t>
      </w:r>
      <w:proofErr w:type="spellStart"/>
      <w:r w:rsidR="000F2FB1" w:rsidRPr="00915260">
        <w:rPr>
          <w:rFonts w:eastAsiaTheme="majorEastAsia" w:cs="Times New Roman"/>
          <w:szCs w:val="22"/>
        </w:rPr>
        <w:t>BlueBell</w:t>
      </w:r>
      <w:proofErr w:type="spellEnd"/>
      <w:r w:rsidR="000F2FB1" w:rsidRPr="00915260">
        <w:rPr>
          <w:rFonts w:eastAsiaTheme="majorEastAsia" w:cs="Times New Roman"/>
          <w:szCs w:val="22"/>
        </w:rPr>
        <w:t>, 2025)</w:t>
      </w:r>
      <w:r w:rsidR="00320784" w:rsidRPr="00915260">
        <w:rPr>
          <w:rFonts w:eastAsiaTheme="majorEastAsia" w:cs="Times New Roman"/>
          <w:szCs w:val="22"/>
        </w:rPr>
        <w:t>.</w:t>
      </w:r>
    </w:p>
    <w:p w14:paraId="038FFA78" w14:textId="7D22BB34" w:rsidR="00A13C6C" w:rsidRPr="00915260" w:rsidRDefault="00EB4457" w:rsidP="004F76CE">
      <w:pPr>
        <w:spacing w:line="360" w:lineRule="auto"/>
        <w:jc w:val="both"/>
        <w:rPr>
          <w:rFonts w:eastAsiaTheme="majorEastAsia" w:cs="Times New Roman"/>
          <w:szCs w:val="22"/>
        </w:rPr>
      </w:pPr>
      <w:r w:rsidRPr="00915260">
        <w:rPr>
          <w:rFonts w:eastAsiaTheme="majorEastAsia" w:cs="Times New Roman"/>
          <w:szCs w:val="22"/>
        </w:rPr>
        <w:t xml:space="preserve">This study explores the key factors that drive consumers' purchase intentions for instant coffee in Hong Kong.  By examining Nescafé's strategic approaches to expanding its consumer base, it </w:t>
      </w:r>
      <w:r w:rsidR="0090257A" w:rsidRPr="00915260">
        <w:rPr>
          <w:rFonts w:eastAsiaTheme="majorEastAsia" w:cs="Times New Roman"/>
          <w:szCs w:val="22"/>
        </w:rPr>
        <w:t>aims</w:t>
      </w:r>
      <w:r w:rsidRPr="00915260">
        <w:rPr>
          <w:rFonts w:eastAsiaTheme="majorEastAsia" w:cs="Times New Roman"/>
          <w:szCs w:val="22"/>
        </w:rPr>
        <w:t xml:space="preserve"> to uncover effective methods for business growth in this competitive market.</w:t>
      </w:r>
    </w:p>
    <w:p w14:paraId="77F3EF4A" w14:textId="263B4728" w:rsidR="00EB4457" w:rsidRPr="00915260" w:rsidRDefault="00EB4457" w:rsidP="004F76CE">
      <w:pPr>
        <w:pStyle w:val="ListParagraph"/>
        <w:numPr>
          <w:ilvl w:val="0"/>
          <w:numId w:val="7"/>
        </w:numPr>
        <w:spacing w:line="360" w:lineRule="auto"/>
        <w:jc w:val="both"/>
        <w:rPr>
          <w:rFonts w:cs="Times New Roman"/>
          <w:i/>
          <w:iCs/>
          <w:szCs w:val="22"/>
        </w:rPr>
      </w:pPr>
      <w:r w:rsidRPr="00915260">
        <w:rPr>
          <w:rFonts w:cs="Times New Roman"/>
          <w:i/>
          <w:iCs/>
          <w:szCs w:val="22"/>
        </w:rPr>
        <w:t>To identify and analyze the key factors that contribute for purchase intention for instant coffee brands in Hong Kong</w:t>
      </w:r>
      <w:r w:rsidR="000E65F8" w:rsidRPr="00915260">
        <w:rPr>
          <w:rFonts w:cs="Times New Roman"/>
          <w:i/>
          <w:iCs/>
          <w:szCs w:val="22"/>
        </w:rPr>
        <w:t>.</w:t>
      </w:r>
    </w:p>
    <w:p w14:paraId="6AA0E65D" w14:textId="28E6A381" w:rsidR="00EB4457" w:rsidRPr="00915260" w:rsidRDefault="00EB4457" w:rsidP="004F76CE">
      <w:pPr>
        <w:pStyle w:val="ListParagraph"/>
        <w:numPr>
          <w:ilvl w:val="0"/>
          <w:numId w:val="7"/>
        </w:numPr>
        <w:spacing w:line="360" w:lineRule="auto"/>
        <w:jc w:val="both"/>
        <w:rPr>
          <w:rFonts w:cs="Times New Roman"/>
          <w:i/>
          <w:iCs/>
          <w:szCs w:val="22"/>
        </w:rPr>
      </w:pPr>
      <w:r w:rsidRPr="00915260">
        <w:rPr>
          <w:rFonts w:cs="Times New Roman"/>
          <w:i/>
          <w:iCs/>
          <w:szCs w:val="22"/>
        </w:rPr>
        <w:t xml:space="preserve">To explore the relationships between these factors and </w:t>
      </w:r>
      <w:r w:rsidR="00FE3BEF">
        <w:rPr>
          <w:rFonts w:cs="Times New Roman"/>
          <w:i/>
          <w:iCs/>
          <w:szCs w:val="22"/>
        </w:rPr>
        <w:t>the</w:t>
      </w:r>
      <w:r w:rsidRPr="00915260">
        <w:rPr>
          <w:rFonts w:cs="Times New Roman"/>
          <w:i/>
          <w:iCs/>
          <w:szCs w:val="22"/>
        </w:rPr>
        <w:t xml:space="preserve"> impact on </w:t>
      </w:r>
      <w:r w:rsidR="000E65F8" w:rsidRPr="00915260">
        <w:rPr>
          <w:rFonts w:cs="Times New Roman"/>
          <w:i/>
          <w:iCs/>
          <w:szCs w:val="22"/>
        </w:rPr>
        <w:t>purchase intention.</w:t>
      </w:r>
    </w:p>
    <w:p w14:paraId="53560644" w14:textId="04633F88" w:rsidR="000E65F8" w:rsidRPr="00915260" w:rsidRDefault="000E65F8" w:rsidP="004F76CE">
      <w:pPr>
        <w:pStyle w:val="ListParagraph"/>
        <w:numPr>
          <w:ilvl w:val="0"/>
          <w:numId w:val="7"/>
        </w:numPr>
        <w:spacing w:line="360" w:lineRule="auto"/>
        <w:jc w:val="both"/>
        <w:rPr>
          <w:rFonts w:cs="Times New Roman"/>
          <w:i/>
          <w:iCs/>
          <w:szCs w:val="22"/>
        </w:rPr>
      </w:pPr>
      <w:r w:rsidRPr="00915260">
        <w:rPr>
          <w:rFonts w:cs="Times New Roman"/>
          <w:i/>
          <w:iCs/>
          <w:szCs w:val="22"/>
        </w:rPr>
        <w:t>To provide practical recommendations for Nescafe and similar brands to e</w:t>
      </w:r>
      <w:r w:rsidR="0090257A" w:rsidRPr="00915260">
        <w:rPr>
          <w:rFonts w:cs="Times New Roman"/>
          <w:i/>
          <w:iCs/>
          <w:szCs w:val="22"/>
        </w:rPr>
        <w:t xml:space="preserve">xpand </w:t>
      </w:r>
      <w:r w:rsidR="00A96AEA" w:rsidRPr="00915260">
        <w:rPr>
          <w:rFonts w:cs="Times New Roman"/>
          <w:i/>
          <w:iCs/>
          <w:szCs w:val="22"/>
        </w:rPr>
        <w:t>the customer</w:t>
      </w:r>
      <w:r w:rsidR="0090257A" w:rsidRPr="00915260">
        <w:rPr>
          <w:rFonts w:cs="Times New Roman"/>
          <w:i/>
          <w:iCs/>
          <w:szCs w:val="22"/>
        </w:rPr>
        <w:t xml:space="preserve"> base in the competitive Jong Kong market.</w:t>
      </w:r>
    </w:p>
    <w:p w14:paraId="2036938F" w14:textId="77777777" w:rsidR="0090257A" w:rsidRPr="00915260" w:rsidRDefault="0090257A" w:rsidP="004F76CE">
      <w:pPr>
        <w:spacing w:line="360" w:lineRule="auto"/>
        <w:jc w:val="both"/>
        <w:rPr>
          <w:rFonts w:cs="Times New Roman"/>
          <w:szCs w:val="22"/>
        </w:rPr>
      </w:pPr>
    </w:p>
    <w:p w14:paraId="6C91DC78" w14:textId="794E4E08" w:rsidR="0090257A" w:rsidRPr="00915260" w:rsidRDefault="0090257A" w:rsidP="004F76CE">
      <w:pPr>
        <w:pStyle w:val="Heading2"/>
        <w:numPr>
          <w:ilvl w:val="1"/>
          <w:numId w:val="5"/>
        </w:numPr>
        <w:spacing w:line="360" w:lineRule="auto"/>
        <w:ind w:left="450" w:hanging="450"/>
        <w:rPr>
          <w:rFonts w:cs="Times New Roman"/>
          <w:b/>
          <w:bCs/>
          <w:sz w:val="22"/>
          <w:szCs w:val="22"/>
        </w:rPr>
      </w:pPr>
      <w:bookmarkStart w:id="17" w:name="_Toc209184647"/>
      <w:bookmarkStart w:id="18" w:name="_Toc213748898"/>
      <w:r w:rsidRPr="00915260">
        <w:rPr>
          <w:rFonts w:cs="Times New Roman"/>
          <w:b/>
          <w:bCs/>
          <w:sz w:val="22"/>
          <w:szCs w:val="22"/>
        </w:rPr>
        <w:t xml:space="preserve">Research </w:t>
      </w:r>
      <w:bookmarkEnd w:id="17"/>
      <w:r w:rsidR="00F4166B" w:rsidRPr="00915260">
        <w:rPr>
          <w:rFonts w:cs="Times New Roman"/>
          <w:b/>
          <w:bCs/>
          <w:sz w:val="22"/>
          <w:szCs w:val="22"/>
        </w:rPr>
        <w:t>Limitation</w:t>
      </w:r>
      <w:bookmarkEnd w:id="18"/>
    </w:p>
    <w:p w14:paraId="4C9A54F3" w14:textId="26A0774F" w:rsidR="00F4166B" w:rsidRDefault="00AD631A" w:rsidP="004F76CE">
      <w:pPr>
        <w:spacing w:line="360" w:lineRule="auto"/>
        <w:jc w:val="both"/>
        <w:rPr>
          <w:rFonts w:cs="Times New Roman"/>
          <w:szCs w:val="22"/>
        </w:rPr>
      </w:pPr>
      <w:r w:rsidRPr="00AD631A">
        <w:rPr>
          <w:rFonts w:cs="Times New Roman"/>
          <w:szCs w:val="22"/>
        </w:rPr>
        <w:t>Despite the rigor and relevance of this study, several limitations must be acknowledged, especially given Hong Kong’s market context. A primary constraint arises from the limited availability of comprehensive open-source market information specific to Hong Kong’s instant coffee industry. Much of the publicly accessible data is either aggregated at an Asia-Pacific or global level, or available only through paid proprietary sources, making it challenging to obtain granular, up-to-date statistics tailored to Hong Kong consumer behavior and brand dynamics.</w:t>
      </w:r>
      <w:r w:rsidR="00242C58">
        <w:rPr>
          <w:rFonts w:cs="Times New Roman"/>
          <w:szCs w:val="22"/>
        </w:rPr>
        <w:t xml:space="preserve"> T</w:t>
      </w:r>
      <w:r w:rsidR="00242C58" w:rsidRPr="00242C58">
        <w:rPr>
          <w:rFonts w:cs="Times New Roman"/>
          <w:szCs w:val="22"/>
        </w:rPr>
        <w:t>his research is the first in Hong Kong to empirically examine the combined influence of four independent variables</w:t>
      </w:r>
      <w:r w:rsidR="009C3F4C">
        <w:rPr>
          <w:rFonts w:cs="Times New Roman"/>
          <w:szCs w:val="22"/>
        </w:rPr>
        <w:t xml:space="preserve">, </w:t>
      </w:r>
      <w:r w:rsidR="00242C58" w:rsidRPr="00242C58">
        <w:rPr>
          <w:rFonts w:cs="Times New Roman"/>
          <w:szCs w:val="22"/>
        </w:rPr>
        <w:lastRenderedPageBreak/>
        <w:t>social media marketing activities, environmental consciou</w:t>
      </w:r>
      <w:r w:rsidR="007F2812">
        <w:rPr>
          <w:rFonts w:cs="Times New Roman"/>
          <w:szCs w:val="22"/>
        </w:rPr>
        <w:t>s</w:t>
      </w:r>
      <w:r w:rsidR="00242C58" w:rsidRPr="00242C58">
        <w:rPr>
          <w:rFonts w:cs="Times New Roman"/>
          <w:szCs w:val="22"/>
        </w:rPr>
        <w:t>, sustainability, and brand trust</w:t>
      </w:r>
      <w:r w:rsidR="009C3F4C">
        <w:rPr>
          <w:rFonts w:cs="Times New Roman"/>
          <w:szCs w:val="22"/>
        </w:rPr>
        <w:t xml:space="preserve"> </w:t>
      </w:r>
      <w:r w:rsidR="00242C58" w:rsidRPr="00242C58">
        <w:rPr>
          <w:rFonts w:cs="Times New Roman"/>
          <w:szCs w:val="22"/>
        </w:rPr>
        <w:t>on purchase intention for instant coffee. While global studies have explored these constructs separately, there is a conspicuous lack of academic literature or primary data addressing all four variables together within the unique digital, sustainability-oriented, and culturally hybrid environment of Hong Kong. This novelty underscores both the significance and the boundary of the study: findings may be contextually relevant to Hong Kong in 2025, but not entirely generalizable to other regions, time periods, or alternative product categories.</w:t>
      </w:r>
    </w:p>
    <w:p w14:paraId="484DD827" w14:textId="77777777" w:rsidR="00242C58" w:rsidRPr="00915260" w:rsidRDefault="00242C58" w:rsidP="004F76CE">
      <w:pPr>
        <w:spacing w:line="360" w:lineRule="auto"/>
        <w:jc w:val="both"/>
        <w:rPr>
          <w:rFonts w:cs="Times New Roman"/>
          <w:szCs w:val="22"/>
        </w:rPr>
      </w:pPr>
    </w:p>
    <w:p w14:paraId="188B9F5D" w14:textId="236310CE" w:rsidR="003D06D9" w:rsidRPr="00915260" w:rsidRDefault="003D06D9" w:rsidP="004F76CE">
      <w:pPr>
        <w:pStyle w:val="Heading2"/>
        <w:numPr>
          <w:ilvl w:val="1"/>
          <w:numId w:val="5"/>
        </w:numPr>
        <w:spacing w:line="360" w:lineRule="auto"/>
        <w:ind w:left="450" w:hanging="450"/>
        <w:rPr>
          <w:rFonts w:cs="Times New Roman"/>
          <w:b/>
          <w:bCs/>
          <w:sz w:val="22"/>
          <w:szCs w:val="22"/>
        </w:rPr>
      </w:pPr>
      <w:r w:rsidRPr="00915260">
        <w:rPr>
          <w:rFonts w:cs="Times New Roman"/>
          <w:b/>
          <w:bCs/>
          <w:sz w:val="22"/>
          <w:szCs w:val="22"/>
        </w:rPr>
        <w:t xml:space="preserve"> </w:t>
      </w:r>
      <w:bookmarkStart w:id="19" w:name="_Toc209184648"/>
      <w:bookmarkStart w:id="20" w:name="_Toc213748899"/>
      <w:r w:rsidRPr="00915260">
        <w:rPr>
          <w:rFonts w:cs="Times New Roman"/>
          <w:b/>
          <w:bCs/>
          <w:sz w:val="22"/>
          <w:szCs w:val="22"/>
        </w:rPr>
        <w:t>Concluding Summary</w:t>
      </w:r>
      <w:bookmarkEnd w:id="19"/>
      <w:bookmarkEnd w:id="20"/>
    </w:p>
    <w:p w14:paraId="17515812" w14:textId="21706CAA" w:rsidR="00697BF2" w:rsidRDefault="00697BF2" w:rsidP="00662FAC">
      <w:pPr>
        <w:spacing w:line="360" w:lineRule="auto"/>
        <w:jc w:val="both"/>
        <w:rPr>
          <w:rFonts w:cs="Times New Roman"/>
          <w:szCs w:val="22"/>
        </w:rPr>
      </w:pPr>
      <w:r w:rsidRPr="00697BF2">
        <w:rPr>
          <w:rFonts w:cs="Times New Roman"/>
          <w:szCs w:val="22"/>
        </w:rPr>
        <w:t>Chapter 1 establishes the relevance and academic value of investigating purchase intention for instant coffee in Hong Kong through the intersecting lenses of digital marketing and sustainability ethics. By situating Nescafé within the city’s e-commerce-driven, conscious consumption culture, this study justifies its inquiry into how social media activities build brand trust amid growing environmental awareness. The chapter also positions the research as a timely contribution to both marketing theory and practice</w:t>
      </w:r>
      <w:r w:rsidR="00445ADE">
        <w:rPr>
          <w:rFonts w:cs="Times New Roman"/>
          <w:szCs w:val="22"/>
        </w:rPr>
        <w:t xml:space="preserve">, </w:t>
      </w:r>
      <w:r w:rsidRPr="00697BF2">
        <w:rPr>
          <w:rFonts w:cs="Times New Roman"/>
          <w:szCs w:val="22"/>
        </w:rPr>
        <w:t>delivering actionable insights for FMCG businesses navigating environmentally and digitally motivated consumer markets.</w:t>
      </w:r>
    </w:p>
    <w:p w14:paraId="5B35D4C2" w14:textId="7FD7E369" w:rsidR="008751A0" w:rsidRPr="00915260" w:rsidRDefault="00C00F16" w:rsidP="00662FAC">
      <w:pPr>
        <w:spacing w:line="360" w:lineRule="auto"/>
        <w:jc w:val="both"/>
        <w:rPr>
          <w:rFonts w:cs="Times New Roman"/>
          <w:szCs w:val="22"/>
        </w:rPr>
      </w:pPr>
      <w:r w:rsidRPr="00915260">
        <w:rPr>
          <w:rFonts w:cs="Times New Roman"/>
          <w:szCs w:val="22"/>
        </w:rPr>
        <w:t>The following chapter will examine the theoretical frameworks and literature underpinning this research. It will critically review concepts related to social media marketing activities, environmental conscious, sustainability, and brand trust, and will synthesize these into a coherent conceptual framework aimed at guiding strategic actions for Nescafé to expand its customer base and boost consumption in Hong Kong.</w:t>
      </w:r>
    </w:p>
    <w:p w14:paraId="16123ADA" w14:textId="77777777" w:rsidR="008751A0" w:rsidRPr="00915260" w:rsidRDefault="008751A0" w:rsidP="004F76CE">
      <w:pPr>
        <w:spacing w:line="360" w:lineRule="auto"/>
        <w:rPr>
          <w:rFonts w:cs="Times New Roman"/>
          <w:szCs w:val="22"/>
        </w:rPr>
      </w:pPr>
      <w:r w:rsidRPr="00915260">
        <w:rPr>
          <w:rFonts w:cs="Times New Roman"/>
          <w:szCs w:val="22"/>
        </w:rPr>
        <w:br w:type="page"/>
      </w:r>
    </w:p>
    <w:p w14:paraId="56B5D221" w14:textId="1FAD6FB5" w:rsidR="0089684D" w:rsidRPr="00915260" w:rsidRDefault="008751A0" w:rsidP="004F76CE">
      <w:pPr>
        <w:pStyle w:val="Heading"/>
        <w:numPr>
          <w:ilvl w:val="0"/>
          <w:numId w:val="5"/>
        </w:numPr>
        <w:spacing w:line="360" w:lineRule="auto"/>
        <w:jc w:val="both"/>
        <w:rPr>
          <w:rFonts w:cs="Times New Roman"/>
          <w:szCs w:val="28"/>
        </w:rPr>
      </w:pPr>
      <w:bookmarkStart w:id="21" w:name="_Toc209184649"/>
      <w:bookmarkStart w:id="22" w:name="_Toc213748900"/>
      <w:r w:rsidRPr="00915260">
        <w:rPr>
          <w:rFonts w:cs="Times New Roman"/>
          <w:szCs w:val="28"/>
        </w:rPr>
        <w:lastRenderedPageBreak/>
        <w:t>Literature Review</w:t>
      </w:r>
      <w:bookmarkEnd w:id="21"/>
      <w:bookmarkEnd w:id="22"/>
    </w:p>
    <w:p w14:paraId="6753BC7B" w14:textId="596AF360" w:rsidR="008751A0" w:rsidRPr="00915260" w:rsidRDefault="006505DA" w:rsidP="004F76CE">
      <w:pPr>
        <w:spacing w:line="360" w:lineRule="auto"/>
        <w:jc w:val="both"/>
        <w:rPr>
          <w:rFonts w:cs="Times New Roman"/>
          <w:szCs w:val="22"/>
        </w:rPr>
      </w:pPr>
      <w:r w:rsidRPr="00915260">
        <w:rPr>
          <w:rFonts w:cs="Times New Roman"/>
          <w:szCs w:val="22"/>
        </w:rPr>
        <w:t>This chapter offers an in-depth exploration of the fundamental concepts and theoretical frameworks that form the backbone of this research. It provides a critical analysis of social media marketing activities, environmental conscious, sustainability, brand trust, and purchase intention. By dissecting the connections between these vital constructs, the chapter builds a compelling conceptual framework to enhance the understanding and impact of this study.</w:t>
      </w:r>
    </w:p>
    <w:p w14:paraId="006DDEE3" w14:textId="77777777" w:rsidR="00664FE3" w:rsidRPr="00915260" w:rsidRDefault="00664FE3" w:rsidP="004F76CE">
      <w:pPr>
        <w:spacing w:line="360" w:lineRule="auto"/>
        <w:jc w:val="both"/>
        <w:rPr>
          <w:rFonts w:cs="Times New Roman"/>
          <w:szCs w:val="22"/>
        </w:rPr>
      </w:pPr>
    </w:p>
    <w:p w14:paraId="76B327C1" w14:textId="6EE29869" w:rsidR="00137300" w:rsidRPr="00915260" w:rsidRDefault="00137300" w:rsidP="004F76CE">
      <w:pPr>
        <w:pStyle w:val="Heading2"/>
        <w:numPr>
          <w:ilvl w:val="1"/>
          <w:numId w:val="5"/>
        </w:numPr>
        <w:spacing w:line="360" w:lineRule="auto"/>
        <w:ind w:left="450" w:hanging="450"/>
        <w:rPr>
          <w:rFonts w:cs="Times New Roman"/>
          <w:b/>
          <w:bCs/>
          <w:sz w:val="22"/>
          <w:szCs w:val="22"/>
        </w:rPr>
      </w:pPr>
      <w:r w:rsidRPr="00915260">
        <w:rPr>
          <w:rFonts w:cs="Times New Roman"/>
          <w:b/>
          <w:bCs/>
          <w:sz w:val="22"/>
          <w:szCs w:val="22"/>
        </w:rPr>
        <w:t xml:space="preserve"> </w:t>
      </w:r>
      <w:bookmarkStart w:id="23" w:name="_Toc209184650"/>
      <w:bookmarkStart w:id="24" w:name="_Toc213748901"/>
      <w:r w:rsidRPr="00915260">
        <w:rPr>
          <w:rFonts w:cs="Times New Roman"/>
          <w:b/>
          <w:bCs/>
          <w:sz w:val="22"/>
          <w:szCs w:val="22"/>
        </w:rPr>
        <w:t>Social Media Marketing Activities</w:t>
      </w:r>
      <w:bookmarkEnd w:id="23"/>
      <w:bookmarkEnd w:id="24"/>
    </w:p>
    <w:p w14:paraId="1F32DFC5" w14:textId="1725F00B" w:rsidR="003460C4" w:rsidRDefault="003460C4" w:rsidP="00915260">
      <w:pPr>
        <w:pStyle w:val="ListParagraph"/>
        <w:spacing w:line="360" w:lineRule="auto"/>
        <w:ind w:left="0"/>
        <w:jc w:val="both"/>
        <w:rPr>
          <w:rFonts w:cs="Times New Roman"/>
          <w:szCs w:val="22"/>
        </w:rPr>
      </w:pPr>
      <w:r w:rsidRPr="00915260">
        <w:rPr>
          <w:rFonts w:cs="Times New Roman"/>
          <w:szCs w:val="22"/>
        </w:rPr>
        <w:t>Social Media Marketing Activities (SMMA) refer to strategic, interactive, and consumer-engaging actions that brands perform across social platforms to promote awareness, foster relationships, and influence purchase behavior.</w:t>
      </w:r>
    </w:p>
    <w:p w14:paraId="1B88854B" w14:textId="77777777" w:rsidR="00D81D69" w:rsidRPr="00915260" w:rsidRDefault="00D81D69" w:rsidP="00915260">
      <w:pPr>
        <w:pStyle w:val="ListParagraph"/>
        <w:spacing w:line="360" w:lineRule="auto"/>
        <w:ind w:left="0"/>
        <w:jc w:val="both"/>
        <w:rPr>
          <w:szCs w:val="22"/>
        </w:rPr>
      </w:pPr>
    </w:p>
    <w:p w14:paraId="587BFC19" w14:textId="328762FC" w:rsidR="00137300" w:rsidRPr="00915260" w:rsidRDefault="004B0125" w:rsidP="004F76CE">
      <w:pPr>
        <w:pStyle w:val="Heading2"/>
        <w:numPr>
          <w:ilvl w:val="2"/>
          <w:numId w:val="5"/>
        </w:numPr>
        <w:spacing w:line="360" w:lineRule="auto"/>
        <w:rPr>
          <w:rFonts w:cs="Times New Roman"/>
          <w:b/>
          <w:bCs/>
          <w:sz w:val="22"/>
          <w:szCs w:val="22"/>
        </w:rPr>
      </w:pPr>
      <w:bookmarkStart w:id="25" w:name="_Toc213748902"/>
      <w:r w:rsidRPr="00915260">
        <w:rPr>
          <w:rFonts w:cs="Times New Roman"/>
          <w:b/>
          <w:bCs/>
          <w:sz w:val="22"/>
          <w:szCs w:val="22"/>
        </w:rPr>
        <w:t>Definition of Social Media Marketing Activities (SMMA)</w:t>
      </w:r>
      <w:bookmarkEnd w:id="25"/>
    </w:p>
    <w:p w14:paraId="1FA0036D" w14:textId="3D4C64AC" w:rsidR="00A93ACA" w:rsidRPr="00A93ACA" w:rsidRDefault="00A93ACA" w:rsidP="00A93ACA">
      <w:pPr>
        <w:spacing w:line="360" w:lineRule="auto"/>
        <w:ind w:left="720"/>
        <w:jc w:val="both"/>
        <w:rPr>
          <w:rFonts w:cs="Times New Roman"/>
          <w:szCs w:val="22"/>
        </w:rPr>
      </w:pPr>
      <w:r w:rsidRPr="00A93ACA">
        <w:rPr>
          <w:rFonts w:cs="Times New Roman"/>
          <w:szCs w:val="22"/>
        </w:rPr>
        <w:t xml:space="preserve">Social media marketing activities (SMMA) refer to the strategic actions that brands use on digital platforms to engage, interact, and build relationships with consumers. According to Kim &amp; Ko (2012), SMMA are defined as </w:t>
      </w:r>
      <w:r w:rsidR="00E673CB">
        <w:rPr>
          <w:rFonts w:cs="Times New Roman"/>
          <w:szCs w:val="22"/>
        </w:rPr>
        <w:t>a</w:t>
      </w:r>
      <w:r w:rsidR="00E673CB" w:rsidRPr="00E673CB">
        <w:rPr>
          <w:rFonts w:cs="Times New Roman"/>
          <w:szCs w:val="22"/>
        </w:rPr>
        <w:t>n integrated pattern of activities designed to achieve marketing goals by enhancing online interoperability between brands and consumers</w:t>
      </w:r>
      <w:r w:rsidR="00E673CB">
        <w:rPr>
          <w:rFonts w:cs="Times New Roman"/>
          <w:szCs w:val="22"/>
        </w:rPr>
        <w:t>, the</w:t>
      </w:r>
      <w:r w:rsidRPr="00A93ACA">
        <w:rPr>
          <w:rFonts w:cs="Times New Roman"/>
          <w:szCs w:val="22"/>
        </w:rPr>
        <w:t xml:space="preserve"> activities encompassing entertainment, interaction, trendiness, customization, and word-of-mouth within a social media setting, particularly examined in the context of luxury fashion brands. </w:t>
      </w:r>
      <w:r w:rsidR="006803E4">
        <w:rPr>
          <w:rFonts w:cs="Times New Roman" w:hint="eastAsia"/>
          <w:szCs w:val="22"/>
        </w:rPr>
        <w:t xml:space="preserve">The </w:t>
      </w:r>
      <w:r w:rsidR="00D942B0">
        <w:rPr>
          <w:rFonts w:cs="Times New Roman"/>
          <w:szCs w:val="22"/>
        </w:rPr>
        <w:t>constructs</w:t>
      </w:r>
      <w:r w:rsidR="006803E4">
        <w:rPr>
          <w:rFonts w:cs="Times New Roman" w:hint="eastAsia"/>
          <w:szCs w:val="22"/>
        </w:rPr>
        <w:t xml:space="preserve"> </w:t>
      </w:r>
      <w:r w:rsidRPr="00A93ACA">
        <w:rPr>
          <w:rFonts w:cs="Times New Roman"/>
          <w:szCs w:val="22"/>
        </w:rPr>
        <w:t>highlight how social media is used not just to inform, but to build value-driven relationships and encourage customer advocacy.​</w:t>
      </w:r>
    </w:p>
    <w:p w14:paraId="7A914AA1" w14:textId="01F96C0C" w:rsidR="00A93ACA" w:rsidRPr="00A93ACA" w:rsidRDefault="00A93ACA" w:rsidP="00A93ACA">
      <w:pPr>
        <w:spacing w:line="360" w:lineRule="auto"/>
        <w:ind w:left="720"/>
        <w:jc w:val="both"/>
        <w:rPr>
          <w:rFonts w:cs="Times New Roman"/>
          <w:szCs w:val="22"/>
        </w:rPr>
      </w:pPr>
      <w:r w:rsidRPr="00A93ACA">
        <w:rPr>
          <w:rFonts w:cs="Times New Roman"/>
          <w:szCs w:val="22"/>
        </w:rPr>
        <w:t>Carr and Hayes (2015) contributed to the conceptualization of SMMAs by emphasizing digital technologies that facilitate user interaction, user-generated content, and real-time communication, rooted in the ideologies of Web 2.0. The definition stresses the interactive and collaborative nature of social media platforms, which distinguish from traditional media channels by fostering engagement and peer-influenced decision-making through shared content and immediate feedback.​</w:t>
      </w:r>
    </w:p>
    <w:p w14:paraId="687D0B7D" w14:textId="7B68CD78" w:rsidR="00915260" w:rsidRDefault="00A93ACA" w:rsidP="00A93ACA">
      <w:pPr>
        <w:spacing w:line="360" w:lineRule="auto"/>
        <w:ind w:left="720"/>
        <w:jc w:val="both"/>
        <w:rPr>
          <w:rFonts w:cs="Times New Roman"/>
          <w:szCs w:val="22"/>
        </w:rPr>
      </w:pPr>
      <w:r w:rsidRPr="00A93ACA">
        <w:rPr>
          <w:rFonts w:cs="Times New Roman"/>
          <w:szCs w:val="22"/>
        </w:rPr>
        <w:t xml:space="preserve">Building on </w:t>
      </w:r>
      <w:r w:rsidR="006803E4">
        <w:rPr>
          <w:rFonts w:cs="Times New Roman" w:hint="eastAsia"/>
          <w:szCs w:val="22"/>
        </w:rPr>
        <w:t>the</w:t>
      </w:r>
      <w:r w:rsidRPr="00A93ACA">
        <w:rPr>
          <w:rFonts w:cs="Times New Roman"/>
          <w:szCs w:val="22"/>
        </w:rPr>
        <w:t xml:space="preserve"> perspectives, Hayes (2025) takes a more contemporary approach by defining SMMAs as the practice of using platforms like Instagram, Facebook, TikTok, and others to connect with audiences and cultivate brand recognition through genuine engagement, consistent content creation, and data-driven strategies. Hayes emphasizes that effective SMMA in 2025 involves not only active presence but also intentional, consistent actions that foster authentic community connections and support business objectives.</w:t>
      </w:r>
    </w:p>
    <w:p w14:paraId="43F52968" w14:textId="5AB40749" w:rsidR="00B53642" w:rsidRDefault="00F5652B" w:rsidP="00F5652B">
      <w:pPr>
        <w:jc w:val="center"/>
      </w:pPr>
      <w:r w:rsidRPr="00F5652B">
        <w:rPr>
          <w:noProof/>
        </w:rPr>
        <w:lastRenderedPageBreak/>
        <w:drawing>
          <wp:inline distT="0" distB="0" distL="0" distR="0" wp14:anchorId="478859C7" wp14:editId="0DCCAB83">
            <wp:extent cx="5170726" cy="2187615"/>
            <wp:effectExtent l="0" t="0" r="0" b="3175"/>
            <wp:docPr id="1260931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931850" name=""/>
                    <pic:cNvPicPr/>
                  </pic:nvPicPr>
                  <pic:blipFill>
                    <a:blip r:embed="rId21"/>
                    <a:stretch>
                      <a:fillRect/>
                    </a:stretch>
                  </pic:blipFill>
                  <pic:spPr>
                    <a:xfrm>
                      <a:off x="0" y="0"/>
                      <a:ext cx="5177228" cy="2190366"/>
                    </a:xfrm>
                    <a:prstGeom prst="rect">
                      <a:avLst/>
                    </a:prstGeom>
                  </pic:spPr>
                </pic:pic>
              </a:graphicData>
            </a:graphic>
          </wp:inline>
        </w:drawing>
      </w:r>
    </w:p>
    <w:p w14:paraId="65E65EA7" w14:textId="77777777" w:rsidR="00D81D69" w:rsidRDefault="00D81D69" w:rsidP="00F5652B">
      <w:pPr>
        <w:jc w:val="center"/>
      </w:pPr>
    </w:p>
    <w:p w14:paraId="19DD07F1" w14:textId="0185CB9B" w:rsidR="00B917CE" w:rsidRDefault="00B917CE" w:rsidP="00B917CE">
      <w:pPr>
        <w:pStyle w:val="Heading2"/>
        <w:numPr>
          <w:ilvl w:val="2"/>
          <w:numId w:val="5"/>
        </w:numPr>
        <w:spacing w:line="360" w:lineRule="auto"/>
        <w:rPr>
          <w:rFonts w:cs="Times New Roman"/>
          <w:b/>
          <w:bCs/>
          <w:sz w:val="22"/>
          <w:szCs w:val="22"/>
        </w:rPr>
      </w:pPr>
      <w:r w:rsidRPr="00B917CE">
        <w:rPr>
          <w:rFonts w:cs="Times New Roman"/>
          <w:b/>
          <w:bCs/>
          <w:sz w:val="22"/>
          <w:szCs w:val="22"/>
        </w:rPr>
        <w:tab/>
      </w:r>
      <w:bookmarkStart w:id="26" w:name="_Toc213748903"/>
      <w:r w:rsidRPr="00B917CE">
        <w:rPr>
          <w:rFonts w:cs="Times New Roman"/>
          <w:b/>
          <w:bCs/>
          <w:sz w:val="22"/>
          <w:szCs w:val="22"/>
        </w:rPr>
        <w:t>Measurement of Social Media Marketing Activities</w:t>
      </w:r>
      <w:bookmarkEnd w:id="26"/>
    </w:p>
    <w:p w14:paraId="3272E399" w14:textId="544967E1" w:rsidR="007303E4" w:rsidRDefault="007303E4" w:rsidP="007303E4">
      <w:pPr>
        <w:spacing w:line="360" w:lineRule="auto"/>
        <w:ind w:left="720"/>
        <w:jc w:val="both"/>
      </w:pPr>
      <w:r>
        <w:t xml:space="preserve">The measurement of social media marketing activities (SMMA) is approached differently by various scholars in the literature. Kim &amp; Ko (2012) conceptualize SMMA measurement through five distinct experiential constructs: entertainment, interaction, trendiness, customization, and word-of-mouth. These constructs reflect the diversity that </w:t>
      </w:r>
      <w:r w:rsidR="00CF24CA">
        <w:t>characterizes</w:t>
      </w:r>
      <w:r>
        <w:t xml:space="preserve"> the consumers engagement with branded content on social platforms, ranging from the enjoyment of content to the relevance and personalization of brand communication, as well as the propensity to share brand content within social circles.​</w:t>
      </w:r>
    </w:p>
    <w:p w14:paraId="0D63D599" w14:textId="54C8F58A" w:rsidR="007303E4" w:rsidRDefault="007303E4" w:rsidP="007303E4">
      <w:pPr>
        <w:spacing w:line="360" w:lineRule="auto"/>
        <w:ind w:left="720"/>
        <w:jc w:val="both"/>
      </w:pPr>
      <w:r>
        <w:t>Carr and Hayes (2015) assess SMMA by considering the interactive capabilities and opportunities for user-generated content facilitated by social media platforms. The</w:t>
      </w:r>
      <w:r w:rsidR="00D37D6F">
        <w:rPr>
          <w:rFonts w:hint="eastAsia"/>
        </w:rPr>
        <w:t xml:space="preserve"> </w:t>
      </w:r>
      <w:r>
        <w:t>measurement focuses on factors such as self-presentation, engagement with broad and narrow audiences, and the value users find in sharing and interacting through digital media. These measurements revolve around real-time and asynchronous interactions, emphasizing the perceived presence and communication between users and brands.​</w:t>
      </w:r>
    </w:p>
    <w:p w14:paraId="48D5EB0D" w14:textId="2E241B50" w:rsidR="0098151B" w:rsidRPr="000B711A" w:rsidRDefault="007303E4" w:rsidP="007303E4">
      <w:pPr>
        <w:spacing w:line="360" w:lineRule="auto"/>
        <w:ind w:left="720"/>
        <w:jc w:val="both"/>
      </w:pPr>
      <w:r>
        <w:t>Hayes (2025) advances SMMA measurement by highlighting the importance of authentic engagement, community-building, and the sustained impact of brand actions on social media audiences. Measurement encompasses how platforms enable brands to create and deliver marketing messages that capture attention, foster ongoing engagement, and cultivate meaningful relationships, focusing on metrics like engagement rates, sentiment, and conversion as indicative of marketing effectiveness.</w:t>
      </w:r>
    </w:p>
    <w:p w14:paraId="02218D08" w14:textId="7DE73E65" w:rsidR="00431D70" w:rsidRDefault="00431D70">
      <w:r>
        <w:br w:type="page"/>
      </w:r>
    </w:p>
    <w:p w14:paraId="04A7D139" w14:textId="21AA72A2" w:rsidR="00B14D5F" w:rsidRDefault="0071421D" w:rsidP="0071421D">
      <w:pPr>
        <w:ind w:left="720"/>
      </w:pPr>
      <w:r w:rsidRPr="0071421D">
        <w:rPr>
          <w:noProof/>
        </w:rPr>
        <w:lastRenderedPageBreak/>
        <w:drawing>
          <wp:inline distT="0" distB="0" distL="0" distR="0" wp14:anchorId="22FC7EDB" wp14:editId="201BC420">
            <wp:extent cx="5562886" cy="3016405"/>
            <wp:effectExtent l="0" t="0" r="0" b="0"/>
            <wp:docPr id="1992179734"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179734" name="Picture 1" descr="A screenshot of a web page&#10;&#10;AI-generated content may be incorrect."/>
                    <pic:cNvPicPr/>
                  </pic:nvPicPr>
                  <pic:blipFill>
                    <a:blip r:embed="rId22"/>
                    <a:stretch>
                      <a:fillRect/>
                    </a:stretch>
                  </pic:blipFill>
                  <pic:spPr>
                    <a:xfrm>
                      <a:off x="0" y="0"/>
                      <a:ext cx="5562886" cy="3016405"/>
                    </a:xfrm>
                    <a:prstGeom prst="rect">
                      <a:avLst/>
                    </a:prstGeom>
                  </pic:spPr>
                </pic:pic>
              </a:graphicData>
            </a:graphic>
          </wp:inline>
        </w:drawing>
      </w:r>
    </w:p>
    <w:p w14:paraId="48DE8CBA" w14:textId="77777777" w:rsidR="0077130C" w:rsidRPr="00B917CE" w:rsidRDefault="0077130C" w:rsidP="00B14D5F">
      <w:pPr>
        <w:ind w:left="720"/>
      </w:pPr>
    </w:p>
    <w:p w14:paraId="631AF7E3" w14:textId="39555650" w:rsidR="001575B8" w:rsidRPr="00915260" w:rsidRDefault="001575B8" w:rsidP="001575B8">
      <w:pPr>
        <w:pStyle w:val="Heading2"/>
        <w:numPr>
          <w:ilvl w:val="2"/>
          <w:numId w:val="5"/>
        </w:numPr>
        <w:spacing w:line="360" w:lineRule="auto"/>
        <w:rPr>
          <w:rFonts w:cs="Times New Roman"/>
          <w:b/>
          <w:bCs/>
          <w:sz w:val="22"/>
          <w:szCs w:val="22"/>
        </w:rPr>
      </w:pPr>
      <w:bookmarkStart w:id="27" w:name="_Toc213748904"/>
      <w:r w:rsidRPr="00915260">
        <w:rPr>
          <w:rFonts w:cs="Times New Roman"/>
          <w:b/>
          <w:bCs/>
          <w:sz w:val="22"/>
          <w:szCs w:val="22"/>
        </w:rPr>
        <w:t>Concluding Summary</w:t>
      </w:r>
      <w:bookmarkEnd w:id="27"/>
    </w:p>
    <w:p w14:paraId="0D6109A5" w14:textId="6861263E" w:rsidR="009D6002" w:rsidRDefault="001206C3" w:rsidP="00B53642">
      <w:pPr>
        <w:spacing w:line="360" w:lineRule="auto"/>
        <w:ind w:left="720"/>
        <w:jc w:val="both"/>
        <w:rPr>
          <w:rFonts w:cs="Times New Roman"/>
          <w:szCs w:val="22"/>
        </w:rPr>
      </w:pPr>
      <w:r w:rsidRPr="001206C3">
        <w:rPr>
          <w:rFonts w:cs="Times New Roman"/>
          <w:szCs w:val="22"/>
        </w:rPr>
        <w:t xml:space="preserve">The framework proposed by Kim and Ko (2012) for measuring social media marketing activities (SMMA) remains advantageous due to its comprehensiveness, empirical validation, and inclusion of five distinct experiential constructs </w:t>
      </w:r>
      <w:r>
        <w:rPr>
          <w:rFonts w:cs="Times New Roman"/>
          <w:szCs w:val="22"/>
        </w:rPr>
        <w:t>including</w:t>
      </w:r>
      <w:r w:rsidR="005D664E">
        <w:rPr>
          <w:rFonts w:cs="Times New Roman"/>
          <w:szCs w:val="22"/>
        </w:rPr>
        <w:t xml:space="preserve"> </w:t>
      </w:r>
      <w:r w:rsidR="005D664E" w:rsidRPr="005D664E">
        <w:rPr>
          <w:rFonts w:cs="Times New Roman"/>
          <w:szCs w:val="22"/>
        </w:rPr>
        <w:t>entertainment, interaction, trendiness, customization, and word-of-mouth</w:t>
      </w:r>
      <w:r w:rsidR="005D664E">
        <w:rPr>
          <w:rFonts w:cs="Times New Roman"/>
          <w:szCs w:val="22"/>
        </w:rPr>
        <w:t xml:space="preserve"> </w:t>
      </w:r>
      <w:r w:rsidR="005D664E" w:rsidRPr="005D664E">
        <w:rPr>
          <w:rFonts w:cs="Times New Roman"/>
          <w:szCs w:val="22"/>
        </w:rPr>
        <w:t>which capture the multi-faceted ways consumers engage with brand content on social platforms. This perspective offers clear analytical distinctions that are well-suited for both academic research and practical assessment of marketing effectiveness. Furthermore, Kim &amp; Ko’s model has been frequently adopted and validated across various studies and industry contexts, making it both reliable and adaptable for understanding how SMMA influence brand equity, customer experience, and purchase intention. As a result, this approach provides a strategically relevant and robust foundation for evaluating SMMA in contemporary research.</w:t>
      </w:r>
      <w:r w:rsidR="00961B1D">
        <w:rPr>
          <w:rFonts w:cs="Times New Roman" w:hint="eastAsia"/>
          <w:szCs w:val="22"/>
        </w:rPr>
        <w:t xml:space="preserve"> In contrast, </w:t>
      </w:r>
      <w:r w:rsidR="00961B1D" w:rsidRPr="00961B1D">
        <w:rPr>
          <w:rFonts w:cs="Times New Roman"/>
          <w:szCs w:val="22"/>
        </w:rPr>
        <w:t xml:space="preserve">Carr and Hayes (2015) and Hayes (2025) </w:t>
      </w:r>
      <w:r w:rsidR="00BC44BF" w:rsidRPr="00961B1D">
        <w:rPr>
          <w:rFonts w:cs="Times New Roman"/>
          <w:szCs w:val="22"/>
        </w:rPr>
        <w:t>frameworks</w:t>
      </w:r>
      <w:r w:rsidR="00961B1D" w:rsidRPr="00961B1D">
        <w:rPr>
          <w:rFonts w:cs="Times New Roman"/>
          <w:szCs w:val="22"/>
        </w:rPr>
        <w:t xml:space="preserve"> focus mainly on technological features, user-generated content, or platform-specific engagement, which may lack empirical validation, stability, and generalizability for assessing broader marketing effectiveness across different contexts. </w:t>
      </w:r>
      <w:r w:rsidR="005344F1">
        <w:rPr>
          <w:rFonts w:cs="Times New Roman"/>
          <w:szCs w:val="22"/>
        </w:rPr>
        <w:t>The</w:t>
      </w:r>
      <w:r w:rsidR="00961B1D" w:rsidRPr="00961B1D">
        <w:rPr>
          <w:rFonts w:cs="Times New Roman"/>
          <w:szCs w:val="22"/>
        </w:rPr>
        <w:t xml:space="preserve"> definitions risk being either limited by current trends or too broad to offer precise, consistent </w:t>
      </w:r>
      <w:r w:rsidR="00BC44BF" w:rsidRPr="00961B1D">
        <w:rPr>
          <w:rFonts w:cs="Times New Roman"/>
          <w:szCs w:val="22"/>
        </w:rPr>
        <w:t>measurements</w:t>
      </w:r>
      <w:r w:rsidR="00961B1D" w:rsidRPr="00961B1D">
        <w:rPr>
          <w:rFonts w:cs="Times New Roman"/>
          <w:szCs w:val="22"/>
        </w:rPr>
        <w:t xml:space="preserve"> for research purposes.</w:t>
      </w:r>
    </w:p>
    <w:p w14:paraId="3B98874D" w14:textId="77777777" w:rsidR="00B53642" w:rsidRPr="00915260" w:rsidRDefault="00B53642" w:rsidP="00B53642">
      <w:pPr>
        <w:spacing w:line="360" w:lineRule="auto"/>
        <w:ind w:left="720"/>
        <w:jc w:val="both"/>
        <w:rPr>
          <w:rFonts w:eastAsia="Times New Roman" w:cs="Times New Roman"/>
          <w:kern w:val="0"/>
          <w:szCs w:val="22"/>
          <w14:ligatures w14:val="none"/>
        </w:rPr>
      </w:pPr>
    </w:p>
    <w:p w14:paraId="1FEB751A" w14:textId="29800A2F" w:rsidR="002B71DB" w:rsidRDefault="00BE4BB7" w:rsidP="004F76CE">
      <w:pPr>
        <w:pStyle w:val="Heading2"/>
        <w:numPr>
          <w:ilvl w:val="1"/>
          <w:numId w:val="5"/>
        </w:numPr>
        <w:spacing w:line="360" w:lineRule="auto"/>
        <w:ind w:left="450" w:hanging="450"/>
        <w:rPr>
          <w:rFonts w:cs="Times New Roman"/>
          <w:b/>
          <w:bCs/>
          <w:sz w:val="22"/>
          <w:szCs w:val="22"/>
        </w:rPr>
      </w:pPr>
      <w:r w:rsidRPr="00915260">
        <w:rPr>
          <w:rFonts w:cs="Times New Roman"/>
          <w:b/>
          <w:bCs/>
          <w:sz w:val="22"/>
          <w:szCs w:val="22"/>
        </w:rPr>
        <w:lastRenderedPageBreak/>
        <w:t xml:space="preserve"> </w:t>
      </w:r>
      <w:bookmarkStart w:id="28" w:name="_Toc209184653"/>
      <w:bookmarkStart w:id="29" w:name="_Toc213748905"/>
      <w:r w:rsidRPr="00915260">
        <w:rPr>
          <w:rFonts w:cs="Times New Roman"/>
          <w:b/>
          <w:bCs/>
          <w:sz w:val="22"/>
          <w:szCs w:val="22"/>
        </w:rPr>
        <w:t>Environmental Conscious</w:t>
      </w:r>
      <w:bookmarkEnd w:id="28"/>
      <w:bookmarkEnd w:id="29"/>
    </w:p>
    <w:p w14:paraId="552FEA92" w14:textId="20D2AC83" w:rsidR="00CB1807" w:rsidRPr="00CB1807" w:rsidRDefault="00CB1807" w:rsidP="00CB1807">
      <w:pPr>
        <w:spacing w:line="360" w:lineRule="auto"/>
        <w:jc w:val="both"/>
      </w:pPr>
      <w:r w:rsidRPr="00CB1807">
        <w:t>Environmental conscious refers to an individual’s awareness, concern, and behavioral intention regarding the preservation and protection of the natural environment. It represents a cognitive, affective, and behavioral construct that influences eco-friendly attitudes and sustainable consumption decisions.</w:t>
      </w:r>
    </w:p>
    <w:p w14:paraId="6379569E" w14:textId="77777777" w:rsidR="00821E2A" w:rsidRPr="00CB1807" w:rsidRDefault="00821E2A" w:rsidP="00CB1807">
      <w:pPr>
        <w:spacing w:line="360" w:lineRule="auto"/>
        <w:jc w:val="both"/>
      </w:pPr>
    </w:p>
    <w:p w14:paraId="26F828E9" w14:textId="55103CCA" w:rsidR="002B71DB" w:rsidRDefault="002B71DB" w:rsidP="004F76CE">
      <w:pPr>
        <w:pStyle w:val="Heading2"/>
        <w:numPr>
          <w:ilvl w:val="2"/>
          <w:numId w:val="5"/>
        </w:numPr>
        <w:spacing w:line="360" w:lineRule="auto"/>
        <w:rPr>
          <w:rFonts w:cs="Times New Roman"/>
          <w:b/>
          <w:bCs/>
          <w:sz w:val="22"/>
          <w:szCs w:val="22"/>
        </w:rPr>
      </w:pPr>
      <w:bookmarkStart w:id="30" w:name="_Toc209184654"/>
      <w:bookmarkStart w:id="31" w:name="_Toc213748906"/>
      <w:r w:rsidRPr="00915260">
        <w:rPr>
          <w:rFonts w:cs="Times New Roman"/>
          <w:b/>
          <w:bCs/>
          <w:sz w:val="22"/>
          <w:szCs w:val="22"/>
        </w:rPr>
        <w:t>Definition</w:t>
      </w:r>
      <w:bookmarkEnd w:id="30"/>
      <w:r w:rsidR="00CB1807">
        <w:rPr>
          <w:rFonts w:cs="Times New Roman" w:hint="eastAsia"/>
          <w:b/>
          <w:bCs/>
          <w:sz w:val="22"/>
          <w:szCs w:val="22"/>
        </w:rPr>
        <w:t xml:space="preserve"> of </w:t>
      </w:r>
      <w:r w:rsidR="005D76EA">
        <w:rPr>
          <w:rFonts w:cs="Times New Roman"/>
          <w:b/>
          <w:bCs/>
          <w:sz w:val="22"/>
          <w:szCs w:val="22"/>
        </w:rPr>
        <w:t>Environmental</w:t>
      </w:r>
      <w:r w:rsidR="00CB1807">
        <w:rPr>
          <w:rFonts w:cs="Times New Roman" w:hint="eastAsia"/>
          <w:b/>
          <w:bCs/>
          <w:sz w:val="22"/>
          <w:szCs w:val="22"/>
        </w:rPr>
        <w:t xml:space="preserve"> Con</w:t>
      </w:r>
      <w:r w:rsidR="005D76EA">
        <w:rPr>
          <w:rFonts w:cs="Times New Roman" w:hint="eastAsia"/>
          <w:b/>
          <w:bCs/>
          <w:sz w:val="22"/>
          <w:szCs w:val="22"/>
        </w:rPr>
        <w:t>scious</w:t>
      </w:r>
      <w:bookmarkEnd w:id="31"/>
    </w:p>
    <w:p w14:paraId="1145937C" w14:textId="447B7805" w:rsidR="00D948D7" w:rsidRDefault="005D76EA" w:rsidP="005D76EA">
      <w:pPr>
        <w:spacing w:line="360" w:lineRule="auto"/>
        <w:ind w:left="720"/>
        <w:jc w:val="both"/>
      </w:pPr>
      <w:r>
        <w:t xml:space="preserve">Majeed et al. (2022) characterized environmental </w:t>
      </w:r>
      <w:r w:rsidR="00ED409C">
        <w:t>conscious</w:t>
      </w:r>
      <w:r>
        <w:t xml:space="preserve"> as an individual’s level of awareness and sensitivity toward environmental sustainability, emphasizing the relationship between eco-awareness and responsible purchasing behavior. The study found that consumers with higher environmental awareness exhibit a stronger inclination toward green products and ethical brands.</w:t>
      </w:r>
    </w:p>
    <w:p w14:paraId="33578970" w14:textId="2B184B94" w:rsidR="00D948D7" w:rsidRDefault="005D76EA" w:rsidP="00D948D7">
      <w:pPr>
        <w:spacing w:line="360" w:lineRule="auto"/>
        <w:ind w:left="720"/>
        <w:jc w:val="both"/>
      </w:pPr>
      <w:r>
        <w:t>Kim and Lee (2023) expande</w:t>
      </w:r>
      <w:r w:rsidR="00B82219">
        <w:rPr>
          <w:rFonts w:hint="eastAsia"/>
        </w:rPr>
        <w:t xml:space="preserve">d </w:t>
      </w:r>
      <w:r w:rsidR="00B82219">
        <w:t>environment</w:t>
      </w:r>
      <w:r w:rsidR="00B82219">
        <w:rPr>
          <w:rFonts w:hint="eastAsia"/>
        </w:rPr>
        <w:t xml:space="preserve">al </w:t>
      </w:r>
      <w:r w:rsidR="00ED409C">
        <w:rPr>
          <w:rFonts w:hint="eastAsia"/>
        </w:rPr>
        <w:t>conscious</w:t>
      </w:r>
      <w:r>
        <w:t xml:space="preserve"> by focusing on the psychological and moral. </w:t>
      </w:r>
      <w:r w:rsidR="00B82219">
        <w:t>I</w:t>
      </w:r>
      <w:r w:rsidR="00B82219">
        <w:rPr>
          <w:rFonts w:hint="eastAsia"/>
        </w:rPr>
        <w:t>t</w:t>
      </w:r>
      <w:r>
        <w:t xml:space="preserve"> defined environmental </w:t>
      </w:r>
      <w:r w:rsidR="00ED409C">
        <w:t>conscious</w:t>
      </w:r>
      <w:r>
        <w:t xml:space="preserve"> as an internalized belief system that reflects moral obligation and ecological responsibility in daily consumption patterns. According to the framework, environmental </w:t>
      </w:r>
      <w:r w:rsidR="00ED409C">
        <w:t>conscious</w:t>
      </w:r>
      <w:r>
        <w:t xml:space="preserve"> extends beyond awareness</w:t>
      </w:r>
      <w:r w:rsidR="00AE571C">
        <w:t xml:space="preserve">, </w:t>
      </w:r>
      <w:r>
        <w:t>it incorporates perceived behavioral control and ecological self-identity.</w:t>
      </w:r>
    </w:p>
    <w:p w14:paraId="40B2FAF8" w14:textId="58F85A4B" w:rsidR="005D76EA" w:rsidRDefault="005D76EA" w:rsidP="00D948D7">
      <w:pPr>
        <w:spacing w:line="360" w:lineRule="auto"/>
        <w:ind w:left="720"/>
        <w:jc w:val="both"/>
      </w:pPr>
      <w:r>
        <w:t xml:space="preserve">D’Attoma and Ieva (2024) further conceptualized environmental </w:t>
      </w:r>
      <w:r w:rsidR="00ED409C">
        <w:t>conscious</w:t>
      </w:r>
      <w:r>
        <w:t xml:space="preserve"> within the context of sustainable consumption, framing it as a multidimensional construct that integrates knowledge, concern, and action. The research emphasized how consumers’ cognitive understanding of environmental issues and emotional involvement drive active environmental and purchase decisions</w:t>
      </w:r>
      <w:r w:rsidR="003F10F2">
        <w:t xml:space="preserve"> </w:t>
      </w:r>
      <w:r w:rsidR="003F10F2" w:rsidRPr="003F10F2">
        <w:t>Sebastian et al.</w:t>
      </w:r>
      <w:r w:rsidR="003F10F2">
        <w:t xml:space="preserve"> (</w:t>
      </w:r>
      <w:r w:rsidR="003F10F2" w:rsidRPr="003F10F2">
        <w:t xml:space="preserve">2025) </w:t>
      </w:r>
      <w:r>
        <w:t xml:space="preserve">defined environmental </w:t>
      </w:r>
      <w:r w:rsidR="00ED409C">
        <w:t>conscious</w:t>
      </w:r>
      <w:r>
        <w:t xml:space="preserve"> as a proactive consumer orientation toward minimizing environmental impact through sustainable choices and lifestyle practices. They emphasized digital literacy and social influence as recent determinants, showing how modern consumers integrate sustainability into online and offline behaviors.</w:t>
      </w:r>
    </w:p>
    <w:p w14:paraId="6CC3B40D" w14:textId="2ADF35F5" w:rsidR="000E7ABB" w:rsidRDefault="000E7ABB">
      <w:r>
        <w:br w:type="page"/>
      </w:r>
    </w:p>
    <w:p w14:paraId="753A8440" w14:textId="6CECD2B9" w:rsidR="00B224DE" w:rsidRDefault="00C95E2B" w:rsidP="00376604">
      <w:pPr>
        <w:spacing w:line="360" w:lineRule="auto"/>
        <w:ind w:left="720"/>
        <w:jc w:val="both"/>
        <w:rPr>
          <w:rFonts w:cs="Times New Roman"/>
          <w:b/>
          <w:bCs/>
          <w:szCs w:val="22"/>
        </w:rPr>
      </w:pPr>
      <w:bookmarkStart w:id="32" w:name="_Toc209184655"/>
      <w:r w:rsidRPr="00C95E2B">
        <w:rPr>
          <w:rFonts w:cs="Times New Roman"/>
          <w:b/>
          <w:bCs/>
          <w:noProof/>
          <w:szCs w:val="22"/>
        </w:rPr>
        <w:lastRenderedPageBreak/>
        <w:drawing>
          <wp:inline distT="0" distB="0" distL="0" distR="0" wp14:anchorId="545CE669" wp14:editId="35B1BC9E">
            <wp:extent cx="5450117" cy="3541853"/>
            <wp:effectExtent l="0" t="0" r="0" b="1905"/>
            <wp:docPr id="1453624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624031" name=""/>
                    <pic:cNvPicPr/>
                  </pic:nvPicPr>
                  <pic:blipFill>
                    <a:blip r:embed="rId23"/>
                    <a:stretch>
                      <a:fillRect/>
                    </a:stretch>
                  </pic:blipFill>
                  <pic:spPr>
                    <a:xfrm>
                      <a:off x="0" y="0"/>
                      <a:ext cx="5458297" cy="3547169"/>
                    </a:xfrm>
                    <a:prstGeom prst="rect">
                      <a:avLst/>
                    </a:prstGeom>
                  </pic:spPr>
                </pic:pic>
              </a:graphicData>
            </a:graphic>
          </wp:inline>
        </w:drawing>
      </w:r>
    </w:p>
    <w:p w14:paraId="514579EB" w14:textId="77777777" w:rsidR="00D81D69" w:rsidRDefault="00D81D69" w:rsidP="00376604">
      <w:pPr>
        <w:spacing w:line="360" w:lineRule="auto"/>
        <w:ind w:left="720"/>
        <w:jc w:val="both"/>
        <w:rPr>
          <w:rFonts w:cs="Times New Roman"/>
          <w:b/>
          <w:bCs/>
          <w:szCs w:val="22"/>
        </w:rPr>
      </w:pPr>
    </w:p>
    <w:p w14:paraId="33DADD4E" w14:textId="6582366F" w:rsidR="002B71DB" w:rsidRPr="00915260" w:rsidRDefault="004D4693" w:rsidP="004F76CE">
      <w:pPr>
        <w:pStyle w:val="Heading2"/>
        <w:numPr>
          <w:ilvl w:val="2"/>
          <w:numId w:val="5"/>
        </w:numPr>
        <w:spacing w:line="360" w:lineRule="auto"/>
        <w:rPr>
          <w:rFonts w:cs="Times New Roman"/>
          <w:b/>
          <w:bCs/>
          <w:sz w:val="22"/>
          <w:szCs w:val="22"/>
        </w:rPr>
      </w:pPr>
      <w:bookmarkStart w:id="33" w:name="_Toc213748907"/>
      <w:bookmarkEnd w:id="32"/>
      <w:r w:rsidRPr="004D4693">
        <w:rPr>
          <w:rFonts w:cs="Times New Roman"/>
          <w:b/>
          <w:bCs/>
          <w:sz w:val="22"/>
          <w:szCs w:val="22"/>
        </w:rPr>
        <w:t xml:space="preserve">Measurement of Environmental </w:t>
      </w:r>
      <w:r w:rsidR="00ED409C">
        <w:rPr>
          <w:rFonts w:cs="Times New Roman"/>
          <w:b/>
          <w:bCs/>
          <w:sz w:val="22"/>
          <w:szCs w:val="22"/>
        </w:rPr>
        <w:t>Conscious</w:t>
      </w:r>
      <w:bookmarkEnd w:id="33"/>
    </w:p>
    <w:p w14:paraId="0BEC79B5" w14:textId="04979662" w:rsidR="003337EC" w:rsidRDefault="00BA7A59" w:rsidP="00BA7A59">
      <w:pPr>
        <w:spacing w:line="360" w:lineRule="auto"/>
        <w:ind w:left="720"/>
        <w:jc w:val="both"/>
        <w:rPr>
          <w:rFonts w:cs="Times New Roman"/>
          <w:kern w:val="0"/>
          <w:szCs w:val="22"/>
          <w14:ligatures w14:val="none"/>
        </w:rPr>
      </w:pPr>
      <w:r w:rsidRPr="00BA7A59">
        <w:rPr>
          <w:rFonts w:eastAsia="Times New Roman" w:cs="Times New Roman"/>
          <w:kern w:val="0"/>
          <w:szCs w:val="22"/>
          <w14:ligatures w14:val="none"/>
        </w:rPr>
        <w:t xml:space="preserve">Majeed et al. (2022) operationalized environmental </w:t>
      </w:r>
      <w:r w:rsidR="00ED409C">
        <w:rPr>
          <w:rFonts w:eastAsia="Times New Roman" w:cs="Times New Roman"/>
          <w:kern w:val="0"/>
          <w:szCs w:val="22"/>
          <w14:ligatures w14:val="none"/>
        </w:rPr>
        <w:t>conscious</w:t>
      </w:r>
      <w:r w:rsidRPr="00BA7A59">
        <w:rPr>
          <w:rFonts w:eastAsia="Times New Roman" w:cs="Times New Roman"/>
          <w:kern w:val="0"/>
          <w:szCs w:val="22"/>
          <w14:ligatures w14:val="none"/>
        </w:rPr>
        <w:t xml:space="preserve"> through three primary indicators: environmental knowledge, concern, and perceived behavioral intention. These dimensions assess how individuals recognize ecological issues, express care for environmental protection, and act sustainably.</w:t>
      </w:r>
    </w:p>
    <w:p w14:paraId="7FC7C51E" w14:textId="71300830" w:rsidR="003337EC" w:rsidRDefault="00BA7A59" w:rsidP="00BA7A59">
      <w:pPr>
        <w:spacing w:line="360" w:lineRule="auto"/>
        <w:ind w:left="720"/>
        <w:jc w:val="both"/>
        <w:rPr>
          <w:rFonts w:cs="Times New Roman"/>
          <w:kern w:val="0"/>
          <w:szCs w:val="22"/>
          <w14:ligatures w14:val="none"/>
        </w:rPr>
      </w:pPr>
      <w:r w:rsidRPr="00BA7A59">
        <w:rPr>
          <w:rFonts w:eastAsia="Times New Roman" w:cs="Times New Roman"/>
          <w:kern w:val="0"/>
          <w:szCs w:val="22"/>
          <w14:ligatures w14:val="none"/>
        </w:rPr>
        <w:t xml:space="preserve">Kim and Lee (2023) measured environmental </w:t>
      </w:r>
      <w:r w:rsidR="00ED409C">
        <w:rPr>
          <w:rFonts w:eastAsia="Times New Roman" w:cs="Times New Roman"/>
          <w:kern w:val="0"/>
          <w:szCs w:val="22"/>
          <w14:ligatures w14:val="none"/>
        </w:rPr>
        <w:t>conscious</w:t>
      </w:r>
      <w:r w:rsidRPr="00BA7A59">
        <w:rPr>
          <w:rFonts w:eastAsia="Times New Roman" w:cs="Times New Roman"/>
          <w:kern w:val="0"/>
          <w:szCs w:val="22"/>
          <w14:ligatures w14:val="none"/>
        </w:rPr>
        <w:t xml:space="preserve"> through cognitive, affective, and behavioral components. The approach emphasized moral norms, personal responsibility, and the extent to which consumers translate environmental values into real consumption choices.</w:t>
      </w:r>
    </w:p>
    <w:p w14:paraId="3E83AAB0" w14:textId="2648A765" w:rsidR="003337EC" w:rsidRDefault="00BA7A59" w:rsidP="00BA7A59">
      <w:pPr>
        <w:spacing w:line="360" w:lineRule="auto"/>
        <w:ind w:left="720"/>
        <w:jc w:val="both"/>
        <w:rPr>
          <w:rFonts w:cs="Times New Roman"/>
          <w:kern w:val="0"/>
          <w:szCs w:val="22"/>
          <w14:ligatures w14:val="none"/>
        </w:rPr>
      </w:pPr>
      <w:r w:rsidRPr="00BA7A59">
        <w:rPr>
          <w:rFonts w:eastAsia="Times New Roman" w:cs="Times New Roman"/>
          <w:kern w:val="0"/>
          <w:szCs w:val="22"/>
          <w14:ligatures w14:val="none"/>
        </w:rPr>
        <w:t xml:space="preserve">D’Attoma and Ieva (2024) proposed a </w:t>
      </w:r>
      <w:r w:rsidR="00475C8D" w:rsidRPr="00BA7A59">
        <w:rPr>
          <w:rFonts w:eastAsia="Times New Roman" w:cs="Times New Roman"/>
          <w:kern w:val="0"/>
          <w:szCs w:val="22"/>
          <w14:ligatures w14:val="none"/>
        </w:rPr>
        <w:t>four-measurement</w:t>
      </w:r>
      <w:r w:rsidRPr="00BA7A59">
        <w:rPr>
          <w:rFonts w:eastAsia="Times New Roman" w:cs="Times New Roman"/>
          <w:kern w:val="0"/>
          <w:szCs w:val="22"/>
          <w14:ligatures w14:val="none"/>
        </w:rPr>
        <w:t xml:space="preserve"> model</w:t>
      </w:r>
      <w:r w:rsidR="00C97144">
        <w:rPr>
          <w:rFonts w:cs="Times New Roman" w:hint="eastAsia"/>
          <w:kern w:val="0"/>
          <w:szCs w:val="22"/>
          <w14:ligatures w14:val="none"/>
        </w:rPr>
        <w:t xml:space="preserve"> </w:t>
      </w:r>
      <w:r w:rsidR="00475C8D">
        <w:rPr>
          <w:rFonts w:cs="Times New Roman"/>
          <w:kern w:val="0"/>
          <w:szCs w:val="22"/>
          <w14:ligatures w14:val="none"/>
        </w:rPr>
        <w:t>including</w:t>
      </w:r>
      <w:r w:rsidRPr="00BA7A59">
        <w:rPr>
          <w:rFonts w:eastAsia="Times New Roman" w:cs="Times New Roman"/>
          <w:kern w:val="0"/>
          <w:szCs w:val="22"/>
          <w14:ligatures w14:val="none"/>
        </w:rPr>
        <w:t xml:space="preserve"> environmental knowledge, awareness, ecological concern, and environmentally responsible behavior. </w:t>
      </w:r>
      <w:r w:rsidR="00C97144">
        <w:rPr>
          <w:rFonts w:cs="Times New Roman" w:hint="eastAsia"/>
          <w:kern w:val="0"/>
          <w:szCs w:val="22"/>
          <w14:ligatures w14:val="none"/>
        </w:rPr>
        <w:t>T</w:t>
      </w:r>
      <w:r w:rsidRPr="00BA7A59">
        <w:rPr>
          <w:rFonts w:eastAsia="Times New Roman" w:cs="Times New Roman"/>
          <w:kern w:val="0"/>
          <w:szCs w:val="22"/>
          <w14:ligatures w14:val="none"/>
        </w:rPr>
        <w:t>he role of experiential learning in enhancing the link between concern and sustainable actions.</w:t>
      </w:r>
    </w:p>
    <w:p w14:paraId="21B4609F" w14:textId="43AF7E0E" w:rsidR="002B71DB" w:rsidRDefault="00BA7A59" w:rsidP="00BA7A59">
      <w:pPr>
        <w:spacing w:line="360" w:lineRule="auto"/>
        <w:ind w:left="720"/>
        <w:jc w:val="both"/>
        <w:rPr>
          <w:rFonts w:cs="Times New Roman"/>
          <w:kern w:val="0"/>
          <w:szCs w:val="22"/>
          <w14:ligatures w14:val="none"/>
        </w:rPr>
      </w:pPr>
      <w:r w:rsidRPr="00BA7A59">
        <w:rPr>
          <w:rFonts w:eastAsia="Times New Roman" w:cs="Times New Roman"/>
          <w:kern w:val="0"/>
          <w:szCs w:val="22"/>
          <w14:ligatures w14:val="none"/>
        </w:rPr>
        <w:t>Sebastian et al. (2025) introduced updated digital-age metrics, such as consumers’ engagement with sustainable brands on social media, participation in eco-friendly online communities, and sustainability-based purchase patterns. The study adds a technological and behavioral measurement dimension reflective of modern market realities.</w:t>
      </w:r>
    </w:p>
    <w:p w14:paraId="49B567D5" w14:textId="0E5EABBD" w:rsidR="00D14F27" w:rsidRPr="002704F0" w:rsidRDefault="00D00EAB" w:rsidP="002704F0">
      <w:pPr>
        <w:ind w:left="720"/>
        <w:rPr>
          <w:rFonts w:cs="Times New Roman"/>
          <w:kern w:val="0"/>
          <w:szCs w:val="22"/>
          <w14:ligatures w14:val="none"/>
        </w:rPr>
      </w:pPr>
      <w:r>
        <w:rPr>
          <w:rFonts w:cs="Times New Roman"/>
          <w:kern w:val="0"/>
          <w:szCs w:val="22"/>
          <w14:ligatures w14:val="none"/>
        </w:rPr>
        <w:br w:type="page"/>
      </w:r>
      <w:r w:rsidR="002704F0" w:rsidRPr="002704F0">
        <w:rPr>
          <w:rFonts w:cs="Times New Roman"/>
          <w:noProof/>
          <w:kern w:val="0"/>
          <w:szCs w:val="22"/>
          <w14:ligatures w14:val="none"/>
        </w:rPr>
        <w:lastRenderedPageBreak/>
        <w:drawing>
          <wp:inline distT="0" distB="0" distL="0" distR="0" wp14:anchorId="60EF35EB" wp14:editId="3B98308D">
            <wp:extent cx="5534992" cy="3136739"/>
            <wp:effectExtent l="0" t="0" r="8890" b="6985"/>
            <wp:docPr id="42595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95443" name="Picture 1"/>
                    <pic:cNvPicPr/>
                  </pic:nvPicPr>
                  <pic:blipFill>
                    <a:blip r:embed="rId24"/>
                    <a:stretch>
                      <a:fillRect/>
                    </a:stretch>
                  </pic:blipFill>
                  <pic:spPr>
                    <a:xfrm>
                      <a:off x="0" y="0"/>
                      <a:ext cx="5539773" cy="3139448"/>
                    </a:xfrm>
                    <a:prstGeom prst="rect">
                      <a:avLst/>
                    </a:prstGeom>
                  </pic:spPr>
                </pic:pic>
              </a:graphicData>
            </a:graphic>
          </wp:inline>
        </w:drawing>
      </w:r>
    </w:p>
    <w:p w14:paraId="56C4EEB6" w14:textId="77777777" w:rsidR="002704F0" w:rsidRDefault="002704F0" w:rsidP="00821E2A"/>
    <w:p w14:paraId="38C21D12" w14:textId="06E992E7" w:rsidR="00307E7F" w:rsidRPr="00915260" w:rsidRDefault="00307E7F" w:rsidP="00307E7F">
      <w:pPr>
        <w:pStyle w:val="Heading2"/>
        <w:numPr>
          <w:ilvl w:val="2"/>
          <w:numId w:val="5"/>
        </w:numPr>
        <w:spacing w:line="360" w:lineRule="auto"/>
        <w:rPr>
          <w:rFonts w:cs="Times New Roman"/>
          <w:b/>
          <w:bCs/>
          <w:sz w:val="22"/>
          <w:szCs w:val="22"/>
        </w:rPr>
      </w:pPr>
      <w:bookmarkStart w:id="34" w:name="_Toc213748908"/>
      <w:r w:rsidRPr="00915260">
        <w:rPr>
          <w:rFonts w:cs="Times New Roman"/>
          <w:b/>
          <w:bCs/>
          <w:sz w:val="22"/>
          <w:szCs w:val="22"/>
        </w:rPr>
        <w:t>Concluding Summary</w:t>
      </w:r>
      <w:bookmarkEnd w:id="34"/>
    </w:p>
    <w:p w14:paraId="5D6138BA" w14:textId="055E276F" w:rsidR="00F408C5" w:rsidRDefault="008A3321" w:rsidP="001F665C">
      <w:pPr>
        <w:spacing w:line="360" w:lineRule="auto"/>
        <w:ind w:left="720"/>
        <w:jc w:val="both"/>
        <w:rPr>
          <w:rFonts w:cs="Times New Roman"/>
          <w:szCs w:val="22"/>
        </w:rPr>
      </w:pPr>
      <w:r w:rsidRPr="008A3321">
        <w:rPr>
          <w:rFonts w:cs="Times New Roman"/>
          <w:szCs w:val="22"/>
        </w:rPr>
        <w:t xml:space="preserve">Across the reviewed literature, environmental </w:t>
      </w:r>
      <w:r w:rsidR="00ED409C">
        <w:rPr>
          <w:rFonts w:cs="Times New Roman"/>
          <w:szCs w:val="22"/>
        </w:rPr>
        <w:t>conscious</w:t>
      </w:r>
      <w:r w:rsidRPr="008A3321">
        <w:rPr>
          <w:rFonts w:cs="Times New Roman"/>
          <w:szCs w:val="22"/>
        </w:rPr>
        <w:t xml:space="preserve"> has evolved from a unidimensional concern-based construct to a multi-faceted model integrating cognition, emotional connection, and digital behavior. Majeed et al. (2022) provided the foundation </w:t>
      </w:r>
      <w:r w:rsidR="008B6601" w:rsidRPr="008B6601">
        <w:rPr>
          <w:rFonts w:cs="Times New Roman"/>
          <w:szCs w:val="22"/>
        </w:rPr>
        <w:t xml:space="preserve">for measuring environmental </w:t>
      </w:r>
      <w:r w:rsidR="00ED409C">
        <w:rPr>
          <w:rFonts w:cs="Times New Roman"/>
          <w:szCs w:val="22"/>
        </w:rPr>
        <w:t>conscious</w:t>
      </w:r>
      <w:r w:rsidR="008B6601" w:rsidRPr="008B6601">
        <w:rPr>
          <w:rFonts w:cs="Times New Roman"/>
          <w:szCs w:val="22"/>
        </w:rPr>
        <w:t xml:space="preserve"> offers several advantages for research focused on sustainable consumer behavior. The model is direct and actionable, centering on three essential </w:t>
      </w:r>
      <w:r w:rsidR="008B6601">
        <w:rPr>
          <w:rFonts w:cs="Times New Roman" w:hint="eastAsia"/>
          <w:szCs w:val="22"/>
        </w:rPr>
        <w:t>element</w:t>
      </w:r>
      <w:r w:rsidR="00682EE3">
        <w:rPr>
          <w:rFonts w:cs="Times New Roman" w:hint="eastAsia"/>
          <w:szCs w:val="22"/>
        </w:rPr>
        <w:t xml:space="preserve">s </w:t>
      </w:r>
      <w:r w:rsidR="00682EE3">
        <w:rPr>
          <w:rFonts w:cs="Times New Roman"/>
          <w:szCs w:val="22"/>
        </w:rPr>
        <w:t>including</w:t>
      </w:r>
      <w:r w:rsidR="008B6601" w:rsidRPr="008B6601">
        <w:rPr>
          <w:rFonts w:cs="Times New Roman"/>
          <w:szCs w:val="22"/>
        </w:rPr>
        <w:t xml:space="preserve"> environmental knowledge, concern, and perceived behavioral intention, which robustly capture how individuals recognize, care about, and act upon ecological issues. By clearly linking awareness and sensitivity to green purchasing, the operationalization connects psychological factors with responsible decision-making, ensuring relevance to market and consumption studies. Furthermore, Majeed et al.'s approach provides analytical clarity and research practicality, making it especially suitable for empirical studies seeking to quantify the effects of environmental </w:t>
      </w:r>
      <w:r w:rsidR="00ED409C">
        <w:rPr>
          <w:rFonts w:cs="Times New Roman"/>
          <w:szCs w:val="22"/>
        </w:rPr>
        <w:t>conscious</w:t>
      </w:r>
      <w:r w:rsidR="008B6601" w:rsidRPr="008B6601">
        <w:rPr>
          <w:rFonts w:cs="Times New Roman"/>
          <w:szCs w:val="22"/>
        </w:rPr>
        <w:t xml:space="preserve"> on purchase intention and observed consumer behaviors. This focus on direct behavioral intention facilitates investigation of the attitude-behavior gap, which is crucial for actionable insights in sustainability research.</w:t>
      </w:r>
      <w:r w:rsidR="00682EE3">
        <w:rPr>
          <w:rFonts w:cs="Times New Roman" w:hint="eastAsia"/>
          <w:szCs w:val="22"/>
        </w:rPr>
        <w:t xml:space="preserve"> </w:t>
      </w:r>
      <w:r w:rsidRPr="008A3321">
        <w:rPr>
          <w:rFonts w:cs="Times New Roman"/>
          <w:szCs w:val="22"/>
        </w:rPr>
        <w:t xml:space="preserve">This approach aligns with the city’s digitally connected, sustainability-conscious consumer culture and supports a robust understanding of environmental </w:t>
      </w:r>
      <w:r w:rsidR="00ED409C">
        <w:rPr>
          <w:rFonts w:cs="Times New Roman"/>
          <w:szCs w:val="22"/>
        </w:rPr>
        <w:t>conscious</w:t>
      </w:r>
      <w:r w:rsidRPr="008A3321">
        <w:rPr>
          <w:rFonts w:cs="Times New Roman"/>
          <w:szCs w:val="22"/>
        </w:rPr>
        <w:t xml:space="preserve"> influencing purchase intention toward eco-oriented brands like Nestlé Hong Kong.</w:t>
      </w:r>
      <w:r w:rsidR="00D35BEB">
        <w:rPr>
          <w:rFonts w:cs="Times New Roman" w:hint="eastAsia"/>
          <w:szCs w:val="22"/>
        </w:rPr>
        <w:t xml:space="preserve"> </w:t>
      </w:r>
      <w:r w:rsidR="0034691E">
        <w:rPr>
          <w:rFonts w:cs="Times New Roman" w:hint="eastAsia"/>
          <w:szCs w:val="22"/>
        </w:rPr>
        <w:t xml:space="preserve">Frameworks in </w:t>
      </w:r>
      <w:r w:rsidR="00D35BEB" w:rsidRPr="00D35BEB">
        <w:rPr>
          <w:rFonts w:cs="Times New Roman"/>
          <w:szCs w:val="22"/>
        </w:rPr>
        <w:t xml:space="preserve">Kim and Lee (2023), D’Attoma and Ieva (2024), and Sebastian et al. (2025) are either too focused on psychological and experiential components, introduce complexity with multidimensional models, or emphasize digital and technological aspects that may not provide enough empirical clarity or generalizability for broad research on environmental </w:t>
      </w:r>
      <w:r w:rsidR="00ED409C">
        <w:rPr>
          <w:rFonts w:cs="Times New Roman"/>
          <w:szCs w:val="22"/>
        </w:rPr>
        <w:t>conscious</w:t>
      </w:r>
      <w:r w:rsidR="00D35BEB" w:rsidRPr="00D35BEB">
        <w:rPr>
          <w:rFonts w:cs="Times New Roman"/>
          <w:szCs w:val="22"/>
        </w:rPr>
        <w:t>.</w:t>
      </w:r>
    </w:p>
    <w:p w14:paraId="0035D0D5" w14:textId="77777777" w:rsidR="008A3321" w:rsidRDefault="008A3321" w:rsidP="008A3321">
      <w:pPr>
        <w:spacing w:line="360" w:lineRule="auto"/>
        <w:ind w:left="720"/>
        <w:jc w:val="both"/>
        <w:rPr>
          <w:rFonts w:cs="Times New Roman"/>
          <w:kern w:val="0"/>
          <w:szCs w:val="22"/>
          <w14:ligatures w14:val="none"/>
        </w:rPr>
      </w:pPr>
    </w:p>
    <w:p w14:paraId="25B4BCF9" w14:textId="7BF1555C" w:rsidR="00E219A6" w:rsidRDefault="00E219A6" w:rsidP="004F76CE">
      <w:pPr>
        <w:pStyle w:val="Heading2"/>
        <w:numPr>
          <w:ilvl w:val="1"/>
          <w:numId w:val="5"/>
        </w:numPr>
        <w:spacing w:line="360" w:lineRule="auto"/>
        <w:ind w:left="450" w:hanging="450"/>
        <w:rPr>
          <w:rFonts w:cs="Times New Roman"/>
          <w:b/>
          <w:bCs/>
          <w:sz w:val="22"/>
          <w:szCs w:val="22"/>
        </w:rPr>
      </w:pPr>
      <w:r w:rsidRPr="00915260">
        <w:rPr>
          <w:rFonts w:cs="Times New Roman"/>
          <w:b/>
          <w:bCs/>
          <w:sz w:val="22"/>
          <w:szCs w:val="22"/>
        </w:rPr>
        <w:lastRenderedPageBreak/>
        <w:t xml:space="preserve"> </w:t>
      </w:r>
      <w:bookmarkStart w:id="35" w:name="_Toc209184656"/>
      <w:bookmarkStart w:id="36" w:name="_Toc213748909"/>
      <w:r w:rsidRPr="00915260">
        <w:rPr>
          <w:rFonts w:cs="Times New Roman"/>
          <w:b/>
          <w:bCs/>
          <w:sz w:val="22"/>
          <w:szCs w:val="22"/>
        </w:rPr>
        <w:t>Sustainability</w:t>
      </w:r>
      <w:bookmarkEnd w:id="35"/>
      <w:bookmarkEnd w:id="36"/>
    </w:p>
    <w:p w14:paraId="0EEC9CC1" w14:textId="6601DCDE" w:rsidR="00EA1B6F" w:rsidRDefault="00EA1B6F" w:rsidP="00EA1B6F">
      <w:pPr>
        <w:spacing w:line="360" w:lineRule="auto"/>
        <w:jc w:val="both"/>
      </w:pPr>
      <w:r w:rsidRPr="00EA1B6F">
        <w:t xml:space="preserve">Sustainability refers to the capacity to meet current needs without compromising the ability of future generations to meet </w:t>
      </w:r>
      <w:r w:rsidR="004D081B">
        <w:rPr>
          <w:rFonts w:hint="eastAsia"/>
        </w:rPr>
        <w:t>by</w:t>
      </w:r>
      <w:r w:rsidRPr="00EA1B6F">
        <w:t xml:space="preserve"> own. Over time, the concept has expanded from environmental conservation to a comprehensive model encompassing economic, social, and environmental dimensions.</w:t>
      </w:r>
    </w:p>
    <w:p w14:paraId="37FC7B08" w14:textId="77777777" w:rsidR="00413FCC" w:rsidRPr="00EA1B6F" w:rsidRDefault="00413FCC" w:rsidP="00EA1B6F">
      <w:pPr>
        <w:spacing w:line="360" w:lineRule="auto"/>
        <w:jc w:val="both"/>
      </w:pPr>
    </w:p>
    <w:p w14:paraId="21C251A9" w14:textId="45B6C96E" w:rsidR="00E219A6" w:rsidRPr="00915260" w:rsidRDefault="00E219A6" w:rsidP="004F76CE">
      <w:pPr>
        <w:pStyle w:val="Heading2"/>
        <w:numPr>
          <w:ilvl w:val="2"/>
          <w:numId w:val="5"/>
        </w:numPr>
        <w:spacing w:line="360" w:lineRule="auto"/>
        <w:rPr>
          <w:rFonts w:cs="Times New Roman"/>
          <w:b/>
          <w:bCs/>
          <w:sz w:val="22"/>
          <w:szCs w:val="22"/>
        </w:rPr>
      </w:pPr>
      <w:bookmarkStart w:id="37" w:name="_Toc209184657"/>
      <w:bookmarkStart w:id="38" w:name="_Toc213748910"/>
      <w:r w:rsidRPr="00915260">
        <w:rPr>
          <w:rFonts w:cs="Times New Roman"/>
          <w:b/>
          <w:bCs/>
          <w:sz w:val="22"/>
          <w:szCs w:val="22"/>
        </w:rPr>
        <w:t>Definition</w:t>
      </w:r>
      <w:bookmarkEnd w:id="37"/>
      <w:r w:rsidR="00EA1B6F">
        <w:rPr>
          <w:rFonts w:cs="Times New Roman" w:hint="eastAsia"/>
          <w:b/>
          <w:bCs/>
          <w:sz w:val="22"/>
          <w:szCs w:val="22"/>
        </w:rPr>
        <w:t xml:space="preserve"> of Sustainability</w:t>
      </w:r>
      <w:bookmarkEnd w:id="38"/>
    </w:p>
    <w:p w14:paraId="721DB3E2" w14:textId="77777777" w:rsidR="00917706" w:rsidRDefault="00C65DC4" w:rsidP="00C65DC4">
      <w:pPr>
        <w:spacing w:line="360" w:lineRule="auto"/>
        <w:ind w:left="720"/>
        <w:jc w:val="both"/>
        <w:rPr>
          <w:rFonts w:cs="Times New Roman"/>
          <w:szCs w:val="22"/>
        </w:rPr>
      </w:pPr>
      <w:r w:rsidRPr="00C65DC4">
        <w:rPr>
          <w:rFonts w:cs="Times New Roman"/>
          <w:szCs w:val="22"/>
        </w:rPr>
        <w:t>Panda et al. (2020) describe sustainability as the simultaneous pursuit of environmental integrity, economic prosperity, and social welfare, emphasizing the need for responsible resource usage and long-term value across all three pillars.</w:t>
      </w:r>
    </w:p>
    <w:p w14:paraId="320F6654" w14:textId="287380B7" w:rsidR="00917706" w:rsidRDefault="002D7809" w:rsidP="00C65DC4">
      <w:pPr>
        <w:spacing w:line="360" w:lineRule="auto"/>
        <w:ind w:left="720"/>
        <w:jc w:val="both"/>
        <w:rPr>
          <w:rFonts w:cs="Times New Roman"/>
          <w:szCs w:val="22"/>
        </w:rPr>
      </w:pPr>
      <w:proofErr w:type="spellStart"/>
      <w:r w:rsidRPr="00C65DC4">
        <w:rPr>
          <w:rFonts w:cs="Times New Roman"/>
          <w:szCs w:val="22"/>
        </w:rPr>
        <w:t>Vardari</w:t>
      </w:r>
      <w:proofErr w:type="spellEnd"/>
      <w:r w:rsidRPr="00C65DC4">
        <w:rPr>
          <w:rFonts w:cs="Times New Roman"/>
          <w:szCs w:val="22"/>
        </w:rPr>
        <w:t xml:space="preserve"> et al. (2020) define corporate sustainability as the adaptation of economic, environmental, and social dimensions into organizational decision-making, risk management, and value creation, highlighting the strategic role of corporate governance.​</w:t>
      </w:r>
    </w:p>
    <w:p w14:paraId="4F5E2B97" w14:textId="77777777" w:rsidR="00917706" w:rsidRDefault="002D7809" w:rsidP="00C65DC4">
      <w:pPr>
        <w:spacing w:line="360" w:lineRule="auto"/>
        <w:ind w:left="720"/>
        <w:jc w:val="both"/>
        <w:rPr>
          <w:rFonts w:cs="Times New Roman"/>
          <w:szCs w:val="22"/>
        </w:rPr>
      </w:pPr>
      <w:r w:rsidRPr="00C65DC4">
        <w:rPr>
          <w:rFonts w:cs="Times New Roman"/>
          <w:szCs w:val="22"/>
        </w:rPr>
        <w:t>Conceptual Analysis of Sustainability (2021) positions sustainability as the equitable, ethical, and efficient use of natural resources to ensure the continued well-being of both current and future human societies, framed within the balance of social-ecological systems and the classic "triple bottom line" (TBL) of economic, social, and environmental factors.​</w:t>
      </w:r>
    </w:p>
    <w:p w14:paraId="75F31965" w14:textId="77777777" w:rsidR="00917706" w:rsidRDefault="00C65DC4" w:rsidP="00C65DC4">
      <w:pPr>
        <w:spacing w:line="360" w:lineRule="auto"/>
        <w:ind w:left="720"/>
        <w:jc w:val="both"/>
        <w:rPr>
          <w:rFonts w:cs="Times New Roman"/>
          <w:szCs w:val="22"/>
        </w:rPr>
      </w:pPr>
      <w:r w:rsidRPr="00C65DC4">
        <w:rPr>
          <w:rFonts w:cs="Times New Roman"/>
          <w:szCs w:val="22"/>
        </w:rPr>
        <w:t>Smowltech (2023) highlight sustainability as the integration of environmental stewardship, ethical practices, and community engagement within organizational strategy, aligning operational practices with stakeholder trust and corporate responsibility.</w:t>
      </w:r>
    </w:p>
    <w:p w14:paraId="77CE7528" w14:textId="547B2034" w:rsidR="00E219A6" w:rsidRDefault="00C65DC4" w:rsidP="00C65DC4">
      <w:pPr>
        <w:spacing w:line="360" w:lineRule="auto"/>
        <w:ind w:left="720"/>
        <w:jc w:val="both"/>
        <w:rPr>
          <w:rFonts w:cs="Times New Roman"/>
          <w:szCs w:val="22"/>
        </w:rPr>
      </w:pPr>
      <w:r w:rsidRPr="00C65DC4">
        <w:rPr>
          <w:rFonts w:cs="Times New Roman"/>
          <w:szCs w:val="22"/>
        </w:rPr>
        <w:t>Takkinen (2025) adds a critical, recent perspective by exploring the plurality and context-specificity of sustainability, recognizing the growing complexity, the need for transformative approaches, and the acknowledgment of limitations when pursuing sustainability goals in the Anthropocene era.</w:t>
      </w:r>
    </w:p>
    <w:p w14:paraId="7A15F68D" w14:textId="40BC554D" w:rsidR="002D7809" w:rsidRDefault="00393468" w:rsidP="00C65DC4">
      <w:pPr>
        <w:spacing w:line="360" w:lineRule="auto"/>
        <w:ind w:left="720"/>
        <w:jc w:val="both"/>
        <w:rPr>
          <w:rFonts w:cs="Times New Roman"/>
          <w:szCs w:val="22"/>
        </w:rPr>
      </w:pPr>
      <w:r w:rsidRPr="00393468">
        <w:rPr>
          <w:rFonts w:cs="Times New Roman"/>
          <w:noProof/>
          <w:szCs w:val="22"/>
        </w:rPr>
        <w:lastRenderedPageBreak/>
        <w:drawing>
          <wp:inline distT="0" distB="0" distL="0" distR="0" wp14:anchorId="14213395" wp14:editId="56F6ADE1">
            <wp:extent cx="5470229" cy="3032567"/>
            <wp:effectExtent l="0" t="0" r="0" b="0"/>
            <wp:docPr id="83230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30006" name=""/>
                    <pic:cNvPicPr/>
                  </pic:nvPicPr>
                  <pic:blipFill>
                    <a:blip r:embed="rId25"/>
                    <a:stretch>
                      <a:fillRect/>
                    </a:stretch>
                  </pic:blipFill>
                  <pic:spPr>
                    <a:xfrm>
                      <a:off x="0" y="0"/>
                      <a:ext cx="5474074" cy="3034698"/>
                    </a:xfrm>
                    <a:prstGeom prst="rect">
                      <a:avLst/>
                    </a:prstGeom>
                  </pic:spPr>
                </pic:pic>
              </a:graphicData>
            </a:graphic>
          </wp:inline>
        </w:drawing>
      </w:r>
    </w:p>
    <w:p w14:paraId="2F43B7EF" w14:textId="07FC4B6E" w:rsidR="00E219A6" w:rsidRPr="00915260" w:rsidRDefault="00E219A6" w:rsidP="004F76CE">
      <w:pPr>
        <w:pStyle w:val="Heading2"/>
        <w:numPr>
          <w:ilvl w:val="2"/>
          <w:numId w:val="5"/>
        </w:numPr>
        <w:spacing w:line="360" w:lineRule="auto"/>
        <w:rPr>
          <w:rFonts w:cs="Times New Roman"/>
          <w:b/>
          <w:bCs/>
          <w:sz w:val="22"/>
          <w:szCs w:val="22"/>
        </w:rPr>
      </w:pPr>
      <w:bookmarkStart w:id="39" w:name="_Toc209184658"/>
      <w:bookmarkStart w:id="40" w:name="_Toc213748911"/>
      <w:r w:rsidRPr="00915260">
        <w:rPr>
          <w:rFonts w:cs="Times New Roman"/>
          <w:b/>
          <w:bCs/>
          <w:sz w:val="22"/>
          <w:szCs w:val="22"/>
        </w:rPr>
        <w:t>Measurement</w:t>
      </w:r>
      <w:bookmarkEnd w:id="39"/>
      <w:r w:rsidR="002D7809">
        <w:rPr>
          <w:rFonts w:cs="Times New Roman" w:hint="eastAsia"/>
          <w:b/>
          <w:bCs/>
          <w:sz w:val="22"/>
          <w:szCs w:val="22"/>
        </w:rPr>
        <w:t xml:space="preserve"> of Sustainability</w:t>
      </w:r>
      <w:bookmarkEnd w:id="40"/>
    </w:p>
    <w:p w14:paraId="58A7CB92" w14:textId="5B5D0E1B" w:rsidR="00917706" w:rsidRDefault="00C72B46" w:rsidP="00C72B46">
      <w:pPr>
        <w:spacing w:line="360" w:lineRule="auto"/>
        <w:ind w:left="720"/>
        <w:jc w:val="both"/>
        <w:rPr>
          <w:rFonts w:cs="Times New Roman"/>
          <w:kern w:val="0"/>
          <w:szCs w:val="22"/>
          <w14:ligatures w14:val="none"/>
        </w:rPr>
      </w:pPr>
      <w:r w:rsidRPr="00C72B46">
        <w:rPr>
          <w:rFonts w:eastAsia="Times New Roman" w:cs="Times New Roman"/>
          <w:kern w:val="0"/>
          <w:szCs w:val="22"/>
          <w14:ligatures w14:val="none"/>
        </w:rPr>
        <w:t xml:space="preserve">Panda et al. (2020) advocate for the "Triple Bottom Line" (TBL) </w:t>
      </w:r>
      <w:r w:rsidR="00393468">
        <w:rPr>
          <w:rFonts w:eastAsia="Times New Roman" w:cs="Times New Roman"/>
          <w:kern w:val="0"/>
          <w:szCs w:val="22"/>
          <w14:ligatures w14:val="none"/>
        </w:rPr>
        <w:t>assess</w:t>
      </w:r>
      <w:r w:rsidR="00393468">
        <w:rPr>
          <w:rFonts w:eastAsia="Times New Roman" w:cs="Times New Roman"/>
          <w:kern w:val="0"/>
          <w:szCs w:val="22"/>
          <w14:ligatures w14:val="none"/>
        </w:rPr>
        <w:tab/>
      </w:r>
      <w:proofErr w:type="spellStart"/>
      <w:r w:rsidRPr="00C72B46">
        <w:rPr>
          <w:rFonts w:eastAsia="Times New Roman" w:cs="Times New Roman"/>
          <w:kern w:val="0"/>
          <w:szCs w:val="22"/>
          <w14:ligatures w14:val="none"/>
        </w:rPr>
        <w:t>ent</w:t>
      </w:r>
      <w:proofErr w:type="spellEnd"/>
      <w:r w:rsidRPr="00C72B46">
        <w:rPr>
          <w:rFonts w:eastAsia="Times New Roman" w:cs="Times New Roman"/>
          <w:kern w:val="0"/>
          <w:szCs w:val="22"/>
          <w14:ligatures w14:val="none"/>
        </w:rPr>
        <w:t>, covering economic growth, social responsibility, and environmental protection, with integrated metrics on resource usage, profitability, and community impact.</w:t>
      </w:r>
    </w:p>
    <w:p w14:paraId="0C706156" w14:textId="77777777" w:rsidR="00917706" w:rsidRDefault="00C72B46" w:rsidP="00C72B46">
      <w:pPr>
        <w:spacing w:line="360" w:lineRule="auto"/>
        <w:ind w:left="720"/>
        <w:jc w:val="both"/>
        <w:rPr>
          <w:rFonts w:cs="Times New Roman"/>
          <w:kern w:val="0"/>
          <w:szCs w:val="22"/>
          <w14:ligatures w14:val="none"/>
        </w:rPr>
      </w:pPr>
      <w:r w:rsidRPr="00C72B46">
        <w:rPr>
          <w:rFonts w:eastAsia="Times New Roman" w:cs="Times New Roman"/>
          <w:kern w:val="0"/>
          <w:szCs w:val="22"/>
          <w14:ligatures w14:val="none"/>
        </w:rPr>
        <w:t>Smowltech (2023) recommend using ESG (Environmental, Social, Governance) indicators, carbon footprint tracking, ethical employment metrics, and social investment reporting for comprehensive measurement.</w:t>
      </w:r>
    </w:p>
    <w:p w14:paraId="5D096F10" w14:textId="77777777" w:rsidR="00917706" w:rsidRDefault="00C72B46" w:rsidP="00C72B46">
      <w:pPr>
        <w:spacing w:line="360" w:lineRule="auto"/>
        <w:ind w:left="720"/>
        <w:jc w:val="both"/>
        <w:rPr>
          <w:rFonts w:cs="Times New Roman"/>
          <w:kern w:val="0"/>
          <w:szCs w:val="22"/>
          <w14:ligatures w14:val="none"/>
        </w:rPr>
      </w:pPr>
      <w:r w:rsidRPr="00C72B46">
        <w:rPr>
          <w:rFonts w:eastAsia="Times New Roman" w:cs="Times New Roman"/>
          <w:kern w:val="0"/>
          <w:szCs w:val="22"/>
          <w14:ligatures w14:val="none"/>
        </w:rPr>
        <w:t>Conceptual Analysis (2021) supports customized indicators spanning environmental health, water and air quality, biodiversity, resource use efficiency, and socioeconomic progress, emphasizing the use of community and regionally tailored indicators.​</w:t>
      </w:r>
      <w:r w:rsidR="001F350C">
        <w:rPr>
          <w:rFonts w:eastAsia="Times New Roman" w:cs="Times New Roman"/>
          <w:kern w:val="0"/>
          <w:szCs w:val="22"/>
          <w14:ligatures w14:val="none"/>
        </w:rPr>
        <w:t xml:space="preserve"> </w:t>
      </w:r>
    </w:p>
    <w:p w14:paraId="2A5B4519" w14:textId="5FC182DC" w:rsidR="00917706" w:rsidRDefault="00C72B46" w:rsidP="00C72B46">
      <w:pPr>
        <w:spacing w:line="360" w:lineRule="auto"/>
        <w:ind w:left="720"/>
        <w:jc w:val="both"/>
        <w:rPr>
          <w:rFonts w:cs="Times New Roman"/>
          <w:kern w:val="0"/>
          <w:szCs w:val="22"/>
          <w14:ligatures w14:val="none"/>
        </w:rPr>
      </w:pPr>
      <w:proofErr w:type="spellStart"/>
      <w:r w:rsidRPr="00C72B46">
        <w:rPr>
          <w:rFonts w:eastAsia="Times New Roman" w:cs="Times New Roman"/>
          <w:kern w:val="0"/>
          <w:szCs w:val="22"/>
          <w14:ligatures w14:val="none"/>
        </w:rPr>
        <w:t>Vardari</w:t>
      </w:r>
      <w:proofErr w:type="spellEnd"/>
      <w:r w:rsidRPr="00C72B46">
        <w:rPr>
          <w:rFonts w:eastAsia="Times New Roman" w:cs="Times New Roman"/>
          <w:kern w:val="0"/>
          <w:szCs w:val="22"/>
          <w14:ligatures w14:val="none"/>
        </w:rPr>
        <w:t xml:space="preserve"> et al. (2020) </w:t>
      </w:r>
      <w:r w:rsidR="00DB2104" w:rsidRPr="00C72B46">
        <w:rPr>
          <w:rFonts w:eastAsia="Times New Roman" w:cs="Times New Roman"/>
          <w:kern w:val="0"/>
          <w:szCs w:val="22"/>
          <w14:ligatures w14:val="none"/>
        </w:rPr>
        <w:t>points</w:t>
      </w:r>
      <w:r w:rsidRPr="00C72B46">
        <w:rPr>
          <w:rFonts w:eastAsia="Times New Roman" w:cs="Times New Roman"/>
          <w:kern w:val="0"/>
          <w:szCs w:val="22"/>
          <w14:ligatures w14:val="none"/>
        </w:rPr>
        <w:t xml:space="preserve"> to financial and non-financial reporting (including risk management, compliance, and stakeholder engagement) that captures long-term value creation and sustainable performance.​</w:t>
      </w:r>
    </w:p>
    <w:p w14:paraId="0CA7DCD0" w14:textId="77777777" w:rsidR="007C5FAC" w:rsidRDefault="00C72B46" w:rsidP="007C5FAC">
      <w:pPr>
        <w:spacing w:line="360" w:lineRule="auto"/>
        <w:ind w:left="720"/>
        <w:jc w:val="both"/>
        <w:rPr>
          <w:rFonts w:cs="Times New Roman"/>
          <w:szCs w:val="22"/>
        </w:rPr>
      </w:pPr>
      <w:r w:rsidRPr="00C72B46">
        <w:rPr>
          <w:rFonts w:eastAsia="Times New Roman" w:cs="Times New Roman"/>
          <w:kern w:val="0"/>
          <w:szCs w:val="22"/>
          <w14:ligatures w14:val="none"/>
        </w:rPr>
        <w:t>Takkinen (2025) discusses the challenge of singular measurement, suggesting a move toward multi-scale, adaptive, and process-oriented indicators, while warning of conceptual pitfalls in comparing across contexts.​</w:t>
      </w:r>
    </w:p>
    <w:p w14:paraId="21314914" w14:textId="77777777" w:rsidR="00C72B46" w:rsidRDefault="00C72B46" w:rsidP="00C72B46">
      <w:pPr>
        <w:spacing w:line="360" w:lineRule="auto"/>
        <w:ind w:left="720"/>
        <w:jc w:val="both"/>
        <w:rPr>
          <w:i/>
          <w:iCs/>
          <w:sz w:val="20"/>
          <w:szCs w:val="20"/>
        </w:rPr>
      </w:pPr>
    </w:p>
    <w:p w14:paraId="655DCF0B" w14:textId="529D28FD" w:rsidR="00246D8E" w:rsidRDefault="00246D8E" w:rsidP="00C72B46">
      <w:pPr>
        <w:spacing w:line="360" w:lineRule="auto"/>
        <w:ind w:left="720"/>
        <w:jc w:val="both"/>
        <w:rPr>
          <w:rFonts w:cs="Times New Roman"/>
          <w:kern w:val="0"/>
          <w:szCs w:val="22"/>
          <w14:ligatures w14:val="none"/>
        </w:rPr>
      </w:pPr>
      <w:r w:rsidRPr="00246D8E">
        <w:rPr>
          <w:rFonts w:cs="Times New Roman"/>
          <w:noProof/>
          <w:kern w:val="0"/>
          <w:szCs w:val="22"/>
          <w14:ligatures w14:val="none"/>
        </w:rPr>
        <w:lastRenderedPageBreak/>
        <w:drawing>
          <wp:inline distT="0" distB="0" distL="0" distR="0" wp14:anchorId="723A6659" wp14:editId="0E8F5EFD">
            <wp:extent cx="5501423" cy="3090441"/>
            <wp:effectExtent l="0" t="0" r="4445" b="0"/>
            <wp:docPr id="3381398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139887" name="Picture 1" descr="A screenshot of a computer&#10;&#10;AI-generated content may be incorrect."/>
                    <pic:cNvPicPr/>
                  </pic:nvPicPr>
                  <pic:blipFill>
                    <a:blip r:embed="rId26"/>
                    <a:stretch>
                      <a:fillRect/>
                    </a:stretch>
                  </pic:blipFill>
                  <pic:spPr>
                    <a:xfrm>
                      <a:off x="0" y="0"/>
                      <a:ext cx="5507473" cy="3093840"/>
                    </a:xfrm>
                    <a:prstGeom prst="rect">
                      <a:avLst/>
                    </a:prstGeom>
                  </pic:spPr>
                </pic:pic>
              </a:graphicData>
            </a:graphic>
          </wp:inline>
        </w:drawing>
      </w:r>
    </w:p>
    <w:p w14:paraId="6BF6B9C7" w14:textId="77777777" w:rsidR="00246D8E" w:rsidRDefault="00246D8E" w:rsidP="00C72B46">
      <w:pPr>
        <w:spacing w:line="360" w:lineRule="auto"/>
        <w:ind w:left="720"/>
        <w:jc w:val="both"/>
        <w:rPr>
          <w:rFonts w:cs="Times New Roman"/>
          <w:kern w:val="0"/>
          <w:szCs w:val="22"/>
          <w14:ligatures w14:val="none"/>
        </w:rPr>
      </w:pPr>
    </w:p>
    <w:p w14:paraId="16A83B87" w14:textId="77777777" w:rsidR="00242123" w:rsidRPr="00915260" w:rsidRDefault="00242123" w:rsidP="00242123">
      <w:pPr>
        <w:pStyle w:val="Heading2"/>
        <w:numPr>
          <w:ilvl w:val="2"/>
          <w:numId w:val="5"/>
        </w:numPr>
        <w:spacing w:line="360" w:lineRule="auto"/>
        <w:rPr>
          <w:rFonts w:cs="Times New Roman"/>
          <w:b/>
          <w:bCs/>
          <w:sz w:val="22"/>
          <w:szCs w:val="22"/>
        </w:rPr>
      </w:pPr>
      <w:bookmarkStart w:id="41" w:name="_Toc213748912"/>
      <w:r w:rsidRPr="00915260">
        <w:rPr>
          <w:rFonts w:cs="Times New Roman"/>
          <w:b/>
          <w:bCs/>
          <w:sz w:val="22"/>
          <w:szCs w:val="22"/>
        </w:rPr>
        <w:t>Concluding Summary</w:t>
      </w:r>
      <w:bookmarkEnd w:id="41"/>
    </w:p>
    <w:p w14:paraId="29B2CC89" w14:textId="2E15F387" w:rsidR="00D4034E" w:rsidRPr="00D4034E" w:rsidRDefault="008608B0" w:rsidP="00D4034E">
      <w:pPr>
        <w:spacing w:line="360" w:lineRule="auto"/>
        <w:ind w:left="720"/>
        <w:jc w:val="both"/>
        <w:rPr>
          <w:rFonts w:cs="Times New Roman"/>
          <w:kern w:val="0"/>
          <w:szCs w:val="22"/>
          <w14:ligatures w14:val="none"/>
        </w:rPr>
      </w:pPr>
      <w:r w:rsidRPr="008608B0">
        <w:rPr>
          <w:rFonts w:cs="Times New Roman"/>
          <w:kern w:val="0"/>
          <w:szCs w:val="22"/>
          <w14:ligatures w14:val="none"/>
        </w:rPr>
        <w:t>Selecting Panda et al. (2020) as the guiding framework for measuring sustainability in this research dissertation offers distinct strengths. The Triple Bottom Line (TBL) approach captures the full breadth of sustainability by integrating economic, social, and environmental perspectives</w:t>
      </w:r>
      <w:r w:rsidR="006E2D1C">
        <w:rPr>
          <w:rFonts w:cs="Times New Roman" w:hint="eastAsia"/>
          <w:kern w:val="0"/>
          <w:szCs w:val="22"/>
          <w14:ligatures w14:val="none"/>
        </w:rPr>
        <w:t xml:space="preserve">, </w:t>
      </w:r>
      <w:r w:rsidRPr="008608B0">
        <w:rPr>
          <w:rFonts w:cs="Times New Roman"/>
          <w:kern w:val="0"/>
          <w:szCs w:val="22"/>
          <w14:ligatures w14:val="none"/>
        </w:rPr>
        <w:t xml:space="preserve">an analytical structure widely endorsed across academic, industry, and policy domains. This balanced model provides clarity, comparability, and actionable insights through standardized metrics like resource usage, profitability, and community impact, making it particularly suitable for empirical research and practical application. By addressing each pillar equally, the TBL framework ensures that sustainability efforts do not favor one dimension at the expense of others and </w:t>
      </w:r>
      <w:r w:rsidR="006E2D1C" w:rsidRPr="008608B0">
        <w:rPr>
          <w:rFonts w:cs="Times New Roman"/>
          <w:kern w:val="0"/>
          <w:szCs w:val="22"/>
          <w14:ligatures w14:val="none"/>
        </w:rPr>
        <w:t>facilitate</w:t>
      </w:r>
      <w:r w:rsidRPr="008608B0">
        <w:rPr>
          <w:rFonts w:cs="Times New Roman"/>
          <w:kern w:val="0"/>
          <w:szCs w:val="22"/>
          <w14:ligatures w14:val="none"/>
        </w:rPr>
        <w:t xml:space="preserve"> rigorous evaluation of long-term value. Furthermore, the prevalence and reliability of this model support its adoption for cross-sectoral studies, enabling findings to influence both theoretical advancement and decision-making for sustainable development.</w:t>
      </w:r>
      <w:r w:rsidR="00394F9C">
        <w:rPr>
          <w:rFonts w:cs="Times New Roman" w:hint="eastAsia"/>
          <w:kern w:val="0"/>
          <w:szCs w:val="22"/>
          <w14:ligatures w14:val="none"/>
        </w:rPr>
        <w:t xml:space="preserve"> </w:t>
      </w:r>
      <w:proofErr w:type="spellStart"/>
      <w:r w:rsidR="00394F9C" w:rsidRPr="00394F9C">
        <w:rPr>
          <w:rFonts w:cs="Times New Roman"/>
          <w:kern w:val="0"/>
          <w:szCs w:val="22"/>
          <w14:ligatures w14:val="none"/>
        </w:rPr>
        <w:t>Vardari</w:t>
      </w:r>
      <w:proofErr w:type="spellEnd"/>
      <w:r w:rsidR="00394F9C" w:rsidRPr="00394F9C">
        <w:rPr>
          <w:rFonts w:cs="Times New Roman"/>
          <w:kern w:val="0"/>
          <w:szCs w:val="22"/>
          <w14:ligatures w14:val="none"/>
        </w:rPr>
        <w:t xml:space="preserve"> et al. (2020), Conceptual Analysis (2021), Smowltech (2023), and Takkinen (2025)</w:t>
      </w:r>
      <w:r w:rsidR="006A2376">
        <w:rPr>
          <w:rFonts w:cs="Times New Roman" w:hint="eastAsia"/>
          <w:kern w:val="0"/>
          <w:szCs w:val="22"/>
          <w14:ligatures w14:val="none"/>
        </w:rPr>
        <w:t xml:space="preserve"> </w:t>
      </w:r>
      <w:r w:rsidR="00394F9C" w:rsidRPr="00394F9C">
        <w:rPr>
          <w:rFonts w:cs="Times New Roman"/>
          <w:kern w:val="0"/>
          <w:szCs w:val="22"/>
          <w14:ligatures w14:val="none"/>
        </w:rPr>
        <w:t>are not selected as</w:t>
      </w:r>
      <w:r w:rsidR="006A2376">
        <w:rPr>
          <w:rFonts w:cs="Times New Roman" w:hint="eastAsia"/>
          <w:kern w:val="0"/>
          <w:szCs w:val="22"/>
          <w14:ligatures w14:val="none"/>
        </w:rPr>
        <w:t xml:space="preserve"> the frameworks</w:t>
      </w:r>
      <w:r w:rsidR="00394F9C" w:rsidRPr="00394F9C">
        <w:rPr>
          <w:rFonts w:cs="Times New Roman"/>
          <w:kern w:val="0"/>
          <w:szCs w:val="22"/>
          <w14:ligatures w14:val="none"/>
        </w:rPr>
        <w:t xml:space="preserve"> either emphasize context-specific indicators, focus on social or ethical dimensions at the expense of comparability, rely on specialized metrics that may lack generalizability, or present conceptual complexity that can restrict practical application in empirical research contexts.</w:t>
      </w:r>
    </w:p>
    <w:p w14:paraId="419D34B4" w14:textId="318E0A11" w:rsidR="00AB76D9" w:rsidRDefault="00AB76D9">
      <w:pPr>
        <w:rPr>
          <w:rFonts w:eastAsia="Times New Roman" w:cs="Times New Roman"/>
          <w:kern w:val="0"/>
          <w:szCs w:val="22"/>
          <w14:ligatures w14:val="none"/>
        </w:rPr>
      </w:pPr>
      <w:r>
        <w:rPr>
          <w:rFonts w:eastAsia="Times New Roman" w:cs="Times New Roman"/>
          <w:kern w:val="0"/>
          <w:szCs w:val="22"/>
          <w14:ligatures w14:val="none"/>
        </w:rPr>
        <w:br w:type="page"/>
      </w:r>
    </w:p>
    <w:p w14:paraId="3124F43C" w14:textId="77777777" w:rsidR="00D4034E" w:rsidRPr="00915260" w:rsidRDefault="00D4034E" w:rsidP="00D4034E">
      <w:pPr>
        <w:spacing w:line="360" w:lineRule="auto"/>
        <w:jc w:val="both"/>
        <w:rPr>
          <w:rFonts w:eastAsia="Times New Roman" w:cs="Times New Roman"/>
          <w:kern w:val="0"/>
          <w:szCs w:val="22"/>
          <w14:ligatures w14:val="none"/>
        </w:rPr>
      </w:pPr>
    </w:p>
    <w:p w14:paraId="206ABD23" w14:textId="11609E32" w:rsidR="009E1E2A" w:rsidRDefault="009E1E2A" w:rsidP="004F76CE">
      <w:pPr>
        <w:pStyle w:val="Heading2"/>
        <w:numPr>
          <w:ilvl w:val="1"/>
          <w:numId w:val="5"/>
        </w:numPr>
        <w:spacing w:line="360" w:lineRule="auto"/>
        <w:ind w:left="450" w:hanging="450"/>
        <w:rPr>
          <w:rFonts w:cs="Times New Roman"/>
          <w:b/>
          <w:bCs/>
          <w:sz w:val="22"/>
          <w:szCs w:val="22"/>
        </w:rPr>
      </w:pPr>
      <w:bookmarkStart w:id="42" w:name="_Toc209184659"/>
      <w:bookmarkStart w:id="43" w:name="_Toc213748913"/>
      <w:r w:rsidRPr="00915260">
        <w:rPr>
          <w:rFonts w:cs="Times New Roman"/>
          <w:b/>
          <w:bCs/>
          <w:sz w:val="22"/>
          <w:szCs w:val="22"/>
        </w:rPr>
        <w:t>Brand Trust</w:t>
      </w:r>
      <w:bookmarkEnd w:id="42"/>
      <w:bookmarkEnd w:id="43"/>
    </w:p>
    <w:p w14:paraId="3B1C0578" w14:textId="32D3C51E" w:rsidR="00DD0C39" w:rsidRDefault="00FE4632" w:rsidP="00487436">
      <w:pPr>
        <w:spacing w:line="360" w:lineRule="auto"/>
        <w:jc w:val="both"/>
      </w:pPr>
      <w:r w:rsidRPr="00FE4632">
        <w:t>Brand trust is described as the consumer’s confidence in a brand’s promise and reliability, emerging as both a mediating and moderating variable in digital environments. Cardoso et al. (2022) highlight trust as a critical bridge between brand attitudes and purchase intention, particularly when transparency and perceived ethicality are salient. Trust is multi-dimensional, encompassing perceived competence, reliability, honesty, and emotional attachment. Systematic literature reviews identify content marketing quality, perceived authenticity, and active social engagement as contributing factors in trust formation.</w:t>
      </w:r>
    </w:p>
    <w:p w14:paraId="635B0912" w14:textId="77777777" w:rsidR="00F16BE9" w:rsidRPr="00DD0C39" w:rsidRDefault="00F16BE9" w:rsidP="00487436">
      <w:pPr>
        <w:spacing w:line="360" w:lineRule="auto"/>
        <w:jc w:val="both"/>
      </w:pPr>
    </w:p>
    <w:p w14:paraId="39E69BF1" w14:textId="4B43E008" w:rsidR="009E1E2A" w:rsidRPr="00915260" w:rsidRDefault="009E1E2A" w:rsidP="004F76CE">
      <w:pPr>
        <w:pStyle w:val="Heading2"/>
        <w:numPr>
          <w:ilvl w:val="2"/>
          <w:numId w:val="5"/>
        </w:numPr>
        <w:spacing w:line="360" w:lineRule="auto"/>
        <w:rPr>
          <w:rFonts w:cs="Times New Roman"/>
          <w:b/>
          <w:bCs/>
          <w:sz w:val="22"/>
          <w:szCs w:val="22"/>
        </w:rPr>
      </w:pPr>
      <w:bookmarkStart w:id="44" w:name="_Toc209184660"/>
      <w:bookmarkStart w:id="45" w:name="_Toc213748914"/>
      <w:r w:rsidRPr="00915260">
        <w:rPr>
          <w:rFonts w:cs="Times New Roman"/>
          <w:b/>
          <w:bCs/>
          <w:sz w:val="22"/>
          <w:szCs w:val="22"/>
        </w:rPr>
        <w:t>Definition</w:t>
      </w:r>
      <w:bookmarkEnd w:id="44"/>
      <w:r w:rsidR="00487436">
        <w:rPr>
          <w:rFonts w:cs="Times New Roman" w:hint="eastAsia"/>
          <w:b/>
          <w:bCs/>
          <w:sz w:val="22"/>
          <w:szCs w:val="22"/>
        </w:rPr>
        <w:t xml:space="preserve"> of Brand Trust</w:t>
      </w:r>
      <w:bookmarkEnd w:id="45"/>
    </w:p>
    <w:p w14:paraId="5989C5C0" w14:textId="0BFA142D" w:rsidR="00487436" w:rsidRPr="00487436" w:rsidRDefault="00487436" w:rsidP="00487436">
      <w:pPr>
        <w:spacing w:line="360" w:lineRule="auto"/>
        <w:ind w:left="720"/>
        <w:jc w:val="both"/>
        <w:rPr>
          <w:rFonts w:cs="Times New Roman"/>
          <w:szCs w:val="22"/>
        </w:rPr>
      </w:pPr>
      <w:r w:rsidRPr="00487436">
        <w:rPr>
          <w:rFonts w:cs="Times New Roman"/>
          <w:szCs w:val="22"/>
        </w:rPr>
        <w:t>Morwitz (2014) established early understanding of trust in consumer behavior, demonstrating how consumers’ intentions and decisions are significantly influenced by the</w:t>
      </w:r>
      <w:r w:rsidR="00E6046F">
        <w:rPr>
          <w:rFonts w:cs="Times New Roman" w:hint="eastAsia"/>
          <w:szCs w:val="22"/>
        </w:rPr>
        <w:t xml:space="preserve"> </w:t>
      </w:r>
      <w:r w:rsidRPr="00487436">
        <w:rPr>
          <w:rFonts w:cs="Times New Roman"/>
          <w:szCs w:val="22"/>
        </w:rPr>
        <w:t>confidence in a brand’s competence and consistency. This laid the foundation for linking trust to behavioral intention.</w:t>
      </w:r>
    </w:p>
    <w:p w14:paraId="61BEEF21" w14:textId="77777777" w:rsidR="001F2E5E" w:rsidRDefault="00487436" w:rsidP="00487436">
      <w:pPr>
        <w:spacing w:line="360" w:lineRule="auto"/>
        <w:ind w:left="720"/>
        <w:jc w:val="both"/>
        <w:rPr>
          <w:rFonts w:cs="Times New Roman"/>
          <w:szCs w:val="22"/>
        </w:rPr>
      </w:pPr>
      <w:r w:rsidRPr="00487436">
        <w:rPr>
          <w:rFonts w:cs="Times New Roman"/>
          <w:szCs w:val="22"/>
        </w:rPr>
        <w:t>Dam (2020) explained brand trust as the willingness of consumers to rely on a brand’s ability to perform its promised function and represent sincerity, reliability, and safety in transactions. Trust serves as an indicator of risk reduction and emotional assurance, which enhances purchase intention.</w:t>
      </w:r>
    </w:p>
    <w:p w14:paraId="772E2DF0" w14:textId="77777777" w:rsidR="001F2E5E" w:rsidRDefault="00487436" w:rsidP="00487436">
      <w:pPr>
        <w:spacing w:line="360" w:lineRule="auto"/>
        <w:ind w:left="720"/>
        <w:jc w:val="both"/>
        <w:rPr>
          <w:rFonts w:cs="Times New Roman"/>
          <w:szCs w:val="22"/>
        </w:rPr>
      </w:pPr>
      <w:r w:rsidRPr="00487436">
        <w:rPr>
          <w:rFonts w:cs="Times New Roman"/>
          <w:szCs w:val="22"/>
        </w:rPr>
        <w:t xml:space="preserve">Cardoso et al. (2022) expanded on this by positioning brand trust as a mediator between brand attitude and loyalty, describing it as the consumer’s belief in a brand’s ability to meet expectations. </w:t>
      </w:r>
      <w:r w:rsidR="00E6046F">
        <w:rPr>
          <w:rFonts w:cs="Times New Roman"/>
          <w:szCs w:val="22"/>
        </w:rPr>
        <w:t>T</w:t>
      </w:r>
      <w:r w:rsidR="00E6046F">
        <w:rPr>
          <w:rFonts w:cs="Times New Roman" w:hint="eastAsia"/>
          <w:szCs w:val="22"/>
        </w:rPr>
        <w:t>he</w:t>
      </w:r>
      <w:r w:rsidRPr="00487436">
        <w:rPr>
          <w:rFonts w:cs="Times New Roman"/>
          <w:szCs w:val="22"/>
        </w:rPr>
        <w:t xml:space="preserve"> research conceptualized trust through affective dimensions (confidence, integrity) that strengthen commitment to the brand.</w:t>
      </w:r>
    </w:p>
    <w:p w14:paraId="5F3E42A6" w14:textId="2068FFE8" w:rsidR="00507808" w:rsidRDefault="00487436" w:rsidP="00487436">
      <w:pPr>
        <w:spacing w:line="360" w:lineRule="auto"/>
        <w:ind w:left="720"/>
        <w:jc w:val="both"/>
        <w:rPr>
          <w:rFonts w:cs="Times New Roman"/>
          <w:szCs w:val="22"/>
        </w:rPr>
      </w:pPr>
      <w:r w:rsidRPr="00487436">
        <w:rPr>
          <w:rFonts w:cs="Times New Roman"/>
          <w:szCs w:val="22"/>
        </w:rPr>
        <w:t>Liang and Jui (2024) redefined brand trust within the digital and experiential context, emphasizing emotional connection, predictability, and authenticity in brand-consumer relationships. They argue that trust now reflects the consumer’s holistic experience of brand reliability across various digital touchpoints and service interactions.</w:t>
      </w:r>
      <w:r w:rsidR="001F350C">
        <w:rPr>
          <w:rFonts w:cs="Times New Roman"/>
          <w:szCs w:val="22"/>
        </w:rPr>
        <w:t xml:space="preserve"> </w:t>
      </w:r>
      <w:r w:rsidRPr="00487436">
        <w:rPr>
          <w:rFonts w:cs="Times New Roman"/>
          <w:szCs w:val="22"/>
        </w:rPr>
        <w:t>Collectively, these authors illustrate that brand trust evolves from a cognitive assessment of brand reliability to an emotional and relational construct strengthening brand attachment and long-term loyalty.</w:t>
      </w:r>
    </w:p>
    <w:p w14:paraId="36523709" w14:textId="3C457318" w:rsidR="00FC15ED" w:rsidRDefault="00FC15ED" w:rsidP="00487436">
      <w:pPr>
        <w:spacing w:line="360" w:lineRule="auto"/>
        <w:ind w:left="720"/>
        <w:jc w:val="both"/>
        <w:rPr>
          <w:rFonts w:cs="Times New Roman"/>
          <w:szCs w:val="22"/>
        </w:rPr>
      </w:pPr>
      <w:r w:rsidRPr="00FC15ED">
        <w:rPr>
          <w:rFonts w:cs="Times New Roman"/>
          <w:noProof/>
          <w:szCs w:val="22"/>
        </w:rPr>
        <w:lastRenderedPageBreak/>
        <w:drawing>
          <wp:inline distT="0" distB="0" distL="0" distR="0" wp14:anchorId="4523B78C" wp14:editId="3B096D5C">
            <wp:extent cx="5469418" cy="2968906"/>
            <wp:effectExtent l="0" t="0" r="0" b="3175"/>
            <wp:docPr id="2748576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857653" name="Picture 1" descr="A screenshot of a computer&#10;&#10;AI-generated content may be incorrect."/>
                    <pic:cNvPicPr/>
                  </pic:nvPicPr>
                  <pic:blipFill>
                    <a:blip r:embed="rId27"/>
                    <a:stretch>
                      <a:fillRect/>
                    </a:stretch>
                  </pic:blipFill>
                  <pic:spPr>
                    <a:xfrm>
                      <a:off x="0" y="0"/>
                      <a:ext cx="5518251" cy="2995414"/>
                    </a:xfrm>
                    <a:prstGeom prst="rect">
                      <a:avLst/>
                    </a:prstGeom>
                  </pic:spPr>
                </pic:pic>
              </a:graphicData>
            </a:graphic>
          </wp:inline>
        </w:drawing>
      </w:r>
    </w:p>
    <w:p w14:paraId="084085C3" w14:textId="77777777" w:rsidR="00EA7E82" w:rsidRDefault="00EA7E82" w:rsidP="00487436">
      <w:pPr>
        <w:spacing w:line="360" w:lineRule="auto"/>
        <w:ind w:left="720"/>
        <w:jc w:val="both"/>
        <w:rPr>
          <w:rFonts w:cs="Times New Roman"/>
          <w:szCs w:val="22"/>
        </w:rPr>
      </w:pPr>
    </w:p>
    <w:p w14:paraId="19C6B641" w14:textId="6C9F5EA2" w:rsidR="009E1E2A" w:rsidRPr="00915260" w:rsidRDefault="009E1E2A" w:rsidP="004F76CE">
      <w:pPr>
        <w:pStyle w:val="Heading2"/>
        <w:numPr>
          <w:ilvl w:val="2"/>
          <w:numId w:val="5"/>
        </w:numPr>
        <w:spacing w:line="360" w:lineRule="auto"/>
        <w:rPr>
          <w:rFonts w:cs="Times New Roman"/>
          <w:b/>
          <w:bCs/>
          <w:sz w:val="22"/>
          <w:szCs w:val="22"/>
        </w:rPr>
      </w:pPr>
      <w:bookmarkStart w:id="46" w:name="_Toc209184661"/>
      <w:bookmarkStart w:id="47" w:name="_Toc213748915"/>
      <w:r w:rsidRPr="00915260">
        <w:rPr>
          <w:rFonts w:cs="Times New Roman"/>
          <w:b/>
          <w:bCs/>
          <w:sz w:val="22"/>
          <w:szCs w:val="22"/>
        </w:rPr>
        <w:t>Measurement</w:t>
      </w:r>
      <w:bookmarkEnd w:id="46"/>
      <w:r w:rsidR="002D04FE">
        <w:rPr>
          <w:rFonts w:cs="Times New Roman" w:hint="eastAsia"/>
          <w:b/>
          <w:bCs/>
          <w:sz w:val="22"/>
          <w:szCs w:val="22"/>
        </w:rPr>
        <w:t xml:space="preserve"> of Brand Trust</w:t>
      </w:r>
      <w:bookmarkEnd w:id="47"/>
    </w:p>
    <w:p w14:paraId="3DAE5FA8" w14:textId="77777777" w:rsidR="00467EE9" w:rsidRPr="00467EE9" w:rsidRDefault="00467EE9" w:rsidP="00467EE9">
      <w:pPr>
        <w:spacing w:line="360" w:lineRule="auto"/>
        <w:ind w:left="720"/>
        <w:jc w:val="both"/>
        <w:rPr>
          <w:rFonts w:eastAsia="Times New Roman" w:cs="Times New Roman"/>
          <w:kern w:val="0"/>
          <w:szCs w:val="22"/>
          <w14:ligatures w14:val="none"/>
        </w:rPr>
      </w:pPr>
      <w:r w:rsidRPr="00467EE9">
        <w:rPr>
          <w:rFonts w:eastAsia="Times New Roman" w:cs="Times New Roman"/>
          <w:kern w:val="0"/>
          <w:szCs w:val="22"/>
          <w14:ligatures w14:val="none"/>
        </w:rPr>
        <w:t>Brand trust is commonly measured through constructs that assess a consumer's perception of a brand’s reliability, competence, and integrity. Morwitz (2014) conceptualizes brand trust through cognitive dimensions, focusing on the consumer’s confidence in a brand’s competence, reliability, and performance consistency. This approach centers on how these cognitive factors contribute to repeat purchases and overall brand credibility, underlining the importance of consistently meeting consumer expectations.</w:t>
      </w:r>
    </w:p>
    <w:p w14:paraId="26DA0E1A" w14:textId="77777777" w:rsidR="00467EE9" w:rsidRPr="00467EE9" w:rsidRDefault="00467EE9" w:rsidP="00467EE9">
      <w:pPr>
        <w:spacing w:line="360" w:lineRule="auto"/>
        <w:ind w:left="720"/>
        <w:jc w:val="both"/>
        <w:rPr>
          <w:rFonts w:eastAsia="Times New Roman" w:cs="Times New Roman"/>
          <w:kern w:val="0"/>
          <w:szCs w:val="22"/>
          <w14:ligatures w14:val="none"/>
        </w:rPr>
      </w:pPr>
      <w:r w:rsidRPr="00467EE9">
        <w:rPr>
          <w:rFonts w:eastAsia="Times New Roman" w:cs="Times New Roman"/>
          <w:kern w:val="0"/>
          <w:szCs w:val="22"/>
          <w14:ligatures w14:val="none"/>
        </w:rPr>
        <w:t>Dam (2020) expands the measurement of brand trust by incorporating both perceptual and emotional dimensions, specifically highlighting reliability (including promise keeping), integrity (acting honestly), and benevolence (having consumers’ best interests in mind). Dam’s framework positions trust as an indicator of risk reduction and emotional assurance, capturing how brand behaviors foster confidence and mitigate consumer uncertainty during transactions.</w:t>
      </w:r>
    </w:p>
    <w:p w14:paraId="580D117D" w14:textId="77777777" w:rsidR="00467EE9" w:rsidRDefault="00467EE9" w:rsidP="00467EE9">
      <w:pPr>
        <w:spacing w:line="360" w:lineRule="auto"/>
        <w:ind w:left="720"/>
        <w:jc w:val="both"/>
        <w:rPr>
          <w:rFonts w:cs="Times New Roman"/>
          <w:kern w:val="0"/>
          <w:szCs w:val="22"/>
          <w14:ligatures w14:val="none"/>
        </w:rPr>
      </w:pPr>
      <w:r w:rsidRPr="00467EE9">
        <w:rPr>
          <w:rFonts w:eastAsia="Times New Roman" w:cs="Times New Roman"/>
          <w:kern w:val="0"/>
          <w:szCs w:val="22"/>
          <w14:ligatures w14:val="none"/>
        </w:rPr>
        <w:t>Cardoso et al. (2022) further develop the measurement by emphasizing relational trust, including constructs such as credibility, honesty, reliability, and relational confidence, all of which are reinforced through the brand’s consistent communication practices. This model underscores the crucial role of honesty and consistency in brand actions, which strengthen consumer perception of trustworthiness and foster loyalty.</w:t>
      </w:r>
    </w:p>
    <w:p w14:paraId="3A33F098" w14:textId="2DE4DDAF" w:rsidR="00B21B9C" w:rsidRDefault="00B21B9C" w:rsidP="00467EE9">
      <w:pPr>
        <w:spacing w:line="360" w:lineRule="auto"/>
        <w:ind w:left="720"/>
        <w:jc w:val="both"/>
        <w:rPr>
          <w:rFonts w:cs="Times New Roman"/>
          <w:kern w:val="0"/>
          <w:szCs w:val="22"/>
          <w14:ligatures w14:val="none"/>
        </w:rPr>
      </w:pPr>
      <w:r w:rsidRPr="00B21B9C">
        <w:rPr>
          <w:rFonts w:cs="Times New Roman"/>
          <w:kern w:val="0"/>
          <w:szCs w:val="22"/>
          <w14:ligatures w14:val="none"/>
        </w:rPr>
        <w:t xml:space="preserve">Liang and Jui (2024) extend trust measurement to contemporary digital environments, employing a multi-dimensional scale encompassing benevolence, integrity, competence, and experience-based trust, as well as brand predictability, authenticity, and empathy across omnichannel contexts. These frameworks </w:t>
      </w:r>
      <w:r w:rsidRPr="00B21B9C">
        <w:rPr>
          <w:rFonts w:cs="Times New Roman"/>
          <w:kern w:val="0"/>
          <w:szCs w:val="22"/>
          <w14:ligatures w14:val="none"/>
        </w:rPr>
        <w:lastRenderedPageBreak/>
        <w:t>collectively underscore the multi-faceted nature of brand trust and its relevance for empirical study and strategic management.</w:t>
      </w:r>
    </w:p>
    <w:p w14:paraId="5ECF7C41" w14:textId="60343091" w:rsidR="009B2749" w:rsidRDefault="009772DE" w:rsidP="009B2749">
      <w:pPr>
        <w:spacing w:line="360" w:lineRule="auto"/>
        <w:ind w:left="720"/>
        <w:jc w:val="both"/>
        <w:rPr>
          <w:rFonts w:cs="Times New Roman"/>
          <w:kern w:val="0"/>
          <w:szCs w:val="22"/>
          <w14:ligatures w14:val="none"/>
        </w:rPr>
      </w:pPr>
      <w:r w:rsidRPr="009772DE">
        <w:rPr>
          <w:rFonts w:cs="Times New Roman"/>
          <w:noProof/>
          <w:kern w:val="0"/>
          <w:szCs w:val="22"/>
          <w14:ligatures w14:val="none"/>
        </w:rPr>
        <w:drawing>
          <wp:inline distT="0" distB="0" distL="0" distR="0" wp14:anchorId="4D381D04" wp14:editId="62EEDFD8">
            <wp:extent cx="5460030" cy="3489767"/>
            <wp:effectExtent l="0" t="0" r="7620" b="0"/>
            <wp:docPr id="963550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550203" name=""/>
                    <pic:cNvPicPr/>
                  </pic:nvPicPr>
                  <pic:blipFill>
                    <a:blip r:embed="rId28"/>
                    <a:stretch>
                      <a:fillRect/>
                    </a:stretch>
                  </pic:blipFill>
                  <pic:spPr>
                    <a:xfrm>
                      <a:off x="0" y="0"/>
                      <a:ext cx="5466586" cy="3493958"/>
                    </a:xfrm>
                    <a:prstGeom prst="rect">
                      <a:avLst/>
                    </a:prstGeom>
                  </pic:spPr>
                </pic:pic>
              </a:graphicData>
            </a:graphic>
          </wp:inline>
        </w:drawing>
      </w:r>
    </w:p>
    <w:p w14:paraId="47C3A042" w14:textId="77777777" w:rsidR="00EA7E82" w:rsidRDefault="00EA7E82" w:rsidP="009B2749">
      <w:pPr>
        <w:spacing w:line="360" w:lineRule="auto"/>
        <w:ind w:left="720"/>
        <w:jc w:val="both"/>
        <w:rPr>
          <w:rFonts w:cs="Times New Roman"/>
          <w:kern w:val="0"/>
          <w:szCs w:val="22"/>
          <w14:ligatures w14:val="none"/>
        </w:rPr>
      </w:pPr>
    </w:p>
    <w:p w14:paraId="3F3A52B0" w14:textId="1F0C0AF7" w:rsidR="00A760C7" w:rsidRPr="00915260" w:rsidRDefault="00A760C7" w:rsidP="00A760C7">
      <w:pPr>
        <w:pStyle w:val="Heading2"/>
        <w:numPr>
          <w:ilvl w:val="2"/>
          <w:numId w:val="5"/>
        </w:numPr>
        <w:spacing w:line="360" w:lineRule="auto"/>
        <w:rPr>
          <w:rFonts w:cs="Times New Roman"/>
          <w:b/>
          <w:bCs/>
          <w:sz w:val="22"/>
          <w:szCs w:val="22"/>
        </w:rPr>
      </w:pPr>
      <w:bookmarkStart w:id="48" w:name="_Toc213748916"/>
      <w:r w:rsidRPr="00915260">
        <w:rPr>
          <w:rFonts w:cs="Times New Roman"/>
          <w:b/>
          <w:bCs/>
          <w:sz w:val="22"/>
          <w:szCs w:val="22"/>
        </w:rPr>
        <w:t>Concluding Summary</w:t>
      </w:r>
      <w:bookmarkEnd w:id="48"/>
    </w:p>
    <w:p w14:paraId="23EC670E" w14:textId="6FDFA96F" w:rsidR="00A760C7" w:rsidRDefault="00E50F40" w:rsidP="00E50F40">
      <w:pPr>
        <w:spacing w:line="360" w:lineRule="auto"/>
        <w:ind w:left="720"/>
        <w:jc w:val="both"/>
        <w:rPr>
          <w:rFonts w:cs="Times New Roman"/>
          <w:szCs w:val="22"/>
        </w:rPr>
      </w:pPr>
      <w:r w:rsidRPr="00E50F40">
        <w:rPr>
          <w:rFonts w:cs="Times New Roman"/>
          <w:szCs w:val="22"/>
        </w:rPr>
        <w:t>Cardoso et al. (2022) was chosen as the foundation for this research because the framework positions brand trust as a critical mediating variable between brand attitude and loyalty, offering a comprehensive and empirically validated model that captures trust’s dual cognitive and affective dimensions. Th</w:t>
      </w:r>
      <w:r w:rsidR="003E08EC">
        <w:rPr>
          <w:rFonts w:cs="Times New Roman" w:hint="eastAsia"/>
          <w:szCs w:val="22"/>
        </w:rPr>
        <w:t>e</w:t>
      </w:r>
      <w:r w:rsidRPr="00E50F40">
        <w:rPr>
          <w:rFonts w:cs="Times New Roman"/>
          <w:szCs w:val="22"/>
        </w:rPr>
        <w:t xml:space="preserve"> measurement approach goes beyond traditional definitions by incorporating relational trust and consumer belief constructs, emphasizing credibility, reliability, and honesty as key drivers of satisfaction and loyalty intention. This aligns closely with modern understandings of brand-consumer relationships, where trust is not only about perceived ability but also about building genuine emotional connections. By using Cardoso et al.'s (2022) model, the research benefits from a robust conceptual structure that is well-suited to exploring the nuanced, mediating role of brand trust in driving sustainable consumer behaviors and long-term brand commitment.</w:t>
      </w:r>
      <w:r w:rsidR="00F15DA3">
        <w:rPr>
          <w:rFonts w:cs="Times New Roman" w:hint="eastAsia"/>
          <w:szCs w:val="22"/>
        </w:rPr>
        <w:t xml:space="preserve"> </w:t>
      </w:r>
      <w:r w:rsidR="00F15DA3">
        <w:rPr>
          <w:rFonts w:cs="Times New Roman"/>
          <w:szCs w:val="22"/>
        </w:rPr>
        <w:t>I</w:t>
      </w:r>
      <w:r w:rsidR="00F15DA3">
        <w:rPr>
          <w:rFonts w:cs="Times New Roman" w:hint="eastAsia"/>
          <w:szCs w:val="22"/>
        </w:rPr>
        <w:t>n contrast, o</w:t>
      </w:r>
      <w:r w:rsidR="00F15DA3" w:rsidRPr="00F15DA3">
        <w:rPr>
          <w:rFonts w:cs="Times New Roman"/>
          <w:szCs w:val="22"/>
        </w:rPr>
        <w:t xml:space="preserve">ther frameworks, such as those proposed by Morwitz (2014), Dam (2020), and Liang and Jui (2024), </w:t>
      </w:r>
      <w:r w:rsidR="00F15DA3">
        <w:rPr>
          <w:rFonts w:cs="Times New Roman" w:hint="eastAsia"/>
          <w:szCs w:val="22"/>
        </w:rPr>
        <w:t>that</w:t>
      </w:r>
      <w:r w:rsidR="00F15DA3" w:rsidRPr="00F15DA3">
        <w:rPr>
          <w:rFonts w:cs="Times New Roman"/>
          <w:szCs w:val="22"/>
        </w:rPr>
        <w:t xml:space="preserve"> either focus primarily on cognitive or emotional dimensions, or emphasize digital and multi-dimensional constructs that, while valuable, may not provide as comprehensive a relational approach to mediating brand </w:t>
      </w:r>
      <w:r w:rsidR="00F15DA3">
        <w:rPr>
          <w:rFonts w:cs="Times New Roman" w:hint="eastAsia"/>
          <w:szCs w:val="22"/>
        </w:rPr>
        <w:t>trust.</w:t>
      </w:r>
    </w:p>
    <w:p w14:paraId="0E33B9FE" w14:textId="22EEC008" w:rsidR="005F58C1" w:rsidRDefault="005F58C1" w:rsidP="004F76CE">
      <w:pPr>
        <w:pStyle w:val="Heading2"/>
        <w:numPr>
          <w:ilvl w:val="1"/>
          <w:numId w:val="5"/>
        </w:numPr>
        <w:spacing w:line="360" w:lineRule="auto"/>
        <w:ind w:left="450" w:hanging="360"/>
        <w:rPr>
          <w:rFonts w:cs="Times New Roman"/>
          <w:b/>
          <w:bCs/>
          <w:sz w:val="22"/>
          <w:szCs w:val="22"/>
        </w:rPr>
      </w:pPr>
      <w:r w:rsidRPr="00915260">
        <w:rPr>
          <w:rFonts w:cs="Times New Roman"/>
          <w:b/>
          <w:bCs/>
          <w:sz w:val="22"/>
          <w:szCs w:val="22"/>
        </w:rPr>
        <w:lastRenderedPageBreak/>
        <w:t xml:space="preserve"> </w:t>
      </w:r>
      <w:bookmarkStart w:id="49" w:name="_Toc209184662"/>
      <w:bookmarkStart w:id="50" w:name="_Toc213748917"/>
      <w:r w:rsidRPr="00915260">
        <w:rPr>
          <w:rFonts w:cs="Times New Roman"/>
          <w:b/>
          <w:bCs/>
          <w:sz w:val="22"/>
          <w:szCs w:val="22"/>
        </w:rPr>
        <w:t>Relationship between Variables</w:t>
      </w:r>
      <w:bookmarkEnd w:id="49"/>
      <w:bookmarkEnd w:id="50"/>
    </w:p>
    <w:p w14:paraId="0B5420E8" w14:textId="24CC8BC1" w:rsidR="00987E40" w:rsidRDefault="00573D8D" w:rsidP="002D0EBC">
      <w:pPr>
        <w:spacing w:line="360" w:lineRule="auto"/>
        <w:jc w:val="both"/>
        <w:rPr>
          <w:rFonts w:cs="Times New Roman"/>
          <w:szCs w:val="22"/>
        </w:rPr>
      </w:pPr>
      <w:r w:rsidRPr="00573D8D">
        <w:rPr>
          <w:rFonts w:cs="Times New Roman"/>
          <w:szCs w:val="22"/>
        </w:rPr>
        <w:t>This section examines the empirical relationships between the core variables</w:t>
      </w:r>
      <w:r>
        <w:rPr>
          <w:rFonts w:cs="Times New Roman" w:hint="eastAsia"/>
          <w:szCs w:val="22"/>
        </w:rPr>
        <w:t xml:space="preserve">, </w:t>
      </w:r>
      <w:r w:rsidRPr="00573D8D">
        <w:rPr>
          <w:rFonts w:cs="Times New Roman"/>
          <w:szCs w:val="22"/>
        </w:rPr>
        <w:t xml:space="preserve">social media marketing activities, environmental </w:t>
      </w:r>
      <w:r w:rsidR="00ED409C">
        <w:rPr>
          <w:rFonts w:cs="Times New Roman"/>
          <w:szCs w:val="22"/>
        </w:rPr>
        <w:t>conscious</w:t>
      </w:r>
      <w:r w:rsidRPr="00573D8D">
        <w:rPr>
          <w:rFonts w:cs="Times New Roman"/>
          <w:szCs w:val="22"/>
        </w:rPr>
        <w:t>, sustainability, brand trust</w:t>
      </w:r>
      <w:r>
        <w:rPr>
          <w:rFonts w:cs="Times New Roman" w:hint="eastAsia"/>
          <w:szCs w:val="22"/>
        </w:rPr>
        <w:t xml:space="preserve">, </w:t>
      </w:r>
      <w:r w:rsidRPr="00573D8D">
        <w:rPr>
          <w:rFonts w:cs="Times New Roman"/>
          <w:szCs w:val="22"/>
        </w:rPr>
        <w:t>and consumer purchase intention. Analysis of these relationships provides the foundation for developing hypotheses and guiding statistical analyses for this study.</w:t>
      </w:r>
    </w:p>
    <w:p w14:paraId="4C56E281" w14:textId="77777777" w:rsidR="00D81D69" w:rsidRDefault="00D81D69" w:rsidP="002D0EBC">
      <w:pPr>
        <w:spacing w:line="360" w:lineRule="auto"/>
        <w:jc w:val="both"/>
        <w:rPr>
          <w:rFonts w:cs="Times New Roman"/>
          <w:szCs w:val="22"/>
        </w:rPr>
      </w:pPr>
    </w:p>
    <w:p w14:paraId="5A9F98C9" w14:textId="708C2D81" w:rsidR="002B71DB" w:rsidRPr="00915260" w:rsidRDefault="005F58C1" w:rsidP="004F76CE">
      <w:pPr>
        <w:pStyle w:val="Heading2"/>
        <w:numPr>
          <w:ilvl w:val="2"/>
          <w:numId w:val="5"/>
        </w:numPr>
        <w:spacing w:line="360" w:lineRule="auto"/>
        <w:rPr>
          <w:rFonts w:cs="Times New Roman"/>
          <w:b/>
          <w:bCs/>
          <w:sz w:val="22"/>
          <w:szCs w:val="22"/>
        </w:rPr>
      </w:pPr>
      <w:bookmarkStart w:id="51" w:name="_Toc209184663"/>
      <w:bookmarkStart w:id="52" w:name="_Toc213748918"/>
      <w:r w:rsidRPr="00915260">
        <w:rPr>
          <w:rFonts w:cs="Times New Roman"/>
          <w:b/>
          <w:bCs/>
          <w:sz w:val="22"/>
          <w:szCs w:val="22"/>
        </w:rPr>
        <w:t>Social Meida Marketing Activities and Purchase Intention</w:t>
      </w:r>
      <w:bookmarkEnd w:id="51"/>
      <w:bookmarkEnd w:id="52"/>
    </w:p>
    <w:p w14:paraId="57583B56" w14:textId="4A585E2B" w:rsidR="001B14F5" w:rsidRDefault="00BF4551" w:rsidP="00626087">
      <w:pPr>
        <w:spacing w:line="360" w:lineRule="auto"/>
        <w:ind w:left="720"/>
        <w:jc w:val="both"/>
        <w:rPr>
          <w:rFonts w:cs="Times New Roman"/>
          <w:kern w:val="0"/>
          <w:szCs w:val="22"/>
          <w14:ligatures w14:val="none"/>
        </w:rPr>
      </w:pPr>
      <w:r w:rsidRPr="00BF4551">
        <w:rPr>
          <w:rFonts w:eastAsia="Times New Roman" w:cs="Times New Roman"/>
          <w:kern w:val="0"/>
          <w:szCs w:val="22"/>
          <w14:ligatures w14:val="none"/>
        </w:rPr>
        <w:t>Social media marketing activities (SMMA) have been found to exert a significant and direct positive effect on consumer purchase intention, independent of mediating factors like engagement or perceived value. Several empirical studies confirm that SMMA elements such as entertainment, interaction, and word-of-mouth communication directly influence the willingness of consumers to buy products promoted through social channels, supporting a direct relationship between SMMA and purchase intention without relying solely on mediation by brand equity or engagement. For example, Kim and Ko (2012) demonstrated through survey data that social media marketing efforts positively and directly affect consumers’ intention to purchase luxury brands, highlighting immediate impact beyond indirect pathways</w:t>
      </w:r>
      <w:r>
        <w:rPr>
          <w:rFonts w:cs="Times New Roman" w:hint="eastAsia"/>
          <w:kern w:val="0"/>
          <w:szCs w:val="22"/>
          <w14:ligatures w14:val="none"/>
        </w:rPr>
        <w:t xml:space="preserve"> </w:t>
      </w:r>
      <w:r w:rsidR="000600DD" w:rsidRPr="000600DD">
        <w:rPr>
          <w:rFonts w:cs="Times New Roman"/>
          <w:kern w:val="0"/>
          <w:szCs w:val="22"/>
          <w14:ligatures w14:val="none"/>
        </w:rPr>
        <w:t>(</w:t>
      </w:r>
      <w:proofErr w:type="spellStart"/>
      <w:r w:rsidR="000600DD" w:rsidRPr="000600DD">
        <w:rPr>
          <w:rFonts w:cs="Times New Roman"/>
          <w:kern w:val="0"/>
          <w:szCs w:val="22"/>
          <w14:ligatures w14:val="none"/>
        </w:rPr>
        <w:t>Olfebri</w:t>
      </w:r>
      <w:proofErr w:type="spellEnd"/>
      <w:r w:rsidR="000600DD" w:rsidRPr="000600DD">
        <w:rPr>
          <w:rFonts w:cs="Times New Roman"/>
          <w:kern w:val="0"/>
          <w:szCs w:val="22"/>
          <w14:ligatures w14:val="none"/>
        </w:rPr>
        <w:t xml:space="preserve">, </w:t>
      </w:r>
      <w:proofErr w:type="spellStart"/>
      <w:r w:rsidR="000600DD" w:rsidRPr="000600DD">
        <w:rPr>
          <w:rFonts w:cs="Times New Roman"/>
          <w:kern w:val="0"/>
          <w:szCs w:val="22"/>
          <w14:ligatures w14:val="none"/>
        </w:rPr>
        <w:t>Yuliantini</w:t>
      </w:r>
      <w:proofErr w:type="spellEnd"/>
      <w:r w:rsidR="000600DD" w:rsidRPr="000600DD">
        <w:rPr>
          <w:rFonts w:cs="Times New Roman"/>
          <w:kern w:val="0"/>
          <w:szCs w:val="22"/>
          <w14:ligatures w14:val="none"/>
        </w:rPr>
        <w:t xml:space="preserve"> and Cecep Pahrudin, 2025)</w:t>
      </w:r>
      <w:r w:rsidRPr="00BF4551">
        <w:rPr>
          <w:rFonts w:eastAsia="Times New Roman" w:cs="Times New Roman"/>
          <w:kern w:val="0"/>
          <w:szCs w:val="22"/>
          <w14:ligatures w14:val="none"/>
        </w:rPr>
        <w:t>.</w:t>
      </w:r>
      <w:r w:rsidR="00376FC5" w:rsidRPr="00376FC5">
        <w:rPr>
          <w:rFonts w:eastAsia="Times New Roman" w:cs="Times New Roman"/>
          <w:kern w:val="0"/>
          <w:szCs w:val="22"/>
          <w14:ligatures w14:val="none"/>
        </w:rPr>
        <w:t xml:space="preserve"> </w:t>
      </w:r>
    </w:p>
    <w:p w14:paraId="0F01A260" w14:textId="77777777" w:rsidR="000600DD" w:rsidRPr="000600DD" w:rsidRDefault="000600DD" w:rsidP="00626087">
      <w:pPr>
        <w:spacing w:line="360" w:lineRule="auto"/>
        <w:ind w:left="720"/>
        <w:jc w:val="both"/>
        <w:rPr>
          <w:rFonts w:cs="Times New Roman"/>
          <w:kern w:val="0"/>
          <w:szCs w:val="22"/>
          <w14:ligatures w14:val="none"/>
        </w:rPr>
      </w:pPr>
    </w:p>
    <w:p w14:paraId="303350BF" w14:textId="0B5858ED" w:rsidR="005F58C1" w:rsidRPr="00915260" w:rsidRDefault="007162C8" w:rsidP="004F76CE">
      <w:pPr>
        <w:pStyle w:val="Heading2"/>
        <w:numPr>
          <w:ilvl w:val="2"/>
          <w:numId w:val="5"/>
        </w:numPr>
        <w:spacing w:line="360" w:lineRule="auto"/>
        <w:rPr>
          <w:rFonts w:cs="Times New Roman"/>
          <w:b/>
          <w:bCs/>
          <w:sz w:val="22"/>
          <w:szCs w:val="22"/>
        </w:rPr>
      </w:pPr>
      <w:bookmarkStart w:id="53" w:name="_Toc209184664"/>
      <w:bookmarkStart w:id="54" w:name="_Toc213748919"/>
      <w:r w:rsidRPr="00915260">
        <w:rPr>
          <w:rFonts w:cs="Times New Roman"/>
          <w:b/>
          <w:bCs/>
          <w:sz w:val="22"/>
          <w:szCs w:val="22"/>
        </w:rPr>
        <w:t>Environmental Conscious and Purchase Intention</w:t>
      </w:r>
      <w:bookmarkEnd w:id="53"/>
      <w:bookmarkEnd w:id="54"/>
    </w:p>
    <w:p w14:paraId="4D897BBD" w14:textId="1F9E29CE" w:rsidR="001B14F5" w:rsidRDefault="00634366" w:rsidP="00626087">
      <w:pPr>
        <w:spacing w:line="360" w:lineRule="auto"/>
        <w:ind w:left="720"/>
        <w:jc w:val="both"/>
        <w:rPr>
          <w:rFonts w:cs="Times New Roman"/>
          <w:kern w:val="0"/>
          <w:szCs w:val="22"/>
          <w14:ligatures w14:val="none"/>
        </w:rPr>
      </w:pPr>
      <w:r w:rsidRPr="00634366">
        <w:rPr>
          <w:rFonts w:eastAsia="Times New Roman" w:cs="Times New Roman"/>
          <w:kern w:val="0"/>
          <w:szCs w:val="22"/>
          <w14:ligatures w14:val="none"/>
        </w:rPr>
        <w:t xml:space="preserve">Environmental </w:t>
      </w:r>
      <w:r w:rsidR="00ED409C">
        <w:rPr>
          <w:rFonts w:eastAsia="Times New Roman" w:cs="Times New Roman"/>
          <w:kern w:val="0"/>
          <w:szCs w:val="22"/>
          <w14:ligatures w14:val="none"/>
        </w:rPr>
        <w:t>conscious</w:t>
      </w:r>
      <w:r w:rsidRPr="00634366">
        <w:rPr>
          <w:rFonts w:eastAsia="Times New Roman" w:cs="Times New Roman"/>
          <w:kern w:val="0"/>
          <w:szCs w:val="22"/>
          <w14:ligatures w14:val="none"/>
        </w:rPr>
        <w:t xml:space="preserve"> has a direct and significant positive relationship with purchase intention, as demonstrated by empirical studies in recent literature. Higher levels of environmental concern and awareness consistently predict increased likelihood of purchasing sustainable products, confirming that environmental </w:t>
      </w:r>
      <w:r w:rsidR="00ED409C">
        <w:rPr>
          <w:rFonts w:eastAsia="Times New Roman" w:cs="Times New Roman"/>
          <w:kern w:val="0"/>
          <w:szCs w:val="22"/>
          <w14:ligatures w14:val="none"/>
        </w:rPr>
        <w:t>conscious</w:t>
      </w:r>
      <w:r w:rsidRPr="00634366">
        <w:rPr>
          <w:rFonts w:eastAsia="Times New Roman" w:cs="Times New Roman"/>
          <w:kern w:val="0"/>
          <w:szCs w:val="22"/>
          <w14:ligatures w14:val="none"/>
        </w:rPr>
        <w:t xml:space="preserve"> directly influences consumer purchase intention</w:t>
      </w:r>
      <w:r w:rsidR="00473411">
        <w:rPr>
          <w:rFonts w:cs="Times New Roman" w:hint="eastAsia"/>
          <w:kern w:val="0"/>
          <w:szCs w:val="22"/>
          <w14:ligatures w14:val="none"/>
        </w:rPr>
        <w:t xml:space="preserve"> </w:t>
      </w:r>
      <w:r w:rsidR="00473411" w:rsidRPr="00473411">
        <w:rPr>
          <w:rFonts w:cs="Times New Roman"/>
          <w:kern w:val="0"/>
          <w:szCs w:val="22"/>
          <w14:ligatures w14:val="none"/>
        </w:rPr>
        <w:t>(Fethi Klabi, 2025)</w:t>
      </w:r>
      <w:r>
        <w:rPr>
          <w:rFonts w:cs="Times New Roman" w:hint="eastAsia"/>
          <w:kern w:val="0"/>
          <w:szCs w:val="22"/>
          <w14:ligatures w14:val="none"/>
        </w:rPr>
        <w:t>.  E</w:t>
      </w:r>
      <w:r w:rsidR="004A57C6" w:rsidRPr="004A57C6">
        <w:rPr>
          <w:rFonts w:eastAsia="Times New Roman" w:cs="Times New Roman"/>
          <w:kern w:val="0"/>
          <w:szCs w:val="22"/>
          <w14:ligatures w14:val="none"/>
        </w:rPr>
        <w:t xml:space="preserve">specially with the rising demand for ethical and sustainable consumption. Environmentally conscious consumers demonstrate higher purchase intention for products and brands reflecting eco-friendly values and practices. </w:t>
      </w:r>
      <w:r w:rsidR="008A267C" w:rsidRPr="008A267C">
        <w:rPr>
          <w:rFonts w:eastAsia="Times New Roman" w:cs="Times New Roman"/>
          <w:kern w:val="0"/>
          <w:szCs w:val="22"/>
          <w14:ligatures w14:val="none"/>
        </w:rPr>
        <w:t>Laroche (2001)</w:t>
      </w:r>
      <w:r w:rsidR="008A267C" w:rsidRPr="004A57C6">
        <w:rPr>
          <w:rFonts w:eastAsia="Times New Roman" w:cs="Times New Roman"/>
          <w:kern w:val="0"/>
          <w:szCs w:val="22"/>
          <w14:ligatures w14:val="none"/>
        </w:rPr>
        <w:t xml:space="preserve"> further emphasized the role of environmental attitude in shaping ethical purchasing patterns. Biswas and Roy (2015) highlighted that environmental concern significantly predicts consumers’ intentions to engage in green purchasing, especially for fast-moving consumer goods.</w:t>
      </w:r>
      <w:r w:rsidR="008A267C">
        <w:rPr>
          <w:rFonts w:cs="Times New Roman" w:hint="eastAsia"/>
          <w:kern w:val="0"/>
          <w:szCs w:val="22"/>
          <w14:ligatures w14:val="none"/>
        </w:rPr>
        <w:t xml:space="preserve">  </w:t>
      </w:r>
      <w:r w:rsidR="008A267C" w:rsidRPr="004A57C6">
        <w:rPr>
          <w:rFonts w:eastAsia="Times New Roman" w:cs="Times New Roman"/>
          <w:kern w:val="0"/>
          <w:szCs w:val="22"/>
          <w14:ligatures w14:val="none"/>
        </w:rPr>
        <w:t>Similarly,</w:t>
      </w:r>
      <w:r w:rsidR="008A267C">
        <w:rPr>
          <w:rFonts w:cs="Times New Roman" w:hint="eastAsia"/>
          <w:kern w:val="0"/>
          <w:szCs w:val="22"/>
          <w14:ligatures w14:val="none"/>
        </w:rPr>
        <w:t xml:space="preserve"> </w:t>
      </w:r>
      <w:r w:rsidR="00B04632" w:rsidRPr="00B04632">
        <w:rPr>
          <w:rFonts w:eastAsia="Times New Roman" w:cs="Times New Roman"/>
          <w:kern w:val="0"/>
          <w:szCs w:val="22"/>
          <w14:ligatures w14:val="none"/>
        </w:rPr>
        <w:t>Kumar, Prakash and Kumar (2021)</w:t>
      </w:r>
      <w:r w:rsidR="004A57C6" w:rsidRPr="004A57C6">
        <w:rPr>
          <w:rFonts w:eastAsia="Times New Roman" w:cs="Times New Roman"/>
          <w:kern w:val="0"/>
          <w:szCs w:val="22"/>
          <w14:ligatures w14:val="none"/>
        </w:rPr>
        <w:t xml:space="preserve"> found that environmental knowledge and perceived consumer effectiveness are key antecedents to eco-product purchase intention</w:t>
      </w:r>
      <w:r w:rsidR="001F4D5A">
        <w:rPr>
          <w:rFonts w:eastAsia="Times New Roman" w:cs="Times New Roman"/>
          <w:kern w:val="0"/>
          <w:szCs w:val="22"/>
          <w14:ligatures w14:val="none"/>
        </w:rPr>
        <w:t xml:space="preserve"> </w:t>
      </w:r>
      <w:r w:rsidR="001F4D5A" w:rsidRPr="001F4D5A">
        <w:rPr>
          <w:rFonts w:eastAsia="Times New Roman" w:cs="Times New Roman"/>
          <w:kern w:val="0"/>
          <w:szCs w:val="22"/>
          <w14:ligatures w14:val="none"/>
        </w:rPr>
        <w:t>(Ansar, 2013)</w:t>
      </w:r>
      <w:r w:rsidR="004A57C6" w:rsidRPr="004A57C6">
        <w:rPr>
          <w:rFonts w:eastAsia="Times New Roman" w:cs="Times New Roman"/>
          <w:kern w:val="0"/>
          <w:szCs w:val="22"/>
          <w14:ligatures w14:val="none"/>
        </w:rPr>
        <w:t>.</w:t>
      </w:r>
    </w:p>
    <w:p w14:paraId="7624CA12" w14:textId="77777777" w:rsidR="00AC1282" w:rsidRPr="00AC1282" w:rsidRDefault="00AC1282" w:rsidP="00626087">
      <w:pPr>
        <w:spacing w:line="360" w:lineRule="auto"/>
        <w:ind w:left="720"/>
        <w:jc w:val="both"/>
        <w:rPr>
          <w:rFonts w:cs="Times New Roman"/>
          <w:kern w:val="0"/>
          <w:szCs w:val="22"/>
          <w14:ligatures w14:val="none"/>
        </w:rPr>
      </w:pPr>
    </w:p>
    <w:p w14:paraId="538F5E8B" w14:textId="72C6834F" w:rsidR="007162C8" w:rsidRPr="00915260" w:rsidRDefault="007162C8" w:rsidP="004F76CE">
      <w:pPr>
        <w:pStyle w:val="Heading2"/>
        <w:numPr>
          <w:ilvl w:val="2"/>
          <w:numId w:val="5"/>
        </w:numPr>
        <w:spacing w:line="360" w:lineRule="auto"/>
        <w:rPr>
          <w:rFonts w:cs="Times New Roman"/>
          <w:b/>
          <w:bCs/>
          <w:sz w:val="22"/>
          <w:szCs w:val="22"/>
        </w:rPr>
      </w:pPr>
      <w:bookmarkStart w:id="55" w:name="_Toc209184665"/>
      <w:bookmarkStart w:id="56" w:name="_Toc213748920"/>
      <w:r w:rsidRPr="00915260">
        <w:rPr>
          <w:rFonts w:cs="Times New Roman"/>
          <w:b/>
          <w:bCs/>
          <w:sz w:val="22"/>
          <w:szCs w:val="22"/>
        </w:rPr>
        <w:t>Sustainability and Purchase Intention</w:t>
      </w:r>
      <w:bookmarkEnd w:id="55"/>
      <w:bookmarkEnd w:id="56"/>
    </w:p>
    <w:p w14:paraId="148D89AA" w14:textId="41B7AF3D" w:rsidR="00A20BD5" w:rsidRPr="00F35E81" w:rsidRDefault="00A20BD5" w:rsidP="00626087">
      <w:pPr>
        <w:spacing w:line="360" w:lineRule="auto"/>
        <w:ind w:left="720"/>
        <w:jc w:val="both"/>
        <w:rPr>
          <w:rFonts w:cs="Times New Roman"/>
          <w:kern w:val="0"/>
          <w:szCs w:val="22"/>
          <w14:ligatures w14:val="none"/>
        </w:rPr>
      </w:pPr>
      <w:r w:rsidRPr="002F5405">
        <w:rPr>
          <w:rFonts w:eastAsia="Times New Roman" w:cs="Times New Roman"/>
          <w:kern w:val="0"/>
          <w:szCs w:val="22"/>
          <w14:ligatures w14:val="none"/>
        </w:rPr>
        <w:t xml:space="preserve">Panda et al. (2020) found that triple-bottom-line </w:t>
      </w:r>
      <w:r w:rsidRPr="00C178CB">
        <w:rPr>
          <w:rFonts w:asciiTheme="majorBidi" w:eastAsia="Times New Roman" w:hAnsiTheme="majorBidi" w:cstheme="majorBidi"/>
          <w:kern w:val="0"/>
          <w:szCs w:val="22"/>
          <w14:ligatures w14:val="none"/>
        </w:rPr>
        <w:t xml:space="preserve">sustainability </w:t>
      </w:r>
      <w:r w:rsidRPr="00C178CB">
        <w:rPr>
          <w:rFonts w:asciiTheme="majorBidi" w:eastAsia="PMingLiU" w:hAnsiTheme="majorBidi" w:cstheme="majorBidi"/>
          <w:kern w:val="0"/>
          <w:szCs w:val="22"/>
          <w14:ligatures w14:val="none"/>
        </w:rPr>
        <w:t xml:space="preserve">included </w:t>
      </w:r>
      <w:r w:rsidRPr="00C178CB">
        <w:rPr>
          <w:rFonts w:asciiTheme="majorBidi" w:eastAsia="Times New Roman" w:hAnsiTheme="majorBidi" w:cstheme="majorBidi"/>
          <w:kern w:val="0"/>
          <w:szCs w:val="22"/>
          <w14:ligatures w14:val="none"/>
        </w:rPr>
        <w:t xml:space="preserve">covering economic, social, and environmental aspects correlates with enhanced green purchase intention. </w:t>
      </w:r>
      <w:proofErr w:type="spellStart"/>
      <w:r w:rsidRPr="004A30BF">
        <w:rPr>
          <w:rFonts w:asciiTheme="majorBidi" w:eastAsia="Times New Roman" w:hAnsiTheme="majorBidi" w:cstheme="majorBidi"/>
          <w:kern w:val="0"/>
          <w:szCs w:val="22"/>
          <w14:ligatures w14:val="none"/>
        </w:rPr>
        <w:t>Lavuri</w:t>
      </w:r>
      <w:proofErr w:type="spellEnd"/>
      <w:r w:rsidRPr="004A30BF">
        <w:rPr>
          <w:rFonts w:asciiTheme="majorBidi" w:eastAsia="Times New Roman" w:hAnsiTheme="majorBidi" w:cstheme="majorBidi"/>
          <w:kern w:val="0"/>
          <w:szCs w:val="22"/>
          <w14:ligatures w14:val="none"/>
        </w:rPr>
        <w:t xml:space="preserve"> (2022)</w:t>
      </w:r>
      <w:r>
        <w:rPr>
          <w:rFonts w:asciiTheme="majorBidi" w:hAnsiTheme="majorBidi" w:cstheme="majorBidi" w:hint="eastAsia"/>
          <w:kern w:val="0"/>
          <w:szCs w:val="22"/>
          <w14:ligatures w14:val="none"/>
        </w:rPr>
        <w:t xml:space="preserve"> </w:t>
      </w:r>
      <w:r w:rsidRPr="00C178CB">
        <w:rPr>
          <w:rFonts w:asciiTheme="majorBidi" w:eastAsia="Times New Roman" w:hAnsiTheme="majorBidi" w:cstheme="majorBidi"/>
          <w:kern w:val="0"/>
          <w:szCs w:val="22"/>
          <w14:ligatures w14:val="none"/>
        </w:rPr>
        <w:t>explored Asian</w:t>
      </w:r>
      <w:r w:rsidRPr="002F5405">
        <w:rPr>
          <w:rFonts w:eastAsia="Times New Roman" w:cs="Times New Roman"/>
          <w:kern w:val="0"/>
          <w:szCs w:val="22"/>
          <w14:ligatures w14:val="none"/>
        </w:rPr>
        <w:t xml:space="preserve"> </w:t>
      </w:r>
      <w:r w:rsidRPr="002F5405">
        <w:rPr>
          <w:rFonts w:eastAsia="Times New Roman" w:cs="Times New Roman"/>
          <w:kern w:val="0"/>
          <w:szCs w:val="22"/>
          <w14:ligatures w14:val="none"/>
        </w:rPr>
        <w:lastRenderedPageBreak/>
        <w:t>consumer markets and found that clear brand sustainability communication is a key antecedent to sustainable purchase intention.</w:t>
      </w:r>
      <w:r>
        <w:rPr>
          <w:rFonts w:cs="Times New Roman" w:hint="eastAsia"/>
          <w:kern w:val="0"/>
          <w:szCs w:val="22"/>
          <w14:ligatures w14:val="none"/>
        </w:rPr>
        <w:t xml:space="preserve"> </w:t>
      </w:r>
      <w:r w:rsidRPr="00A20BD5">
        <w:rPr>
          <w:rFonts w:eastAsia="Times New Roman" w:cs="Times New Roman"/>
          <w:kern w:val="0"/>
          <w:szCs w:val="22"/>
          <w14:ligatures w14:val="none"/>
        </w:rPr>
        <w:t>Sustainability has a direct, significant positive relationship with consumer purchase intention, as shown by recent empirical findings</w:t>
      </w:r>
      <w:r w:rsidR="00B25CB1">
        <w:rPr>
          <w:rFonts w:cs="Times New Roman" w:hint="eastAsia"/>
          <w:kern w:val="0"/>
          <w:szCs w:val="22"/>
          <w14:ligatures w14:val="none"/>
        </w:rPr>
        <w:t xml:space="preserve"> </w:t>
      </w:r>
      <w:r w:rsidR="00B25CB1" w:rsidRPr="00B25CB1">
        <w:rPr>
          <w:rFonts w:cs="Times New Roman"/>
          <w:kern w:val="0"/>
          <w:szCs w:val="22"/>
          <w14:ligatures w14:val="none"/>
        </w:rPr>
        <w:t>(Nong and Xue, 2025)</w:t>
      </w:r>
      <w:r w:rsidRPr="00A20BD5">
        <w:rPr>
          <w:rFonts w:eastAsia="Times New Roman" w:cs="Times New Roman"/>
          <w:kern w:val="0"/>
          <w:szCs w:val="22"/>
          <w14:ligatures w14:val="none"/>
        </w:rPr>
        <w:t>. Research demonstrates that increased sustainability awareness and clear sustainability initiatives by brands directly enhance consumers’ willingness to buy</w:t>
      </w:r>
      <w:r w:rsidR="00F35E81">
        <w:rPr>
          <w:rFonts w:cs="Times New Roman" w:hint="eastAsia"/>
          <w:kern w:val="0"/>
          <w:szCs w:val="22"/>
          <w14:ligatures w14:val="none"/>
        </w:rPr>
        <w:t xml:space="preserve"> </w:t>
      </w:r>
      <w:r w:rsidR="00F35E81" w:rsidRPr="00F35E81">
        <w:rPr>
          <w:rFonts w:cs="Times New Roman"/>
          <w:kern w:val="0"/>
          <w:szCs w:val="22"/>
          <w14:ligatures w14:val="none"/>
        </w:rPr>
        <w:t>(Sakr et al., 2023)</w:t>
      </w:r>
      <w:r w:rsidR="00F35E81">
        <w:rPr>
          <w:rFonts w:cs="Times New Roman" w:hint="eastAsia"/>
          <w:kern w:val="0"/>
          <w:szCs w:val="22"/>
          <w14:ligatures w14:val="none"/>
        </w:rPr>
        <w:t>.</w:t>
      </w:r>
    </w:p>
    <w:p w14:paraId="747B751D" w14:textId="77777777" w:rsidR="00B25CB1" w:rsidRPr="00B25CB1" w:rsidRDefault="00B25CB1" w:rsidP="00626087">
      <w:pPr>
        <w:spacing w:line="360" w:lineRule="auto"/>
        <w:ind w:left="720"/>
        <w:jc w:val="both"/>
        <w:rPr>
          <w:rFonts w:cs="Times New Roman"/>
          <w:kern w:val="0"/>
          <w:szCs w:val="22"/>
          <w14:ligatures w14:val="none"/>
        </w:rPr>
      </w:pPr>
    </w:p>
    <w:p w14:paraId="287CDD0A" w14:textId="538319C5" w:rsidR="007162C8" w:rsidRPr="00915260" w:rsidRDefault="007162C8" w:rsidP="004F76CE">
      <w:pPr>
        <w:pStyle w:val="Heading2"/>
        <w:numPr>
          <w:ilvl w:val="2"/>
          <w:numId w:val="5"/>
        </w:numPr>
        <w:spacing w:line="360" w:lineRule="auto"/>
        <w:rPr>
          <w:rFonts w:cs="Times New Roman"/>
          <w:b/>
          <w:bCs/>
          <w:sz w:val="22"/>
          <w:szCs w:val="22"/>
        </w:rPr>
      </w:pPr>
      <w:bookmarkStart w:id="57" w:name="_Toc209184666"/>
      <w:bookmarkStart w:id="58" w:name="_Toc213748921"/>
      <w:r w:rsidRPr="00915260">
        <w:rPr>
          <w:rFonts w:cs="Times New Roman"/>
          <w:b/>
          <w:bCs/>
          <w:sz w:val="22"/>
          <w:szCs w:val="22"/>
        </w:rPr>
        <w:t>Brand Trust and Purchase Intention</w:t>
      </w:r>
      <w:bookmarkEnd w:id="57"/>
      <w:bookmarkEnd w:id="58"/>
    </w:p>
    <w:p w14:paraId="12E83B53" w14:textId="77777777" w:rsidR="006E4ECB" w:rsidRDefault="00462F63" w:rsidP="006E4ECB">
      <w:pPr>
        <w:spacing w:line="360" w:lineRule="auto"/>
        <w:ind w:left="720"/>
        <w:jc w:val="both"/>
        <w:rPr>
          <w:rFonts w:cs="Times New Roman"/>
          <w:kern w:val="0"/>
          <w:szCs w:val="22"/>
          <w14:ligatures w14:val="none"/>
        </w:rPr>
      </w:pPr>
      <w:r w:rsidRPr="00462F63">
        <w:rPr>
          <w:rFonts w:eastAsia="Times New Roman" w:cs="Times New Roman"/>
          <w:kern w:val="0"/>
          <w:szCs w:val="22"/>
          <w14:ligatures w14:val="none"/>
        </w:rPr>
        <w:t>Brand trust is a critical determinant of purchase intention, acting as both a direct driver and as a mediator of other influences such as marketing communications and sustainability claims. Morwitz (2014) and Dam (2020) explain that consumer confidence in a brand’s reliability and integrity reduces perceived risk and increases willingness to buy. Recent systematic reviews</w:t>
      </w:r>
      <w:r>
        <w:rPr>
          <w:rFonts w:cs="Times New Roman" w:hint="eastAsia"/>
          <w:kern w:val="0"/>
          <w:szCs w:val="22"/>
          <w14:ligatures w14:val="none"/>
        </w:rPr>
        <w:t xml:space="preserve">, </w:t>
      </w:r>
      <w:r w:rsidRPr="00462F63">
        <w:rPr>
          <w:rFonts w:eastAsia="Times New Roman" w:cs="Times New Roman"/>
          <w:kern w:val="0"/>
          <w:szCs w:val="22"/>
          <w14:ligatures w14:val="none"/>
        </w:rPr>
        <w:t xml:space="preserve">including </w:t>
      </w:r>
      <w:r w:rsidR="00E20A11" w:rsidRPr="00E20A11">
        <w:rPr>
          <w:rFonts w:eastAsia="Times New Roman" w:cs="Times New Roman"/>
          <w:kern w:val="0"/>
          <w:szCs w:val="22"/>
          <w14:ligatures w14:val="none"/>
        </w:rPr>
        <w:t>Khurana et al. (2025)</w:t>
      </w:r>
      <w:r w:rsidR="00E20A11">
        <w:rPr>
          <w:rFonts w:cs="Times New Roman" w:hint="eastAsia"/>
          <w:kern w:val="0"/>
          <w:szCs w:val="22"/>
          <w14:ligatures w14:val="none"/>
        </w:rPr>
        <w:t xml:space="preserve"> </w:t>
      </w:r>
      <w:r w:rsidRPr="00462F63">
        <w:rPr>
          <w:rFonts w:eastAsia="Times New Roman" w:cs="Times New Roman"/>
          <w:kern w:val="0"/>
          <w:szCs w:val="22"/>
          <w14:ligatures w14:val="none"/>
        </w:rPr>
        <w:t xml:space="preserve">corroborate these relationships, showing that higher brand trust increases purchase intention across product categories. </w:t>
      </w:r>
      <w:r w:rsidR="0054734F" w:rsidRPr="0054734F">
        <w:rPr>
          <w:rFonts w:eastAsia="Times New Roman" w:cs="Times New Roman"/>
          <w:kern w:val="0"/>
          <w:szCs w:val="22"/>
          <w14:ligatures w14:val="none"/>
        </w:rPr>
        <w:t>Guerreiro and Pacheco (2021</w:t>
      </w:r>
      <w:r w:rsidR="006E4ECB">
        <w:rPr>
          <w:rFonts w:cs="Times New Roman" w:hint="eastAsia"/>
          <w:kern w:val="0"/>
          <w:szCs w:val="22"/>
          <w14:ligatures w14:val="none"/>
        </w:rPr>
        <w:t>)</w:t>
      </w:r>
      <w:r w:rsidRPr="00462F63">
        <w:rPr>
          <w:rFonts w:eastAsia="Times New Roman" w:cs="Times New Roman"/>
          <w:kern w:val="0"/>
          <w:szCs w:val="22"/>
          <w14:ligatures w14:val="none"/>
        </w:rPr>
        <w:t xml:space="preserve"> identify brand trust as especially crucial for green or ethical purchase scenarios, further reinforcing its importance amid rising skepticism regarding brand claims. </w:t>
      </w:r>
    </w:p>
    <w:p w14:paraId="4DABF9C8" w14:textId="65373B3B" w:rsidR="00221095" w:rsidRPr="00915260" w:rsidRDefault="00221095" w:rsidP="006E4ECB">
      <w:pPr>
        <w:spacing w:line="360" w:lineRule="auto"/>
        <w:ind w:left="720"/>
        <w:jc w:val="both"/>
        <w:rPr>
          <w:rFonts w:eastAsia="Times New Roman" w:cs="Times New Roman"/>
          <w:kern w:val="0"/>
          <w:szCs w:val="22"/>
          <w14:ligatures w14:val="none"/>
        </w:rPr>
      </w:pPr>
      <w:r w:rsidRPr="00915260">
        <w:rPr>
          <w:rFonts w:eastAsia="Times New Roman" w:cs="Times New Roman"/>
          <w:kern w:val="0"/>
          <w:szCs w:val="22"/>
          <w14:ligatures w14:val="none"/>
        </w:rPr>
        <w:br w:type="page"/>
      </w:r>
    </w:p>
    <w:p w14:paraId="5A219B55" w14:textId="46829E90" w:rsidR="00221095" w:rsidRPr="008A13FE" w:rsidRDefault="00A64F33" w:rsidP="004F76CE">
      <w:pPr>
        <w:pStyle w:val="Heading"/>
        <w:numPr>
          <w:ilvl w:val="0"/>
          <w:numId w:val="5"/>
        </w:numPr>
        <w:spacing w:line="360" w:lineRule="auto"/>
        <w:jc w:val="both"/>
        <w:rPr>
          <w:rFonts w:cs="Times New Roman"/>
          <w:szCs w:val="28"/>
        </w:rPr>
      </w:pPr>
      <w:bookmarkStart w:id="59" w:name="_Toc209184667"/>
      <w:bookmarkStart w:id="60" w:name="_Toc213748922"/>
      <w:r>
        <w:rPr>
          <w:rFonts w:cs="Times New Roman" w:hint="eastAsia"/>
          <w:szCs w:val="28"/>
        </w:rPr>
        <w:lastRenderedPageBreak/>
        <w:t xml:space="preserve">Research </w:t>
      </w:r>
      <w:r w:rsidR="0089723B" w:rsidRPr="008A13FE">
        <w:rPr>
          <w:rFonts w:cs="Times New Roman"/>
          <w:szCs w:val="28"/>
        </w:rPr>
        <w:t>Methodology</w:t>
      </w:r>
      <w:bookmarkEnd w:id="59"/>
      <w:bookmarkEnd w:id="60"/>
    </w:p>
    <w:p w14:paraId="1F99591B" w14:textId="23D4BE27" w:rsidR="008751A0" w:rsidRPr="00915260" w:rsidRDefault="004053DE" w:rsidP="004F76CE">
      <w:pPr>
        <w:pStyle w:val="ListParagraph"/>
        <w:spacing w:line="360" w:lineRule="auto"/>
        <w:ind w:left="0"/>
        <w:jc w:val="both"/>
        <w:rPr>
          <w:rFonts w:eastAsia="Times New Roman" w:cs="Times New Roman"/>
          <w:kern w:val="0"/>
          <w:szCs w:val="22"/>
          <w14:ligatures w14:val="none"/>
        </w:rPr>
      </w:pPr>
      <w:r w:rsidRPr="00915260">
        <w:rPr>
          <w:rFonts w:eastAsia="Times New Roman" w:cs="Times New Roman"/>
          <w:kern w:val="0"/>
          <w:szCs w:val="22"/>
          <w14:ligatures w14:val="none"/>
        </w:rPr>
        <w:t xml:space="preserve">This chapter outlines the research design, data collection methods, </w:t>
      </w:r>
      <w:r w:rsidR="005D46D7" w:rsidRPr="00915260">
        <w:rPr>
          <w:rFonts w:eastAsia="Times New Roman" w:cs="Times New Roman"/>
          <w:kern w:val="0"/>
          <w:szCs w:val="22"/>
          <w14:ligatures w14:val="none"/>
        </w:rPr>
        <w:t>pilot test</w:t>
      </w:r>
      <w:r w:rsidRPr="00915260">
        <w:rPr>
          <w:rFonts w:eastAsia="Times New Roman" w:cs="Times New Roman"/>
          <w:kern w:val="0"/>
          <w:szCs w:val="22"/>
          <w14:ligatures w14:val="none"/>
        </w:rPr>
        <w:t xml:space="preserve"> and data analysis strategies for this study. </w:t>
      </w:r>
      <w:r w:rsidR="005D46D7" w:rsidRPr="00915260">
        <w:rPr>
          <w:rFonts w:eastAsia="Times New Roman" w:cs="Times New Roman"/>
          <w:kern w:val="0"/>
          <w:szCs w:val="22"/>
          <w14:ligatures w14:val="none"/>
        </w:rPr>
        <w:t>it</w:t>
      </w:r>
      <w:r w:rsidRPr="00915260">
        <w:rPr>
          <w:rFonts w:eastAsia="Times New Roman" w:cs="Times New Roman"/>
          <w:kern w:val="0"/>
          <w:szCs w:val="22"/>
          <w14:ligatures w14:val="none"/>
        </w:rPr>
        <w:t xml:space="preserve"> aim</w:t>
      </w:r>
      <w:r w:rsidR="00EF54D4" w:rsidRPr="00915260">
        <w:rPr>
          <w:rFonts w:eastAsia="Times New Roman" w:cs="Times New Roman"/>
          <w:kern w:val="0"/>
          <w:szCs w:val="22"/>
          <w14:ligatures w14:val="none"/>
        </w:rPr>
        <w:t>s</w:t>
      </w:r>
      <w:r w:rsidRPr="00915260">
        <w:rPr>
          <w:rFonts w:eastAsia="Times New Roman" w:cs="Times New Roman"/>
          <w:kern w:val="0"/>
          <w:szCs w:val="22"/>
          <w14:ligatures w14:val="none"/>
        </w:rPr>
        <w:t xml:space="preserve"> to explore the connections between social media marketing, environmental </w:t>
      </w:r>
      <w:r w:rsidR="00ED409C">
        <w:rPr>
          <w:rFonts w:eastAsia="Times New Roman" w:cs="Times New Roman"/>
          <w:kern w:val="0"/>
          <w:szCs w:val="22"/>
          <w14:ligatures w14:val="none"/>
        </w:rPr>
        <w:t>conscious</w:t>
      </w:r>
      <w:r w:rsidRPr="00915260">
        <w:rPr>
          <w:rFonts w:eastAsia="Times New Roman" w:cs="Times New Roman"/>
          <w:kern w:val="0"/>
          <w:szCs w:val="22"/>
          <w14:ligatures w14:val="none"/>
        </w:rPr>
        <w:t xml:space="preserve">, sustainability, brand trust, and purchase intention for Nescafé instant coffee in Hong Kong. </w:t>
      </w:r>
      <w:r w:rsidR="00EF54D4" w:rsidRPr="00915260">
        <w:rPr>
          <w:rFonts w:eastAsia="Times New Roman" w:cs="Times New Roman"/>
          <w:kern w:val="0"/>
          <w:szCs w:val="22"/>
          <w14:ligatures w14:val="none"/>
        </w:rPr>
        <w:t>I</w:t>
      </w:r>
      <w:r w:rsidR="00ED2F42" w:rsidRPr="00915260">
        <w:rPr>
          <w:rFonts w:eastAsia="Times New Roman" w:cs="Times New Roman"/>
          <w:kern w:val="0"/>
          <w:szCs w:val="22"/>
          <w14:ligatures w14:val="none"/>
        </w:rPr>
        <w:t>t</w:t>
      </w:r>
      <w:r w:rsidRPr="00915260">
        <w:rPr>
          <w:rFonts w:eastAsia="Times New Roman" w:cs="Times New Roman"/>
          <w:kern w:val="0"/>
          <w:szCs w:val="22"/>
          <w14:ligatures w14:val="none"/>
        </w:rPr>
        <w:t xml:space="preserve"> will ensure that our results are reliable and provide valuable insights into the brand's market impact.</w:t>
      </w:r>
    </w:p>
    <w:p w14:paraId="3E08ED46" w14:textId="77777777" w:rsidR="00A918F3" w:rsidRPr="00A918F3" w:rsidRDefault="00A918F3" w:rsidP="004F76CE">
      <w:pPr>
        <w:spacing w:line="360" w:lineRule="auto"/>
        <w:rPr>
          <w:rFonts w:cs="Times New Roman"/>
          <w:szCs w:val="22"/>
        </w:rPr>
      </w:pPr>
    </w:p>
    <w:p w14:paraId="1307B6C2" w14:textId="77777777" w:rsidR="00815038" w:rsidRPr="00915260" w:rsidRDefault="00815038" w:rsidP="00815038">
      <w:pPr>
        <w:pStyle w:val="Heading2"/>
        <w:numPr>
          <w:ilvl w:val="1"/>
          <w:numId w:val="5"/>
        </w:numPr>
        <w:spacing w:line="360" w:lineRule="auto"/>
        <w:ind w:left="450" w:hanging="450"/>
        <w:rPr>
          <w:rFonts w:cs="Times New Roman"/>
          <w:b/>
          <w:bCs/>
          <w:sz w:val="22"/>
          <w:szCs w:val="22"/>
        </w:rPr>
      </w:pPr>
      <w:bookmarkStart w:id="61" w:name="_Toc209184669"/>
      <w:bookmarkStart w:id="62" w:name="_Toc213748923"/>
      <w:r w:rsidRPr="00915260">
        <w:rPr>
          <w:rFonts w:cs="Times New Roman"/>
          <w:b/>
          <w:bCs/>
          <w:sz w:val="22"/>
          <w:szCs w:val="22"/>
        </w:rPr>
        <w:t>Type of Research</w:t>
      </w:r>
      <w:bookmarkEnd w:id="62"/>
    </w:p>
    <w:p w14:paraId="29FADBF0" w14:textId="2A59A47F" w:rsidR="00815038" w:rsidRDefault="00815038" w:rsidP="00815038">
      <w:pPr>
        <w:spacing w:line="360" w:lineRule="auto"/>
        <w:jc w:val="both"/>
        <w:rPr>
          <w:rFonts w:cs="Times New Roman"/>
          <w:kern w:val="0"/>
          <w:szCs w:val="22"/>
          <w14:ligatures w14:val="none"/>
        </w:rPr>
      </w:pPr>
      <w:r w:rsidRPr="003013E3">
        <w:rPr>
          <w:rFonts w:eastAsia="Times New Roman" w:cs="Times New Roman"/>
          <w:kern w:val="0"/>
          <w:szCs w:val="22"/>
          <w14:ligatures w14:val="none"/>
        </w:rPr>
        <w:t xml:space="preserve">This study adopts a mixed-methods approach that integrates both qualitative and quantitative research designs to achieve a comprehensive understanding of consumer purchase intentions for instant coffee in Hong Kong. By leveraging methodological triangulation, the research aims to enhance the robustness and credibility of findings. These combined methods help address complex relationships between social media marketing activities, environmental </w:t>
      </w:r>
      <w:r w:rsidR="00ED409C">
        <w:rPr>
          <w:rFonts w:eastAsia="Times New Roman" w:cs="Times New Roman"/>
          <w:kern w:val="0"/>
          <w:szCs w:val="22"/>
          <w14:ligatures w14:val="none"/>
        </w:rPr>
        <w:t>conscious</w:t>
      </w:r>
      <w:r w:rsidRPr="003013E3">
        <w:rPr>
          <w:rFonts w:eastAsia="Times New Roman" w:cs="Times New Roman"/>
          <w:kern w:val="0"/>
          <w:szCs w:val="22"/>
          <w14:ligatures w14:val="none"/>
        </w:rPr>
        <w:t>, sustainability, brand trust, and purchase intention in a manner suitable for both theory-building and statistical analysis (University of Westminster, 2022).</w:t>
      </w:r>
    </w:p>
    <w:p w14:paraId="39BD4DF9" w14:textId="77777777" w:rsidR="009C026F" w:rsidRPr="009C026F" w:rsidRDefault="009C026F" w:rsidP="00815038">
      <w:pPr>
        <w:spacing w:line="360" w:lineRule="auto"/>
        <w:jc w:val="both"/>
        <w:rPr>
          <w:rFonts w:cs="Times New Roman"/>
          <w:kern w:val="0"/>
          <w:szCs w:val="22"/>
          <w14:ligatures w14:val="none"/>
        </w:rPr>
      </w:pPr>
    </w:p>
    <w:p w14:paraId="45BA6927" w14:textId="77777777" w:rsidR="00815038" w:rsidRDefault="00815038" w:rsidP="00815038">
      <w:pPr>
        <w:pStyle w:val="Heading2"/>
        <w:numPr>
          <w:ilvl w:val="2"/>
          <w:numId w:val="5"/>
        </w:numPr>
        <w:spacing w:line="360" w:lineRule="auto"/>
        <w:rPr>
          <w:rFonts w:cs="Times New Roman"/>
          <w:b/>
          <w:bCs/>
          <w:sz w:val="22"/>
          <w:szCs w:val="22"/>
        </w:rPr>
      </w:pPr>
      <w:bookmarkStart w:id="63" w:name="_Toc213748924"/>
      <w:r>
        <w:rPr>
          <w:rFonts w:cs="Times New Roman" w:hint="eastAsia"/>
          <w:b/>
          <w:bCs/>
          <w:sz w:val="22"/>
          <w:szCs w:val="22"/>
        </w:rPr>
        <w:t>Qualitative Research</w:t>
      </w:r>
      <w:bookmarkEnd w:id="63"/>
    </w:p>
    <w:p w14:paraId="7F27496B" w14:textId="6D7223E9" w:rsidR="00D76C4E" w:rsidRDefault="00D76C4E" w:rsidP="00815038">
      <w:pPr>
        <w:spacing w:line="360" w:lineRule="auto"/>
        <w:ind w:left="720"/>
        <w:jc w:val="both"/>
      </w:pPr>
      <w:r w:rsidRPr="00D76C4E">
        <w:t xml:space="preserve">Qualitative research is an approach that investigates how people interpret and make sense of experiences, behaviors, and interactions in real-life contexts. It is particularly useful for exploring complex phenomena and capturing in-depth insights, using non-numerical data gathered through interviews, focus group discussions, and open-ended questions. In this dissertation, qualitative data was collected mainly through focus group interviews, which allowed participants to express personal views and experiences regarding Nescafé, social media marketing activities, and sustainability. </w:t>
      </w:r>
      <w:r w:rsidRPr="00D61D1E">
        <w:t xml:space="preserve">According to </w:t>
      </w:r>
      <w:proofErr w:type="spellStart"/>
      <w:r w:rsidRPr="00D61D1E">
        <w:t>Oranga</w:t>
      </w:r>
      <w:proofErr w:type="spellEnd"/>
      <w:r w:rsidRPr="00D61D1E">
        <w:t xml:space="preserve"> and </w:t>
      </w:r>
      <w:proofErr w:type="spellStart"/>
      <w:r w:rsidRPr="00D61D1E">
        <w:t>Matere</w:t>
      </w:r>
      <w:proofErr w:type="spellEnd"/>
      <w:r w:rsidRPr="00D61D1E">
        <w:t xml:space="preserve"> (2023), qualitative methods facilitate thematic saturation and allow researchers to identify emergent patterns that may not surface in structured surveys.</w:t>
      </w:r>
    </w:p>
    <w:p w14:paraId="77C8DAA2" w14:textId="77777777" w:rsidR="009C026F" w:rsidRDefault="009C026F" w:rsidP="00815038">
      <w:pPr>
        <w:spacing w:line="360" w:lineRule="auto"/>
        <w:ind w:left="720"/>
        <w:jc w:val="both"/>
      </w:pPr>
    </w:p>
    <w:p w14:paraId="6B25906B" w14:textId="77777777" w:rsidR="00815038" w:rsidRDefault="00815038" w:rsidP="00815038">
      <w:pPr>
        <w:pStyle w:val="Heading2"/>
        <w:numPr>
          <w:ilvl w:val="2"/>
          <w:numId w:val="5"/>
        </w:numPr>
        <w:spacing w:line="360" w:lineRule="auto"/>
        <w:rPr>
          <w:rFonts w:cs="Times New Roman"/>
          <w:b/>
          <w:bCs/>
          <w:sz w:val="22"/>
          <w:szCs w:val="22"/>
        </w:rPr>
      </w:pPr>
      <w:bookmarkStart w:id="64" w:name="_Toc213748925"/>
      <w:r>
        <w:rPr>
          <w:rFonts w:cs="Times New Roman" w:hint="eastAsia"/>
          <w:b/>
          <w:bCs/>
          <w:sz w:val="22"/>
          <w:szCs w:val="22"/>
        </w:rPr>
        <w:t>Quantitative Research</w:t>
      </w:r>
      <w:bookmarkEnd w:id="64"/>
    </w:p>
    <w:p w14:paraId="1B2236E9" w14:textId="5A10AD6A" w:rsidR="00815038" w:rsidRDefault="00F25505" w:rsidP="009155A6">
      <w:pPr>
        <w:spacing w:line="360" w:lineRule="auto"/>
        <w:ind w:left="720"/>
        <w:jc w:val="both"/>
      </w:pPr>
      <w:r w:rsidRPr="00694E0A">
        <w:t xml:space="preserve">Quantitative research measures relationships among predefined variables using standardized survey instruments and statistical analysis. </w:t>
      </w:r>
      <w:r w:rsidR="009155A6">
        <w:rPr>
          <w:rFonts w:hint="eastAsia"/>
        </w:rPr>
        <w:t xml:space="preserve">The </w:t>
      </w:r>
      <w:r w:rsidRPr="00F25505">
        <w:t>main purpose is to test hypotheses and examine the relationships between specific variables by analyzing data from large, representative samples through structured tools like surveys or experiments.</w:t>
      </w:r>
      <w:r w:rsidR="009155A6">
        <w:rPr>
          <w:rFonts w:hint="eastAsia"/>
        </w:rPr>
        <w:t xml:space="preserve"> </w:t>
      </w:r>
      <w:r w:rsidR="00815038" w:rsidRPr="00694E0A">
        <w:t xml:space="preserve">Creswell (2018) notes that quantitative research excels in empirically testing theoretical predictions and quantifying variable relationships, offering generalizability and objectivity. </w:t>
      </w:r>
      <w:proofErr w:type="spellStart"/>
      <w:r w:rsidR="00815038" w:rsidRPr="00694E0A">
        <w:lastRenderedPageBreak/>
        <w:t>Ghanad</w:t>
      </w:r>
      <w:proofErr w:type="spellEnd"/>
      <w:r w:rsidR="00815038" w:rsidRPr="00694E0A">
        <w:t xml:space="preserve"> (2023) emphasizes its reliance on large samples and logical, standardized metrics, vital for the robust examination of purchase behavior determinants in the Hong Kong context.</w:t>
      </w:r>
    </w:p>
    <w:p w14:paraId="430D9F08" w14:textId="77777777" w:rsidR="009C026F" w:rsidRDefault="009C026F" w:rsidP="009155A6">
      <w:pPr>
        <w:spacing w:line="360" w:lineRule="auto"/>
        <w:ind w:left="720"/>
        <w:jc w:val="both"/>
      </w:pPr>
    </w:p>
    <w:p w14:paraId="0AA13AA0" w14:textId="77777777" w:rsidR="00815038" w:rsidRDefault="00815038" w:rsidP="00815038">
      <w:pPr>
        <w:pStyle w:val="Heading2"/>
        <w:numPr>
          <w:ilvl w:val="2"/>
          <w:numId w:val="5"/>
        </w:numPr>
        <w:spacing w:line="360" w:lineRule="auto"/>
        <w:rPr>
          <w:rFonts w:cs="Times New Roman"/>
          <w:b/>
          <w:bCs/>
          <w:sz w:val="22"/>
          <w:szCs w:val="22"/>
        </w:rPr>
      </w:pPr>
      <w:bookmarkStart w:id="65" w:name="_Toc213748926"/>
      <w:r w:rsidRPr="00694E0A">
        <w:rPr>
          <w:rFonts w:cs="Times New Roman"/>
          <w:b/>
          <w:bCs/>
          <w:sz w:val="22"/>
          <w:szCs w:val="22"/>
        </w:rPr>
        <w:t>Triangulation Research</w:t>
      </w:r>
      <w:bookmarkEnd w:id="65"/>
    </w:p>
    <w:p w14:paraId="6B8D16AB" w14:textId="607D98FE" w:rsidR="004538BB" w:rsidRDefault="000067AE" w:rsidP="00815038">
      <w:pPr>
        <w:spacing w:line="360" w:lineRule="auto"/>
        <w:ind w:left="720"/>
        <w:jc w:val="both"/>
      </w:pPr>
      <w:r w:rsidRPr="000067AE">
        <w:t>Triangulation in research refers to the integration of multiple methods, data sources, and perspectives to study a single phenomenon, thereby enhancing the validity and credibility of research findings</w:t>
      </w:r>
      <w:r w:rsidR="00220FFA">
        <w:rPr>
          <w:rFonts w:hint="eastAsia"/>
        </w:rPr>
        <w:t xml:space="preserve"> </w:t>
      </w:r>
      <w:r w:rsidR="00220FFA" w:rsidRPr="00220FFA">
        <w:t>(Östlund et al., 2020)</w:t>
      </w:r>
      <w:r w:rsidRPr="000067AE">
        <w:t xml:space="preserve">. This dissertation adopts methodological triangulation by combining qualitative methods </w:t>
      </w:r>
      <w:r w:rsidR="00E74B94">
        <w:rPr>
          <w:rFonts w:hint="eastAsia"/>
        </w:rPr>
        <w:t xml:space="preserve">with </w:t>
      </w:r>
      <w:r w:rsidRPr="000067AE">
        <w:t xml:space="preserve">focus group interviews, quantitative methods </w:t>
      </w:r>
      <w:r w:rsidR="00E74B94">
        <w:rPr>
          <w:rFonts w:hint="eastAsia"/>
        </w:rPr>
        <w:t xml:space="preserve">by </w:t>
      </w:r>
      <w:r w:rsidRPr="000067AE">
        <w:t>standardized surveys, and a comprehensive literature review. Such integration allows for the cross-validation of results, facilitates a broader and deeper understanding of the research problem, and addresses potential biases inherent in any single method</w:t>
      </w:r>
      <w:r w:rsidR="00262068">
        <w:rPr>
          <w:rFonts w:hint="eastAsia"/>
        </w:rPr>
        <w:t xml:space="preserve"> </w:t>
      </w:r>
      <w:r w:rsidR="00BE70EB" w:rsidRPr="00BE70EB">
        <w:t>(</w:t>
      </w:r>
      <w:proofErr w:type="spellStart"/>
      <w:r w:rsidR="00BE70EB" w:rsidRPr="00BE70EB">
        <w:t>Jick</w:t>
      </w:r>
      <w:proofErr w:type="spellEnd"/>
      <w:r w:rsidR="00BE70EB" w:rsidRPr="00BE70EB">
        <w:t>, 1979)</w:t>
      </w:r>
      <w:r w:rsidRPr="000067AE">
        <w:t>. As demonstrated in the literature, methodological triangulation enhances the reliability of findings by merging the strengths of qualitative and quantitative approaches and connecting empirical analysis with existing theory, ultimately providing a more holistic and robust analysis.</w:t>
      </w:r>
      <w:r w:rsidR="00861664">
        <w:rPr>
          <w:rFonts w:hint="eastAsia"/>
        </w:rPr>
        <w:t xml:space="preserve"> </w:t>
      </w:r>
      <w:r w:rsidR="00C27E45">
        <w:t xml:space="preserve">This study adopting </w:t>
      </w:r>
      <w:r w:rsidR="00E22B42" w:rsidRPr="00E22B42">
        <w:t>triangulation</w:t>
      </w:r>
      <w:r w:rsidR="00C27E45">
        <w:t xml:space="preserve"> methodology that</w:t>
      </w:r>
      <w:r w:rsidR="00E22B42" w:rsidRPr="00E22B42">
        <w:t xml:space="preserve"> strengthens both the internal and external validity of the research, as recommended by </w:t>
      </w:r>
      <w:proofErr w:type="spellStart"/>
      <w:r w:rsidR="00E22B42" w:rsidRPr="00E22B42">
        <w:t>Jick</w:t>
      </w:r>
      <w:proofErr w:type="spellEnd"/>
      <w:r w:rsidR="00E22B42" w:rsidRPr="00E22B42">
        <w:t xml:space="preserve"> (1979) and </w:t>
      </w:r>
      <w:proofErr w:type="spellStart"/>
      <w:r w:rsidR="00E22B42" w:rsidRPr="00E22B42">
        <w:t>stlund</w:t>
      </w:r>
      <w:proofErr w:type="spellEnd"/>
      <w:r w:rsidR="00E22B42" w:rsidRPr="00E22B42">
        <w:t xml:space="preserve"> et al. (2020), ensuring cross-validation and broadening the depth of findings.</w:t>
      </w:r>
    </w:p>
    <w:p w14:paraId="4A06B7B6" w14:textId="77777777" w:rsidR="009F2605" w:rsidRPr="005D71FA" w:rsidRDefault="009F2605" w:rsidP="00F467E2">
      <w:pPr>
        <w:spacing w:line="360" w:lineRule="auto"/>
        <w:jc w:val="both"/>
      </w:pPr>
    </w:p>
    <w:p w14:paraId="4AE0AB11" w14:textId="325F441C" w:rsidR="00ED3ADD" w:rsidRPr="00915260" w:rsidRDefault="00B15853" w:rsidP="004F76CE">
      <w:pPr>
        <w:pStyle w:val="Heading2"/>
        <w:numPr>
          <w:ilvl w:val="1"/>
          <w:numId w:val="5"/>
        </w:numPr>
        <w:spacing w:line="360" w:lineRule="auto"/>
        <w:ind w:left="450" w:hanging="450"/>
        <w:rPr>
          <w:rFonts w:cs="Times New Roman"/>
          <w:b/>
          <w:bCs/>
          <w:sz w:val="22"/>
          <w:szCs w:val="22"/>
        </w:rPr>
      </w:pPr>
      <w:bookmarkStart w:id="66" w:name="_Toc213748927"/>
      <w:r w:rsidRPr="00915260">
        <w:rPr>
          <w:rFonts w:cs="Times New Roman"/>
          <w:b/>
          <w:bCs/>
          <w:sz w:val="22"/>
          <w:szCs w:val="22"/>
        </w:rPr>
        <w:t>Research Hypothesis</w:t>
      </w:r>
      <w:bookmarkEnd w:id="66"/>
    </w:p>
    <w:p w14:paraId="2D542DC1" w14:textId="79E53D89" w:rsidR="00DD17DF" w:rsidRDefault="00963313" w:rsidP="00DD17DF">
      <w:pPr>
        <w:spacing w:line="360" w:lineRule="auto"/>
        <w:jc w:val="both"/>
        <w:rPr>
          <w:rFonts w:cs="Times New Roman"/>
          <w:kern w:val="0"/>
          <w:szCs w:val="22"/>
          <w14:ligatures w14:val="none"/>
        </w:rPr>
      </w:pPr>
      <w:r w:rsidRPr="00963313">
        <w:rPr>
          <w:rFonts w:cs="Times New Roman"/>
          <w:kern w:val="0"/>
          <w:szCs w:val="22"/>
          <w14:ligatures w14:val="none"/>
        </w:rPr>
        <w:t xml:space="preserve">Based on a synthesis of current scholarly literature, the following research hypotheses are proposed to examine the influence of social media marketing activities, environmental </w:t>
      </w:r>
      <w:r w:rsidR="00ED409C">
        <w:rPr>
          <w:rFonts w:cs="Times New Roman"/>
          <w:kern w:val="0"/>
          <w:szCs w:val="22"/>
          <w14:ligatures w14:val="none"/>
        </w:rPr>
        <w:t>conscious</w:t>
      </w:r>
      <w:r w:rsidRPr="00963313">
        <w:rPr>
          <w:rFonts w:cs="Times New Roman"/>
          <w:kern w:val="0"/>
          <w:szCs w:val="22"/>
          <w14:ligatures w14:val="none"/>
        </w:rPr>
        <w:t>, sustainability, and brand trust on consumer purchase intention. These hypotheses collectively form the foundation of the conceptual research model used in this study.</w:t>
      </w:r>
    </w:p>
    <w:p w14:paraId="547DAE7A" w14:textId="77777777" w:rsidR="00963313" w:rsidRPr="00DD17DF" w:rsidRDefault="00963313" w:rsidP="00DD17DF">
      <w:pPr>
        <w:spacing w:line="360" w:lineRule="auto"/>
        <w:jc w:val="both"/>
        <w:rPr>
          <w:rFonts w:cs="Times New Roman"/>
          <w:kern w:val="0"/>
          <w:szCs w:val="22"/>
          <w14:ligatures w14:val="none"/>
        </w:rPr>
      </w:pPr>
    </w:p>
    <w:p w14:paraId="7B0A4CC5" w14:textId="77777777" w:rsidR="00B56F54" w:rsidRDefault="00B56F54" w:rsidP="00DD17DF">
      <w:pPr>
        <w:spacing w:line="360" w:lineRule="auto"/>
        <w:jc w:val="both"/>
        <w:rPr>
          <w:rFonts w:cs="Times New Roman"/>
          <w:kern w:val="0"/>
          <w:szCs w:val="22"/>
          <w14:ligatures w14:val="none"/>
        </w:rPr>
      </w:pPr>
      <w:r w:rsidRPr="00B56F54">
        <w:rPr>
          <w:rFonts w:cs="Times New Roman"/>
          <w:kern w:val="0"/>
          <w:szCs w:val="22"/>
          <w14:ligatures w14:val="none"/>
        </w:rPr>
        <w:t>H1: Social media marketing activities positively influence purchase intention.</w:t>
      </w:r>
    </w:p>
    <w:p w14:paraId="7903C9CE" w14:textId="7CBD43D7" w:rsidR="00DD17DF" w:rsidRPr="00DD17DF" w:rsidRDefault="00B56F54" w:rsidP="00DD17DF">
      <w:pPr>
        <w:spacing w:line="360" w:lineRule="auto"/>
        <w:jc w:val="both"/>
        <w:rPr>
          <w:rFonts w:cs="Times New Roman"/>
          <w:kern w:val="0"/>
          <w:szCs w:val="22"/>
          <w14:ligatures w14:val="none"/>
        </w:rPr>
      </w:pPr>
      <w:r w:rsidRPr="00B56F54">
        <w:rPr>
          <w:rFonts w:cs="Times New Roman"/>
          <w:kern w:val="0"/>
          <w:szCs w:val="22"/>
          <w14:ligatures w14:val="none"/>
        </w:rPr>
        <w:t>Extant research indicates that innovative and engaging social media marketing activities—such as interactive content, real-time engagement, and platform-driven entertainment—are strongly associated with increased purchase intentions among consumers (Kim &amp; Ko, 2012; Alnaser et al., 2024). Empirical evidence shows that brand-driven digital campaigns foster consumer-brand relationships, mediate value perceptions, and directly motivate buying decisions.</w:t>
      </w:r>
    </w:p>
    <w:p w14:paraId="2161DCC6" w14:textId="428A2992" w:rsidR="00B236B0" w:rsidRDefault="00B236B0">
      <w:pPr>
        <w:rPr>
          <w:rFonts w:cs="Times New Roman"/>
          <w:kern w:val="0"/>
          <w:szCs w:val="22"/>
          <w14:ligatures w14:val="none"/>
        </w:rPr>
      </w:pPr>
      <w:r>
        <w:rPr>
          <w:rFonts w:cs="Times New Roman"/>
          <w:kern w:val="0"/>
          <w:szCs w:val="22"/>
          <w14:ligatures w14:val="none"/>
        </w:rPr>
        <w:br w:type="page"/>
      </w:r>
    </w:p>
    <w:p w14:paraId="25EAD442" w14:textId="67DAC998" w:rsidR="00B56F54" w:rsidRDefault="00B56F54" w:rsidP="00B56F54">
      <w:pPr>
        <w:spacing w:line="360" w:lineRule="auto"/>
        <w:jc w:val="both"/>
        <w:rPr>
          <w:rFonts w:cs="Times New Roman"/>
          <w:kern w:val="0"/>
          <w:szCs w:val="22"/>
          <w14:ligatures w14:val="none"/>
        </w:rPr>
      </w:pPr>
      <w:r w:rsidRPr="00B56F54">
        <w:rPr>
          <w:rFonts w:cs="Times New Roman"/>
          <w:kern w:val="0"/>
          <w:szCs w:val="22"/>
          <w14:ligatures w14:val="none"/>
        </w:rPr>
        <w:lastRenderedPageBreak/>
        <w:t>H2: Environmental conscious positively influences purchase intention.</w:t>
      </w:r>
    </w:p>
    <w:p w14:paraId="5DD99B12" w14:textId="286316BC" w:rsidR="00DD17DF" w:rsidRPr="00DD17DF" w:rsidRDefault="00DF025C" w:rsidP="007152ED">
      <w:pPr>
        <w:spacing w:line="360" w:lineRule="auto"/>
        <w:jc w:val="both"/>
        <w:rPr>
          <w:rFonts w:cs="Times New Roman"/>
          <w:kern w:val="0"/>
          <w:szCs w:val="22"/>
          <w14:ligatures w14:val="none"/>
        </w:rPr>
      </w:pPr>
      <w:r w:rsidRPr="00DF025C">
        <w:rPr>
          <w:rFonts w:cs="Times New Roman"/>
          <w:kern w:val="0"/>
          <w:szCs w:val="22"/>
          <w14:ligatures w14:val="none"/>
        </w:rPr>
        <w:t xml:space="preserve">Environmental </w:t>
      </w:r>
      <w:r w:rsidR="00ED409C">
        <w:rPr>
          <w:rFonts w:cs="Times New Roman"/>
          <w:kern w:val="0"/>
          <w:szCs w:val="22"/>
          <w14:ligatures w14:val="none"/>
        </w:rPr>
        <w:t>conscious</w:t>
      </w:r>
      <w:r>
        <w:rPr>
          <w:rFonts w:cs="Times New Roman"/>
          <w:kern w:val="0"/>
          <w:szCs w:val="22"/>
          <w14:ligatures w14:val="none"/>
        </w:rPr>
        <w:t xml:space="preserve"> that </w:t>
      </w:r>
      <w:r w:rsidRPr="00DF025C">
        <w:rPr>
          <w:rFonts w:cs="Times New Roman"/>
          <w:kern w:val="0"/>
          <w:szCs w:val="22"/>
          <w14:ligatures w14:val="none"/>
        </w:rPr>
        <w:t>including eco-awareness, sustainability concern, and responsible consumption attitudes</w:t>
      </w:r>
      <w:r>
        <w:rPr>
          <w:rFonts w:cs="Times New Roman"/>
          <w:kern w:val="0"/>
          <w:szCs w:val="22"/>
          <w14:ligatures w14:val="none"/>
        </w:rPr>
        <w:t xml:space="preserve"> </w:t>
      </w:r>
      <w:r w:rsidRPr="00DF025C">
        <w:rPr>
          <w:rFonts w:cs="Times New Roman"/>
          <w:kern w:val="0"/>
          <w:szCs w:val="22"/>
          <w14:ligatures w14:val="none"/>
        </w:rPr>
        <w:t xml:space="preserve">has a direct and significant positive relationship with purchase intention, as supported by recent empirical studies (Laroche, 2001; Biswas and Roy, 2015; Kumar, Prakash, and Kumar, 2021). Higher levels of environmental concern and knowledge independently predict increased likelihood of purchasing sustainable products, confirming that environmental </w:t>
      </w:r>
      <w:r w:rsidR="00ED409C">
        <w:rPr>
          <w:rFonts w:cs="Times New Roman"/>
          <w:kern w:val="0"/>
          <w:szCs w:val="22"/>
          <w14:ligatures w14:val="none"/>
        </w:rPr>
        <w:t>conscious</w:t>
      </w:r>
      <w:r w:rsidRPr="00DF025C">
        <w:rPr>
          <w:rFonts w:cs="Times New Roman"/>
          <w:kern w:val="0"/>
          <w:szCs w:val="22"/>
          <w14:ligatures w14:val="none"/>
        </w:rPr>
        <w:t xml:space="preserve"> </w:t>
      </w:r>
      <w:r w:rsidR="009F4894">
        <w:rPr>
          <w:rFonts w:cs="Times New Roman"/>
          <w:kern w:val="0"/>
          <w:szCs w:val="22"/>
          <w14:ligatures w14:val="none"/>
        </w:rPr>
        <w:t>is</w:t>
      </w:r>
      <w:r w:rsidRPr="00DF025C">
        <w:rPr>
          <w:rFonts w:cs="Times New Roman"/>
          <w:kern w:val="0"/>
          <w:szCs w:val="22"/>
          <w14:ligatures w14:val="none"/>
        </w:rPr>
        <w:t xml:space="preserve"> direct antecedent to consumers’ intention to purchase.</w:t>
      </w:r>
      <w:r w:rsidR="00DD17DF" w:rsidRPr="00DD17DF">
        <w:rPr>
          <w:rFonts w:cs="Times New Roman"/>
          <w:kern w:val="0"/>
          <w:szCs w:val="22"/>
          <w14:ligatures w14:val="none"/>
        </w:rPr>
        <w:t>​</w:t>
      </w:r>
    </w:p>
    <w:p w14:paraId="001EEFEA" w14:textId="77777777" w:rsidR="00DD17DF" w:rsidRPr="00DD17DF" w:rsidRDefault="00DD17DF" w:rsidP="00DD17DF">
      <w:pPr>
        <w:spacing w:line="360" w:lineRule="auto"/>
        <w:jc w:val="both"/>
        <w:rPr>
          <w:rFonts w:cs="Times New Roman"/>
          <w:kern w:val="0"/>
          <w:szCs w:val="22"/>
          <w14:ligatures w14:val="none"/>
        </w:rPr>
      </w:pPr>
    </w:p>
    <w:p w14:paraId="543488DF" w14:textId="77777777" w:rsidR="006C6115" w:rsidRDefault="006C6115" w:rsidP="006C6115">
      <w:pPr>
        <w:spacing w:line="360" w:lineRule="auto"/>
        <w:jc w:val="both"/>
        <w:rPr>
          <w:rFonts w:cs="Times New Roman"/>
          <w:kern w:val="0"/>
          <w:szCs w:val="22"/>
          <w14:ligatures w14:val="none"/>
        </w:rPr>
      </w:pPr>
      <w:r w:rsidRPr="006C6115">
        <w:rPr>
          <w:rFonts w:cs="Times New Roman"/>
          <w:kern w:val="0"/>
          <w:szCs w:val="22"/>
          <w14:ligatures w14:val="none"/>
        </w:rPr>
        <w:t>H3: Sustainability positively influences purchase intention.</w:t>
      </w:r>
    </w:p>
    <w:p w14:paraId="24352E36" w14:textId="1DC69632" w:rsidR="006C6115" w:rsidRDefault="006C6115" w:rsidP="006C6115">
      <w:pPr>
        <w:spacing w:line="360" w:lineRule="auto"/>
        <w:jc w:val="both"/>
        <w:rPr>
          <w:rFonts w:cs="Times New Roman"/>
          <w:kern w:val="0"/>
          <w:szCs w:val="22"/>
          <w14:ligatures w14:val="none"/>
        </w:rPr>
      </w:pPr>
      <w:r w:rsidRPr="006C6115">
        <w:rPr>
          <w:rFonts w:cs="Times New Roman"/>
          <w:kern w:val="0"/>
          <w:szCs w:val="22"/>
          <w14:ligatures w14:val="none"/>
        </w:rPr>
        <w:t>The sustainable orientation of brands</w:t>
      </w:r>
      <w:r w:rsidR="007152ED">
        <w:rPr>
          <w:rFonts w:cs="Times New Roman" w:hint="eastAsia"/>
          <w:kern w:val="0"/>
          <w:szCs w:val="22"/>
          <w14:ligatures w14:val="none"/>
        </w:rPr>
        <w:t xml:space="preserve"> </w:t>
      </w:r>
      <w:r w:rsidR="007152ED">
        <w:rPr>
          <w:rFonts w:cs="Times New Roman"/>
          <w:kern w:val="0"/>
          <w:szCs w:val="22"/>
          <w14:ligatures w14:val="none"/>
        </w:rPr>
        <w:t>that</w:t>
      </w:r>
      <w:r w:rsidR="007152ED">
        <w:rPr>
          <w:rFonts w:cs="Times New Roman" w:hint="eastAsia"/>
          <w:kern w:val="0"/>
          <w:szCs w:val="22"/>
          <w14:ligatures w14:val="none"/>
        </w:rPr>
        <w:t xml:space="preserve"> </w:t>
      </w:r>
      <w:r w:rsidR="00A1328D" w:rsidRPr="006C6115">
        <w:rPr>
          <w:rFonts w:cs="Times New Roman"/>
          <w:kern w:val="0"/>
          <w:szCs w:val="22"/>
          <w14:ligatures w14:val="none"/>
        </w:rPr>
        <w:t>include</w:t>
      </w:r>
      <w:r w:rsidRPr="006C6115">
        <w:rPr>
          <w:rFonts w:cs="Times New Roman"/>
          <w:kern w:val="0"/>
          <w:szCs w:val="22"/>
          <w14:ligatures w14:val="none"/>
        </w:rPr>
        <w:t xml:space="preserve"> commitments to ethical sourcing, eco-friendly packaging, and transparent supply chain practices</w:t>
      </w:r>
      <w:r w:rsidR="007152ED">
        <w:rPr>
          <w:rFonts w:cs="Times New Roman" w:hint="eastAsia"/>
          <w:kern w:val="0"/>
          <w:szCs w:val="22"/>
          <w14:ligatures w14:val="none"/>
        </w:rPr>
        <w:t xml:space="preserve">, </w:t>
      </w:r>
      <w:r w:rsidRPr="006C6115">
        <w:rPr>
          <w:rFonts w:cs="Times New Roman"/>
          <w:kern w:val="0"/>
          <w:szCs w:val="22"/>
          <w14:ligatures w14:val="none"/>
        </w:rPr>
        <w:t>has a positive relationship with consumer purchase intentions (Panda et al., 2020). When brands clearly communicate and genuinely act on sustainability, consumers perceive higher value and are more motivated to make purchasing decisions accordingly</w:t>
      </w:r>
      <w:r w:rsidR="001F4D5A">
        <w:rPr>
          <w:rFonts w:cs="Times New Roman"/>
          <w:kern w:val="0"/>
          <w:szCs w:val="22"/>
          <w14:ligatures w14:val="none"/>
        </w:rPr>
        <w:t xml:space="preserve"> </w:t>
      </w:r>
      <w:r w:rsidR="001F4D5A" w:rsidRPr="001F4D5A">
        <w:rPr>
          <w:rFonts w:cs="Times New Roman"/>
          <w:kern w:val="0"/>
          <w:szCs w:val="22"/>
          <w14:ligatures w14:val="none"/>
        </w:rPr>
        <w:t>(Ansar, 2013)</w:t>
      </w:r>
      <w:r w:rsidRPr="006C6115">
        <w:rPr>
          <w:rFonts w:cs="Times New Roman"/>
          <w:kern w:val="0"/>
          <w:szCs w:val="22"/>
          <w14:ligatures w14:val="none"/>
        </w:rPr>
        <w:t>.​​</w:t>
      </w:r>
    </w:p>
    <w:p w14:paraId="4DAD2E4E" w14:textId="77777777" w:rsidR="007152ED" w:rsidRPr="006C6115" w:rsidRDefault="007152ED" w:rsidP="006C6115">
      <w:pPr>
        <w:spacing w:line="360" w:lineRule="auto"/>
        <w:jc w:val="both"/>
        <w:rPr>
          <w:rFonts w:cs="Times New Roman"/>
          <w:kern w:val="0"/>
          <w:szCs w:val="22"/>
          <w14:ligatures w14:val="none"/>
        </w:rPr>
      </w:pPr>
    </w:p>
    <w:p w14:paraId="3733B370" w14:textId="77777777" w:rsidR="006C6115" w:rsidRDefault="006C6115" w:rsidP="006C6115">
      <w:pPr>
        <w:spacing w:line="360" w:lineRule="auto"/>
        <w:jc w:val="both"/>
        <w:rPr>
          <w:rFonts w:cs="Times New Roman"/>
          <w:kern w:val="0"/>
          <w:szCs w:val="22"/>
          <w14:ligatures w14:val="none"/>
        </w:rPr>
      </w:pPr>
      <w:r w:rsidRPr="006C6115">
        <w:rPr>
          <w:rFonts w:cs="Times New Roman"/>
          <w:kern w:val="0"/>
          <w:szCs w:val="22"/>
          <w14:ligatures w14:val="none"/>
        </w:rPr>
        <w:t>H4: Brand trust positively influences purchase intention.</w:t>
      </w:r>
    </w:p>
    <w:p w14:paraId="273A86A4" w14:textId="39A2FCF9" w:rsidR="006C6115" w:rsidRDefault="006C6115" w:rsidP="006C6115">
      <w:pPr>
        <w:spacing w:line="360" w:lineRule="auto"/>
        <w:jc w:val="both"/>
        <w:rPr>
          <w:rFonts w:cs="Times New Roman"/>
          <w:kern w:val="0"/>
          <w:szCs w:val="22"/>
          <w14:ligatures w14:val="none"/>
        </w:rPr>
      </w:pPr>
      <w:r w:rsidRPr="006C6115">
        <w:rPr>
          <w:rFonts w:cs="Times New Roman"/>
          <w:kern w:val="0"/>
          <w:szCs w:val="22"/>
          <w14:ligatures w14:val="none"/>
        </w:rPr>
        <w:t xml:space="preserve">Brand trust, which arises from demonstrated brand reliability, honesty, and consistent delivery of promises, is found to directly enhance purchase intention (Morwitz, 2014; </w:t>
      </w:r>
      <w:r w:rsidR="00AB36B3">
        <w:rPr>
          <w:rFonts w:cs="Times New Roman"/>
          <w:kern w:val="0"/>
          <w:szCs w:val="22"/>
          <w14:ligatures w14:val="none"/>
        </w:rPr>
        <w:t>Dam 2020</w:t>
      </w:r>
      <w:r w:rsidRPr="006C6115">
        <w:rPr>
          <w:rFonts w:cs="Times New Roman"/>
          <w:kern w:val="0"/>
          <w:szCs w:val="22"/>
          <w14:ligatures w14:val="none"/>
        </w:rPr>
        <w:t>). High brand trust reduces consumer risk perceptions and underpins long-term loyalty, making trust a significant anchor for purchase in the instant coffee market.</w:t>
      </w:r>
    </w:p>
    <w:p w14:paraId="5ADC837B" w14:textId="77777777" w:rsidR="00A64AE1" w:rsidRPr="006C6115" w:rsidRDefault="00A64AE1" w:rsidP="006C6115">
      <w:pPr>
        <w:spacing w:line="360" w:lineRule="auto"/>
        <w:jc w:val="both"/>
        <w:rPr>
          <w:rFonts w:cs="Times New Roman"/>
          <w:kern w:val="0"/>
          <w:szCs w:val="22"/>
          <w14:ligatures w14:val="none"/>
        </w:rPr>
      </w:pPr>
    </w:p>
    <w:p w14:paraId="12110456" w14:textId="635D1147" w:rsidR="00EC60BF" w:rsidRDefault="00DD17DF" w:rsidP="00A64AE1">
      <w:pPr>
        <w:spacing w:line="360" w:lineRule="auto"/>
        <w:jc w:val="both"/>
        <w:rPr>
          <w:rFonts w:cs="Times New Roman"/>
          <w:kern w:val="0"/>
          <w:szCs w:val="22"/>
          <w14:ligatures w14:val="none"/>
        </w:rPr>
      </w:pPr>
      <w:r w:rsidRPr="00DD17DF">
        <w:rPr>
          <w:rFonts w:cs="Times New Roman"/>
          <w:kern w:val="0"/>
          <w:szCs w:val="22"/>
          <w14:ligatures w14:val="none"/>
        </w:rPr>
        <w:t>​</w:t>
      </w:r>
      <w:r w:rsidR="00A64AE1" w:rsidRPr="00A64AE1">
        <w:t xml:space="preserve"> </w:t>
      </w:r>
      <w:r w:rsidR="00A64AE1" w:rsidRPr="00A64AE1">
        <w:rPr>
          <w:rFonts w:cs="Times New Roman"/>
          <w:kern w:val="0"/>
          <w:szCs w:val="22"/>
          <w14:ligatures w14:val="none"/>
        </w:rPr>
        <w:t>These four hypotheses (H1, H2, H3, and H4) form an integrated conceptual research model (H1+ H2+ H3+ H4+), postulating that social media marketing activities, environmental conscious, sustainability, and brand trust are critical and mutually reinforcing drivers of consumer purchase intention</w:t>
      </w:r>
      <w:r w:rsidR="000F14BA">
        <w:rPr>
          <w:rFonts w:cs="Times New Roman"/>
          <w:kern w:val="0"/>
          <w:szCs w:val="22"/>
          <w14:ligatures w14:val="none"/>
        </w:rPr>
        <w:t>.</w:t>
      </w:r>
    </w:p>
    <w:p w14:paraId="14AB3B9F" w14:textId="77777777" w:rsidR="00A64AE1" w:rsidRPr="00915260" w:rsidRDefault="00A64AE1" w:rsidP="00A64AE1">
      <w:pPr>
        <w:spacing w:line="360" w:lineRule="auto"/>
        <w:jc w:val="both"/>
        <w:rPr>
          <w:rFonts w:cs="Times New Roman"/>
          <w:kern w:val="0"/>
          <w:szCs w:val="22"/>
          <w14:ligatures w14:val="none"/>
        </w:rPr>
      </w:pPr>
    </w:p>
    <w:p w14:paraId="2972B5DF" w14:textId="77777777" w:rsidR="00693E8C" w:rsidRPr="00915260" w:rsidRDefault="00693E8C" w:rsidP="00693E8C">
      <w:pPr>
        <w:pStyle w:val="Heading2"/>
        <w:numPr>
          <w:ilvl w:val="1"/>
          <w:numId w:val="5"/>
        </w:numPr>
        <w:spacing w:line="360" w:lineRule="auto"/>
        <w:ind w:left="450" w:hanging="450"/>
        <w:rPr>
          <w:rFonts w:cs="Times New Roman"/>
          <w:b/>
          <w:bCs/>
          <w:sz w:val="22"/>
          <w:szCs w:val="22"/>
        </w:rPr>
      </w:pPr>
      <w:bookmarkStart w:id="67" w:name="_Toc209184668"/>
      <w:bookmarkStart w:id="68" w:name="_Toc213748928"/>
      <w:r>
        <w:rPr>
          <w:rFonts w:cs="Times New Roman"/>
          <w:b/>
          <w:bCs/>
          <w:sz w:val="22"/>
          <w:szCs w:val="22"/>
        </w:rPr>
        <w:lastRenderedPageBreak/>
        <w:t xml:space="preserve">Conceptual </w:t>
      </w:r>
      <w:r w:rsidRPr="00915260">
        <w:rPr>
          <w:rFonts w:cs="Times New Roman"/>
          <w:b/>
          <w:bCs/>
          <w:sz w:val="22"/>
          <w:szCs w:val="22"/>
        </w:rPr>
        <w:t>Research M</w:t>
      </w:r>
      <w:bookmarkEnd w:id="67"/>
      <w:r w:rsidRPr="00915260">
        <w:rPr>
          <w:rFonts w:cs="Times New Roman"/>
          <w:b/>
          <w:bCs/>
          <w:sz w:val="22"/>
          <w:szCs w:val="22"/>
        </w:rPr>
        <w:t>odel</w:t>
      </w:r>
      <w:bookmarkEnd w:id="68"/>
    </w:p>
    <w:p w14:paraId="4BD9C8D7" w14:textId="7FC14A40" w:rsidR="00FE015D" w:rsidRDefault="00596592" w:rsidP="00FE015D">
      <w:pPr>
        <w:keepNext/>
        <w:spacing w:line="360" w:lineRule="auto"/>
        <w:jc w:val="center"/>
      </w:pPr>
      <w:r w:rsidRPr="00596592">
        <w:rPr>
          <w:noProof/>
        </w:rPr>
        <w:drawing>
          <wp:inline distT="0" distB="0" distL="0" distR="0" wp14:anchorId="354A6B38" wp14:editId="0C704B65">
            <wp:extent cx="4114800" cy="3564120"/>
            <wp:effectExtent l="0" t="0" r="0" b="0"/>
            <wp:docPr id="1655348594" name="Picture 1" descr="A diagram of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348594" name="Picture 1" descr="A diagram of a model&#10;&#10;AI-generated content may be incorrect."/>
                    <pic:cNvPicPr/>
                  </pic:nvPicPr>
                  <pic:blipFill>
                    <a:blip r:embed="rId29"/>
                    <a:stretch>
                      <a:fillRect/>
                    </a:stretch>
                  </pic:blipFill>
                  <pic:spPr>
                    <a:xfrm>
                      <a:off x="0" y="0"/>
                      <a:ext cx="4121163" cy="3569632"/>
                    </a:xfrm>
                    <a:prstGeom prst="rect">
                      <a:avLst/>
                    </a:prstGeom>
                  </pic:spPr>
                </pic:pic>
              </a:graphicData>
            </a:graphic>
          </wp:inline>
        </w:drawing>
      </w:r>
    </w:p>
    <w:p w14:paraId="2232B23C" w14:textId="5DF71C8A" w:rsidR="00CC1BB1" w:rsidRDefault="00CC1BB1" w:rsidP="00CC1BB1">
      <w:pPr>
        <w:spacing w:line="360" w:lineRule="auto"/>
        <w:jc w:val="both"/>
        <w:rPr>
          <w:rFonts w:eastAsia="Times New Roman" w:cs="Times New Roman"/>
          <w:kern w:val="0"/>
          <w:szCs w:val="22"/>
          <w14:ligatures w14:val="none"/>
        </w:rPr>
      </w:pPr>
      <w:r w:rsidRPr="00915260">
        <w:rPr>
          <w:rFonts w:eastAsia="Times New Roman" w:cs="Times New Roman"/>
          <w:kern w:val="0"/>
          <w:szCs w:val="22"/>
          <w14:ligatures w14:val="none"/>
        </w:rPr>
        <w:t>The research framework enhances this study by illustrating the relationships between key variables. Figure 3.</w:t>
      </w:r>
      <w:r>
        <w:rPr>
          <w:rFonts w:eastAsia="Times New Roman" w:cs="Times New Roman"/>
          <w:kern w:val="0"/>
          <w:szCs w:val="22"/>
          <w14:ligatures w14:val="none"/>
        </w:rPr>
        <w:t>3</w:t>
      </w:r>
      <w:r w:rsidRPr="00915260">
        <w:rPr>
          <w:rFonts w:eastAsia="Times New Roman" w:cs="Times New Roman"/>
          <w:kern w:val="0"/>
          <w:szCs w:val="22"/>
          <w14:ligatures w14:val="none"/>
        </w:rPr>
        <w:t xml:space="preserve"> presents the conceptual framework that examines how social media marketing, environmental conscious, sustainability, and brand trust collectively influence purchase intention. This framework, supported by the literature review in Chapter 2, highlights the importance of these variables in shaping consumer decisions.</w:t>
      </w:r>
      <w:r>
        <w:rPr>
          <w:rFonts w:eastAsia="Times New Roman" w:cs="Times New Roman"/>
          <w:kern w:val="0"/>
          <w:szCs w:val="22"/>
          <w14:ligatures w14:val="none"/>
        </w:rPr>
        <w:t xml:space="preserve"> Table 3.3 summarizes the underscores the significance of these factors toward purchase intention.</w:t>
      </w:r>
    </w:p>
    <w:p w14:paraId="42099298" w14:textId="77777777" w:rsidR="00CC1BB1" w:rsidRDefault="00CC1BB1" w:rsidP="00CC1BB1">
      <w:pPr>
        <w:spacing w:line="360" w:lineRule="auto"/>
        <w:jc w:val="both"/>
        <w:rPr>
          <w:rFonts w:eastAsia="Times New Roman" w:cs="Times New Roman"/>
          <w:kern w:val="0"/>
          <w:szCs w:val="22"/>
          <w14:ligatures w14:val="none"/>
        </w:rPr>
      </w:pPr>
    </w:p>
    <w:bookmarkEnd w:id="61"/>
    <w:p w14:paraId="5334373B" w14:textId="06F3FB5E" w:rsidR="00546B52" w:rsidRDefault="00CC1BB1" w:rsidP="004F76CE">
      <w:pPr>
        <w:spacing w:line="360" w:lineRule="auto"/>
        <w:jc w:val="both"/>
        <w:rPr>
          <w:rFonts w:cs="Times New Roman"/>
          <w:kern w:val="0"/>
          <w:szCs w:val="22"/>
          <w14:ligatures w14:val="none"/>
        </w:rPr>
      </w:pPr>
      <w:r w:rsidRPr="00CC1BB1">
        <w:rPr>
          <w:rFonts w:cs="Times New Roman"/>
          <w:noProof/>
          <w:kern w:val="0"/>
          <w:szCs w:val="22"/>
          <w14:ligatures w14:val="none"/>
        </w:rPr>
        <w:drawing>
          <wp:inline distT="0" distB="0" distL="0" distR="0" wp14:anchorId="58FEE90A" wp14:editId="7E91DF72">
            <wp:extent cx="5667128" cy="2419673"/>
            <wp:effectExtent l="0" t="0" r="0" b="0"/>
            <wp:docPr id="1765344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344802" name=""/>
                    <pic:cNvPicPr/>
                  </pic:nvPicPr>
                  <pic:blipFill>
                    <a:blip r:embed="rId30"/>
                    <a:stretch>
                      <a:fillRect/>
                    </a:stretch>
                  </pic:blipFill>
                  <pic:spPr>
                    <a:xfrm>
                      <a:off x="0" y="0"/>
                      <a:ext cx="5679234" cy="2424842"/>
                    </a:xfrm>
                    <a:prstGeom prst="rect">
                      <a:avLst/>
                    </a:prstGeom>
                  </pic:spPr>
                </pic:pic>
              </a:graphicData>
            </a:graphic>
          </wp:inline>
        </w:drawing>
      </w:r>
    </w:p>
    <w:p w14:paraId="50B9CBD9" w14:textId="77777777" w:rsidR="002A69A5" w:rsidRPr="00915260" w:rsidRDefault="002A69A5" w:rsidP="004F76CE">
      <w:pPr>
        <w:spacing w:line="360" w:lineRule="auto"/>
        <w:jc w:val="both"/>
        <w:rPr>
          <w:rFonts w:cs="Times New Roman"/>
          <w:kern w:val="0"/>
          <w:szCs w:val="22"/>
          <w14:ligatures w14:val="none"/>
        </w:rPr>
      </w:pPr>
    </w:p>
    <w:p w14:paraId="4DCC8B9A" w14:textId="38F4A6EE" w:rsidR="00831F81" w:rsidRPr="00915260" w:rsidRDefault="006F1C1E" w:rsidP="004F76CE">
      <w:pPr>
        <w:pStyle w:val="Heading2"/>
        <w:numPr>
          <w:ilvl w:val="1"/>
          <w:numId w:val="5"/>
        </w:numPr>
        <w:spacing w:line="360" w:lineRule="auto"/>
        <w:ind w:left="450" w:hanging="450"/>
        <w:rPr>
          <w:rFonts w:cs="Times New Roman"/>
          <w:b/>
          <w:bCs/>
          <w:sz w:val="22"/>
          <w:szCs w:val="22"/>
        </w:rPr>
      </w:pPr>
      <w:bookmarkStart w:id="69" w:name="_Toc213748929"/>
      <w:r>
        <w:rPr>
          <w:rFonts w:cs="Times New Roman" w:hint="eastAsia"/>
          <w:b/>
          <w:bCs/>
          <w:sz w:val="22"/>
          <w:szCs w:val="22"/>
        </w:rPr>
        <w:lastRenderedPageBreak/>
        <w:t>Type of Data</w:t>
      </w:r>
      <w:bookmarkEnd w:id="69"/>
    </w:p>
    <w:p w14:paraId="507C8A58" w14:textId="512030C2" w:rsidR="00334CA3" w:rsidRDefault="00AC2BFA" w:rsidP="00334CA3">
      <w:pPr>
        <w:spacing w:line="360" w:lineRule="auto"/>
        <w:jc w:val="both"/>
        <w:rPr>
          <w:rFonts w:cs="Times New Roman"/>
          <w:kern w:val="0"/>
          <w:szCs w:val="22"/>
          <w14:ligatures w14:val="none"/>
        </w:rPr>
      </w:pPr>
      <w:r w:rsidRPr="00AC2BFA">
        <w:rPr>
          <w:rFonts w:eastAsia="Times New Roman" w:cs="Times New Roman"/>
          <w:kern w:val="0"/>
          <w:szCs w:val="22"/>
          <w14:ligatures w14:val="none"/>
        </w:rPr>
        <w:t>This study utilizes both primary and secondary data to ensure comprehensive and reliable findings. The integration of these two data types enables triangulation of insights while capturing both direct participant perspectives and broader contextual market understanding</w:t>
      </w:r>
      <w:r w:rsidR="00B96B64" w:rsidRPr="00B96B64">
        <w:rPr>
          <w:rFonts w:eastAsia="Times New Roman" w:cs="Times New Roman"/>
          <w:kern w:val="0"/>
          <w:szCs w:val="22"/>
          <w14:ligatures w14:val="none"/>
        </w:rPr>
        <w:t xml:space="preserve"> </w:t>
      </w:r>
      <w:r w:rsidR="00B96B64">
        <w:rPr>
          <w:rFonts w:cs="Times New Roman" w:hint="eastAsia"/>
          <w:kern w:val="0"/>
          <w:szCs w:val="22"/>
          <w14:ligatures w14:val="none"/>
        </w:rPr>
        <w:t>(</w:t>
      </w:r>
      <w:r w:rsidR="00B96B64" w:rsidRPr="00AC2BFA">
        <w:rPr>
          <w:rFonts w:eastAsia="Times New Roman" w:cs="Times New Roman"/>
          <w:kern w:val="0"/>
          <w:szCs w:val="22"/>
          <w14:ligatures w14:val="none"/>
        </w:rPr>
        <w:t>Creswell, 2018</w:t>
      </w:r>
      <w:r w:rsidR="00B96B64">
        <w:rPr>
          <w:rFonts w:cs="Times New Roman" w:hint="eastAsia"/>
          <w:kern w:val="0"/>
          <w:szCs w:val="22"/>
          <w14:ligatures w14:val="none"/>
        </w:rPr>
        <w:t>)</w:t>
      </w:r>
      <w:r w:rsidRPr="00AC2BFA">
        <w:rPr>
          <w:rFonts w:eastAsia="Times New Roman" w:cs="Times New Roman"/>
          <w:kern w:val="0"/>
          <w:szCs w:val="22"/>
          <w14:ligatures w14:val="none"/>
        </w:rPr>
        <w:t>. Using multiple data sources strengthens the research’s validity and ensures a well-rounded basis for analysis (</w:t>
      </w:r>
      <w:r w:rsidR="00B96B64" w:rsidRPr="00B96B64">
        <w:rPr>
          <w:rFonts w:eastAsia="Times New Roman" w:cs="Times New Roman"/>
          <w:kern w:val="0"/>
          <w:szCs w:val="22"/>
          <w14:ligatures w14:val="none"/>
        </w:rPr>
        <w:t>Andrade, 2023</w:t>
      </w:r>
      <w:r w:rsidRPr="00AC2BFA">
        <w:rPr>
          <w:rFonts w:eastAsia="Times New Roman" w:cs="Times New Roman"/>
          <w:kern w:val="0"/>
          <w:szCs w:val="22"/>
          <w14:ligatures w14:val="none"/>
        </w:rPr>
        <w:t>).</w:t>
      </w:r>
    </w:p>
    <w:p w14:paraId="086D110C" w14:textId="77777777" w:rsidR="00044E4A" w:rsidRPr="00044E4A" w:rsidRDefault="00044E4A" w:rsidP="00334CA3">
      <w:pPr>
        <w:spacing w:line="360" w:lineRule="auto"/>
        <w:jc w:val="both"/>
        <w:rPr>
          <w:rFonts w:cs="Times New Roman"/>
          <w:kern w:val="0"/>
          <w:szCs w:val="22"/>
          <w14:ligatures w14:val="none"/>
        </w:rPr>
      </w:pPr>
    </w:p>
    <w:p w14:paraId="283686AE" w14:textId="5A6B9D4A" w:rsidR="00374ECB" w:rsidRDefault="00374ECB" w:rsidP="00374ECB">
      <w:pPr>
        <w:pStyle w:val="Heading2"/>
        <w:numPr>
          <w:ilvl w:val="2"/>
          <w:numId w:val="5"/>
        </w:numPr>
        <w:spacing w:line="360" w:lineRule="auto"/>
        <w:rPr>
          <w:rFonts w:cs="Times New Roman"/>
          <w:b/>
          <w:bCs/>
          <w:sz w:val="22"/>
          <w:szCs w:val="22"/>
        </w:rPr>
      </w:pPr>
      <w:bookmarkStart w:id="70" w:name="_Toc213748930"/>
      <w:r>
        <w:rPr>
          <w:rFonts w:cs="Times New Roman" w:hint="eastAsia"/>
          <w:b/>
          <w:bCs/>
          <w:sz w:val="22"/>
          <w:szCs w:val="22"/>
        </w:rPr>
        <w:t>Primary Data</w:t>
      </w:r>
      <w:bookmarkEnd w:id="70"/>
    </w:p>
    <w:p w14:paraId="695F580B" w14:textId="283D2801" w:rsidR="00044E4A" w:rsidRDefault="00D279BE" w:rsidP="00374ECB">
      <w:pPr>
        <w:spacing w:line="360" w:lineRule="auto"/>
        <w:ind w:left="720"/>
        <w:jc w:val="both"/>
      </w:pPr>
      <w:r w:rsidRPr="00D279BE">
        <w:t xml:space="preserve">Primary data refers to original, context-specific information collected by the researcher, using surveys and focus groups among Hong Kong consumers to address specific objectives for instant coffee </w:t>
      </w:r>
      <w:r w:rsidR="001F6577">
        <w:t>purchase intention</w:t>
      </w:r>
      <w:r w:rsidRPr="00D279BE">
        <w:t>. These data sources provide targeted insights relevant to social media marketing</w:t>
      </w:r>
      <w:r w:rsidR="001F6577">
        <w:t xml:space="preserve"> activities, environmental conscious,</w:t>
      </w:r>
      <w:r w:rsidRPr="00D279BE">
        <w:t xml:space="preserve"> sustainability and brand trust. According to </w:t>
      </w:r>
      <w:proofErr w:type="spellStart"/>
      <w:r w:rsidRPr="00D279BE">
        <w:t>Slettenal</w:t>
      </w:r>
      <w:proofErr w:type="spellEnd"/>
      <w:r w:rsidRPr="00D279BE">
        <w:t xml:space="preserve">, Sandvik and Ringvold (2021), Williams (2024), and Andrade (2023), methods such as surveys and interviews offer higher accuracy, control, and suitability for </w:t>
      </w:r>
      <w:r w:rsidR="007176C3">
        <w:t>effective</w:t>
      </w:r>
      <w:r w:rsidRPr="00D279BE">
        <w:t xml:space="preserve"> analysis. In this study, Google Form surveys and </w:t>
      </w:r>
      <w:r w:rsidR="007176C3">
        <w:t>focus group</w:t>
      </w:r>
      <w:r w:rsidRPr="00D279BE">
        <w:t xml:space="preserve"> enhance efficiency, reliability, and contextual relevance of findings.</w:t>
      </w:r>
    </w:p>
    <w:p w14:paraId="50477D87" w14:textId="77777777" w:rsidR="00D279BE" w:rsidRPr="00374ECB" w:rsidRDefault="00D279BE" w:rsidP="00374ECB">
      <w:pPr>
        <w:spacing w:line="360" w:lineRule="auto"/>
        <w:ind w:left="720"/>
        <w:jc w:val="both"/>
      </w:pPr>
    </w:p>
    <w:p w14:paraId="0E3AED16" w14:textId="21D9FA52" w:rsidR="00641177" w:rsidRDefault="00641177" w:rsidP="00641177">
      <w:pPr>
        <w:pStyle w:val="Heading2"/>
        <w:numPr>
          <w:ilvl w:val="2"/>
          <w:numId w:val="5"/>
        </w:numPr>
        <w:spacing w:line="360" w:lineRule="auto"/>
        <w:rPr>
          <w:rFonts w:cs="Times New Roman"/>
          <w:b/>
          <w:bCs/>
          <w:sz w:val="22"/>
          <w:szCs w:val="22"/>
        </w:rPr>
      </w:pPr>
      <w:bookmarkStart w:id="71" w:name="_Toc213748931"/>
      <w:r>
        <w:rPr>
          <w:rFonts w:cs="Times New Roman" w:hint="eastAsia"/>
          <w:b/>
          <w:bCs/>
          <w:sz w:val="22"/>
          <w:szCs w:val="22"/>
        </w:rPr>
        <w:t>Secondary Data</w:t>
      </w:r>
      <w:bookmarkEnd w:id="71"/>
    </w:p>
    <w:p w14:paraId="0979811A" w14:textId="61EFC309" w:rsidR="00AC2BFA" w:rsidRDefault="00DB51CE" w:rsidP="003563C9">
      <w:pPr>
        <w:spacing w:line="360" w:lineRule="auto"/>
        <w:ind w:left="720"/>
        <w:jc w:val="both"/>
        <w:rPr>
          <w:rFonts w:cs="Times New Roman"/>
          <w:kern w:val="0"/>
          <w:szCs w:val="22"/>
          <w14:ligatures w14:val="none"/>
        </w:rPr>
      </w:pPr>
      <w:r w:rsidRPr="00DB51CE">
        <w:rPr>
          <w:rFonts w:cs="Times New Roman"/>
          <w:kern w:val="0"/>
          <w:szCs w:val="22"/>
          <w14:ligatures w14:val="none"/>
        </w:rPr>
        <w:t xml:space="preserve">Secondary data comprises information gathered by other organizations for different purposes, such as published market reports, academic articles, and sustainability records. Wagh (2024) notes its value for providing context, historical trends, and supplementing primary findings. Andrade (2023) highlights secondary data’s role in refining hypotheses and leveraging validated insights, though it may lack context-specific relevance. In this research, secondary data supports market trend analysis, theoretical framework evaluation, and variable measurement for </w:t>
      </w:r>
      <w:r>
        <w:rPr>
          <w:rFonts w:cs="Times New Roman"/>
          <w:kern w:val="0"/>
          <w:szCs w:val="22"/>
          <w14:ligatures w14:val="none"/>
        </w:rPr>
        <w:t>study</w:t>
      </w:r>
      <w:r w:rsidRPr="00DB51CE">
        <w:rPr>
          <w:rFonts w:cs="Times New Roman"/>
          <w:kern w:val="0"/>
          <w:szCs w:val="22"/>
          <w14:ligatures w14:val="none"/>
        </w:rPr>
        <w:t>.</w:t>
      </w:r>
    </w:p>
    <w:p w14:paraId="17080D0C" w14:textId="77777777" w:rsidR="00AC2BFA" w:rsidRPr="00AC2BFA" w:rsidRDefault="00AC2BFA" w:rsidP="00334CA3">
      <w:pPr>
        <w:spacing w:line="360" w:lineRule="auto"/>
        <w:jc w:val="both"/>
        <w:rPr>
          <w:rFonts w:cs="Times New Roman"/>
          <w:kern w:val="0"/>
          <w:szCs w:val="22"/>
          <w14:ligatures w14:val="none"/>
        </w:rPr>
      </w:pPr>
    </w:p>
    <w:p w14:paraId="3462B60B" w14:textId="77777777" w:rsidR="006541B6" w:rsidRPr="00915260" w:rsidRDefault="006541B6" w:rsidP="006541B6">
      <w:pPr>
        <w:pStyle w:val="Heading2"/>
        <w:numPr>
          <w:ilvl w:val="1"/>
          <w:numId w:val="5"/>
        </w:numPr>
        <w:spacing w:line="360" w:lineRule="auto"/>
        <w:ind w:left="450" w:hanging="450"/>
        <w:rPr>
          <w:rFonts w:cs="Times New Roman"/>
          <w:b/>
          <w:bCs/>
          <w:sz w:val="22"/>
          <w:szCs w:val="22"/>
        </w:rPr>
      </w:pPr>
      <w:bookmarkStart w:id="72" w:name="_Toc209184671"/>
      <w:bookmarkStart w:id="73" w:name="_Toc213748932"/>
      <w:r w:rsidRPr="00915260">
        <w:rPr>
          <w:rFonts w:cs="Times New Roman"/>
          <w:b/>
          <w:bCs/>
          <w:sz w:val="22"/>
          <w:szCs w:val="22"/>
        </w:rPr>
        <w:t>Participant of Study</w:t>
      </w:r>
      <w:bookmarkEnd w:id="72"/>
      <w:bookmarkEnd w:id="73"/>
    </w:p>
    <w:p w14:paraId="2F428DD0" w14:textId="2DC56EAC" w:rsidR="00044E4A" w:rsidRDefault="00A3198C" w:rsidP="005050F4">
      <w:pPr>
        <w:spacing w:line="360" w:lineRule="auto"/>
        <w:jc w:val="both"/>
        <w:rPr>
          <w:rFonts w:cs="Times New Roman"/>
          <w:kern w:val="0"/>
          <w:szCs w:val="22"/>
          <w14:ligatures w14:val="none"/>
        </w:rPr>
      </w:pPr>
      <w:r w:rsidRPr="00A3198C">
        <w:rPr>
          <w:rFonts w:cs="Times New Roman"/>
          <w:kern w:val="0"/>
          <w:szCs w:val="22"/>
          <w14:ligatures w14:val="none"/>
        </w:rPr>
        <w:t xml:space="preserve">Participants will be Hong Kong residents aged over 16, as recommended for caffeine studies by </w:t>
      </w:r>
      <w:proofErr w:type="spellStart"/>
      <w:r w:rsidRPr="00A3198C">
        <w:rPr>
          <w:rFonts w:cs="Times New Roman"/>
          <w:kern w:val="0"/>
          <w:szCs w:val="22"/>
          <w14:ligatures w14:val="none"/>
        </w:rPr>
        <w:t>Caffelab</w:t>
      </w:r>
      <w:proofErr w:type="spellEnd"/>
      <w:r w:rsidRPr="00A3198C">
        <w:rPr>
          <w:rFonts w:cs="Times New Roman"/>
          <w:kern w:val="0"/>
          <w:szCs w:val="22"/>
          <w14:ligatures w14:val="none"/>
        </w:rPr>
        <w:t xml:space="preserve"> (2025). This age cutoff aligns with scientific guidance for ethical research on caffeine users. Based on Census and Statistics Department (2024a), this group includes about 6.3 million people, providing a representative sample of the core instant coffee consumer segment in Hong Kong.</w:t>
      </w:r>
    </w:p>
    <w:p w14:paraId="6F12313E" w14:textId="77777777" w:rsidR="00A3198C" w:rsidRPr="00044E4A" w:rsidRDefault="00A3198C" w:rsidP="005050F4">
      <w:pPr>
        <w:spacing w:line="360" w:lineRule="auto"/>
        <w:jc w:val="both"/>
        <w:rPr>
          <w:rFonts w:cs="Times New Roman"/>
          <w:kern w:val="0"/>
          <w:szCs w:val="22"/>
          <w14:ligatures w14:val="none"/>
        </w:rPr>
      </w:pPr>
    </w:p>
    <w:p w14:paraId="5F558D01" w14:textId="1849E40F" w:rsidR="006541B6" w:rsidRPr="00AF4A09" w:rsidRDefault="006541B6" w:rsidP="006541B6">
      <w:pPr>
        <w:pStyle w:val="Heading2"/>
        <w:numPr>
          <w:ilvl w:val="2"/>
          <w:numId w:val="5"/>
        </w:numPr>
        <w:spacing w:line="360" w:lineRule="auto"/>
        <w:rPr>
          <w:rFonts w:cs="Times New Roman"/>
          <w:b/>
          <w:bCs/>
          <w:sz w:val="22"/>
          <w:szCs w:val="22"/>
        </w:rPr>
      </w:pPr>
      <w:bookmarkStart w:id="74" w:name="_Toc209184672"/>
      <w:bookmarkStart w:id="75" w:name="_Toc213748933"/>
      <w:r w:rsidRPr="00AF4A09">
        <w:rPr>
          <w:rFonts w:cs="Times New Roman"/>
          <w:b/>
          <w:bCs/>
          <w:sz w:val="22"/>
          <w:szCs w:val="22"/>
        </w:rPr>
        <w:lastRenderedPageBreak/>
        <w:t xml:space="preserve">Sample </w:t>
      </w:r>
      <w:bookmarkEnd w:id="74"/>
      <w:r w:rsidR="00327AA5" w:rsidRPr="00AF4A09">
        <w:rPr>
          <w:rFonts w:cs="Times New Roman"/>
          <w:b/>
          <w:bCs/>
          <w:sz w:val="22"/>
          <w:szCs w:val="22"/>
        </w:rPr>
        <w:t>Strategy</w:t>
      </w:r>
      <w:bookmarkEnd w:id="75"/>
    </w:p>
    <w:p w14:paraId="4AC83DB3" w14:textId="50ED78C7" w:rsidR="00AA2493" w:rsidRPr="00EF4435" w:rsidRDefault="000951C0" w:rsidP="00EF4435">
      <w:pPr>
        <w:spacing w:line="360" w:lineRule="auto"/>
        <w:ind w:left="720"/>
        <w:jc w:val="both"/>
        <w:rPr>
          <w:rFonts w:eastAsia="Times New Roman" w:cs="Times New Roman"/>
          <w:kern w:val="0"/>
          <w:szCs w:val="22"/>
          <w14:ligatures w14:val="none"/>
        </w:rPr>
      </w:pPr>
      <w:r w:rsidRPr="000951C0">
        <w:rPr>
          <w:rFonts w:eastAsia="Times New Roman" w:cs="Times New Roman"/>
          <w:kern w:val="0"/>
          <w:szCs w:val="22"/>
          <w14:ligatures w14:val="none"/>
        </w:rPr>
        <w:t xml:space="preserve">Quantitative research uses probability and non-probability sampling strategies. Probability sampling like random sampling requires a complete list of all consumers, which is often unavailable for informal groups such as Hong Kong instant coffee drinkers. Non-probability sampling, including snowball sampling, starts with a small group who then recruit others </w:t>
      </w:r>
      <w:r w:rsidR="00EF4435" w:rsidRPr="00EF4435">
        <w:rPr>
          <w:rFonts w:eastAsia="Times New Roman" w:cs="Times New Roman"/>
          <w:kern w:val="0"/>
          <w:szCs w:val="22"/>
          <w14:ligatures w14:val="none"/>
        </w:rPr>
        <w:t>(Cohen and Arieli, 2011)</w:t>
      </w:r>
      <w:r w:rsidR="00EF4435">
        <w:rPr>
          <w:rFonts w:eastAsia="Times New Roman" w:cs="Times New Roman"/>
          <w:kern w:val="0"/>
          <w:szCs w:val="22"/>
          <w14:ligatures w14:val="none"/>
        </w:rPr>
        <w:t>.</w:t>
      </w:r>
      <w:r w:rsidRPr="000951C0">
        <w:rPr>
          <w:rFonts w:eastAsia="Times New Roman" w:cs="Times New Roman"/>
          <w:kern w:val="0"/>
          <w:szCs w:val="22"/>
          <w14:ligatures w14:val="none"/>
        </w:rPr>
        <w:t xml:space="preserve"> This is useful for hard-to-reach populations or when no sampling frame exists. This study adopts non-probability snowball sampling</w:t>
      </w:r>
      <w:r w:rsidR="007221EC">
        <w:rPr>
          <w:rFonts w:cs="Times New Roman" w:hint="eastAsia"/>
          <w:kern w:val="0"/>
          <w:szCs w:val="22"/>
          <w14:ligatures w14:val="none"/>
        </w:rPr>
        <w:t xml:space="preserve">, </w:t>
      </w:r>
      <w:r w:rsidR="00687F97" w:rsidRPr="00687F97">
        <w:rPr>
          <w:rFonts w:cs="Times New Roman"/>
          <w:kern w:val="0"/>
          <w:szCs w:val="22"/>
          <w14:ligatures w14:val="none"/>
        </w:rPr>
        <w:t>integrates qualitative insights from focus group interviews with robust quantitative</w:t>
      </w:r>
      <w:r w:rsidRPr="000951C0">
        <w:rPr>
          <w:rFonts w:eastAsia="Times New Roman" w:cs="Times New Roman"/>
          <w:kern w:val="0"/>
          <w:szCs w:val="22"/>
          <w14:ligatures w14:val="none"/>
        </w:rPr>
        <w:t xml:space="preserve">. While this may increase selection bias, </w:t>
      </w:r>
      <w:r w:rsidR="008B5460" w:rsidRPr="008B5460">
        <w:rPr>
          <w:rFonts w:eastAsia="Times New Roman" w:cs="Times New Roman"/>
          <w:kern w:val="0"/>
          <w:szCs w:val="22"/>
          <w14:ligatures w14:val="none"/>
        </w:rPr>
        <w:t>the quantitative survey ensures minimum statistical requirements for multivariate analysis, referencing Green’s (1991) threshold. The use of Google Forms for data capture maximizes accessibility and responses from digitally engaged consumers, aligning with empirical research by Andrade (2023) on the relevance of online instruments for consumer studies.</w:t>
      </w:r>
      <w:r w:rsidRPr="000951C0">
        <w:rPr>
          <w:rFonts w:eastAsia="Times New Roman" w:cs="Times New Roman"/>
          <w:kern w:val="0"/>
          <w:szCs w:val="22"/>
          <w14:ligatures w14:val="none"/>
        </w:rPr>
        <w:t xml:space="preserve"> (Ting et al., 2025).</w:t>
      </w:r>
    </w:p>
    <w:p w14:paraId="07F23929" w14:textId="77777777" w:rsidR="00044E4A" w:rsidRPr="00044E4A" w:rsidRDefault="00044E4A" w:rsidP="00FF19BD">
      <w:pPr>
        <w:spacing w:line="360" w:lineRule="auto"/>
        <w:ind w:left="720"/>
        <w:jc w:val="both"/>
        <w:rPr>
          <w:rFonts w:cs="Times New Roman"/>
          <w:kern w:val="0"/>
          <w:szCs w:val="22"/>
          <w14:ligatures w14:val="none"/>
        </w:rPr>
      </w:pPr>
    </w:p>
    <w:p w14:paraId="13688DB0" w14:textId="77777777" w:rsidR="006541B6" w:rsidRPr="00AF4A09" w:rsidRDefault="006541B6" w:rsidP="00AF4A09">
      <w:pPr>
        <w:pStyle w:val="Heading2"/>
        <w:numPr>
          <w:ilvl w:val="2"/>
          <w:numId w:val="5"/>
        </w:numPr>
        <w:spacing w:line="360" w:lineRule="auto"/>
        <w:rPr>
          <w:rFonts w:cs="Times New Roman"/>
          <w:b/>
          <w:bCs/>
          <w:sz w:val="22"/>
          <w:szCs w:val="22"/>
        </w:rPr>
      </w:pPr>
      <w:bookmarkStart w:id="76" w:name="_Toc213748934"/>
      <w:r w:rsidRPr="00AF4A09">
        <w:rPr>
          <w:rFonts w:cs="Times New Roman"/>
          <w:b/>
          <w:bCs/>
          <w:sz w:val="22"/>
          <w:szCs w:val="22"/>
        </w:rPr>
        <w:t>Sample Size</w:t>
      </w:r>
      <w:bookmarkEnd w:id="76"/>
    </w:p>
    <w:p w14:paraId="2D10436C" w14:textId="3267E68F" w:rsidR="006541B6" w:rsidRPr="00915260" w:rsidRDefault="00A60500" w:rsidP="002065FE">
      <w:pPr>
        <w:pStyle w:val="ListParagraph"/>
        <w:spacing w:line="360" w:lineRule="auto"/>
        <w:jc w:val="both"/>
        <w:rPr>
          <w:rFonts w:cs="Times New Roman"/>
          <w:szCs w:val="22"/>
        </w:rPr>
      </w:pPr>
      <w:r w:rsidRPr="00915260">
        <w:rPr>
          <w:rFonts w:cs="Times New Roman"/>
          <w:szCs w:val="22"/>
        </w:rPr>
        <w:t xml:space="preserve">To determine the appropriate sample size for this study, the calculation is based on the formula proposed by </w:t>
      </w:r>
      <w:r w:rsidR="002B5EAA" w:rsidRPr="002B5EAA">
        <w:rPr>
          <w:rFonts w:cs="Times New Roman"/>
          <w:szCs w:val="22"/>
        </w:rPr>
        <w:t>William Gemmell Cochran</w:t>
      </w:r>
      <w:r w:rsidR="00D14EFE">
        <w:rPr>
          <w:rFonts w:cs="Times New Roman"/>
          <w:szCs w:val="22"/>
        </w:rPr>
        <w:t xml:space="preserve"> (</w:t>
      </w:r>
      <w:r w:rsidR="002B5EAA" w:rsidRPr="002B5EAA">
        <w:rPr>
          <w:rFonts w:cs="Times New Roman"/>
          <w:szCs w:val="22"/>
        </w:rPr>
        <w:t>1977)</w:t>
      </w:r>
      <w:r w:rsidR="002B5EAA">
        <w:rPr>
          <w:rFonts w:cs="Times New Roman"/>
          <w:szCs w:val="22"/>
        </w:rPr>
        <w:t>.</w:t>
      </w:r>
      <w:r w:rsidR="008B5460">
        <w:rPr>
          <w:rFonts w:cs="Times New Roman"/>
          <w:szCs w:val="22"/>
        </w:rPr>
        <w:t xml:space="preserve"> </w:t>
      </w:r>
    </w:p>
    <w:p w14:paraId="63F75FB2" w14:textId="77777777" w:rsidR="006541B6" w:rsidRPr="00915260" w:rsidRDefault="00FD0236" w:rsidP="002065FE">
      <w:pPr>
        <w:pStyle w:val="ListParagraph"/>
        <w:spacing w:line="360" w:lineRule="auto"/>
        <w:jc w:val="both"/>
        <w:rPr>
          <w:rFonts w:cs="Times New Roman"/>
          <w:szCs w:val="22"/>
        </w:rPr>
      </w:pPr>
      <m:oMath>
        <m:sSup>
          <m:sSupPr>
            <m:ctrlPr>
              <w:rPr>
                <w:rFonts w:ascii="Cambria Math" w:hAnsi="Cambria Math" w:cs="Times New Roman"/>
                <w:i/>
                <w:szCs w:val="22"/>
              </w:rPr>
            </m:ctrlPr>
          </m:sSupPr>
          <m:e>
            <m:r>
              <w:rPr>
                <w:rFonts w:ascii="Cambria Math" w:hAnsi="Cambria Math" w:cs="Times New Roman"/>
                <w:szCs w:val="22"/>
              </w:rPr>
              <m:t>n=</m:t>
            </m:r>
            <m:sSup>
              <m:sSupPr>
                <m:ctrlPr>
                  <w:rPr>
                    <w:rFonts w:ascii="Cambria Math" w:hAnsi="Cambria Math" w:cs="Times New Roman"/>
                    <w:i/>
                    <w:szCs w:val="22"/>
                  </w:rPr>
                </m:ctrlPr>
              </m:sSupPr>
              <m:e>
                <m:r>
                  <w:rPr>
                    <w:rFonts w:ascii="Cambria Math" w:hAnsi="Cambria Math" w:cs="Times New Roman"/>
                    <w:szCs w:val="22"/>
                  </w:rPr>
                  <m:t>[Z</m:t>
                </m:r>
              </m:e>
              <m:sup>
                <m:r>
                  <w:rPr>
                    <w:rFonts w:ascii="Cambria Math" w:hAnsi="Cambria Math" w:cs="Times New Roman"/>
                    <w:szCs w:val="22"/>
                  </w:rPr>
                  <m:t>2</m:t>
                </m:r>
              </m:sup>
            </m:sSup>
            <m:r>
              <w:rPr>
                <w:rFonts w:ascii="Cambria Math" w:hAnsi="Cambria Math" w:cs="Times New Roman"/>
                <w:szCs w:val="22"/>
              </w:rPr>
              <m:t>*</m:t>
            </m:r>
            <m:sSup>
              <m:sSupPr>
                <m:ctrlPr>
                  <w:rPr>
                    <w:rFonts w:ascii="Cambria Math" w:hAnsi="Cambria Math" w:cs="Times New Roman"/>
                    <w:i/>
                    <w:szCs w:val="22"/>
                  </w:rPr>
                </m:ctrlPr>
              </m:sSupPr>
              <m:e>
                <m:r>
                  <w:rPr>
                    <w:rFonts w:ascii="Cambria Math" w:hAnsi="Cambria Math" w:cs="Times New Roman"/>
                    <w:szCs w:val="22"/>
                  </w:rPr>
                  <m:t>p</m:t>
                </m:r>
              </m:e>
              <m:sup>
                <m:r>
                  <w:rPr>
                    <w:rFonts w:ascii="Cambria Math" w:hAnsi="Cambria Math" w:cs="Times New Roman"/>
                    <w:szCs w:val="22"/>
                  </w:rPr>
                  <m:t>*</m:t>
                </m:r>
              </m:sup>
            </m:sSup>
            <m:r>
              <w:rPr>
                <w:rFonts w:ascii="Cambria Math" w:hAnsi="Cambria Math" w:cs="Times New Roman"/>
                <w:szCs w:val="22"/>
              </w:rPr>
              <m:t>(1-p)]/</m:t>
            </m:r>
            <m:sSup>
              <m:sSupPr>
                <m:ctrlPr>
                  <w:rPr>
                    <w:rFonts w:ascii="Cambria Math" w:hAnsi="Cambria Math" w:cs="Times New Roman"/>
                    <w:i/>
                    <w:szCs w:val="22"/>
                  </w:rPr>
                </m:ctrlPr>
              </m:sSupPr>
              <m:e>
                <m:r>
                  <w:rPr>
                    <w:rFonts w:ascii="Cambria Math" w:hAnsi="Cambria Math" w:cs="Times New Roman"/>
                    <w:szCs w:val="22"/>
                  </w:rPr>
                  <m:t>e</m:t>
                </m:r>
              </m:e>
              <m:sup>
                <m:r>
                  <w:rPr>
                    <w:rFonts w:ascii="Cambria Math" w:hAnsi="Cambria Math" w:cs="Times New Roman"/>
                    <w:szCs w:val="22"/>
                  </w:rPr>
                  <m:t>2</m:t>
                </m:r>
              </m:sup>
            </m:sSup>
          </m:e>
          <m:sup/>
        </m:sSup>
      </m:oMath>
      <w:r w:rsidR="006541B6" w:rsidRPr="00915260">
        <w:rPr>
          <w:rFonts w:cs="Times New Roman"/>
          <w:szCs w:val="22"/>
        </w:rPr>
        <w:t xml:space="preserve"> </w:t>
      </w:r>
    </w:p>
    <w:p w14:paraId="3C030CF6" w14:textId="77777777" w:rsidR="005A418E" w:rsidRPr="00915260" w:rsidRDefault="005A418E" w:rsidP="002065FE">
      <w:pPr>
        <w:pStyle w:val="ListParagraph"/>
        <w:spacing w:line="360" w:lineRule="auto"/>
        <w:jc w:val="both"/>
        <w:rPr>
          <w:rFonts w:cs="Times New Roman"/>
          <w:szCs w:val="22"/>
        </w:rPr>
      </w:pPr>
      <w:r w:rsidRPr="00915260">
        <w:rPr>
          <w:rFonts w:cs="Times New Roman"/>
          <w:szCs w:val="22"/>
        </w:rPr>
        <w:t>where ( n ) represents the required sample size, ( e ) is the tolerable margin of error, and ( Z ) is the Z-value corresponding to the desired confidence level. For this study, a confidence level of 95% is adopted, with a standard Z-value of 1.96. To maximize the sample size and account for variability in the population proportion, a conservative estimate of ( p = 0.5 ) is employed, which ensures the largest possible sample size. The margin of error ( e ) is set at 0.05, reflecting a range within which the true population parameter is likely to fall with 95% confidence.</w:t>
      </w:r>
    </w:p>
    <w:p w14:paraId="50966614" w14:textId="77777777" w:rsidR="00343513" w:rsidRPr="00915260" w:rsidRDefault="00343513" w:rsidP="002065FE">
      <w:pPr>
        <w:pStyle w:val="ListParagraph"/>
        <w:spacing w:line="360" w:lineRule="auto"/>
        <w:jc w:val="both"/>
        <w:rPr>
          <w:rFonts w:cs="Times New Roman"/>
          <w:szCs w:val="22"/>
        </w:rPr>
      </w:pPr>
      <w:r w:rsidRPr="00915260">
        <w:rPr>
          <w:rFonts w:cs="Times New Roman"/>
          <w:szCs w:val="22"/>
        </w:rPr>
        <w:t>Applying these parameters, the calculation proceeds as follows:</w:t>
      </w:r>
    </w:p>
    <w:p w14:paraId="71DC7AE6" w14:textId="7CDF9BFE" w:rsidR="00343513" w:rsidRPr="00915260" w:rsidRDefault="00632873" w:rsidP="002065FE">
      <w:pPr>
        <w:pStyle w:val="ListParagraph"/>
        <w:spacing w:line="360" w:lineRule="auto"/>
        <w:jc w:val="both"/>
        <w:rPr>
          <w:rFonts w:cs="Times New Roman"/>
          <w:szCs w:val="22"/>
        </w:rPr>
      </w:pPr>
      <w:r w:rsidRPr="00915260">
        <w:rPr>
          <w:rFonts w:cs="Times New Roman"/>
          <w:szCs w:val="22"/>
          <w:lang w:eastAsia="zh-HK"/>
        </w:rPr>
        <w:t xml:space="preserve">n </w:t>
      </w:r>
      <w:r w:rsidR="006541B6" w:rsidRPr="00915260">
        <w:rPr>
          <w:rFonts w:cs="Times New Roman"/>
          <w:szCs w:val="22"/>
          <w:lang w:eastAsia="zh-HK"/>
        </w:rPr>
        <w:t>=</w:t>
      </w:r>
      <w:r w:rsidRPr="00915260">
        <w:rPr>
          <w:rFonts w:cs="Times New Roman"/>
          <w:szCs w:val="22"/>
          <w:lang w:eastAsia="zh-HK"/>
        </w:rPr>
        <w:t xml:space="preserve"> </w:t>
      </w:r>
      <w:r w:rsidR="006541B6" w:rsidRPr="00915260">
        <w:rPr>
          <w:rFonts w:cs="Times New Roman"/>
          <w:szCs w:val="22"/>
          <w:lang w:eastAsia="zh-HK"/>
        </w:rPr>
        <w:t>(1.96)</w:t>
      </w:r>
      <w:r w:rsidR="006541B6" w:rsidRPr="00915260">
        <w:rPr>
          <w:rFonts w:cs="Times New Roman"/>
          <w:szCs w:val="22"/>
          <w:vertAlign w:val="superscript"/>
          <w:lang w:eastAsia="zh-HK"/>
        </w:rPr>
        <w:t>2</w:t>
      </w:r>
      <w:r w:rsidR="006541B6" w:rsidRPr="00915260">
        <w:rPr>
          <w:rFonts w:cs="Times New Roman"/>
          <w:szCs w:val="22"/>
          <w:lang w:eastAsia="zh-HK"/>
        </w:rPr>
        <w:t>(0.5)(0.5)/(0.05)</w:t>
      </w:r>
      <w:r w:rsidR="006541B6" w:rsidRPr="00915260">
        <w:rPr>
          <w:rFonts w:cs="Times New Roman"/>
          <w:szCs w:val="22"/>
          <w:vertAlign w:val="superscript"/>
          <w:lang w:eastAsia="zh-HK"/>
        </w:rPr>
        <w:t>2</w:t>
      </w:r>
      <w:r w:rsidR="006541B6" w:rsidRPr="00915260">
        <w:rPr>
          <w:rFonts w:cs="Times New Roman"/>
          <w:szCs w:val="22"/>
          <w:lang w:eastAsia="zh-HK"/>
        </w:rPr>
        <w:t xml:space="preserve"> = 384</w:t>
      </w:r>
      <w:r w:rsidR="00484DC2" w:rsidRPr="00915260">
        <w:rPr>
          <w:rFonts w:cs="Times New Roman"/>
          <w:szCs w:val="22"/>
        </w:rPr>
        <w:t>.16</w:t>
      </w:r>
      <w:r w:rsidR="00A17B9D" w:rsidRPr="00915260">
        <w:rPr>
          <w:rFonts w:cs="Times New Roman"/>
          <w:szCs w:val="22"/>
        </w:rPr>
        <w:t xml:space="preserve"> (i.e. 385)</w:t>
      </w:r>
      <w:r w:rsidR="000E5E37">
        <w:rPr>
          <w:rFonts w:cs="Times New Roman"/>
          <w:szCs w:val="22"/>
        </w:rPr>
        <w:t xml:space="preserve">, </w:t>
      </w:r>
      <w:r w:rsidR="000E5E37" w:rsidRPr="00061C90">
        <w:rPr>
          <w:rFonts w:cs="Times New Roman"/>
          <w:szCs w:val="22"/>
        </w:rPr>
        <w:t>(Wilson Van Voorhis and Morgan, 2007)</w:t>
      </w:r>
      <w:r w:rsidR="00E87661" w:rsidRPr="00915260">
        <w:rPr>
          <w:rFonts w:cs="Times New Roman"/>
          <w:szCs w:val="22"/>
        </w:rPr>
        <w:t>.</w:t>
      </w:r>
    </w:p>
    <w:p w14:paraId="241F2B39" w14:textId="0167227E" w:rsidR="00AA740D" w:rsidRPr="00915260" w:rsidRDefault="00343513" w:rsidP="002065FE">
      <w:pPr>
        <w:pStyle w:val="ListParagraph"/>
        <w:spacing w:line="360" w:lineRule="auto"/>
        <w:jc w:val="both"/>
        <w:rPr>
          <w:rFonts w:cs="Times New Roman"/>
          <w:szCs w:val="22"/>
        </w:rPr>
      </w:pPr>
      <w:r w:rsidRPr="00915260">
        <w:rPr>
          <w:rFonts w:cs="Times New Roman"/>
          <w:szCs w:val="22"/>
        </w:rPr>
        <w:t>Rounding up, this suggests a minimum sample size of 385 respondents. To account for potential non-responses or invalid data, as recommended by Green (1991), which stipulates that the minimum sample size should be at least (N</w:t>
      </w:r>
      <w:r w:rsidR="00FC31A9" w:rsidRPr="00915260">
        <w:rPr>
          <w:rFonts w:cs="Times New Roman"/>
          <w:szCs w:val="22"/>
        </w:rPr>
        <w:t xml:space="preserve">≥ </w:t>
      </w:r>
      <w:r w:rsidRPr="00915260">
        <w:rPr>
          <w:rFonts w:cs="Times New Roman"/>
          <w:szCs w:val="22"/>
        </w:rPr>
        <w:t>50 + 8m), where (m) is the number of variables in the study, this threshold provides a safeguard to ensure the robustness and representativeness of the data collected.</w:t>
      </w:r>
    </w:p>
    <w:p w14:paraId="4B20915A" w14:textId="7154FA35" w:rsidR="00AA740D" w:rsidRPr="00915260" w:rsidRDefault="00AA740D">
      <w:pPr>
        <w:rPr>
          <w:rFonts w:cs="Times New Roman"/>
          <w:szCs w:val="22"/>
        </w:rPr>
      </w:pPr>
    </w:p>
    <w:p w14:paraId="09D4DE09" w14:textId="16823B00" w:rsidR="006A4A5A" w:rsidRDefault="006A4A5A" w:rsidP="00C30211">
      <w:pPr>
        <w:pStyle w:val="Heading2"/>
        <w:numPr>
          <w:ilvl w:val="1"/>
          <w:numId w:val="5"/>
        </w:numPr>
        <w:spacing w:line="360" w:lineRule="auto"/>
        <w:ind w:left="450" w:hanging="450"/>
        <w:jc w:val="both"/>
        <w:rPr>
          <w:rFonts w:cs="Times New Roman"/>
          <w:b/>
          <w:bCs/>
          <w:sz w:val="22"/>
          <w:szCs w:val="22"/>
        </w:rPr>
      </w:pPr>
      <w:bookmarkStart w:id="77" w:name="_Toc209184676"/>
      <w:bookmarkStart w:id="78" w:name="_Toc213748935"/>
      <w:r>
        <w:rPr>
          <w:rFonts w:cs="Times New Roman"/>
          <w:b/>
          <w:bCs/>
          <w:sz w:val="22"/>
          <w:szCs w:val="22"/>
        </w:rPr>
        <w:t>Data Analytical Methods</w:t>
      </w:r>
      <w:bookmarkEnd w:id="78"/>
      <w:r>
        <w:rPr>
          <w:rFonts w:cs="Times New Roman"/>
          <w:b/>
          <w:bCs/>
          <w:sz w:val="22"/>
          <w:szCs w:val="22"/>
        </w:rPr>
        <w:t xml:space="preserve"> </w:t>
      </w:r>
    </w:p>
    <w:p w14:paraId="2BA6EB42" w14:textId="26BDAB28" w:rsidR="006A4A5A" w:rsidRPr="006A4A5A" w:rsidRDefault="00676BAF" w:rsidP="00676BAF">
      <w:pPr>
        <w:spacing w:line="360" w:lineRule="auto"/>
        <w:jc w:val="both"/>
      </w:pPr>
      <w:r w:rsidRPr="00676BAF">
        <w:t xml:space="preserve">This study applies to a systematic data analysis process, with the core focus on transforming raw survey responses into meaningful quantitative insights using IBM SPSS. The main analysis steps involve descriptive data analysis, </w:t>
      </w:r>
      <w:r w:rsidRPr="00676BAF">
        <w:lastRenderedPageBreak/>
        <w:t>reliability testing, correlation analysis, and regression, following established quantitative methods for consumer research.</w:t>
      </w:r>
    </w:p>
    <w:p w14:paraId="5AF3E5CE" w14:textId="77777777" w:rsidR="00044E4A" w:rsidRPr="006A4A5A" w:rsidRDefault="00044E4A" w:rsidP="00676BAF">
      <w:pPr>
        <w:spacing w:line="360" w:lineRule="auto"/>
        <w:jc w:val="both"/>
      </w:pPr>
    </w:p>
    <w:p w14:paraId="54D4B281" w14:textId="307B6B6C" w:rsidR="00C30211" w:rsidRPr="00915260" w:rsidRDefault="00C30211" w:rsidP="006A4A5A">
      <w:pPr>
        <w:pStyle w:val="Heading2"/>
        <w:numPr>
          <w:ilvl w:val="2"/>
          <w:numId w:val="5"/>
        </w:numPr>
        <w:spacing w:line="360" w:lineRule="auto"/>
        <w:rPr>
          <w:rFonts w:cs="Times New Roman"/>
          <w:b/>
          <w:bCs/>
          <w:sz w:val="22"/>
          <w:szCs w:val="22"/>
        </w:rPr>
      </w:pPr>
      <w:bookmarkStart w:id="79" w:name="_Toc213748936"/>
      <w:r w:rsidRPr="00915260">
        <w:rPr>
          <w:rFonts w:cs="Times New Roman"/>
          <w:b/>
          <w:bCs/>
          <w:sz w:val="22"/>
          <w:szCs w:val="22"/>
        </w:rPr>
        <w:t>Descriptive Data Analysis</w:t>
      </w:r>
      <w:bookmarkEnd w:id="77"/>
      <w:bookmarkEnd w:id="79"/>
    </w:p>
    <w:p w14:paraId="4CD91FE7" w14:textId="0CEC495E" w:rsidR="00D17D69" w:rsidRDefault="0057218D" w:rsidP="006A4A5A">
      <w:pPr>
        <w:pStyle w:val="ListParagraph"/>
        <w:spacing w:line="360" w:lineRule="auto"/>
        <w:jc w:val="both"/>
        <w:rPr>
          <w:rFonts w:cs="Times New Roman"/>
          <w:szCs w:val="22"/>
        </w:rPr>
      </w:pPr>
      <w:r w:rsidRPr="0057218D">
        <w:rPr>
          <w:rFonts w:cs="Times New Roman"/>
          <w:szCs w:val="22"/>
        </w:rPr>
        <w:t>Descriptive data analysis uses mean and standard deviation to summarize survey responses on each construct</w:t>
      </w:r>
      <w:r w:rsidR="00F11978">
        <w:rPr>
          <w:rFonts w:cs="Times New Roman"/>
          <w:szCs w:val="22"/>
        </w:rPr>
        <w:t xml:space="preserve"> illustrated </w:t>
      </w:r>
      <w:r w:rsidR="004E64F7">
        <w:rPr>
          <w:rFonts w:cs="Times New Roman"/>
          <w:szCs w:val="22"/>
        </w:rPr>
        <w:t>in Table 3.6.1</w:t>
      </w:r>
      <w:r w:rsidRPr="0057218D">
        <w:rPr>
          <w:rFonts w:cs="Times New Roman"/>
          <w:szCs w:val="22"/>
        </w:rPr>
        <w:t xml:space="preserve">, following Field (2024). The mean shows the average rating, while standard deviation reveals </w:t>
      </w:r>
      <w:r w:rsidR="004E64F7">
        <w:rPr>
          <w:rFonts w:cs="Times New Roman"/>
          <w:szCs w:val="22"/>
        </w:rPr>
        <w:t xml:space="preserve">on </w:t>
      </w:r>
      <w:r w:rsidR="004E64F7" w:rsidRPr="0057218D">
        <w:rPr>
          <w:rFonts w:cs="Times New Roman"/>
          <w:szCs w:val="22"/>
        </w:rPr>
        <w:t>responses</w:t>
      </w:r>
      <w:r w:rsidRPr="0057218D">
        <w:rPr>
          <w:rFonts w:cs="Times New Roman"/>
          <w:szCs w:val="22"/>
        </w:rPr>
        <w:t xml:space="preserve"> vary. A six-point Likert scale is used, where values below 3 indicate disagreement and above 3 indicate agreement with a statement</w:t>
      </w:r>
      <w:r w:rsidR="007A21D9">
        <w:rPr>
          <w:rFonts w:cs="Times New Roman"/>
          <w:szCs w:val="22"/>
        </w:rPr>
        <w:t xml:space="preserve"> </w:t>
      </w:r>
      <w:r w:rsidR="007A21D9" w:rsidRPr="007A21D9">
        <w:rPr>
          <w:rFonts w:cs="Times New Roman"/>
          <w:szCs w:val="22"/>
        </w:rPr>
        <w:t>(Thompson, 2018)</w:t>
      </w:r>
      <w:r w:rsidRPr="0057218D">
        <w:rPr>
          <w:rFonts w:cs="Times New Roman"/>
          <w:szCs w:val="22"/>
        </w:rPr>
        <w:t>. Low standard deviations show consensus, while high values mean diverse views. Demographic data are compared to 2025 Hong Kong Census statistics; sample gaps within 5% are considered acceptable for consumer studies (Malhotra, 2020). Any major differences are discussed transparently to improve the study’s validity and representativeness.</w:t>
      </w:r>
    </w:p>
    <w:p w14:paraId="4ABC5122" w14:textId="48FBBBD5" w:rsidR="0057218D" w:rsidRDefault="00620E4B" w:rsidP="006A4A5A">
      <w:pPr>
        <w:pStyle w:val="ListParagraph"/>
        <w:spacing w:line="360" w:lineRule="auto"/>
        <w:jc w:val="both"/>
        <w:rPr>
          <w:rFonts w:cs="Times New Roman"/>
          <w:szCs w:val="22"/>
        </w:rPr>
      </w:pPr>
      <w:r w:rsidRPr="00620E4B">
        <w:rPr>
          <w:rFonts w:cs="Times New Roman"/>
          <w:noProof/>
          <w:szCs w:val="22"/>
        </w:rPr>
        <w:drawing>
          <wp:inline distT="0" distB="0" distL="0" distR="0" wp14:anchorId="7C61BD48" wp14:editId="1AE222D3">
            <wp:extent cx="5549316" cy="1655180"/>
            <wp:effectExtent l="0" t="0" r="0" b="2540"/>
            <wp:docPr id="1377193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193754" name=""/>
                    <pic:cNvPicPr/>
                  </pic:nvPicPr>
                  <pic:blipFill>
                    <a:blip r:embed="rId31"/>
                    <a:stretch>
                      <a:fillRect/>
                    </a:stretch>
                  </pic:blipFill>
                  <pic:spPr>
                    <a:xfrm>
                      <a:off x="0" y="0"/>
                      <a:ext cx="5562324" cy="1659060"/>
                    </a:xfrm>
                    <a:prstGeom prst="rect">
                      <a:avLst/>
                    </a:prstGeom>
                  </pic:spPr>
                </pic:pic>
              </a:graphicData>
            </a:graphic>
          </wp:inline>
        </w:drawing>
      </w:r>
    </w:p>
    <w:p w14:paraId="5C316DEC" w14:textId="77777777" w:rsidR="00620E4B" w:rsidRPr="00915260" w:rsidRDefault="00620E4B" w:rsidP="006A4A5A">
      <w:pPr>
        <w:pStyle w:val="ListParagraph"/>
        <w:spacing w:line="360" w:lineRule="auto"/>
        <w:jc w:val="both"/>
        <w:rPr>
          <w:rFonts w:cs="Times New Roman"/>
          <w:szCs w:val="22"/>
        </w:rPr>
      </w:pPr>
    </w:p>
    <w:p w14:paraId="5DB81073" w14:textId="77777777" w:rsidR="00C30211" w:rsidRPr="00AF4A09" w:rsidRDefault="00C30211" w:rsidP="00AF4A09">
      <w:pPr>
        <w:pStyle w:val="Heading2"/>
        <w:numPr>
          <w:ilvl w:val="2"/>
          <w:numId w:val="5"/>
        </w:numPr>
        <w:spacing w:line="360" w:lineRule="auto"/>
        <w:rPr>
          <w:rFonts w:cs="Times New Roman"/>
          <w:b/>
          <w:bCs/>
          <w:sz w:val="22"/>
          <w:szCs w:val="22"/>
        </w:rPr>
      </w:pPr>
      <w:bookmarkStart w:id="80" w:name="_Toc213748937"/>
      <w:r w:rsidRPr="00AF4A09">
        <w:rPr>
          <w:rFonts w:cs="Times New Roman"/>
          <w:b/>
          <w:bCs/>
          <w:sz w:val="22"/>
          <w:szCs w:val="22"/>
        </w:rPr>
        <w:t>Reliability testing</w:t>
      </w:r>
      <w:bookmarkEnd w:id="80"/>
    </w:p>
    <w:p w14:paraId="795BEE15" w14:textId="77CB1BC7" w:rsidR="00C30211" w:rsidRDefault="00C30211" w:rsidP="00C30211">
      <w:pPr>
        <w:spacing w:line="360" w:lineRule="auto"/>
        <w:ind w:left="720"/>
        <w:jc w:val="both"/>
        <w:rPr>
          <w:rFonts w:cs="Times New Roman"/>
          <w:szCs w:val="22"/>
        </w:rPr>
      </w:pPr>
      <w:r w:rsidRPr="00915260">
        <w:rPr>
          <w:rFonts w:cs="Times New Roman"/>
          <w:szCs w:val="22"/>
        </w:rPr>
        <w:t>Reliability testing is crucial to ensure the consistency of the measurement instrument. In this study, Cronbach’s Alpha coefficient will be employed to evaluate the internal consistency of the survey items</w:t>
      </w:r>
      <w:r w:rsidR="00B703C5">
        <w:rPr>
          <w:rFonts w:cs="Times New Roman"/>
          <w:szCs w:val="22"/>
        </w:rPr>
        <w:t xml:space="preserve"> </w:t>
      </w:r>
      <w:r w:rsidR="00B703C5" w:rsidRPr="00B703C5">
        <w:rPr>
          <w:rFonts w:cs="Times New Roman"/>
          <w:szCs w:val="22"/>
        </w:rPr>
        <w:t>(</w:t>
      </w:r>
      <w:proofErr w:type="spellStart"/>
      <w:r w:rsidR="00B703C5" w:rsidRPr="00B703C5">
        <w:rPr>
          <w:rFonts w:cs="Times New Roman"/>
          <w:szCs w:val="22"/>
        </w:rPr>
        <w:t>Tavakol</w:t>
      </w:r>
      <w:proofErr w:type="spellEnd"/>
      <w:r w:rsidR="00B703C5" w:rsidRPr="00B703C5">
        <w:rPr>
          <w:rFonts w:cs="Times New Roman"/>
          <w:szCs w:val="22"/>
        </w:rPr>
        <w:t xml:space="preserve"> and Dennick, 2011)</w:t>
      </w:r>
      <w:r w:rsidRPr="00915260">
        <w:rPr>
          <w:rFonts w:cs="Times New Roman"/>
          <w:szCs w:val="22"/>
        </w:rPr>
        <w:t xml:space="preserve">. A Cronbach’s Alpha value above 0.70 indicates acceptable reliability, suggesting that the items reliably measure the same construct, therefore, this report will </w:t>
      </w:r>
      <w:r w:rsidR="002B7EE6" w:rsidRPr="00915260">
        <w:rPr>
          <w:rFonts w:cs="Times New Roman"/>
          <w:szCs w:val="22"/>
        </w:rPr>
        <w:t>base</w:t>
      </w:r>
      <w:r w:rsidRPr="00915260">
        <w:rPr>
          <w:rFonts w:cs="Times New Roman"/>
          <w:szCs w:val="22"/>
        </w:rPr>
        <w:t xml:space="preserve"> at least 0.7 on reliability level for analysis (Nunnally and Bernstein, 1994).  The reliability test results are summarized in Table </w:t>
      </w:r>
      <w:r w:rsidR="00084D1B">
        <w:rPr>
          <w:rFonts w:cs="Times New Roman" w:hint="eastAsia"/>
          <w:szCs w:val="22"/>
        </w:rPr>
        <w:t>3.6.2</w:t>
      </w:r>
      <w:r w:rsidRPr="00915260">
        <w:rPr>
          <w:rFonts w:cs="Times New Roman"/>
          <w:szCs w:val="22"/>
        </w:rPr>
        <w:t>.</w:t>
      </w:r>
    </w:p>
    <w:p w14:paraId="44E7E273" w14:textId="314D627C" w:rsidR="00C30211" w:rsidRDefault="007E5E5B" w:rsidP="00C30211">
      <w:pPr>
        <w:spacing w:line="360" w:lineRule="auto"/>
        <w:ind w:left="720"/>
        <w:jc w:val="both"/>
        <w:rPr>
          <w:rFonts w:cs="Times New Roman"/>
          <w:szCs w:val="22"/>
        </w:rPr>
      </w:pPr>
      <w:r w:rsidRPr="007E5E5B">
        <w:rPr>
          <w:rFonts w:cs="Times New Roman"/>
          <w:noProof/>
          <w:szCs w:val="22"/>
        </w:rPr>
        <w:lastRenderedPageBreak/>
        <w:drawing>
          <wp:inline distT="0" distB="0" distL="0" distR="0" wp14:anchorId="00C80C43" wp14:editId="58505DDB">
            <wp:extent cx="5428527" cy="1958607"/>
            <wp:effectExtent l="0" t="0" r="1270" b="3810"/>
            <wp:docPr id="1176644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644256" name=""/>
                    <pic:cNvPicPr/>
                  </pic:nvPicPr>
                  <pic:blipFill>
                    <a:blip r:embed="rId32"/>
                    <a:stretch>
                      <a:fillRect/>
                    </a:stretch>
                  </pic:blipFill>
                  <pic:spPr>
                    <a:xfrm>
                      <a:off x="0" y="0"/>
                      <a:ext cx="5433578" cy="1960429"/>
                    </a:xfrm>
                    <a:prstGeom prst="rect">
                      <a:avLst/>
                    </a:prstGeom>
                  </pic:spPr>
                </pic:pic>
              </a:graphicData>
            </a:graphic>
          </wp:inline>
        </w:drawing>
      </w:r>
    </w:p>
    <w:p w14:paraId="0EE71FE2" w14:textId="70417E5C" w:rsidR="00C30211" w:rsidRPr="00AF4A09" w:rsidRDefault="00C30211" w:rsidP="00AF4A09">
      <w:pPr>
        <w:pStyle w:val="Heading2"/>
        <w:numPr>
          <w:ilvl w:val="2"/>
          <w:numId w:val="5"/>
        </w:numPr>
        <w:spacing w:line="360" w:lineRule="auto"/>
        <w:rPr>
          <w:rFonts w:cs="Times New Roman"/>
          <w:b/>
          <w:bCs/>
          <w:sz w:val="22"/>
          <w:szCs w:val="22"/>
        </w:rPr>
      </w:pPr>
      <w:bookmarkStart w:id="81" w:name="_Toc213748938"/>
      <w:r w:rsidRPr="00AF4A09">
        <w:rPr>
          <w:rFonts w:cs="Times New Roman"/>
          <w:b/>
          <w:bCs/>
          <w:sz w:val="22"/>
          <w:szCs w:val="22"/>
        </w:rPr>
        <w:t xml:space="preserve">Pearson’s </w:t>
      </w:r>
      <w:r w:rsidR="00B43821">
        <w:rPr>
          <w:rFonts w:cs="Times New Roman"/>
          <w:b/>
          <w:bCs/>
          <w:sz w:val="22"/>
          <w:szCs w:val="22"/>
        </w:rPr>
        <w:t>C</w:t>
      </w:r>
      <w:r w:rsidRPr="00AF4A09">
        <w:rPr>
          <w:rFonts w:cs="Times New Roman"/>
          <w:b/>
          <w:bCs/>
          <w:sz w:val="22"/>
          <w:szCs w:val="22"/>
        </w:rPr>
        <w:t xml:space="preserve">orrelation </w:t>
      </w:r>
      <w:r w:rsidR="00B43821">
        <w:rPr>
          <w:rFonts w:cs="Times New Roman"/>
          <w:b/>
          <w:bCs/>
          <w:sz w:val="22"/>
          <w:szCs w:val="22"/>
        </w:rPr>
        <w:t>C</w:t>
      </w:r>
      <w:r w:rsidRPr="00AF4A09">
        <w:rPr>
          <w:rFonts w:cs="Times New Roman"/>
          <w:b/>
          <w:bCs/>
          <w:sz w:val="22"/>
          <w:szCs w:val="22"/>
        </w:rPr>
        <w:t>oefficient</w:t>
      </w:r>
      <w:bookmarkEnd w:id="81"/>
    </w:p>
    <w:p w14:paraId="3EEFE97D" w14:textId="39AED582" w:rsidR="00C30211" w:rsidRDefault="00C30211" w:rsidP="00831010">
      <w:pPr>
        <w:spacing w:line="360" w:lineRule="auto"/>
        <w:ind w:left="720"/>
        <w:jc w:val="both"/>
        <w:rPr>
          <w:rFonts w:cs="Times New Roman"/>
          <w:szCs w:val="22"/>
        </w:rPr>
      </w:pPr>
      <w:r w:rsidRPr="00915260">
        <w:rPr>
          <w:rFonts w:cs="Times New Roman"/>
          <w:szCs w:val="22"/>
        </w:rPr>
        <w:t>Pearson’s correlation coefficient will be used to assess the degree of linear relationship between variables</w:t>
      </w:r>
      <w:r w:rsidR="00A13550">
        <w:rPr>
          <w:rFonts w:cs="Times New Roman"/>
          <w:szCs w:val="22"/>
        </w:rPr>
        <w:t xml:space="preserve"> as the summary in Table 3.6.3</w:t>
      </w:r>
      <w:r w:rsidRPr="00915260">
        <w:rPr>
          <w:rFonts w:cs="Times New Roman"/>
          <w:szCs w:val="22"/>
        </w:rPr>
        <w:t>. This parametric test measures the strength and direction of the association, with values ranging from -1 to +1. A coefficient close to +1 indicates a strong positive linear relationship, whereas a value near -1 suggests a strong negative linear relationship (Field, 2024). The correlation matrix in Table 2 displays the relationships among key variables.</w:t>
      </w:r>
    </w:p>
    <w:p w14:paraId="19F27354" w14:textId="57864F9D" w:rsidR="00831010" w:rsidRDefault="00831010" w:rsidP="00831010">
      <w:pPr>
        <w:spacing w:line="360" w:lineRule="auto"/>
        <w:ind w:left="720"/>
        <w:jc w:val="both"/>
        <w:rPr>
          <w:rFonts w:cs="Times New Roman"/>
          <w:szCs w:val="22"/>
        </w:rPr>
      </w:pPr>
      <w:r w:rsidRPr="00831010">
        <w:rPr>
          <w:rFonts w:cs="Times New Roman"/>
          <w:noProof/>
          <w:szCs w:val="22"/>
        </w:rPr>
        <w:drawing>
          <wp:inline distT="0" distB="0" distL="0" distR="0" wp14:anchorId="56A90CC1" wp14:editId="1F556A33">
            <wp:extent cx="5005044" cy="2232809"/>
            <wp:effectExtent l="0" t="0" r="5715" b="0"/>
            <wp:docPr id="1897043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043801" name=""/>
                    <pic:cNvPicPr/>
                  </pic:nvPicPr>
                  <pic:blipFill>
                    <a:blip r:embed="rId33"/>
                    <a:stretch>
                      <a:fillRect/>
                    </a:stretch>
                  </pic:blipFill>
                  <pic:spPr>
                    <a:xfrm>
                      <a:off x="0" y="0"/>
                      <a:ext cx="5026583" cy="2242418"/>
                    </a:xfrm>
                    <a:prstGeom prst="rect">
                      <a:avLst/>
                    </a:prstGeom>
                  </pic:spPr>
                </pic:pic>
              </a:graphicData>
            </a:graphic>
          </wp:inline>
        </w:drawing>
      </w:r>
    </w:p>
    <w:p w14:paraId="08275D15" w14:textId="77777777" w:rsidR="0033675B" w:rsidRPr="00831010" w:rsidRDefault="0033675B" w:rsidP="00831010">
      <w:pPr>
        <w:spacing w:line="360" w:lineRule="auto"/>
        <w:ind w:left="720"/>
        <w:jc w:val="both"/>
        <w:rPr>
          <w:rFonts w:cs="Times New Roman"/>
          <w:szCs w:val="22"/>
        </w:rPr>
      </w:pPr>
    </w:p>
    <w:p w14:paraId="14DD3827" w14:textId="7EAE9958" w:rsidR="00C30211" w:rsidRPr="00AF4A09" w:rsidRDefault="00C30211" w:rsidP="00AF4A09">
      <w:pPr>
        <w:pStyle w:val="Heading2"/>
        <w:numPr>
          <w:ilvl w:val="2"/>
          <w:numId w:val="5"/>
        </w:numPr>
        <w:spacing w:line="360" w:lineRule="auto"/>
        <w:rPr>
          <w:rFonts w:cs="Times New Roman"/>
          <w:b/>
          <w:bCs/>
          <w:sz w:val="22"/>
          <w:szCs w:val="22"/>
        </w:rPr>
      </w:pPr>
      <w:bookmarkStart w:id="82" w:name="_Toc213748939"/>
      <w:r w:rsidRPr="00AF4A09">
        <w:rPr>
          <w:rFonts w:cs="Times New Roman"/>
          <w:b/>
          <w:bCs/>
          <w:sz w:val="22"/>
          <w:szCs w:val="22"/>
        </w:rPr>
        <w:t xml:space="preserve">Regression </w:t>
      </w:r>
      <w:r w:rsidR="00B43821">
        <w:rPr>
          <w:rFonts w:cs="Times New Roman"/>
          <w:b/>
          <w:bCs/>
          <w:sz w:val="22"/>
          <w:szCs w:val="22"/>
        </w:rPr>
        <w:t>A</w:t>
      </w:r>
      <w:r w:rsidRPr="00AF4A09">
        <w:rPr>
          <w:rFonts w:cs="Times New Roman"/>
          <w:b/>
          <w:bCs/>
          <w:sz w:val="22"/>
          <w:szCs w:val="22"/>
        </w:rPr>
        <w:t>nalysis</w:t>
      </w:r>
      <w:bookmarkEnd w:id="82"/>
    </w:p>
    <w:p w14:paraId="59C90E9D" w14:textId="0717286A" w:rsidR="00C30211" w:rsidRDefault="0035089A" w:rsidP="00C30211">
      <w:pPr>
        <w:pStyle w:val="ListParagraph"/>
        <w:spacing w:line="360" w:lineRule="auto"/>
        <w:jc w:val="both"/>
        <w:rPr>
          <w:rFonts w:cs="Times New Roman"/>
          <w:szCs w:val="22"/>
        </w:rPr>
      </w:pPr>
      <w:r w:rsidRPr="0035089A">
        <w:rPr>
          <w:rFonts w:cs="Times New Roman"/>
          <w:szCs w:val="22"/>
        </w:rPr>
        <w:t xml:space="preserve">Regression analysis </w:t>
      </w:r>
      <w:r w:rsidR="00E36309">
        <w:rPr>
          <w:rFonts w:cs="Times New Roman"/>
          <w:szCs w:val="22"/>
        </w:rPr>
        <w:t xml:space="preserve">component in Table 3.6.4, </w:t>
      </w:r>
      <w:r w:rsidRPr="0035089A">
        <w:rPr>
          <w:rFonts w:cs="Times New Roman"/>
          <w:szCs w:val="22"/>
        </w:rPr>
        <w:t>estimates relationships between a dependent variable and one or more independent variables for hypothesis testing and prediction (Wooldridge, 2020). Key steps include calculating coefficients, t-statistics, and p-values. R-squared measures model fit, and diagnostic checks like heteroskedasticity and multicollinearity ensure valid results (</w:t>
      </w:r>
      <w:proofErr w:type="spellStart"/>
      <w:r w:rsidRPr="0035089A">
        <w:rPr>
          <w:rFonts w:cs="Times New Roman"/>
          <w:szCs w:val="22"/>
        </w:rPr>
        <w:t>Gujirati</w:t>
      </w:r>
      <w:proofErr w:type="spellEnd"/>
      <w:r w:rsidRPr="0035089A">
        <w:rPr>
          <w:rFonts w:cs="Times New Roman"/>
          <w:szCs w:val="22"/>
        </w:rPr>
        <w:t xml:space="preserve"> &amp; Porter, 2016). </w:t>
      </w:r>
      <w:r>
        <w:rPr>
          <w:rFonts w:cs="Times New Roman"/>
          <w:szCs w:val="22"/>
        </w:rPr>
        <w:t xml:space="preserve"> Simple linear regression </w:t>
      </w:r>
      <w:r w:rsidR="00B43821">
        <w:rPr>
          <w:rFonts w:cs="Times New Roman"/>
          <w:szCs w:val="22"/>
        </w:rPr>
        <w:t xml:space="preserve">uses the equation </w:t>
      </w:r>
      <w:r w:rsidR="00C30211" w:rsidRPr="00915260">
        <w:rPr>
          <w:rFonts w:cs="Times New Roman"/>
          <w:szCs w:val="22"/>
        </w:rPr>
        <w:t xml:space="preserve">y = β0 + β1x + ε, where β0 </w:t>
      </w:r>
      <w:r w:rsidR="00B43821" w:rsidRPr="00B43821">
        <w:rPr>
          <w:rFonts w:cs="Times New Roman"/>
          <w:szCs w:val="22"/>
        </w:rPr>
        <w:t>as the intercept and β1 as the slope. R² shows explained variance.</w:t>
      </w:r>
    </w:p>
    <w:p w14:paraId="1796797B" w14:textId="6119798F" w:rsidR="00B43821" w:rsidRDefault="0033675B" w:rsidP="00C30211">
      <w:pPr>
        <w:pStyle w:val="ListParagraph"/>
        <w:spacing w:line="360" w:lineRule="auto"/>
        <w:jc w:val="both"/>
        <w:rPr>
          <w:rFonts w:cs="Times New Roman"/>
          <w:szCs w:val="22"/>
        </w:rPr>
      </w:pPr>
      <w:r w:rsidRPr="0033675B">
        <w:rPr>
          <w:rFonts w:cs="Times New Roman"/>
          <w:noProof/>
          <w:szCs w:val="22"/>
        </w:rPr>
        <w:lastRenderedPageBreak/>
        <w:drawing>
          <wp:inline distT="0" distB="0" distL="0" distR="0" wp14:anchorId="2959584A" wp14:editId="0FE3084D">
            <wp:extent cx="5330013" cy="2299482"/>
            <wp:effectExtent l="0" t="0" r="4445" b="5715"/>
            <wp:docPr id="332294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294233" name=""/>
                    <pic:cNvPicPr/>
                  </pic:nvPicPr>
                  <pic:blipFill>
                    <a:blip r:embed="rId34"/>
                    <a:stretch>
                      <a:fillRect/>
                    </a:stretch>
                  </pic:blipFill>
                  <pic:spPr>
                    <a:xfrm>
                      <a:off x="0" y="0"/>
                      <a:ext cx="5472724" cy="2361051"/>
                    </a:xfrm>
                    <a:prstGeom prst="rect">
                      <a:avLst/>
                    </a:prstGeom>
                  </pic:spPr>
                </pic:pic>
              </a:graphicData>
            </a:graphic>
          </wp:inline>
        </w:drawing>
      </w:r>
    </w:p>
    <w:p w14:paraId="58A8D1E1" w14:textId="77777777" w:rsidR="008856BA" w:rsidRPr="00915260" w:rsidRDefault="008856BA" w:rsidP="008856BA">
      <w:pPr>
        <w:pStyle w:val="Heading2"/>
        <w:numPr>
          <w:ilvl w:val="1"/>
          <w:numId w:val="5"/>
        </w:numPr>
        <w:spacing w:line="360" w:lineRule="auto"/>
        <w:ind w:left="450" w:hanging="450"/>
        <w:jc w:val="both"/>
        <w:rPr>
          <w:rFonts w:cs="Times New Roman"/>
          <w:b/>
          <w:bCs/>
          <w:sz w:val="22"/>
          <w:szCs w:val="22"/>
        </w:rPr>
      </w:pPr>
      <w:bookmarkStart w:id="83" w:name="_Toc213748940"/>
      <w:r w:rsidRPr="00915260">
        <w:rPr>
          <w:rFonts w:cs="Times New Roman"/>
          <w:b/>
          <w:bCs/>
          <w:sz w:val="22"/>
          <w:szCs w:val="22"/>
        </w:rPr>
        <w:t>Questionnaire and Instrument Design</w:t>
      </w:r>
      <w:bookmarkEnd w:id="83"/>
    </w:p>
    <w:p w14:paraId="7952FDB9" w14:textId="232C4EA9" w:rsidR="00F14039" w:rsidRDefault="00F14039" w:rsidP="001B2C3C">
      <w:pPr>
        <w:spacing w:line="360" w:lineRule="auto"/>
        <w:jc w:val="both"/>
        <w:rPr>
          <w:rFonts w:cs="Times New Roman"/>
          <w:szCs w:val="22"/>
        </w:rPr>
      </w:pPr>
      <w:r w:rsidRPr="00F14039">
        <w:rPr>
          <w:rFonts w:cs="Times New Roman"/>
          <w:szCs w:val="22"/>
        </w:rPr>
        <w:t>A pilot test was conducted with a sample of target consumers to evaluate the questionnaire’s reliability and identify any issues in question wording or structure</w:t>
      </w:r>
      <w:r w:rsidR="000B59B1" w:rsidRPr="000B59B1">
        <w:rPr>
          <w:rFonts w:cs="Times New Roman"/>
          <w:szCs w:val="22"/>
        </w:rPr>
        <w:t xml:space="preserve"> </w:t>
      </w:r>
      <w:r w:rsidR="000B59B1" w:rsidRPr="009B67A4">
        <w:rPr>
          <w:rFonts w:cs="Times New Roman"/>
          <w:szCs w:val="22"/>
        </w:rPr>
        <w:t>Creswell (2018)</w:t>
      </w:r>
      <w:r w:rsidRPr="00F14039">
        <w:rPr>
          <w:rFonts w:cs="Times New Roman"/>
          <w:szCs w:val="22"/>
        </w:rPr>
        <w:t>. The pilot feedback and Cronbach’s Alpha results guided further refinement, ultimately strengthening both the validity and reliability of the final survey instrument</w:t>
      </w:r>
      <w:r w:rsidR="000B59B1" w:rsidRPr="000B59B1">
        <w:rPr>
          <w:rFonts w:cs="Times New Roman"/>
          <w:szCs w:val="22"/>
        </w:rPr>
        <w:t xml:space="preserve"> </w:t>
      </w:r>
      <w:r w:rsidR="000B59B1" w:rsidRPr="002179B8">
        <w:rPr>
          <w:rFonts w:cs="Times New Roman"/>
          <w:szCs w:val="22"/>
        </w:rPr>
        <w:t>Devellis (2017)</w:t>
      </w:r>
      <w:r w:rsidRPr="00F14039">
        <w:rPr>
          <w:rFonts w:cs="Times New Roman"/>
          <w:szCs w:val="22"/>
        </w:rPr>
        <w:t>. This process ensured the questionnaire was well-adapted to the Hong Kong market context and capable of collecting robust attitudinal and behavioral data for analysis.</w:t>
      </w:r>
    </w:p>
    <w:p w14:paraId="45D13494" w14:textId="77777777" w:rsidR="00233593" w:rsidRDefault="00233593" w:rsidP="001B2C3C">
      <w:pPr>
        <w:spacing w:line="360" w:lineRule="auto"/>
        <w:jc w:val="both"/>
        <w:rPr>
          <w:rFonts w:cs="Times New Roman"/>
          <w:szCs w:val="22"/>
        </w:rPr>
      </w:pPr>
    </w:p>
    <w:p w14:paraId="6CFF9150" w14:textId="6E7970D9" w:rsidR="000B59B1" w:rsidRDefault="001914B4" w:rsidP="000B59B1">
      <w:pPr>
        <w:pStyle w:val="Heading2"/>
        <w:numPr>
          <w:ilvl w:val="2"/>
          <w:numId w:val="5"/>
        </w:numPr>
        <w:spacing w:line="360" w:lineRule="auto"/>
        <w:rPr>
          <w:rFonts w:cs="Times New Roman"/>
          <w:b/>
          <w:bCs/>
          <w:sz w:val="22"/>
          <w:szCs w:val="22"/>
        </w:rPr>
      </w:pPr>
      <w:bookmarkStart w:id="84" w:name="_Toc213748941"/>
      <w:r w:rsidRPr="001914B4">
        <w:rPr>
          <w:rFonts w:cs="Times New Roman"/>
          <w:b/>
          <w:bCs/>
          <w:sz w:val="22"/>
          <w:szCs w:val="22"/>
        </w:rPr>
        <w:t>Pilot Test Questionnaire</w:t>
      </w:r>
      <w:r w:rsidRPr="001914B4">
        <w:rPr>
          <w:rFonts w:cs="Times New Roman" w:hint="eastAsia"/>
          <w:b/>
          <w:bCs/>
          <w:sz w:val="22"/>
          <w:szCs w:val="22"/>
        </w:rPr>
        <w:t xml:space="preserve"> </w:t>
      </w:r>
      <w:r w:rsidR="000B59B1">
        <w:rPr>
          <w:rFonts w:cs="Times New Roman" w:hint="eastAsia"/>
          <w:b/>
          <w:bCs/>
          <w:sz w:val="22"/>
          <w:szCs w:val="22"/>
        </w:rPr>
        <w:t>Design</w:t>
      </w:r>
      <w:bookmarkEnd w:id="84"/>
    </w:p>
    <w:p w14:paraId="3BD76887" w14:textId="4A520D97" w:rsidR="00BA0478" w:rsidRDefault="00A10B6D" w:rsidP="00BA0478">
      <w:pPr>
        <w:spacing w:line="360" w:lineRule="auto"/>
        <w:ind w:left="720"/>
        <w:jc w:val="both"/>
        <w:rPr>
          <w:noProof/>
        </w:rPr>
      </w:pPr>
      <w:r>
        <w:t>Pilot test</w:t>
      </w:r>
      <w:r w:rsidR="00653F03" w:rsidRPr="00653F03">
        <w:t xml:space="preserve"> questionnaire focused on adapting and organizing validated items into clear, structured sections representing each core variable identified in the literature review. Each construct</w:t>
      </w:r>
      <w:r w:rsidR="00653F03">
        <w:rPr>
          <w:rFonts w:hint="eastAsia"/>
        </w:rPr>
        <w:t xml:space="preserve"> </w:t>
      </w:r>
      <w:r w:rsidR="001E1F12">
        <w:rPr>
          <w:rFonts w:hint="eastAsia"/>
        </w:rPr>
        <w:t xml:space="preserve">on </w:t>
      </w:r>
      <w:r w:rsidR="00653F03" w:rsidRPr="00653F03">
        <w:t>social media marketing activities, environmental conscious, sustainability, and brand trust</w:t>
      </w:r>
      <w:r w:rsidR="001E1F12">
        <w:rPr>
          <w:rFonts w:hint="eastAsia"/>
        </w:rPr>
        <w:t>, were</w:t>
      </w:r>
      <w:r w:rsidR="00653F03" w:rsidRPr="00653F03">
        <w:t xml:space="preserve"> measured through multiple items refined for linguistic and cultural clarity. Demographic questions covering gender, age, income</w:t>
      </w:r>
      <w:r w:rsidR="001E1F12">
        <w:rPr>
          <w:rFonts w:hint="eastAsia"/>
        </w:rPr>
        <w:t xml:space="preserve"> and</w:t>
      </w:r>
      <w:r w:rsidR="00653F03" w:rsidRPr="00653F03">
        <w:t xml:space="preserve"> education</w:t>
      </w:r>
      <w:r w:rsidR="001E1F12">
        <w:rPr>
          <w:rFonts w:hint="eastAsia"/>
        </w:rPr>
        <w:t xml:space="preserve"> level </w:t>
      </w:r>
      <w:r w:rsidR="00653F03" w:rsidRPr="00653F03">
        <w:t>were included for sample characterization. The design prioritized empirical rigor and practical applicability, providing reliable data for both statistical and thematic analysis while ensuring respondent comprehension and survey accessibility</w:t>
      </w:r>
      <w:r w:rsidR="00BA0478">
        <w:rPr>
          <w:rFonts w:hint="eastAsia"/>
        </w:rPr>
        <w:t xml:space="preserve">.  </w:t>
      </w:r>
      <w:r w:rsidR="00BA0478">
        <w:rPr>
          <w:noProof/>
        </w:rPr>
        <w:t xml:space="preserve">To further enhance reliability, </w:t>
      </w:r>
      <w:r>
        <w:rPr>
          <w:noProof/>
        </w:rPr>
        <w:t>pilot test</w:t>
      </w:r>
      <w:r w:rsidR="00BA0478">
        <w:rPr>
          <w:noProof/>
        </w:rPr>
        <w:t xml:space="preserve"> was conducted on 14 June 2025 through three scheduled sessions at 11:00, 12:30, and 14:00 via Microsoft Teams. Consistent with the recommendations of Bryman (2016) and Saunders, Lewis and Thornhill (2019), th</w:t>
      </w:r>
      <w:r>
        <w:rPr>
          <w:noProof/>
        </w:rPr>
        <w:t>e</w:t>
      </w:r>
      <w:r w:rsidR="00BA0478">
        <w:rPr>
          <w:noProof/>
        </w:rPr>
        <w:t xml:space="preserve"> preliminary phase integrated a focus group component, blending qualitative feedback with quantitative pretesting. Two primary objectives guided the pilot test, firstly, to ensure the composite reliability coefficients (Cronbach’s α) of all constructs exceeded 0.7, the minimum threshold for internal consistency as suggested by Nunnally (1978).  Secondly, to gather participant feedback within the focus group on question clarity, wording precision, and flow to ensure the instrument’s face validity and comprehensibility.    </w:t>
      </w:r>
    </w:p>
    <w:p w14:paraId="067A5144" w14:textId="7DB60EC0" w:rsidR="001E1F12" w:rsidRPr="000E28C6" w:rsidRDefault="008108F3" w:rsidP="001E1F12">
      <w:r w:rsidRPr="008108F3">
        <w:rPr>
          <w:noProof/>
        </w:rPr>
        <w:lastRenderedPageBreak/>
        <w:drawing>
          <wp:inline distT="0" distB="0" distL="0" distR="0" wp14:anchorId="2BB3A22F" wp14:editId="46AADDF9">
            <wp:extent cx="5776332" cy="8529680"/>
            <wp:effectExtent l="0" t="0" r="0" b="5080"/>
            <wp:docPr id="12930514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83290" cy="8539955"/>
                    </a:xfrm>
                    <a:prstGeom prst="rect">
                      <a:avLst/>
                    </a:prstGeom>
                    <a:noFill/>
                    <a:ln>
                      <a:noFill/>
                    </a:ln>
                  </pic:spPr>
                </pic:pic>
              </a:graphicData>
            </a:graphic>
          </wp:inline>
        </w:drawing>
      </w:r>
    </w:p>
    <w:p w14:paraId="6EE940DB" w14:textId="77777777" w:rsidR="001E1F12" w:rsidRDefault="001E1F12" w:rsidP="00653F03">
      <w:pPr>
        <w:spacing w:line="360" w:lineRule="auto"/>
        <w:ind w:left="720"/>
        <w:jc w:val="both"/>
      </w:pPr>
    </w:p>
    <w:p w14:paraId="7316E3BB" w14:textId="539C51D4" w:rsidR="001E1F12" w:rsidRDefault="00BA0478" w:rsidP="001E1F12">
      <w:pPr>
        <w:pStyle w:val="Heading2"/>
        <w:numPr>
          <w:ilvl w:val="2"/>
          <w:numId w:val="5"/>
        </w:numPr>
        <w:spacing w:line="360" w:lineRule="auto"/>
        <w:ind w:left="1260" w:hanging="540"/>
        <w:rPr>
          <w:rFonts w:cs="Times New Roman"/>
          <w:b/>
          <w:bCs/>
          <w:sz w:val="22"/>
          <w:szCs w:val="22"/>
        </w:rPr>
      </w:pPr>
      <w:bookmarkStart w:id="85" w:name="_Toc213748942"/>
      <w:r>
        <w:rPr>
          <w:rFonts w:cs="Times New Roman" w:hint="eastAsia"/>
          <w:b/>
          <w:bCs/>
          <w:sz w:val="22"/>
          <w:szCs w:val="22"/>
        </w:rPr>
        <w:t xml:space="preserve">Pilot Test </w:t>
      </w:r>
      <w:r>
        <w:rPr>
          <w:rFonts w:cs="Times New Roman"/>
          <w:b/>
          <w:bCs/>
          <w:sz w:val="22"/>
          <w:szCs w:val="22"/>
        </w:rPr>
        <w:t>Reliability</w:t>
      </w:r>
      <w:r>
        <w:rPr>
          <w:rFonts w:cs="Times New Roman" w:hint="eastAsia"/>
          <w:b/>
          <w:bCs/>
          <w:sz w:val="22"/>
          <w:szCs w:val="22"/>
        </w:rPr>
        <w:t xml:space="preserve"> Result</w:t>
      </w:r>
      <w:bookmarkEnd w:id="85"/>
    </w:p>
    <w:p w14:paraId="63595F34" w14:textId="77777777" w:rsidR="00CD5828" w:rsidRDefault="00CD5828" w:rsidP="00DB02DF">
      <w:pPr>
        <w:spacing w:line="360" w:lineRule="auto"/>
        <w:ind w:left="720"/>
        <w:jc w:val="both"/>
        <w:rPr>
          <w:noProof/>
        </w:rPr>
      </w:pPr>
      <w:r>
        <w:rPr>
          <w:noProof/>
        </w:rPr>
        <w:t>Table 3.7.2 illustrates the reliability result for the pilot test conducted before the main data collection phase. The pilot study achieved an overall Cronbach’s Alpha coefficient of 0.926, confirming excellent internal consistency across all measurement constructs. This high value exceeds the 0.70 benchmark recommended by Nunnally (1978), demonstrating that the instrument items reliably measured the respective variables. Participant feedback obtained during the pilot sessions was used to refine item wording, ensuring clarity and face validity before administering the full survey. These results affirm that the questionnaire is both statistically reliable and contextually appropriate for large-scale application.</w:t>
      </w:r>
    </w:p>
    <w:p w14:paraId="2078FF45" w14:textId="05EE1D2A" w:rsidR="009F224E" w:rsidRDefault="009F224E" w:rsidP="00DB02DF">
      <w:pPr>
        <w:spacing w:line="360" w:lineRule="auto"/>
        <w:ind w:left="720"/>
        <w:jc w:val="both"/>
        <w:rPr>
          <w:noProof/>
        </w:rPr>
      </w:pPr>
      <w:r w:rsidRPr="009F224E">
        <w:rPr>
          <w:noProof/>
        </w:rPr>
        <w:drawing>
          <wp:inline distT="0" distB="0" distL="0" distR="0" wp14:anchorId="1AE18B68" wp14:editId="2383631F">
            <wp:extent cx="4166886" cy="2448220"/>
            <wp:effectExtent l="0" t="0" r="5080" b="9525"/>
            <wp:docPr id="2112355235" name="Picture 1" descr="A close-up of a test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355235" name="Picture 1" descr="A close-up of a test results&#10;&#10;AI-generated content may be incorrect."/>
                    <pic:cNvPicPr/>
                  </pic:nvPicPr>
                  <pic:blipFill>
                    <a:blip r:embed="rId36"/>
                    <a:stretch>
                      <a:fillRect/>
                    </a:stretch>
                  </pic:blipFill>
                  <pic:spPr>
                    <a:xfrm>
                      <a:off x="0" y="0"/>
                      <a:ext cx="4182812" cy="2457577"/>
                    </a:xfrm>
                    <a:prstGeom prst="rect">
                      <a:avLst/>
                    </a:prstGeom>
                  </pic:spPr>
                </pic:pic>
              </a:graphicData>
            </a:graphic>
          </wp:inline>
        </w:drawing>
      </w:r>
    </w:p>
    <w:p w14:paraId="054F3525" w14:textId="2D17D183" w:rsidR="000E28C6" w:rsidRDefault="00A321C4" w:rsidP="00A321C4">
      <w:pPr>
        <w:spacing w:line="360" w:lineRule="auto"/>
        <w:jc w:val="both"/>
        <w:rPr>
          <w:noProof/>
        </w:rPr>
      </w:pPr>
      <w:r>
        <w:rPr>
          <w:noProof/>
        </w:rPr>
        <w:t>In summary, the final questionnaire reflects a rigorously validated and culturally tailored survey instrument, combining theoretical constructs with practical insights gained from the pilot testing and focus group feedback. This ensured the tool was reliable with a Cronbach’s alpha of 0.926 post-pilot, and valid for capturing the multidimensional factors influencing purchase intention toward instant coffee in the Hong Kong market.</w:t>
      </w:r>
    </w:p>
    <w:p w14:paraId="2E02BF8A" w14:textId="6E382B38" w:rsidR="0067364F" w:rsidRPr="00953CCB" w:rsidRDefault="0067364F" w:rsidP="00953CCB">
      <w:pPr>
        <w:spacing w:line="360" w:lineRule="auto"/>
        <w:jc w:val="both"/>
        <w:rPr>
          <w:rFonts w:cs="Times New Roman"/>
          <w:szCs w:val="22"/>
        </w:rPr>
      </w:pPr>
    </w:p>
    <w:p w14:paraId="4C7423EF" w14:textId="3A6D5AE1" w:rsidR="00DF33BD" w:rsidRDefault="00162D2D" w:rsidP="00AF4A09">
      <w:pPr>
        <w:pStyle w:val="Heading2"/>
        <w:numPr>
          <w:ilvl w:val="2"/>
          <w:numId w:val="5"/>
        </w:numPr>
        <w:spacing w:line="360" w:lineRule="auto"/>
        <w:rPr>
          <w:rFonts w:cs="Times New Roman"/>
          <w:b/>
          <w:bCs/>
          <w:sz w:val="22"/>
          <w:szCs w:val="22"/>
        </w:rPr>
      </w:pPr>
      <w:bookmarkStart w:id="86" w:name="_Toc213748943"/>
      <w:r>
        <w:rPr>
          <w:rFonts w:cs="Times New Roman" w:hint="eastAsia"/>
          <w:b/>
          <w:bCs/>
          <w:sz w:val="22"/>
          <w:szCs w:val="22"/>
        </w:rPr>
        <w:t>Final Questionnaire</w:t>
      </w:r>
      <w:r w:rsidR="00800338">
        <w:rPr>
          <w:rFonts w:cs="Times New Roman" w:hint="eastAsia"/>
          <w:b/>
          <w:bCs/>
          <w:sz w:val="22"/>
          <w:szCs w:val="22"/>
        </w:rPr>
        <w:t xml:space="preserve"> Implementation</w:t>
      </w:r>
      <w:bookmarkEnd w:id="86"/>
    </w:p>
    <w:p w14:paraId="4ABD822C" w14:textId="77777777" w:rsidR="007E4826" w:rsidRDefault="001F0EE8" w:rsidP="007E4826">
      <w:pPr>
        <w:spacing w:line="360" w:lineRule="auto"/>
        <w:ind w:left="720"/>
        <w:jc w:val="both"/>
      </w:pPr>
      <w:r w:rsidRPr="001F0EE8">
        <w:t>After the pilot test and group feedback, the questionnaire was revised for clarity and reliability. Problematic items were removed as suggested by participants. The final version accurately measured all constructs, reduced ambiguity, and improved comprehension. Table 3.7.3.1 shows the validated questionnaire. The instrument was deployed for large-scale data collection as planned.</w:t>
      </w:r>
    </w:p>
    <w:p w14:paraId="51450EEA" w14:textId="58157886" w:rsidR="004F3536" w:rsidRDefault="001F0EE8" w:rsidP="007E4826">
      <w:pPr>
        <w:spacing w:line="360" w:lineRule="auto"/>
        <w:jc w:val="both"/>
      </w:pPr>
      <w:r w:rsidRPr="001F0EE8">
        <w:lastRenderedPageBreak/>
        <w:t xml:space="preserve"> </w:t>
      </w:r>
      <w:r w:rsidR="00F92358" w:rsidRPr="00F92358">
        <w:rPr>
          <w:noProof/>
        </w:rPr>
        <w:drawing>
          <wp:inline distT="0" distB="0" distL="0" distR="0" wp14:anchorId="31F3B4A9" wp14:editId="1066F018">
            <wp:extent cx="5937813" cy="5587634"/>
            <wp:effectExtent l="0" t="0" r="6350" b="0"/>
            <wp:docPr id="440476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60089" cy="5608596"/>
                    </a:xfrm>
                    <a:prstGeom prst="rect">
                      <a:avLst/>
                    </a:prstGeom>
                    <a:noFill/>
                    <a:ln>
                      <a:noFill/>
                    </a:ln>
                  </pic:spPr>
                </pic:pic>
              </a:graphicData>
            </a:graphic>
          </wp:inline>
        </w:drawing>
      </w:r>
    </w:p>
    <w:p w14:paraId="438EBF0B" w14:textId="77777777" w:rsidR="008261F2" w:rsidRDefault="008261F2">
      <w:pPr>
        <w:rPr>
          <w:sz w:val="20"/>
          <w:szCs w:val="20"/>
        </w:rPr>
      </w:pPr>
      <w:r>
        <w:rPr>
          <w:sz w:val="20"/>
          <w:szCs w:val="20"/>
        </w:rPr>
        <w:br w:type="page"/>
      </w:r>
    </w:p>
    <w:p w14:paraId="67288319" w14:textId="6B374CEB" w:rsidR="007E4826" w:rsidRDefault="007E4826" w:rsidP="007E4826">
      <w:pPr>
        <w:spacing w:line="360" w:lineRule="auto"/>
        <w:ind w:left="720"/>
        <w:jc w:val="both"/>
        <w:rPr>
          <w:sz w:val="20"/>
          <w:szCs w:val="20"/>
        </w:rPr>
      </w:pPr>
      <w:r w:rsidRPr="007E4826">
        <w:rPr>
          <w:sz w:val="20"/>
          <w:szCs w:val="20"/>
        </w:rPr>
        <w:lastRenderedPageBreak/>
        <w:t>Reliability results in Table 3.7.3.2 confirm that deleting weak questions</w:t>
      </w:r>
      <w:r>
        <w:rPr>
          <w:sz w:val="20"/>
          <w:szCs w:val="20"/>
        </w:rPr>
        <w:t xml:space="preserve"> to</w:t>
      </w:r>
      <w:r w:rsidRPr="007E4826">
        <w:rPr>
          <w:sz w:val="20"/>
          <w:szCs w:val="20"/>
        </w:rPr>
        <w:t xml:space="preserve"> improve the reliability of the final instrument, ensuring robust and accurate measurement.</w:t>
      </w:r>
    </w:p>
    <w:p w14:paraId="27966B98" w14:textId="0548F810" w:rsidR="009540DC" w:rsidRDefault="009540DC" w:rsidP="007E4826">
      <w:pPr>
        <w:spacing w:line="360" w:lineRule="auto"/>
        <w:ind w:left="720"/>
        <w:rPr>
          <w:sz w:val="20"/>
          <w:szCs w:val="20"/>
        </w:rPr>
      </w:pPr>
      <w:r w:rsidRPr="009540DC">
        <w:rPr>
          <w:noProof/>
          <w:sz w:val="20"/>
          <w:szCs w:val="20"/>
        </w:rPr>
        <w:drawing>
          <wp:inline distT="0" distB="0" distL="0" distR="0" wp14:anchorId="5B612D3E" wp14:editId="2865FA12">
            <wp:extent cx="5064235" cy="2133600"/>
            <wp:effectExtent l="0" t="0" r="3175" b="0"/>
            <wp:docPr id="1805889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889159" name=""/>
                    <pic:cNvPicPr/>
                  </pic:nvPicPr>
                  <pic:blipFill>
                    <a:blip r:embed="rId38"/>
                    <a:stretch>
                      <a:fillRect/>
                    </a:stretch>
                  </pic:blipFill>
                  <pic:spPr>
                    <a:xfrm>
                      <a:off x="0" y="0"/>
                      <a:ext cx="5103321" cy="2150067"/>
                    </a:xfrm>
                    <a:prstGeom prst="rect">
                      <a:avLst/>
                    </a:prstGeom>
                  </pic:spPr>
                </pic:pic>
              </a:graphicData>
            </a:graphic>
          </wp:inline>
        </w:drawing>
      </w:r>
    </w:p>
    <w:p w14:paraId="2312A6CA" w14:textId="77777777" w:rsidR="004F3536" w:rsidRDefault="004F3536" w:rsidP="0040041C">
      <w:pPr>
        <w:spacing w:line="360" w:lineRule="auto"/>
        <w:jc w:val="both"/>
      </w:pPr>
    </w:p>
    <w:p w14:paraId="48D2E9A4" w14:textId="77777777" w:rsidR="007F7742" w:rsidRDefault="007F7742" w:rsidP="007F7742">
      <w:pPr>
        <w:pStyle w:val="Heading2"/>
        <w:numPr>
          <w:ilvl w:val="2"/>
          <w:numId w:val="5"/>
        </w:numPr>
        <w:spacing w:line="360" w:lineRule="auto"/>
        <w:rPr>
          <w:rFonts w:cs="Times New Roman"/>
          <w:b/>
          <w:bCs/>
          <w:sz w:val="22"/>
          <w:szCs w:val="22"/>
        </w:rPr>
      </w:pPr>
      <w:bookmarkStart w:id="87" w:name="_Toc213748944"/>
      <w:r w:rsidRPr="00AF4A09">
        <w:rPr>
          <w:rFonts w:cs="Times New Roman"/>
          <w:b/>
          <w:bCs/>
          <w:sz w:val="22"/>
          <w:szCs w:val="22"/>
        </w:rPr>
        <w:t>Methodology Limitation</w:t>
      </w:r>
      <w:bookmarkEnd w:id="87"/>
    </w:p>
    <w:p w14:paraId="7FD6073A" w14:textId="77777777" w:rsidR="002065FE" w:rsidRDefault="00F16342" w:rsidP="002065FE">
      <w:pPr>
        <w:pStyle w:val="ListParagraph"/>
        <w:spacing w:line="360" w:lineRule="auto"/>
        <w:jc w:val="both"/>
        <w:rPr>
          <w:rFonts w:cs="Times New Roman"/>
          <w:szCs w:val="22"/>
        </w:rPr>
      </w:pPr>
      <w:r w:rsidRPr="00915260">
        <w:rPr>
          <w:rFonts w:cs="Times New Roman"/>
          <w:szCs w:val="22"/>
        </w:rPr>
        <w:t>Despite the rigorous approach taken in this study, several methodological limitations should be acknowledged. These limitations may affect the generalizability, validity, and interpretation of the research findings.</w:t>
      </w:r>
      <w:r w:rsidR="00A06339" w:rsidRPr="00915260">
        <w:rPr>
          <w:rFonts w:cs="Times New Roman"/>
          <w:szCs w:val="22"/>
        </w:rPr>
        <w:t xml:space="preserve"> A primary limitation arises from the use of snowball sampling, a non-probability technique. While efficient for accessing participants within niche or hard-to-reach populations, snowball sampling is susceptible to selection bias and lack of control over sample size and composition. Recruitment through social networks may result in a sample that is overrepresented by certain subgroups and underrepresents or </w:t>
      </w:r>
      <w:r w:rsidR="007C72E0" w:rsidRPr="00915260">
        <w:rPr>
          <w:rFonts w:cs="Times New Roman"/>
          <w:szCs w:val="22"/>
        </w:rPr>
        <w:t>excluding</w:t>
      </w:r>
      <w:r w:rsidR="00A06339" w:rsidRPr="00915260">
        <w:rPr>
          <w:rFonts w:cs="Times New Roman"/>
          <w:szCs w:val="22"/>
        </w:rPr>
        <w:t xml:space="preserve"> others, limiting the diversity and representativeness of the sample</w:t>
      </w:r>
      <w:r w:rsidR="00C03EE1" w:rsidRPr="00915260">
        <w:rPr>
          <w:rFonts w:cs="Times New Roman"/>
          <w:szCs w:val="22"/>
        </w:rPr>
        <w:t xml:space="preserve"> (Ting et al., 2025)</w:t>
      </w:r>
      <w:r w:rsidR="007C72E0" w:rsidRPr="00915260">
        <w:rPr>
          <w:rFonts w:cs="Times New Roman"/>
          <w:szCs w:val="22"/>
        </w:rPr>
        <w:t>. Consequently, the findings cannot be confidently generalized to the broader population of instant coffee consumers in Hong Kong. Additionally, this approach does not allow for accurate calculation of response rates, further complicating the assessment of sample representativeness.</w:t>
      </w:r>
    </w:p>
    <w:p w14:paraId="3398B849" w14:textId="77777777" w:rsidR="002065FE" w:rsidRDefault="00BA5610" w:rsidP="002065FE">
      <w:pPr>
        <w:pStyle w:val="ListParagraph"/>
        <w:spacing w:line="360" w:lineRule="auto"/>
        <w:jc w:val="both"/>
        <w:rPr>
          <w:rFonts w:cs="Times New Roman"/>
          <w:szCs w:val="22"/>
        </w:rPr>
      </w:pPr>
      <w:r w:rsidRPr="00915260">
        <w:rPr>
          <w:rFonts w:cs="Times New Roman"/>
          <w:szCs w:val="22"/>
        </w:rPr>
        <w:t xml:space="preserve">The reliance on self-reported data introduces another set of limitations. Participants may provide responses influenced by social desirability bias, memory recall issues, or misunderstandings of survey questions, potentially leading to inaccuracies or distortions in the data. For example, respondents may inadvertently report behaviors or attitudes they perceive as more socially acceptable rather than </w:t>
      </w:r>
      <w:r w:rsidR="00E6046F">
        <w:rPr>
          <w:rFonts w:cs="Times New Roman" w:hint="eastAsia"/>
          <w:szCs w:val="22"/>
        </w:rPr>
        <w:t>the</w:t>
      </w:r>
      <w:r w:rsidRPr="00915260">
        <w:rPr>
          <w:rFonts w:cs="Times New Roman"/>
          <w:szCs w:val="22"/>
        </w:rPr>
        <w:t xml:space="preserve"> true beliefs or practices. Such constraints can ultimately affect the reliability and validity of the study's conclusions</w:t>
      </w:r>
      <w:r w:rsidR="00F5277A" w:rsidRPr="00915260">
        <w:rPr>
          <w:rFonts w:cs="Times New Roman"/>
          <w:szCs w:val="22"/>
        </w:rPr>
        <w:t xml:space="preserve"> (Wilson Van Voorhis and Morgan, 2007)</w:t>
      </w:r>
      <w:r w:rsidRPr="00915260">
        <w:rPr>
          <w:rFonts w:cs="Times New Roman"/>
          <w:szCs w:val="22"/>
        </w:rPr>
        <w:t>.</w:t>
      </w:r>
      <w:r w:rsidR="002065FE">
        <w:rPr>
          <w:rFonts w:cs="Times New Roman"/>
          <w:szCs w:val="22"/>
        </w:rPr>
        <w:t xml:space="preserve"> </w:t>
      </w:r>
    </w:p>
    <w:p w14:paraId="2B12F18E" w14:textId="323197C9" w:rsidR="00984640" w:rsidRPr="00915260" w:rsidRDefault="00984640" w:rsidP="002065FE">
      <w:pPr>
        <w:pStyle w:val="ListParagraph"/>
        <w:spacing w:line="360" w:lineRule="auto"/>
        <w:jc w:val="both"/>
        <w:rPr>
          <w:rFonts w:cs="Times New Roman"/>
          <w:szCs w:val="22"/>
        </w:rPr>
      </w:pPr>
      <w:r w:rsidRPr="00915260">
        <w:rPr>
          <w:rFonts w:cs="Times New Roman"/>
          <w:szCs w:val="22"/>
        </w:rPr>
        <w:t>The study’s findings reflect the specific cultural, social, and economic context of Hong Kong in 2025. As such, generalizability to other regions or periods should be made with caution, especially considering that digital marketing practices and consumer sustainability attitudes evolve rapidly over time</w:t>
      </w:r>
      <w:r w:rsidR="006567EF" w:rsidRPr="00915260">
        <w:rPr>
          <w:rFonts w:cs="Times New Roman"/>
          <w:szCs w:val="22"/>
        </w:rPr>
        <w:t xml:space="preserve"> (Ross and Zaidi, 2019).</w:t>
      </w:r>
    </w:p>
    <w:p w14:paraId="3D7EF8E5" w14:textId="6110378A" w:rsidR="00103B4B" w:rsidRPr="008505A6" w:rsidRDefault="00103B4B" w:rsidP="008505A6">
      <w:pPr>
        <w:spacing w:line="360" w:lineRule="auto"/>
        <w:jc w:val="both"/>
        <w:rPr>
          <w:rFonts w:cs="Times New Roman"/>
          <w:szCs w:val="22"/>
        </w:rPr>
      </w:pPr>
      <w:bookmarkStart w:id="88" w:name="_Toc209184677"/>
    </w:p>
    <w:p w14:paraId="6458E0BC" w14:textId="27F52309" w:rsidR="008856BA" w:rsidRDefault="00A655E4" w:rsidP="00A655E4">
      <w:pPr>
        <w:pStyle w:val="Heading2"/>
        <w:numPr>
          <w:ilvl w:val="1"/>
          <w:numId w:val="5"/>
        </w:numPr>
        <w:spacing w:line="360" w:lineRule="auto"/>
        <w:ind w:left="450" w:hanging="450"/>
        <w:jc w:val="both"/>
        <w:rPr>
          <w:rFonts w:cs="Times New Roman"/>
          <w:b/>
          <w:bCs/>
          <w:sz w:val="22"/>
          <w:szCs w:val="22"/>
        </w:rPr>
      </w:pPr>
      <w:bookmarkStart w:id="89" w:name="_Toc213748945"/>
      <w:bookmarkEnd w:id="88"/>
      <w:r w:rsidRPr="00A655E4">
        <w:rPr>
          <w:rFonts w:cs="Times New Roman"/>
          <w:b/>
          <w:bCs/>
          <w:sz w:val="22"/>
          <w:szCs w:val="22"/>
        </w:rPr>
        <w:t>Validity, Reliability, and Ethical Considerations</w:t>
      </w:r>
      <w:bookmarkEnd w:id="89"/>
    </w:p>
    <w:p w14:paraId="18E231A6" w14:textId="58C6804B" w:rsidR="00A655E4" w:rsidRDefault="00570959" w:rsidP="00570959">
      <w:pPr>
        <w:spacing w:line="360" w:lineRule="auto"/>
        <w:jc w:val="both"/>
      </w:pPr>
      <w:r w:rsidRPr="00570959">
        <w:t>Questionnaire reliability is validated through pilot testing and analysis of Cronbach's Alpha coefficients, ensuring all construct reliabilities exceed the 0.7 threshold (Nunnally, 1978). Such internal consistency is fundamental for the empirical robustness of the regression and correlation analyses that underpin the quantitative results. Construct validity is reinforced by drawing survey items from widely used, literature-backed frameworks, with cross-cultural and linguistic adaptation to the Hong Kong market context.</w:t>
      </w:r>
    </w:p>
    <w:p w14:paraId="14860A5C" w14:textId="77777777" w:rsidR="00570959" w:rsidRDefault="00570959" w:rsidP="00570959">
      <w:pPr>
        <w:spacing w:line="360" w:lineRule="auto"/>
        <w:jc w:val="both"/>
      </w:pPr>
      <w:r>
        <w:t>Statistical analysis is conducted using IBM SPSS, involving descriptive analyses, reliability tests, Pearson’s correlation, and regression modeling. Each analytical step is aligned with best practices as outlined in Field (2024), ensuring that data interpretation remains transparent and statistically sound.</w:t>
      </w:r>
    </w:p>
    <w:p w14:paraId="5BC30401" w14:textId="6A0178CB" w:rsidR="00570959" w:rsidRDefault="00570959" w:rsidP="00570959">
      <w:pPr>
        <w:spacing w:line="360" w:lineRule="auto"/>
        <w:jc w:val="both"/>
      </w:pPr>
      <w:r>
        <w:t>Ethically, the research adheres to UWTSD and MBA-level standards, maintaining participant confidentiality, informed consent, and right to withdraw. Data is reported via anonymized, aggregate summaries, and the study was registered and approved through relevant university dissertation protocols.</w:t>
      </w:r>
    </w:p>
    <w:p w14:paraId="1D8C9F8B" w14:textId="77777777" w:rsidR="00570959" w:rsidRPr="00A655E4" w:rsidRDefault="00570959" w:rsidP="00570959">
      <w:pPr>
        <w:spacing w:line="360" w:lineRule="auto"/>
        <w:jc w:val="both"/>
      </w:pPr>
    </w:p>
    <w:p w14:paraId="086DDE86" w14:textId="0ED6DFEB" w:rsidR="005D191A" w:rsidRPr="00915260" w:rsidRDefault="00754EF5" w:rsidP="004F76CE">
      <w:pPr>
        <w:pStyle w:val="Heading2"/>
        <w:numPr>
          <w:ilvl w:val="1"/>
          <w:numId w:val="5"/>
        </w:numPr>
        <w:spacing w:line="360" w:lineRule="auto"/>
        <w:ind w:left="450" w:hanging="450"/>
        <w:jc w:val="both"/>
        <w:rPr>
          <w:rFonts w:cs="Times New Roman"/>
          <w:b/>
          <w:bCs/>
          <w:sz w:val="22"/>
          <w:szCs w:val="22"/>
        </w:rPr>
      </w:pPr>
      <w:bookmarkStart w:id="90" w:name="_Toc213748946"/>
      <w:r w:rsidRPr="00915260">
        <w:rPr>
          <w:rFonts w:cs="Times New Roman"/>
          <w:b/>
          <w:bCs/>
          <w:sz w:val="22"/>
          <w:szCs w:val="22"/>
        </w:rPr>
        <w:t>Concluding Summary</w:t>
      </w:r>
      <w:bookmarkEnd w:id="90"/>
    </w:p>
    <w:p w14:paraId="783C4565" w14:textId="0CFF8992" w:rsidR="00890BE8" w:rsidRDefault="00DC57D4" w:rsidP="00103B4B">
      <w:pPr>
        <w:spacing w:line="360" w:lineRule="auto"/>
        <w:jc w:val="both"/>
        <w:rPr>
          <w:rFonts w:cs="Times New Roman"/>
          <w:szCs w:val="22"/>
        </w:rPr>
      </w:pPr>
      <w:r w:rsidRPr="00DC57D4">
        <w:rPr>
          <w:rFonts w:cs="Times New Roman"/>
          <w:szCs w:val="22"/>
        </w:rPr>
        <w:t>Chapter 3 established the study’s methodological rigor by outlining the method</w:t>
      </w:r>
      <w:r w:rsidR="00DE67CA">
        <w:rPr>
          <w:rFonts w:cs="Times New Roman"/>
          <w:szCs w:val="22"/>
        </w:rPr>
        <w:t>ology</w:t>
      </w:r>
      <w:r w:rsidRPr="00DC57D4">
        <w:rPr>
          <w:rFonts w:cs="Times New Roman"/>
          <w:szCs w:val="22"/>
        </w:rPr>
        <w:t xml:space="preserve"> approach used to investigate consumer purchase intention. The research design integrated qualitative and quantitative techniques, ensuring comprehensive data collection and robust analysis. Careful attention was paid to questionnaire reliability and validity, validated through pilot testing and refinement. Sampling strategies and data analysis methods, including descriptive statistics and regression analysis, were clearly defined, enhancing the study’s credibility. Together, these procedures provided a solid foundation for exploring the relationships between social media marketin</w:t>
      </w:r>
      <w:r w:rsidR="00DE67CA">
        <w:rPr>
          <w:rFonts w:cs="Times New Roman"/>
          <w:szCs w:val="22"/>
        </w:rPr>
        <w:t xml:space="preserve">g activities, environmental conscious, </w:t>
      </w:r>
      <w:r w:rsidRPr="00DC57D4">
        <w:rPr>
          <w:rFonts w:cs="Times New Roman"/>
          <w:szCs w:val="22"/>
        </w:rPr>
        <w:t>brand trust, sustainability, and purchase intention in subsequent chapters.</w:t>
      </w:r>
    </w:p>
    <w:p w14:paraId="424D5A30" w14:textId="77777777" w:rsidR="00890BE8" w:rsidRDefault="00890BE8">
      <w:pPr>
        <w:rPr>
          <w:rFonts w:cs="Times New Roman"/>
          <w:szCs w:val="22"/>
        </w:rPr>
      </w:pPr>
      <w:r>
        <w:rPr>
          <w:rFonts w:cs="Times New Roman"/>
          <w:szCs w:val="22"/>
        </w:rPr>
        <w:br w:type="page"/>
      </w:r>
    </w:p>
    <w:p w14:paraId="69C08003" w14:textId="632A5C7A" w:rsidR="000763BA" w:rsidRPr="00912E3B" w:rsidRDefault="000763BA" w:rsidP="000763BA">
      <w:pPr>
        <w:pStyle w:val="Heading"/>
        <w:numPr>
          <w:ilvl w:val="0"/>
          <w:numId w:val="5"/>
        </w:numPr>
        <w:spacing w:line="360" w:lineRule="auto"/>
        <w:jc w:val="both"/>
        <w:rPr>
          <w:rFonts w:cs="Times New Roman"/>
          <w:szCs w:val="28"/>
        </w:rPr>
      </w:pPr>
      <w:bookmarkStart w:id="91" w:name="_Toc213748947"/>
      <w:r w:rsidRPr="00912E3B">
        <w:rPr>
          <w:rFonts w:cs="Times New Roman"/>
          <w:szCs w:val="28"/>
        </w:rPr>
        <w:lastRenderedPageBreak/>
        <w:t>Research Results and Analysis</w:t>
      </w:r>
      <w:bookmarkEnd w:id="91"/>
    </w:p>
    <w:p w14:paraId="1429AC0D" w14:textId="1D0F91F5" w:rsidR="00B97484" w:rsidRDefault="000F570A" w:rsidP="00B50685">
      <w:pPr>
        <w:spacing w:line="360" w:lineRule="auto"/>
        <w:jc w:val="both"/>
        <w:rPr>
          <w:rFonts w:cs="Times New Roman"/>
          <w:szCs w:val="22"/>
        </w:rPr>
      </w:pPr>
      <w:r>
        <w:rPr>
          <w:rFonts w:cs="Times New Roman" w:hint="eastAsia"/>
          <w:szCs w:val="22"/>
        </w:rPr>
        <w:t>This chapter</w:t>
      </w:r>
      <w:r w:rsidR="00E440EE" w:rsidRPr="00E440EE">
        <w:rPr>
          <w:rFonts w:cs="Times New Roman"/>
          <w:szCs w:val="22"/>
        </w:rPr>
        <w:t xml:space="preserve"> presents a comprehensive analysis of the research data collected from the target sample using a systematic and statistically rigorous process. The raw data obtained from the finalized questionnaire </w:t>
      </w:r>
      <w:r w:rsidR="00816E53" w:rsidRPr="00E440EE">
        <w:rPr>
          <w:rFonts w:cs="Times New Roman"/>
          <w:szCs w:val="22"/>
        </w:rPr>
        <w:t>was</w:t>
      </w:r>
      <w:r w:rsidR="00E440EE" w:rsidRPr="00E440EE">
        <w:rPr>
          <w:rFonts w:cs="Times New Roman"/>
          <w:szCs w:val="22"/>
        </w:rPr>
        <w:t xml:space="preserve"> imported into IBM SPSS, enabling a robust transformation of numerical responses into graphical representations and summary tables. This method facilitates not only a more intuitive visual understanding but also deeper statistical analysis of the sample’s core characteristics and research variables.</w:t>
      </w:r>
    </w:p>
    <w:p w14:paraId="6B3AC90F" w14:textId="77777777" w:rsidR="00216857" w:rsidRDefault="00216857" w:rsidP="00B50685">
      <w:pPr>
        <w:spacing w:line="360" w:lineRule="auto"/>
        <w:jc w:val="both"/>
        <w:rPr>
          <w:rFonts w:cs="Times New Roman"/>
          <w:szCs w:val="22"/>
        </w:rPr>
      </w:pPr>
    </w:p>
    <w:p w14:paraId="14426381" w14:textId="62F6A5CF" w:rsidR="00B97484" w:rsidRPr="00915260" w:rsidRDefault="00216857" w:rsidP="00B97484">
      <w:pPr>
        <w:pStyle w:val="Heading2"/>
        <w:numPr>
          <w:ilvl w:val="1"/>
          <w:numId w:val="5"/>
        </w:numPr>
        <w:spacing w:line="360" w:lineRule="auto"/>
        <w:ind w:left="450" w:hanging="450"/>
        <w:jc w:val="both"/>
        <w:rPr>
          <w:rFonts w:cs="Times New Roman"/>
          <w:b/>
          <w:bCs/>
          <w:sz w:val="22"/>
          <w:szCs w:val="22"/>
        </w:rPr>
      </w:pPr>
      <w:bookmarkStart w:id="92" w:name="_Toc213748948"/>
      <w:r w:rsidRPr="00216857">
        <w:rPr>
          <w:rFonts w:cs="Times New Roman"/>
          <w:b/>
          <w:bCs/>
          <w:sz w:val="22"/>
          <w:szCs w:val="22"/>
        </w:rPr>
        <w:t xml:space="preserve">Questionnaire </w:t>
      </w:r>
      <w:r w:rsidR="00C030B5">
        <w:rPr>
          <w:rFonts w:cs="Times New Roman" w:hint="eastAsia"/>
          <w:b/>
          <w:bCs/>
          <w:sz w:val="22"/>
          <w:szCs w:val="22"/>
        </w:rPr>
        <w:t>C</w:t>
      </w:r>
      <w:r w:rsidRPr="00216857">
        <w:rPr>
          <w:rFonts w:cs="Times New Roman"/>
          <w:b/>
          <w:bCs/>
          <w:sz w:val="22"/>
          <w:szCs w:val="22"/>
        </w:rPr>
        <w:t xml:space="preserve">ollection </w:t>
      </w:r>
      <w:r w:rsidR="00C030B5">
        <w:rPr>
          <w:rFonts w:cs="Times New Roman" w:hint="eastAsia"/>
          <w:b/>
          <w:bCs/>
          <w:sz w:val="22"/>
          <w:szCs w:val="22"/>
        </w:rPr>
        <w:t>M</w:t>
      </w:r>
      <w:r w:rsidRPr="00216857">
        <w:rPr>
          <w:rFonts w:cs="Times New Roman"/>
          <w:b/>
          <w:bCs/>
          <w:sz w:val="22"/>
          <w:szCs w:val="22"/>
        </w:rPr>
        <w:t>ethods</w:t>
      </w:r>
      <w:bookmarkEnd w:id="92"/>
    </w:p>
    <w:p w14:paraId="5AD85FE2" w14:textId="0CEA8CBE" w:rsidR="00664FE3" w:rsidRDefault="00E440EE" w:rsidP="00B50685">
      <w:pPr>
        <w:spacing w:line="360" w:lineRule="auto"/>
        <w:jc w:val="both"/>
        <w:rPr>
          <w:rFonts w:cs="Times New Roman"/>
          <w:szCs w:val="22"/>
        </w:rPr>
      </w:pPr>
      <w:r w:rsidRPr="00E440EE">
        <w:rPr>
          <w:rFonts w:cs="Times New Roman"/>
          <w:szCs w:val="22"/>
        </w:rPr>
        <w:t xml:space="preserve">The questionnaire was distributed online using Google Forms from July 1 to July 31, 2025. </w:t>
      </w:r>
      <w:r w:rsidR="00C030B5" w:rsidRPr="00E440EE">
        <w:rPr>
          <w:rFonts w:cs="Times New Roman"/>
          <w:szCs w:val="22"/>
        </w:rPr>
        <w:t xml:space="preserve">a reminder was issued </w:t>
      </w:r>
      <w:r w:rsidR="00C030B5">
        <w:rPr>
          <w:rFonts w:cs="Times New Roman" w:hint="eastAsia"/>
          <w:szCs w:val="22"/>
        </w:rPr>
        <w:t>o</w:t>
      </w:r>
      <w:r w:rsidRPr="00E440EE">
        <w:rPr>
          <w:rFonts w:cs="Times New Roman"/>
          <w:szCs w:val="22"/>
        </w:rPr>
        <w:t xml:space="preserve">n July 15, </w:t>
      </w:r>
      <w:r w:rsidR="00C030B5" w:rsidRPr="00E440EE">
        <w:rPr>
          <w:rFonts w:cs="Times New Roman"/>
          <w:szCs w:val="22"/>
        </w:rPr>
        <w:t>2025,</w:t>
      </w:r>
      <w:r w:rsidR="00C030B5">
        <w:rPr>
          <w:rFonts w:cs="Times New Roman" w:hint="eastAsia"/>
          <w:szCs w:val="22"/>
        </w:rPr>
        <w:t xml:space="preserve"> </w:t>
      </w:r>
      <w:r w:rsidRPr="00E440EE">
        <w:rPr>
          <w:rFonts w:cs="Times New Roman"/>
          <w:szCs w:val="22"/>
        </w:rPr>
        <w:t>to encourage additional responses. At the close of the data collection period, a total of 238 complete questionnaires were collected. This final sample size meets the minimum requirements specified by Green (1991) for multivariate analysis and demonstrates methodological adequacy for the study’s inferential objectives.</w:t>
      </w:r>
    </w:p>
    <w:p w14:paraId="35233834" w14:textId="77777777" w:rsidR="00E440EE" w:rsidRPr="00915260" w:rsidRDefault="00E440EE" w:rsidP="00B50685">
      <w:pPr>
        <w:spacing w:line="360" w:lineRule="auto"/>
        <w:jc w:val="both"/>
        <w:rPr>
          <w:rFonts w:cs="Times New Roman"/>
          <w:szCs w:val="22"/>
        </w:rPr>
      </w:pPr>
    </w:p>
    <w:p w14:paraId="4B30698E" w14:textId="3ACCD435" w:rsidR="00B50685" w:rsidRPr="00915260" w:rsidRDefault="0084473F" w:rsidP="00B50685">
      <w:pPr>
        <w:pStyle w:val="Heading2"/>
        <w:numPr>
          <w:ilvl w:val="1"/>
          <w:numId w:val="5"/>
        </w:numPr>
        <w:spacing w:line="360" w:lineRule="auto"/>
        <w:ind w:left="450" w:hanging="450"/>
        <w:jc w:val="both"/>
        <w:rPr>
          <w:rFonts w:cs="Times New Roman"/>
          <w:b/>
          <w:bCs/>
          <w:sz w:val="22"/>
          <w:szCs w:val="22"/>
        </w:rPr>
      </w:pPr>
      <w:bookmarkStart w:id="93" w:name="_Toc213748949"/>
      <w:r w:rsidRPr="0084473F">
        <w:rPr>
          <w:rFonts w:cs="Times New Roman"/>
          <w:b/>
          <w:bCs/>
          <w:sz w:val="22"/>
          <w:szCs w:val="22"/>
        </w:rPr>
        <w:t>Descriptive Statistics on Demographic Information</w:t>
      </w:r>
      <w:bookmarkEnd w:id="93"/>
    </w:p>
    <w:p w14:paraId="54832F19" w14:textId="5736EA80" w:rsidR="00664FE3" w:rsidRDefault="00164F9B" w:rsidP="001B3361">
      <w:pPr>
        <w:spacing w:line="360" w:lineRule="auto"/>
        <w:jc w:val="both"/>
        <w:rPr>
          <w:rFonts w:cs="Times New Roman"/>
          <w:szCs w:val="22"/>
        </w:rPr>
      </w:pPr>
      <w:r>
        <w:rPr>
          <w:rFonts w:cs="Times New Roman" w:hint="eastAsia"/>
          <w:szCs w:val="22"/>
        </w:rPr>
        <w:t>T</w:t>
      </w:r>
      <w:r w:rsidR="00BF1475">
        <w:rPr>
          <w:rFonts w:cs="Times New Roman"/>
          <w:szCs w:val="22"/>
        </w:rPr>
        <w:t>he</w:t>
      </w:r>
      <w:r w:rsidR="008C1173" w:rsidRPr="008C1173">
        <w:rPr>
          <w:rFonts w:cs="Times New Roman"/>
          <w:szCs w:val="22"/>
        </w:rPr>
        <w:t xml:space="preserve"> overview of the </w:t>
      </w:r>
      <w:r>
        <w:rPr>
          <w:rFonts w:cs="Times New Roman" w:hint="eastAsia"/>
          <w:szCs w:val="22"/>
        </w:rPr>
        <w:t>demographic</w:t>
      </w:r>
      <w:r w:rsidR="00BF1475">
        <w:rPr>
          <w:rFonts w:cs="Times New Roman"/>
          <w:szCs w:val="22"/>
        </w:rPr>
        <w:t xml:space="preserve"> descriptive </w:t>
      </w:r>
      <w:r>
        <w:rPr>
          <w:rFonts w:cs="Times New Roman" w:hint="eastAsia"/>
          <w:szCs w:val="22"/>
        </w:rPr>
        <w:t>analysis</w:t>
      </w:r>
      <w:r w:rsidR="008C1173" w:rsidRPr="008C1173">
        <w:rPr>
          <w:rFonts w:cs="Times New Roman"/>
          <w:szCs w:val="22"/>
        </w:rPr>
        <w:t xml:space="preserve"> of the respondents. The sample consisted of 238 respondents</w:t>
      </w:r>
      <w:r w:rsidR="00EA2108">
        <w:rPr>
          <w:rFonts w:cs="Times New Roman"/>
          <w:szCs w:val="22"/>
        </w:rPr>
        <w:t>.</w:t>
      </w:r>
    </w:p>
    <w:p w14:paraId="503381B7" w14:textId="333A01DD" w:rsidR="00AC472A" w:rsidRPr="008F38BF" w:rsidRDefault="00AC472A" w:rsidP="00AC472A">
      <w:pPr>
        <w:pStyle w:val="ListParagraph"/>
        <w:numPr>
          <w:ilvl w:val="2"/>
          <w:numId w:val="5"/>
        </w:numPr>
        <w:spacing w:line="360" w:lineRule="auto"/>
        <w:jc w:val="both"/>
        <w:rPr>
          <w:rFonts w:cs="Times New Roman"/>
          <w:b/>
          <w:bCs/>
          <w:szCs w:val="22"/>
        </w:rPr>
      </w:pPr>
      <w:r w:rsidRPr="008F38BF">
        <w:rPr>
          <w:rFonts w:cs="Times New Roman"/>
          <w:b/>
          <w:bCs/>
          <w:szCs w:val="22"/>
        </w:rPr>
        <w:t>Gender Distribution</w:t>
      </w:r>
    </w:p>
    <w:p w14:paraId="57A9057B" w14:textId="7957B2DA" w:rsidR="000F570A" w:rsidRDefault="00083000" w:rsidP="008F38BF">
      <w:pPr>
        <w:spacing w:line="360" w:lineRule="auto"/>
        <w:ind w:left="720"/>
        <w:jc w:val="both"/>
        <w:rPr>
          <w:rFonts w:cs="Times New Roman"/>
          <w:szCs w:val="22"/>
        </w:rPr>
      </w:pPr>
      <w:r>
        <w:rPr>
          <w:rFonts w:cs="Times New Roman"/>
          <w:szCs w:val="22"/>
        </w:rPr>
        <w:t>Figure 4.</w:t>
      </w:r>
      <w:r w:rsidR="002D26FF">
        <w:rPr>
          <w:rFonts w:cs="Times New Roman" w:hint="eastAsia"/>
          <w:szCs w:val="22"/>
        </w:rPr>
        <w:t>2</w:t>
      </w:r>
      <w:r>
        <w:rPr>
          <w:rFonts w:cs="Times New Roman"/>
          <w:szCs w:val="22"/>
        </w:rPr>
        <w:t xml:space="preserve">.1 </w:t>
      </w:r>
      <w:r w:rsidR="000F570A" w:rsidRPr="000F570A">
        <w:rPr>
          <w:rFonts w:cs="Times New Roman"/>
          <w:szCs w:val="22"/>
        </w:rPr>
        <w:t>shows a sample consisting of 238 individuals, with a higher proportion of female participants compared to male participants.</w:t>
      </w:r>
    </w:p>
    <w:p w14:paraId="3729E764" w14:textId="703F093F" w:rsidR="008F38BF" w:rsidRDefault="00437783" w:rsidP="008F38BF">
      <w:pPr>
        <w:spacing w:line="360" w:lineRule="auto"/>
        <w:ind w:left="720"/>
        <w:jc w:val="both"/>
        <w:rPr>
          <w:rFonts w:cs="Times New Roman"/>
          <w:szCs w:val="22"/>
        </w:rPr>
      </w:pPr>
      <w:r w:rsidRPr="00437783">
        <w:rPr>
          <w:rFonts w:cs="Times New Roman"/>
          <w:noProof/>
          <w:szCs w:val="22"/>
        </w:rPr>
        <w:drawing>
          <wp:inline distT="0" distB="0" distL="0" distR="0" wp14:anchorId="33871869" wp14:editId="58383184">
            <wp:extent cx="3485760" cy="2463855"/>
            <wp:effectExtent l="0" t="0" r="635" b="0"/>
            <wp:docPr id="2020290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290816" name=""/>
                    <pic:cNvPicPr/>
                  </pic:nvPicPr>
                  <pic:blipFill>
                    <a:blip r:embed="rId39"/>
                    <a:stretch>
                      <a:fillRect/>
                    </a:stretch>
                  </pic:blipFill>
                  <pic:spPr>
                    <a:xfrm>
                      <a:off x="0" y="0"/>
                      <a:ext cx="3505481" cy="2477795"/>
                    </a:xfrm>
                    <a:prstGeom prst="rect">
                      <a:avLst/>
                    </a:prstGeom>
                  </pic:spPr>
                </pic:pic>
              </a:graphicData>
            </a:graphic>
          </wp:inline>
        </w:drawing>
      </w:r>
    </w:p>
    <w:p w14:paraId="2C22E9E0" w14:textId="1D393BDC" w:rsidR="00F84382" w:rsidRDefault="000F570A" w:rsidP="008F38BF">
      <w:pPr>
        <w:spacing w:line="360" w:lineRule="auto"/>
        <w:ind w:left="720"/>
        <w:jc w:val="both"/>
        <w:rPr>
          <w:rFonts w:cs="Times New Roman"/>
          <w:szCs w:val="22"/>
        </w:rPr>
      </w:pPr>
      <w:r>
        <w:rPr>
          <w:rFonts w:cs="Times New Roman" w:hint="eastAsia"/>
          <w:szCs w:val="22"/>
        </w:rPr>
        <w:t>Tab</w:t>
      </w:r>
      <w:r w:rsidR="00983E7B">
        <w:rPr>
          <w:rFonts w:cs="Times New Roman"/>
          <w:szCs w:val="22"/>
        </w:rPr>
        <w:t>l</w:t>
      </w:r>
      <w:r>
        <w:rPr>
          <w:rFonts w:cs="Times New Roman" w:hint="eastAsia"/>
          <w:szCs w:val="22"/>
        </w:rPr>
        <w:t xml:space="preserve">e 4.2.1 shows </w:t>
      </w:r>
      <w:r>
        <w:rPr>
          <w:rFonts w:cs="Times New Roman"/>
          <w:szCs w:val="22"/>
        </w:rPr>
        <w:t>r</w:t>
      </w:r>
      <w:r w:rsidRPr="005E31A6">
        <w:rPr>
          <w:rFonts w:cs="Times New Roman"/>
          <w:szCs w:val="22"/>
        </w:rPr>
        <w:t xml:space="preserve">espondents were 42.02% male and 57.98% female, slightly underrepresenting males and overrepresenting females compared to Hong Kong’s mid-2025 population benchmarks of 45.43% male </w:t>
      </w:r>
      <w:r w:rsidRPr="005E31A6">
        <w:rPr>
          <w:rFonts w:cs="Times New Roman"/>
          <w:szCs w:val="22"/>
        </w:rPr>
        <w:lastRenderedPageBreak/>
        <w:t xml:space="preserve">and 54.57% female. </w:t>
      </w:r>
      <w:r>
        <w:rPr>
          <w:rFonts w:cs="Times New Roman"/>
          <w:szCs w:val="22"/>
        </w:rPr>
        <w:t>The difference showed in Table 4.</w:t>
      </w:r>
      <w:r>
        <w:rPr>
          <w:rFonts w:cs="Times New Roman" w:hint="eastAsia"/>
          <w:szCs w:val="22"/>
        </w:rPr>
        <w:t>2</w:t>
      </w:r>
      <w:r>
        <w:rPr>
          <w:rFonts w:cs="Times New Roman"/>
          <w:szCs w:val="22"/>
        </w:rPr>
        <w:t>.1, t</w:t>
      </w:r>
      <w:r w:rsidRPr="005E31A6">
        <w:rPr>
          <w:rFonts w:cs="Times New Roman"/>
          <w:szCs w:val="22"/>
        </w:rPr>
        <w:t>his minor skew is typical in consumer research, especially surveys where women may be more likely to participate.</w:t>
      </w:r>
      <w:r>
        <w:rPr>
          <w:rFonts w:cs="Times New Roman" w:hint="eastAsia"/>
          <w:szCs w:val="22"/>
        </w:rPr>
        <w:t xml:space="preserve"> </w:t>
      </w:r>
      <w:r w:rsidRPr="00ED75DC">
        <w:rPr>
          <w:rFonts w:cs="Times New Roman"/>
          <w:szCs w:val="22"/>
        </w:rPr>
        <w:t>Such discrepancies are common in consumer research, especially in questionnaire-based studies, due to potential differences in willingness to participate across genders and sampling frame effects (Bryman, 2016; Saunders et al., 2019).</w:t>
      </w:r>
    </w:p>
    <w:p w14:paraId="2F06590D" w14:textId="047473C0" w:rsidR="008F38BF" w:rsidRDefault="00437783" w:rsidP="008F38BF">
      <w:pPr>
        <w:spacing w:line="360" w:lineRule="auto"/>
        <w:ind w:left="720"/>
        <w:jc w:val="both"/>
        <w:rPr>
          <w:rFonts w:cs="Times New Roman"/>
          <w:szCs w:val="22"/>
        </w:rPr>
      </w:pPr>
      <w:r w:rsidRPr="00437783">
        <w:rPr>
          <w:rFonts w:cs="Times New Roman"/>
          <w:noProof/>
          <w:szCs w:val="22"/>
        </w:rPr>
        <w:drawing>
          <wp:inline distT="0" distB="0" distL="0" distR="0" wp14:anchorId="02894EFE" wp14:editId="0182C73D">
            <wp:extent cx="5284053" cy="1111170"/>
            <wp:effectExtent l="0" t="0" r="0" b="0"/>
            <wp:docPr id="744013798"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013798" name="Picture 1" descr="A screenshot of a document&#10;&#10;AI-generated content may be incorrect."/>
                    <pic:cNvPicPr/>
                  </pic:nvPicPr>
                  <pic:blipFill>
                    <a:blip r:embed="rId40"/>
                    <a:stretch>
                      <a:fillRect/>
                    </a:stretch>
                  </pic:blipFill>
                  <pic:spPr>
                    <a:xfrm>
                      <a:off x="0" y="0"/>
                      <a:ext cx="5312723" cy="1117199"/>
                    </a:xfrm>
                    <a:prstGeom prst="rect">
                      <a:avLst/>
                    </a:prstGeom>
                  </pic:spPr>
                </pic:pic>
              </a:graphicData>
            </a:graphic>
          </wp:inline>
        </w:drawing>
      </w:r>
    </w:p>
    <w:p w14:paraId="38555B0D" w14:textId="77777777" w:rsidR="00437783" w:rsidRPr="00437783" w:rsidRDefault="00437783" w:rsidP="00437783">
      <w:pPr>
        <w:spacing w:line="360" w:lineRule="auto"/>
        <w:jc w:val="both"/>
        <w:rPr>
          <w:rFonts w:cs="Times New Roman"/>
          <w:b/>
          <w:bCs/>
          <w:szCs w:val="22"/>
        </w:rPr>
      </w:pPr>
    </w:p>
    <w:p w14:paraId="4398356C" w14:textId="375AFAD4" w:rsidR="008F38BF" w:rsidRPr="008F38BF" w:rsidRDefault="009B4312" w:rsidP="008F38BF">
      <w:pPr>
        <w:pStyle w:val="ListParagraph"/>
        <w:numPr>
          <w:ilvl w:val="2"/>
          <w:numId w:val="5"/>
        </w:numPr>
        <w:spacing w:line="360" w:lineRule="auto"/>
        <w:jc w:val="both"/>
        <w:rPr>
          <w:rFonts w:cs="Times New Roman"/>
          <w:b/>
          <w:bCs/>
          <w:szCs w:val="22"/>
        </w:rPr>
      </w:pPr>
      <w:r>
        <w:rPr>
          <w:rFonts w:cs="Times New Roman"/>
          <w:b/>
          <w:bCs/>
          <w:szCs w:val="22"/>
        </w:rPr>
        <w:t>Age Group</w:t>
      </w:r>
      <w:r w:rsidR="008F38BF" w:rsidRPr="008F38BF">
        <w:rPr>
          <w:rFonts w:cs="Times New Roman"/>
          <w:b/>
          <w:bCs/>
          <w:szCs w:val="22"/>
        </w:rPr>
        <w:t xml:space="preserve"> Distribution</w:t>
      </w:r>
    </w:p>
    <w:p w14:paraId="4B02C04D" w14:textId="779443F7" w:rsidR="008F38BF" w:rsidRDefault="00D41421" w:rsidP="00187709">
      <w:pPr>
        <w:spacing w:line="360" w:lineRule="auto"/>
        <w:ind w:left="720"/>
        <w:jc w:val="both"/>
        <w:rPr>
          <w:rFonts w:cs="Times New Roman"/>
          <w:szCs w:val="22"/>
        </w:rPr>
      </w:pPr>
      <w:r w:rsidRPr="00D41421">
        <w:rPr>
          <w:rFonts w:cs="Times New Roman"/>
          <w:szCs w:val="22"/>
        </w:rPr>
        <w:t>Most respondents in the survey are aged 35–44 and 45–54. These two groups make up the majority of the sample, while younger adults (15–24) and older adults (55+) have much fewer responses. The age group 25–34 matches closely with the overall Hong Kong population. This pattern reflects</w:t>
      </w:r>
      <w:r w:rsidR="00671F49">
        <w:rPr>
          <w:rFonts w:cs="Times New Roman"/>
          <w:szCs w:val="22"/>
        </w:rPr>
        <w:t xml:space="preserve"> </w:t>
      </w:r>
      <w:r w:rsidR="00671F49" w:rsidRPr="00671F49">
        <w:rPr>
          <w:rFonts w:cs="Times New Roman"/>
          <w:szCs w:val="22"/>
        </w:rPr>
        <w:t>the survey using a "snowball" sampling method, most respondents were friends, classmates, or relatives. As a result, certain age groups became overrepresented in the sample, leading to age bias in the survey results.</w:t>
      </w:r>
    </w:p>
    <w:p w14:paraId="60926818" w14:textId="229B08C7" w:rsidR="00491545" w:rsidRDefault="00F04573" w:rsidP="00187709">
      <w:pPr>
        <w:spacing w:line="360" w:lineRule="auto"/>
        <w:ind w:left="720"/>
        <w:jc w:val="both"/>
        <w:rPr>
          <w:rFonts w:cs="Times New Roman"/>
          <w:szCs w:val="22"/>
        </w:rPr>
      </w:pPr>
      <w:r w:rsidRPr="00F04573">
        <w:rPr>
          <w:rFonts w:cs="Times New Roman"/>
          <w:noProof/>
          <w:szCs w:val="22"/>
        </w:rPr>
        <w:drawing>
          <wp:inline distT="0" distB="0" distL="0" distR="0" wp14:anchorId="30AC8838" wp14:editId="1EB78758">
            <wp:extent cx="5467090" cy="1533646"/>
            <wp:effectExtent l="0" t="0" r="635" b="9525"/>
            <wp:docPr id="2121403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403099" name=""/>
                    <pic:cNvPicPr/>
                  </pic:nvPicPr>
                  <pic:blipFill>
                    <a:blip r:embed="rId41"/>
                    <a:stretch>
                      <a:fillRect/>
                    </a:stretch>
                  </pic:blipFill>
                  <pic:spPr>
                    <a:xfrm>
                      <a:off x="0" y="0"/>
                      <a:ext cx="5486651" cy="1539133"/>
                    </a:xfrm>
                    <a:prstGeom prst="rect">
                      <a:avLst/>
                    </a:prstGeom>
                  </pic:spPr>
                </pic:pic>
              </a:graphicData>
            </a:graphic>
          </wp:inline>
        </w:drawing>
      </w:r>
    </w:p>
    <w:p w14:paraId="05A1BC5B" w14:textId="7123EF50" w:rsidR="00491545" w:rsidRPr="008F38BF" w:rsidRDefault="004A52F5" w:rsidP="00491545">
      <w:pPr>
        <w:pStyle w:val="ListParagraph"/>
        <w:numPr>
          <w:ilvl w:val="2"/>
          <w:numId w:val="5"/>
        </w:numPr>
        <w:spacing w:line="360" w:lineRule="auto"/>
        <w:jc w:val="both"/>
        <w:rPr>
          <w:rFonts w:cs="Times New Roman"/>
          <w:b/>
          <w:bCs/>
          <w:szCs w:val="22"/>
        </w:rPr>
      </w:pPr>
      <w:r>
        <w:rPr>
          <w:rFonts w:cs="Times New Roman"/>
          <w:b/>
          <w:bCs/>
          <w:szCs w:val="22"/>
        </w:rPr>
        <w:t>Education Level</w:t>
      </w:r>
      <w:r w:rsidR="00491545">
        <w:rPr>
          <w:rFonts w:cs="Times New Roman"/>
          <w:b/>
          <w:bCs/>
          <w:szCs w:val="22"/>
        </w:rPr>
        <w:t xml:space="preserve"> Group</w:t>
      </w:r>
      <w:r w:rsidR="00491545" w:rsidRPr="008F38BF">
        <w:rPr>
          <w:rFonts w:cs="Times New Roman"/>
          <w:b/>
          <w:bCs/>
          <w:szCs w:val="22"/>
        </w:rPr>
        <w:t xml:space="preserve"> Distribution</w:t>
      </w:r>
    </w:p>
    <w:p w14:paraId="1367271C" w14:textId="4F27F12B" w:rsidR="000C5AE5" w:rsidRDefault="00EF3EEC" w:rsidP="00EF3EEC">
      <w:pPr>
        <w:spacing w:line="360" w:lineRule="auto"/>
        <w:ind w:left="720"/>
        <w:jc w:val="both"/>
        <w:rPr>
          <w:rFonts w:cs="Times New Roman"/>
          <w:szCs w:val="22"/>
        </w:rPr>
      </w:pPr>
      <w:r w:rsidRPr="00EF3EEC">
        <w:rPr>
          <w:rFonts w:cs="Times New Roman"/>
          <w:szCs w:val="22"/>
        </w:rPr>
        <w:t>Table 4.</w:t>
      </w:r>
      <w:r w:rsidR="00B021A9">
        <w:rPr>
          <w:rFonts w:cs="Times New Roman"/>
          <w:szCs w:val="22"/>
        </w:rPr>
        <w:t>1</w:t>
      </w:r>
      <w:r w:rsidRPr="00EF3EEC">
        <w:rPr>
          <w:rFonts w:cs="Times New Roman"/>
          <w:szCs w:val="22"/>
        </w:rPr>
        <w:t>.3</w:t>
      </w:r>
      <w:r w:rsidR="00C917FA">
        <w:rPr>
          <w:rFonts w:cs="Times New Roman"/>
          <w:szCs w:val="22"/>
        </w:rPr>
        <w:t xml:space="preserve">, </w:t>
      </w:r>
      <w:r w:rsidR="00C917FA" w:rsidRPr="00C917FA">
        <w:rPr>
          <w:rFonts w:cs="Times New Roman"/>
          <w:szCs w:val="22"/>
        </w:rPr>
        <w:t>the survey most respondents have higher education levels compared to the general population in Hong Kong. Specifically, 42.26% hold a bachelor’s degree and 10.88% have a master’s degree or above</w:t>
      </w:r>
      <w:r w:rsidR="00C917FA">
        <w:rPr>
          <w:rFonts w:cs="Times New Roman"/>
          <w:szCs w:val="22"/>
        </w:rPr>
        <w:t xml:space="preserve">, </w:t>
      </w:r>
      <w:r w:rsidR="00C917FA" w:rsidRPr="00C917FA">
        <w:rPr>
          <w:rFonts w:cs="Times New Roman"/>
          <w:szCs w:val="22"/>
        </w:rPr>
        <w:t>much higher than the</w:t>
      </w:r>
      <w:r w:rsidR="00C917FA">
        <w:rPr>
          <w:rFonts w:cs="Times New Roman"/>
          <w:szCs w:val="22"/>
        </w:rPr>
        <w:t xml:space="preserve"> government</w:t>
      </w:r>
      <w:r w:rsidR="00C917FA" w:rsidRPr="00C917FA">
        <w:rPr>
          <w:rFonts w:cs="Times New Roman"/>
          <w:szCs w:val="22"/>
        </w:rPr>
        <w:t xml:space="preserve"> averages. Fewer respondents (26.36%) have only secondary school or below, which is much lower than the broader population. This difference can be explained by the snowball sampling method</w:t>
      </w:r>
      <w:r w:rsidR="00C917FA">
        <w:rPr>
          <w:rFonts w:cs="Times New Roman"/>
          <w:szCs w:val="22"/>
        </w:rPr>
        <w:t xml:space="preserve">, </w:t>
      </w:r>
      <w:r w:rsidR="00C917FA" w:rsidRPr="00C917FA">
        <w:rPr>
          <w:rFonts w:cs="Times New Roman"/>
          <w:szCs w:val="22"/>
        </w:rPr>
        <w:t>since participants were mainly friends, classmates, and relatives, they tended to be more educated, resulting in an education bias in the survey sample.</w:t>
      </w:r>
    </w:p>
    <w:p w14:paraId="7BC4C225" w14:textId="7F6037C6" w:rsidR="00CA4BCE" w:rsidRDefault="00CA4BCE" w:rsidP="00EF3EEC">
      <w:pPr>
        <w:spacing w:line="360" w:lineRule="auto"/>
        <w:ind w:left="720"/>
        <w:jc w:val="both"/>
        <w:rPr>
          <w:rFonts w:cs="Times New Roman"/>
          <w:szCs w:val="22"/>
        </w:rPr>
      </w:pPr>
      <w:r w:rsidRPr="00CA4BCE">
        <w:rPr>
          <w:rFonts w:cs="Times New Roman"/>
          <w:noProof/>
          <w:szCs w:val="22"/>
        </w:rPr>
        <w:lastRenderedPageBreak/>
        <w:drawing>
          <wp:inline distT="0" distB="0" distL="0" distR="0" wp14:anchorId="2948B392" wp14:editId="5BD65513">
            <wp:extent cx="5440504" cy="1219463"/>
            <wp:effectExtent l="0" t="0" r="8255" b="0"/>
            <wp:docPr id="2032804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04369" name=""/>
                    <pic:cNvPicPr/>
                  </pic:nvPicPr>
                  <pic:blipFill>
                    <a:blip r:embed="rId42"/>
                    <a:stretch>
                      <a:fillRect/>
                    </a:stretch>
                  </pic:blipFill>
                  <pic:spPr>
                    <a:xfrm>
                      <a:off x="0" y="0"/>
                      <a:ext cx="5463967" cy="1224722"/>
                    </a:xfrm>
                    <a:prstGeom prst="rect">
                      <a:avLst/>
                    </a:prstGeom>
                  </pic:spPr>
                </pic:pic>
              </a:graphicData>
            </a:graphic>
          </wp:inline>
        </w:drawing>
      </w:r>
    </w:p>
    <w:p w14:paraId="4DA45408" w14:textId="77777777" w:rsidR="00CA4BCE" w:rsidRPr="00CA4BCE" w:rsidRDefault="00CA4BCE" w:rsidP="00CA4BCE">
      <w:pPr>
        <w:spacing w:line="360" w:lineRule="auto"/>
        <w:jc w:val="both"/>
        <w:rPr>
          <w:rFonts w:cs="Times New Roman"/>
          <w:b/>
          <w:bCs/>
          <w:szCs w:val="22"/>
        </w:rPr>
      </w:pPr>
    </w:p>
    <w:p w14:paraId="6D7493F7" w14:textId="14F9B7A1" w:rsidR="0065544C" w:rsidRPr="008F38BF" w:rsidRDefault="00024A24" w:rsidP="0065544C">
      <w:pPr>
        <w:pStyle w:val="ListParagraph"/>
        <w:numPr>
          <w:ilvl w:val="2"/>
          <w:numId w:val="5"/>
        </w:numPr>
        <w:spacing w:line="360" w:lineRule="auto"/>
        <w:jc w:val="both"/>
        <w:rPr>
          <w:rFonts w:cs="Times New Roman"/>
          <w:b/>
          <w:bCs/>
          <w:szCs w:val="22"/>
        </w:rPr>
      </w:pPr>
      <w:r>
        <w:rPr>
          <w:rFonts w:cs="Times New Roman" w:hint="eastAsia"/>
          <w:b/>
          <w:bCs/>
          <w:szCs w:val="22"/>
        </w:rPr>
        <w:t xml:space="preserve">Monthly Personal </w:t>
      </w:r>
      <w:r w:rsidR="0065544C">
        <w:rPr>
          <w:rFonts w:cs="Times New Roman" w:hint="eastAsia"/>
          <w:b/>
          <w:bCs/>
          <w:szCs w:val="22"/>
        </w:rPr>
        <w:t>Income</w:t>
      </w:r>
      <w:r w:rsidR="0065544C">
        <w:rPr>
          <w:rFonts w:cs="Times New Roman"/>
          <w:b/>
          <w:bCs/>
          <w:szCs w:val="22"/>
        </w:rPr>
        <w:t xml:space="preserve"> Group</w:t>
      </w:r>
      <w:r w:rsidR="0065544C" w:rsidRPr="008F38BF">
        <w:rPr>
          <w:rFonts w:cs="Times New Roman"/>
          <w:b/>
          <w:bCs/>
          <w:szCs w:val="22"/>
        </w:rPr>
        <w:t xml:space="preserve"> Distribution</w:t>
      </w:r>
    </w:p>
    <w:p w14:paraId="00A0900A" w14:textId="2DDDF8BF" w:rsidR="00E62B14" w:rsidRDefault="00F74832" w:rsidP="0034366E">
      <w:pPr>
        <w:spacing w:line="360" w:lineRule="auto"/>
        <w:ind w:left="720"/>
        <w:jc w:val="both"/>
        <w:rPr>
          <w:rFonts w:cs="Times New Roman"/>
          <w:szCs w:val="22"/>
        </w:rPr>
      </w:pPr>
      <w:r w:rsidRPr="00F74832">
        <w:rPr>
          <w:rFonts w:cs="Times New Roman"/>
          <w:szCs w:val="22"/>
        </w:rPr>
        <w:t xml:space="preserve">Table 4.2.4 </w:t>
      </w:r>
      <w:r w:rsidR="0034366E" w:rsidRPr="0034366E">
        <w:rPr>
          <w:rFonts w:cs="Times New Roman"/>
          <w:szCs w:val="22"/>
        </w:rPr>
        <w:t xml:space="preserve">Respondents skew higher in income. Only 9.24% report earning less than HKD 10,000 (vs. 17.7% population), with 22.27% earning above HKD 50,000 (vs. 15.0% population). Those earning HKD 10,000–19,999 are underrepresented (7.56% vs. 27.00%), while the HKD 20,000–49,999 groups slightly exceed benchmark shares. </w:t>
      </w:r>
      <w:r w:rsidR="007F48BE" w:rsidRPr="007F48BE">
        <w:rPr>
          <w:rFonts w:cs="Times New Roman"/>
          <w:szCs w:val="22"/>
        </w:rPr>
        <w:t>There is a significant difference between the sample’s average income data and the figures reported by the Hong Kong government. This is mainly because the survey used a "snowball" sampling approach, resulting in groups with certain income levels being overrepresented or underrepresented in the sample. This method, relying on friends, classmates, and relatives, leads to income bias in the survey results.</w:t>
      </w:r>
    </w:p>
    <w:p w14:paraId="4EF35ACE" w14:textId="20F5FDE6" w:rsidR="002D26FF" w:rsidRDefault="00024A24" w:rsidP="00187709">
      <w:pPr>
        <w:spacing w:line="360" w:lineRule="auto"/>
        <w:ind w:left="720"/>
        <w:rPr>
          <w:rFonts w:cs="Times New Roman"/>
          <w:szCs w:val="22"/>
        </w:rPr>
      </w:pPr>
      <w:r w:rsidRPr="00024A24">
        <w:rPr>
          <w:noProof/>
        </w:rPr>
        <w:drawing>
          <wp:inline distT="0" distB="0" distL="0" distR="0" wp14:anchorId="13A88312" wp14:editId="47A27734">
            <wp:extent cx="5943600" cy="1558290"/>
            <wp:effectExtent l="0" t="0" r="0" b="3810"/>
            <wp:docPr id="11838326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43600" cy="1558290"/>
                    </a:xfrm>
                    <a:prstGeom prst="rect">
                      <a:avLst/>
                    </a:prstGeom>
                    <a:noFill/>
                    <a:ln>
                      <a:noFill/>
                    </a:ln>
                  </pic:spPr>
                </pic:pic>
              </a:graphicData>
            </a:graphic>
          </wp:inline>
        </w:drawing>
      </w:r>
    </w:p>
    <w:p w14:paraId="4A665D65" w14:textId="77777777" w:rsidR="00EC00BD" w:rsidRDefault="00EC00BD" w:rsidP="00187709">
      <w:pPr>
        <w:spacing w:line="360" w:lineRule="auto"/>
        <w:ind w:left="720"/>
        <w:rPr>
          <w:rFonts w:cs="Times New Roman"/>
          <w:szCs w:val="22"/>
        </w:rPr>
      </w:pPr>
    </w:p>
    <w:p w14:paraId="1B7F84DB" w14:textId="4A2FAA34" w:rsidR="0034366E" w:rsidRPr="00915260" w:rsidRDefault="0034366E" w:rsidP="0034366E">
      <w:pPr>
        <w:pStyle w:val="Heading2"/>
        <w:numPr>
          <w:ilvl w:val="1"/>
          <w:numId w:val="5"/>
        </w:numPr>
        <w:spacing w:line="360" w:lineRule="auto"/>
        <w:ind w:left="450" w:hanging="450"/>
        <w:jc w:val="both"/>
        <w:rPr>
          <w:rFonts w:cs="Times New Roman"/>
          <w:b/>
          <w:bCs/>
          <w:sz w:val="22"/>
          <w:szCs w:val="22"/>
        </w:rPr>
      </w:pPr>
      <w:bookmarkStart w:id="94" w:name="_Toc213748950"/>
      <w:r w:rsidRPr="0084473F">
        <w:rPr>
          <w:rFonts w:cs="Times New Roman"/>
          <w:b/>
          <w:bCs/>
          <w:sz w:val="22"/>
          <w:szCs w:val="22"/>
        </w:rPr>
        <w:t xml:space="preserve">Descriptive Statistics on </w:t>
      </w:r>
      <w:r>
        <w:rPr>
          <w:rFonts w:cs="Times New Roman"/>
          <w:b/>
          <w:bCs/>
          <w:sz w:val="22"/>
          <w:szCs w:val="22"/>
        </w:rPr>
        <w:t>Core Content</w:t>
      </w:r>
      <w:bookmarkEnd w:id="94"/>
    </w:p>
    <w:p w14:paraId="1BF2871F" w14:textId="0B1EE3F9" w:rsidR="0051291E" w:rsidRPr="0051291E" w:rsidRDefault="005207DA" w:rsidP="0051291E">
      <w:pPr>
        <w:spacing w:line="360" w:lineRule="auto"/>
        <w:jc w:val="both"/>
        <w:rPr>
          <w:rFonts w:cs="Times New Roman"/>
          <w:szCs w:val="22"/>
        </w:rPr>
      </w:pPr>
      <w:r>
        <w:rPr>
          <w:rFonts w:cs="Times New Roman"/>
          <w:szCs w:val="22"/>
        </w:rPr>
        <w:t xml:space="preserve">From </w:t>
      </w:r>
      <w:r w:rsidR="00736028">
        <w:rPr>
          <w:rFonts w:cs="Times New Roman" w:hint="eastAsia"/>
          <w:szCs w:val="22"/>
        </w:rPr>
        <w:t>T</w:t>
      </w:r>
      <w:r w:rsidR="00736028">
        <w:rPr>
          <w:rFonts w:cs="Times New Roman"/>
          <w:szCs w:val="22"/>
        </w:rPr>
        <w:t>a</w:t>
      </w:r>
      <w:r w:rsidR="00736028">
        <w:rPr>
          <w:rFonts w:cs="Times New Roman" w:hint="eastAsia"/>
          <w:szCs w:val="22"/>
        </w:rPr>
        <w:t xml:space="preserve">ble </w:t>
      </w:r>
      <w:r>
        <w:rPr>
          <w:rFonts w:cs="Times New Roman"/>
          <w:szCs w:val="22"/>
        </w:rPr>
        <w:t>4.</w:t>
      </w:r>
      <w:r w:rsidR="009075D5">
        <w:rPr>
          <w:rFonts w:cs="Times New Roman" w:hint="eastAsia"/>
          <w:szCs w:val="22"/>
        </w:rPr>
        <w:t>3</w:t>
      </w:r>
      <w:r>
        <w:rPr>
          <w:rFonts w:cs="Times New Roman"/>
          <w:szCs w:val="22"/>
        </w:rPr>
        <w:t>, the d</w:t>
      </w:r>
      <w:r w:rsidR="0051291E" w:rsidRPr="0051291E">
        <w:rPr>
          <w:rFonts w:cs="Times New Roman"/>
          <w:szCs w:val="22"/>
        </w:rPr>
        <w:t>escriptive statistics for the core constructs</w:t>
      </w:r>
      <w:r>
        <w:rPr>
          <w:rFonts w:cs="Times New Roman"/>
          <w:szCs w:val="22"/>
        </w:rPr>
        <w:t xml:space="preserve"> on </w:t>
      </w:r>
      <w:r w:rsidR="0051291E" w:rsidRPr="0051291E">
        <w:rPr>
          <w:rFonts w:cs="Times New Roman"/>
          <w:szCs w:val="22"/>
        </w:rPr>
        <w:t xml:space="preserve">social media marketing activities, environmental </w:t>
      </w:r>
      <w:r w:rsidR="00ED409C">
        <w:rPr>
          <w:rFonts w:cs="Times New Roman"/>
          <w:szCs w:val="22"/>
        </w:rPr>
        <w:t>conscious</w:t>
      </w:r>
      <w:r w:rsidR="0051291E" w:rsidRPr="0051291E">
        <w:rPr>
          <w:rFonts w:cs="Times New Roman"/>
          <w:szCs w:val="22"/>
        </w:rPr>
        <w:t>, sustainability, brand trust, and purchase intention</w:t>
      </w:r>
      <w:r>
        <w:rPr>
          <w:rFonts w:cs="Times New Roman"/>
          <w:szCs w:val="22"/>
        </w:rPr>
        <w:t xml:space="preserve">, </w:t>
      </w:r>
      <w:r w:rsidR="0051291E" w:rsidRPr="0051291E">
        <w:rPr>
          <w:rFonts w:cs="Times New Roman"/>
          <w:szCs w:val="22"/>
        </w:rPr>
        <w:t>provide insight not only into respondents’ central tendencies but also the variability of the attitudes, as measured by mean and standard deviation. The mean offers a summary of the average response, with higher mean values indicating greater agreement with the item, while the standard deviation quantifies the dispersion around the mean, where lower values suggest consensus and higher values indicate a wider range of opinions.</w:t>
      </w:r>
    </w:p>
    <w:p w14:paraId="42368382" w14:textId="77777777" w:rsidR="0051291E" w:rsidRPr="0051291E" w:rsidRDefault="0051291E" w:rsidP="0051291E">
      <w:pPr>
        <w:spacing w:line="360" w:lineRule="auto"/>
        <w:jc w:val="both"/>
        <w:rPr>
          <w:rFonts w:cs="Times New Roman"/>
          <w:szCs w:val="22"/>
        </w:rPr>
      </w:pPr>
    </w:p>
    <w:p w14:paraId="77AA3601" w14:textId="2588BF90" w:rsidR="003C2CAA" w:rsidRPr="005B0F93" w:rsidRDefault="0051291E" w:rsidP="0051291E">
      <w:pPr>
        <w:spacing w:line="360" w:lineRule="auto"/>
        <w:jc w:val="both"/>
        <w:rPr>
          <w:rFonts w:cs="Times New Roman"/>
          <w:szCs w:val="22"/>
        </w:rPr>
      </w:pPr>
      <w:r w:rsidRPr="0051291E">
        <w:rPr>
          <w:rFonts w:cs="Times New Roman"/>
          <w:szCs w:val="22"/>
        </w:rPr>
        <w:lastRenderedPageBreak/>
        <w:t xml:space="preserve">For social media marketing activities, </w:t>
      </w:r>
      <w:r w:rsidR="00C91506" w:rsidRPr="005B0F93">
        <w:rPr>
          <w:rFonts w:cs="Times New Roman" w:hint="eastAsia"/>
          <w:szCs w:val="22"/>
        </w:rPr>
        <w:t>t</w:t>
      </w:r>
      <w:r w:rsidR="003C2CAA" w:rsidRPr="005B0F93">
        <w:rPr>
          <w:rFonts w:cs="Times New Roman"/>
          <w:szCs w:val="22"/>
        </w:rPr>
        <w:t>he item WOM4 “I will comment on the product when I receive a good quality one” shows a high mean of 4.51, indicating that respondents are very likely to share positive feedback following a satisfying experience. This suggests strong consumer engagement in word-of-mouth behavior</w:t>
      </w:r>
      <w:r w:rsidR="005B0F93">
        <w:rPr>
          <w:rFonts w:cs="Times New Roman" w:hint="eastAsia"/>
          <w:szCs w:val="22"/>
        </w:rPr>
        <w:t xml:space="preserve">, </w:t>
      </w:r>
      <w:r w:rsidR="003C2CAA" w:rsidRPr="005B0F93">
        <w:rPr>
          <w:rFonts w:cs="Times New Roman"/>
          <w:szCs w:val="22"/>
        </w:rPr>
        <w:t xml:space="preserve">an important driver of purchase </w:t>
      </w:r>
      <w:r w:rsidR="005B0F93">
        <w:rPr>
          <w:rFonts w:cs="Times New Roman" w:hint="eastAsia"/>
          <w:szCs w:val="22"/>
        </w:rPr>
        <w:t>intention</w:t>
      </w:r>
      <w:r w:rsidR="003C2CAA" w:rsidRPr="005B0F93">
        <w:rPr>
          <w:rFonts w:cs="Times New Roman"/>
          <w:szCs w:val="22"/>
        </w:rPr>
        <w:t>, as research shows personal recommendations are highly trusted and shared by most consumers</w:t>
      </w:r>
      <w:r w:rsidR="00C91506" w:rsidRPr="005B0F93">
        <w:rPr>
          <w:rFonts w:cs="Times New Roman" w:hint="eastAsia"/>
          <w:szCs w:val="22"/>
        </w:rPr>
        <w:t xml:space="preserve"> </w:t>
      </w:r>
      <w:r w:rsidR="00B53DC3" w:rsidRPr="005B0F93">
        <w:rPr>
          <w:rFonts w:cs="Times New Roman"/>
          <w:szCs w:val="22"/>
        </w:rPr>
        <w:t>(Hayes, 2024)</w:t>
      </w:r>
      <w:r w:rsidR="003C2CAA" w:rsidRPr="005B0F93">
        <w:rPr>
          <w:rFonts w:cs="Times New Roman"/>
          <w:szCs w:val="22"/>
        </w:rPr>
        <w:t>.</w:t>
      </w:r>
      <w:r w:rsidR="001A7C75" w:rsidRPr="005B0F93">
        <w:rPr>
          <w:rFonts w:cs="Times New Roman" w:hint="eastAsia"/>
          <w:szCs w:val="22"/>
        </w:rPr>
        <w:t xml:space="preserve"> </w:t>
      </w:r>
      <w:r w:rsidR="001A7C75" w:rsidRPr="005B0F93">
        <w:rPr>
          <w:rFonts w:cs="Times New Roman"/>
          <w:szCs w:val="22"/>
        </w:rPr>
        <w:t>The standard deviation of 1.33</w:t>
      </w:r>
      <w:r w:rsidR="005870A8">
        <w:rPr>
          <w:rFonts w:cs="Times New Roman" w:hint="eastAsia"/>
          <w:szCs w:val="22"/>
        </w:rPr>
        <w:t xml:space="preserve"> that is</w:t>
      </w:r>
      <w:r w:rsidR="001A7C75" w:rsidRPr="005B0F93">
        <w:rPr>
          <w:rFonts w:cs="Times New Roman"/>
          <w:szCs w:val="22"/>
        </w:rPr>
        <w:t xml:space="preserve"> moderate</w:t>
      </w:r>
      <w:r w:rsidR="005870A8">
        <w:rPr>
          <w:rFonts w:cs="Times New Roman" w:hint="eastAsia"/>
          <w:szCs w:val="22"/>
        </w:rPr>
        <w:t xml:space="preserve"> level</w:t>
      </w:r>
      <w:r w:rsidR="001A7C75" w:rsidRPr="005B0F93">
        <w:rPr>
          <w:rFonts w:cs="Times New Roman"/>
          <w:szCs w:val="22"/>
        </w:rPr>
        <w:t xml:space="preserve">, reflects some variation in responses, meaning most participants agree with this statement but a minority may be less active in sharing feedback. This dispersion may represent differences in personality, social media </w:t>
      </w:r>
      <w:r w:rsidR="005870A8">
        <w:rPr>
          <w:rFonts w:cs="Times New Roman" w:hint="eastAsia"/>
          <w:szCs w:val="22"/>
        </w:rPr>
        <w:t xml:space="preserve">marketing </w:t>
      </w:r>
      <w:r w:rsidR="001A7C75" w:rsidRPr="005B0F93">
        <w:rPr>
          <w:rFonts w:cs="Times New Roman"/>
          <w:szCs w:val="22"/>
        </w:rPr>
        <w:t>activity, or comfort with online engagement. Overall, the result highlights that positive experiences with product quality strongly motivate consumers to express word-of-mouth, supporting the well-established influence of customer satisfaction on brand reputation and future purchase behavior</w:t>
      </w:r>
      <w:r w:rsidR="005B0F93" w:rsidRPr="005B0F93">
        <w:rPr>
          <w:rFonts w:cs="Times New Roman" w:hint="eastAsia"/>
          <w:szCs w:val="22"/>
        </w:rPr>
        <w:t xml:space="preserve"> </w:t>
      </w:r>
      <w:r w:rsidR="005B0F93" w:rsidRPr="005B0F93">
        <w:rPr>
          <w:rFonts w:cs="Times New Roman"/>
          <w:szCs w:val="22"/>
        </w:rPr>
        <w:t>(</w:t>
      </w:r>
      <w:proofErr w:type="spellStart"/>
      <w:r w:rsidR="005B0F93" w:rsidRPr="005B0F93">
        <w:rPr>
          <w:rFonts w:cs="Times New Roman"/>
          <w:szCs w:val="22"/>
        </w:rPr>
        <w:t>Bughin</w:t>
      </w:r>
      <w:proofErr w:type="spellEnd"/>
      <w:r w:rsidR="005B0F93" w:rsidRPr="005B0F93">
        <w:rPr>
          <w:rFonts w:cs="Times New Roman"/>
          <w:szCs w:val="22"/>
        </w:rPr>
        <w:t xml:space="preserve">, Doogan and </w:t>
      </w:r>
      <w:proofErr w:type="spellStart"/>
      <w:r w:rsidR="005B0F93" w:rsidRPr="005B0F93">
        <w:rPr>
          <w:rFonts w:cs="Times New Roman"/>
          <w:szCs w:val="22"/>
        </w:rPr>
        <w:t>Vetvik</w:t>
      </w:r>
      <w:proofErr w:type="spellEnd"/>
      <w:r w:rsidR="005B0F93" w:rsidRPr="005B0F93">
        <w:rPr>
          <w:rFonts w:cs="Times New Roman"/>
          <w:szCs w:val="22"/>
        </w:rPr>
        <w:t>, 2010)</w:t>
      </w:r>
      <w:r w:rsidR="001A7C75" w:rsidRPr="005B0F93">
        <w:rPr>
          <w:rFonts w:cs="Times New Roman"/>
          <w:szCs w:val="22"/>
        </w:rPr>
        <w:t>.</w:t>
      </w:r>
    </w:p>
    <w:p w14:paraId="2654AC44" w14:textId="759BD566" w:rsidR="0051291E" w:rsidRDefault="0051291E" w:rsidP="0051291E">
      <w:pPr>
        <w:spacing w:line="360" w:lineRule="auto"/>
        <w:jc w:val="both"/>
        <w:rPr>
          <w:rFonts w:cs="Times New Roman"/>
          <w:szCs w:val="22"/>
        </w:rPr>
      </w:pPr>
      <w:r w:rsidRPr="0051291E">
        <w:rPr>
          <w:rFonts w:cs="Times New Roman"/>
          <w:szCs w:val="22"/>
        </w:rPr>
        <w:t xml:space="preserve">In the environmental </w:t>
      </w:r>
      <w:r w:rsidR="00ED409C">
        <w:rPr>
          <w:rFonts w:cs="Times New Roman"/>
          <w:szCs w:val="22"/>
        </w:rPr>
        <w:t>conscious</w:t>
      </w:r>
      <w:r w:rsidRPr="0051291E">
        <w:rPr>
          <w:rFonts w:cs="Times New Roman"/>
          <w:szCs w:val="22"/>
        </w:rPr>
        <w:t xml:space="preserve"> section, </w:t>
      </w:r>
      <w:r w:rsidR="009C5A68">
        <w:rPr>
          <w:rFonts w:cs="Times New Roman" w:hint="eastAsia"/>
          <w:szCs w:val="22"/>
        </w:rPr>
        <w:t xml:space="preserve">EC4 </w:t>
      </w:r>
      <w:r w:rsidRPr="0051291E">
        <w:rPr>
          <w:rFonts w:cs="Times New Roman"/>
          <w:szCs w:val="22"/>
        </w:rPr>
        <w:t>“I think that we need stricter laws and regulations to protect the environment”</w:t>
      </w:r>
      <w:r w:rsidR="009C5A68">
        <w:rPr>
          <w:rFonts w:cs="Times New Roman" w:hint="eastAsia"/>
          <w:szCs w:val="22"/>
        </w:rPr>
        <w:t xml:space="preserve">, </w:t>
      </w:r>
      <w:r w:rsidRPr="0051291E">
        <w:rPr>
          <w:rFonts w:cs="Times New Roman"/>
          <w:szCs w:val="22"/>
        </w:rPr>
        <w:t>mean 4.19</w:t>
      </w:r>
      <w:r w:rsidR="009C5A68">
        <w:rPr>
          <w:rFonts w:cs="Times New Roman" w:hint="eastAsia"/>
          <w:szCs w:val="22"/>
        </w:rPr>
        <w:t xml:space="preserve"> and</w:t>
      </w:r>
      <w:r w:rsidRPr="0051291E">
        <w:rPr>
          <w:rFonts w:cs="Times New Roman"/>
          <w:szCs w:val="22"/>
        </w:rPr>
        <w:t xml:space="preserve"> SD 1.26 is most agreed upon, reflecting broad consensus for regulatory intervention. Overall, mean values for this category indicate high eco-</w:t>
      </w:r>
      <w:r w:rsidR="00ED409C">
        <w:rPr>
          <w:rFonts w:cs="Times New Roman"/>
          <w:szCs w:val="22"/>
        </w:rPr>
        <w:t>conscious</w:t>
      </w:r>
      <w:r w:rsidRPr="0051291E">
        <w:rPr>
          <w:rFonts w:cs="Times New Roman"/>
          <w:szCs w:val="22"/>
        </w:rPr>
        <w:t>, though standard deviations above 1 for all items denote a reasonable diversity of strength in environmental commitment across the sample.</w:t>
      </w:r>
      <w:r w:rsidR="00E46225">
        <w:rPr>
          <w:rFonts w:cs="Times New Roman" w:hint="eastAsia"/>
          <w:szCs w:val="22"/>
        </w:rPr>
        <w:t xml:space="preserve"> SD </w:t>
      </w:r>
      <w:r w:rsidR="00E46225">
        <w:rPr>
          <w:rFonts w:cs="Times New Roman"/>
          <w:szCs w:val="22"/>
        </w:rPr>
        <w:t>1.26</w:t>
      </w:r>
      <w:r w:rsidR="00E46225" w:rsidRPr="00E46225">
        <w:rPr>
          <w:rFonts w:cs="Times New Roman"/>
          <w:szCs w:val="22"/>
        </w:rPr>
        <w:t xml:space="preserve"> indicates a moderate spread of responses while many respondents agree with the need for stricter environmental regulations, there is some diversity in the strength of </w:t>
      </w:r>
      <w:r w:rsidR="005344F1">
        <w:rPr>
          <w:rFonts w:cs="Times New Roman"/>
          <w:szCs w:val="22"/>
        </w:rPr>
        <w:t>the</w:t>
      </w:r>
      <w:r w:rsidR="00E46225" w:rsidRPr="00E46225">
        <w:rPr>
          <w:rFonts w:cs="Times New Roman"/>
          <w:szCs w:val="22"/>
        </w:rPr>
        <w:t xml:space="preserve"> views. Statistically, this means that although consensus is relatively strong, a notable portion of participants have less agreement or different perspectives, reflecting the complexity of attitudes toward environmental policy within the group.</w:t>
      </w:r>
    </w:p>
    <w:p w14:paraId="4BC9E74F" w14:textId="6C015A64" w:rsidR="0051291E" w:rsidRPr="0051291E" w:rsidRDefault="0051291E" w:rsidP="0051291E">
      <w:pPr>
        <w:spacing w:line="360" w:lineRule="auto"/>
        <w:jc w:val="both"/>
        <w:rPr>
          <w:rFonts w:cs="Times New Roman"/>
          <w:szCs w:val="22"/>
        </w:rPr>
      </w:pPr>
      <w:r w:rsidRPr="0051291E">
        <w:rPr>
          <w:rFonts w:cs="Times New Roman"/>
          <w:szCs w:val="22"/>
        </w:rPr>
        <w:t>The sustainability segment reveals especially high alignment</w:t>
      </w:r>
      <w:r w:rsidR="00E46225">
        <w:rPr>
          <w:rFonts w:cs="Times New Roman" w:hint="eastAsia"/>
          <w:szCs w:val="22"/>
        </w:rPr>
        <w:t xml:space="preserve"> ST2</w:t>
      </w:r>
      <w:r w:rsidRPr="0051291E">
        <w:rPr>
          <w:rFonts w:cs="Times New Roman"/>
          <w:szCs w:val="22"/>
        </w:rPr>
        <w:t xml:space="preserve"> “I am aware of the environmental changes the world is going through”</w:t>
      </w:r>
      <w:r w:rsidR="00E46225">
        <w:rPr>
          <w:rFonts w:cs="Times New Roman" w:hint="eastAsia"/>
          <w:szCs w:val="22"/>
        </w:rPr>
        <w:t xml:space="preserve"> </w:t>
      </w:r>
      <w:r w:rsidRPr="0051291E">
        <w:rPr>
          <w:rFonts w:cs="Times New Roman"/>
          <w:szCs w:val="22"/>
        </w:rPr>
        <w:t>received the survey’s highest mean 5.01</w:t>
      </w:r>
      <w:r w:rsidR="00E46225">
        <w:rPr>
          <w:rFonts w:cs="Times New Roman" w:hint="eastAsia"/>
          <w:szCs w:val="22"/>
        </w:rPr>
        <w:t xml:space="preserve"> with</w:t>
      </w:r>
      <w:r w:rsidRPr="0051291E">
        <w:rPr>
          <w:rFonts w:cs="Times New Roman"/>
          <w:szCs w:val="22"/>
        </w:rPr>
        <w:t xml:space="preserve"> SD 1.09, signifying near-universal recognition of environmental shifts. Standard deviations are among the lowest here, evidencing remarkable agreement and minimal outlier perspectives.</w:t>
      </w:r>
      <w:r w:rsidR="004517F1" w:rsidRPr="004517F1">
        <w:rPr>
          <w:rFonts w:cs="Times New Roman"/>
          <w:szCs w:val="22"/>
        </w:rPr>
        <w:t xml:space="preserve"> Statistically, a low standard deviation reflects a high level of consensus</w:t>
      </w:r>
      <w:r w:rsidR="007F46DE">
        <w:rPr>
          <w:rFonts w:cs="Times New Roman" w:hint="eastAsia"/>
          <w:szCs w:val="22"/>
        </w:rPr>
        <w:t xml:space="preserve">, </w:t>
      </w:r>
      <w:r w:rsidR="004517F1" w:rsidRPr="004517F1">
        <w:rPr>
          <w:rFonts w:cs="Times New Roman"/>
          <w:szCs w:val="22"/>
        </w:rPr>
        <w:t>practically, this suggests that widespread environmental awareness is shared among participants, with minimal disagreement or variation in response.</w:t>
      </w:r>
    </w:p>
    <w:p w14:paraId="06A4164F" w14:textId="1CBA0B3E" w:rsidR="0051291E" w:rsidRPr="0051291E" w:rsidRDefault="0051291E" w:rsidP="0051291E">
      <w:pPr>
        <w:spacing w:line="360" w:lineRule="auto"/>
        <w:jc w:val="both"/>
        <w:rPr>
          <w:rFonts w:cs="Times New Roman"/>
          <w:szCs w:val="22"/>
        </w:rPr>
      </w:pPr>
      <w:r w:rsidRPr="0051291E">
        <w:rPr>
          <w:rFonts w:cs="Times New Roman"/>
          <w:szCs w:val="22"/>
        </w:rPr>
        <w:t>Brand trust results further reinforce the primacy of quality</w:t>
      </w:r>
      <w:r w:rsidR="004108BF">
        <w:rPr>
          <w:rFonts w:cs="Times New Roman" w:hint="eastAsia"/>
          <w:szCs w:val="22"/>
        </w:rPr>
        <w:t xml:space="preserve"> BT2</w:t>
      </w:r>
      <w:r w:rsidRPr="0051291E">
        <w:rPr>
          <w:rFonts w:cs="Times New Roman"/>
          <w:szCs w:val="22"/>
        </w:rPr>
        <w:t xml:space="preserve"> “I am confident to purchase a product regarding the brand offered good quality”</w:t>
      </w:r>
      <w:r w:rsidR="004108BF">
        <w:rPr>
          <w:rFonts w:cs="Times New Roman" w:hint="eastAsia"/>
          <w:szCs w:val="22"/>
        </w:rPr>
        <w:t>,</w:t>
      </w:r>
      <w:r w:rsidRPr="0051291E">
        <w:rPr>
          <w:rFonts w:cs="Times New Roman"/>
          <w:szCs w:val="22"/>
        </w:rPr>
        <w:t xml:space="preserve"> mean 4.36, SD 1.01 is the leading item. The low standard deviation indicates a solid consensus that product quality is fundamental to trust. Other brand trust statements also present high means and consistently low standard deviations, confirming the centrality of trust in consumer-brand relationships.</w:t>
      </w:r>
      <w:r w:rsidR="0084167D">
        <w:rPr>
          <w:rFonts w:cs="Times New Roman"/>
          <w:szCs w:val="22"/>
        </w:rPr>
        <w:t xml:space="preserve"> Also highlight BT3 </w:t>
      </w:r>
      <w:r w:rsidR="008127BD" w:rsidRPr="008127BD">
        <w:rPr>
          <w:rFonts w:cs="Times New Roman"/>
          <w:szCs w:val="22"/>
        </w:rPr>
        <w:t>“I trust Nescafé offers good quality”</w:t>
      </w:r>
      <w:r w:rsidR="008127BD">
        <w:rPr>
          <w:rFonts w:cs="Times New Roman"/>
          <w:szCs w:val="22"/>
        </w:rPr>
        <w:t xml:space="preserve">, that specific for Nescafe brand trust, </w:t>
      </w:r>
      <w:r w:rsidR="004F2327">
        <w:rPr>
          <w:rFonts w:cs="Times New Roman"/>
          <w:szCs w:val="22"/>
        </w:rPr>
        <w:t>d</w:t>
      </w:r>
      <w:r w:rsidR="004F2327" w:rsidRPr="004F2327">
        <w:rPr>
          <w:rFonts w:cs="Times New Roman"/>
          <w:szCs w:val="22"/>
        </w:rPr>
        <w:t>escriptive statistics for BT3 reveal a high mean value and a low standard deviation, reflecting broad consensus among Hong Kong consumers: most strongly agree that good quality is a key facet of trust.</w:t>
      </w:r>
    </w:p>
    <w:p w14:paraId="5DCEE989" w14:textId="27EDCEF0" w:rsidR="0051291E" w:rsidRDefault="0051291E" w:rsidP="0051291E">
      <w:pPr>
        <w:spacing w:line="360" w:lineRule="auto"/>
        <w:jc w:val="both"/>
        <w:rPr>
          <w:rFonts w:cs="Times New Roman"/>
          <w:szCs w:val="22"/>
        </w:rPr>
      </w:pPr>
      <w:r w:rsidRPr="0051291E">
        <w:rPr>
          <w:rFonts w:cs="Times New Roman"/>
          <w:szCs w:val="22"/>
        </w:rPr>
        <w:t>Finally, in purchase intention, the most salient item is</w:t>
      </w:r>
      <w:r w:rsidR="000D56A0">
        <w:rPr>
          <w:rFonts w:cs="Times New Roman" w:hint="eastAsia"/>
          <w:szCs w:val="22"/>
        </w:rPr>
        <w:t xml:space="preserve"> PI3</w:t>
      </w:r>
      <w:r w:rsidRPr="0051291E">
        <w:rPr>
          <w:rFonts w:cs="Times New Roman"/>
          <w:szCs w:val="22"/>
        </w:rPr>
        <w:t xml:space="preserve"> “Whenever I need to purchase, I intend to purchase the product with the brand I trust”</w:t>
      </w:r>
      <w:r w:rsidR="000D56A0">
        <w:rPr>
          <w:rFonts w:cs="Times New Roman" w:hint="eastAsia"/>
          <w:szCs w:val="22"/>
        </w:rPr>
        <w:t xml:space="preserve">, </w:t>
      </w:r>
      <w:r w:rsidRPr="0051291E">
        <w:rPr>
          <w:rFonts w:cs="Times New Roman"/>
          <w:szCs w:val="22"/>
        </w:rPr>
        <w:t>mean 4.76</w:t>
      </w:r>
      <w:r w:rsidR="000D56A0">
        <w:rPr>
          <w:rFonts w:cs="Times New Roman" w:hint="eastAsia"/>
          <w:szCs w:val="22"/>
        </w:rPr>
        <w:t>,</w:t>
      </w:r>
      <w:r w:rsidRPr="0051291E">
        <w:rPr>
          <w:rFonts w:cs="Times New Roman"/>
          <w:szCs w:val="22"/>
        </w:rPr>
        <w:t xml:space="preserve"> SD 0.98. It represents both the highest level of agreement regarding </w:t>
      </w:r>
      <w:r w:rsidRPr="0051291E">
        <w:rPr>
          <w:rFonts w:cs="Times New Roman"/>
          <w:szCs w:val="22"/>
        </w:rPr>
        <w:lastRenderedPageBreak/>
        <w:t xml:space="preserve">future behavior and the most tightly clustered responses in the dataset, underscoring that trusted brands are the single greatest motivator of purchase behavior for these respondents. </w:t>
      </w:r>
      <w:r w:rsidR="003B3C68">
        <w:rPr>
          <w:rFonts w:cs="Times New Roman" w:hint="eastAsia"/>
          <w:szCs w:val="22"/>
        </w:rPr>
        <w:t>SD 0.98 is</w:t>
      </w:r>
      <w:r w:rsidR="00D63C88" w:rsidRPr="00D63C88">
        <w:rPr>
          <w:rFonts w:cs="Times New Roman"/>
          <w:szCs w:val="22"/>
        </w:rPr>
        <w:t xml:space="preserve"> very low </w:t>
      </w:r>
      <w:r w:rsidR="003B3C68" w:rsidRPr="00D63C88">
        <w:rPr>
          <w:rFonts w:cs="Times New Roman"/>
          <w:szCs w:val="22"/>
        </w:rPr>
        <w:t>value and</w:t>
      </w:r>
      <w:r w:rsidR="00D63C88" w:rsidRPr="00D63C88">
        <w:rPr>
          <w:rFonts w:cs="Times New Roman"/>
          <w:szCs w:val="22"/>
        </w:rPr>
        <w:t xml:space="preserve"> indicates an exceptionally strong consensus among respondents</w:t>
      </w:r>
      <w:r w:rsidR="003B3C68">
        <w:rPr>
          <w:rFonts w:cs="Times New Roman" w:hint="eastAsia"/>
          <w:szCs w:val="22"/>
        </w:rPr>
        <w:t>,</w:t>
      </w:r>
      <w:r w:rsidR="00D63C88" w:rsidRPr="00D63C88">
        <w:rPr>
          <w:rFonts w:cs="Times New Roman"/>
          <w:szCs w:val="22"/>
        </w:rPr>
        <w:t xml:space="preserve"> most participants gave similar, high ratings for this item. Practically, it means brand trust is a universally important motivator in purchase decisions, with minimal disagreement or variation within the surveyed group.</w:t>
      </w:r>
    </w:p>
    <w:p w14:paraId="40324A07" w14:textId="4ECA1FB9" w:rsidR="008F38BF" w:rsidRDefault="00E54BD2" w:rsidP="00E54BD2">
      <w:pPr>
        <w:spacing w:line="360" w:lineRule="auto"/>
        <w:rPr>
          <w:rFonts w:cs="Times New Roman"/>
          <w:szCs w:val="22"/>
        </w:rPr>
      </w:pPr>
      <w:r w:rsidRPr="00E54BD2">
        <w:rPr>
          <w:rFonts w:cs="Times New Roman"/>
          <w:noProof/>
          <w:szCs w:val="22"/>
        </w:rPr>
        <w:drawing>
          <wp:inline distT="0" distB="0" distL="0" distR="0" wp14:anchorId="3B2FE4F5" wp14:editId="7A0494FD">
            <wp:extent cx="5935431" cy="5803533"/>
            <wp:effectExtent l="0" t="0" r="8255" b="6985"/>
            <wp:docPr id="311450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450708" name=""/>
                    <pic:cNvPicPr/>
                  </pic:nvPicPr>
                  <pic:blipFill>
                    <a:blip r:embed="rId44"/>
                    <a:stretch>
                      <a:fillRect/>
                    </a:stretch>
                  </pic:blipFill>
                  <pic:spPr>
                    <a:xfrm>
                      <a:off x="0" y="0"/>
                      <a:ext cx="5944358" cy="5812261"/>
                    </a:xfrm>
                    <a:prstGeom prst="rect">
                      <a:avLst/>
                    </a:prstGeom>
                  </pic:spPr>
                </pic:pic>
              </a:graphicData>
            </a:graphic>
          </wp:inline>
        </w:drawing>
      </w:r>
    </w:p>
    <w:p w14:paraId="16DF8074" w14:textId="77777777" w:rsidR="00E54BD2" w:rsidRPr="00915260" w:rsidRDefault="00E54BD2" w:rsidP="008F38BF">
      <w:pPr>
        <w:spacing w:line="360" w:lineRule="auto"/>
        <w:jc w:val="center"/>
        <w:rPr>
          <w:rFonts w:cs="Times New Roman"/>
          <w:szCs w:val="22"/>
        </w:rPr>
      </w:pPr>
    </w:p>
    <w:p w14:paraId="6A1EEFA2" w14:textId="279512FC" w:rsidR="00020287" w:rsidRPr="00915260" w:rsidRDefault="00F9717C" w:rsidP="003A04C6">
      <w:pPr>
        <w:pStyle w:val="Heading2"/>
        <w:numPr>
          <w:ilvl w:val="1"/>
          <w:numId w:val="5"/>
        </w:numPr>
        <w:spacing w:line="360" w:lineRule="auto"/>
        <w:ind w:left="450" w:hanging="450"/>
        <w:jc w:val="both"/>
        <w:rPr>
          <w:rFonts w:cs="Times New Roman"/>
          <w:b/>
          <w:bCs/>
          <w:sz w:val="22"/>
          <w:szCs w:val="22"/>
        </w:rPr>
      </w:pPr>
      <w:bookmarkStart w:id="95" w:name="_Toc213748951"/>
      <w:r w:rsidRPr="00915260">
        <w:rPr>
          <w:rFonts w:cs="Times New Roman"/>
          <w:b/>
          <w:bCs/>
          <w:sz w:val="22"/>
          <w:szCs w:val="22"/>
        </w:rPr>
        <w:t>Reliability Analysis</w:t>
      </w:r>
      <w:bookmarkEnd w:id="95"/>
    </w:p>
    <w:p w14:paraId="75526877" w14:textId="74DD0295" w:rsidR="00573D04" w:rsidRPr="00573D04" w:rsidRDefault="00573D04" w:rsidP="004122F5">
      <w:pPr>
        <w:spacing w:line="360" w:lineRule="auto"/>
        <w:jc w:val="both"/>
        <w:rPr>
          <w:rFonts w:cs="Times New Roman"/>
          <w:szCs w:val="22"/>
        </w:rPr>
      </w:pPr>
      <w:r w:rsidRPr="00573D04">
        <w:rPr>
          <w:rFonts w:cs="Times New Roman"/>
          <w:szCs w:val="22"/>
        </w:rPr>
        <w:t xml:space="preserve">Table 4.3 presents the reliability statistics for each </w:t>
      </w:r>
      <w:r w:rsidR="00B802C2">
        <w:rPr>
          <w:rFonts w:cs="Times New Roman"/>
          <w:szCs w:val="22"/>
        </w:rPr>
        <w:t>variable</w:t>
      </w:r>
      <w:r w:rsidR="004122F5">
        <w:rPr>
          <w:rFonts w:cs="Times New Roman" w:hint="eastAsia"/>
          <w:szCs w:val="22"/>
        </w:rPr>
        <w:t xml:space="preserve"> that</w:t>
      </w:r>
      <w:r w:rsidRPr="00573D04">
        <w:rPr>
          <w:rFonts w:cs="Times New Roman"/>
          <w:szCs w:val="22"/>
        </w:rPr>
        <w:t xml:space="preserve"> </w:t>
      </w:r>
      <w:r w:rsidR="00E36FC0" w:rsidRPr="00573D04">
        <w:rPr>
          <w:rFonts w:cs="Times New Roman"/>
          <w:szCs w:val="22"/>
        </w:rPr>
        <w:t>is measured</w:t>
      </w:r>
      <w:r w:rsidRPr="00573D04">
        <w:rPr>
          <w:rFonts w:cs="Times New Roman"/>
          <w:szCs w:val="22"/>
        </w:rPr>
        <w:t xml:space="preserve"> in the</w:t>
      </w:r>
      <w:r w:rsidR="004122F5">
        <w:rPr>
          <w:rFonts w:cs="Times New Roman" w:hint="eastAsia"/>
          <w:szCs w:val="22"/>
        </w:rPr>
        <w:t xml:space="preserve"> final</w:t>
      </w:r>
      <w:r w:rsidRPr="00573D04">
        <w:rPr>
          <w:rFonts w:cs="Times New Roman"/>
          <w:szCs w:val="22"/>
        </w:rPr>
        <w:t xml:space="preserve"> questionnaire, as calculated by Cronbach's alpha. Social Media Marketing Activities demonstrate exceptionally high internal consistency with </w:t>
      </w:r>
      <w:r w:rsidR="00B802C2" w:rsidRPr="00573D04">
        <w:rPr>
          <w:rFonts w:cs="Times New Roman"/>
          <w:szCs w:val="22"/>
        </w:rPr>
        <w:lastRenderedPageBreak/>
        <w:t>Cronbach’s</w:t>
      </w:r>
      <w:r w:rsidRPr="00573D04">
        <w:rPr>
          <w:rFonts w:cs="Times New Roman"/>
          <w:szCs w:val="22"/>
        </w:rPr>
        <w:t xml:space="preserve"> alpha of 0.930 across 13 items, indicating excellent reliability in assessing this multi-item construct. The other core constructs</w:t>
      </w:r>
      <w:r w:rsidR="004122F5">
        <w:rPr>
          <w:rFonts w:cs="Times New Roman" w:hint="eastAsia"/>
          <w:szCs w:val="22"/>
        </w:rPr>
        <w:t xml:space="preserve"> on </w:t>
      </w:r>
      <w:r w:rsidRPr="00573D04">
        <w:rPr>
          <w:rFonts w:cs="Times New Roman"/>
          <w:szCs w:val="22"/>
        </w:rPr>
        <w:t xml:space="preserve">Environmental </w:t>
      </w:r>
      <w:r w:rsidR="00ED409C">
        <w:rPr>
          <w:rFonts w:cs="Times New Roman"/>
          <w:szCs w:val="22"/>
        </w:rPr>
        <w:t>Conscious</w:t>
      </w:r>
      <w:r w:rsidRPr="00573D04">
        <w:rPr>
          <w:rFonts w:cs="Times New Roman"/>
          <w:szCs w:val="22"/>
        </w:rPr>
        <w:t xml:space="preserve"> (α = 0.832), Sustainability (α = 0.874), and Brand Trust (α = 0.838)</w:t>
      </w:r>
      <w:r w:rsidR="004122F5">
        <w:rPr>
          <w:rFonts w:cs="Times New Roman" w:hint="eastAsia"/>
          <w:szCs w:val="22"/>
        </w:rPr>
        <w:t xml:space="preserve">, </w:t>
      </w:r>
      <w:r w:rsidRPr="00573D04">
        <w:rPr>
          <w:rFonts w:cs="Times New Roman"/>
          <w:szCs w:val="22"/>
        </w:rPr>
        <w:t>all show strong and acceptable internal consistency, each exceeding the common accepted threshold of 0.7 for research instruments (Malhotra et al., 2017). Purchase Intention, while slightly lower at 0.729 for its 4 items, remains above this crucial benchmark and is still considered acceptable for psychological constructs.</w:t>
      </w:r>
    </w:p>
    <w:p w14:paraId="0F38FD1E" w14:textId="73E69110" w:rsidR="00F9717C" w:rsidRDefault="00573D04" w:rsidP="00C21F05">
      <w:pPr>
        <w:spacing w:line="360" w:lineRule="auto"/>
        <w:jc w:val="both"/>
        <w:rPr>
          <w:rFonts w:cs="Times New Roman"/>
          <w:szCs w:val="22"/>
        </w:rPr>
      </w:pPr>
      <w:r w:rsidRPr="00573D04">
        <w:rPr>
          <w:rFonts w:cs="Times New Roman"/>
          <w:szCs w:val="22"/>
        </w:rPr>
        <w:t xml:space="preserve">The total scale, comprising all 31 questionnaire items, yields an overall Cronbach’s alpha of 0.945, reflecting outstanding internal reliability for the instrument. These results confirm that the measurement model is robust and the items within each </w:t>
      </w:r>
      <w:r w:rsidR="00E36FC0">
        <w:rPr>
          <w:rFonts w:cs="Times New Roman"/>
          <w:szCs w:val="22"/>
        </w:rPr>
        <w:t>variable</w:t>
      </w:r>
      <w:r w:rsidRPr="00573D04">
        <w:rPr>
          <w:rFonts w:cs="Times New Roman"/>
          <w:szCs w:val="22"/>
        </w:rPr>
        <w:t xml:space="preserve"> are consistently capturing the intended theoretical dimensions. </w:t>
      </w:r>
      <w:r w:rsidR="004122F5">
        <w:rPr>
          <w:rFonts w:cs="Times New Roman" w:hint="eastAsia"/>
          <w:szCs w:val="22"/>
        </w:rPr>
        <w:t>The</w:t>
      </w:r>
      <w:r w:rsidRPr="00573D04">
        <w:rPr>
          <w:rFonts w:cs="Times New Roman"/>
          <w:szCs w:val="22"/>
        </w:rPr>
        <w:t xml:space="preserve"> high reliability provides a solid foundation for further quantitative analysis, justifying the aggregation of item responses into construct scores for subsequent hypothesis testing and modeling.​​</w:t>
      </w:r>
    </w:p>
    <w:p w14:paraId="1C7784E6" w14:textId="6F95F543" w:rsidR="005F3829" w:rsidRPr="00915260" w:rsidRDefault="000E68EF" w:rsidP="00C21F05">
      <w:pPr>
        <w:spacing w:line="360" w:lineRule="auto"/>
        <w:jc w:val="both"/>
        <w:rPr>
          <w:rFonts w:cs="Times New Roman"/>
          <w:szCs w:val="22"/>
        </w:rPr>
      </w:pPr>
      <w:r w:rsidRPr="000E68EF">
        <w:rPr>
          <w:rFonts w:cs="Times New Roman"/>
          <w:noProof/>
          <w:szCs w:val="22"/>
        </w:rPr>
        <w:drawing>
          <wp:inline distT="0" distB="0" distL="0" distR="0" wp14:anchorId="66EEFCDB" wp14:editId="5736F222">
            <wp:extent cx="3923132" cy="1834085"/>
            <wp:effectExtent l="0" t="0" r="1270" b="0"/>
            <wp:docPr id="920458712"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458712" name="Picture 1" descr="A table with text on it&#10;&#10;AI-generated content may be incorrect."/>
                    <pic:cNvPicPr/>
                  </pic:nvPicPr>
                  <pic:blipFill>
                    <a:blip r:embed="rId45"/>
                    <a:stretch>
                      <a:fillRect/>
                    </a:stretch>
                  </pic:blipFill>
                  <pic:spPr>
                    <a:xfrm>
                      <a:off x="0" y="0"/>
                      <a:ext cx="3928164" cy="1836437"/>
                    </a:xfrm>
                    <a:prstGeom prst="rect">
                      <a:avLst/>
                    </a:prstGeom>
                  </pic:spPr>
                </pic:pic>
              </a:graphicData>
            </a:graphic>
          </wp:inline>
        </w:drawing>
      </w:r>
    </w:p>
    <w:p w14:paraId="12214E2C" w14:textId="77777777" w:rsidR="000E68EF" w:rsidRPr="00915260" w:rsidRDefault="000E68EF" w:rsidP="0024750E">
      <w:pPr>
        <w:spacing w:line="360" w:lineRule="auto"/>
        <w:rPr>
          <w:rFonts w:cs="Times New Roman"/>
          <w:szCs w:val="22"/>
        </w:rPr>
      </w:pPr>
    </w:p>
    <w:p w14:paraId="00849AE2" w14:textId="5B8B3067" w:rsidR="001D4968" w:rsidRPr="00915260" w:rsidRDefault="001D4968" w:rsidP="001D4968">
      <w:pPr>
        <w:pStyle w:val="Heading2"/>
        <w:numPr>
          <w:ilvl w:val="1"/>
          <w:numId w:val="5"/>
        </w:numPr>
        <w:spacing w:line="360" w:lineRule="auto"/>
        <w:ind w:left="450" w:hanging="450"/>
        <w:jc w:val="both"/>
        <w:rPr>
          <w:rFonts w:cs="Times New Roman"/>
          <w:b/>
          <w:bCs/>
          <w:sz w:val="22"/>
          <w:szCs w:val="22"/>
        </w:rPr>
      </w:pPr>
      <w:bookmarkStart w:id="96" w:name="_Toc213748952"/>
      <w:r w:rsidRPr="00915260">
        <w:rPr>
          <w:rFonts w:cs="Times New Roman"/>
          <w:b/>
          <w:bCs/>
          <w:sz w:val="22"/>
          <w:szCs w:val="22"/>
        </w:rPr>
        <w:t>Correlational Analyses</w:t>
      </w:r>
      <w:bookmarkEnd w:id="96"/>
    </w:p>
    <w:p w14:paraId="4ABBD938" w14:textId="51385CD9" w:rsidR="00F84315" w:rsidRDefault="00F84315" w:rsidP="00B33F13">
      <w:pPr>
        <w:spacing w:line="360" w:lineRule="auto"/>
        <w:jc w:val="both"/>
        <w:rPr>
          <w:rFonts w:cs="Times New Roman"/>
          <w:szCs w:val="22"/>
        </w:rPr>
      </w:pPr>
      <w:r w:rsidRPr="00F84315">
        <w:rPr>
          <w:rFonts w:cs="Times New Roman"/>
          <w:szCs w:val="22"/>
        </w:rPr>
        <w:t xml:space="preserve">In correlational research, it </w:t>
      </w:r>
      <w:r w:rsidR="004E4A11">
        <w:rPr>
          <w:rFonts w:cs="Times New Roman"/>
          <w:szCs w:val="22"/>
        </w:rPr>
        <w:t xml:space="preserve">will </w:t>
      </w:r>
      <w:r w:rsidR="00C56F21">
        <w:rPr>
          <w:rFonts w:cs="Times New Roman"/>
          <w:szCs w:val="22"/>
        </w:rPr>
        <w:t>use</w:t>
      </w:r>
      <w:r w:rsidR="004E4A11">
        <w:rPr>
          <w:rFonts w:cs="Times New Roman"/>
          <w:szCs w:val="22"/>
        </w:rPr>
        <w:t xml:space="preserve"> </w:t>
      </w:r>
      <w:r w:rsidRPr="00F84315">
        <w:rPr>
          <w:rFonts w:cs="Times New Roman"/>
          <w:szCs w:val="22"/>
        </w:rPr>
        <w:t>average scores from multi-item scales to analyze relationships between latent constructs, especially in survey studies that use Likert-type items</w:t>
      </w:r>
      <w:r w:rsidR="007B3F7C">
        <w:rPr>
          <w:rFonts w:cs="Times New Roman" w:hint="eastAsia"/>
          <w:szCs w:val="22"/>
        </w:rPr>
        <w:t xml:space="preserve"> </w:t>
      </w:r>
      <w:r w:rsidR="00921CD2" w:rsidRPr="00921CD2">
        <w:rPr>
          <w:rFonts w:cs="Times New Roman"/>
          <w:szCs w:val="22"/>
        </w:rPr>
        <w:t>(Green and Salkind, 2017)</w:t>
      </w:r>
      <w:r w:rsidR="00921CD2">
        <w:rPr>
          <w:rFonts w:cs="Times New Roman"/>
          <w:szCs w:val="22"/>
        </w:rPr>
        <w:t>.</w:t>
      </w:r>
    </w:p>
    <w:p w14:paraId="7620AC1A" w14:textId="208717B2" w:rsidR="00B33F13" w:rsidRPr="00B33F13" w:rsidRDefault="004E4A11" w:rsidP="00B33F13">
      <w:pPr>
        <w:spacing w:line="360" w:lineRule="auto"/>
        <w:jc w:val="both"/>
        <w:rPr>
          <w:rFonts w:cs="Times New Roman"/>
          <w:szCs w:val="22"/>
        </w:rPr>
      </w:pPr>
      <w:r>
        <w:rPr>
          <w:rFonts w:cs="Times New Roman"/>
          <w:szCs w:val="22"/>
        </w:rPr>
        <w:t>Table 4.5 illustrate the</w:t>
      </w:r>
      <w:r w:rsidR="00B33F13" w:rsidRPr="00B33F13">
        <w:rPr>
          <w:rFonts w:cs="Times New Roman"/>
          <w:szCs w:val="22"/>
        </w:rPr>
        <w:t xml:space="preserve"> correlational analyses examine the bivariate associations among the core constructs</w:t>
      </w:r>
      <w:r w:rsidR="00B33F13">
        <w:rPr>
          <w:rFonts w:cs="Times New Roman"/>
          <w:szCs w:val="22"/>
        </w:rPr>
        <w:t xml:space="preserve">, </w:t>
      </w:r>
      <w:r w:rsidR="00B33F13" w:rsidRPr="00B33F13">
        <w:rPr>
          <w:rFonts w:cs="Times New Roman"/>
          <w:szCs w:val="22"/>
        </w:rPr>
        <w:t xml:space="preserve">Social Media Marketing Activities (SMMA), Environmental </w:t>
      </w:r>
      <w:r w:rsidR="00ED409C">
        <w:rPr>
          <w:rFonts w:cs="Times New Roman"/>
          <w:szCs w:val="22"/>
        </w:rPr>
        <w:t>Conscious</w:t>
      </w:r>
      <w:r w:rsidR="00B33F13" w:rsidRPr="00B33F13">
        <w:rPr>
          <w:rFonts w:cs="Times New Roman"/>
          <w:szCs w:val="22"/>
        </w:rPr>
        <w:t xml:space="preserve"> (EC), Sustainability (ST), Brand Trust (BT), and Purchase Intention (PI). Across the sample, SMMA shows a moderate to strong positive association with PI (r ≈ .70), indicating that higher engagement with entertaining, interactive, and word-of-mouth driven social media content is closely linked to stronger purchase intentions. This finding reinforces literature that emphasizes social media as a key driver of purchase </w:t>
      </w:r>
      <w:r w:rsidR="00922642">
        <w:rPr>
          <w:rFonts w:cs="Times New Roman"/>
          <w:szCs w:val="22"/>
        </w:rPr>
        <w:t>intention</w:t>
      </w:r>
      <w:r w:rsidR="00B33F13" w:rsidRPr="00B33F13">
        <w:rPr>
          <w:rFonts w:cs="Times New Roman"/>
          <w:szCs w:val="22"/>
        </w:rPr>
        <w:t xml:space="preserve"> and brand advocacy, particularly when content is engaging and trusted by consumers. SMMA also correlates positively with BT (r ≈ .63) and EC (r ≈ .45), suggesting that richer social media activity tends to co-occur with greater brand trust and environmental awareness, possibly because digital campaigns that highlight transparency and sustainability build credibility and align with consumer values. The relationship between SMMA and ST is more moderate (r ≈ .30), which may reflect that while social media can promote </w:t>
      </w:r>
      <w:r w:rsidR="00B33F13" w:rsidRPr="00B33F13">
        <w:rPr>
          <w:rFonts w:cs="Times New Roman"/>
          <w:szCs w:val="22"/>
        </w:rPr>
        <w:lastRenderedPageBreak/>
        <w:t>sustainable narratives, broader sustainable behavior is influenced by deeper attitudes and external constraints beyond online marketing.</w:t>
      </w:r>
    </w:p>
    <w:p w14:paraId="250C6D80" w14:textId="77777777" w:rsidR="00B33F13" w:rsidRPr="00B33F13" w:rsidRDefault="00B33F13" w:rsidP="00B33F13">
      <w:pPr>
        <w:spacing w:line="360" w:lineRule="auto"/>
        <w:jc w:val="both"/>
        <w:rPr>
          <w:rFonts w:cs="Times New Roman"/>
          <w:szCs w:val="22"/>
        </w:rPr>
      </w:pPr>
      <w:r w:rsidRPr="00B33F13">
        <w:rPr>
          <w:rFonts w:cs="Times New Roman"/>
          <w:szCs w:val="22"/>
        </w:rPr>
        <w:t>Environmentally focused relationships reveal that EC correlates highly with PI (r ≈ .57) and BT (r ≈ .43). This pattern indicates that greater environmental concern translates into higher purchase propensity for brands perceived as environmentally responsible, and it strengthens trust when brands communicate genuine sustainability commitments. The link between EC and ST is substantial (r ≈ .72), implying that individuals with stronger environmental awareness are also more attuned to sustainable practices and messaging, and thus more likely to respond positively to sustainability-oriented brand signals. Sustainability (ST) also shows meaningful associations with BT (r ≈ .34) and PI (r ≈ .46). The moderate ST–BT correlation suggests that sustainability considerations enhance trust when brands deliver credible, verifiable actions; ST’s relationship with PI indicates that sustainable framing can enhance willingness to purchase, especially when paired with perceived quality and consistency.</w:t>
      </w:r>
    </w:p>
    <w:p w14:paraId="1D4F5334" w14:textId="6916A3EC" w:rsidR="00E76801" w:rsidRDefault="00B33F13" w:rsidP="00B33F13">
      <w:pPr>
        <w:spacing w:line="360" w:lineRule="auto"/>
        <w:jc w:val="both"/>
        <w:rPr>
          <w:rFonts w:cs="Times New Roman"/>
          <w:szCs w:val="22"/>
        </w:rPr>
      </w:pPr>
      <w:r w:rsidRPr="00B33F13">
        <w:rPr>
          <w:rFonts w:cs="Times New Roman"/>
          <w:szCs w:val="22"/>
        </w:rPr>
        <w:t xml:space="preserve">Brand Trust (BT) demonstrates the strongest production-to-purchase signal with PI (r ≈ .69). This robust BT–PI association underscores the central role of trust as a mediator of marketing effects on buying behavior; consumers inclined to trust a brand are more likely to translate that trust into action. The correlations </w:t>
      </w:r>
      <w:r w:rsidR="00C56F21" w:rsidRPr="00B33F13">
        <w:rPr>
          <w:rFonts w:cs="Times New Roman"/>
          <w:szCs w:val="22"/>
        </w:rPr>
        <w:t>between</w:t>
      </w:r>
      <w:r w:rsidRPr="00B33F13">
        <w:rPr>
          <w:rFonts w:cs="Times New Roman"/>
          <w:szCs w:val="22"/>
        </w:rPr>
        <w:t xml:space="preserve"> BT with SMMA and EC further support the notion that authentic, transparent, and value-aligned messaging on social media enhances trust and, consequently, purchase intention. While all observed correlations reach statistical significance at conventional levels (p &lt; .01), the magnitude varies, with the clearest and most consistent pattern observed between BT and PI, and between EC and ST. These results align with broader theories in brand equity and consumer behavior, which posit that trust and environmental values strongly influence purchase intentions, particularly in consumer segments that are digitally engaged and environmentally conscious. The combined pattern suggests a coherent narrative: authentic social media engagement that communicates credible sustainability and environmental responsibility strengthens brand trust, elevates environmental and ethical considerations, and ultimately drives purchase intentions. Limitations of </w:t>
      </w:r>
      <w:r w:rsidR="00C56F21" w:rsidRPr="00B33F13">
        <w:rPr>
          <w:rFonts w:cs="Times New Roman"/>
          <w:szCs w:val="22"/>
        </w:rPr>
        <w:t>correlational</w:t>
      </w:r>
      <w:r w:rsidRPr="00B33F13">
        <w:rPr>
          <w:rFonts w:cs="Times New Roman"/>
          <w:szCs w:val="22"/>
        </w:rPr>
        <w:t xml:space="preserve"> design should be acknowledged, including potential common method bias and the cross-sectional nature of the data, which restricts causal inferences. Future research could employ longitudinal designs or experimental manipulations to disentangle directionality and test mediation effects among SMMA, EC, ST, BT, and PI. Overall, </w:t>
      </w:r>
      <w:r w:rsidR="00C56F21" w:rsidRPr="00B33F13">
        <w:rPr>
          <w:rFonts w:cs="Times New Roman"/>
          <w:szCs w:val="22"/>
        </w:rPr>
        <w:t>image</w:t>
      </w:r>
      <w:r w:rsidRPr="00B33F13">
        <w:rPr>
          <w:rFonts w:cs="Times New Roman"/>
          <w:szCs w:val="22"/>
        </w:rPr>
        <w:t>-driven results support existing literature on the synergy between digital marketing, sustainability, and consumer purchase behavior</w:t>
      </w:r>
      <w:r w:rsidR="00946AE6">
        <w:rPr>
          <w:rFonts w:cs="Times New Roman"/>
          <w:szCs w:val="22"/>
        </w:rPr>
        <w:t>.</w:t>
      </w:r>
    </w:p>
    <w:p w14:paraId="53EC2CE6" w14:textId="77777777" w:rsidR="004E4A11" w:rsidRDefault="004E4A11" w:rsidP="00B33F13">
      <w:pPr>
        <w:spacing w:line="360" w:lineRule="auto"/>
        <w:jc w:val="both"/>
        <w:rPr>
          <w:rFonts w:cs="Times New Roman"/>
          <w:szCs w:val="22"/>
        </w:rPr>
      </w:pPr>
    </w:p>
    <w:p w14:paraId="195C096A" w14:textId="02ECAED5" w:rsidR="004E4A11" w:rsidRDefault="00DF6182" w:rsidP="00B33F13">
      <w:pPr>
        <w:spacing w:line="360" w:lineRule="auto"/>
        <w:jc w:val="both"/>
        <w:rPr>
          <w:rFonts w:cs="Times New Roman"/>
          <w:szCs w:val="22"/>
        </w:rPr>
      </w:pPr>
      <w:r w:rsidRPr="00DF6182">
        <w:rPr>
          <w:rFonts w:cs="Times New Roman"/>
          <w:noProof/>
          <w:szCs w:val="22"/>
        </w:rPr>
        <w:lastRenderedPageBreak/>
        <w:drawing>
          <wp:inline distT="0" distB="0" distL="0" distR="0" wp14:anchorId="4CFBD827" wp14:editId="62677E31">
            <wp:extent cx="5588000" cy="4285098"/>
            <wp:effectExtent l="0" t="0" r="0" b="1270"/>
            <wp:docPr id="2015458100"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458100" name="Picture 1" descr="A screenshot of a table&#10;&#10;AI-generated content may be incorrect."/>
                    <pic:cNvPicPr/>
                  </pic:nvPicPr>
                  <pic:blipFill>
                    <a:blip r:embed="rId46"/>
                    <a:stretch>
                      <a:fillRect/>
                    </a:stretch>
                  </pic:blipFill>
                  <pic:spPr>
                    <a:xfrm>
                      <a:off x="0" y="0"/>
                      <a:ext cx="5590238" cy="4286814"/>
                    </a:xfrm>
                    <a:prstGeom prst="rect">
                      <a:avLst/>
                    </a:prstGeom>
                  </pic:spPr>
                </pic:pic>
              </a:graphicData>
            </a:graphic>
          </wp:inline>
        </w:drawing>
      </w:r>
    </w:p>
    <w:p w14:paraId="1A136558" w14:textId="77777777" w:rsidR="004A739D" w:rsidRPr="00915260" w:rsidRDefault="004A739D" w:rsidP="00716380">
      <w:pPr>
        <w:spacing w:line="360" w:lineRule="auto"/>
        <w:ind w:left="720"/>
        <w:jc w:val="both"/>
        <w:rPr>
          <w:rFonts w:cs="Times New Roman"/>
          <w:szCs w:val="22"/>
        </w:rPr>
      </w:pPr>
    </w:p>
    <w:p w14:paraId="7BB35BD7" w14:textId="0551179A" w:rsidR="00CC5C0E" w:rsidRPr="00915260" w:rsidRDefault="00CC5C0E" w:rsidP="00CC5C0E">
      <w:pPr>
        <w:pStyle w:val="Heading2"/>
        <w:numPr>
          <w:ilvl w:val="1"/>
          <w:numId w:val="5"/>
        </w:numPr>
        <w:spacing w:line="360" w:lineRule="auto"/>
        <w:ind w:left="450" w:hanging="450"/>
        <w:jc w:val="both"/>
        <w:rPr>
          <w:rFonts w:cs="Times New Roman"/>
          <w:b/>
          <w:bCs/>
          <w:sz w:val="22"/>
          <w:szCs w:val="22"/>
        </w:rPr>
      </w:pPr>
      <w:bookmarkStart w:id="97" w:name="_Toc213748953"/>
      <w:r w:rsidRPr="00915260">
        <w:rPr>
          <w:rFonts w:cs="Times New Roman"/>
          <w:b/>
          <w:bCs/>
          <w:sz w:val="22"/>
          <w:szCs w:val="22"/>
        </w:rPr>
        <w:t>Regression Analyses</w:t>
      </w:r>
      <w:bookmarkEnd w:id="97"/>
    </w:p>
    <w:p w14:paraId="3B529756" w14:textId="4CEDC2E0" w:rsidR="00E0568A" w:rsidRDefault="00BA3DAB" w:rsidP="00E0568A">
      <w:pPr>
        <w:spacing w:line="360" w:lineRule="auto"/>
        <w:jc w:val="both"/>
        <w:rPr>
          <w:rFonts w:cs="Times New Roman"/>
          <w:szCs w:val="22"/>
        </w:rPr>
      </w:pPr>
      <w:r w:rsidRPr="00BA3DAB">
        <w:rPr>
          <w:rFonts w:cs="Times New Roman"/>
          <w:szCs w:val="22"/>
        </w:rPr>
        <w:t>Regression analysis serves as a powerful statistical method to examine the relationship between multiple independent variables and a dependent variable</w:t>
      </w:r>
      <w:r w:rsidR="00386E07">
        <w:rPr>
          <w:rFonts w:cs="Times New Roman"/>
          <w:szCs w:val="22"/>
        </w:rPr>
        <w:t xml:space="preserve"> </w:t>
      </w:r>
      <w:r w:rsidR="00386E07" w:rsidRPr="00386E07">
        <w:rPr>
          <w:rFonts w:cs="Times New Roman"/>
          <w:szCs w:val="22"/>
        </w:rPr>
        <w:t>(Bobbitt, 2021)</w:t>
      </w:r>
      <w:r w:rsidR="00F64919">
        <w:rPr>
          <w:rFonts w:cs="Times New Roman"/>
          <w:szCs w:val="22"/>
        </w:rPr>
        <w:t>.  T</w:t>
      </w:r>
      <w:r w:rsidRPr="00BA3DAB">
        <w:rPr>
          <w:rFonts w:cs="Times New Roman"/>
          <w:szCs w:val="22"/>
        </w:rPr>
        <w:t>o identify the key factors influencing consumer purchase intention for Nescafé instant coffee in Hong Kong</w:t>
      </w:r>
      <w:r w:rsidR="00F64919">
        <w:rPr>
          <w:rFonts w:cs="Times New Roman"/>
          <w:szCs w:val="22"/>
        </w:rPr>
        <w:t>, regression analysis</w:t>
      </w:r>
      <w:r w:rsidRPr="00BA3DAB">
        <w:rPr>
          <w:rFonts w:cs="Times New Roman"/>
          <w:szCs w:val="22"/>
        </w:rPr>
        <w:t xml:space="preserve"> not only quantifies the extent to which each predictor affects the outcome but also assesses the overall model fit and validity. Prior to conducting the regression, assumptions such as normality, linearity, independence, and absence of multicollinearity were tested to ensure reliable and interpretable results. The following sections present a comprehensive summary of the regression model including its significance, predictive power, coefficient estimates, and diagnostic evaluations</w:t>
      </w:r>
    </w:p>
    <w:p w14:paraId="4A0FA322" w14:textId="77777777" w:rsidR="00F64919" w:rsidRDefault="00F64919" w:rsidP="00E0568A">
      <w:pPr>
        <w:spacing w:line="360" w:lineRule="auto"/>
        <w:jc w:val="both"/>
        <w:rPr>
          <w:rFonts w:cs="Times New Roman"/>
          <w:szCs w:val="22"/>
        </w:rPr>
      </w:pPr>
    </w:p>
    <w:p w14:paraId="7B1D3E11" w14:textId="36865A18" w:rsidR="003B2F65" w:rsidRDefault="003B7C2A" w:rsidP="003B2F65">
      <w:pPr>
        <w:pStyle w:val="ListParagraph"/>
        <w:numPr>
          <w:ilvl w:val="2"/>
          <w:numId w:val="5"/>
        </w:numPr>
        <w:spacing w:line="360" w:lineRule="auto"/>
        <w:jc w:val="both"/>
        <w:rPr>
          <w:rFonts w:cs="Times New Roman"/>
          <w:b/>
          <w:bCs/>
          <w:szCs w:val="22"/>
        </w:rPr>
      </w:pPr>
      <w:r w:rsidRPr="003B7C2A">
        <w:rPr>
          <w:rFonts w:cs="Times New Roman"/>
          <w:b/>
          <w:bCs/>
          <w:szCs w:val="22"/>
        </w:rPr>
        <w:t>Regression Model Summary</w:t>
      </w:r>
      <w:r w:rsidR="00586DE0">
        <w:rPr>
          <w:rFonts w:cs="Times New Roman"/>
          <w:b/>
          <w:bCs/>
          <w:szCs w:val="22"/>
        </w:rPr>
        <w:tab/>
      </w:r>
    </w:p>
    <w:p w14:paraId="74E66EED" w14:textId="6F891BE0" w:rsidR="00F80C02" w:rsidRDefault="00F80C02" w:rsidP="00F80C02">
      <w:pPr>
        <w:spacing w:line="360" w:lineRule="auto"/>
        <w:ind w:left="720"/>
        <w:jc w:val="both"/>
      </w:pPr>
      <w:r w:rsidRPr="00F80C02">
        <w:t xml:space="preserve">To investigate the factors influencing consumer purchase intention for Nescafé instant coffee in Hong Kong, a multiple linear regression analysis was conducted. </w:t>
      </w:r>
      <w:r w:rsidR="00AB763B" w:rsidRPr="00AB763B">
        <w:t xml:space="preserve">The core model used multiple linear regression to examine the influence of social media marketing activities (ENT1, WOM1), sustainability (ST4), and brand </w:t>
      </w:r>
      <w:r w:rsidR="00AB763B" w:rsidRPr="00AB763B">
        <w:lastRenderedPageBreak/>
        <w:t xml:space="preserve">trust (BT3, BT4) on purchase intention (PI). </w:t>
      </w:r>
      <w:r w:rsidRPr="00F80C02">
        <w:t xml:space="preserve">The model </w:t>
      </w:r>
      <w:r w:rsidR="003C64DF">
        <w:t xml:space="preserve">summary </w:t>
      </w:r>
      <w:r w:rsidR="00F3161B">
        <w:t xml:space="preserve">on Table 4.6.1 </w:t>
      </w:r>
      <w:r w:rsidRPr="00F80C02">
        <w:t>incorporated five independent variables</w:t>
      </w:r>
      <w:r w:rsidR="00F64919">
        <w:t xml:space="preserve">, </w:t>
      </w:r>
      <w:r w:rsidR="0077397A">
        <w:t>social media marketing activities</w:t>
      </w:r>
      <w:r w:rsidRPr="00F80C02">
        <w:t xml:space="preserve"> (ENT1)</w:t>
      </w:r>
      <w:r w:rsidR="0077397A">
        <w:t xml:space="preserve"> and</w:t>
      </w:r>
      <w:r w:rsidRPr="00F80C02">
        <w:t xml:space="preserve"> (WOM1), sustainability (ST4), brand </w:t>
      </w:r>
      <w:r w:rsidR="0077397A">
        <w:t>trust</w:t>
      </w:r>
      <w:r w:rsidRPr="00F80C02">
        <w:t xml:space="preserve"> (BT3)</w:t>
      </w:r>
      <w:r w:rsidR="0077397A">
        <w:t xml:space="preserve"> and </w:t>
      </w:r>
      <w:r w:rsidRPr="00F80C02">
        <w:t>(BT4)</w:t>
      </w:r>
      <w:r w:rsidR="0077397A">
        <w:t xml:space="preserve"> </w:t>
      </w:r>
      <w:r w:rsidRPr="00F80C02">
        <w:t xml:space="preserve">with purchase intention (PI) as the dependent variable. The results indicated a strong model fit, with an </w:t>
      </w:r>
      <w:r>
        <w:t>R</w:t>
      </w:r>
      <w:r w:rsidRPr="00F80C02">
        <w:rPr>
          <w:vertAlign w:val="superscript"/>
        </w:rPr>
        <w:t>2</w:t>
      </w:r>
      <w:r>
        <w:t xml:space="preserve"> value of </w:t>
      </w:r>
      <w:r w:rsidRPr="00F80C02">
        <w:t xml:space="preserve">0.693 and an adjusted </w:t>
      </w:r>
      <w:r>
        <w:t>R</w:t>
      </w:r>
      <w:r w:rsidRPr="00F80C02">
        <w:rPr>
          <w:vertAlign w:val="superscript"/>
        </w:rPr>
        <w:t>2</w:t>
      </w:r>
      <w:r w:rsidRPr="00F80C02">
        <w:t xml:space="preserve"> </w:t>
      </w:r>
      <w:r>
        <w:t>value</w:t>
      </w:r>
      <w:r w:rsidRPr="00F80C02">
        <w:t xml:space="preserve"> of 0.687, suggesting that approximately 69% of the variance in purchase intention is explained by these predictors. The standard error of the estimate was 0.479, </w:t>
      </w:r>
      <w:r w:rsidR="00777C0B">
        <w:t>t</w:t>
      </w:r>
      <w:r w:rsidR="00777C0B" w:rsidRPr="00777C0B">
        <w:t>his demonstrates high explanatory power and supports the relevance of the included variables for understanding purchase intentions</w:t>
      </w:r>
      <w:r w:rsidRPr="00F80C02">
        <w:t>.</w:t>
      </w:r>
      <w:r w:rsidR="003B7C2A">
        <w:t xml:space="preserve"> </w:t>
      </w:r>
      <w:r w:rsidR="000D64F5">
        <w:t xml:space="preserve"> </w:t>
      </w:r>
      <w:r w:rsidR="000D64F5" w:rsidRPr="000D64F5">
        <w:t>Significance of BT3: “I trust Nescafé offers good quality”</w:t>
      </w:r>
      <w:r w:rsidR="0084167D">
        <w:t xml:space="preserve"> </w:t>
      </w:r>
      <w:r w:rsidR="0084167D" w:rsidRPr="0084167D">
        <w:t>The regression analysis shows BT3 contributes substantially to the model, with a positive and significant coefficient, meaning respondents who trust the quality of Nescafé are demonstrably more likely to express purchase intention</w:t>
      </w:r>
      <w:r w:rsidR="0084167D">
        <w:t xml:space="preserve">. </w:t>
      </w:r>
    </w:p>
    <w:p w14:paraId="7A181FB2" w14:textId="5846143F" w:rsidR="0077397A" w:rsidRDefault="00F3161B" w:rsidP="00F80C02">
      <w:pPr>
        <w:spacing w:line="360" w:lineRule="auto"/>
        <w:ind w:left="720"/>
        <w:jc w:val="both"/>
      </w:pPr>
      <w:r w:rsidRPr="00F3161B">
        <w:rPr>
          <w:noProof/>
        </w:rPr>
        <w:drawing>
          <wp:inline distT="0" distB="0" distL="0" distR="0" wp14:anchorId="13838FED" wp14:editId="05E5BBEE">
            <wp:extent cx="3204926" cy="1530144"/>
            <wp:effectExtent l="0" t="0" r="0" b="0"/>
            <wp:docPr id="495852544" name="Picture 1" descr="A close-up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852544" name="Picture 1" descr="A close-up of a table&#10;&#10;AI-generated content may be incorrect."/>
                    <pic:cNvPicPr/>
                  </pic:nvPicPr>
                  <pic:blipFill>
                    <a:blip r:embed="rId47"/>
                    <a:stretch>
                      <a:fillRect/>
                    </a:stretch>
                  </pic:blipFill>
                  <pic:spPr>
                    <a:xfrm>
                      <a:off x="0" y="0"/>
                      <a:ext cx="3236659" cy="1545294"/>
                    </a:xfrm>
                    <a:prstGeom prst="rect">
                      <a:avLst/>
                    </a:prstGeom>
                  </pic:spPr>
                </pic:pic>
              </a:graphicData>
            </a:graphic>
          </wp:inline>
        </w:drawing>
      </w:r>
    </w:p>
    <w:p w14:paraId="33F8EA07" w14:textId="77777777" w:rsidR="0077397A" w:rsidRPr="00F80C02" w:rsidRDefault="0077397A" w:rsidP="00F80C02">
      <w:pPr>
        <w:spacing w:line="360" w:lineRule="auto"/>
        <w:ind w:left="720"/>
        <w:jc w:val="both"/>
      </w:pPr>
    </w:p>
    <w:p w14:paraId="7EE1CF3B" w14:textId="094A81AD" w:rsidR="00F80C02" w:rsidRDefault="00E72BAE" w:rsidP="003B2F65">
      <w:pPr>
        <w:pStyle w:val="ListParagraph"/>
        <w:numPr>
          <w:ilvl w:val="2"/>
          <w:numId w:val="5"/>
        </w:numPr>
        <w:spacing w:line="360" w:lineRule="auto"/>
        <w:jc w:val="both"/>
        <w:rPr>
          <w:rFonts w:cs="Times New Roman"/>
          <w:b/>
          <w:bCs/>
          <w:szCs w:val="22"/>
        </w:rPr>
      </w:pPr>
      <w:r>
        <w:rPr>
          <w:rFonts w:cs="Times New Roman"/>
          <w:b/>
          <w:bCs/>
          <w:szCs w:val="22"/>
        </w:rPr>
        <w:t xml:space="preserve"> ANOVA and Model Significance</w:t>
      </w:r>
    </w:p>
    <w:p w14:paraId="4030443B" w14:textId="16FD554A" w:rsidR="00E72BAE" w:rsidRDefault="002F7539" w:rsidP="002F7539">
      <w:pPr>
        <w:spacing w:line="360" w:lineRule="auto"/>
        <w:ind w:left="720"/>
        <w:jc w:val="both"/>
      </w:pPr>
      <w:r w:rsidRPr="002F7539">
        <w:t>The analysis of variance (ANOVA)</w:t>
      </w:r>
      <w:r w:rsidR="003353D0">
        <w:t xml:space="preserve"> in Table 4.6.2</w:t>
      </w:r>
      <w:r w:rsidRPr="002F7539">
        <w:t xml:space="preserve"> confirmed that the overall regression model was statistically significant </w:t>
      </w:r>
      <w:r>
        <w:t>(</w:t>
      </w:r>
      <w:r w:rsidRPr="002F7539">
        <w:t xml:space="preserve">F=104.934,p&lt;0.001), </w:t>
      </w:r>
      <w:r w:rsidR="00DB5704" w:rsidRPr="00DB5704">
        <w:t>confirming that the regression model</w:t>
      </w:r>
      <w:r w:rsidR="00DB5704">
        <w:t xml:space="preserve">, </w:t>
      </w:r>
      <w:r w:rsidR="00DB5704" w:rsidRPr="00DB5704">
        <w:t>hence the full set of predictors</w:t>
      </w:r>
      <w:r w:rsidR="00DB5704">
        <w:t xml:space="preserve">, </w:t>
      </w:r>
      <w:r w:rsidR="00DB5704" w:rsidRPr="00DB5704">
        <w:t xml:space="preserve">significantly improves the prediction of purchase intention over the model. Thus, these variables work collectively in shaping consumer </w:t>
      </w:r>
      <w:r w:rsidR="00B00B10">
        <w:t>purchase intention</w:t>
      </w:r>
      <w:r w:rsidR="00DB5704" w:rsidRPr="00DB5704">
        <w:t>, aligning with the theoretical expectations from</w:t>
      </w:r>
      <w:r w:rsidR="007C79FA">
        <w:t xml:space="preserve"> literature review section</w:t>
      </w:r>
      <w:r w:rsidR="00DB5704" w:rsidRPr="00DB5704">
        <w:t>.</w:t>
      </w:r>
    </w:p>
    <w:p w14:paraId="097DE30B" w14:textId="47BD844B" w:rsidR="00E72BAE" w:rsidRDefault="00AC14E5" w:rsidP="00AC14E5">
      <w:pPr>
        <w:spacing w:line="360" w:lineRule="auto"/>
        <w:ind w:left="720"/>
        <w:jc w:val="both"/>
        <w:rPr>
          <w:rFonts w:cs="Times New Roman"/>
          <w:b/>
          <w:bCs/>
          <w:szCs w:val="22"/>
        </w:rPr>
      </w:pPr>
      <w:r w:rsidRPr="00AC14E5">
        <w:rPr>
          <w:rFonts w:cs="Times New Roman"/>
          <w:b/>
          <w:bCs/>
          <w:noProof/>
          <w:szCs w:val="22"/>
        </w:rPr>
        <w:drawing>
          <wp:inline distT="0" distB="0" distL="0" distR="0" wp14:anchorId="4C891BF2" wp14:editId="5C60A0A4">
            <wp:extent cx="3254542" cy="1366013"/>
            <wp:effectExtent l="0" t="0" r="3175" b="5715"/>
            <wp:docPr id="1172431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431185" name=""/>
                    <pic:cNvPicPr/>
                  </pic:nvPicPr>
                  <pic:blipFill>
                    <a:blip r:embed="rId48"/>
                    <a:stretch>
                      <a:fillRect/>
                    </a:stretch>
                  </pic:blipFill>
                  <pic:spPr>
                    <a:xfrm>
                      <a:off x="0" y="0"/>
                      <a:ext cx="3280366" cy="1376852"/>
                    </a:xfrm>
                    <a:prstGeom prst="rect">
                      <a:avLst/>
                    </a:prstGeom>
                  </pic:spPr>
                </pic:pic>
              </a:graphicData>
            </a:graphic>
          </wp:inline>
        </w:drawing>
      </w:r>
    </w:p>
    <w:p w14:paraId="54244AAB" w14:textId="1B893A90" w:rsidR="00D5040A" w:rsidRDefault="00D5040A">
      <w:pPr>
        <w:rPr>
          <w:rFonts w:cs="Times New Roman"/>
          <w:b/>
          <w:bCs/>
          <w:szCs w:val="22"/>
        </w:rPr>
      </w:pPr>
      <w:r>
        <w:rPr>
          <w:rFonts w:cs="Times New Roman"/>
          <w:b/>
          <w:bCs/>
          <w:szCs w:val="22"/>
        </w:rPr>
        <w:br w:type="page"/>
      </w:r>
    </w:p>
    <w:p w14:paraId="5C102631" w14:textId="2B4032BC" w:rsidR="00F80C02" w:rsidRDefault="006B72E2" w:rsidP="003B2F65">
      <w:pPr>
        <w:pStyle w:val="ListParagraph"/>
        <w:numPr>
          <w:ilvl w:val="2"/>
          <w:numId w:val="5"/>
        </w:numPr>
        <w:spacing w:line="360" w:lineRule="auto"/>
        <w:jc w:val="both"/>
        <w:rPr>
          <w:rFonts w:cs="Times New Roman"/>
          <w:b/>
          <w:bCs/>
          <w:szCs w:val="22"/>
        </w:rPr>
      </w:pPr>
      <w:r>
        <w:rPr>
          <w:rFonts w:cs="Times New Roman"/>
          <w:b/>
          <w:bCs/>
          <w:szCs w:val="22"/>
        </w:rPr>
        <w:lastRenderedPageBreak/>
        <w:t xml:space="preserve"> </w:t>
      </w:r>
      <w:r w:rsidRPr="006B72E2">
        <w:rPr>
          <w:rFonts w:cs="Times New Roman"/>
          <w:b/>
          <w:bCs/>
          <w:szCs w:val="22"/>
        </w:rPr>
        <w:t>Coefficient Assessment and Predictor Importance</w:t>
      </w:r>
    </w:p>
    <w:p w14:paraId="23CDBE20" w14:textId="06CE2DBB" w:rsidR="00212848" w:rsidRDefault="006B72E2" w:rsidP="006B72E2">
      <w:pPr>
        <w:spacing w:line="360" w:lineRule="auto"/>
        <w:ind w:left="720"/>
        <w:jc w:val="both"/>
      </w:pPr>
      <w:r>
        <w:t>Each independent variable in the model was found to be a significant predictor of purchase intention (p&lt;0.001)</w:t>
      </w:r>
      <w:r w:rsidR="003353D0">
        <w:t xml:space="preserve"> in Table 4.6.3</w:t>
      </w:r>
      <w:r>
        <w:t>, with standardized Beta coefficients identifying the relative influence of each factor</w:t>
      </w:r>
      <w:r w:rsidR="00946FA4">
        <w:t xml:space="preserve"> </w:t>
      </w:r>
      <w:r w:rsidR="00946FA4" w:rsidRPr="00630C9A">
        <w:t>(Chaudhuri and Holbrook,</w:t>
      </w:r>
      <w:r w:rsidR="00946FA4">
        <w:t xml:space="preserve"> (</w:t>
      </w:r>
      <w:r w:rsidR="00946FA4" w:rsidRPr="00630C9A">
        <w:t>2001</w:t>
      </w:r>
      <w:r w:rsidR="00946FA4">
        <w:t>)</w:t>
      </w:r>
      <w:r>
        <w:t xml:space="preserve">. </w:t>
      </w:r>
    </w:p>
    <w:p w14:paraId="089E2063" w14:textId="1B8F6941" w:rsidR="004D5CE4" w:rsidRDefault="004D5CE4" w:rsidP="004D5CE4">
      <w:pPr>
        <w:spacing w:line="360" w:lineRule="auto"/>
        <w:ind w:left="720"/>
        <w:jc w:val="both"/>
      </w:pPr>
      <w:r>
        <w:t xml:space="preserve">Word-of-Mouth in </w:t>
      </w:r>
      <w:r w:rsidR="00212848">
        <w:t xml:space="preserve">Social Media Marketing Activities </w:t>
      </w:r>
      <w:r>
        <w:t>(</w:t>
      </w:r>
      <w:r w:rsidR="00212848" w:rsidRPr="00212848">
        <w:t>WOM1): Beta = 0.331, exerted the strongest positive effect. This highlights the critical role of peer influence and user-generated recommendations in boosting consumer purchase intention—consistent with findings from digital marketing literature.</w:t>
      </w:r>
      <w:r w:rsidRPr="004D5CE4">
        <w:t xml:space="preserve"> </w:t>
      </w:r>
    </w:p>
    <w:p w14:paraId="3DA30A6D" w14:textId="2A0C20F4" w:rsidR="004D5CE4" w:rsidRDefault="004D5CE4" w:rsidP="004D5CE4">
      <w:pPr>
        <w:spacing w:line="360" w:lineRule="auto"/>
        <w:ind w:left="720"/>
        <w:jc w:val="both"/>
      </w:pPr>
      <w:r>
        <w:t xml:space="preserve">Entertainment </w:t>
      </w:r>
      <w:r w:rsidR="00B2039F">
        <w:t xml:space="preserve">in </w:t>
      </w:r>
      <w:r>
        <w:t xml:space="preserve">Social Media Marketing Activities </w:t>
      </w:r>
      <w:r w:rsidR="00B2039F">
        <w:t>(</w:t>
      </w:r>
      <w:r>
        <w:t>ENT1): Beta = 0.188, reflecting how engaging digital content can stimulate positive brand attitudes and drive purchase decisions.</w:t>
      </w:r>
    </w:p>
    <w:p w14:paraId="7900C562" w14:textId="76EFD746" w:rsidR="006B72E2" w:rsidRDefault="00946FA4" w:rsidP="00946FA4">
      <w:pPr>
        <w:spacing w:line="360" w:lineRule="auto"/>
        <w:ind w:left="720"/>
        <w:jc w:val="both"/>
      </w:pPr>
      <w:r w:rsidRPr="00946FA4">
        <w:t xml:space="preserve">Brand </w:t>
      </w:r>
      <w:r>
        <w:t>Trust</w:t>
      </w:r>
      <w:r w:rsidR="00B2039F">
        <w:t xml:space="preserve"> (BT)</w:t>
      </w:r>
      <w:r w:rsidRPr="00946FA4">
        <w:t>: Beta = 0.308 and BT3 = 0.171, both significant, indicating that trust in brand reliability, honesty, and competence is a fundamental driver of purchase intention.</w:t>
      </w:r>
    </w:p>
    <w:p w14:paraId="5FAE9022" w14:textId="73343E99" w:rsidR="004D5CE4" w:rsidRDefault="00B2039F" w:rsidP="004D5CE4">
      <w:pPr>
        <w:spacing w:line="360" w:lineRule="auto"/>
        <w:ind w:left="720"/>
      </w:pPr>
      <w:r>
        <w:t>Sustainability (</w:t>
      </w:r>
      <w:r w:rsidR="004D5CE4">
        <w:t xml:space="preserve">ST4): Beta = 0.266, showing genuine sustainability practices </w:t>
      </w:r>
      <w:r>
        <w:t>such as</w:t>
      </w:r>
      <w:r w:rsidR="004D5CE4">
        <w:t xml:space="preserve"> eco-friendly packaging, ethical sourcing also strongly enhance consumer motivation to purchase.</w:t>
      </w:r>
    </w:p>
    <w:p w14:paraId="459F9A49" w14:textId="3CF2E057" w:rsidR="00EC15FF" w:rsidRDefault="00F863D5" w:rsidP="006B72E2">
      <w:pPr>
        <w:spacing w:line="360" w:lineRule="auto"/>
        <w:ind w:left="720"/>
        <w:jc w:val="both"/>
      </w:pPr>
      <w:r w:rsidRPr="00F863D5">
        <w:rPr>
          <w:noProof/>
        </w:rPr>
        <w:drawing>
          <wp:inline distT="0" distB="0" distL="0" distR="0" wp14:anchorId="4C954AA3" wp14:editId="46280691">
            <wp:extent cx="5169628" cy="2025650"/>
            <wp:effectExtent l="0" t="0" r="0" b="0"/>
            <wp:docPr id="1442925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925849" name=""/>
                    <pic:cNvPicPr/>
                  </pic:nvPicPr>
                  <pic:blipFill>
                    <a:blip r:embed="rId49"/>
                    <a:stretch>
                      <a:fillRect/>
                    </a:stretch>
                  </pic:blipFill>
                  <pic:spPr>
                    <a:xfrm>
                      <a:off x="0" y="0"/>
                      <a:ext cx="5171794" cy="2026499"/>
                    </a:xfrm>
                    <a:prstGeom prst="rect">
                      <a:avLst/>
                    </a:prstGeom>
                  </pic:spPr>
                </pic:pic>
              </a:graphicData>
            </a:graphic>
          </wp:inline>
        </w:drawing>
      </w:r>
    </w:p>
    <w:p w14:paraId="5F020F80" w14:textId="77777777" w:rsidR="00EC15FF" w:rsidRPr="006B72E2" w:rsidRDefault="00EC15FF" w:rsidP="006B72E2">
      <w:pPr>
        <w:spacing w:line="360" w:lineRule="auto"/>
        <w:ind w:left="720"/>
        <w:jc w:val="both"/>
        <w:rPr>
          <w:rFonts w:cs="Times New Roman"/>
          <w:b/>
          <w:bCs/>
          <w:szCs w:val="22"/>
        </w:rPr>
      </w:pPr>
    </w:p>
    <w:p w14:paraId="762B5C85" w14:textId="68826E48" w:rsidR="006B72E2" w:rsidRDefault="00E5294E" w:rsidP="003B2F65">
      <w:pPr>
        <w:pStyle w:val="ListParagraph"/>
        <w:numPr>
          <w:ilvl w:val="2"/>
          <w:numId w:val="5"/>
        </w:numPr>
        <w:spacing w:line="360" w:lineRule="auto"/>
        <w:jc w:val="both"/>
        <w:rPr>
          <w:rFonts w:cs="Times New Roman"/>
          <w:b/>
          <w:bCs/>
          <w:szCs w:val="22"/>
        </w:rPr>
      </w:pPr>
      <w:r>
        <w:rPr>
          <w:rFonts w:cs="Times New Roman"/>
          <w:b/>
          <w:bCs/>
          <w:szCs w:val="22"/>
        </w:rPr>
        <w:t xml:space="preserve"> Collinearity Diagnostics</w:t>
      </w:r>
    </w:p>
    <w:p w14:paraId="6595E3E3" w14:textId="7419CF51" w:rsidR="00CE1B4E" w:rsidRDefault="00E90BD2" w:rsidP="00F16242">
      <w:pPr>
        <w:spacing w:line="360" w:lineRule="auto"/>
        <w:ind w:left="720"/>
        <w:jc w:val="both"/>
      </w:pPr>
      <w:r>
        <w:t xml:space="preserve">Table 4.6.4, </w:t>
      </w:r>
      <w:r w:rsidR="002F75C3" w:rsidRPr="002F75C3">
        <w:t>Variance Inflation Factor (VIF) values for all predictors were below 1.5, far lower than the conventional threshold of 5. Condition indices confirmed the lack of multicollinearity, establishing that the predictive power of each variable is not compromised by overlap or redundancy. This result validates the independence of the predictors and supports the robustness of the analytic approach.</w:t>
      </w:r>
    </w:p>
    <w:p w14:paraId="1DA705DF" w14:textId="189A4F96" w:rsidR="00CE1B4E" w:rsidRDefault="00CE1B4E" w:rsidP="00CE1B4E">
      <w:pPr>
        <w:spacing w:line="360" w:lineRule="auto"/>
        <w:jc w:val="both"/>
        <w:rPr>
          <w:rFonts w:cs="Times New Roman"/>
          <w:b/>
          <w:bCs/>
          <w:szCs w:val="22"/>
        </w:rPr>
      </w:pPr>
      <w:r w:rsidRPr="00CE1B4E">
        <w:rPr>
          <w:rFonts w:cs="Times New Roman"/>
          <w:b/>
          <w:bCs/>
          <w:noProof/>
          <w:szCs w:val="22"/>
        </w:rPr>
        <w:lastRenderedPageBreak/>
        <w:drawing>
          <wp:inline distT="0" distB="0" distL="0" distR="0" wp14:anchorId="72EBDC3F" wp14:editId="021C2AD1">
            <wp:extent cx="5943600" cy="1830705"/>
            <wp:effectExtent l="0" t="0" r="0" b="0"/>
            <wp:docPr id="1834221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221470" name=""/>
                    <pic:cNvPicPr/>
                  </pic:nvPicPr>
                  <pic:blipFill>
                    <a:blip r:embed="rId50"/>
                    <a:stretch>
                      <a:fillRect/>
                    </a:stretch>
                  </pic:blipFill>
                  <pic:spPr>
                    <a:xfrm>
                      <a:off x="0" y="0"/>
                      <a:ext cx="5943600" cy="1830705"/>
                    </a:xfrm>
                    <a:prstGeom prst="rect">
                      <a:avLst/>
                    </a:prstGeom>
                  </pic:spPr>
                </pic:pic>
              </a:graphicData>
            </a:graphic>
          </wp:inline>
        </w:drawing>
      </w:r>
    </w:p>
    <w:p w14:paraId="24FB7794" w14:textId="77777777" w:rsidR="00CE1B4E" w:rsidRPr="00CE1B4E" w:rsidRDefault="00CE1B4E" w:rsidP="00CE1B4E">
      <w:pPr>
        <w:spacing w:line="360" w:lineRule="auto"/>
        <w:jc w:val="both"/>
        <w:rPr>
          <w:rFonts w:cs="Times New Roman"/>
          <w:b/>
          <w:bCs/>
          <w:szCs w:val="22"/>
        </w:rPr>
      </w:pPr>
    </w:p>
    <w:p w14:paraId="77333B2D" w14:textId="383A5A69" w:rsidR="00E5294E" w:rsidRDefault="008F45B7" w:rsidP="003B2F65">
      <w:pPr>
        <w:pStyle w:val="ListParagraph"/>
        <w:numPr>
          <w:ilvl w:val="2"/>
          <w:numId w:val="5"/>
        </w:numPr>
        <w:spacing w:line="360" w:lineRule="auto"/>
        <w:jc w:val="both"/>
        <w:rPr>
          <w:rFonts w:cs="Times New Roman"/>
          <w:b/>
          <w:bCs/>
          <w:szCs w:val="22"/>
        </w:rPr>
      </w:pPr>
      <w:r w:rsidRPr="008F45B7">
        <w:rPr>
          <w:rFonts w:cs="Times New Roman"/>
          <w:b/>
          <w:bCs/>
          <w:szCs w:val="22"/>
        </w:rPr>
        <w:t>Residuals Statistics</w:t>
      </w:r>
    </w:p>
    <w:p w14:paraId="4F99EB5A" w14:textId="60C5B4C7" w:rsidR="008F45B7" w:rsidRDefault="002F75C3" w:rsidP="008F45B7">
      <w:pPr>
        <w:spacing w:line="360" w:lineRule="auto"/>
        <w:ind w:left="720"/>
        <w:jc w:val="both"/>
      </w:pPr>
      <w:r w:rsidRPr="002F75C3">
        <w:t xml:space="preserve">Diagnostics on residuals </w:t>
      </w:r>
      <w:r>
        <w:t>that</w:t>
      </w:r>
      <w:r w:rsidR="00E90BD2">
        <w:t xml:space="preserve"> Table 4.6.5 shows</w:t>
      </w:r>
      <w:r>
        <w:t xml:space="preserve"> </w:t>
      </w:r>
      <w:r w:rsidRPr="002F75C3">
        <w:t>difference between observed and predicted values confirmed suitability of the model. Minimum and maximum residuals fell within acceptable ranges, and the standard deviation of residuals was appropriate, further supporting the absence of outliers or model misspecification.</w:t>
      </w:r>
    </w:p>
    <w:p w14:paraId="1AFCA018" w14:textId="5E04B44D" w:rsidR="008F45B7" w:rsidRDefault="002B4182" w:rsidP="008F45B7">
      <w:pPr>
        <w:spacing w:line="360" w:lineRule="auto"/>
        <w:ind w:left="720"/>
        <w:jc w:val="both"/>
      </w:pPr>
      <w:r w:rsidRPr="002B4182">
        <w:rPr>
          <w:noProof/>
        </w:rPr>
        <w:drawing>
          <wp:inline distT="0" distB="0" distL="0" distR="0" wp14:anchorId="7585C855" wp14:editId="28636755">
            <wp:extent cx="4273770" cy="1454225"/>
            <wp:effectExtent l="0" t="0" r="0" b="0"/>
            <wp:docPr id="1624688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688489" name=""/>
                    <pic:cNvPicPr/>
                  </pic:nvPicPr>
                  <pic:blipFill>
                    <a:blip r:embed="rId51"/>
                    <a:stretch>
                      <a:fillRect/>
                    </a:stretch>
                  </pic:blipFill>
                  <pic:spPr>
                    <a:xfrm>
                      <a:off x="0" y="0"/>
                      <a:ext cx="4273770" cy="1454225"/>
                    </a:xfrm>
                    <a:prstGeom prst="rect">
                      <a:avLst/>
                    </a:prstGeom>
                  </pic:spPr>
                </pic:pic>
              </a:graphicData>
            </a:graphic>
          </wp:inline>
        </w:drawing>
      </w:r>
    </w:p>
    <w:p w14:paraId="70708CED" w14:textId="77777777" w:rsidR="008F45B7" w:rsidRPr="008F45B7" w:rsidRDefault="008F45B7" w:rsidP="008F45B7">
      <w:pPr>
        <w:spacing w:line="360" w:lineRule="auto"/>
        <w:ind w:left="720"/>
        <w:jc w:val="both"/>
      </w:pPr>
    </w:p>
    <w:p w14:paraId="01C9F729" w14:textId="72B7E7BB" w:rsidR="00DD2C5E" w:rsidRDefault="0036789B" w:rsidP="00DD2C5E">
      <w:pPr>
        <w:pStyle w:val="ListParagraph"/>
        <w:numPr>
          <w:ilvl w:val="2"/>
          <w:numId w:val="5"/>
        </w:numPr>
        <w:spacing w:line="360" w:lineRule="auto"/>
        <w:jc w:val="both"/>
        <w:rPr>
          <w:rFonts w:cs="Times New Roman"/>
          <w:b/>
          <w:bCs/>
          <w:szCs w:val="22"/>
        </w:rPr>
      </w:pPr>
      <w:r w:rsidRPr="0036789B">
        <w:rPr>
          <w:rFonts w:cs="Times New Roman"/>
          <w:b/>
          <w:bCs/>
          <w:szCs w:val="22"/>
        </w:rPr>
        <w:t>Normality of Residuals</w:t>
      </w:r>
    </w:p>
    <w:p w14:paraId="2E0CA10B" w14:textId="237BFCD1" w:rsidR="00DD2C5E" w:rsidRPr="00DD2C5E" w:rsidRDefault="007D2FD5" w:rsidP="00AB4E06">
      <w:pPr>
        <w:spacing w:line="360" w:lineRule="auto"/>
        <w:ind w:left="720"/>
        <w:jc w:val="both"/>
      </w:pPr>
      <w:r w:rsidRPr="007D2FD5">
        <w:t xml:space="preserve">The histogram </w:t>
      </w:r>
      <w:r w:rsidR="0036789B">
        <w:t xml:space="preserve">in Figure 4.6.6 </w:t>
      </w:r>
      <w:r w:rsidRPr="007D2FD5">
        <w:t>for standardized residuals displayed a roughly normal distribution centered near zero, while the P–P plot showed clustering of points around the reference line. Both results support the normality assumption, which is crucial for the validity of regression inferences and confidence intervals.</w:t>
      </w:r>
    </w:p>
    <w:p w14:paraId="07D2021F" w14:textId="52228D9B" w:rsidR="00DD2C5E" w:rsidRDefault="00C00BB2" w:rsidP="00DD2C5E">
      <w:pPr>
        <w:spacing w:line="360" w:lineRule="auto"/>
        <w:jc w:val="both"/>
        <w:rPr>
          <w:rFonts w:cs="Times New Roman"/>
          <w:b/>
          <w:bCs/>
          <w:szCs w:val="22"/>
        </w:rPr>
      </w:pPr>
      <w:r w:rsidRPr="00C00BB2">
        <w:rPr>
          <w:rFonts w:cs="Times New Roman"/>
          <w:b/>
          <w:bCs/>
          <w:noProof/>
          <w:szCs w:val="22"/>
        </w:rPr>
        <w:lastRenderedPageBreak/>
        <w:drawing>
          <wp:inline distT="0" distB="0" distL="0" distR="0" wp14:anchorId="129F52EC" wp14:editId="52BAD002">
            <wp:extent cx="6038850" cy="3085233"/>
            <wp:effectExtent l="0" t="0" r="0" b="1270"/>
            <wp:docPr id="506249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249710" name=""/>
                    <pic:cNvPicPr/>
                  </pic:nvPicPr>
                  <pic:blipFill>
                    <a:blip r:embed="rId52"/>
                    <a:stretch>
                      <a:fillRect/>
                    </a:stretch>
                  </pic:blipFill>
                  <pic:spPr>
                    <a:xfrm>
                      <a:off x="0" y="0"/>
                      <a:ext cx="6039750" cy="3085693"/>
                    </a:xfrm>
                    <a:prstGeom prst="rect">
                      <a:avLst/>
                    </a:prstGeom>
                  </pic:spPr>
                </pic:pic>
              </a:graphicData>
            </a:graphic>
          </wp:inline>
        </w:drawing>
      </w:r>
    </w:p>
    <w:p w14:paraId="57131983" w14:textId="77777777" w:rsidR="00C23B89" w:rsidRPr="00DD2C5E" w:rsidRDefault="00C23B89" w:rsidP="00DD2C5E">
      <w:pPr>
        <w:spacing w:line="360" w:lineRule="auto"/>
        <w:jc w:val="both"/>
        <w:rPr>
          <w:rFonts w:cs="Times New Roman"/>
          <w:b/>
          <w:bCs/>
          <w:szCs w:val="22"/>
        </w:rPr>
      </w:pPr>
    </w:p>
    <w:p w14:paraId="566AE4D7" w14:textId="3AB8E23E" w:rsidR="00AB4E06" w:rsidRPr="00AB4E06" w:rsidRDefault="00AB4E06" w:rsidP="00AB4E06">
      <w:pPr>
        <w:pStyle w:val="ListParagraph"/>
        <w:numPr>
          <w:ilvl w:val="2"/>
          <w:numId w:val="5"/>
        </w:numPr>
        <w:spacing w:line="360" w:lineRule="auto"/>
        <w:jc w:val="both"/>
        <w:rPr>
          <w:rFonts w:cs="Times New Roman"/>
          <w:b/>
          <w:bCs/>
          <w:szCs w:val="22"/>
        </w:rPr>
      </w:pPr>
      <w:r>
        <w:rPr>
          <w:rFonts w:cs="Times New Roman"/>
          <w:b/>
          <w:bCs/>
          <w:szCs w:val="22"/>
        </w:rPr>
        <w:t xml:space="preserve"> </w:t>
      </w:r>
      <w:r w:rsidR="003353D0">
        <w:rPr>
          <w:rFonts w:cs="Times New Roman"/>
          <w:b/>
          <w:bCs/>
          <w:szCs w:val="22"/>
        </w:rPr>
        <w:t>Scatterplot of Standardized Residuals</w:t>
      </w:r>
    </w:p>
    <w:p w14:paraId="2387E1B3" w14:textId="61089831" w:rsidR="00DD2C5E" w:rsidRPr="00AB4E06" w:rsidRDefault="003353D0" w:rsidP="00AB4E06">
      <w:pPr>
        <w:spacing w:line="360" w:lineRule="auto"/>
        <w:ind w:left="720"/>
        <w:jc w:val="both"/>
      </w:pPr>
      <w:r>
        <w:t>Figure 4.6.7 a</w:t>
      </w:r>
      <w:r w:rsidR="007D2FD5" w:rsidRPr="007D2FD5">
        <w:t xml:space="preserve">nalysis of the scatterplot </w:t>
      </w:r>
      <w:r w:rsidR="007D2FD5">
        <w:t xml:space="preserve">on </w:t>
      </w:r>
      <w:r w:rsidR="007D2FD5" w:rsidRPr="007D2FD5">
        <w:t>standardized residuals v</w:t>
      </w:r>
      <w:r w:rsidR="007D2FD5">
        <w:t>erse</w:t>
      </w:r>
      <w:r w:rsidR="007D2FD5" w:rsidRPr="007D2FD5">
        <w:t xml:space="preserve"> predicted values revealed random dispersion, indicating homoscedasticity </w:t>
      </w:r>
      <w:r w:rsidR="007D2FD5">
        <w:t xml:space="preserve">with </w:t>
      </w:r>
      <w:r w:rsidR="007D2FD5" w:rsidRPr="007D2FD5">
        <w:t>uniform variance of errors. This confirms that error terms are consistent across levels of predicted purchase intention, eliminating bias and enhancing generalizability.</w:t>
      </w:r>
    </w:p>
    <w:p w14:paraId="1B0071DF" w14:textId="5EDEC5E3" w:rsidR="003B2F65" w:rsidRDefault="008C3C60" w:rsidP="00EA49C1">
      <w:pPr>
        <w:spacing w:line="360" w:lineRule="auto"/>
        <w:ind w:left="720"/>
        <w:jc w:val="both"/>
        <w:rPr>
          <w:rFonts w:cs="Times New Roman"/>
          <w:szCs w:val="22"/>
        </w:rPr>
      </w:pPr>
      <w:r w:rsidRPr="008C3C60">
        <w:rPr>
          <w:noProof/>
        </w:rPr>
        <w:drawing>
          <wp:inline distT="0" distB="0" distL="0" distR="0" wp14:anchorId="54FA27BB" wp14:editId="1BD3012F">
            <wp:extent cx="4521432" cy="3035456"/>
            <wp:effectExtent l="0" t="0" r="0" b="0"/>
            <wp:docPr id="1226192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192840" name=""/>
                    <pic:cNvPicPr/>
                  </pic:nvPicPr>
                  <pic:blipFill>
                    <a:blip r:embed="rId53"/>
                    <a:stretch>
                      <a:fillRect/>
                    </a:stretch>
                  </pic:blipFill>
                  <pic:spPr>
                    <a:xfrm>
                      <a:off x="0" y="0"/>
                      <a:ext cx="4521432" cy="3035456"/>
                    </a:xfrm>
                    <a:prstGeom prst="rect">
                      <a:avLst/>
                    </a:prstGeom>
                  </pic:spPr>
                </pic:pic>
              </a:graphicData>
            </a:graphic>
          </wp:inline>
        </w:drawing>
      </w:r>
    </w:p>
    <w:p w14:paraId="3F46A8AA" w14:textId="090CE902" w:rsidR="007032C8" w:rsidRDefault="007032C8" w:rsidP="00EA49C1">
      <w:pPr>
        <w:spacing w:line="360" w:lineRule="auto"/>
        <w:ind w:left="720"/>
        <w:jc w:val="both"/>
        <w:rPr>
          <w:rFonts w:cs="Times New Roman"/>
          <w:szCs w:val="22"/>
        </w:rPr>
      </w:pPr>
      <w:r w:rsidRPr="007032C8">
        <w:rPr>
          <w:rFonts w:cs="Times New Roman"/>
          <w:szCs w:val="22"/>
        </w:rPr>
        <w:t xml:space="preserve">The evaluation of each regression subtitle establishes a robust and statistically valid model for explaining purchase intention. Word-of-mouth social media marketing and brand trust are the strongest predictors, </w:t>
      </w:r>
      <w:r w:rsidRPr="007032C8">
        <w:rPr>
          <w:rFonts w:cs="Times New Roman"/>
          <w:szCs w:val="22"/>
        </w:rPr>
        <w:lastRenderedPageBreak/>
        <w:t>closely followed by sustainability and entertainment aspects. The model passed critical diagnostic checks, confirming that the quantitative findings are statistically sound and highly relevant for both managerial decision-making and academic discourse in consumer behavior.</w:t>
      </w:r>
    </w:p>
    <w:p w14:paraId="40A7A744" w14:textId="77777777" w:rsidR="00E0568A" w:rsidRDefault="00E0568A" w:rsidP="00E0568A">
      <w:pPr>
        <w:spacing w:line="360" w:lineRule="auto"/>
        <w:jc w:val="both"/>
        <w:rPr>
          <w:rFonts w:cs="Times New Roman"/>
          <w:szCs w:val="22"/>
        </w:rPr>
      </w:pPr>
    </w:p>
    <w:p w14:paraId="42C4D1A5" w14:textId="48C24C6B" w:rsidR="00DE476C" w:rsidRDefault="00F85D22" w:rsidP="00DE476C">
      <w:pPr>
        <w:pStyle w:val="Heading2"/>
        <w:numPr>
          <w:ilvl w:val="1"/>
          <w:numId w:val="5"/>
        </w:numPr>
        <w:spacing w:line="360" w:lineRule="auto"/>
        <w:ind w:left="450" w:hanging="450"/>
        <w:jc w:val="both"/>
        <w:rPr>
          <w:rFonts w:cs="Times New Roman"/>
          <w:b/>
          <w:bCs/>
          <w:sz w:val="22"/>
          <w:szCs w:val="22"/>
        </w:rPr>
      </w:pPr>
      <w:bookmarkStart w:id="98" w:name="_Toc213748954"/>
      <w:r>
        <w:rPr>
          <w:rFonts w:cs="Times New Roman"/>
          <w:b/>
          <w:bCs/>
          <w:sz w:val="22"/>
          <w:szCs w:val="22"/>
        </w:rPr>
        <w:t>V</w:t>
      </w:r>
      <w:r w:rsidRPr="00F85D22">
        <w:rPr>
          <w:rFonts w:cs="Times New Roman"/>
          <w:b/>
          <w:bCs/>
          <w:sz w:val="22"/>
          <w:szCs w:val="22"/>
        </w:rPr>
        <w:t xml:space="preserve">erification of </w:t>
      </w:r>
      <w:r>
        <w:rPr>
          <w:rFonts w:cs="Times New Roman"/>
          <w:b/>
          <w:bCs/>
          <w:sz w:val="22"/>
          <w:szCs w:val="22"/>
        </w:rPr>
        <w:t>R</w:t>
      </w:r>
      <w:r w:rsidRPr="00F85D22">
        <w:rPr>
          <w:rFonts w:cs="Times New Roman"/>
          <w:b/>
          <w:bCs/>
          <w:sz w:val="22"/>
          <w:szCs w:val="22"/>
        </w:rPr>
        <w:t xml:space="preserve">esearch </w:t>
      </w:r>
      <w:r>
        <w:rPr>
          <w:rFonts w:cs="Times New Roman"/>
          <w:b/>
          <w:bCs/>
          <w:sz w:val="22"/>
          <w:szCs w:val="22"/>
        </w:rPr>
        <w:t>H</w:t>
      </w:r>
      <w:r w:rsidRPr="00F85D22">
        <w:rPr>
          <w:rFonts w:cs="Times New Roman"/>
          <w:b/>
          <w:bCs/>
          <w:sz w:val="22"/>
          <w:szCs w:val="22"/>
        </w:rPr>
        <w:t>ypotheses</w:t>
      </w:r>
      <w:bookmarkEnd w:id="98"/>
    </w:p>
    <w:p w14:paraId="5DA44798" w14:textId="4221A96E" w:rsidR="004F702A" w:rsidRDefault="00F27AFB" w:rsidP="00F27AFB">
      <w:pPr>
        <w:spacing w:line="360" w:lineRule="auto"/>
        <w:jc w:val="both"/>
      </w:pPr>
      <w:r w:rsidRPr="00F27AFB">
        <w:t xml:space="preserve">According to the analysis in the preceding sections of chapter 4, the validity of all proposed hypotheses </w:t>
      </w:r>
      <w:r w:rsidR="00580616">
        <w:rPr>
          <w:rFonts w:hint="eastAsia"/>
        </w:rPr>
        <w:t xml:space="preserve">in Figure 4.7 </w:t>
      </w:r>
      <w:r w:rsidRPr="00F27AFB">
        <w:t xml:space="preserve">regarding the relationships among Social Media Marketing Activities (SMMA), Environmental </w:t>
      </w:r>
      <w:r w:rsidR="00ED409C">
        <w:t>Conscious</w:t>
      </w:r>
      <w:r w:rsidRPr="00F27AFB">
        <w:t xml:space="preserve"> (EC), Sustainability (ST), Brand Trust (BT), and Purchase Intention (PI) is confirmed. The results from the correlation analysis reveal that the Pearson correlation coefficients exhibit positive and meaningful relationships among these variables, supporting th</w:t>
      </w:r>
      <w:r w:rsidR="00B054C2">
        <w:t>e</w:t>
      </w:r>
      <w:r w:rsidRPr="00F27AFB">
        <w:t xml:space="preserve"> direct and interconnected effects. Furthermore, regression analysis</w:t>
      </w:r>
      <w:r w:rsidR="003C2BE8">
        <w:t xml:space="preserve">, </w:t>
      </w:r>
      <w:r w:rsidRPr="00F27AFB">
        <w:t>through the examination of R² values, F-values, and standardized Beta coefficients</w:t>
      </w:r>
      <w:r w:rsidR="003C2BE8">
        <w:t xml:space="preserve"> that </w:t>
      </w:r>
      <w:r w:rsidRPr="00F27AFB">
        <w:t xml:space="preserve">demonstrates </w:t>
      </w:r>
      <w:r w:rsidR="003C2BE8">
        <w:t>the</w:t>
      </w:r>
      <w:r w:rsidRPr="00F27AFB">
        <w:t xml:space="preserve"> relationships are statistically significant, with all core predictors showing substantial impacts on purchase intention. Importantly, the inspection of model coefficients indicates no issues with multicollinearity, as variance inflation factors and tolerance values consistently fall within acceptable thresholds. This confirms the independence and reliability of the tested constructs, reinforcing the robustness and generalizability of the research findings for managerial and academic applications.</w:t>
      </w:r>
    </w:p>
    <w:p w14:paraId="348973F9" w14:textId="77777777" w:rsidR="00002456" w:rsidRDefault="00002456" w:rsidP="00F27AFB">
      <w:pPr>
        <w:spacing w:line="360" w:lineRule="auto"/>
        <w:jc w:val="both"/>
      </w:pPr>
    </w:p>
    <w:p w14:paraId="096C0A28" w14:textId="4DB4D416" w:rsidR="003C2BE8" w:rsidRDefault="003C2BE8" w:rsidP="003C2BE8">
      <w:pPr>
        <w:pStyle w:val="Caption"/>
        <w:keepNext/>
        <w:ind w:left="1440"/>
        <w:jc w:val="both"/>
        <w:rPr>
          <w:sz w:val="20"/>
          <w:szCs w:val="20"/>
        </w:rPr>
      </w:pPr>
      <w:r>
        <w:rPr>
          <w:sz w:val="20"/>
          <w:szCs w:val="20"/>
        </w:rPr>
        <w:t>Figure</w:t>
      </w:r>
      <w:r>
        <w:rPr>
          <w:rFonts w:hint="eastAsia"/>
          <w:sz w:val="20"/>
          <w:szCs w:val="20"/>
        </w:rPr>
        <w:t xml:space="preserve"> 4</w:t>
      </w:r>
      <w:r>
        <w:rPr>
          <w:sz w:val="20"/>
          <w:szCs w:val="20"/>
        </w:rPr>
        <w:t>.7 Research Result on the Conceptual Fram</w:t>
      </w:r>
      <w:r w:rsidR="00F67EF5">
        <w:rPr>
          <w:sz w:val="20"/>
          <w:szCs w:val="20"/>
        </w:rPr>
        <w:t>e</w:t>
      </w:r>
      <w:r>
        <w:rPr>
          <w:sz w:val="20"/>
          <w:szCs w:val="20"/>
        </w:rPr>
        <w:t>work</w:t>
      </w:r>
    </w:p>
    <w:p w14:paraId="07E680F2" w14:textId="1D5E607D" w:rsidR="00F67EF5" w:rsidRPr="00F67EF5" w:rsidRDefault="00002456" w:rsidP="00F67EF5">
      <w:pPr>
        <w:jc w:val="center"/>
      </w:pPr>
      <w:r w:rsidRPr="00002456">
        <w:rPr>
          <w:noProof/>
        </w:rPr>
        <w:drawing>
          <wp:inline distT="0" distB="0" distL="0" distR="0" wp14:anchorId="48A86404" wp14:editId="38D714F5">
            <wp:extent cx="4131330" cy="3441031"/>
            <wp:effectExtent l="0" t="0" r="2540" b="7620"/>
            <wp:docPr id="1595274577"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274577" name="Picture 1" descr="A diagram of a diagram&#10;&#10;AI-generated content may be incorrect."/>
                    <pic:cNvPicPr/>
                  </pic:nvPicPr>
                  <pic:blipFill>
                    <a:blip r:embed="rId54"/>
                    <a:stretch>
                      <a:fillRect/>
                    </a:stretch>
                  </pic:blipFill>
                  <pic:spPr>
                    <a:xfrm>
                      <a:off x="0" y="0"/>
                      <a:ext cx="4176485" cy="3478641"/>
                    </a:xfrm>
                    <a:prstGeom prst="rect">
                      <a:avLst/>
                    </a:prstGeom>
                  </pic:spPr>
                </pic:pic>
              </a:graphicData>
            </a:graphic>
          </wp:inline>
        </w:drawing>
      </w:r>
    </w:p>
    <w:p w14:paraId="7DABE95D" w14:textId="77777777" w:rsidR="00F27AFB" w:rsidRDefault="00F27AFB" w:rsidP="00F27AFB">
      <w:pPr>
        <w:spacing w:line="360" w:lineRule="auto"/>
        <w:jc w:val="both"/>
      </w:pPr>
    </w:p>
    <w:p w14:paraId="46C58869" w14:textId="43ABC8F9" w:rsidR="00FA084E" w:rsidRDefault="00B20EC5" w:rsidP="00FA084E">
      <w:pPr>
        <w:pStyle w:val="Heading2"/>
        <w:numPr>
          <w:ilvl w:val="1"/>
          <w:numId w:val="5"/>
        </w:numPr>
        <w:spacing w:line="360" w:lineRule="auto"/>
        <w:ind w:left="450" w:hanging="450"/>
        <w:jc w:val="both"/>
        <w:rPr>
          <w:rFonts w:cs="Times New Roman"/>
          <w:b/>
          <w:bCs/>
          <w:sz w:val="22"/>
          <w:szCs w:val="22"/>
        </w:rPr>
      </w:pPr>
      <w:bookmarkStart w:id="99" w:name="_Toc213748955"/>
      <w:r>
        <w:rPr>
          <w:rFonts w:cs="Times New Roman"/>
          <w:b/>
          <w:bCs/>
          <w:sz w:val="22"/>
          <w:szCs w:val="22"/>
        </w:rPr>
        <w:t>Concluding</w:t>
      </w:r>
      <w:r>
        <w:rPr>
          <w:rFonts w:cs="Times New Roman" w:hint="eastAsia"/>
          <w:b/>
          <w:bCs/>
          <w:sz w:val="22"/>
          <w:szCs w:val="22"/>
        </w:rPr>
        <w:t xml:space="preserve"> Summary</w:t>
      </w:r>
      <w:bookmarkEnd w:id="99"/>
    </w:p>
    <w:p w14:paraId="01289DA8" w14:textId="768B891E" w:rsidR="007600A9" w:rsidRPr="007600A9" w:rsidRDefault="007600A9" w:rsidP="007600A9">
      <w:pPr>
        <w:spacing w:line="360" w:lineRule="auto"/>
        <w:jc w:val="both"/>
        <w:rPr>
          <w:rFonts w:cs="Times New Roman"/>
          <w:szCs w:val="22"/>
        </w:rPr>
      </w:pPr>
      <w:r w:rsidRPr="007600A9">
        <w:rPr>
          <w:rFonts w:cs="Times New Roman"/>
          <w:szCs w:val="22"/>
        </w:rPr>
        <w:t>The quantitative analysis confirms that social media marketing activities, environmental conscious, sustainability, and brand trust each significantly impact consumer purchase intention for instant coffee in Hong Kong. The regression model demonstrates notable predictive power, with brand trust and word-of-mouth SMMA emerging as the most influential, followed by environmental</w:t>
      </w:r>
      <w:r>
        <w:rPr>
          <w:rFonts w:cs="Times New Roman"/>
          <w:szCs w:val="22"/>
        </w:rPr>
        <w:t xml:space="preserve"> conscious</w:t>
      </w:r>
      <w:r w:rsidRPr="007600A9">
        <w:rPr>
          <w:rFonts w:cs="Times New Roman"/>
          <w:szCs w:val="22"/>
        </w:rPr>
        <w:t xml:space="preserve"> and sustainability considerations. These findings are congruent with global research that also identifies trust and digital interactivity as primary drivers of purchase intention in FMCG categories.​​</w:t>
      </w:r>
    </w:p>
    <w:p w14:paraId="1EC0FF78" w14:textId="29907F95" w:rsidR="007600A9" w:rsidRPr="007600A9" w:rsidRDefault="007600A9" w:rsidP="007600A9">
      <w:pPr>
        <w:spacing w:line="360" w:lineRule="auto"/>
        <w:jc w:val="both"/>
        <w:rPr>
          <w:rFonts w:cs="Times New Roman"/>
          <w:szCs w:val="22"/>
        </w:rPr>
      </w:pPr>
      <w:r w:rsidRPr="007600A9">
        <w:rPr>
          <w:rFonts w:cs="Times New Roman"/>
          <w:szCs w:val="22"/>
        </w:rPr>
        <w:t>Among environmental variables, mean scores indicate consistently high eco-</w:t>
      </w:r>
      <w:r w:rsidR="00ED409C">
        <w:rPr>
          <w:rFonts w:cs="Times New Roman"/>
          <w:szCs w:val="22"/>
        </w:rPr>
        <w:t>conscious</w:t>
      </w:r>
      <w:r w:rsidRPr="007600A9">
        <w:rPr>
          <w:rFonts w:cs="Times New Roman"/>
          <w:szCs w:val="22"/>
        </w:rPr>
        <w:t>, yet standard deviation analyses reveal a diversity of intensity</w:t>
      </w:r>
      <w:r w:rsidR="002E5E4A">
        <w:rPr>
          <w:rFonts w:cs="Times New Roman"/>
          <w:szCs w:val="22"/>
        </w:rPr>
        <w:t xml:space="preserve">, </w:t>
      </w:r>
      <w:r w:rsidRPr="007600A9">
        <w:rPr>
          <w:rFonts w:cs="Times New Roman"/>
          <w:szCs w:val="22"/>
        </w:rPr>
        <w:t xml:space="preserve">underscoring the importance of segment-based marketing. Notably, low standard deviations in brand trust responses indicate strong consensus on the primacy of quality and reliability in shaping consumer trust and </w:t>
      </w:r>
      <w:r w:rsidR="002E5E4A">
        <w:rPr>
          <w:rFonts w:cs="Times New Roman"/>
          <w:szCs w:val="22"/>
        </w:rPr>
        <w:t>purchase intention</w:t>
      </w:r>
      <w:r w:rsidRPr="007600A9">
        <w:rPr>
          <w:rFonts w:cs="Times New Roman"/>
          <w:szCs w:val="22"/>
        </w:rPr>
        <w:t>.​</w:t>
      </w:r>
    </w:p>
    <w:p w14:paraId="6B37F129" w14:textId="358AA498" w:rsidR="00FA084E" w:rsidRDefault="007600A9" w:rsidP="00327FA1">
      <w:pPr>
        <w:spacing w:line="360" w:lineRule="auto"/>
        <w:jc w:val="both"/>
        <w:rPr>
          <w:rFonts w:cs="Times New Roman"/>
          <w:szCs w:val="22"/>
        </w:rPr>
      </w:pPr>
      <w:r w:rsidRPr="007600A9">
        <w:rPr>
          <w:rFonts w:cs="Times New Roman"/>
          <w:szCs w:val="22"/>
        </w:rPr>
        <w:t xml:space="preserve">Limitations include a modest sample size relative to the population and the inherent constraints of cross-sectional, self-reported data, which may not capture longitudinal shifts or deeply embedded behavioral determinants. The results, however, robustly generalize to digitally active, sustainability-aware Hong Kong consumers and offer actionable touchpoints for market strategists seeking to </w:t>
      </w:r>
      <w:r w:rsidR="000546E2">
        <w:rPr>
          <w:rFonts w:cs="Times New Roman"/>
          <w:szCs w:val="22"/>
        </w:rPr>
        <w:t>increase purchase intention.</w:t>
      </w:r>
      <w:r w:rsidR="00FA084E">
        <w:rPr>
          <w:rFonts w:cs="Times New Roman"/>
          <w:szCs w:val="22"/>
        </w:rPr>
        <w:br w:type="page"/>
      </w:r>
    </w:p>
    <w:p w14:paraId="642F366B" w14:textId="3BC3B284" w:rsidR="000242FD" w:rsidRPr="00FA084E" w:rsidRDefault="00D352E7" w:rsidP="000242FD">
      <w:pPr>
        <w:pStyle w:val="Heading"/>
        <w:numPr>
          <w:ilvl w:val="0"/>
          <w:numId w:val="5"/>
        </w:numPr>
        <w:spacing w:line="360" w:lineRule="auto"/>
        <w:jc w:val="both"/>
        <w:rPr>
          <w:rFonts w:cs="Times New Roman"/>
          <w:szCs w:val="28"/>
        </w:rPr>
      </w:pPr>
      <w:bookmarkStart w:id="100" w:name="_Toc213748956"/>
      <w:r w:rsidRPr="00FA084E">
        <w:rPr>
          <w:rFonts w:cs="Times New Roman"/>
          <w:szCs w:val="28"/>
        </w:rPr>
        <w:lastRenderedPageBreak/>
        <w:t xml:space="preserve">Discussion, </w:t>
      </w:r>
      <w:r w:rsidR="000242FD" w:rsidRPr="00FA084E">
        <w:rPr>
          <w:rFonts w:cs="Times New Roman"/>
          <w:szCs w:val="28"/>
        </w:rPr>
        <w:t>Conclusion and Recommendations</w:t>
      </w:r>
      <w:bookmarkEnd w:id="100"/>
    </w:p>
    <w:p w14:paraId="21F2CCB5" w14:textId="65F82D0B" w:rsidR="00D66463" w:rsidRDefault="00AE62A5" w:rsidP="00BE78D3">
      <w:pPr>
        <w:spacing w:line="360" w:lineRule="auto"/>
        <w:jc w:val="both"/>
      </w:pPr>
      <w:r w:rsidRPr="00AE62A5">
        <w:t>This chapter synthesizes the findings detailed in the preceding analysis to provide a comprehensive interpretation, highlight theoretical and practical implications, and develop actionable recommendations for Nescafé’s instant coffee strategy in Hong Kong. Recommendations are firmly grounded in both the academic literature reviewed and the empirical results established in Chapter 4.</w:t>
      </w:r>
    </w:p>
    <w:p w14:paraId="195716B6" w14:textId="77777777" w:rsidR="005549C7" w:rsidRDefault="005549C7" w:rsidP="00BE78D3">
      <w:pPr>
        <w:spacing w:line="360" w:lineRule="auto"/>
        <w:jc w:val="both"/>
      </w:pPr>
    </w:p>
    <w:p w14:paraId="622FF9AE" w14:textId="77777777" w:rsidR="000B527F" w:rsidRDefault="000B527F" w:rsidP="000B527F">
      <w:pPr>
        <w:pStyle w:val="ListParagraph"/>
        <w:numPr>
          <w:ilvl w:val="1"/>
          <w:numId w:val="5"/>
        </w:numPr>
        <w:ind w:left="450"/>
        <w:rPr>
          <w:rFonts w:eastAsiaTheme="majorEastAsia" w:cs="Times New Roman"/>
          <w:b/>
          <w:bCs/>
          <w:szCs w:val="22"/>
        </w:rPr>
      </w:pPr>
      <w:r w:rsidRPr="000B527F">
        <w:rPr>
          <w:rFonts w:eastAsiaTheme="majorEastAsia" w:cs="Times New Roman"/>
          <w:b/>
          <w:bCs/>
          <w:szCs w:val="22"/>
        </w:rPr>
        <w:t>Discussion and Conclusion</w:t>
      </w:r>
    </w:p>
    <w:p w14:paraId="61FCAC8C" w14:textId="7F02D46C" w:rsidR="00AE62A5" w:rsidRDefault="00AE62A5" w:rsidP="00AE62A5">
      <w:pPr>
        <w:spacing w:line="360" w:lineRule="auto"/>
        <w:jc w:val="both"/>
      </w:pPr>
      <w:r>
        <w:t xml:space="preserve">This dissertation has provided robust empirical evidence and theoretical synthesis regarding the factors that influence consumer purchase intention for Nescafé instant coffee in Hong Kong. Drawing on comprehensive literature review and validated through quantitative analysis, the findings confirm that social media marketing activities, environmental </w:t>
      </w:r>
      <w:r w:rsidR="00ED409C">
        <w:t>conscious</w:t>
      </w:r>
      <w:r>
        <w:t xml:space="preserve">, sustainability practices, and brand trust exert meaningful, positive impacts on purchase intention. Brand trust and word-of-mouth in social media were shown to have the strongest influence, while environmental </w:t>
      </w:r>
      <w:r w:rsidR="00ED409C">
        <w:t>conscious</w:t>
      </w:r>
      <w:r>
        <w:t xml:space="preserve"> and sustainability further enhance consumer commitment in an ethically driven market. The statistical rigor of the regression analysis, including strong R² and Beta values, establishes the reliability and relevance of these constructs for instant coffee brands aiming to elevate consumer loyalty and market share.​</w:t>
      </w:r>
    </w:p>
    <w:p w14:paraId="0B7D36B5" w14:textId="2FA8B449" w:rsidR="000B527F" w:rsidRDefault="00AE62A5" w:rsidP="00AE62A5">
      <w:pPr>
        <w:spacing w:line="360" w:lineRule="auto"/>
        <w:jc w:val="both"/>
      </w:pPr>
      <w:r>
        <w:t>These results not only substantiate the core hypotheses of the study but also extend previous research by illustrating how digital engagement and sustainability ethics converge in shaping consumer choice in Hong Kong’s fast-moving consumer goods sector</w:t>
      </w:r>
      <w:r w:rsidR="00862EC3">
        <w:t xml:space="preserve"> </w:t>
      </w:r>
      <w:r w:rsidR="00862EC3" w:rsidRPr="00862EC3">
        <w:t>(Singh et al., 2025)</w:t>
      </w:r>
      <w:r>
        <w:t xml:space="preserve">. The convergence of theoretical frameworks and empirical findings ensures the academic </w:t>
      </w:r>
      <w:r w:rsidR="00001D06">
        <w:t>rigor</w:t>
      </w:r>
      <w:r>
        <w:t xml:space="preserve"> and managerial relevance of this dissertation, offering practical guidance for brands seeking to strengthen the market positioning and respond effectively to evolving consumer values</w:t>
      </w:r>
      <w:r w:rsidR="00E6264C">
        <w:t xml:space="preserve"> </w:t>
      </w:r>
      <w:r w:rsidR="00E6264C" w:rsidRPr="00E6264C">
        <w:t>(Daye and Zhao, 2025)</w:t>
      </w:r>
      <w:r>
        <w:t>.</w:t>
      </w:r>
    </w:p>
    <w:p w14:paraId="65CED48F" w14:textId="444EAE5E" w:rsidR="00B63B96" w:rsidRDefault="00B63B96" w:rsidP="00AE62A5">
      <w:pPr>
        <w:spacing w:line="360" w:lineRule="auto"/>
        <w:jc w:val="both"/>
      </w:pPr>
      <w:r w:rsidRPr="00B63B96">
        <w:t xml:space="preserve">Despite high reported levels of environmental </w:t>
      </w:r>
      <w:r w:rsidR="00ED409C">
        <w:t>conscious</w:t>
      </w:r>
      <w:r w:rsidRPr="00B63B96">
        <w:t>, an "attitude-behavior gap" persists</w:t>
      </w:r>
      <w:r>
        <w:t xml:space="preserve">, </w:t>
      </w:r>
      <w:r w:rsidRPr="00B63B96">
        <w:t>echoing the findings of HKFYG (2023) and recent sustainability marketing research where intent does not always translate to action. Overcoming this requires targeted, multi-stage interventions such as digital prompts at point of sale, heuristic cues for green product selection, and peer testimonials across platforms. The data reinforce that for a market as digitally mature and environmentally alert as Hong Kong, sustained success in the instant coffee category depends on integrating credibility, customer-centric innovation, and socio-cultural sensitivity.</w:t>
      </w:r>
    </w:p>
    <w:p w14:paraId="75248CA5" w14:textId="77777777" w:rsidR="00001D06" w:rsidRPr="000B527F" w:rsidRDefault="00001D06" w:rsidP="00AE62A5">
      <w:pPr>
        <w:spacing w:line="360" w:lineRule="auto"/>
        <w:jc w:val="both"/>
      </w:pPr>
    </w:p>
    <w:p w14:paraId="2F354C21" w14:textId="640EB8FC" w:rsidR="00151C4B" w:rsidRDefault="00E6264C" w:rsidP="00151C4B">
      <w:pPr>
        <w:pStyle w:val="Heading2"/>
        <w:numPr>
          <w:ilvl w:val="1"/>
          <w:numId w:val="5"/>
        </w:numPr>
        <w:spacing w:line="360" w:lineRule="auto"/>
        <w:ind w:left="450" w:hanging="450"/>
        <w:jc w:val="both"/>
        <w:rPr>
          <w:rFonts w:cs="Times New Roman"/>
          <w:b/>
          <w:bCs/>
          <w:sz w:val="22"/>
          <w:szCs w:val="22"/>
        </w:rPr>
      </w:pPr>
      <w:bookmarkStart w:id="101" w:name="_Toc213748957"/>
      <w:r>
        <w:rPr>
          <w:rFonts w:cs="Times New Roman"/>
          <w:b/>
          <w:bCs/>
          <w:sz w:val="22"/>
          <w:szCs w:val="22"/>
        </w:rPr>
        <w:t>Recommendations</w:t>
      </w:r>
      <w:bookmarkEnd w:id="101"/>
    </w:p>
    <w:p w14:paraId="3A1906C5" w14:textId="338FC01C" w:rsidR="001B67D9" w:rsidRDefault="001B67D9" w:rsidP="001B67D9">
      <w:pPr>
        <w:spacing w:line="360" w:lineRule="auto"/>
        <w:jc w:val="both"/>
      </w:pPr>
      <w:r>
        <w:t>Building on the synthesis of literature</w:t>
      </w:r>
      <w:r w:rsidR="00A45109">
        <w:t xml:space="preserve"> review</w:t>
      </w:r>
      <w:r>
        <w:t xml:space="preserve"> and quantitative findings, the recommendations are proposed for Nescafé and other instant coffee brands operating in Hong Kong.</w:t>
      </w:r>
      <w:r w:rsidR="00893613">
        <w:t xml:space="preserve"> </w:t>
      </w:r>
      <w:r w:rsidR="00893613" w:rsidRPr="00893613">
        <w:t xml:space="preserve">Managerially, these recommendations call for a dynamic, cross-functional approach, integrating marketing, product development, and sustainability teams to ensure </w:t>
      </w:r>
      <w:r w:rsidR="00893613" w:rsidRPr="00893613">
        <w:lastRenderedPageBreak/>
        <w:t>consistency of messaging and authenticity of brand promises. Internally, organizations should invest in training programs that cultivate a culture of transparency, ethical leadership, and rapid innovation driven by consumer feedback and global best practices.</w:t>
      </w:r>
    </w:p>
    <w:p w14:paraId="3D3802DE" w14:textId="77777777" w:rsidR="00893613" w:rsidRDefault="00893613" w:rsidP="001B67D9">
      <w:pPr>
        <w:spacing w:line="360" w:lineRule="auto"/>
        <w:jc w:val="both"/>
      </w:pPr>
    </w:p>
    <w:p w14:paraId="2F02BF9B" w14:textId="52DDC5BD" w:rsidR="007A7039" w:rsidRPr="00A16D04" w:rsidRDefault="008E5370" w:rsidP="00A16D04">
      <w:pPr>
        <w:pStyle w:val="Heading2"/>
        <w:numPr>
          <w:ilvl w:val="2"/>
          <w:numId w:val="5"/>
        </w:numPr>
        <w:spacing w:line="360" w:lineRule="auto"/>
        <w:rPr>
          <w:rFonts w:cs="Times New Roman"/>
          <w:b/>
          <w:bCs/>
          <w:sz w:val="22"/>
          <w:szCs w:val="22"/>
        </w:rPr>
      </w:pPr>
      <w:bookmarkStart w:id="102" w:name="_Toc213748958"/>
      <w:r w:rsidRPr="00A16D04">
        <w:rPr>
          <w:rFonts w:cs="Times New Roman"/>
          <w:b/>
          <w:bCs/>
          <w:sz w:val="22"/>
          <w:szCs w:val="22"/>
        </w:rPr>
        <w:t>Intensifying Social Media Word-of-Mouth and Influencer Advocacy</w:t>
      </w:r>
      <w:bookmarkEnd w:id="102"/>
    </w:p>
    <w:p w14:paraId="75083521" w14:textId="16499D4F" w:rsidR="00DD4496" w:rsidRDefault="005067CE" w:rsidP="00DD4496">
      <w:pPr>
        <w:spacing w:line="360" w:lineRule="auto"/>
        <w:ind w:left="720"/>
        <w:jc w:val="both"/>
      </w:pPr>
      <w:r w:rsidRPr="005067CE">
        <w:t>Deploy integrated digital campaigns that encourage user-generated content, peer endorsement, and influencer partnerships. Facilitating authentic consumer voices and leveraging real testimonials on social platforms can magnify brand presence and foster brand advocacy</w:t>
      </w:r>
      <w:r w:rsidR="005E4B30">
        <w:t xml:space="preserve"> </w:t>
      </w:r>
      <w:r w:rsidR="005E4B30" w:rsidRPr="005E4B30">
        <w:t>(Brown, 2005)</w:t>
      </w:r>
      <w:r w:rsidRPr="005067CE">
        <w:t>. Recent studies affirm that social-media-driven WOM and influencer engagement substantially drive consumer intention and outperform traditional campaigns (Kim &amp; Ko, 2012). Investing in interactive, story-driven content and engaging with consumer micro-communities will generate stronger brand-community ties and increase purchase intent</w:t>
      </w:r>
      <w:r w:rsidR="007C1E95">
        <w:t xml:space="preserve"> </w:t>
      </w:r>
      <w:r w:rsidR="007C1E95" w:rsidRPr="007C1E95">
        <w:t xml:space="preserve">(Muhamad, Ratih </w:t>
      </w:r>
      <w:proofErr w:type="spellStart"/>
      <w:r w:rsidR="007C1E95" w:rsidRPr="007C1E95">
        <w:t>Hurriyati</w:t>
      </w:r>
      <w:proofErr w:type="spellEnd"/>
      <w:r w:rsidR="007C1E95" w:rsidRPr="007C1E95">
        <w:t xml:space="preserve"> and Heny Hendrayati, 2023)</w:t>
      </w:r>
      <w:r w:rsidRPr="005067CE">
        <w:t>.</w:t>
      </w:r>
      <w:r w:rsidR="00DD4496">
        <w:t xml:space="preserve"> Scholarly research demonstrates that peer-driven advocacy and entertainment-focused engagement are not only effective in creating brand awareness but also in motivating purchase intention, outperforming traditional advertising models.​</w:t>
      </w:r>
      <w:r w:rsidR="00555762">
        <w:t xml:space="preserve"> </w:t>
      </w:r>
      <w:r w:rsidR="00555762" w:rsidRPr="00555762">
        <w:t>In alignment with the findings and implications detailed by Deng et al. (2021), it is strongly recommended that Nescafé place significant strategic emphasis on fostering consumer engagement within digital and social media platforms. Deng et al. (2021) highlights that consumer engagement is a multi-dimensional construct encompassing emotional, cognitive, and behavioral dimensions, which impact</w:t>
      </w:r>
      <w:r w:rsidR="00555762">
        <w:t>s</w:t>
      </w:r>
      <w:r w:rsidR="00555762" w:rsidRPr="00555762">
        <w:t xml:space="preserve"> of on purchase intention. Building a vibrant</w:t>
      </w:r>
      <w:r w:rsidR="00C64120">
        <w:t xml:space="preserve"> word-of-mouth</w:t>
      </w:r>
      <w:r w:rsidR="00555762" w:rsidRPr="00555762">
        <w:t>, interactive online brand community</w:t>
      </w:r>
      <w:r w:rsidR="00C64120">
        <w:t xml:space="preserve">, </w:t>
      </w:r>
      <w:r w:rsidR="00555762" w:rsidRPr="00555762">
        <w:t>where users can share experiences, exchange product knowledge, and participate in brand-driven conversations</w:t>
      </w:r>
      <w:r w:rsidR="00C64120">
        <w:t xml:space="preserve">, </w:t>
      </w:r>
      <w:r w:rsidR="00555762" w:rsidRPr="00555762">
        <w:t>greatly amplifies brand identity and loyalty, which in turn strengthens purchase intention.</w:t>
      </w:r>
    </w:p>
    <w:p w14:paraId="3559717D" w14:textId="77777777" w:rsidR="00893613" w:rsidRDefault="00893613" w:rsidP="005C0A43">
      <w:pPr>
        <w:spacing w:line="360" w:lineRule="auto"/>
        <w:jc w:val="both"/>
      </w:pPr>
    </w:p>
    <w:p w14:paraId="6126197B" w14:textId="0DAC6325" w:rsidR="00893613" w:rsidRPr="00A16D04" w:rsidRDefault="00893613" w:rsidP="00A16D04">
      <w:pPr>
        <w:pStyle w:val="Heading2"/>
        <w:numPr>
          <w:ilvl w:val="2"/>
          <w:numId w:val="5"/>
        </w:numPr>
        <w:spacing w:line="360" w:lineRule="auto"/>
        <w:rPr>
          <w:rFonts w:cs="Times New Roman"/>
          <w:b/>
          <w:bCs/>
          <w:sz w:val="22"/>
          <w:szCs w:val="22"/>
        </w:rPr>
      </w:pPr>
      <w:bookmarkStart w:id="103" w:name="_Toc213748959"/>
      <w:r w:rsidRPr="00A16D04">
        <w:rPr>
          <w:rFonts w:cs="Times New Roman"/>
          <w:b/>
          <w:bCs/>
          <w:sz w:val="22"/>
          <w:szCs w:val="22"/>
        </w:rPr>
        <w:t>Personalize Entertainment Content in Social Media Marketing</w:t>
      </w:r>
      <w:bookmarkEnd w:id="103"/>
    </w:p>
    <w:p w14:paraId="4926B270" w14:textId="445058CD" w:rsidR="005C0A43" w:rsidRDefault="005C0A43" w:rsidP="00893613">
      <w:pPr>
        <w:spacing w:line="360" w:lineRule="auto"/>
        <w:ind w:left="720"/>
        <w:jc w:val="both"/>
      </w:pPr>
      <w:r>
        <w:t>Personalization and entertainment should anchor all social media marketing activities. Consumers respond positively to tailored campaigns that reflect current trends and lifestyle aspirations, as demonstrated by Kim &amp; Ko (2012), who highlighted the impact of entertainment and customization in influencing consumer intentions for branded products. Utilizing predictive analytics gathered from consumer interactions, brands can segment audiences and deliver relevant, engaging content that aligns with local preferences and seasonal trends</w:t>
      </w:r>
      <w:r w:rsidR="007E6A1F">
        <w:t xml:space="preserve"> </w:t>
      </w:r>
      <w:r w:rsidR="007E6A1F" w:rsidRPr="007E6A1F">
        <w:t>(Cheung, Pires and Rosenberger, 2020)</w:t>
      </w:r>
      <w:r>
        <w:t>.​</w:t>
      </w:r>
      <w:r w:rsidR="00AB4A73">
        <w:t xml:space="preserve"> </w:t>
      </w:r>
    </w:p>
    <w:p w14:paraId="79B66724" w14:textId="3049C795" w:rsidR="00B20EC5" w:rsidRDefault="00B20EC5">
      <w:r>
        <w:br w:type="page"/>
      </w:r>
    </w:p>
    <w:p w14:paraId="05EFBFBA" w14:textId="03EA5FB5" w:rsidR="00E15B3F" w:rsidRPr="00A16D04" w:rsidRDefault="00533543" w:rsidP="00A16D04">
      <w:pPr>
        <w:pStyle w:val="Heading2"/>
        <w:numPr>
          <w:ilvl w:val="2"/>
          <w:numId w:val="5"/>
        </w:numPr>
        <w:spacing w:line="360" w:lineRule="auto"/>
        <w:rPr>
          <w:rFonts w:cs="Times New Roman"/>
          <w:b/>
          <w:bCs/>
          <w:sz w:val="22"/>
          <w:szCs w:val="22"/>
        </w:rPr>
      </w:pPr>
      <w:bookmarkStart w:id="104" w:name="_Toc213748960"/>
      <w:r w:rsidRPr="00A16D04">
        <w:rPr>
          <w:rFonts w:cs="Times New Roman"/>
          <w:b/>
          <w:bCs/>
          <w:sz w:val="22"/>
          <w:szCs w:val="22"/>
        </w:rPr>
        <w:lastRenderedPageBreak/>
        <w:t>Promote Environmental Education and Regulatory Advocacy</w:t>
      </w:r>
      <w:bookmarkEnd w:id="104"/>
    </w:p>
    <w:p w14:paraId="382BCEAF" w14:textId="7906F14C" w:rsidR="00533543" w:rsidRDefault="00533543" w:rsidP="00533543">
      <w:pPr>
        <w:spacing w:line="360" w:lineRule="auto"/>
        <w:ind w:left="720"/>
        <w:jc w:val="both"/>
      </w:pPr>
      <w:r>
        <w:t>Environmental awareness should be promoted through targeted educational initiatives and regulatory advocacy, reinforcing sustainable brand commitments with measurable goals</w:t>
      </w:r>
      <w:r w:rsidR="008919DE">
        <w:t xml:space="preserve"> </w:t>
      </w:r>
      <w:r w:rsidR="008919DE" w:rsidRPr="008919DE">
        <w:t>(Van Hoang et al., 2025)</w:t>
      </w:r>
      <w:r>
        <w:t>. According to Biswas &amp; Roy (2015)</w:t>
      </w:r>
      <w:r w:rsidR="00545E73">
        <w:t>,</w:t>
      </w:r>
      <w:r w:rsidR="008D6161">
        <w:t xml:space="preserve"> </w:t>
      </w:r>
      <w:r w:rsidR="00545E73">
        <w:t>t</w:t>
      </w:r>
      <w:r w:rsidR="00545E73" w:rsidRPr="00545E73">
        <w:t xml:space="preserve">o effectively encourage sustainable consumption patterns in Hong Kong, Nescafé should prioritize environmental education and take an active stance in regulatory advocacy. Companies </w:t>
      </w:r>
      <w:r w:rsidR="00545E73">
        <w:t>should</w:t>
      </w:r>
      <w:r w:rsidR="00545E73" w:rsidRPr="00545E73">
        <w:t xml:space="preserve"> inform consumers about the importance of eco-friendly behaviors </w:t>
      </w:r>
      <w:r w:rsidR="00545E73">
        <w:t>and</w:t>
      </w:r>
      <w:r w:rsidR="00545E73" w:rsidRPr="00545E73">
        <w:t xml:space="preserve"> advocate for stronger environmental standards within the industry. According to HKFYG (2023), knowledge alone is insufficient to change behaviors; thus, brands need to work collaboratively with schools, youth organizations, and policymakers to embed sustainability into daily choices and public discourse. Educational programs should move beyond awareness campaigns to include community workshops, curriculum integration in schools, and public service content addressing the tangible benefits of reduced waste, ethical sourcing, and responsible packaging. At the same time, active participation in policy dialogues</w:t>
      </w:r>
      <w:r w:rsidR="00545E73">
        <w:t xml:space="preserve">, </w:t>
      </w:r>
      <w:r w:rsidR="00545E73" w:rsidRPr="00545E73">
        <w:t>supporting schemes for extended producer responsibility or enhanced recycling infrastructure</w:t>
      </w:r>
      <w:r w:rsidR="00545E73">
        <w:t xml:space="preserve"> that </w:t>
      </w:r>
      <w:r w:rsidR="00545E73" w:rsidRPr="00545E73">
        <w:t>can help build a regulatory environment that aligns business practices with consumer values. By consistently bridging the gap between knowledge and action, and by publicly supporting progressive policies, Nescafé can strengthen both environmental outcomes and brand credibility, nurturing a new generation of responsible coffee consumers in line with HKFYG’s (2023) insights.</w:t>
      </w:r>
    </w:p>
    <w:p w14:paraId="3091B029" w14:textId="77777777" w:rsidR="00C71718" w:rsidRDefault="00C71718" w:rsidP="00533543">
      <w:pPr>
        <w:spacing w:line="360" w:lineRule="auto"/>
        <w:ind w:left="720"/>
        <w:jc w:val="both"/>
      </w:pPr>
    </w:p>
    <w:p w14:paraId="2023727B" w14:textId="18214213" w:rsidR="000916C4" w:rsidRPr="00A16D04" w:rsidRDefault="000916C4" w:rsidP="00A16D04">
      <w:pPr>
        <w:pStyle w:val="Heading2"/>
        <w:numPr>
          <w:ilvl w:val="2"/>
          <w:numId w:val="5"/>
        </w:numPr>
        <w:spacing w:line="360" w:lineRule="auto"/>
        <w:rPr>
          <w:rFonts w:cs="Times New Roman"/>
          <w:b/>
          <w:bCs/>
          <w:sz w:val="22"/>
          <w:szCs w:val="22"/>
        </w:rPr>
      </w:pPr>
      <w:bookmarkStart w:id="105" w:name="_Toc213748961"/>
      <w:r w:rsidRPr="00A16D04">
        <w:rPr>
          <w:rFonts w:cs="Times New Roman"/>
          <w:b/>
          <w:bCs/>
          <w:sz w:val="22"/>
          <w:szCs w:val="22"/>
        </w:rPr>
        <w:t xml:space="preserve">Promote </w:t>
      </w:r>
      <w:r w:rsidR="00C71718" w:rsidRPr="00A16D04">
        <w:rPr>
          <w:rFonts w:cs="Times New Roman"/>
          <w:b/>
          <w:bCs/>
          <w:sz w:val="22"/>
          <w:szCs w:val="22"/>
        </w:rPr>
        <w:t>Sustainable Packaging</w:t>
      </w:r>
      <w:bookmarkEnd w:id="105"/>
    </w:p>
    <w:p w14:paraId="33402B69" w14:textId="12B684DC" w:rsidR="000916C4" w:rsidRDefault="00336745" w:rsidP="000916C4">
      <w:pPr>
        <w:spacing w:line="360" w:lineRule="auto"/>
        <w:ind w:left="720"/>
        <w:jc w:val="both"/>
      </w:pPr>
      <w:r w:rsidRPr="00336745">
        <w:t>Nescafé should further its commitment to sustainability by advancing innovations in green packaging and clearly communicating these initiatives to consumers. The research by Duarte et al. (2024) demonstrates that visible, credible sustainable packaging</w:t>
      </w:r>
      <w:r>
        <w:t xml:space="preserve"> </w:t>
      </w:r>
      <w:r w:rsidRPr="00336745">
        <w:t>such as recyclable materials, compostable options, and low-carbon processes</w:t>
      </w:r>
      <w:r>
        <w:t xml:space="preserve"> that </w:t>
      </w:r>
      <w:r w:rsidRPr="00336745">
        <w:t>meaningfully enhances purchase intention. However, HKFYG (2023) highlights the prevalence of skepticism and confusion around eco-labels and packaging claims among Hong Kong’s youth. Therefore, Nescafé must ensure authenticity and clarity by employing third-party certifications and offering transparent information about the lifecycle and true impact of the packaging. Communication should focus on enabling consumers to make easy, informed choices through point-of-sale displays, digital storytelling, and interactive campaigns that demystify eco-terminology. By improving the substance and visibility of sustainable packaging, and by delivering honest, accessible information, Nescafé can re</w:t>
      </w:r>
      <w:r>
        <w:t>inforce</w:t>
      </w:r>
      <w:r w:rsidRPr="00336745">
        <w:t xml:space="preserve"> consumer confidence, foster positive </w:t>
      </w:r>
      <w:r w:rsidR="00B218D7">
        <w:t>impact</w:t>
      </w:r>
      <w:r w:rsidRPr="00336745">
        <w:t xml:space="preserve"> </w:t>
      </w:r>
      <w:r w:rsidR="00B218D7">
        <w:t>to</w:t>
      </w:r>
      <w:r w:rsidRPr="00336745">
        <w:t xml:space="preserve"> purcha</w:t>
      </w:r>
      <w:r>
        <w:t>se</w:t>
      </w:r>
      <w:r w:rsidR="00B218D7">
        <w:t xml:space="preserve"> intention</w:t>
      </w:r>
      <w:r w:rsidRPr="00336745">
        <w:t>, and stand out as a leader in responsible brand practices</w:t>
      </w:r>
      <w:r w:rsidR="004E01E6">
        <w:t xml:space="preserve"> </w:t>
      </w:r>
      <w:r w:rsidR="004E01E6" w:rsidRPr="004E01E6">
        <w:t>(</w:t>
      </w:r>
      <w:proofErr w:type="spellStart"/>
      <w:r w:rsidR="004E01E6" w:rsidRPr="004E01E6">
        <w:t>Sriramaneni</w:t>
      </w:r>
      <w:proofErr w:type="spellEnd"/>
      <w:r w:rsidR="004E01E6" w:rsidRPr="004E01E6">
        <w:t xml:space="preserve"> et al., 2025)</w:t>
      </w:r>
      <w:r w:rsidR="000916C4">
        <w:t>.​</w:t>
      </w:r>
    </w:p>
    <w:p w14:paraId="68A576DC" w14:textId="1BDD44FB" w:rsidR="00B20EC5" w:rsidRDefault="00B20EC5">
      <w:pPr>
        <w:rPr>
          <w:rFonts w:eastAsiaTheme="majorEastAsia" w:cs="Times New Roman"/>
          <w:b/>
          <w:bCs/>
          <w:szCs w:val="22"/>
        </w:rPr>
      </w:pPr>
      <w:r>
        <w:rPr>
          <w:rFonts w:eastAsiaTheme="majorEastAsia" w:cs="Times New Roman"/>
          <w:b/>
          <w:bCs/>
          <w:szCs w:val="22"/>
        </w:rPr>
        <w:br w:type="page"/>
      </w:r>
    </w:p>
    <w:p w14:paraId="3EE72236" w14:textId="78B8C49B" w:rsidR="00255692" w:rsidRPr="00A16D04" w:rsidRDefault="00E15B3F" w:rsidP="00A16D04">
      <w:pPr>
        <w:pStyle w:val="Heading2"/>
        <w:numPr>
          <w:ilvl w:val="2"/>
          <w:numId w:val="5"/>
        </w:numPr>
        <w:spacing w:line="360" w:lineRule="auto"/>
        <w:rPr>
          <w:rFonts w:cs="Times New Roman"/>
          <w:b/>
          <w:bCs/>
          <w:sz w:val="22"/>
          <w:szCs w:val="22"/>
        </w:rPr>
      </w:pPr>
      <w:r w:rsidRPr="00A16D04">
        <w:rPr>
          <w:rFonts w:cs="Times New Roman"/>
          <w:b/>
          <w:bCs/>
          <w:sz w:val="22"/>
          <w:szCs w:val="22"/>
        </w:rPr>
        <w:lastRenderedPageBreak/>
        <w:t xml:space="preserve"> </w:t>
      </w:r>
      <w:bookmarkStart w:id="106" w:name="_Toc213748962"/>
      <w:r w:rsidRPr="00A16D04">
        <w:rPr>
          <w:rFonts w:cs="Times New Roman"/>
          <w:b/>
          <w:bCs/>
          <w:sz w:val="22"/>
          <w:szCs w:val="22"/>
        </w:rPr>
        <w:t>Strengthen Brand Trust Through Quality Assurance and Transparency</w:t>
      </w:r>
      <w:bookmarkEnd w:id="106"/>
    </w:p>
    <w:p w14:paraId="36F5C89E" w14:textId="77777777" w:rsidR="005571DC" w:rsidRDefault="001B67D9" w:rsidP="005571DC">
      <w:pPr>
        <w:spacing w:line="360" w:lineRule="auto"/>
        <w:ind w:left="720"/>
        <w:jc w:val="both"/>
      </w:pPr>
      <w:r>
        <w:t>Nescafé should consistently reinforce brand trust by maintaining high product quality, transparent communications, and third-party certifications that verify ethical sourcing and safety. This approach is strongly supported by Cardoso et al. (2022), who found that credibility and reliability are essential to cultivating consumer loyalty and repeat purchase intention in the FMCG sector. Ensuring visible adherence to product promises and actively soliciting consumer feedback can facilitate trust and mitigate skepticism driven by greenwashing concerns</w:t>
      </w:r>
      <w:r w:rsidR="000D397F">
        <w:t xml:space="preserve"> </w:t>
      </w:r>
      <w:r w:rsidR="000D397F" w:rsidRPr="000D397F">
        <w:t>(Hajduk et al., 2024)</w:t>
      </w:r>
      <w:r>
        <w:t>.​</w:t>
      </w:r>
      <w:r w:rsidR="005571DC">
        <w:t xml:space="preserve"> </w:t>
      </w:r>
      <w:r w:rsidR="005571DC" w:rsidRPr="00BE746E">
        <w:t>Moreover, advanced digital analytics</w:t>
      </w:r>
      <w:r w:rsidR="005571DC">
        <w:t xml:space="preserve">, </w:t>
      </w:r>
      <w:r w:rsidR="005571DC" w:rsidRPr="00BE746E">
        <w:t>such as artificial intelligence-driven sentiment analysis</w:t>
      </w:r>
      <w:r w:rsidR="005571DC">
        <w:t xml:space="preserve"> </w:t>
      </w:r>
      <w:r w:rsidR="005571DC" w:rsidRPr="00BE746E">
        <w:t>could be deployed for more granular measurement of trust and intention influences, opening avenues for highly customized marketing. Engaging with ethical, legal, and psychological dimensions of digital trust formation in the context of emerging technologies (AI, live streaming) also represents a promising research frontier</w:t>
      </w:r>
      <w:r w:rsidR="005571DC">
        <w:t xml:space="preserve"> </w:t>
      </w:r>
      <w:r w:rsidR="005571DC" w:rsidRPr="00957BE5">
        <w:t>(</w:t>
      </w:r>
      <w:proofErr w:type="spellStart"/>
      <w:r w:rsidR="005571DC" w:rsidRPr="00957BE5">
        <w:t>Muchammad</w:t>
      </w:r>
      <w:proofErr w:type="spellEnd"/>
      <w:r w:rsidR="005571DC" w:rsidRPr="00957BE5">
        <w:t xml:space="preserve"> </w:t>
      </w:r>
      <w:proofErr w:type="spellStart"/>
      <w:r w:rsidR="005571DC" w:rsidRPr="00957BE5">
        <w:t>Chusnul</w:t>
      </w:r>
      <w:proofErr w:type="spellEnd"/>
      <w:r w:rsidR="005571DC" w:rsidRPr="00957BE5">
        <w:t xml:space="preserve"> Akrom, 2025)</w:t>
      </w:r>
      <w:r w:rsidR="005571DC" w:rsidRPr="00BE746E">
        <w:t>.</w:t>
      </w:r>
    </w:p>
    <w:p w14:paraId="4DE2D717" w14:textId="77777777" w:rsidR="00CD295E" w:rsidRDefault="00CD295E" w:rsidP="005571DC">
      <w:pPr>
        <w:spacing w:line="360" w:lineRule="auto"/>
        <w:ind w:left="720"/>
        <w:jc w:val="both"/>
      </w:pPr>
    </w:p>
    <w:p w14:paraId="48929221" w14:textId="44917005" w:rsidR="00CD295E" w:rsidRPr="00A16D04" w:rsidRDefault="00AE7B41" w:rsidP="00A16D04">
      <w:pPr>
        <w:pStyle w:val="Heading2"/>
        <w:numPr>
          <w:ilvl w:val="2"/>
          <w:numId w:val="5"/>
        </w:numPr>
        <w:spacing w:line="360" w:lineRule="auto"/>
        <w:rPr>
          <w:rFonts w:cs="Times New Roman"/>
          <w:b/>
          <w:bCs/>
          <w:sz w:val="22"/>
          <w:szCs w:val="22"/>
        </w:rPr>
      </w:pPr>
      <w:bookmarkStart w:id="107" w:name="_Toc213748963"/>
      <w:r w:rsidRPr="00A16D04">
        <w:rPr>
          <w:rFonts w:cs="Times New Roman"/>
          <w:b/>
          <w:bCs/>
          <w:sz w:val="22"/>
          <w:szCs w:val="22"/>
        </w:rPr>
        <w:t>Digital Platform Investments to Enhance Consumer Engagement</w:t>
      </w:r>
      <w:bookmarkEnd w:id="107"/>
    </w:p>
    <w:p w14:paraId="6220F1BA" w14:textId="55A78759" w:rsidR="00CD295E" w:rsidRDefault="00CE5C5D" w:rsidP="005571DC">
      <w:pPr>
        <w:spacing w:line="360" w:lineRule="auto"/>
        <w:ind w:left="720"/>
        <w:jc w:val="both"/>
      </w:pPr>
      <w:r>
        <w:t>T</w:t>
      </w:r>
      <w:r w:rsidRPr="00CE5C5D">
        <w:t>ailored to commercial reality</w:t>
      </w:r>
      <w:r>
        <w:t>, i</w:t>
      </w:r>
      <w:r w:rsidR="00CD295E" w:rsidRPr="00CD295E">
        <w:t>nvesting in advanced digital platforms, such as mobile apps and interactive online communities, increases consumer engagement by facilitating two-way communication and co-creation opportunities with the brand. Platform interactivity</w:t>
      </w:r>
      <w:r>
        <w:t xml:space="preserve"> that </w:t>
      </w:r>
      <w:r w:rsidR="00CD295E" w:rsidRPr="00CD295E">
        <w:t>including features like customization, real-time feedback, and value-added digital services</w:t>
      </w:r>
      <w:r>
        <w:t xml:space="preserve">, it will </w:t>
      </w:r>
      <w:r w:rsidR="00CD295E" w:rsidRPr="00CD295E">
        <w:t xml:space="preserve">significantly predicts customer engagement, preference, and ultimately purchase intention. Research shows that brands leveraging interactive digital channels </w:t>
      </w:r>
      <w:r w:rsidR="00920A06">
        <w:t xml:space="preserve">including </w:t>
      </w:r>
      <w:r w:rsidR="00CD295E" w:rsidRPr="00CD295E">
        <w:t>social media, retail apps</w:t>
      </w:r>
      <w:r w:rsidR="00920A06">
        <w:t>,</w:t>
      </w:r>
      <w:r w:rsidR="00CD295E" w:rsidRPr="00CD295E">
        <w:t xml:space="preserve"> see higher levels of sustained consumer attention and loyalty, as consumers are attracted to platforms that align with </w:t>
      </w:r>
      <w:r w:rsidR="00ED409C">
        <w:t>the</w:t>
      </w:r>
      <w:r w:rsidR="00CD295E" w:rsidRPr="00CD295E">
        <w:t xml:space="preserve"> self-concept and social motivations</w:t>
      </w:r>
      <w:r w:rsidR="00920A06">
        <w:t xml:space="preserve"> </w:t>
      </w:r>
      <w:r w:rsidR="00920A06" w:rsidRPr="00920A06">
        <w:t>(Habib, Irfan and Shahzad, 2022)</w:t>
      </w:r>
      <w:r w:rsidR="00CD295E" w:rsidRPr="00CD295E">
        <w:t>.</w:t>
      </w:r>
    </w:p>
    <w:p w14:paraId="1D9FB51C" w14:textId="77777777" w:rsidR="00920A06" w:rsidRDefault="00920A06" w:rsidP="005571DC">
      <w:pPr>
        <w:spacing w:line="360" w:lineRule="auto"/>
        <w:ind w:left="720"/>
        <w:jc w:val="both"/>
      </w:pPr>
    </w:p>
    <w:p w14:paraId="3EB63E15" w14:textId="77777777" w:rsidR="00B90A33" w:rsidRPr="00A16D04" w:rsidRDefault="00B90A33" w:rsidP="00A16D04">
      <w:pPr>
        <w:pStyle w:val="Heading2"/>
        <w:numPr>
          <w:ilvl w:val="2"/>
          <w:numId w:val="5"/>
        </w:numPr>
        <w:spacing w:line="360" w:lineRule="auto"/>
        <w:rPr>
          <w:rFonts w:cs="Times New Roman"/>
          <w:b/>
          <w:bCs/>
          <w:sz w:val="22"/>
          <w:szCs w:val="22"/>
        </w:rPr>
      </w:pPr>
      <w:bookmarkStart w:id="108" w:name="_Toc213748964"/>
      <w:r w:rsidRPr="00A16D04">
        <w:rPr>
          <w:rFonts w:cs="Times New Roman"/>
          <w:b/>
          <w:bCs/>
          <w:sz w:val="22"/>
          <w:szCs w:val="22"/>
        </w:rPr>
        <w:t>Measuring Recommendation Impact Using Key Performance Indicators (KPIs)</w:t>
      </w:r>
      <w:bookmarkEnd w:id="108"/>
    </w:p>
    <w:p w14:paraId="4ACDE8DD" w14:textId="4F9F3160" w:rsidR="00B90A33" w:rsidRDefault="00B90A33" w:rsidP="00B90A33">
      <w:pPr>
        <w:spacing w:line="360" w:lineRule="auto"/>
        <w:ind w:left="720"/>
        <w:jc w:val="both"/>
      </w:pPr>
      <w:r>
        <w:t>Establishing clear, quantifiable KPIs such as conversion rates, engagement metrics, social media impressions, and customer satisfaction scores, it is crucial for evaluating the success of recommended strategies</w:t>
      </w:r>
      <w:r w:rsidR="00C355AF">
        <w:t xml:space="preserve"> </w:t>
      </w:r>
      <w:r w:rsidR="00C355AF" w:rsidRPr="00C355AF">
        <w:t>(Gibson, 2024)</w:t>
      </w:r>
      <w:r>
        <w:t xml:space="preserve">. Academic research emphasizes that KPIs must be tailored to each stage of the marketing funnel on awareness, consideration and decision, </w:t>
      </w:r>
      <w:r w:rsidR="00A70E35">
        <w:t xml:space="preserve">to </w:t>
      </w:r>
      <w:r>
        <w:t>tracked as intermediate and final outcomes to optimize strategy and identify bottlenecks. Applying KPIs enables brands to make data-driven decisions, monitor progress, and adapt recommendations for continuous improvement</w:t>
      </w:r>
      <w:r w:rsidR="000B2BBD">
        <w:t xml:space="preserve"> </w:t>
      </w:r>
      <w:r w:rsidR="00C355AF" w:rsidRPr="00C355AF">
        <w:t>(</w:t>
      </w:r>
      <w:proofErr w:type="spellStart"/>
      <w:r w:rsidR="00C355AF" w:rsidRPr="00C355AF">
        <w:t>Gräve</w:t>
      </w:r>
      <w:proofErr w:type="spellEnd"/>
      <w:r w:rsidR="00C355AF" w:rsidRPr="00C355AF">
        <w:t>, 2019)</w:t>
      </w:r>
      <w:r>
        <w:t>.</w:t>
      </w:r>
    </w:p>
    <w:p w14:paraId="068288A5" w14:textId="77777777" w:rsidR="00CD4759" w:rsidRDefault="00CD4759" w:rsidP="00E15B3F">
      <w:pPr>
        <w:spacing w:line="360" w:lineRule="auto"/>
        <w:ind w:left="720"/>
        <w:jc w:val="both"/>
      </w:pPr>
    </w:p>
    <w:p w14:paraId="751B529F" w14:textId="77777777" w:rsidR="00CD4759" w:rsidRDefault="00CD4759" w:rsidP="00CD4759">
      <w:pPr>
        <w:pStyle w:val="Heading2"/>
        <w:numPr>
          <w:ilvl w:val="1"/>
          <w:numId w:val="5"/>
        </w:numPr>
        <w:tabs>
          <w:tab w:val="num" w:pos="360"/>
        </w:tabs>
        <w:spacing w:line="360" w:lineRule="auto"/>
        <w:ind w:left="450" w:hanging="360"/>
        <w:rPr>
          <w:rFonts w:cs="Times New Roman"/>
          <w:b/>
          <w:bCs/>
          <w:sz w:val="22"/>
          <w:szCs w:val="22"/>
        </w:rPr>
      </w:pPr>
      <w:bookmarkStart w:id="109" w:name="_Toc213748965"/>
      <w:r w:rsidRPr="0024445D">
        <w:rPr>
          <w:rFonts w:cs="Times New Roman"/>
          <w:b/>
          <w:bCs/>
          <w:sz w:val="22"/>
          <w:szCs w:val="22"/>
        </w:rPr>
        <w:lastRenderedPageBreak/>
        <w:t>R</w:t>
      </w:r>
      <w:r>
        <w:rPr>
          <w:rFonts w:cs="Times New Roman"/>
          <w:b/>
          <w:bCs/>
          <w:sz w:val="22"/>
          <w:szCs w:val="22"/>
        </w:rPr>
        <w:t>esearch Limitation</w:t>
      </w:r>
      <w:r w:rsidRPr="00BE7E5D">
        <w:rPr>
          <w:rFonts w:cs="Times New Roman"/>
          <w:b/>
          <w:bCs/>
          <w:sz w:val="22"/>
          <w:szCs w:val="22"/>
        </w:rPr>
        <w:t xml:space="preserve"> </w:t>
      </w:r>
      <w:r w:rsidRPr="0024445D">
        <w:rPr>
          <w:rFonts w:cs="Times New Roman"/>
          <w:b/>
          <w:bCs/>
          <w:sz w:val="22"/>
          <w:szCs w:val="22"/>
        </w:rPr>
        <w:t>R</w:t>
      </w:r>
      <w:r>
        <w:rPr>
          <w:rFonts w:cs="Times New Roman"/>
          <w:b/>
          <w:bCs/>
          <w:sz w:val="22"/>
          <w:szCs w:val="22"/>
        </w:rPr>
        <w:t>esearch Limitation</w:t>
      </w:r>
      <w:bookmarkEnd w:id="109"/>
    </w:p>
    <w:p w14:paraId="4C80E6C0" w14:textId="7A699712" w:rsidR="00893613" w:rsidRDefault="00170BA5" w:rsidP="001B67D9">
      <w:pPr>
        <w:spacing w:line="360" w:lineRule="auto"/>
        <w:jc w:val="both"/>
      </w:pPr>
      <w:r w:rsidRPr="00170BA5">
        <w:t>While the research provides valuable insights, several limitations must be acknowledged. The study utilized cross-sectional survey data reliant on self-reported measures, which may introduce bias and constrain the ability to capture longitudinal trends or causal relationships. Additionally, the Hong Kong-specific context and non-probability sampling frameworks limit the generalizability of results to other geographic settings or product categories. The exclusion of proprietary sales and cost data also restricts direct managerial applications, as granular insights into channel effectiveness and operational constraints remained inaccessible. Future studies should seek broader data access, deploy mixed-method longitudinal designs, and incorporate multi-source triangulation to overcome these constraints.</w:t>
      </w:r>
    </w:p>
    <w:p w14:paraId="4E8F4953" w14:textId="77777777" w:rsidR="00F4207F" w:rsidRDefault="00F4207F" w:rsidP="001B67D9">
      <w:pPr>
        <w:spacing w:line="360" w:lineRule="auto"/>
        <w:jc w:val="both"/>
      </w:pPr>
    </w:p>
    <w:p w14:paraId="0D66AABE" w14:textId="77777777" w:rsidR="00F4207F" w:rsidRDefault="00F4207F" w:rsidP="00F4207F">
      <w:pPr>
        <w:pStyle w:val="Heading2"/>
        <w:numPr>
          <w:ilvl w:val="1"/>
          <w:numId w:val="5"/>
        </w:numPr>
        <w:tabs>
          <w:tab w:val="num" w:pos="360"/>
        </w:tabs>
        <w:spacing w:line="360" w:lineRule="auto"/>
        <w:ind w:left="450" w:hanging="360"/>
        <w:rPr>
          <w:rFonts w:cs="Times New Roman"/>
          <w:b/>
          <w:bCs/>
          <w:sz w:val="22"/>
          <w:szCs w:val="22"/>
        </w:rPr>
      </w:pPr>
      <w:bookmarkStart w:id="110" w:name="_Toc213748966"/>
      <w:r>
        <w:rPr>
          <w:rFonts w:cs="Times New Roman"/>
          <w:b/>
          <w:bCs/>
          <w:sz w:val="22"/>
          <w:szCs w:val="22"/>
        </w:rPr>
        <w:t>Future Research Direction</w:t>
      </w:r>
      <w:bookmarkEnd w:id="110"/>
    </w:p>
    <w:p w14:paraId="36B0E881" w14:textId="77777777" w:rsidR="00F4207F" w:rsidRDefault="00F4207F" w:rsidP="00F4207F">
      <w:pPr>
        <w:spacing w:line="360" w:lineRule="auto"/>
        <w:jc w:val="both"/>
      </w:pPr>
      <w:r w:rsidRPr="00732E50">
        <w:t>Future research should address these limitations by seeking deeper collaborations with instant coffee industry stakeholders, such as direct access to internal marketing, sales, and supply chain data from Nestlé and other leading brands. Studies utilizing randomized and stratified sampling methods can enhance representativeness, enabling a more accurate reflection of Hong Kong’s diverse coffee consumer base. Comparative research across different beverage categories or regional markets, for example, between Hong Kong, Mainland China, and Southeast Asia, would offer valuable benchmarking insights. Additionally, qualitative approaches</w:t>
      </w:r>
      <w:r>
        <w:t xml:space="preserve">, </w:t>
      </w:r>
      <w:r w:rsidRPr="00732E50">
        <w:t xml:space="preserve">such as in-depth interviews with business managers, </w:t>
      </w:r>
      <w:r>
        <w:rPr>
          <w:rFonts w:hint="eastAsia"/>
        </w:rPr>
        <w:t xml:space="preserve">industry </w:t>
      </w:r>
      <w:r w:rsidRPr="00732E50">
        <w:t>suppliers, and retail partners</w:t>
      </w:r>
      <w:r>
        <w:t xml:space="preserve">, that </w:t>
      </w:r>
      <w:r w:rsidRPr="00732E50">
        <w:t>could uncover nuanced perspectives that are otherwise missed by survey methodologies. Longitudinal studies that track changes in purchase intention, brand trust, and sustainability perceptions over time would further strengthen understanding of evolving market trends in Hong Kong. Ultimately, a combination of richer internal data, robust methodological design, and expanded qualitative inquiry will allow future studies to provide even more actionable guidance for both practitioners and researchers in the instant coffee sector.</w:t>
      </w:r>
    </w:p>
    <w:p w14:paraId="143C122E" w14:textId="641CDE86" w:rsidR="00C14DEA" w:rsidRDefault="00C14DEA">
      <w:r>
        <w:br w:type="page"/>
      </w:r>
    </w:p>
    <w:p w14:paraId="1C611EA6" w14:textId="47F44C26" w:rsidR="00FB42CA" w:rsidRPr="0093626E" w:rsidRDefault="003910F7" w:rsidP="007F198D">
      <w:pPr>
        <w:pStyle w:val="Heading"/>
        <w:numPr>
          <w:ilvl w:val="0"/>
          <w:numId w:val="10"/>
        </w:numPr>
        <w:ind w:left="720"/>
        <w:rPr>
          <w:szCs w:val="28"/>
        </w:rPr>
      </w:pPr>
      <w:bookmarkStart w:id="111" w:name="_Toc213748967"/>
      <w:r w:rsidRPr="007F198D">
        <w:rPr>
          <w:rFonts w:cs="Times New Roman"/>
          <w:szCs w:val="28"/>
        </w:rPr>
        <w:lastRenderedPageBreak/>
        <w:t>REFERENCE LIST</w:t>
      </w:r>
      <w:bookmarkEnd w:id="111"/>
    </w:p>
    <w:p w14:paraId="6C590256" w14:textId="0A7A984C" w:rsidR="001F29F5" w:rsidRDefault="001F29F5">
      <w:pPr>
        <w:rPr>
          <w:rFonts w:eastAsiaTheme="majorEastAsia" w:cs="Times New Roman"/>
          <w:b/>
          <w:sz w:val="28"/>
          <w:szCs w:val="28"/>
        </w:rPr>
      </w:pPr>
      <w:r w:rsidRPr="001F29F5">
        <w:rPr>
          <w:rFonts w:eastAsiaTheme="majorEastAsia" w:cs="Times New Roman"/>
          <w:b/>
          <w:sz w:val="28"/>
          <w:szCs w:val="28"/>
        </w:rPr>
        <w:drawing>
          <wp:inline distT="0" distB="0" distL="0" distR="0" wp14:anchorId="62CA9D6D" wp14:editId="5EEC494F">
            <wp:extent cx="5935330" cy="7721600"/>
            <wp:effectExtent l="0" t="0" r="8890" b="0"/>
            <wp:docPr id="1982565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565207" name=""/>
                    <pic:cNvPicPr/>
                  </pic:nvPicPr>
                  <pic:blipFill>
                    <a:blip r:embed="rId55"/>
                    <a:stretch>
                      <a:fillRect/>
                    </a:stretch>
                  </pic:blipFill>
                  <pic:spPr>
                    <a:xfrm>
                      <a:off x="0" y="0"/>
                      <a:ext cx="5944423" cy="7733430"/>
                    </a:xfrm>
                    <a:prstGeom prst="rect">
                      <a:avLst/>
                    </a:prstGeom>
                  </pic:spPr>
                </pic:pic>
              </a:graphicData>
            </a:graphic>
          </wp:inline>
        </w:drawing>
      </w:r>
    </w:p>
    <w:p w14:paraId="1C31632B" w14:textId="77777777" w:rsidR="001F29F5" w:rsidRDefault="001F29F5">
      <w:pPr>
        <w:rPr>
          <w:rFonts w:eastAsiaTheme="majorEastAsia" w:cs="Times New Roman"/>
          <w:b/>
          <w:sz w:val="28"/>
          <w:szCs w:val="28"/>
        </w:rPr>
      </w:pPr>
      <w:r>
        <w:rPr>
          <w:rFonts w:eastAsiaTheme="majorEastAsia" w:cs="Times New Roman"/>
          <w:b/>
          <w:sz w:val="28"/>
          <w:szCs w:val="28"/>
        </w:rPr>
        <w:br w:type="page"/>
      </w:r>
    </w:p>
    <w:p w14:paraId="2A2938F3" w14:textId="34EC3B8F" w:rsidR="009148AC" w:rsidRDefault="009148AC">
      <w:pPr>
        <w:rPr>
          <w:rFonts w:eastAsiaTheme="majorEastAsia" w:cs="Times New Roman"/>
          <w:b/>
          <w:sz w:val="28"/>
          <w:szCs w:val="28"/>
        </w:rPr>
      </w:pPr>
      <w:r w:rsidRPr="009148AC">
        <w:rPr>
          <w:rFonts w:eastAsiaTheme="majorEastAsia" w:cs="Times New Roman"/>
          <w:b/>
          <w:sz w:val="28"/>
          <w:szCs w:val="28"/>
        </w:rPr>
        <w:lastRenderedPageBreak/>
        <w:drawing>
          <wp:inline distT="0" distB="0" distL="0" distR="0" wp14:anchorId="23BC032E" wp14:editId="47A36553">
            <wp:extent cx="5925983" cy="8136467"/>
            <wp:effectExtent l="0" t="0" r="0" b="0"/>
            <wp:docPr id="1560040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040309" name=""/>
                    <pic:cNvPicPr/>
                  </pic:nvPicPr>
                  <pic:blipFill>
                    <a:blip r:embed="rId56"/>
                    <a:stretch>
                      <a:fillRect/>
                    </a:stretch>
                  </pic:blipFill>
                  <pic:spPr>
                    <a:xfrm>
                      <a:off x="0" y="0"/>
                      <a:ext cx="5941526" cy="8157808"/>
                    </a:xfrm>
                    <a:prstGeom prst="rect">
                      <a:avLst/>
                    </a:prstGeom>
                  </pic:spPr>
                </pic:pic>
              </a:graphicData>
            </a:graphic>
          </wp:inline>
        </w:drawing>
      </w:r>
    </w:p>
    <w:p w14:paraId="65B5A2DB" w14:textId="350FED3A" w:rsidR="009148AC" w:rsidRDefault="009148AC">
      <w:pPr>
        <w:rPr>
          <w:rFonts w:eastAsiaTheme="majorEastAsia" w:cs="Times New Roman"/>
          <w:b/>
          <w:sz w:val="28"/>
          <w:szCs w:val="28"/>
        </w:rPr>
      </w:pPr>
      <w:r>
        <w:rPr>
          <w:rFonts w:eastAsiaTheme="majorEastAsia" w:cs="Times New Roman"/>
          <w:b/>
          <w:sz w:val="28"/>
          <w:szCs w:val="28"/>
        </w:rPr>
        <w:br w:type="page"/>
      </w:r>
      <w:r w:rsidR="001815F8" w:rsidRPr="001815F8">
        <w:rPr>
          <w:rFonts w:eastAsiaTheme="majorEastAsia" w:cs="Times New Roman"/>
          <w:b/>
          <w:sz w:val="28"/>
          <w:szCs w:val="28"/>
        </w:rPr>
        <w:lastRenderedPageBreak/>
        <w:drawing>
          <wp:inline distT="0" distB="0" distL="0" distR="0" wp14:anchorId="3F0C8F4E" wp14:editId="4ECD049E">
            <wp:extent cx="5945957" cy="7924800"/>
            <wp:effectExtent l="0" t="0" r="0" b="0"/>
            <wp:docPr id="1060432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432347" name=""/>
                    <pic:cNvPicPr/>
                  </pic:nvPicPr>
                  <pic:blipFill>
                    <a:blip r:embed="rId57"/>
                    <a:stretch>
                      <a:fillRect/>
                    </a:stretch>
                  </pic:blipFill>
                  <pic:spPr>
                    <a:xfrm>
                      <a:off x="0" y="0"/>
                      <a:ext cx="5960378" cy="7944021"/>
                    </a:xfrm>
                    <a:prstGeom prst="rect">
                      <a:avLst/>
                    </a:prstGeom>
                  </pic:spPr>
                </pic:pic>
              </a:graphicData>
            </a:graphic>
          </wp:inline>
        </w:drawing>
      </w:r>
    </w:p>
    <w:p w14:paraId="70F9A999" w14:textId="1844193E" w:rsidR="00560D96" w:rsidRDefault="00A85570">
      <w:pPr>
        <w:rPr>
          <w:noProof/>
        </w:rPr>
      </w:pPr>
      <w:r w:rsidRPr="00A85570">
        <w:rPr>
          <w:rFonts w:eastAsiaTheme="majorEastAsia" w:cs="Times New Roman"/>
          <w:b/>
          <w:sz w:val="28"/>
          <w:szCs w:val="28"/>
        </w:rPr>
        <w:lastRenderedPageBreak/>
        <w:drawing>
          <wp:inline distT="0" distB="0" distL="0" distR="0" wp14:anchorId="105EED39" wp14:editId="4F8D00FD">
            <wp:extent cx="5819963" cy="8009467"/>
            <wp:effectExtent l="0" t="0" r="9525" b="0"/>
            <wp:docPr id="707386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386770" name=""/>
                    <pic:cNvPicPr/>
                  </pic:nvPicPr>
                  <pic:blipFill>
                    <a:blip r:embed="rId58"/>
                    <a:stretch>
                      <a:fillRect/>
                    </a:stretch>
                  </pic:blipFill>
                  <pic:spPr>
                    <a:xfrm>
                      <a:off x="0" y="0"/>
                      <a:ext cx="5830144" cy="8023479"/>
                    </a:xfrm>
                    <a:prstGeom prst="rect">
                      <a:avLst/>
                    </a:prstGeom>
                  </pic:spPr>
                </pic:pic>
              </a:graphicData>
            </a:graphic>
          </wp:inline>
        </w:drawing>
      </w:r>
      <w:r w:rsidR="0043753E" w:rsidRPr="0043753E">
        <w:rPr>
          <w:noProof/>
        </w:rPr>
        <w:t xml:space="preserve"> </w:t>
      </w:r>
      <w:r w:rsidR="0043753E" w:rsidRPr="0043753E">
        <w:rPr>
          <w:rFonts w:eastAsiaTheme="majorEastAsia" w:cs="Times New Roman"/>
          <w:b/>
          <w:sz w:val="28"/>
          <w:szCs w:val="28"/>
        </w:rPr>
        <w:lastRenderedPageBreak/>
        <w:drawing>
          <wp:inline distT="0" distB="0" distL="0" distR="0" wp14:anchorId="174B0E32" wp14:editId="67B4A47D">
            <wp:extent cx="5945057" cy="7848600"/>
            <wp:effectExtent l="0" t="0" r="0" b="0"/>
            <wp:docPr id="1591151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151155" name=""/>
                    <pic:cNvPicPr/>
                  </pic:nvPicPr>
                  <pic:blipFill>
                    <a:blip r:embed="rId59"/>
                    <a:stretch>
                      <a:fillRect/>
                    </a:stretch>
                  </pic:blipFill>
                  <pic:spPr>
                    <a:xfrm>
                      <a:off x="0" y="0"/>
                      <a:ext cx="5952685" cy="7858671"/>
                    </a:xfrm>
                    <a:prstGeom prst="rect">
                      <a:avLst/>
                    </a:prstGeom>
                  </pic:spPr>
                </pic:pic>
              </a:graphicData>
            </a:graphic>
          </wp:inline>
        </w:drawing>
      </w:r>
      <w:r w:rsidR="00E6579E" w:rsidRPr="00E6579E">
        <w:rPr>
          <w:noProof/>
        </w:rPr>
        <w:t xml:space="preserve"> </w:t>
      </w:r>
      <w:r w:rsidR="00E6579E" w:rsidRPr="00E6579E">
        <w:rPr>
          <w:noProof/>
        </w:rPr>
        <w:lastRenderedPageBreak/>
        <w:drawing>
          <wp:inline distT="0" distB="0" distL="0" distR="0" wp14:anchorId="3776FABB" wp14:editId="181A3842">
            <wp:extent cx="5961559" cy="8144933"/>
            <wp:effectExtent l="0" t="0" r="1270" b="8890"/>
            <wp:docPr id="855742208"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742208" name="Picture 1" descr="A document with text on it&#10;&#10;AI-generated content may be incorrect."/>
                    <pic:cNvPicPr/>
                  </pic:nvPicPr>
                  <pic:blipFill>
                    <a:blip r:embed="rId60"/>
                    <a:stretch>
                      <a:fillRect/>
                    </a:stretch>
                  </pic:blipFill>
                  <pic:spPr>
                    <a:xfrm>
                      <a:off x="0" y="0"/>
                      <a:ext cx="5968606" cy="8154562"/>
                    </a:xfrm>
                    <a:prstGeom prst="rect">
                      <a:avLst/>
                    </a:prstGeom>
                  </pic:spPr>
                </pic:pic>
              </a:graphicData>
            </a:graphic>
          </wp:inline>
        </w:drawing>
      </w:r>
      <w:r w:rsidR="00F5669B" w:rsidRPr="00F5669B">
        <w:rPr>
          <w:noProof/>
        </w:rPr>
        <w:t xml:space="preserve"> </w:t>
      </w:r>
      <w:r w:rsidR="00F5669B" w:rsidRPr="00F5669B">
        <w:rPr>
          <w:noProof/>
        </w:rPr>
        <w:lastRenderedPageBreak/>
        <w:drawing>
          <wp:inline distT="0" distB="0" distL="0" distR="0" wp14:anchorId="57C17C3D" wp14:editId="1D06730A">
            <wp:extent cx="5884333" cy="7911470"/>
            <wp:effectExtent l="0" t="0" r="2540" b="0"/>
            <wp:docPr id="1556856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856805" name=""/>
                    <pic:cNvPicPr/>
                  </pic:nvPicPr>
                  <pic:blipFill>
                    <a:blip r:embed="rId61"/>
                    <a:stretch>
                      <a:fillRect/>
                    </a:stretch>
                  </pic:blipFill>
                  <pic:spPr>
                    <a:xfrm>
                      <a:off x="0" y="0"/>
                      <a:ext cx="5897476" cy="7929141"/>
                    </a:xfrm>
                    <a:prstGeom prst="rect">
                      <a:avLst/>
                    </a:prstGeom>
                  </pic:spPr>
                </pic:pic>
              </a:graphicData>
            </a:graphic>
          </wp:inline>
        </w:drawing>
      </w:r>
      <w:r w:rsidR="00560D96" w:rsidRPr="00560D96">
        <w:rPr>
          <w:noProof/>
        </w:rPr>
        <w:t xml:space="preserve"> </w:t>
      </w:r>
      <w:r w:rsidR="00560D96" w:rsidRPr="00560D96">
        <w:rPr>
          <w:noProof/>
        </w:rPr>
        <w:lastRenderedPageBreak/>
        <w:drawing>
          <wp:inline distT="0" distB="0" distL="0" distR="0" wp14:anchorId="63A97801" wp14:editId="720CFCC3">
            <wp:extent cx="5892243" cy="8051800"/>
            <wp:effectExtent l="0" t="0" r="0" b="6350"/>
            <wp:docPr id="8638602"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8602" name="Picture 1" descr="A close-up of a text&#10;&#10;AI-generated content may be incorrect."/>
                    <pic:cNvPicPr/>
                  </pic:nvPicPr>
                  <pic:blipFill>
                    <a:blip r:embed="rId62"/>
                    <a:stretch>
                      <a:fillRect/>
                    </a:stretch>
                  </pic:blipFill>
                  <pic:spPr>
                    <a:xfrm>
                      <a:off x="0" y="0"/>
                      <a:ext cx="5899285" cy="8061423"/>
                    </a:xfrm>
                    <a:prstGeom prst="rect">
                      <a:avLst/>
                    </a:prstGeom>
                  </pic:spPr>
                </pic:pic>
              </a:graphicData>
            </a:graphic>
          </wp:inline>
        </w:drawing>
      </w:r>
    </w:p>
    <w:p w14:paraId="0789206A" w14:textId="77777777" w:rsidR="00560D96" w:rsidRDefault="00560D96">
      <w:pPr>
        <w:rPr>
          <w:noProof/>
        </w:rPr>
      </w:pPr>
      <w:r>
        <w:rPr>
          <w:noProof/>
        </w:rPr>
        <w:br w:type="page"/>
      </w:r>
    </w:p>
    <w:p w14:paraId="616FC777" w14:textId="152B1483" w:rsidR="00182478" w:rsidRDefault="00182478">
      <w:pPr>
        <w:rPr>
          <w:rFonts w:eastAsiaTheme="majorEastAsia" w:cs="Times New Roman"/>
          <w:b/>
          <w:sz w:val="28"/>
          <w:szCs w:val="28"/>
        </w:rPr>
      </w:pPr>
      <w:r w:rsidRPr="00182478">
        <w:rPr>
          <w:rFonts w:eastAsiaTheme="majorEastAsia" w:cs="Times New Roman"/>
          <w:b/>
          <w:sz w:val="28"/>
          <w:szCs w:val="28"/>
        </w:rPr>
        <w:lastRenderedPageBreak/>
        <w:drawing>
          <wp:inline distT="0" distB="0" distL="0" distR="0" wp14:anchorId="1E0BDA47" wp14:editId="3392ED09">
            <wp:extent cx="5926667" cy="8117163"/>
            <wp:effectExtent l="0" t="0" r="0" b="0"/>
            <wp:docPr id="216257951"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257951" name="Picture 1" descr="A document with text on it&#10;&#10;AI-generated content may be incorrect."/>
                    <pic:cNvPicPr/>
                  </pic:nvPicPr>
                  <pic:blipFill>
                    <a:blip r:embed="rId63"/>
                    <a:stretch>
                      <a:fillRect/>
                    </a:stretch>
                  </pic:blipFill>
                  <pic:spPr>
                    <a:xfrm>
                      <a:off x="0" y="0"/>
                      <a:ext cx="5931449" cy="8123712"/>
                    </a:xfrm>
                    <a:prstGeom prst="rect">
                      <a:avLst/>
                    </a:prstGeom>
                  </pic:spPr>
                </pic:pic>
              </a:graphicData>
            </a:graphic>
          </wp:inline>
        </w:drawing>
      </w:r>
    </w:p>
    <w:p w14:paraId="30BE9000" w14:textId="77777777" w:rsidR="00182478" w:rsidRDefault="00182478">
      <w:pPr>
        <w:rPr>
          <w:rFonts w:eastAsiaTheme="majorEastAsia" w:cs="Times New Roman"/>
          <w:b/>
          <w:sz w:val="28"/>
          <w:szCs w:val="28"/>
        </w:rPr>
      </w:pPr>
      <w:r>
        <w:rPr>
          <w:rFonts w:eastAsiaTheme="majorEastAsia" w:cs="Times New Roman"/>
          <w:b/>
          <w:sz w:val="28"/>
          <w:szCs w:val="28"/>
        </w:rPr>
        <w:br w:type="page"/>
      </w:r>
    </w:p>
    <w:p w14:paraId="52E77973" w14:textId="264C977A" w:rsidR="001A65C5" w:rsidRDefault="001A65C5">
      <w:pPr>
        <w:rPr>
          <w:rFonts w:eastAsiaTheme="majorEastAsia" w:cs="Times New Roman"/>
          <w:b/>
          <w:sz w:val="28"/>
          <w:szCs w:val="28"/>
        </w:rPr>
      </w:pPr>
      <w:r w:rsidRPr="001A65C5">
        <w:rPr>
          <w:rFonts w:eastAsiaTheme="majorEastAsia" w:cs="Times New Roman"/>
          <w:b/>
          <w:sz w:val="28"/>
          <w:szCs w:val="28"/>
        </w:rPr>
        <w:lastRenderedPageBreak/>
        <w:drawing>
          <wp:inline distT="0" distB="0" distL="0" distR="0" wp14:anchorId="2ABA360F" wp14:editId="5BEF16FF">
            <wp:extent cx="5952067" cy="5246211"/>
            <wp:effectExtent l="0" t="0" r="0" b="0"/>
            <wp:docPr id="10896885"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6885" name="Picture 1" descr="A paper with text on it&#10;&#10;AI-generated content may be incorrect."/>
                    <pic:cNvPicPr/>
                  </pic:nvPicPr>
                  <pic:blipFill>
                    <a:blip r:embed="rId64"/>
                    <a:stretch>
                      <a:fillRect/>
                    </a:stretch>
                  </pic:blipFill>
                  <pic:spPr>
                    <a:xfrm>
                      <a:off x="0" y="0"/>
                      <a:ext cx="5958082" cy="5251512"/>
                    </a:xfrm>
                    <a:prstGeom prst="rect">
                      <a:avLst/>
                    </a:prstGeom>
                  </pic:spPr>
                </pic:pic>
              </a:graphicData>
            </a:graphic>
          </wp:inline>
        </w:drawing>
      </w:r>
    </w:p>
    <w:p w14:paraId="635BF8BD" w14:textId="77777777" w:rsidR="001A65C5" w:rsidRDefault="001A65C5">
      <w:pPr>
        <w:rPr>
          <w:rFonts w:eastAsiaTheme="majorEastAsia" w:cs="Times New Roman"/>
          <w:b/>
          <w:sz w:val="28"/>
          <w:szCs w:val="28"/>
        </w:rPr>
      </w:pPr>
      <w:r>
        <w:rPr>
          <w:rFonts w:eastAsiaTheme="majorEastAsia" w:cs="Times New Roman"/>
          <w:b/>
          <w:sz w:val="28"/>
          <w:szCs w:val="28"/>
        </w:rPr>
        <w:br w:type="page"/>
      </w:r>
    </w:p>
    <w:p w14:paraId="680136CC" w14:textId="36446455" w:rsidR="003C6C05" w:rsidRDefault="00FB42CA" w:rsidP="003C6C05">
      <w:pPr>
        <w:pStyle w:val="Heading"/>
        <w:numPr>
          <w:ilvl w:val="0"/>
          <w:numId w:val="10"/>
        </w:numPr>
        <w:ind w:left="0" w:firstLine="0"/>
        <w:rPr>
          <w:rFonts w:cs="Times New Roman"/>
          <w:szCs w:val="28"/>
        </w:rPr>
      </w:pPr>
      <w:bookmarkStart w:id="112" w:name="_Toc213748968"/>
      <w:r w:rsidRPr="00FE34F0">
        <w:rPr>
          <w:rFonts w:cs="Times New Roman"/>
          <w:szCs w:val="28"/>
        </w:rPr>
        <w:lastRenderedPageBreak/>
        <w:t>APPENDIX</w:t>
      </w:r>
      <w:r w:rsidR="00CA3762">
        <w:rPr>
          <w:rFonts w:cs="Times New Roman" w:hint="eastAsia"/>
          <w:szCs w:val="28"/>
        </w:rPr>
        <w:t xml:space="preserve"> 1 </w:t>
      </w:r>
      <w:r w:rsidR="00CA3762">
        <w:rPr>
          <w:rFonts w:cs="Times New Roman"/>
          <w:szCs w:val="28"/>
        </w:rPr>
        <w:t>–</w:t>
      </w:r>
      <w:r w:rsidR="00CA3762">
        <w:rPr>
          <w:rFonts w:cs="Times New Roman" w:hint="eastAsia"/>
          <w:szCs w:val="28"/>
        </w:rPr>
        <w:t xml:space="preserve"> </w:t>
      </w:r>
      <w:r w:rsidR="00B93489" w:rsidRPr="00FE34F0">
        <w:rPr>
          <w:rFonts w:cs="Times New Roman"/>
          <w:szCs w:val="28"/>
        </w:rPr>
        <w:t>Focus Group for Framework Research</w:t>
      </w:r>
      <w:bookmarkEnd w:id="112"/>
    </w:p>
    <w:p w14:paraId="1BD2158F" w14:textId="781CCC12" w:rsidR="00FE34F0" w:rsidRDefault="00FE34F0" w:rsidP="00D23DF1">
      <w:pPr>
        <w:jc w:val="center"/>
      </w:pPr>
      <w:r w:rsidRPr="00FE34F0">
        <w:drawing>
          <wp:inline distT="0" distB="0" distL="0" distR="0" wp14:anchorId="2787912F" wp14:editId="7554C404">
            <wp:extent cx="5376842" cy="8017933"/>
            <wp:effectExtent l="0" t="0" r="0" b="2540"/>
            <wp:docPr id="388034868" name="Picture 1" descr="A document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034868" name="Picture 1" descr="A document with writing on it&#10;&#10;AI-generated content may be incorrect."/>
                    <pic:cNvPicPr/>
                  </pic:nvPicPr>
                  <pic:blipFill>
                    <a:blip r:embed="rId65"/>
                    <a:stretch>
                      <a:fillRect/>
                    </a:stretch>
                  </pic:blipFill>
                  <pic:spPr>
                    <a:xfrm>
                      <a:off x="0" y="0"/>
                      <a:ext cx="5418265" cy="8079703"/>
                    </a:xfrm>
                    <a:prstGeom prst="rect">
                      <a:avLst/>
                    </a:prstGeom>
                  </pic:spPr>
                </pic:pic>
              </a:graphicData>
            </a:graphic>
          </wp:inline>
        </w:drawing>
      </w:r>
    </w:p>
    <w:p w14:paraId="36A0CB54" w14:textId="514A524F" w:rsidR="00FE34F0" w:rsidRDefault="00FE34F0">
      <w:pPr>
        <w:rPr>
          <w:rFonts w:eastAsiaTheme="majorEastAsia" w:cs="Times New Roman"/>
          <w:b/>
          <w:sz w:val="28"/>
          <w:szCs w:val="28"/>
        </w:rPr>
      </w:pPr>
    </w:p>
    <w:p w14:paraId="0FE3B538" w14:textId="48CDD6C0" w:rsidR="008B2325" w:rsidRDefault="003C6C05" w:rsidP="00D23DF1">
      <w:pPr>
        <w:jc w:val="center"/>
        <w:rPr>
          <w:rFonts w:eastAsiaTheme="majorEastAsia"/>
          <w:sz w:val="28"/>
        </w:rPr>
      </w:pPr>
      <w:r w:rsidRPr="003C6C05">
        <w:drawing>
          <wp:inline distT="0" distB="0" distL="0" distR="0" wp14:anchorId="611F62C7" wp14:editId="6B3B7178">
            <wp:extent cx="5162054" cy="6753225"/>
            <wp:effectExtent l="0" t="0" r="635" b="0"/>
            <wp:docPr id="2069006699" name="Picture 1" descr="A document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006699" name="Picture 1" descr="A document with writing on it&#10;&#10;AI-generated content may be incorrect."/>
                    <pic:cNvPicPr/>
                  </pic:nvPicPr>
                  <pic:blipFill>
                    <a:blip r:embed="rId66"/>
                    <a:stretch>
                      <a:fillRect/>
                    </a:stretch>
                  </pic:blipFill>
                  <pic:spPr>
                    <a:xfrm>
                      <a:off x="0" y="0"/>
                      <a:ext cx="5179940" cy="6776625"/>
                    </a:xfrm>
                    <a:prstGeom prst="rect">
                      <a:avLst/>
                    </a:prstGeom>
                  </pic:spPr>
                </pic:pic>
              </a:graphicData>
            </a:graphic>
          </wp:inline>
        </w:drawing>
      </w:r>
    </w:p>
    <w:p w14:paraId="1BB45400" w14:textId="77777777" w:rsidR="008B2325" w:rsidRDefault="008B2325">
      <w:pPr>
        <w:rPr>
          <w:rFonts w:eastAsiaTheme="majorEastAsia"/>
          <w:sz w:val="28"/>
        </w:rPr>
      </w:pPr>
      <w:r>
        <w:rPr>
          <w:rFonts w:eastAsiaTheme="majorEastAsia"/>
          <w:sz w:val="28"/>
        </w:rPr>
        <w:br w:type="page"/>
      </w:r>
    </w:p>
    <w:p w14:paraId="78895D51" w14:textId="44FC2C26" w:rsidR="008B2325" w:rsidRDefault="008B2325" w:rsidP="00D23DF1">
      <w:pPr>
        <w:jc w:val="center"/>
        <w:rPr>
          <w:rFonts w:eastAsiaTheme="majorEastAsia"/>
          <w:sz w:val="28"/>
        </w:rPr>
      </w:pPr>
      <w:r w:rsidRPr="008B2325">
        <w:rPr>
          <w:rFonts w:eastAsiaTheme="majorEastAsia"/>
          <w:sz w:val="28"/>
        </w:rPr>
        <w:lastRenderedPageBreak/>
        <w:drawing>
          <wp:inline distT="0" distB="0" distL="0" distR="0" wp14:anchorId="5FF265E1" wp14:editId="3F27BA86">
            <wp:extent cx="5168067" cy="3073400"/>
            <wp:effectExtent l="0" t="0" r="0" b="0"/>
            <wp:docPr id="719303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303373" name=""/>
                    <pic:cNvPicPr/>
                  </pic:nvPicPr>
                  <pic:blipFill>
                    <a:blip r:embed="rId67"/>
                    <a:stretch>
                      <a:fillRect/>
                    </a:stretch>
                  </pic:blipFill>
                  <pic:spPr>
                    <a:xfrm>
                      <a:off x="0" y="0"/>
                      <a:ext cx="5177261" cy="3078867"/>
                    </a:xfrm>
                    <a:prstGeom prst="rect">
                      <a:avLst/>
                    </a:prstGeom>
                  </pic:spPr>
                </pic:pic>
              </a:graphicData>
            </a:graphic>
          </wp:inline>
        </w:drawing>
      </w:r>
    </w:p>
    <w:p w14:paraId="19367B95" w14:textId="77777777" w:rsidR="008B2325" w:rsidRDefault="008B2325">
      <w:pPr>
        <w:rPr>
          <w:rFonts w:eastAsiaTheme="majorEastAsia"/>
          <w:sz w:val="28"/>
        </w:rPr>
      </w:pPr>
      <w:r>
        <w:rPr>
          <w:rFonts w:eastAsiaTheme="majorEastAsia"/>
          <w:sz w:val="28"/>
        </w:rPr>
        <w:br w:type="page"/>
      </w:r>
    </w:p>
    <w:p w14:paraId="0C020811" w14:textId="26FA1C01" w:rsidR="00A21C0B" w:rsidRPr="00FE34F0" w:rsidRDefault="0062735A" w:rsidP="00D23DF1">
      <w:pPr>
        <w:jc w:val="center"/>
        <w:rPr>
          <w:rFonts w:eastAsiaTheme="majorEastAsia"/>
          <w:sz w:val="28"/>
        </w:rPr>
      </w:pPr>
      <w:r w:rsidRPr="0062735A">
        <w:rPr>
          <w:rFonts w:eastAsiaTheme="majorEastAsia"/>
          <w:sz w:val="28"/>
        </w:rPr>
        <w:lastRenderedPageBreak/>
        <w:drawing>
          <wp:inline distT="0" distB="0" distL="0" distR="0" wp14:anchorId="64110B88" wp14:editId="2A1D90B4">
            <wp:extent cx="5799138" cy="8915400"/>
            <wp:effectExtent l="0" t="0" r="0" b="0"/>
            <wp:docPr id="1652228399" name="Picture 1" descr="A document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228399" name="Picture 1" descr="A document with writing on it&#10;&#10;AI-generated content may be incorrect."/>
                    <pic:cNvPicPr/>
                  </pic:nvPicPr>
                  <pic:blipFill>
                    <a:blip r:embed="rId68"/>
                    <a:stretch>
                      <a:fillRect/>
                    </a:stretch>
                  </pic:blipFill>
                  <pic:spPr>
                    <a:xfrm>
                      <a:off x="0" y="0"/>
                      <a:ext cx="5811925" cy="8935058"/>
                    </a:xfrm>
                    <a:prstGeom prst="rect">
                      <a:avLst/>
                    </a:prstGeom>
                  </pic:spPr>
                </pic:pic>
              </a:graphicData>
            </a:graphic>
          </wp:inline>
        </w:drawing>
      </w:r>
    </w:p>
    <w:p w14:paraId="52B0BE71" w14:textId="687017CE" w:rsidR="00481CF8" w:rsidRDefault="00481CF8" w:rsidP="00481CF8">
      <w:pPr>
        <w:pStyle w:val="Heading"/>
        <w:numPr>
          <w:ilvl w:val="0"/>
          <w:numId w:val="10"/>
        </w:numPr>
        <w:ind w:left="720"/>
        <w:rPr>
          <w:rFonts w:cs="Times New Roman"/>
          <w:szCs w:val="28"/>
        </w:rPr>
      </w:pPr>
      <w:bookmarkStart w:id="113" w:name="_Toc213748969"/>
      <w:r w:rsidRPr="007F198D">
        <w:rPr>
          <w:rFonts w:cs="Times New Roman"/>
          <w:szCs w:val="28"/>
        </w:rPr>
        <w:lastRenderedPageBreak/>
        <w:t xml:space="preserve">APPENDIX </w:t>
      </w:r>
      <w:r w:rsidR="00CA3762">
        <w:rPr>
          <w:rFonts w:cs="Times New Roman" w:hint="eastAsia"/>
          <w:szCs w:val="28"/>
        </w:rPr>
        <w:t xml:space="preserve">2 </w:t>
      </w:r>
      <w:r w:rsidR="00CA3762">
        <w:rPr>
          <w:rFonts w:cs="Times New Roman"/>
          <w:szCs w:val="28"/>
        </w:rPr>
        <w:t>–</w:t>
      </w:r>
      <w:r w:rsidR="00CA3762">
        <w:rPr>
          <w:rFonts w:cs="Times New Roman" w:hint="eastAsia"/>
          <w:szCs w:val="28"/>
        </w:rPr>
        <w:t xml:space="preserve"> </w:t>
      </w:r>
      <w:r w:rsidRPr="007F198D">
        <w:rPr>
          <w:rFonts w:cs="Times New Roman"/>
          <w:szCs w:val="28"/>
        </w:rPr>
        <w:t>Final Questionnaire</w:t>
      </w:r>
      <w:bookmarkEnd w:id="113"/>
      <w:r w:rsidRPr="007F198D">
        <w:rPr>
          <w:rFonts w:cs="Times New Roman"/>
          <w:szCs w:val="28"/>
        </w:rPr>
        <w:t xml:space="preserve"> </w:t>
      </w:r>
    </w:p>
    <w:p w14:paraId="569BD228" w14:textId="00DF14F7" w:rsidR="00A21C0B" w:rsidRDefault="0073610A" w:rsidP="001A64EC">
      <w:pPr>
        <w:jc w:val="center"/>
        <w:rPr>
          <w:rFonts w:cs="Times New Roman"/>
          <w:szCs w:val="28"/>
        </w:rPr>
      </w:pPr>
      <w:r w:rsidRPr="0073610A">
        <w:drawing>
          <wp:inline distT="0" distB="0" distL="0" distR="0" wp14:anchorId="1B30862C" wp14:editId="467D0653">
            <wp:extent cx="5943600" cy="7664450"/>
            <wp:effectExtent l="0" t="0" r="0" b="0"/>
            <wp:docPr id="18866252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943600" cy="7664450"/>
                    </a:xfrm>
                    <a:prstGeom prst="rect">
                      <a:avLst/>
                    </a:prstGeom>
                    <a:noFill/>
                    <a:ln>
                      <a:noFill/>
                    </a:ln>
                  </pic:spPr>
                </pic:pic>
              </a:graphicData>
            </a:graphic>
          </wp:inline>
        </w:drawing>
      </w:r>
    </w:p>
    <w:p w14:paraId="5BE3D3AC" w14:textId="5552BB83" w:rsidR="0073610A" w:rsidRDefault="0073610A">
      <w:pPr>
        <w:rPr>
          <w:rFonts w:cs="Times New Roman"/>
          <w:szCs w:val="28"/>
        </w:rPr>
      </w:pPr>
      <w:r>
        <w:rPr>
          <w:rFonts w:cs="Times New Roman"/>
          <w:szCs w:val="28"/>
        </w:rPr>
        <w:br w:type="page"/>
      </w:r>
    </w:p>
    <w:p w14:paraId="61F07BA9" w14:textId="4362C718" w:rsidR="00FE7D7F" w:rsidRDefault="0031196C">
      <w:pPr>
        <w:rPr>
          <w:rFonts w:cs="Times New Roman"/>
          <w:szCs w:val="28"/>
        </w:rPr>
      </w:pPr>
      <w:r w:rsidRPr="0031196C">
        <w:lastRenderedPageBreak/>
        <w:drawing>
          <wp:inline distT="0" distB="0" distL="0" distR="0" wp14:anchorId="327D8C19" wp14:editId="2F41EF51">
            <wp:extent cx="6067593" cy="3014133"/>
            <wp:effectExtent l="0" t="0" r="0" b="0"/>
            <wp:docPr id="17618981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0">
                      <a:extLst>
                        <a:ext uri="{28A0092B-C50C-407E-A947-70E740481C1C}">
                          <a14:useLocalDpi xmlns:a14="http://schemas.microsoft.com/office/drawing/2010/main" val="0"/>
                        </a:ext>
                      </a:extLst>
                    </a:blip>
                    <a:srcRect r="30769"/>
                    <a:stretch>
                      <a:fillRect/>
                    </a:stretch>
                  </pic:blipFill>
                  <pic:spPr bwMode="auto">
                    <a:xfrm>
                      <a:off x="0" y="0"/>
                      <a:ext cx="6076293" cy="3018455"/>
                    </a:xfrm>
                    <a:prstGeom prst="rect">
                      <a:avLst/>
                    </a:prstGeom>
                    <a:noFill/>
                    <a:ln>
                      <a:noFill/>
                    </a:ln>
                    <a:extLst>
                      <a:ext uri="{53640926-AAD7-44D8-BBD7-CCE9431645EC}">
                        <a14:shadowObscured xmlns:a14="http://schemas.microsoft.com/office/drawing/2010/main"/>
                      </a:ext>
                    </a:extLst>
                  </pic:spPr>
                </pic:pic>
              </a:graphicData>
            </a:graphic>
          </wp:inline>
        </w:drawing>
      </w:r>
    </w:p>
    <w:p w14:paraId="42946B01" w14:textId="77777777" w:rsidR="0031196C" w:rsidRDefault="0031196C">
      <w:pPr>
        <w:rPr>
          <w:rFonts w:cs="Times New Roman"/>
          <w:szCs w:val="28"/>
        </w:rPr>
      </w:pPr>
    </w:p>
    <w:p w14:paraId="1476ECFB" w14:textId="77777777" w:rsidR="0031196C" w:rsidRDefault="0031196C">
      <w:pPr>
        <w:rPr>
          <w:rFonts w:eastAsiaTheme="majorEastAsia" w:cs="Times New Roman"/>
          <w:b/>
          <w:sz w:val="28"/>
          <w:szCs w:val="28"/>
        </w:rPr>
      </w:pPr>
      <w:r>
        <w:rPr>
          <w:rFonts w:cs="Times New Roman"/>
          <w:szCs w:val="28"/>
        </w:rPr>
        <w:br w:type="page"/>
      </w:r>
    </w:p>
    <w:p w14:paraId="1ABE7411" w14:textId="748FA09A" w:rsidR="00CA3762" w:rsidRDefault="00FB42CA" w:rsidP="00CA3762">
      <w:pPr>
        <w:pStyle w:val="Heading"/>
        <w:numPr>
          <w:ilvl w:val="0"/>
          <w:numId w:val="10"/>
        </w:numPr>
        <w:ind w:left="720"/>
        <w:rPr>
          <w:rFonts w:cs="Times New Roman"/>
          <w:szCs w:val="28"/>
        </w:rPr>
      </w:pPr>
      <w:bookmarkStart w:id="114" w:name="_Toc213748970"/>
      <w:r w:rsidRPr="007F198D">
        <w:rPr>
          <w:rFonts w:cs="Times New Roman"/>
          <w:szCs w:val="28"/>
        </w:rPr>
        <w:lastRenderedPageBreak/>
        <w:t xml:space="preserve">APPENDIX </w:t>
      </w:r>
      <w:r w:rsidR="00CA3762">
        <w:rPr>
          <w:rFonts w:cs="Times New Roman" w:hint="eastAsia"/>
          <w:szCs w:val="28"/>
        </w:rPr>
        <w:t xml:space="preserve">3 </w:t>
      </w:r>
      <w:r w:rsidR="00CA3762">
        <w:rPr>
          <w:rFonts w:cs="Times New Roman"/>
          <w:szCs w:val="28"/>
        </w:rPr>
        <w:t>–</w:t>
      </w:r>
      <w:r w:rsidR="00CA3762">
        <w:rPr>
          <w:rFonts w:cs="Times New Roman" w:hint="eastAsia"/>
          <w:szCs w:val="28"/>
        </w:rPr>
        <w:t xml:space="preserve"> </w:t>
      </w:r>
      <w:r w:rsidR="00FE7D7F">
        <w:rPr>
          <w:rFonts w:cs="Times New Roman" w:hint="eastAsia"/>
          <w:szCs w:val="28"/>
        </w:rPr>
        <w:t xml:space="preserve">Dissertation </w:t>
      </w:r>
      <w:r w:rsidR="00A23AF6" w:rsidRPr="007F198D">
        <w:rPr>
          <w:rFonts w:cs="Times New Roman"/>
          <w:szCs w:val="28"/>
        </w:rPr>
        <w:t>Proposal</w:t>
      </w:r>
      <w:bookmarkEnd w:id="114"/>
    </w:p>
    <w:p w14:paraId="2627CA8F" w14:textId="77777777" w:rsidR="00CA3762" w:rsidRDefault="00CA3762" w:rsidP="00CA3762"/>
    <w:p w14:paraId="1932286E" w14:textId="6E8B38B2" w:rsidR="00D9580C" w:rsidRDefault="00D9580C" w:rsidP="00CA3762">
      <w:pPr>
        <w:spacing w:line="360" w:lineRule="auto"/>
        <w:jc w:val="center"/>
        <w:rPr>
          <w:sz w:val="20"/>
          <w:szCs w:val="22"/>
        </w:rPr>
      </w:pPr>
      <w:r w:rsidRPr="00D9580C">
        <w:rPr>
          <w:sz w:val="20"/>
          <w:szCs w:val="22"/>
        </w:rPr>
        <w:drawing>
          <wp:inline distT="0" distB="0" distL="0" distR="0" wp14:anchorId="4E192F3A" wp14:editId="1909D3C8">
            <wp:extent cx="5626063" cy="7569200"/>
            <wp:effectExtent l="0" t="0" r="0" b="0"/>
            <wp:docPr id="1058928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928122" name=""/>
                    <pic:cNvPicPr/>
                  </pic:nvPicPr>
                  <pic:blipFill>
                    <a:blip r:embed="rId71"/>
                    <a:stretch>
                      <a:fillRect/>
                    </a:stretch>
                  </pic:blipFill>
                  <pic:spPr>
                    <a:xfrm>
                      <a:off x="0" y="0"/>
                      <a:ext cx="5638265" cy="7585617"/>
                    </a:xfrm>
                    <a:prstGeom prst="rect">
                      <a:avLst/>
                    </a:prstGeom>
                  </pic:spPr>
                </pic:pic>
              </a:graphicData>
            </a:graphic>
          </wp:inline>
        </w:drawing>
      </w:r>
    </w:p>
    <w:p w14:paraId="3034A42E" w14:textId="4DFECB68" w:rsidR="00541827" w:rsidRDefault="00422BD5" w:rsidP="00CA3762">
      <w:pPr>
        <w:spacing w:line="360" w:lineRule="auto"/>
        <w:jc w:val="center"/>
        <w:rPr>
          <w:noProof/>
        </w:rPr>
      </w:pPr>
      <w:r w:rsidRPr="00422BD5">
        <w:rPr>
          <w:sz w:val="20"/>
          <w:szCs w:val="22"/>
        </w:rPr>
        <w:lastRenderedPageBreak/>
        <w:drawing>
          <wp:inline distT="0" distB="0" distL="0" distR="0" wp14:anchorId="353DB3BB" wp14:editId="1DC4129A">
            <wp:extent cx="5867400" cy="7617326"/>
            <wp:effectExtent l="0" t="0" r="0" b="3175"/>
            <wp:docPr id="1031257694" name="Picture 1" descr="A list of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257694" name="Picture 1" descr="A list of research paper&#10;&#10;AI-generated content may be incorrect."/>
                    <pic:cNvPicPr/>
                  </pic:nvPicPr>
                  <pic:blipFill>
                    <a:blip r:embed="rId72"/>
                    <a:stretch>
                      <a:fillRect/>
                    </a:stretch>
                  </pic:blipFill>
                  <pic:spPr>
                    <a:xfrm>
                      <a:off x="0" y="0"/>
                      <a:ext cx="5875419" cy="7627737"/>
                    </a:xfrm>
                    <a:prstGeom prst="rect">
                      <a:avLst/>
                    </a:prstGeom>
                  </pic:spPr>
                </pic:pic>
              </a:graphicData>
            </a:graphic>
          </wp:inline>
        </w:drawing>
      </w:r>
      <w:r w:rsidR="00541827" w:rsidRPr="00541827">
        <w:rPr>
          <w:sz w:val="20"/>
          <w:szCs w:val="22"/>
        </w:rPr>
        <w:lastRenderedPageBreak/>
        <w:drawing>
          <wp:inline distT="0" distB="0" distL="0" distR="0" wp14:anchorId="589D3FF0" wp14:editId="4D147068">
            <wp:extent cx="5884333" cy="7985881"/>
            <wp:effectExtent l="0" t="0" r="2540" b="0"/>
            <wp:docPr id="349988628" name="Picture 1" descr="A screenshot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988628" name="Picture 1" descr="A screenshot of a paper&#10;&#10;AI-generated content may be incorrect."/>
                    <pic:cNvPicPr/>
                  </pic:nvPicPr>
                  <pic:blipFill>
                    <a:blip r:embed="rId73"/>
                    <a:stretch>
                      <a:fillRect/>
                    </a:stretch>
                  </pic:blipFill>
                  <pic:spPr>
                    <a:xfrm>
                      <a:off x="0" y="0"/>
                      <a:ext cx="5890390" cy="7994102"/>
                    </a:xfrm>
                    <a:prstGeom prst="rect">
                      <a:avLst/>
                    </a:prstGeom>
                  </pic:spPr>
                </pic:pic>
              </a:graphicData>
            </a:graphic>
          </wp:inline>
        </w:drawing>
      </w:r>
    </w:p>
    <w:p w14:paraId="71DD8E6C" w14:textId="77777777" w:rsidR="00541827" w:rsidRDefault="00541827">
      <w:pPr>
        <w:rPr>
          <w:noProof/>
        </w:rPr>
      </w:pPr>
      <w:r>
        <w:rPr>
          <w:noProof/>
        </w:rPr>
        <w:br w:type="page"/>
      </w:r>
    </w:p>
    <w:p w14:paraId="64D9A160" w14:textId="3FCDE8E6" w:rsidR="00C935AA" w:rsidRDefault="00CE76AA" w:rsidP="00CA3762">
      <w:pPr>
        <w:spacing w:line="360" w:lineRule="auto"/>
        <w:jc w:val="center"/>
        <w:rPr>
          <w:noProof/>
        </w:rPr>
      </w:pPr>
      <w:r w:rsidRPr="00CE76AA">
        <w:rPr>
          <w:sz w:val="20"/>
          <w:szCs w:val="22"/>
        </w:rPr>
        <w:lastRenderedPageBreak/>
        <w:drawing>
          <wp:inline distT="0" distB="0" distL="0" distR="0" wp14:anchorId="64448EEF" wp14:editId="68C17E3F">
            <wp:extent cx="5892719" cy="7188200"/>
            <wp:effectExtent l="0" t="0" r="0" b="0"/>
            <wp:docPr id="683577324"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577324" name="Picture 1" descr="A paper with text on it&#10;&#10;AI-generated content may be incorrect."/>
                    <pic:cNvPicPr/>
                  </pic:nvPicPr>
                  <pic:blipFill>
                    <a:blip r:embed="rId74"/>
                    <a:stretch>
                      <a:fillRect/>
                    </a:stretch>
                  </pic:blipFill>
                  <pic:spPr>
                    <a:xfrm>
                      <a:off x="0" y="0"/>
                      <a:ext cx="5905547" cy="7203848"/>
                    </a:xfrm>
                    <a:prstGeom prst="rect">
                      <a:avLst/>
                    </a:prstGeom>
                  </pic:spPr>
                </pic:pic>
              </a:graphicData>
            </a:graphic>
          </wp:inline>
        </w:drawing>
      </w:r>
      <w:r w:rsidR="007661C6" w:rsidRPr="007661C6">
        <w:rPr>
          <w:noProof/>
        </w:rPr>
        <w:lastRenderedPageBreak/>
        <w:drawing>
          <wp:inline distT="0" distB="0" distL="0" distR="0" wp14:anchorId="1C9BE332" wp14:editId="529BF31F">
            <wp:extent cx="5875867" cy="7971937"/>
            <wp:effectExtent l="0" t="0" r="0" b="0"/>
            <wp:docPr id="1656445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445208" name=""/>
                    <pic:cNvPicPr/>
                  </pic:nvPicPr>
                  <pic:blipFill>
                    <a:blip r:embed="rId75"/>
                    <a:stretch>
                      <a:fillRect/>
                    </a:stretch>
                  </pic:blipFill>
                  <pic:spPr>
                    <a:xfrm>
                      <a:off x="0" y="0"/>
                      <a:ext cx="5887556" cy="7987796"/>
                    </a:xfrm>
                    <a:prstGeom prst="rect">
                      <a:avLst/>
                    </a:prstGeom>
                  </pic:spPr>
                </pic:pic>
              </a:graphicData>
            </a:graphic>
          </wp:inline>
        </w:drawing>
      </w:r>
      <w:r w:rsidR="006A54A4" w:rsidRPr="006A54A4">
        <w:rPr>
          <w:noProof/>
        </w:rPr>
        <w:lastRenderedPageBreak/>
        <w:drawing>
          <wp:inline distT="0" distB="0" distL="0" distR="0" wp14:anchorId="100BA21B" wp14:editId="427B5A15">
            <wp:extent cx="5915799" cy="7535333"/>
            <wp:effectExtent l="0" t="0" r="8890" b="8890"/>
            <wp:docPr id="959918761"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918761" name="Picture 1" descr="A paper with text on it&#10;&#10;AI-generated content may be incorrect."/>
                    <pic:cNvPicPr/>
                  </pic:nvPicPr>
                  <pic:blipFill>
                    <a:blip r:embed="rId76"/>
                    <a:stretch>
                      <a:fillRect/>
                    </a:stretch>
                  </pic:blipFill>
                  <pic:spPr>
                    <a:xfrm>
                      <a:off x="0" y="0"/>
                      <a:ext cx="5922845" cy="7544308"/>
                    </a:xfrm>
                    <a:prstGeom prst="rect">
                      <a:avLst/>
                    </a:prstGeom>
                  </pic:spPr>
                </pic:pic>
              </a:graphicData>
            </a:graphic>
          </wp:inline>
        </w:drawing>
      </w:r>
    </w:p>
    <w:p w14:paraId="7D7FBBCC" w14:textId="77777777" w:rsidR="00C935AA" w:rsidRDefault="00C935AA">
      <w:pPr>
        <w:rPr>
          <w:noProof/>
        </w:rPr>
      </w:pPr>
      <w:r>
        <w:rPr>
          <w:noProof/>
        </w:rPr>
        <w:br w:type="page"/>
      </w:r>
    </w:p>
    <w:p w14:paraId="4D02EB08" w14:textId="162AFCBC" w:rsidR="00C935AA" w:rsidRDefault="00C935AA">
      <w:pPr>
        <w:rPr>
          <w:sz w:val="20"/>
          <w:szCs w:val="22"/>
        </w:rPr>
      </w:pPr>
    </w:p>
    <w:p w14:paraId="56BABEEF" w14:textId="6E03C3CF" w:rsidR="00B74502" w:rsidRDefault="00C935AA" w:rsidP="00CA3762">
      <w:pPr>
        <w:spacing w:line="360" w:lineRule="auto"/>
        <w:jc w:val="center"/>
        <w:rPr>
          <w:sz w:val="20"/>
          <w:szCs w:val="22"/>
        </w:rPr>
      </w:pPr>
      <w:r w:rsidRPr="00C935AA">
        <w:rPr>
          <w:noProof/>
        </w:rPr>
        <w:drawing>
          <wp:inline distT="0" distB="0" distL="0" distR="0" wp14:anchorId="5FFE05A3" wp14:editId="52ED66E3">
            <wp:extent cx="5850802" cy="5520055"/>
            <wp:effectExtent l="0" t="0" r="0" b="4445"/>
            <wp:docPr id="185294451"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94451" name="Picture 1" descr="A close-up of a document&#10;&#10;AI-generated content may be incorrect."/>
                    <pic:cNvPicPr/>
                  </pic:nvPicPr>
                  <pic:blipFill>
                    <a:blip r:embed="rId77"/>
                    <a:stretch>
                      <a:fillRect/>
                    </a:stretch>
                  </pic:blipFill>
                  <pic:spPr>
                    <a:xfrm>
                      <a:off x="0" y="0"/>
                      <a:ext cx="5865439" cy="5533865"/>
                    </a:xfrm>
                    <a:prstGeom prst="rect">
                      <a:avLst/>
                    </a:prstGeom>
                  </pic:spPr>
                </pic:pic>
              </a:graphicData>
            </a:graphic>
          </wp:inline>
        </w:drawing>
      </w:r>
    </w:p>
    <w:p w14:paraId="217BE000" w14:textId="77777777" w:rsidR="00B74502" w:rsidRDefault="00B74502">
      <w:pPr>
        <w:rPr>
          <w:sz w:val="20"/>
          <w:szCs w:val="22"/>
        </w:rPr>
      </w:pPr>
      <w:r>
        <w:rPr>
          <w:sz w:val="20"/>
          <w:szCs w:val="22"/>
        </w:rPr>
        <w:br w:type="page"/>
      </w:r>
    </w:p>
    <w:p w14:paraId="351126A1" w14:textId="2796C2F8" w:rsidR="00B74502" w:rsidRDefault="00B74502" w:rsidP="00CA3762">
      <w:pPr>
        <w:spacing w:line="360" w:lineRule="auto"/>
        <w:jc w:val="center"/>
        <w:rPr>
          <w:sz w:val="20"/>
          <w:szCs w:val="22"/>
        </w:rPr>
      </w:pPr>
      <w:r w:rsidRPr="00B74502">
        <w:rPr>
          <w:sz w:val="20"/>
          <w:szCs w:val="22"/>
        </w:rPr>
        <w:lastRenderedPageBreak/>
        <w:drawing>
          <wp:inline distT="0" distB="0" distL="0" distR="0" wp14:anchorId="6277764F" wp14:editId="7737C0A1">
            <wp:extent cx="5783905" cy="7809970"/>
            <wp:effectExtent l="0" t="0" r="7620" b="635"/>
            <wp:docPr id="633149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149235" name=""/>
                    <pic:cNvPicPr/>
                  </pic:nvPicPr>
                  <pic:blipFill>
                    <a:blip r:embed="rId78"/>
                    <a:stretch>
                      <a:fillRect/>
                    </a:stretch>
                  </pic:blipFill>
                  <pic:spPr>
                    <a:xfrm>
                      <a:off x="0" y="0"/>
                      <a:ext cx="5798113" cy="7829155"/>
                    </a:xfrm>
                    <a:prstGeom prst="rect">
                      <a:avLst/>
                    </a:prstGeom>
                  </pic:spPr>
                </pic:pic>
              </a:graphicData>
            </a:graphic>
          </wp:inline>
        </w:drawing>
      </w:r>
    </w:p>
    <w:p w14:paraId="5DC25BB0" w14:textId="77777777" w:rsidR="00B74502" w:rsidRDefault="00B74502">
      <w:pPr>
        <w:rPr>
          <w:sz w:val="20"/>
          <w:szCs w:val="22"/>
        </w:rPr>
      </w:pPr>
      <w:r>
        <w:rPr>
          <w:sz w:val="20"/>
          <w:szCs w:val="22"/>
        </w:rPr>
        <w:br w:type="page"/>
      </w:r>
    </w:p>
    <w:p w14:paraId="5A3B14B8" w14:textId="5F14A38B" w:rsidR="00BD690F" w:rsidRDefault="00BD690F" w:rsidP="00CA3762">
      <w:pPr>
        <w:spacing w:line="360" w:lineRule="auto"/>
        <w:jc w:val="center"/>
        <w:rPr>
          <w:sz w:val="20"/>
          <w:szCs w:val="22"/>
        </w:rPr>
      </w:pPr>
      <w:r w:rsidRPr="00BD690F">
        <w:rPr>
          <w:sz w:val="20"/>
          <w:szCs w:val="22"/>
        </w:rPr>
        <w:lastRenderedPageBreak/>
        <w:drawing>
          <wp:inline distT="0" distB="0" distL="0" distR="0" wp14:anchorId="38B518D3" wp14:editId="6FB7DC0B">
            <wp:extent cx="5850467" cy="7670099"/>
            <wp:effectExtent l="0" t="0" r="0" b="7620"/>
            <wp:docPr id="318846908"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846908" name="Picture 1" descr="A paper with text on it&#10;&#10;AI-generated content may be incorrect."/>
                    <pic:cNvPicPr/>
                  </pic:nvPicPr>
                  <pic:blipFill>
                    <a:blip r:embed="rId79"/>
                    <a:stretch>
                      <a:fillRect/>
                    </a:stretch>
                  </pic:blipFill>
                  <pic:spPr>
                    <a:xfrm>
                      <a:off x="0" y="0"/>
                      <a:ext cx="5857626" cy="7679485"/>
                    </a:xfrm>
                    <a:prstGeom prst="rect">
                      <a:avLst/>
                    </a:prstGeom>
                  </pic:spPr>
                </pic:pic>
              </a:graphicData>
            </a:graphic>
          </wp:inline>
        </w:drawing>
      </w:r>
    </w:p>
    <w:p w14:paraId="35D2E45D" w14:textId="77777777" w:rsidR="00BD690F" w:rsidRDefault="00BD690F">
      <w:pPr>
        <w:rPr>
          <w:sz w:val="20"/>
          <w:szCs w:val="22"/>
        </w:rPr>
      </w:pPr>
      <w:r>
        <w:rPr>
          <w:sz w:val="20"/>
          <w:szCs w:val="22"/>
        </w:rPr>
        <w:br w:type="page"/>
      </w:r>
    </w:p>
    <w:p w14:paraId="2782C6E2" w14:textId="10D73B1C" w:rsidR="003B52E5" w:rsidRDefault="003B52E5" w:rsidP="00CA3762">
      <w:pPr>
        <w:spacing w:line="360" w:lineRule="auto"/>
        <w:jc w:val="center"/>
        <w:rPr>
          <w:sz w:val="20"/>
          <w:szCs w:val="22"/>
        </w:rPr>
      </w:pPr>
      <w:r w:rsidRPr="003B52E5">
        <w:rPr>
          <w:sz w:val="20"/>
          <w:szCs w:val="22"/>
        </w:rPr>
        <w:lastRenderedPageBreak/>
        <w:drawing>
          <wp:inline distT="0" distB="0" distL="0" distR="0" wp14:anchorId="07407A36" wp14:editId="08A4A290">
            <wp:extent cx="5918200" cy="7526035"/>
            <wp:effectExtent l="0" t="0" r="6350" b="0"/>
            <wp:docPr id="1573400175"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400175" name="Picture 1" descr="A close-up of a document&#10;&#10;AI-generated content may be incorrect."/>
                    <pic:cNvPicPr/>
                  </pic:nvPicPr>
                  <pic:blipFill>
                    <a:blip r:embed="rId80"/>
                    <a:stretch>
                      <a:fillRect/>
                    </a:stretch>
                  </pic:blipFill>
                  <pic:spPr>
                    <a:xfrm>
                      <a:off x="0" y="0"/>
                      <a:ext cx="5925815" cy="7535719"/>
                    </a:xfrm>
                    <a:prstGeom prst="rect">
                      <a:avLst/>
                    </a:prstGeom>
                  </pic:spPr>
                </pic:pic>
              </a:graphicData>
            </a:graphic>
          </wp:inline>
        </w:drawing>
      </w:r>
    </w:p>
    <w:p w14:paraId="2C0349A2" w14:textId="77777777" w:rsidR="003B52E5" w:rsidRDefault="003B52E5">
      <w:pPr>
        <w:rPr>
          <w:sz w:val="20"/>
          <w:szCs w:val="22"/>
        </w:rPr>
      </w:pPr>
      <w:r>
        <w:rPr>
          <w:sz w:val="20"/>
          <w:szCs w:val="22"/>
        </w:rPr>
        <w:br w:type="page"/>
      </w:r>
    </w:p>
    <w:p w14:paraId="4131069B" w14:textId="21EB180D" w:rsidR="00A1179E" w:rsidRDefault="00A1179E" w:rsidP="00A2734B">
      <w:pPr>
        <w:spacing w:line="360" w:lineRule="auto"/>
        <w:jc w:val="both"/>
        <w:rPr>
          <w:sz w:val="20"/>
          <w:szCs w:val="22"/>
        </w:rPr>
      </w:pPr>
      <w:r w:rsidRPr="00A1179E">
        <w:rPr>
          <w:sz w:val="20"/>
          <w:szCs w:val="22"/>
        </w:rPr>
        <w:lastRenderedPageBreak/>
        <w:drawing>
          <wp:inline distT="0" distB="0" distL="0" distR="0" wp14:anchorId="7507762A" wp14:editId="68D3FDD9">
            <wp:extent cx="5926667" cy="7130342"/>
            <wp:effectExtent l="0" t="0" r="0" b="0"/>
            <wp:docPr id="1109282603"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282603" name="Picture 1" descr="A paper with text on it&#10;&#10;AI-generated content may be incorrect."/>
                    <pic:cNvPicPr/>
                  </pic:nvPicPr>
                  <pic:blipFill>
                    <a:blip r:embed="rId81"/>
                    <a:stretch>
                      <a:fillRect/>
                    </a:stretch>
                  </pic:blipFill>
                  <pic:spPr>
                    <a:xfrm>
                      <a:off x="0" y="0"/>
                      <a:ext cx="5932718" cy="7137622"/>
                    </a:xfrm>
                    <a:prstGeom prst="rect">
                      <a:avLst/>
                    </a:prstGeom>
                  </pic:spPr>
                </pic:pic>
              </a:graphicData>
            </a:graphic>
          </wp:inline>
        </w:drawing>
      </w:r>
    </w:p>
    <w:p w14:paraId="53067B45" w14:textId="77777777" w:rsidR="00A1179E" w:rsidRDefault="00A1179E">
      <w:pPr>
        <w:rPr>
          <w:sz w:val="20"/>
          <w:szCs w:val="22"/>
        </w:rPr>
      </w:pPr>
      <w:r>
        <w:rPr>
          <w:sz w:val="20"/>
          <w:szCs w:val="22"/>
        </w:rPr>
        <w:br w:type="page"/>
      </w:r>
    </w:p>
    <w:p w14:paraId="6B3D18BE" w14:textId="60B8C4B5" w:rsidR="00247DEC" w:rsidRDefault="00247DEC" w:rsidP="00A2734B">
      <w:pPr>
        <w:spacing w:line="360" w:lineRule="auto"/>
        <w:jc w:val="both"/>
        <w:rPr>
          <w:sz w:val="20"/>
          <w:szCs w:val="22"/>
        </w:rPr>
      </w:pPr>
      <w:r w:rsidRPr="00247DEC">
        <w:rPr>
          <w:sz w:val="20"/>
          <w:szCs w:val="22"/>
        </w:rPr>
        <w:lastRenderedPageBreak/>
        <w:drawing>
          <wp:inline distT="0" distB="0" distL="0" distR="0" wp14:anchorId="57B29DFB" wp14:editId="5F5CD5E1">
            <wp:extent cx="5922614" cy="7196667"/>
            <wp:effectExtent l="0" t="0" r="2540" b="4445"/>
            <wp:docPr id="377218347" name="Picture 1" descr="A screenshot of a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218347" name="Picture 1" descr="A screenshot of a research paper&#10;&#10;AI-generated content may be incorrect."/>
                    <pic:cNvPicPr/>
                  </pic:nvPicPr>
                  <pic:blipFill>
                    <a:blip r:embed="rId82"/>
                    <a:stretch>
                      <a:fillRect/>
                    </a:stretch>
                  </pic:blipFill>
                  <pic:spPr>
                    <a:xfrm>
                      <a:off x="0" y="0"/>
                      <a:ext cx="5928427" cy="7203730"/>
                    </a:xfrm>
                    <a:prstGeom prst="rect">
                      <a:avLst/>
                    </a:prstGeom>
                  </pic:spPr>
                </pic:pic>
              </a:graphicData>
            </a:graphic>
          </wp:inline>
        </w:drawing>
      </w:r>
    </w:p>
    <w:p w14:paraId="2B5F3A8F" w14:textId="77777777" w:rsidR="00247DEC" w:rsidRDefault="00247DEC">
      <w:pPr>
        <w:rPr>
          <w:sz w:val="20"/>
          <w:szCs w:val="22"/>
        </w:rPr>
      </w:pPr>
      <w:r>
        <w:rPr>
          <w:sz w:val="20"/>
          <w:szCs w:val="22"/>
        </w:rPr>
        <w:br w:type="page"/>
      </w:r>
    </w:p>
    <w:p w14:paraId="3A9AD3B6" w14:textId="3A22EE77" w:rsidR="004A36BF" w:rsidRDefault="004A36BF" w:rsidP="00A2734B">
      <w:pPr>
        <w:spacing w:line="360" w:lineRule="auto"/>
        <w:jc w:val="both"/>
        <w:rPr>
          <w:sz w:val="20"/>
          <w:szCs w:val="22"/>
        </w:rPr>
      </w:pPr>
      <w:r w:rsidRPr="004A36BF">
        <w:rPr>
          <w:sz w:val="20"/>
          <w:szCs w:val="22"/>
        </w:rPr>
        <w:lastRenderedPageBreak/>
        <w:drawing>
          <wp:inline distT="0" distB="0" distL="0" distR="0" wp14:anchorId="0DD11122" wp14:editId="70CAC67F">
            <wp:extent cx="5891448" cy="6942667"/>
            <wp:effectExtent l="0" t="0" r="0" b="0"/>
            <wp:docPr id="986070573"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070573" name="Picture 1" descr="A paper with text on it&#10;&#10;AI-generated content may be incorrect."/>
                    <pic:cNvPicPr/>
                  </pic:nvPicPr>
                  <pic:blipFill>
                    <a:blip r:embed="rId83"/>
                    <a:stretch>
                      <a:fillRect/>
                    </a:stretch>
                  </pic:blipFill>
                  <pic:spPr>
                    <a:xfrm>
                      <a:off x="0" y="0"/>
                      <a:ext cx="5900224" cy="6953009"/>
                    </a:xfrm>
                    <a:prstGeom prst="rect">
                      <a:avLst/>
                    </a:prstGeom>
                  </pic:spPr>
                </pic:pic>
              </a:graphicData>
            </a:graphic>
          </wp:inline>
        </w:drawing>
      </w:r>
    </w:p>
    <w:p w14:paraId="69232C1C" w14:textId="77777777" w:rsidR="004A36BF" w:rsidRDefault="004A36BF">
      <w:pPr>
        <w:rPr>
          <w:sz w:val="20"/>
          <w:szCs w:val="22"/>
        </w:rPr>
      </w:pPr>
      <w:r>
        <w:rPr>
          <w:sz w:val="20"/>
          <w:szCs w:val="22"/>
        </w:rPr>
        <w:br w:type="page"/>
      </w:r>
    </w:p>
    <w:p w14:paraId="32D1EAA1" w14:textId="6862A4CB" w:rsidR="00EA4451" w:rsidRDefault="00EA4451" w:rsidP="00A2734B">
      <w:pPr>
        <w:spacing w:line="360" w:lineRule="auto"/>
        <w:jc w:val="both"/>
        <w:rPr>
          <w:sz w:val="20"/>
          <w:szCs w:val="22"/>
        </w:rPr>
      </w:pPr>
      <w:r w:rsidRPr="00EA4451">
        <w:rPr>
          <w:sz w:val="20"/>
          <w:szCs w:val="22"/>
        </w:rPr>
        <w:lastRenderedPageBreak/>
        <w:drawing>
          <wp:inline distT="0" distB="0" distL="0" distR="0" wp14:anchorId="0399789D" wp14:editId="47289209">
            <wp:extent cx="5980271" cy="7332133"/>
            <wp:effectExtent l="0" t="0" r="1905" b="2540"/>
            <wp:docPr id="1583243823"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243823" name="Picture 1" descr="A document with text on it&#10;&#10;AI-generated content may be incorrect."/>
                    <pic:cNvPicPr/>
                  </pic:nvPicPr>
                  <pic:blipFill>
                    <a:blip r:embed="rId84"/>
                    <a:stretch>
                      <a:fillRect/>
                    </a:stretch>
                  </pic:blipFill>
                  <pic:spPr>
                    <a:xfrm>
                      <a:off x="0" y="0"/>
                      <a:ext cx="5986671" cy="7339979"/>
                    </a:xfrm>
                    <a:prstGeom prst="rect">
                      <a:avLst/>
                    </a:prstGeom>
                  </pic:spPr>
                </pic:pic>
              </a:graphicData>
            </a:graphic>
          </wp:inline>
        </w:drawing>
      </w:r>
    </w:p>
    <w:p w14:paraId="2B58E68D" w14:textId="77777777" w:rsidR="00EA4451" w:rsidRDefault="00EA4451">
      <w:pPr>
        <w:rPr>
          <w:sz w:val="20"/>
          <w:szCs w:val="22"/>
        </w:rPr>
      </w:pPr>
      <w:r>
        <w:rPr>
          <w:sz w:val="20"/>
          <w:szCs w:val="22"/>
        </w:rPr>
        <w:br w:type="page"/>
      </w:r>
    </w:p>
    <w:p w14:paraId="4BF746C4" w14:textId="1291E169" w:rsidR="008D62EE" w:rsidRDefault="008D62EE" w:rsidP="00A2734B">
      <w:pPr>
        <w:spacing w:line="360" w:lineRule="auto"/>
        <w:jc w:val="both"/>
        <w:rPr>
          <w:sz w:val="20"/>
          <w:szCs w:val="22"/>
        </w:rPr>
      </w:pPr>
      <w:r w:rsidRPr="008D62EE">
        <w:rPr>
          <w:sz w:val="20"/>
          <w:szCs w:val="22"/>
        </w:rPr>
        <w:lastRenderedPageBreak/>
        <w:drawing>
          <wp:inline distT="0" distB="0" distL="0" distR="0" wp14:anchorId="510DE24A" wp14:editId="7215919F">
            <wp:extent cx="5748867" cy="8032347"/>
            <wp:effectExtent l="0" t="0" r="4445" b="6985"/>
            <wp:docPr id="991356216"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356216" name="Picture 1" descr="A close-up of a document&#10;&#10;AI-generated content may be incorrect."/>
                    <pic:cNvPicPr/>
                  </pic:nvPicPr>
                  <pic:blipFill>
                    <a:blip r:embed="rId85"/>
                    <a:stretch>
                      <a:fillRect/>
                    </a:stretch>
                  </pic:blipFill>
                  <pic:spPr>
                    <a:xfrm>
                      <a:off x="0" y="0"/>
                      <a:ext cx="5754028" cy="8039558"/>
                    </a:xfrm>
                    <a:prstGeom prst="rect">
                      <a:avLst/>
                    </a:prstGeom>
                  </pic:spPr>
                </pic:pic>
              </a:graphicData>
            </a:graphic>
          </wp:inline>
        </w:drawing>
      </w:r>
    </w:p>
    <w:p w14:paraId="018138C3" w14:textId="77777777" w:rsidR="008D62EE" w:rsidRDefault="008D62EE">
      <w:pPr>
        <w:rPr>
          <w:sz w:val="20"/>
          <w:szCs w:val="22"/>
        </w:rPr>
      </w:pPr>
      <w:r>
        <w:rPr>
          <w:sz w:val="20"/>
          <w:szCs w:val="22"/>
        </w:rPr>
        <w:br w:type="page"/>
      </w:r>
    </w:p>
    <w:p w14:paraId="026B064B" w14:textId="77777777" w:rsidR="0096495C" w:rsidRDefault="00E856E8" w:rsidP="0096495C">
      <w:pPr>
        <w:spacing w:line="360" w:lineRule="auto"/>
        <w:jc w:val="center"/>
        <w:rPr>
          <w:sz w:val="20"/>
          <w:szCs w:val="22"/>
        </w:rPr>
      </w:pPr>
      <w:r w:rsidRPr="005A737F">
        <w:rPr>
          <w:noProof/>
        </w:rPr>
        <w:lastRenderedPageBreak/>
        <w:drawing>
          <wp:inline distT="0" distB="0" distL="0" distR="0" wp14:anchorId="2347B52C" wp14:editId="1D53C126">
            <wp:extent cx="5450774" cy="8236060"/>
            <wp:effectExtent l="0" t="0" r="0" b="0"/>
            <wp:docPr id="1623790877" name="Picture 1" descr="A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790877" name="Picture 1" descr="A white text on a black background&#10;&#10;AI-generated content may be incorrect."/>
                    <pic:cNvPicPr/>
                  </pic:nvPicPr>
                  <pic:blipFill>
                    <a:blip r:embed="rId86"/>
                    <a:stretch>
                      <a:fillRect/>
                    </a:stretch>
                  </pic:blipFill>
                  <pic:spPr>
                    <a:xfrm>
                      <a:off x="0" y="0"/>
                      <a:ext cx="5459898" cy="8249846"/>
                    </a:xfrm>
                    <a:prstGeom prst="rect">
                      <a:avLst/>
                    </a:prstGeom>
                  </pic:spPr>
                </pic:pic>
              </a:graphicData>
            </a:graphic>
          </wp:inline>
        </w:drawing>
      </w:r>
      <w:r w:rsidR="00374174" w:rsidRPr="00547F8D">
        <w:rPr>
          <w:noProof/>
        </w:rPr>
        <w:lastRenderedPageBreak/>
        <w:drawing>
          <wp:inline distT="0" distB="0" distL="0" distR="0" wp14:anchorId="54906A52" wp14:editId="434BB404">
            <wp:extent cx="5864584" cy="5700156"/>
            <wp:effectExtent l="0" t="0" r="3175" b="0"/>
            <wp:docPr id="10830159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015909" name="Picture 1" descr="A screenshot of a computer&#10;&#10;AI-generated content may be incorrect."/>
                    <pic:cNvPicPr/>
                  </pic:nvPicPr>
                  <pic:blipFill>
                    <a:blip r:embed="rId87"/>
                    <a:stretch>
                      <a:fillRect/>
                    </a:stretch>
                  </pic:blipFill>
                  <pic:spPr>
                    <a:xfrm>
                      <a:off x="0" y="0"/>
                      <a:ext cx="5871988" cy="5707352"/>
                    </a:xfrm>
                    <a:prstGeom prst="rect">
                      <a:avLst/>
                    </a:prstGeom>
                  </pic:spPr>
                </pic:pic>
              </a:graphicData>
            </a:graphic>
          </wp:inline>
        </w:drawing>
      </w:r>
      <w:r w:rsidR="007868ED" w:rsidRPr="00990B06">
        <w:rPr>
          <w:noProof/>
        </w:rPr>
        <w:lastRenderedPageBreak/>
        <w:drawing>
          <wp:inline distT="0" distB="0" distL="0" distR="0" wp14:anchorId="4C48167A" wp14:editId="3D9E4B5A">
            <wp:extent cx="5598218" cy="7730836"/>
            <wp:effectExtent l="0" t="0" r="2540" b="3810"/>
            <wp:docPr id="202386244"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86244" name="Picture 1" descr="A close-up of a document&#10;&#10;AI-generated content may be incorrect."/>
                    <pic:cNvPicPr/>
                  </pic:nvPicPr>
                  <pic:blipFill rotWithShape="1">
                    <a:blip r:embed="rId88"/>
                    <a:srcRect t="1793" b="1279"/>
                    <a:stretch/>
                  </pic:blipFill>
                  <pic:spPr bwMode="auto">
                    <a:xfrm>
                      <a:off x="0" y="0"/>
                      <a:ext cx="5608072" cy="7744444"/>
                    </a:xfrm>
                    <a:prstGeom prst="rect">
                      <a:avLst/>
                    </a:prstGeom>
                    <a:ln>
                      <a:noFill/>
                    </a:ln>
                    <a:extLst>
                      <a:ext uri="{53640926-AAD7-44D8-BBD7-CCE9431645EC}">
                        <a14:shadowObscured xmlns:a14="http://schemas.microsoft.com/office/drawing/2010/main"/>
                      </a:ext>
                    </a:extLst>
                  </pic:spPr>
                </pic:pic>
              </a:graphicData>
            </a:graphic>
          </wp:inline>
        </w:drawing>
      </w:r>
      <w:r w:rsidR="00930200" w:rsidRPr="00B12F4B">
        <w:rPr>
          <w:noProof/>
        </w:rPr>
        <w:lastRenderedPageBreak/>
        <w:drawing>
          <wp:inline distT="0" distB="0" distL="0" distR="0" wp14:anchorId="33F486CF" wp14:editId="46E49129">
            <wp:extent cx="5628904" cy="8138384"/>
            <wp:effectExtent l="0" t="0" r="0" b="0"/>
            <wp:docPr id="147519806"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19806" name="Picture 1" descr="A close-up of a questionnaire&#10;&#10;AI-generated content may be incorrect."/>
                    <pic:cNvPicPr/>
                  </pic:nvPicPr>
                  <pic:blipFill>
                    <a:blip r:embed="rId89"/>
                    <a:stretch>
                      <a:fillRect/>
                    </a:stretch>
                  </pic:blipFill>
                  <pic:spPr>
                    <a:xfrm>
                      <a:off x="0" y="0"/>
                      <a:ext cx="5632890" cy="8144147"/>
                    </a:xfrm>
                    <a:prstGeom prst="rect">
                      <a:avLst/>
                    </a:prstGeom>
                  </pic:spPr>
                </pic:pic>
              </a:graphicData>
            </a:graphic>
          </wp:inline>
        </w:drawing>
      </w:r>
      <w:r w:rsidR="00F1410A" w:rsidRPr="00F76776">
        <w:rPr>
          <w:noProof/>
        </w:rPr>
        <w:lastRenderedPageBreak/>
        <w:drawing>
          <wp:inline distT="0" distB="0" distL="0" distR="0" wp14:anchorId="437025E6" wp14:editId="406AC65D">
            <wp:extent cx="5771408" cy="8187749"/>
            <wp:effectExtent l="0" t="0" r="1270" b="3810"/>
            <wp:docPr id="1872061355" name="Picture 1" descr="A close-up of a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061355" name="Picture 1" descr="A close-up of a research paper&#10;&#10;AI-generated content may be incorrect."/>
                    <pic:cNvPicPr/>
                  </pic:nvPicPr>
                  <pic:blipFill>
                    <a:blip r:embed="rId90"/>
                    <a:stretch>
                      <a:fillRect/>
                    </a:stretch>
                  </pic:blipFill>
                  <pic:spPr>
                    <a:xfrm>
                      <a:off x="0" y="0"/>
                      <a:ext cx="5777176" cy="8195931"/>
                    </a:xfrm>
                    <a:prstGeom prst="rect">
                      <a:avLst/>
                    </a:prstGeom>
                  </pic:spPr>
                </pic:pic>
              </a:graphicData>
            </a:graphic>
          </wp:inline>
        </w:drawing>
      </w:r>
      <w:r w:rsidR="007E215F" w:rsidRPr="00F76776">
        <w:rPr>
          <w:rFonts w:eastAsiaTheme="majorEastAsia" w:cstheme="majorBidi"/>
          <w:b/>
          <w:noProof/>
          <w:sz w:val="28"/>
          <w:szCs w:val="40"/>
        </w:rPr>
        <w:lastRenderedPageBreak/>
        <w:drawing>
          <wp:inline distT="0" distB="0" distL="0" distR="0" wp14:anchorId="32962DB3" wp14:editId="466407F7">
            <wp:extent cx="5866410" cy="8251848"/>
            <wp:effectExtent l="0" t="0" r="1270" b="0"/>
            <wp:docPr id="1544611223"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611223" name="Picture 1" descr="A screenshot of a document&#10;&#10;AI-generated content may be incorrect."/>
                    <pic:cNvPicPr/>
                  </pic:nvPicPr>
                  <pic:blipFill>
                    <a:blip r:embed="rId91"/>
                    <a:stretch>
                      <a:fillRect/>
                    </a:stretch>
                  </pic:blipFill>
                  <pic:spPr>
                    <a:xfrm>
                      <a:off x="0" y="0"/>
                      <a:ext cx="5872659" cy="8260638"/>
                    </a:xfrm>
                    <a:prstGeom prst="rect">
                      <a:avLst/>
                    </a:prstGeom>
                  </pic:spPr>
                </pic:pic>
              </a:graphicData>
            </a:graphic>
          </wp:inline>
        </w:drawing>
      </w:r>
      <w:r w:rsidR="006D2114" w:rsidRPr="00C91369">
        <w:rPr>
          <w:noProof/>
        </w:rPr>
        <w:lastRenderedPageBreak/>
        <w:drawing>
          <wp:inline distT="0" distB="0" distL="0" distR="0" wp14:anchorId="0483FF59" wp14:editId="56E7BBDE">
            <wp:extent cx="5902899" cy="7956468"/>
            <wp:effectExtent l="0" t="0" r="3175" b="6985"/>
            <wp:docPr id="114495348"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95348" name="Picture 1" descr="A screenshot of a questionnaire&#10;&#10;AI-generated content may be incorrect."/>
                    <pic:cNvPicPr/>
                  </pic:nvPicPr>
                  <pic:blipFill>
                    <a:blip r:embed="rId92"/>
                    <a:stretch>
                      <a:fillRect/>
                    </a:stretch>
                  </pic:blipFill>
                  <pic:spPr>
                    <a:xfrm>
                      <a:off x="0" y="0"/>
                      <a:ext cx="5909283" cy="7965072"/>
                    </a:xfrm>
                    <a:prstGeom prst="rect">
                      <a:avLst/>
                    </a:prstGeom>
                  </pic:spPr>
                </pic:pic>
              </a:graphicData>
            </a:graphic>
          </wp:inline>
        </w:drawing>
      </w:r>
      <w:r w:rsidR="000C4DA6" w:rsidRPr="000361C6">
        <w:rPr>
          <w:noProof/>
        </w:rPr>
        <w:lastRenderedPageBreak/>
        <w:drawing>
          <wp:inline distT="0" distB="0" distL="0" distR="0" wp14:anchorId="5878402D" wp14:editId="1842DE55">
            <wp:extent cx="5771408" cy="8200101"/>
            <wp:effectExtent l="0" t="0" r="1270" b="0"/>
            <wp:docPr id="453705970" name="Picture 1"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705970" name="Picture 1" descr="A questionnaire with a question mark&#10;&#10;AI-generated content may be incorrect."/>
                    <pic:cNvPicPr/>
                  </pic:nvPicPr>
                  <pic:blipFill>
                    <a:blip r:embed="rId93"/>
                    <a:stretch>
                      <a:fillRect/>
                    </a:stretch>
                  </pic:blipFill>
                  <pic:spPr>
                    <a:xfrm>
                      <a:off x="0" y="0"/>
                      <a:ext cx="5778636" cy="8210370"/>
                    </a:xfrm>
                    <a:prstGeom prst="rect">
                      <a:avLst/>
                    </a:prstGeom>
                  </pic:spPr>
                </pic:pic>
              </a:graphicData>
            </a:graphic>
          </wp:inline>
        </w:drawing>
      </w:r>
      <w:r w:rsidR="005D3E60" w:rsidRPr="000361C6">
        <w:rPr>
          <w:noProof/>
        </w:rPr>
        <w:lastRenderedPageBreak/>
        <w:drawing>
          <wp:inline distT="0" distB="0" distL="0" distR="0" wp14:anchorId="495F81B9" wp14:editId="70006E3F">
            <wp:extent cx="5830784" cy="8269748"/>
            <wp:effectExtent l="0" t="0" r="0" b="0"/>
            <wp:docPr id="1422164961"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164961" name="Picture 1" descr="A screenshot of a questionnaire&#10;&#10;AI-generated content may be incorrect."/>
                    <pic:cNvPicPr/>
                  </pic:nvPicPr>
                  <pic:blipFill>
                    <a:blip r:embed="rId94"/>
                    <a:stretch>
                      <a:fillRect/>
                    </a:stretch>
                  </pic:blipFill>
                  <pic:spPr>
                    <a:xfrm>
                      <a:off x="0" y="0"/>
                      <a:ext cx="5835180" cy="8275983"/>
                    </a:xfrm>
                    <a:prstGeom prst="rect">
                      <a:avLst/>
                    </a:prstGeom>
                  </pic:spPr>
                </pic:pic>
              </a:graphicData>
            </a:graphic>
          </wp:inline>
        </w:drawing>
      </w:r>
      <w:r w:rsidR="00416C08" w:rsidRPr="000C7AA9">
        <w:rPr>
          <w:noProof/>
        </w:rPr>
        <w:lastRenderedPageBreak/>
        <w:drawing>
          <wp:inline distT="0" distB="0" distL="0" distR="0" wp14:anchorId="31B9C776" wp14:editId="3F25BE5A">
            <wp:extent cx="5854535" cy="8235144"/>
            <wp:effectExtent l="0" t="0" r="0" b="0"/>
            <wp:docPr id="110193163"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93163" name="Picture 1" descr="A screenshot of a questionnaire&#10;&#10;AI-generated content may be incorrect."/>
                    <pic:cNvPicPr/>
                  </pic:nvPicPr>
                  <pic:blipFill>
                    <a:blip r:embed="rId95"/>
                    <a:stretch>
                      <a:fillRect/>
                    </a:stretch>
                  </pic:blipFill>
                  <pic:spPr>
                    <a:xfrm>
                      <a:off x="0" y="0"/>
                      <a:ext cx="5860188" cy="8243096"/>
                    </a:xfrm>
                    <a:prstGeom prst="rect">
                      <a:avLst/>
                    </a:prstGeom>
                  </pic:spPr>
                </pic:pic>
              </a:graphicData>
            </a:graphic>
          </wp:inline>
        </w:drawing>
      </w:r>
      <w:r w:rsidR="00D02DDF" w:rsidRPr="000C7AA9">
        <w:rPr>
          <w:noProof/>
        </w:rPr>
        <w:lastRenderedPageBreak/>
        <w:drawing>
          <wp:inline distT="0" distB="0" distL="0" distR="0" wp14:anchorId="440ABC9C" wp14:editId="6AF28084">
            <wp:extent cx="5910555" cy="8288977"/>
            <wp:effectExtent l="0" t="0" r="0" b="0"/>
            <wp:docPr id="1846992752"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992752" name="Picture 1" descr="A screenshot of a document&#10;&#10;AI-generated content may be incorrect."/>
                    <pic:cNvPicPr/>
                  </pic:nvPicPr>
                  <pic:blipFill>
                    <a:blip r:embed="rId96"/>
                    <a:stretch>
                      <a:fillRect/>
                    </a:stretch>
                  </pic:blipFill>
                  <pic:spPr>
                    <a:xfrm>
                      <a:off x="0" y="0"/>
                      <a:ext cx="5917476" cy="8298683"/>
                    </a:xfrm>
                    <a:prstGeom prst="rect">
                      <a:avLst/>
                    </a:prstGeom>
                  </pic:spPr>
                </pic:pic>
              </a:graphicData>
            </a:graphic>
          </wp:inline>
        </w:drawing>
      </w:r>
      <w:r w:rsidR="00DA25CF" w:rsidRPr="00984293">
        <w:rPr>
          <w:noProof/>
        </w:rPr>
        <w:lastRenderedPageBreak/>
        <w:drawing>
          <wp:inline distT="0" distB="0" distL="0" distR="0" wp14:anchorId="2F0F2BDB" wp14:editId="74124BE5">
            <wp:extent cx="5842660" cy="8220079"/>
            <wp:effectExtent l="0" t="0" r="5715" b="0"/>
            <wp:docPr id="1348031100"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031100" name="Picture 1" descr="A screenshot of a survey&#10;&#10;AI-generated content may be incorrect."/>
                    <pic:cNvPicPr/>
                  </pic:nvPicPr>
                  <pic:blipFill>
                    <a:blip r:embed="rId97"/>
                    <a:stretch>
                      <a:fillRect/>
                    </a:stretch>
                  </pic:blipFill>
                  <pic:spPr>
                    <a:xfrm>
                      <a:off x="0" y="0"/>
                      <a:ext cx="5850569" cy="8231206"/>
                    </a:xfrm>
                    <a:prstGeom prst="rect">
                      <a:avLst/>
                    </a:prstGeom>
                  </pic:spPr>
                </pic:pic>
              </a:graphicData>
            </a:graphic>
          </wp:inline>
        </w:drawing>
      </w:r>
      <w:r w:rsidR="00726C4E" w:rsidRPr="00793E91">
        <w:rPr>
          <w:noProof/>
        </w:rPr>
        <w:lastRenderedPageBreak/>
        <w:drawing>
          <wp:inline distT="0" distB="0" distL="0" distR="0" wp14:anchorId="562C8005" wp14:editId="04381CE2">
            <wp:extent cx="5854535" cy="8208693"/>
            <wp:effectExtent l="0" t="0" r="0" b="1905"/>
            <wp:docPr id="380069033" name="Picture 1" descr="A close-up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069033" name="Picture 1" descr="A close-up of a form&#10;&#10;AI-generated content may be incorrect."/>
                    <pic:cNvPicPr/>
                  </pic:nvPicPr>
                  <pic:blipFill>
                    <a:blip r:embed="rId98"/>
                    <a:stretch>
                      <a:fillRect/>
                    </a:stretch>
                  </pic:blipFill>
                  <pic:spPr>
                    <a:xfrm>
                      <a:off x="0" y="0"/>
                      <a:ext cx="5864741" cy="8223003"/>
                    </a:xfrm>
                    <a:prstGeom prst="rect">
                      <a:avLst/>
                    </a:prstGeom>
                  </pic:spPr>
                </pic:pic>
              </a:graphicData>
            </a:graphic>
          </wp:inline>
        </w:drawing>
      </w:r>
      <w:r w:rsidR="004E6F41" w:rsidRPr="00980CF7">
        <w:rPr>
          <w:noProof/>
        </w:rPr>
        <w:lastRenderedPageBreak/>
        <w:drawing>
          <wp:inline distT="0" distB="0" distL="0" distR="0" wp14:anchorId="66B59070" wp14:editId="73446AD7">
            <wp:extent cx="5596468" cy="8001000"/>
            <wp:effectExtent l="0" t="0" r="4445" b="0"/>
            <wp:docPr id="5718778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877869" name="Picture 1" descr="A screenshot of a computer&#10;&#10;AI-generated content may be incorrect."/>
                    <pic:cNvPicPr/>
                  </pic:nvPicPr>
                  <pic:blipFill>
                    <a:blip r:embed="rId99"/>
                    <a:stretch>
                      <a:fillRect/>
                    </a:stretch>
                  </pic:blipFill>
                  <pic:spPr>
                    <a:xfrm>
                      <a:off x="0" y="0"/>
                      <a:ext cx="5617001" cy="8030355"/>
                    </a:xfrm>
                    <a:prstGeom prst="rect">
                      <a:avLst/>
                    </a:prstGeom>
                  </pic:spPr>
                </pic:pic>
              </a:graphicData>
            </a:graphic>
          </wp:inline>
        </w:drawing>
      </w:r>
    </w:p>
    <w:p w14:paraId="656BDFCF" w14:textId="77777777" w:rsidR="00025D6B" w:rsidRDefault="00025D6B" w:rsidP="00982F64">
      <w:pPr>
        <w:spacing w:line="360" w:lineRule="auto"/>
        <w:rPr>
          <w:sz w:val="20"/>
          <w:szCs w:val="22"/>
        </w:rPr>
      </w:pPr>
    </w:p>
    <w:p w14:paraId="449B2216" w14:textId="4044ECF6" w:rsidR="00CA3762" w:rsidRPr="00C16FD2" w:rsidRDefault="00CA3762" w:rsidP="00CA3762">
      <w:pPr>
        <w:pStyle w:val="Heading"/>
        <w:numPr>
          <w:ilvl w:val="0"/>
          <w:numId w:val="10"/>
        </w:numPr>
        <w:ind w:left="720"/>
        <w:rPr>
          <w:rFonts w:cs="Times New Roman"/>
          <w:sz w:val="24"/>
          <w:szCs w:val="24"/>
        </w:rPr>
      </w:pPr>
      <w:bookmarkStart w:id="115" w:name="_Toc213748971"/>
      <w:r>
        <w:rPr>
          <w:rFonts w:cs="Times New Roman" w:hint="eastAsia"/>
          <w:szCs w:val="28"/>
        </w:rPr>
        <w:lastRenderedPageBreak/>
        <w:t xml:space="preserve">APPENDIX </w:t>
      </w:r>
      <w:r>
        <w:rPr>
          <w:rFonts w:cs="Times New Roman" w:hint="eastAsia"/>
          <w:szCs w:val="28"/>
        </w:rPr>
        <w:t>4</w:t>
      </w:r>
      <w:r>
        <w:rPr>
          <w:rFonts w:cs="Times New Roman" w:hint="eastAsia"/>
          <w:szCs w:val="28"/>
        </w:rPr>
        <w:t xml:space="preserve"> </w:t>
      </w:r>
      <w:r>
        <w:rPr>
          <w:rFonts w:cs="Times New Roman"/>
          <w:szCs w:val="28"/>
        </w:rPr>
        <w:t>–</w:t>
      </w:r>
      <w:r>
        <w:rPr>
          <w:rFonts w:cs="Times New Roman" w:hint="eastAsia"/>
          <w:szCs w:val="28"/>
        </w:rPr>
        <w:t xml:space="preserve"> </w:t>
      </w:r>
      <w:r w:rsidR="00C16FD2">
        <w:rPr>
          <w:rFonts w:cs="Times New Roman" w:hint="eastAsia"/>
          <w:szCs w:val="28"/>
        </w:rPr>
        <w:t xml:space="preserve">GA19 </w:t>
      </w:r>
      <w:r w:rsidRPr="00C16FD2">
        <w:rPr>
          <w:rFonts w:cs="Times New Roman"/>
          <w:sz w:val="24"/>
          <w:szCs w:val="24"/>
        </w:rPr>
        <w:t>Postgraduate</w:t>
      </w:r>
      <w:r w:rsidR="0003263D" w:rsidRPr="00C16FD2">
        <w:rPr>
          <w:rFonts w:cs="Times New Roman" w:hint="eastAsia"/>
          <w:sz w:val="24"/>
          <w:szCs w:val="24"/>
        </w:rPr>
        <w:t xml:space="preserve"> Taught Dissertation Supervision Record</w:t>
      </w:r>
      <w:bookmarkEnd w:id="115"/>
      <w:r w:rsidRPr="00C16FD2">
        <w:rPr>
          <w:rFonts w:cs="Times New Roman" w:hint="eastAsia"/>
          <w:sz w:val="24"/>
          <w:szCs w:val="24"/>
        </w:rPr>
        <w:t xml:space="preserve"> </w:t>
      </w:r>
    </w:p>
    <w:p w14:paraId="411E5B23" w14:textId="73F03122" w:rsidR="00954764" w:rsidRDefault="009D2C23" w:rsidP="00CA3762">
      <w:pPr>
        <w:spacing w:line="360" w:lineRule="auto"/>
        <w:jc w:val="center"/>
        <w:rPr>
          <w:sz w:val="20"/>
          <w:szCs w:val="22"/>
        </w:rPr>
      </w:pPr>
      <w:r w:rsidRPr="009D2C23">
        <w:rPr>
          <w:sz w:val="20"/>
          <w:szCs w:val="22"/>
        </w:rPr>
        <w:drawing>
          <wp:inline distT="0" distB="0" distL="0" distR="0" wp14:anchorId="2CF55473" wp14:editId="586C6394">
            <wp:extent cx="7789025" cy="5816600"/>
            <wp:effectExtent l="0" t="4445" r="0" b="0"/>
            <wp:docPr id="856566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566655" name=""/>
                    <pic:cNvPicPr/>
                  </pic:nvPicPr>
                  <pic:blipFill>
                    <a:blip r:embed="rId100"/>
                    <a:stretch>
                      <a:fillRect/>
                    </a:stretch>
                  </pic:blipFill>
                  <pic:spPr>
                    <a:xfrm rot="16200000">
                      <a:off x="0" y="0"/>
                      <a:ext cx="7810562" cy="5832683"/>
                    </a:xfrm>
                    <a:prstGeom prst="rect">
                      <a:avLst/>
                    </a:prstGeom>
                  </pic:spPr>
                </pic:pic>
              </a:graphicData>
            </a:graphic>
          </wp:inline>
        </w:drawing>
      </w:r>
    </w:p>
    <w:p w14:paraId="1F78AF77" w14:textId="64AB41DF" w:rsidR="00CA3762" w:rsidRPr="00A2734B" w:rsidRDefault="0069655C" w:rsidP="0069655C">
      <w:pPr>
        <w:rPr>
          <w:sz w:val="20"/>
          <w:szCs w:val="22"/>
        </w:rPr>
      </w:pPr>
      <w:r w:rsidRPr="0069655C">
        <w:rPr>
          <w:sz w:val="20"/>
          <w:szCs w:val="22"/>
        </w:rPr>
        <w:lastRenderedPageBreak/>
        <w:drawing>
          <wp:inline distT="0" distB="0" distL="0" distR="0" wp14:anchorId="5389B568" wp14:editId="5AC9F070">
            <wp:extent cx="8458200" cy="6273800"/>
            <wp:effectExtent l="6350" t="0" r="6350" b="6350"/>
            <wp:docPr id="953586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586952" name=""/>
                    <pic:cNvPicPr/>
                  </pic:nvPicPr>
                  <pic:blipFill>
                    <a:blip r:embed="rId101"/>
                    <a:stretch>
                      <a:fillRect/>
                    </a:stretch>
                  </pic:blipFill>
                  <pic:spPr>
                    <a:xfrm rot="16200000">
                      <a:off x="0" y="0"/>
                      <a:ext cx="8458200" cy="6273800"/>
                    </a:xfrm>
                    <a:prstGeom prst="rect">
                      <a:avLst/>
                    </a:prstGeom>
                  </pic:spPr>
                </pic:pic>
              </a:graphicData>
            </a:graphic>
          </wp:inline>
        </w:drawing>
      </w:r>
      <w:r w:rsidRPr="0069655C">
        <w:rPr>
          <w:noProof/>
        </w:rPr>
        <w:t xml:space="preserve"> </w:t>
      </w:r>
      <w:r w:rsidRPr="0069655C">
        <w:rPr>
          <w:sz w:val="20"/>
          <w:szCs w:val="22"/>
        </w:rPr>
        <w:drawing>
          <wp:inline distT="0" distB="0" distL="0" distR="0" wp14:anchorId="53D61402" wp14:editId="73D8124A">
            <wp:extent cx="8458200" cy="6231255"/>
            <wp:effectExtent l="8572" t="0" r="8573" b="8572"/>
            <wp:docPr id="2117322977"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322977" name="Picture 1" descr="A screenshot of a document&#10;&#10;AI-generated content may be incorrect."/>
                    <pic:cNvPicPr/>
                  </pic:nvPicPr>
                  <pic:blipFill>
                    <a:blip r:embed="rId102"/>
                    <a:stretch>
                      <a:fillRect/>
                    </a:stretch>
                  </pic:blipFill>
                  <pic:spPr>
                    <a:xfrm rot="16200000">
                      <a:off x="0" y="0"/>
                      <a:ext cx="8458200" cy="6231255"/>
                    </a:xfrm>
                    <a:prstGeom prst="rect">
                      <a:avLst/>
                    </a:prstGeom>
                  </pic:spPr>
                </pic:pic>
              </a:graphicData>
            </a:graphic>
          </wp:inline>
        </w:drawing>
      </w:r>
    </w:p>
    <w:sectPr w:rsidR="00CA3762" w:rsidRPr="00A2734B" w:rsidSect="001B2D97">
      <w:footerReference w:type="default" r:id="rId103"/>
      <w:pgSz w:w="12240" w:h="15840"/>
      <w:pgMar w:top="1440" w:right="1080" w:bottom="1080" w:left="1080" w:header="720" w:footer="38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E9AC4D" w14:textId="77777777" w:rsidR="00901E6D" w:rsidRDefault="00901E6D" w:rsidP="0005348D">
      <w:pPr>
        <w:spacing w:after="0" w:line="240" w:lineRule="auto"/>
      </w:pPr>
      <w:r>
        <w:separator/>
      </w:r>
    </w:p>
  </w:endnote>
  <w:endnote w:type="continuationSeparator" w:id="0">
    <w:p w14:paraId="70CFA708" w14:textId="77777777" w:rsidR="00901E6D" w:rsidRDefault="00901E6D" w:rsidP="00053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20500000000000000"/>
    <w:charset w:val="88"/>
    <w:family w:val="roman"/>
    <w:pitch w:val="variable"/>
    <w:sig w:usb0="A00002FF" w:usb1="28CFFCFA" w:usb2="00000016" w:usb3="00000000" w:csb0="00100001"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CCE7C2" w14:textId="77777777" w:rsidR="005C4A9D" w:rsidRPr="008E5F38" w:rsidRDefault="005C4A9D">
    <w:pPr>
      <w:pStyle w:val="Footer"/>
      <w:tabs>
        <w:tab w:val="clear" w:pos="4680"/>
        <w:tab w:val="clear" w:pos="9360"/>
      </w:tabs>
      <w:jc w:val="center"/>
      <w:rPr>
        <w:caps/>
        <w:noProof/>
      </w:rPr>
    </w:pPr>
    <w:r w:rsidRPr="008E5F38">
      <w:rPr>
        <w:caps/>
      </w:rPr>
      <w:fldChar w:fldCharType="begin"/>
    </w:r>
    <w:r w:rsidRPr="008E5F38">
      <w:rPr>
        <w:caps/>
      </w:rPr>
      <w:instrText xml:space="preserve"> PAGE   \* MERGEFORMAT </w:instrText>
    </w:r>
    <w:r w:rsidRPr="008E5F38">
      <w:rPr>
        <w:caps/>
      </w:rPr>
      <w:fldChar w:fldCharType="separate"/>
    </w:r>
    <w:r w:rsidRPr="008E5F38">
      <w:rPr>
        <w:caps/>
        <w:noProof/>
      </w:rPr>
      <w:t>2</w:t>
    </w:r>
    <w:r w:rsidRPr="008E5F38">
      <w:rPr>
        <w:caps/>
        <w:noProof/>
      </w:rPr>
      <w:fldChar w:fldCharType="end"/>
    </w:r>
  </w:p>
  <w:p w14:paraId="74F675B5" w14:textId="21959DA1" w:rsidR="0005348D" w:rsidRPr="005C4A9D" w:rsidRDefault="0005348D" w:rsidP="005C4A9D">
    <w:pPr>
      <w:pStyle w:val="Footer"/>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EFFF49" w14:textId="77777777" w:rsidR="001B2D97" w:rsidRDefault="001B2D97">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A8CB085" w14:textId="4927CEBC" w:rsidR="00954764" w:rsidRPr="005C4A9D" w:rsidRDefault="00954764" w:rsidP="00954764">
    <w:pPr>
      <w:pStyle w:val="Footer"/>
      <w:jc w:val="cen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E4D847" w14:textId="77777777" w:rsidR="00901E6D" w:rsidRDefault="00901E6D" w:rsidP="0005348D">
      <w:pPr>
        <w:spacing w:after="0" w:line="240" w:lineRule="auto"/>
      </w:pPr>
      <w:r>
        <w:separator/>
      </w:r>
    </w:p>
  </w:footnote>
  <w:footnote w:type="continuationSeparator" w:id="0">
    <w:p w14:paraId="54A3368C" w14:textId="77777777" w:rsidR="00901E6D" w:rsidRDefault="00901E6D" w:rsidP="000534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4724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BDD5749"/>
    <w:multiLevelType w:val="hybridMultilevel"/>
    <w:tmpl w:val="A08481E2"/>
    <w:lvl w:ilvl="0" w:tplc="0409000F">
      <w:start w:val="1"/>
      <w:numFmt w:val="decimal"/>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2" w15:restartNumberingAfterBreak="0">
    <w:nsid w:val="0D9365B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F612405"/>
    <w:multiLevelType w:val="hybridMultilevel"/>
    <w:tmpl w:val="3BA0CD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FCF33E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0815C03"/>
    <w:multiLevelType w:val="hybridMultilevel"/>
    <w:tmpl w:val="4EA6B8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B17C8E"/>
    <w:multiLevelType w:val="hybridMultilevel"/>
    <w:tmpl w:val="D474063E"/>
    <w:lvl w:ilvl="0" w:tplc="3A96096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0E67E1A"/>
    <w:multiLevelType w:val="multilevel"/>
    <w:tmpl w:val="1C8CB18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12AF05A9"/>
    <w:multiLevelType w:val="hybridMultilevel"/>
    <w:tmpl w:val="924CD7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84D723E"/>
    <w:multiLevelType w:val="hybridMultilevel"/>
    <w:tmpl w:val="F2A07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C1A40F1"/>
    <w:multiLevelType w:val="multilevel"/>
    <w:tmpl w:val="397A5062"/>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1" w15:restartNumberingAfterBreak="0">
    <w:nsid w:val="1D7C49AB"/>
    <w:multiLevelType w:val="hybridMultilevel"/>
    <w:tmpl w:val="D716F29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2" w15:restartNumberingAfterBreak="0">
    <w:nsid w:val="24F0434E"/>
    <w:multiLevelType w:val="multilevel"/>
    <w:tmpl w:val="8196F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7A5571"/>
    <w:multiLevelType w:val="multilevel"/>
    <w:tmpl w:val="27205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26633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A98064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AA74A1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E0759C3"/>
    <w:multiLevelType w:val="multilevel"/>
    <w:tmpl w:val="9C52773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8" w15:restartNumberingAfterBreak="0">
    <w:nsid w:val="4D445F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E6F4DDB"/>
    <w:multiLevelType w:val="hybridMultilevel"/>
    <w:tmpl w:val="A24A7692"/>
    <w:lvl w:ilvl="0" w:tplc="D0B8D204">
      <w:start w:val="1"/>
      <w:numFmt w:val="decimal"/>
      <w:lvlText w:val="%1."/>
      <w:lvlJc w:val="left"/>
      <w:pPr>
        <w:ind w:left="720" w:hanging="360"/>
      </w:pPr>
      <w:rPr>
        <w:rFonts w:eastAsiaTheme="majorEastAsia" w:cstheme="majorBidi"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7E11591"/>
    <w:multiLevelType w:val="hybridMultilevel"/>
    <w:tmpl w:val="404068A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65647EAE"/>
    <w:multiLevelType w:val="multilevel"/>
    <w:tmpl w:val="5A2239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020391F"/>
    <w:multiLevelType w:val="multilevel"/>
    <w:tmpl w:val="0409001F"/>
    <w:lvl w:ilvl="0">
      <w:start w:val="1"/>
      <w:numFmt w:val="decimal"/>
      <w:lvlText w:val="%1."/>
      <w:lvlJc w:val="left"/>
      <w:pPr>
        <w:ind w:left="1800" w:hanging="360"/>
      </w:pPr>
    </w:lvl>
    <w:lvl w:ilvl="1">
      <w:start w:val="1"/>
      <w:numFmt w:val="decimal"/>
      <w:lvlText w:val="%1.%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23" w15:restartNumberingAfterBreak="0">
    <w:nsid w:val="751D2D4A"/>
    <w:multiLevelType w:val="hybridMultilevel"/>
    <w:tmpl w:val="38DEFC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9D7742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B9E3213"/>
    <w:multiLevelType w:val="hybridMultilevel"/>
    <w:tmpl w:val="92EE60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BBF1FA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7C39610A"/>
    <w:multiLevelType w:val="hybridMultilevel"/>
    <w:tmpl w:val="0F14BC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23599100">
    <w:abstractNumId w:val="7"/>
  </w:num>
  <w:num w:numId="2" w16cid:durableId="2094353820">
    <w:abstractNumId w:val="21"/>
  </w:num>
  <w:num w:numId="3" w16cid:durableId="593586720">
    <w:abstractNumId w:val="8"/>
  </w:num>
  <w:num w:numId="4" w16cid:durableId="721053423">
    <w:abstractNumId w:val="15"/>
  </w:num>
  <w:num w:numId="5" w16cid:durableId="848328818">
    <w:abstractNumId w:val="24"/>
  </w:num>
  <w:num w:numId="6" w16cid:durableId="1956020216">
    <w:abstractNumId w:val="23"/>
  </w:num>
  <w:num w:numId="7" w16cid:durableId="1593200534">
    <w:abstractNumId w:val="19"/>
  </w:num>
  <w:num w:numId="8" w16cid:durableId="676274126">
    <w:abstractNumId w:val="14"/>
  </w:num>
  <w:num w:numId="9" w16cid:durableId="1394960551">
    <w:abstractNumId w:val="2"/>
  </w:num>
  <w:num w:numId="10" w16cid:durableId="1577587371">
    <w:abstractNumId w:val="6"/>
  </w:num>
  <w:num w:numId="11" w16cid:durableId="1596134634">
    <w:abstractNumId w:val="0"/>
  </w:num>
  <w:num w:numId="12" w16cid:durableId="334302871">
    <w:abstractNumId w:val="10"/>
  </w:num>
  <w:num w:numId="13" w16cid:durableId="1154301777">
    <w:abstractNumId w:val="12"/>
  </w:num>
  <w:num w:numId="14" w16cid:durableId="733433991">
    <w:abstractNumId w:val="13"/>
  </w:num>
  <w:num w:numId="15" w16cid:durableId="1097823900">
    <w:abstractNumId w:val="9"/>
  </w:num>
  <w:num w:numId="16" w16cid:durableId="413287698">
    <w:abstractNumId w:val="17"/>
  </w:num>
  <w:num w:numId="17" w16cid:durableId="1369843017">
    <w:abstractNumId w:val="11"/>
  </w:num>
  <w:num w:numId="18" w16cid:durableId="23948312">
    <w:abstractNumId w:val="5"/>
  </w:num>
  <w:num w:numId="19" w16cid:durableId="1145703964">
    <w:abstractNumId w:val="25"/>
  </w:num>
  <w:num w:numId="20" w16cid:durableId="306593335">
    <w:abstractNumId w:val="27"/>
  </w:num>
  <w:num w:numId="21" w16cid:durableId="266618828">
    <w:abstractNumId w:val="3"/>
  </w:num>
  <w:num w:numId="22" w16cid:durableId="722405137">
    <w:abstractNumId w:val="20"/>
  </w:num>
  <w:num w:numId="23" w16cid:durableId="1823617604">
    <w:abstractNumId w:val="1"/>
  </w:num>
  <w:num w:numId="24" w16cid:durableId="1998411550">
    <w:abstractNumId w:val="22"/>
  </w:num>
  <w:num w:numId="25" w16cid:durableId="246350959">
    <w:abstractNumId w:val="18"/>
  </w:num>
  <w:num w:numId="26" w16cid:durableId="1656640328">
    <w:abstractNumId w:val="26"/>
  </w:num>
  <w:num w:numId="27" w16cid:durableId="1541018282">
    <w:abstractNumId w:val="16"/>
  </w:num>
  <w:num w:numId="28" w16cid:durableId="2579561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E69"/>
    <w:rsid w:val="00001076"/>
    <w:rsid w:val="00001D06"/>
    <w:rsid w:val="00002288"/>
    <w:rsid w:val="00002456"/>
    <w:rsid w:val="00002C4B"/>
    <w:rsid w:val="000031C9"/>
    <w:rsid w:val="00003ED3"/>
    <w:rsid w:val="000063E4"/>
    <w:rsid w:val="000067AE"/>
    <w:rsid w:val="00007FF1"/>
    <w:rsid w:val="00011C58"/>
    <w:rsid w:val="00012B02"/>
    <w:rsid w:val="00013EA4"/>
    <w:rsid w:val="000148E5"/>
    <w:rsid w:val="00015896"/>
    <w:rsid w:val="00015AEE"/>
    <w:rsid w:val="00017284"/>
    <w:rsid w:val="00017A9B"/>
    <w:rsid w:val="00020287"/>
    <w:rsid w:val="000225DF"/>
    <w:rsid w:val="00022A05"/>
    <w:rsid w:val="00022CE0"/>
    <w:rsid w:val="00023D7B"/>
    <w:rsid w:val="000242FD"/>
    <w:rsid w:val="00024A24"/>
    <w:rsid w:val="000252BC"/>
    <w:rsid w:val="00025D6B"/>
    <w:rsid w:val="00027B41"/>
    <w:rsid w:val="000308A5"/>
    <w:rsid w:val="00031DF0"/>
    <w:rsid w:val="0003263D"/>
    <w:rsid w:val="00032F4C"/>
    <w:rsid w:val="00033FD4"/>
    <w:rsid w:val="00034DD6"/>
    <w:rsid w:val="000361C6"/>
    <w:rsid w:val="000363F3"/>
    <w:rsid w:val="00036D59"/>
    <w:rsid w:val="00043E0B"/>
    <w:rsid w:val="00044D81"/>
    <w:rsid w:val="00044E4A"/>
    <w:rsid w:val="000465D0"/>
    <w:rsid w:val="00051A8B"/>
    <w:rsid w:val="0005348D"/>
    <w:rsid w:val="00053A46"/>
    <w:rsid w:val="000546E2"/>
    <w:rsid w:val="00054932"/>
    <w:rsid w:val="00055E9B"/>
    <w:rsid w:val="00056795"/>
    <w:rsid w:val="00056EF0"/>
    <w:rsid w:val="000600DD"/>
    <w:rsid w:val="0006187A"/>
    <w:rsid w:val="00061C90"/>
    <w:rsid w:val="00061F4C"/>
    <w:rsid w:val="00064ABC"/>
    <w:rsid w:val="00065EAE"/>
    <w:rsid w:val="00066A0F"/>
    <w:rsid w:val="000672A4"/>
    <w:rsid w:val="0007096D"/>
    <w:rsid w:val="00071BF4"/>
    <w:rsid w:val="00075F5B"/>
    <w:rsid w:val="0007610A"/>
    <w:rsid w:val="000763BA"/>
    <w:rsid w:val="000774DE"/>
    <w:rsid w:val="00080DBF"/>
    <w:rsid w:val="000811D3"/>
    <w:rsid w:val="00081276"/>
    <w:rsid w:val="00083000"/>
    <w:rsid w:val="000838FC"/>
    <w:rsid w:val="00084D1B"/>
    <w:rsid w:val="00085AE4"/>
    <w:rsid w:val="00086B5A"/>
    <w:rsid w:val="00086E28"/>
    <w:rsid w:val="000903EB"/>
    <w:rsid w:val="000916C4"/>
    <w:rsid w:val="0009249C"/>
    <w:rsid w:val="00092CC1"/>
    <w:rsid w:val="00094B66"/>
    <w:rsid w:val="00094C1E"/>
    <w:rsid w:val="000951C0"/>
    <w:rsid w:val="00095425"/>
    <w:rsid w:val="00095D13"/>
    <w:rsid w:val="000A0990"/>
    <w:rsid w:val="000A43E3"/>
    <w:rsid w:val="000A55A9"/>
    <w:rsid w:val="000A59A7"/>
    <w:rsid w:val="000A5C21"/>
    <w:rsid w:val="000A675A"/>
    <w:rsid w:val="000B18F5"/>
    <w:rsid w:val="000B20D0"/>
    <w:rsid w:val="000B2BBD"/>
    <w:rsid w:val="000B3A62"/>
    <w:rsid w:val="000B4CB4"/>
    <w:rsid w:val="000B527F"/>
    <w:rsid w:val="000B5568"/>
    <w:rsid w:val="000B59B1"/>
    <w:rsid w:val="000B6394"/>
    <w:rsid w:val="000B671B"/>
    <w:rsid w:val="000B711A"/>
    <w:rsid w:val="000B7223"/>
    <w:rsid w:val="000B7868"/>
    <w:rsid w:val="000C1521"/>
    <w:rsid w:val="000C32C9"/>
    <w:rsid w:val="000C4DA6"/>
    <w:rsid w:val="000C5AE5"/>
    <w:rsid w:val="000C5F2C"/>
    <w:rsid w:val="000C7003"/>
    <w:rsid w:val="000C7094"/>
    <w:rsid w:val="000C7132"/>
    <w:rsid w:val="000C7AA9"/>
    <w:rsid w:val="000C7FE3"/>
    <w:rsid w:val="000D11F8"/>
    <w:rsid w:val="000D397F"/>
    <w:rsid w:val="000D47B5"/>
    <w:rsid w:val="000D56A0"/>
    <w:rsid w:val="000D5BD2"/>
    <w:rsid w:val="000D64F5"/>
    <w:rsid w:val="000D6E89"/>
    <w:rsid w:val="000E0871"/>
    <w:rsid w:val="000E0A4A"/>
    <w:rsid w:val="000E1B50"/>
    <w:rsid w:val="000E28C6"/>
    <w:rsid w:val="000E2981"/>
    <w:rsid w:val="000E47D0"/>
    <w:rsid w:val="000E5E37"/>
    <w:rsid w:val="000E65F8"/>
    <w:rsid w:val="000E68EF"/>
    <w:rsid w:val="000E6C58"/>
    <w:rsid w:val="000E7ABB"/>
    <w:rsid w:val="000F1079"/>
    <w:rsid w:val="000F14BA"/>
    <w:rsid w:val="000F225E"/>
    <w:rsid w:val="000F2FB1"/>
    <w:rsid w:val="000F3F8F"/>
    <w:rsid w:val="000F41CA"/>
    <w:rsid w:val="000F41F1"/>
    <w:rsid w:val="000F570A"/>
    <w:rsid w:val="00100C25"/>
    <w:rsid w:val="0010132C"/>
    <w:rsid w:val="00101E68"/>
    <w:rsid w:val="00103B4B"/>
    <w:rsid w:val="001049A6"/>
    <w:rsid w:val="00104CBB"/>
    <w:rsid w:val="00106D80"/>
    <w:rsid w:val="0010727E"/>
    <w:rsid w:val="001113FC"/>
    <w:rsid w:val="001114B5"/>
    <w:rsid w:val="001205A4"/>
    <w:rsid w:val="001206C3"/>
    <w:rsid w:val="00120E73"/>
    <w:rsid w:val="00120F73"/>
    <w:rsid w:val="00122654"/>
    <w:rsid w:val="00122E2C"/>
    <w:rsid w:val="0012334C"/>
    <w:rsid w:val="001237D4"/>
    <w:rsid w:val="00123EAA"/>
    <w:rsid w:val="001240F9"/>
    <w:rsid w:val="00124163"/>
    <w:rsid w:val="0012422C"/>
    <w:rsid w:val="00130084"/>
    <w:rsid w:val="00130B49"/>
    <w:rsid w:val="00130DD5"/>
    <w:rsid w:val="00132751"/>
    <w:rsid w:val="00134070"/>
    <w:rsid w:val="0013444E"/>
    <w:rsid w:val="00135A92"/>
    <w:rsid w:val="00136AF7"/>
    <w:rsid w:val="00137300"/>
    <w:rsid w:val="00141EED"/>
    <w:rsid w:val="001441DC"/>
    <w:rsid w:val="00144492"/>
    <w:rsid w:val="001463BB"/>
    <w:rsid w:val="001478E5"/>
    <w:rsid w:val="00151C4B"/>
    <w:rsid w:val="00151CFB"/>
    <w:rsid w:val="0015291A"/>
    <w:rsid w:val="00154180"/>
    <w:rsid w:val="00156010"/>
    <w:rsid w:val="001564AE"/>
    <w:rsid w:val="001566BF"/>
    <w:rsid w:val="001575B8"/>
    <w:rsid w:val="00162886"/>
    <w:rsid w:val="00162D2D"/>
    <w:rsid w:val="00164F9B"/>
    <w:rsid w:val="00165613"/>
    <w:rsid w:val="0016599C"/>
    <w:rsid w:val="00167F72"/>
    <w:rsid w:val="001700D6"/>
    <w:rsid w:val="00170BA5"/>
    <w:rsid w:val="00171087"/>
    <w:rsid w:val="001719F2"/>
    <w:rsid w:val="00172C32"/>
    <w:rsid w:val="00172CA7"/>
    <w:rsid w:val="001739F4"/>
    <w:rsid w:val="0017503F"/>
    <w:rsid w:val="001760B2"/>
    <w:rsid w:val="00176473"/>
    <w:rsid w:val="001807CE"/>
    <w:rsid w:val="00180F15"/>
    <w:rsid w:val="001815F8"/>
    <w:rsid w:val="00182478"/>
    <w:rsid w:val="00183553"/>
    <w:rsid w:val="00185102"/>
    <w:rsid w:val="00187709"/>
    <w:rsid w:val="001903BC"/>
    <w:rsid w:val="001906FA"/>
    <w:rsid w:val="001914B4"/>
    <w:rsid w:val="001923B6"/>
    <w:rsid w:val="001933A5"/>
    <w:rsid w:val="001951D7"/>
    <w:rsid w:val="00195348"/>
    <w:rsid w:val="001958EC"/>
    <w:rsid w:val="001A5973"/>
    <w:rsid w:val="001A64EC"/>
    <w:rsid w:val="001A65C5"/>
    <w:rsid w:val="001A6EF0"/>
    <w:rsid w:val="001A79AC"/>
    <w:rsid w:val="001A7C75"/>
    <w:rsid w:val="001A7D78"/>
    <w:rsid w:val="001B14F5"/>
    <w:rsid w:val="001B2C3C"/>
    <w:rsid w:val="001B2D97"/>
    <w:rsid w:val="001B3361"/>
    <w:rsid w:val="001B4C1C"/>
    <w:rsid w:val="001B620B"/>
    <w:rsid w:val="001B65DD"/>
    <w:rsid w:val="001B67D9"/>
    <w:rsid w:val="001B7638"/>
    <w:rsid w:val="001C170E"/>
    <w:rsid w:val="001D13BB"/>
    <w:rsid w:val="001D2D97"/>
    <w:rsid w:val="001D3372"/>
    <w:rsid w:val="001D386F"/>
    <w:rsid w:val="001D3DA2"/>
    <w:rsid w:val="001D4968"/>
    <w:rsid w:val="001E190F"/>
    <w:rsid w:val="001E1D17"/>
    <w:rsid w:val="001E1E6D"/>
    <w:rsid w:val="001E1F12"/>
    <w:rsid w:val="001F0EE8"/>
    <w:rsid w:val="001F1050"/>
    <w:rsid w:val="001F29F5"/>
    <w:rsid w:val="001F2E5E"/>
    <w:rsid w:val="001F350C"/>
    <w:rsid w:val="001F4D5A"/>
    <w:rsid w:val="001F6577"/>
    <w:rsid w:val="001F665C"/>
    <w:rsid w:val="001F7C4C"/>
    <w:rsid w:val="002028AC"/>
    <w:rsid w:val="00202B82"/>
    <w:rsid w:val="0020513D"/>
    <w:rsid w:val="002065FE"/>
    <w:rsid w:val="00206823"/>
    <w:rsid w:val="00207100"/>
    <w:rsid w:val="00207959"/>
    <w:rsid w:val="00212848"/>
    <w:rsid w:val="00214058"/>
    <w:rsid w:val="00216857"/>
    <w:rsid w:val="002179B8"/>
    <w:rsid w:val="00220FFA"/>
    <w:rsid w:val="00221095"/>
    <w:rsid w:val="00222134"/>
    <w:rsid w:val="0022213E"/>
    <w:rsid w:val="0022244F"/>
    <w:rsid w:val="00224FAA"/>
    <w:rsid w:val="00226431"/>
    <w:rsid w:val="0022682C"/>
    <w:rsid w:val="00226B8D"/>
    <w:rsid w:val="002308E2"/>
    <w:rsid w:val="00231EFA"/>
    <w:rsid w:val="00233593"/>
    <w:rsid w:val="0023393D"/>
    <w:rsid w:val="0023429C"/>
    <w:rsid w:val="00235C05"/>
    <w:rsid w:val="002373EB"/>
    <w:rsid w:val="00240524"/>
    <w:rsid w:val="00240836"/>
    <w:rsid w:val="00241FB1"/>
    <w:rsid w:val="00242123"/>
    <w:rsid w:val="00242C58"/>
    <w:rsid w:val="0024445D"/>
    <w:rsid w:val="00245126"/>
    <w:rsid w:val="00246D8E"/>
    <w:rsid w:val="0024750E"/>
    <w:rsid w:val="00247562"/>
    <w:rsid w:val="00247DEC"/>
    <w:rsid w:val="00251527"/>
    <w:rsid w:val="00251746"/>
    <w:rsid w:val="002520C9"/>
    <w:rsid w:val="00252785"/>
    <w:rsid w:val="002538C0"/>
    <w:rsid w:val="00254573"/>
    <w:rsid w:val="00254C87"/>
    <w:rsid w:val="00255692"/>
    <w:rsid w:val="00257807"/>
    <w:rsid w:val="00262068"/>
    <w:rsid w:val="002625E5"/>
    <w:rsid w:val="002629EE"/>
    <w:rsid w:val="002639B5"/>
    <w:rsid w:val="00263ACD"/>
    <w:rsid w:val="002642B5"/>
    <w:rsid w:val="00266DB8"/>
    <w:rsid w:val="002704F0"/>
    <w:rsid w:val="002710B6"/>
    <w:rsid w:val="002729D0"/>
    <w:rsid w:val="002768AE"/>
    <w:rsid w:val="00276ACC"/>
    <w:rsid w:val="00277081"/>
    <w:rsid w:val="00277820"/>
    <w:rsid w:val="00280705"/>
    <w:rsid w:val="00280BE2"/>
    <w:rsid w:val="00281FDD"/>
    <w:rsid w:val="00282AF4"/>
    <w:rsid w:val="00284720"/>
    <w:rsid w:val="00284BC8"/>
    <w:rsid w:val="00284C5A"/>
    <w:rsid w:val="00284D6C"/>
    <w:rsid w:val="002857C6"/>
    <w:rsid w:val="00286A6A"/>
    <w:rsid w:val="002877F8"/>
    <w:rsid w:val="0029036E"/>
    <w:rsid w:val="00291FD8"/>
    <w:rsid w:val="00292383"/>
    <w:rsid w:val="002948C5"/>
    <w:rsid w:val="0029517F"/>
    <w:rsid w:val="002964C1"/>
    <w:rsid w:val="002A0865"/>
    <w:rsid w:val="002A1A11"/>
    <w:rsid w:val="002A1BD5"/>
    <w:rsid w:val="002A43ED"/>
    <w:rsid w:val="002A47D2"/>
    <w:rsid w:val="002A534C"/>
    <w:rsid w:val="002A69A5"/>
    <w:rsid w:val="002A7D9F"/>
    <w:rsid w:val="002B0078"/>
    <w:rsid w:val="002B0606"/>
    <w:rsid w:val="002B1A80"/>
    <w:rsid w:val="002B21E3"/>
    <w:rsid w:val="002B24E5"/>
    <w:rsid w:val="002B4182"/>
    <w:rsid w:val="002B4741"/>
    <w:rsid w:val="002B4F6D"/>
    <w:rsid w:val="002B5EAA"/>
    <w:rsid w:val="002B71DB"/>
    <w:rsid w:val="002B7EE6"/>
    <w:rsid w:val="002C2540"/>
    <w:rsid w:val="002C2A5B"/>
    <w:rsid w:val="002C4154"/>
    <w:rsid w:val="002D04FE"/>
    <w:rsid w:val="002D0AC9"/>
    <w:rsid w:val="002D0E69"/>
    <w:rsid w:val="002D0EBC"/>
    <w:rsid w:val="002D19E8"/>
    <w:rsid w:val="002D26FF"/>
    <w:rsid w:val="002D4325"/>
    <w:rsid w:val="002D54F7"/>
    <w:rsid w:val="002D6780"/>
    <w:rsid w:val="002D68B9"/>
    <w:rsid w:val="002D7809"/>
    <w:rsid w:val="002E0EC2"/>
    <w:rsid w:val="002E2DFE"/>
    <w:rsid w:val="002E3EDA"/>
    <w:rsid w:val="002E524B"/>
    <w:rsid w:val="002E541B"/>
    <w:rsid w:val="002E5997"/>
    <w:rsid w:val="002E5E4A"/>
    <w:rsid w:val="002F234E"/>
    <w:rsid w:val="002F2838"/>
    <w:rsid w:val="002F2A24"/>
    <w:rsid w:val="002F5405"/>
    <w:rsid w:val="002F6058"/>
    <w:rsid w:val="002F7539"/>
    <w:rsid w:val="002F75C3"/>
    <w:rsid w:val="00300D52"/>
    <w:rsid w:val="00300FB0"/>
    <w:rsid w:val="003013E3"/>
    <w:rsid w:val="0030158D"/>
    <w:rsid w:val="00302075"/>
    <w:rsid w:val="00305D33"/>
    <w:rsid w:val="003060F8"/>
    <w:rsid w:val="003077D9"/>
    <w:rsid w:val="00307E7F"/>
    <w:rsid w:val="0031024A"/>
    <w:rsid w:val="0031196C"/>
    <w:rsid w:val="00311E95"/>
    <w:rsid w:val="003138D6"/>
    <w:rsid w:val="0031520C"/>
    <w:rsid w:val="003154DB"/>
    <w:rsid w:val="003170FC"/>
    <w:rsid w:val="00320784"/>
    <w:rsid w:val="003221D5"/>
    <w:rsid w:val="00323E3D"/>
    <w:rsid w:val="0032668E"/>
    <w:rsid w:val="0032723B"/>
    <w:rsid w:val="00327AA5"/>
    <w:rsid w:val="00327FA1"/>
    <w:rsid w:val="00330514"/>
    <w:rsid w:val="003328F3"/>
    <w:rsid w:val="00332AED"/>
    <w:rsid w:val="0033335B"/>
    <w:rsid w:val="003337EC"/>
    <w:rsid w:val="00333B57"/>
    <w:rsid w:val="00334CA3"/>
    <w:rsid w:val="003353D0"/>
    <w:rsid w:val="0033540F"/>
    <w:rsid w:val="00336745"/>
    <w:rsid w:val="0033675B"/>
    <w:rsid w:val="00336EFD"/>
    <w:rsid w:val="00337520"/>
    <w:rsid w:val="00337C2E"/>
    <w:rsid w:val="0034291F"/>
    <w:rsid w:val="00343513"/>
    <w:rsid w:val="0034366E"/>
    <w:rsid w:val="00344D17"/>
    <w:rsid w:val="003460C4"/>
    <w:rsid w:val="0034691E"/>
    <w:rsid w:val="0035009D"/>
    <w:rsid w:val="0035089A"/>
    <w:rsid w:val="003513FC"/>
    <w:rsid w:val="003519F3"/>
    <w:rsid w:val="00351C39"/>
    <w:rsid w:val="00352439"/>
    <w:rsid w:val="00353438"/>
    <w:rsid w:val="003537A3"/>
    <w:rsid w:val="003563C9"/>
    <w:rsid w:val="0035668B"/>
    <w:rsid w:val="0036005C"/>
    <w:rsid w:val="00360877"/>
    <w:rsid w:val="003613F3"/>
    <w:rsid w:val="00361894"/>
    <w:rsid w:val="00363082"/>
    <w:rsid w:val="003637BF"/>
    <w:rsid w:val="00363F54"/>
    <w:rsid w:val="00365C56"/>
    <w:rsid w:val="00366FB3"/>
    <w:rsid w:val="0036789B"/>
    <w:rsid w:val="00367F5A"/>
    <w:rsid w:val="00372F5E"/>
    <w:rsid w:val="00374174"/>
    <w:rsid w:val="00374A92"/>
    <w:rsid w:val="00374ECB"/>
    <w:rsid w:val="003751A9"/>
    <w:rsid w:val="00375BC2"/>
    <w:rsid w:val="00375D3A"/>
    <w:rsid w:val="00376604"/>
    <w:rsid w:val="00376C20"/>
    <w:rsid w:val="00376E0E"/>
    <w:rsid w:val="00376FC5"/>
    <w:rsid w:val="003803BB"/>
    <w:rsid w:val="003817FD"/>
    <w:rsid w:val="00381948"/>
    <w:rsid w:val="003825B9"/>
    <w:rsid w:val="00382B1C"/>
    <w:rsid w:val="00383797"/>
    <w:rsid w:val="00386E07"/>
    <w:rsid w:val="003877F1"/>
    <w:rsid w:val="00387882"/>
    <w:rsid w:val="00390092"/>
    <w:rsid w:val="00390A6A"/>
    <w:rsid w:val="003910F7"/>
    <w:rsid w:val="003912DC"/>
    <w:rsid w:val="00391D8D"/>
    <w:rsid w:val="003926D2"/>
    <w:rsid w:val="0039328E"/>
    <w:rsid w:val="00393468"/>
    <w:rsid w:val="00394F9C"/>
    <w:rsid w:val="003977F0"/>
    <w:rsid w:val="00397852"/>
    <w:rsid w:val="003A1779"/>
    <w:rsid w:val="003A1F07"/>
    <w:rsid w:val="003A301B"/>
    <w:rsid w:val="003A426D"/>
    <w:rsid w:val="003A580B"/>
    <w:rsid w:val="003A71A3"/>
    <w:rsid w:val="003B2F65"/>
    <w:rsid w:val="003B3A06"/>
    <w:rsid w:val="003B3C68"/>
    <w:rsid w:val="003B52E5"/>
    <w:rsid w:val="003B5844"/>
    <w:rsid w:val="003B5B1F"/>
    <w:rsid w:val="003B624F"/>
    <w:rsid w:val="003B6735"/>
    <w:rsid w:val="003B7C2A"/>
    <w:rsid w:val="003C195B"/>
    <w:rsid w:val="003C1D94"/>
    <w:rsid w:val="003C1EA0"/>
    <w:rsid w:val="003C23A8"/>
    <w:rsid w:val="003C2BB4"/>
    <w:rsid w:val="003C2BE8"/>
    <w:rsid w:val="003C2CAA"/>
    <w:rsid w:val="003C3347"/>
    <w:rsid w:val="003C38F7"/>
    <w:rsid w:val="003C4D30"/>
    <w:rsid w:val="003C4E30"/>
    <w:rsid w:val="003C64DF"/>
    <w:rsid w:val="003C6C05"/>
    <w:rsid w:val="003C7CD0"/>
    <w:rsid w:val="003D06D9"/>
    <w:rsid w:val="003D1363"/>
    <w:rsid w:val="003D18CA"/>
    <w:rsid w:val="003D24A4"/>
    <w:rsid w:val="003D2BC5"/>
    <w:rsid w:val="003D3115"/>
    <w:rsid w:val="003D32AA"/>
    <w:rsid w:val="003D5287"/>
    <w:rsid w:val="003D56F7"/>
    <w:rsid w:val="003D6614"/>
    <w:rsid w:val="003D6854"/>
    <w:rsid w:val="003D6EC7"/>
    <w:rsid w:val="003E08EC"/>
    <w:rsid w:val="003E143C"/>
    <w:rsid w:val="003E2B1C"/>
    <w:rsid w:val="003E2B1D"/>
    <w:rsid w:val="003E364F"/>
    <w:rsid w:val="003E55E8"/>
    <w:rsid w:val="003E5BE3"/>
    <w:rsid w:val="003E61E9"/>
    <w:rsid w:val="003E7F37"/>
    <w:rsid w:val="003F10F2"/>
    <w:rsid w:val="003F2257"/>
    <w:rsid w:val="003F58F8"/>
    <w:rsid w:val="003F662B"/>
    <w:rsid w:val="003F76FD"/>
    <w:rsid w:val="0040041C"/>
    <w:rsid w:val="00400D6B"/>
    <w:rsid w:val="00401519"/>
    <w:rsid w:val="00401FE9"/>
    <w:rsid w:val="00404C23"/>
    <w:rsid w:val="004053DE"/>
    <w:rsid w:val="004062AB"/>
    <w:rsid w:val="004108BF"/>
    <w:rsid w:val="004122F5"/>
    <w:rsid w:val="00413FCC"/>
    <w:rsid w:val="0041409B"/>
    <w:rsid w:val="00414B50"/>
    <w:rsid w:val="00415A77"/>
    <w:rsid w:val="004163BE"/>
    <w:rsid w:val="00416C08"/>
    <w:rsid w:val="004203B4"/>
    <w:rsid w:val="0042100C"/>
    <w:rsid w:val="00421161"/>
    <w:rsid w:val="0042131E"/>
    <w:rsid w:val="00421D2F"/>
    <w:rsid w:val="004228FD"/>
    <w:rsid w:val="00422BD5"/>
    <w:rsid w:val="00425412"/>
    <w:rsid w:val="004272FE"/>
    <w:rsid w:val="00427F8D"/>
    <w:rsid w:val="00430C72"/>
    <w:rsid w:val="00430D54"/>
    <w:rsid w:val="00431690"/>
    <w:rsid w:val="00431D70"/>
    <w:rsid w:val="00432F0C"/>
    <w:rsid w:val="00433825"/>
    <w:rsid w:val="0043753E"/>
    <w:rsid w:val="00437783"/>
    <w:rsid w:val="00437FF6"/>
    <w:rsid w:val="00440225"/>
    <w:rsid w:val="00442E5D"/>
    <w:rsid w:val="0044318B"/>
    <w:rsid w:val="00444568"/>
    <w:rsid w:val="00444948"/>
    <w:rsid w:val="004449C3"/>
    <w:rsid w:val="004459C5"/>
    <w:rsid w:val="00445ADE"/>
    <w:rsid w:val="00450723"/>
    <w:rsid w:val="00451144"/>
    <w:rsid w:val="004517F1"/>
    <w:rsid w:val="004525EB"/>
    <w:rsid w:val="0045310B"/>
    <w:rsid w:val="004538BB"/>
    <w:rsid w:val="00453DDA"/>
    <w:rsid w:val="004568E3"/>
    <w:rsid w:val="00456E7A"/>
    <w:rsid w:val="004578B8"/>
    <w:rsid w:val="00460136"/>
    <w:rsid w:val="004601C1"/>
    <w:rsid w:val="004613F1"/>
    <w:rsid w:val="00461753"/>
    <w:rsid w:val="004625EC"/>
    <w:rsid w:val="00462C4D"/>
    <w:rsid w:val="00462F63"/>
    <w:rsid w:val="00463432"/>
    <w:rsid w:val="00466823"/>
    <w:rsid w:val="00467EE9"/>
    <w:rsid w:val="00471BE5"/>
    <w:rsid w:val="00473411"/>
    <w:rsid w:val="0047539F"/>
    <w:rsid w:val="00475C8D"/>
    <w:rsid w:val="00475F2F"/>
    <w:rsid w:val="004760C0"/>
    <w:rsid w:val="00477435"/>
    <w:rsid w:val="0047778D"/>
    <w:rsid w:val="00477C02"/>
    <w:rsid w:val="00477E44"/>
    <w:rsid w:val="00480307"/>
    <w:rsid w:val="00480A0F"/>
    <w:rsid w:val="00481CF8"/>
    <w:rsid w:val="004829D0"/>
    <w:rsid w:val="00482C77"/>
    <w:rsid w:val="0048327F"/>
    <w:rsid w:val="0048394D"/>
    <w:rsid w:val="00484628"/>
    <w:rsid w:val="00484DC2"/>
    <w:rsid w:val="00484FC1"/>
    <w:rsid w:val="0048691C"/>
    <w:rsid w:val="0048722C"/>
    <w:rsid w:val="00487436"/>
    <w:rsid w:val="00491545"/>
    <w:rsid w:val="0049195E"/>
    <w:rsid w:val="00491F5E"/>
    <w:rsid w:val="00492F53"/>
    <w:rsid w:val="0049652E"/>
    <w:rsid w:val="004A0DE9"/>
    <w:rsid w:val="004A0FD9"/>
    <w:rsid w:val="004A30BF"/>
    <w:rsid w:val="004A30D8"/>
    <w:rsid w:val="004A33D0"/>
    <w:rsid w:val="004A35AD"/>
    <w:rsid w:val="004A36BF"/>
    <w:rsid w:val="004A4881"/>
    <w:rsid w:val="004A52F5"/>
    <w:rsid w:val="004A57C6"/>
    <w:rsid w:val="004A587B"/>
    <w:rsid w:val="004A5B68"/>
    <w:rsid w:val="004A739D"/>
    <w:rsid w:val="004A77C0"/>
    <w:rsid w:val="004B0125"/>
    <w:rsid w:val="004B196E"/>
    <w:rsid w:val="004B37E1"/>
    <w:rsid w:val="004C2071"/>
    <w:rsid w:val="004C24D3"/>
    <w:rsid w:val="004C3B17"/>
    <w:rsid w:val="004C5CFF"/>
    <w:rsid w:val="004C63EF"/>
    <w:rsid w:val="004C6E0A"/>
    <w:rsid w:val="004C73A8"/>
    <w:rsid w:val="004C7BF4"/>
    <w:rsid w:val="004D0341"/>
    <w:rsid w:val="004D081B"/>
    <w:rsid w:val="004D0CAE"/>
    <w:rsid w:val="004D0E23"/>
    <w:rsid w:val="004D131E"/>
    <w:rsid w:val="004D1B87"/>
    <w:rsid w:val="004D3A02"/>
    <w:rsid w:val="004D4693"/>
    <w:rsid w:val="004D4773"/>
    <w:rsid w:val="004D4BFE"/>
    <w:rsid w:val="004D5CE4"/>
    <w:rsid w:val="004D6DEE"/>
    <w:rsid w:val="004D72C4"/>
    <w:rsid w:val="004D77A2"/>
    <w:rsid w:val="004E01E6"/>
    <w:rsid w:val="004E3877"/>
    <w:rsid w:val="004E4A11"/>
    <w:rsid w:val="004E4D6D"/>
    <w:rsid w:val="004E51F9"/>
    <w:rsid w:val="004E64F7"/>
    <w:rsid w:val="004E6F41"/>
    <w:rsid w:val="004E7865"/>
    <w:rsid w:val="004F2327"/>
    <w:rsid w:val="004F30F7"/>
    <w:rsid w:val="004F3536"/>
    <w:rsid w:val="004F428E"/>
    <w:rsid w:val="004F459E"/>
    <w:rsid w:val="004F702A"/>
    <w:rsid w:val="004F76CE"/>
    <w:rsid w:val="00500742"/>
    <w:rsid w:val="00501988"/>
    <w:rsid w:val="00502143"/>
    <w:rsid w:val="00504E2F"/>
    <w:rsid w:val="005050F4"/>
    <w:rsid w:val="005067CE"/>
    <w:rsid w:val="005068E5"/>
    <w:rsid w:val="005069E5"/>
    <w:rsid w:val="00507205"/>
    <w:rsid w:val="005076FB"/>
    <w:rsid w:val="00507808"/>
    <w:rsid w:val="00510037"/>
    <w:rsid w:val="00510431"/>
    <w:rsid w:val="00511EF5"/>
    <w:rsid w:val="0051291E"/>
    <w:rsid w:val="00512BD4"/>
    <w:rsid w:val="00513D1A"/>
    <w:rsid w:val="00514664"/>
    <w:rsid w:val="00515638"/>
    <w:rsid w:val="00516295"/>
    <w:rsid w:val="005207DA"/>
    <w:rsid w:val="005219F5"/>
    <w:rsid w:val="00522ACA"/>
    <w:rsid w:val="00522C95"/>
    <w:rsid w:val="00523428"/>
    <w:rsid w:val="00524221"/>
    <w:rsid w:val="00526E4A"/>
    <w:rsid w:val="005308FF"/>
    <w:rsid w:val="005316FD"/>
    <w:rsid w:val="00532683"/>
    <w:rsid w:val="005330FF"/>
    <w:rsid w:val="00533543"/>
    <w:rsid w:val="00533B2E"/>
    <w:rsid w:val="005344F1"/>
    <w:rsid w:val="00535D65"/>
    <w:rsid w:val="00535E28"/>
    <w:rsid w:val="005369CA"/>
    <w:rsid w:val="00537E7B"/>
    <w:rsid w:val="005405AD"/>
    <w:rsid w:val="00541827"/>
    <w:rsid w:val="005424F6"/>
    <w:rsid w:val="005434FF"/>
    <w:rsid w:val="005446CC"/>
    <w:rsid w:val="00545E69"/>
    <w:rsid w:val="00545E73"/>
    <w:rsid w:val="00546B52"/>
    <w:rsid w:val="0054734F"/>
    <w:rsid w:val="00547937"/>
    <w:rsid w:val="00547CB7"/>
    <w:rsid w:val="00547F8D"/>
    <w:rsid w:val="0055012C"/>
    <w:rsid w:val="00550347"/>
    <w:rsid w:val="00550712"/>
    <w:rsid w:val="0055186A"/>
    <w:rsid w:val="00552B5D"/>
    <w:rsid w:val="00554782"/>
    <w:rsid w:val="005549C7"/>
    <w:rsid w:val="00554AB4"/>
    <w:rsid w:val="005550A4"/>
    <w:rsid w:val="00555762"/>
    <w:rsid w:val="005571DC"/>
    <w:rsid w:val="005578E9"/>
    <w:rsid w:val="00557CA9"/>
    <w:rsid w:val="00560D96"/>
    <w:rsid w:val="00560DB7"/>
    <w:rsid w:val="0056457F"/>
    <w:rsid w:val="00566783"/>
    <w:rsid w:val="00567B93"/>
    <w:rsid w:val="0057025F"/>
    <w:rsid w:val="00570959"/>
    <w:rsid w:val="00571329"/>
    <w:rsid w:val="0057164C"/>
    <w:rsid w:val="00571C95"/>
    <w:rsid w:val="0057218D"/>
    <w:rsid w:val="00573C4A"/>
    <w:rsid w:val="00573D04"/>
    <w:rsid w:val="00573D8D"/>
    <w:rsid w:val="00574282"/>
    <w:rsid w:val="00574422"/>
    <w:rsid w:val="0057577A"/>
    <w:rsid w:val="00575FB8"/>
    <w:rsid w:val="0057639C"/>
    <w:rsid w:val="005770FE"/>
    <w:rsid w:val="00580616"/>
    <w:rsid w:val="00580A0D"/>
    <w:rsid w:val="00581B9D"/>
    <w:rsid w:val="00582AF8"/>
    <w:rsid w:val="00582C1C"/>
    <w:rsid w:val="00583535"/>
    <w:rsid w:val="0058445D"/>
    <w:rsid w:val="00586CC8"/>
    <w:rsid w:val="00586DE0"/>
    <w:rsid w:val="00586FAA"/>
    <w:rsid w:val="005870A8"/>
    <w:rsid w:val="0059040F"/>
    <w:rsid w:val="00591CE0"/>
    <w:rsid w:val="00591E6E"/>
    <w:rsid w:val="00592AD1"/>
    <w:rsid w:val="00592EC6"/>
    <w:rsid w:val="00593FE1"/>
    <w:rsid w:val="00594E9E"/>
    <w:rsid w:val="00596592"/>
    <w:rsid w:val="005A0960"/>
    <w:rsid w:val="005A0BBC"/>
    <w:rsid w:val="005A2F1D"/>
    <w:rsid w:val="005A2F96"/>
    <w:rsid w:val="005A418E"/>
    <w:rsid w:val="005A42C7"/>
    <w:rsid w:val="005A5D97"/>
    <w:rsid w:val="005A737F"/>
    <w:rsid w:val="005B0F93"/>
    <w:rsid w:val="005B3C58"/>
    <w:rsid w:val="005B410E"/>
    <w:rsid w:val="005B41A2"/>
    <w:rsid w:val="005B5694"/>
    <w:rsid w:val="005B5853"/>
    <w:rsid w:val="005B5858"/>
    <w:rsid w:val="005B5B19"/>
    <w:rsid w:val="005C0A43"/>
    <w:rsid w:val="005C0AE4"/>
    <w:rsid w:val="005C0E7F"/>
    <w:rsid w:val="005C1CA8"/>
    <w:rsid w:val="005C3507"/>
    <w:rsid w:val="005C36BA"/>
    <w:rsid w:val="005C4A9D"/>
    <w:rsid w:val="005D10E3"/>
    <w:rsid w:val="005D1486"/>
    <w:rsid w:val="005D191A"/>
    <w:rsid w:val="005D3816"/>
    <w:rsid w:val="005D3E60"/>
    <w:rsid w:val="005D41F2"/>
    <w:rsid w:val="005D46D7"/>
    <w:rsid w:val="005D50F7"/>
    <w:rsid w:val="005D5344"/>
    <w:rsid w:val="005D6205"/>
    <w:rsid w:val="005D664E"/>
    <w:rsid w:val="005D71FA"/>
    <w:rsid w:val="005D76EA"/>
    <w:rsid w:val="005E14AE"/>
    <w:rsid w:val="005E2463"/>
    <w:rsid w:val="005E31A6"/>
    <w:rsid w:val="005E31B7"/>
    <w:rsid w:val="005E35BD"/>
    <w:rsid w:val="005E3769"/>
    <w:rsid w:val="005E4617"/>
    <w:rsid w:val="005E4B30"/>
    <w:rsid w:val="005E4F78"/>
    <w:rsid w:val="005E540D"/>
    <w:rsid w:val="005E548D"/>
    <w:rsid w:val="005F0180"/>
    <w:rsid w:val="005F01EF"/>
    <w:rsid w:val="005F2AAC"/>
    <w:rsid w:val="005F3829"/>
    <w:rsid w:val="005F58C1"/>
    <w:rsid w:val="005F5A2B"/>
    <w:rsid w:val="005F5F1E"/>
    <w:rsid w:val="005F61A5"/>
    <w:rsid w:val="005F73DB"/>
    <w:rsid w:val="0060216A"/>
    <w:rsid w:val="00602453"/>
    <w:rsid w:val="00604281"/>
    <w:rsid w:val="00604628"/>
    <w:rsid w:val="00605252"/>
    <w:rsid w:val="00605BB1"/>
    <w:rsid w:val="00611E1D"/>
    <w:rsid w:val="00613032"/>
    <w:rsid w:val="006135B8"/>
    <w:rsid w:val="0061454E"/>
    <w:rsid w:val="006162C4"/>
    <w:rsid w:val="00616F24"/>
    <w:rsid w:val="006179A3"/>
    <w:rsid w:val="00620174"/>
    <w:rsid w:val="0062044D"/>
    <w:rsid w:val="00620474"/>
    <w:rsid w:val="00620E4B"/>
    <w:rsid w:val="00622CD4"/>
    <w:rsid w:val="006234C1"/>
    <w:rsid w:val="00623C54"/>
    <w:rsid w:val="00624CAB"/>
    <w:rsid w:val="00626087"/>
    <w:rsid w:val="0062735A"/>
    <w:rsid w:val="00630007"/>
    <w:rsid w:val="00630951"/>
    <w:rsid w:val="00630C9A"/>
    <w:rsid w:val="0063108B"/>
    <w:rsid w:val="00632873"/>
    <w:rsid w:val="00632D5B"/>
    <w:rsid w:val="00634366"/>
    <w:rsid w:val="00634496"/>
    <w:rsid w:val="0063550A"/>
    <w:rsid w:val="00636D46"/>
    <w:rsid w:val="00636DD7"/>
    <w:rsid w:val="00640607"/>
    <w:rsid w:val="00641177"/>
    <w:rsid w:val="00642FEF"/>
    <w:rsid w:val="006442D5"/>
    <w:rsid w:val="00646141"/>
    <w:rsid w:val="006505DA"/>
    <w:rsid w:val="00650BA6"/>
    <w:rsid w:val="00650FE0"/>
    <w:rsid w:val="00651EB0"/>
    <w:rsid w:val="00652B44"/>
    <w:rsid w:val="00653F03"/>
    <w:rsid w:val="006541B6"/>
    <w:rsid w:val="00654384"/>
    <w:rsid w:val="00654A4E"/>
    <w:rsid w:val="0065544C"/>
    <w:rsid w:val="006567EF"/>
    <w:rsid w:val="0065782F"/>
    <w:rsid w:val="0066122F"/>
    <w:rsid w:val="00661ECD"/>
    <w:rsid w:val="0066214C"/>
    <w:rsid w:val="00662FAC"/>
    <w:rsid w:val="00662FC7"/>
    <w:rsid w:val="00663205"/>
    <w:rsid w:val="006636E8"/>
    <w:rsid w:val="00663827"/>
    <w:rsid w:val="00663DB0"/>
    <w:rsid w:val="006644E5"/>
    <w:rsid w:val="00664FE3"/>
    <w:rsid w:val="00665240"/>
    <w:rsid w:val="006654C1"/>
    <w:rsid w:val="00666AB7"/>
    <w:rsid w:val="00666BD4"/>
    <w:rsid w:val="00666F51"/>
    <w:rsid w:val="00671F49"/>
    <w:rsid w:val="00672148"/>
    <w:rsid w:val="00672157"/>
    <w:rsid w:val="0067251A"/>
    <w:rsid w:val="0067330B"/>
    <w:rsid w:val="0067364F"/>
    <w:rsid w:val="00674AEF"/>
    <w:rsid w:val="00674FEB"/>
    <w:rsid w:val="0067536A"/>
    <w:rsid w:val="006753CF"/>
    <w:rsid w:val="00676BAF"/>
    <w:rsid w:val="00677DEB"/>
    <w:rsid w:val="006803E4"/>
    <w:rsid w:val="0068080E"/>
    <w:rsid w:val="00681126"/>
    <w:rsid w:val="00682EE3"/>
    <w:rsid w:val="00684C87"/>
    <w:rsid w:val="006860AC"/>
    <w:rsid w:val="00687F97"/>
    <w:rsid w:val="00690EB9"/>
    <w:rsid w:val="006925CD"/>
    <w:rsid w:val="00692D5C"/>
    <w:rsid w:val="00693E8C"/>
    <w:rsid w:val="00694E0A"/>
    <w:rsid w:val="0069655C"/>
    <w:rsid w:val="00697BF2"/>
    <w:rsid w:val="006A05DE"/>
    <w:rsid w:val="006A0F6F"/>
    <w:rsid w:val="006A15A4"/>
    <w:rsid w:val="006A2373"/>
    <w:rsid w:val="006A2376"/>
    <w:rsid w:val="006A316D"/>
    <w:rsid w:val="006A33A3"/>
    <w:rsid w:val="006A464C"/>
    <w:rsid w:val="006A4A5A"/>
    <w:rsid w:val="006A509F"/>
    <w:rsid w:val="006A52BA"/>
    <w:rsid w:val="006A54A4"/>
    <w:rsid w:val="006A63BC"/>
    <w:rsid w:val="006A666C"/>
    <w:rsid w:val="006A6A9C"/>
    <w:rsid w:val="006B01D0"/>
    <w:rsid w:val="006B42C8"/>
    <w:rsid w:val="006B4B47"/>
    <w:rsid w:val="006B4C72"/>
    <w:rsid w:val="006B6A11"/>
    <w:rsid w:val="006B72E2"/>
    <w:rsid w:val="006C124E"/>
    <w:rsid w:val="006C1508"/>
    <w:rsid w:val="006C19B4"/>
    <w:rsid w:val="006C1FC7"/>
    <w:rsid w:val="006C26E1"/>
    <w:rsid w:val="006C447C"/>
    <w:rsid w:val="006C4B40"/>
    <w:rsid w:val="006C56DA"/>
    <w:rsid w:val="006C6115"/>
    <w:rsid w:val="006C7952"/>
    <w:rsid w:val="006D06F5"/>
    <w:rsid w:val="006D10FA"/>
    <w:rsid w:val="006D2114"/>
    <w:rsid w:val="006D2A1A"/>
    <w:rsid w:val="006D51EB"/>
    <w:rsid w:val="006D7D61"/>
    <w:rsid w:val="006E080D"/>
    <w:rsid w:val="006E2D1C"/>
    <w:rsid w:val="006E31B7"/>
    <w:rsid w:val="006E3952"/>
    <w:rsid w:val="006E45E8"/>
    <w:rsid w:val="006E4ECB"/>
    <w:rsid w:val="006E5D19"/>
    <w:rsid w:val="006E61E2"/>
    <w:rsid w:val="006E72F5"/>
    <w:rsid w:val="006E7532"/>
    <w:rsid w:val="006E7635"/>
    <w:rsid w:val="006E7886"/>
    <w:rsid w:val="006F074A"/>
    <w:rsid w:val="006F1C1E"/>
    <w:rsid w:val="006F2646"/>
    <w:rsid w:val="006F2859"/>
    <w:rsid w:val="006F4086"/>
    <w:rsid w:val="006F59A0"/>
    <w:rsid w:val="007007BC"/>
    <w:rsid w:val="007015CE"/>
    <w:rsid w:val="007024EE"/>
    <w:rsid w:val="00702640"/>
    <w:rsid w:val="00702BA6"/>
    <w:rsid w:val="007032C8"/>
    <w:rsid w:val="00704413"/>
    <w:rsid w:val="0070452C"/>
    <w:rsid w:val="00705001"/>
    <w:rsid w:val="00705DB8"/>
    <w:rsid w:val="0070602D"/>
    <w:rsid w:val="007063F7"/>
    <w:rsid w:val="007069B6"/>
    <w:rsid w:val="007075EA"/>
    <w:rsid w:val="0071076E"/>
    <w:rsid w:val="00710C45"/>
    <w:rsid w:val="007110C0"/>
    <w:rsid w:val="007118DD"/>
    <w:rsid w:val="00712054"/>
    <w:rsid w:val="0071421D"/>
    <w:rsid w:val="007152ED"/>
    <w:rsid w:val="007162C8"/>
    <w:rsid w:val="00716380"/>
    <w:rsid w:val="00717284"/>
    <w:rsid w:val="007176C3"/>
    <w:rsid w:val="0072104B"/>
    <w:rsid w:val="007219B2"/>
    <w:rsid w:val="007221EC"/>
    <w:rsid w:val="00723718"/>
    <w:rsid w:val="007241A4"/>
    <w:rsid w:val="00725AF4"/>
    <w:rsid w:val="00726220"/>
    <w:rsid w:val="00726993"/>
    <w:rsid w:val="00726C4E"/>
    <w:rsid w:val="007279AC"/>
    <w:rsid w:val="007303E4"/>
    <w:rsid w:val="00732131"/>
    <w:rsid w:val="00732E50"/>
    <w:rsid w:val="00733B4E"/>
    <w:rsid w:val="00735C6A"/>
    <w:rsid w:val="00735DDC"/>
    <w:rsid w:val="00736028"/>
    <w:rsid w:val="0073610A"/>
    <w:rsid w:val="00740A0C"/>
    <w:rsid w:val="00740C77"/>
    <w:rsid w:val="007429E8"/>
    <w:rsid w:val="00743329"/>
    <w:rsid w:val="00744370"/>
    <w:rsid w:val="00744EC9"/>
    <w:rsid w:val="007464D0"/>
    <w:rsid w:val="00746EFC"/>
    <w:rsid w:val="00747B0D"/>
    <w:rsid w:val="00750565"/>
    <w:rsid w:val="00752F3C"/>
    <w:rsid w:val="00752F5F"/>
    <w:rsid w:val="00753D76"/>
    <w:rsid w:val="0075466D"/>
    <w:rsid w:val="00754EF5"/>
    <w:rsid w:val="00757059"/>
    <w:rsid w:val="007600A9"/>
    <w:rsid w:val="007604A2"/>
    <w:rsid w:val="007609B7"/>
    <w:rsid w:val="00761BCB"/>
    <w:rsid w:val="00762024"/>
    <w:rsid w:val="00762BDD"/>
    <w:rsid w:val="00763A80"/>
    <w:rsid w:val="00763E9E"/>
    <w:rsid w:val="00765A6F"/>
    <w:rsid w:val="00765CBC"/>
    <w:rsid w:val="007661C6"/>
    <w:rsid w:val="0077130C"/>
    <w:rsid w:val="00772AE1"/>
    <w:rsid w:val="007734E4"/>
    <w:rsid w:val="0077397A"/>
    <w:rsid w:val="00773DDF"/>
    <w:rsid w:val="00775958"/>
    <w:rsid w:val="00776002"/>
    <w:rsid w:val="00776293"/>
    <w:rsid w:val="00776F4C"/>
    <w:rsid w:val="00777C0B"/>
    <w:rsid w:val="00781546"/>
    <w:rsid w:val="007815FC"/>
    <w:rsid w:val="00783BB3"/>
    <w:rsid w:val="00785257"/>
    <w:rsid w:val="00785FC7"/>
    <w:rsid w:val="0078615F"/>
    <w:rsid w:val="007868ED"/>
    <w:rsid w:val="00790680"/>
    <w:rsid w:val="00790E0E"/>
    <w:rsid w:val="007914E5"/>
    <w:rsid w:val="00793E91"/>
    <w:rsid w:val="00794842"/>
    <w:rsid w:val="00794A0E"/>
    <w:rsid w:val="00794E77"/>
    <w:rsid w:val="00794F3A"/>
    <w:rsid w:val="00797329"/>
    <w:rsid w:val="007A0090"/>
    <w:rsid w:val="007A0689"/>
    <w:rsid w:val="007A21D9"/>
    <w:rsid w:val="007A21E8"/>
    <w:rsid w:val="007A3364"/>
    <w:rsid w:val="007A5F45"/>
    <w:rsid w:val="007A7039"/>
    <w:rsid w:val="007B02DC"/>
    <w:rsid w:val="007B07E4"/>
    <w:rsid w:val="007B23E7"/>
    <w:rsid w:val="007B36FC"/>
    <w:rsid w:val="007B3F7C"/>
    <w:rsid w:val="007B4E17"/>
    <w:rsid w:val="007B50E0"/>
    <w:rsid w:val="007B5EA4"/>
    <w:rsid w:val="007B6A95"/>
    <w:rsid w:val="007C1DBC"/>
    <w:rsid w:val="007C1E95"/>
    <w:rsid w:val="007C30B3"/>
    <w:rsid w:val="007C4331"/>
    <w:rsid w:val="007C4595"/>
    <w:rsid w:val="007C5FAC"/>
    <w:rsid w:val="007C6D58"/>
    <w:rsid w:val="007C72E0"/>
    <w:rsid w:val="007C79FA"/>
    <w:rsid w:val="007D1095"/>
    <w:rsid w:val="007D128F"/>
    <w:rsid w:val="007D2889"/>
    <w:rsid w:val="007D2FD5"/>
    <w:rsid w:val="007D3B2E"/>
    <w:rsid w:val="007D3CA2"/>
    <w:rsid w:val="007D4114"/>
    <w:rsid w:val="007D647E"/>
    <w:rsid w:val="007D6485"/>
    <w:rsid w:val="007E096D"/>
    <w:rsid w:val="007E215F"/>
    <w:rsid w:val="007E23E7"/>
    <w:rsid w:val="007E3307"/>
    <w:rsid w:val="007E3BCC"/>
    <w:rsid w:val="007E4826"/>
    <w:rsid w:val="007E5E5B"/>
    <w:rsid w:val="007E6A1F"/>
    <w:rsid w:val="007F06D5"/>
    <w:rsid w:val="007F0A4B"/>
    <w:rsid w:val="007F198D"/>
    <w:rsid w:val="007F2812"/>
    <w:rsid w:val="007F46DE"/>
    <w:rsid w:val="007F48BE"/>
    <w:rsid w:val="007F4F37"/>
    <w:rsid w:val="007F7742"/>
    <w:rsid w:val="007F7A4F"/>
    <w:rsid w:val="007F7DAD"/>
    <w:rsid w:val="00800338"/>
    <w:rsid w:val="00800F37"/>
    <w:rsid w:val="00800F41"/>
    <w:rsid w:val="008010C0"/>
    <w:rsid w:val="00801712"/>
    <w:rsid w:val="0080310E"/>
    <w:rsid w:val="0080352C"/>
    <w:rsid w:val="008108F3"/>
    <w:rsid w:val="00811A4A"/>
    <w:rsid w:val="00811FB4"/>
    <w:rsid w:val="008127BD"/>
    <w:rsid w:val="00813DA8"/>
    <w:rsid w:val="00815038"/>
    <w:rsid w:val="00815DDB"/>
    <w:rsid w:val="00816E53"/>
    <w:rsid w:val="00821E2A"/>
    <w:rsid w:val="00822925"/>
    <w:rsid w:val="008229DD"/>
    <w:rsid w:val="00822DF0"/>
    <w:rsid w:val="00823402"/>
    <w:rsid w:val="008261F2"/>
    <w:rsid w:val="008265AC"/>
    <w:rsid w:val="0083058A"/>
    <w:rsid w:val="00830797"/>
    <w:rsid w:val="00831010"/>
    <w:rsid w:val="00831BEA"/>
    <w:rsid w:val="00831F81"/>
    <w:rsid w:val="00832A75"/>
    <w:rsid w:val="008332EE"/>
    <w:rsid w:val="00834766"/>
    <w:rsid w:val="00834AE0"/>
    <w:rsid w:val="00836673"/>
    <w:rsid w:val="00836D5D"/>
    <w:rsid w:val="00837F54"/>
    <w:rsid w:val="00840111"/>
    <w:rsid w:val="008406E5"/>
    <w:rsid w:val="00840D75"/>
    <w:rsid w:val="008411D8"/>
    <w:rsid w:val="0084163A"/>
    <w:rsid w:val="0084167D"/>
    <w:rsid w:val="0084473F"/>
    <w:rsid w:val="0084713A"/>
    <w:rsid w:val="00847965"/>
    <w:rsid w:val="008505A6"/>
    <w:rsid w:val="008507CC"/>
    <w:rsid w:val="008507F2"/>
    <w:rsid w:val="00851D0F"/>
    <w:rsid w:val="00855ACD"/>
    <w:rsid w:val="00855E1B"/>
    <w:rsid w:val="00856199"/>
    <w:rsid w:val="00857DB1"/>
    <w:rsid w:val="008608B0"/>
    <w:rsid w:val="00860A66"/>
    <w:rsid w:val="00860AB6"/>
    <w:rsid w:val="00860D01"/>
    <w:rsid w:val="008614DF"/>
    <w:rsid w:val="00861664"/>
    <w:rsid w:val="00861F1C"/>
    <w:rsid w:val="00862673"/>
    <w:rsid w:val="0086293A"/>
    <w:rsid w:val="008629BA"/>
    <w:rsid w:val="00862EC3"/>
    <w:rsid w:val="0086333C"/>
    <w:rsid w:val="00863933"/>
    <w:rsid w:val="00865642"/>
    <w:rsid w:val="00865EEC"/>
    <w:rsid w:val="00866988"/>
    <w:rsid w:val="00866DD2"/>
    <w:rsid w:val="00867C06"/>
    <w:rsid w:val="008709D2"/>
    <w:rsid w:val="008710D4"/>
    <w:rsid w:val="0087289B"/>
    <w:rsid w:val="00873E54"/>
    <w:rsid w:val="008751A0"/>
    <w:rsid w:val="00876022"/>
    <w:rsid w:val="00876983"/>
    <w:rsid w:val="00877E7F"/>
    <w:rsid w:val="00880FEB"/>
    <w:rsid w:val="008820E6"/>
    <w:rsid w:val="008829CF"/>
    <w:rsid w:val="00882E54"/>
    <w:rsid w:val="0088426C"/>
    <w:rsid w:val="0088487B"/>
    <w:rsid w:val="008856BA"/>
    <w:rsid w:val="008865BC"/>
    <w:rsid w:val="00886691"/>
    <w:rsid w:val="00887BA3"/>
    <w:rsid w:val="00887D40"/>
    <w:rsid w:val="00890BE8"/>
    <w:rsid w:val="008919DE"/>
    <w:rsid w:val="00892AC9"/>
    <w:rsid w:val="00893613"/>
    <w:rsid w:val="00894D93"/>
    <w:rsid w:val="0089684D"/>
    <w:rsid w:val="0089723B"/>
    <w:rsid w:val="008A0609"/>
    <w:rsid w:val="008A13FE"/>
    <w:rsid w:val="008A267C"/>
    <w:rsid w:val="008A313E"/>
    <w:rsid w:val="008A3321"/>
    <w:rsid w:val="008A4D61"/>
    <w:rsid w:val="008A5623"/>
    <w:rsid w:val="008A6359"/>
    <w:rsid w:val="008A76D8"/>
    <w:rsid w:val="008A7998"/>
    <w:rsid w:val="008B022F"/>
    <w:rsid w:val="008B2042"/>
    <w:rsid w:val="008B2325"/>
    <w:rsid w:val="008B2DD6"/>
    <w:rsid w:val="008B306D"/>
    <w:rsid w:val="008B5460"/>
    <w:rsid w:val="008B5502"/>
    <w:rsid w:val="008B5510"/>
    <w:rsid w:val="008B6601"/>
    <w:rsid w:val="008B79EA"/>
    <w:rsid w:val="008C1173"/>
    <w:rsid w:val="008C1641"/>
    <w:rsid w:val="008C1CF0"/>
    <w:rsid w:val="008C35BC"/>
    <w:rsid w:val="008C3C60"/>
    <w:rsid w:val="008C4E63"/>
    <w:rsid w:val="008C64AD"/>
    <w:rsid w:val="008C7766"/>
    <w:rsid w:val="008D0AAC"/>
    <w:rsid w:val="008D0C93"/>
    <w:rsid w:val="008D15BB"/>
    <w:rsid w:val="008D3019"/>
    <w:rsid w:val="008D3B6A"/>
    <w:rsid w:val="008D417D"/>
    <w:rsid w:val="008D4574"/>
    <w:rsid w:val="008D4B10"/>
    <w:rsid w:val="008D5031"/>
    <w:rsid w:val="008D5511"/>
    <w:rsid w:val="008D6161"/>
    <w:rsid w:val="008D62EE"/>
    <w:rsid w:val="008E0388"/>
    <w:rsid w:val="008E1B6A"/>
    <w:rsid w:val="008E3487"/>
    <w:rsid w:val="008E3885"/>
    <w:rsid w:val="008E3A6B"/>
    <w:rsid w:val="008E5370"/>
    <w:rsid w:val="008E538A"/>
    <w:rsid w:val="008E5818"/>
    <w:rsid w:val="008E5F38"/>
    <w:rsid w:val="008E63D4"/>
    <w:rsid w:val="008E6B34"/>
    <w:rsid w:val="008F2127"/>
    <w:rsid w:val="008F38BF"/>
    <w:rsid w:val="008F45B7"/>
    <w:rsid w:val="008F6C22"/>
    <w:rsid w:val="008F7538"/>
    <w:rsid w:val="00901E6D"/>
    <w:rsid w:val="0090257A"/>
    <w:rsid w:val="0090494F"/>
    <w:rsid w:val="00904EB0"/>
    <w:rsid w:val="00906D27"/>
    <w:rsid w:val="00906F5B"/>
    <w:rsid w:val="009075D5"/>
    <w:rsid w:val="00911A00"/>
    <w:rsid w:val="00912E3B"/>
    <w:rsid w:val="00913ABF"/>
    <w:rsid w:val="009148AC"/>
    <w:rsid w:val="00915260"/>
    <w:rsid w:val="009155A6"/>
    <w:rsid w:val="00916E65"/>
    <w:rsid w:val="00917058"/>
    <w:rsid w:val="00917706"/>
    <w:rsid w:val="00920A06"/>
    <w:rsid w:val="00920A43"/>
    <w:rsid w:val="00921080"/>
    <w:rsid w:val="00921386"/>
    <w:rsid w:val="00921CD2"/>
    <w:rsid w:val="0092203B"/>
    <w:rsid w:val="00922642"/>
    <w:rsid w:val="0092398B"/>
    <w:rsid w:val="00923BBD"/>
    <w:rsid w:val="009242CA"/>
    <w:rsid w:val="00926610"/>
    <w:rsid w:val="00927F24"/>
    <w:rsid w:val="00930200"/>
    <w:rsid w:val="0093226A"/>
    <w:rsid w:val="0093287C"/>
    <w:rsid w:val="00932B0D"/>
    <w:rsid w:val="00934846"/>
    <w:rsid w:val="00935C57"/>
    <w:rsid w:val="0093626E"/>
    <w:rsid w:val="00936371"/>
    <w:rsid w:val="00936436"/>
    <w:rsid w:val="00937F56"/>
    <w:rsid w:val="00940276"/>
    <w:rsid w:val="00941460"/>
    <w:rsid w:val="0094240F"/>
    <w:rsid w:val="00943089"/>
    <w:rsid w:val="00945290"/>
    <w:rsid w:val="00946AE6"/>
    <w:rsid w:val="00946FA4"/>
    <w:rsid w:val="00947FE4"/>
    <w:rsid w:val="009502B8"/>
    <w:rsid w:val="00951E4C"/>
    <w:rsid w:val="009527F3"/>
    <w:rsid w:val="0095357E"/>
    <w:rsid w:val="00953CCB"/>
    <w:rsid w:val="00953D57"/>
    <w:rsid w:val="00953EF2"/>
    <w:rsid w:val="009540DC"/>
    <w:rsid w:val="00954764"/>
    <w:rsid w:val="009548A1"/>
    <w:rsid w:val="00956CD1"/>
    <w:rsid w:val="00957874"/>
    <w:rsid w:val="00957BE5"/>
    <w:rsid w:val="00960EC1"/>
    <w:rsid w:val="00961B1D"/>
    <w:rsid w:val="00963313"/>
    <w:rsid w:val="00963B6E"/>
    <w:rsid w:val="0096495C"/>
    <w:rsid w:val="00964BBF"/>
    <w:rsid w:val="009653C5"/>
    <w:rsid w:val="0096568F"/>
    <w:rsid w:val="00966D13"/>
    <w:rsid w:val="00971EFF"/>
    <w:rsid w:val="00972E9A"/>
    <w:rsid w:val="00974C67"/>
    <w:rsid w:val="009760B7"/>
    <w:rsid w:val="009772DE"/>
    <w:rsid w:val="00980CF7"/>
    <w:rsid w:val="0098151B"/>
    <w:rsid w:val="00982F64"/>
    <w:rsid w:val="00983E7B"/>
    <w:rsid w:val="00984293"/>
    <w:rsid w:val="00984640"/>
    <w:rsid w:val="009848B3"/>
    <w:rsid w:val="00987495"/>
    <w:rsid w:val="00987932"/>
    <w:rsid w:val="00987E40"/>
    <w:rsid w:val="00990B06"/>
    <w:rsid w:val="00991B78"/>
    <w:rsid w:val="00991B97"/>
    <w:rsid w:val="009957C6"/>
    <w:rsid w:val="00997219"/>
    <w:rsid w:val="009A1E6A"/>
    <w:rsid w:val="009A1F1A"/>
    <w:rsid w:val="009A226F"/>
    <w:rsid w:val="009A3DDE"/>
    <w:rsid w:val="009A4D3A"/>
    <w:rsid w:val="009A65CA"/>
    <w:rsid w:val="009A6CC8"/>
    <w:rsid w:val="009B2749"/>
    <w:rsid w:val="009B27A2"/>
    <w:rsid w:val="009B28EF"/>
    <w:rsid w:val="009B2C84"/>
    <w:rsid w:val="009B4312"/>
    <w:rsid w:val="009B52CD"/>
    <w:rsid w:val="009B67A4"/>
    <w:rsid w:val="009B6C04"/>
    <w:rsid w:val="009C026F"/>
    <w:rsid w:val="009C0F3E"/>
    <w:rsid w:val="009C3F4C"/>
    <w:rsid w:val="009C4DAA"/>
    <w:rsid w:val="009C57C8"/>
    <w:rsid w:val="009C584D"/>
    <w:rsid w:val="009C5A68"/>
    <w:rsid w:val="009C5B6A"/>
    <w:rsid w:val="009C6532"/>
    <w:rsid w:val="009C6B60"/>
    <w:rsid w:val="009C7DE9"/>
    <w:rsid w:val="009D08EB"/>
    <w:rsid w:val="009D2C23"/>
    <w:rsid w:val="009D322C"/>
    <w:rsid w:val="009D4C28"/>
    <w:rsid w:val="009D5C5A"/>
    <w:rsid w:val="009D6002"/>
    <w:rsid w:val="009D775D"/>
    <w:rsid w:val="009E1E2A"/>
    <w:rsid w:val="009E34BB"/>
    <w:rsid w:val="009E4CC7"/>
    <w:rsid w:val="009E5D45"/>
    <w:rsid w:val="009F05CB"/>
    <w:rsid w:val="009F155A"/>
    <w:rsid w:val="009F183B"/>
    <w:rsid w:val="009F224E"/>
    <w:rsid w:val="009F2605"/>
    <w:rsid w:val="009F2A43"/>
    <w:rsid w:val="009F4894"/>
    <w:rsid w:val="009F6713"/>
    <w:rsid w:val="009F7019"/>
    <w:rsid w:val="009F73F3"/>
    <w:rsid w:val="009F7663"/>
    <w:rsid w:val="009F7741"/>
    <w:rsid w:val="00A00FB7"/>
    <w:rsid w:val="00A048D9"/>
    <w:rsid w:val="00A04E86"/>
    <w:rsid w:val="00A05A98"/>
    <w:rsid w:val="00A06339"/>
    <w:rsid w:val="00A06777"/>
    <w:rsid w:val="00A06F79"/>
    <w:rsid w:val="00A0740D"/>
    <w:rsid w:val="00A07F40"/>
    <w:rsid w:val="00A10B6D"/>
    <w:rsid w:val="00A1179E"/>
    <w:rsid w:val="00A11B24"/>
    <w:rsid w:val="00A11CA1"/>
    <w:rsid w:val="00A11D93"/>
    <w:rsid w:val="00A12466"/>
    <w:rsid w:val="00A1328D"/>
    <w:rsid w:val="00A134DF"/>
    <w:rsid w:val="00A13550"/>
    <w:rsid w:val="00A13C6C"/>
    <w:rsid w:val="00A14795"/>
    <w:rsid w:val="00A14F0A"/>
    <w:rsid w:val="00A16D04"/>
    <w:rsid w:val="00A17B9D"/>
    <w:rsid w:val="00A20542"/>
    <w:rsid w:val="00A20BD5"/>
    <w:rsid w:val="00A20F46"/>
    <w:rsid w:val="00A213DD"/>
    <w:rsid w:val="00A21C0B"/>
    <w:rsid w:val="00A21F0B"/>
    <w:rsid w:val="00A23AF6"/>
    <w:rsid w:val="00A2404F"/>
    <w:rsid w:val="00A25312"/>
    <w:rsid w:val="00A2670B"/>
    <w:rsid w:val="00A26E77"/>
    <w:rsid w:val="00A2734B"/>
    <w:rsid w:val="00A27D0A"/>
    <w:rsid w:val="00A3198C"/>
    <w:rsid w:val="00A321C4"/>
    <w:rsid w:val="00A37449"/>
    <w:rsid w:val="00A403C7"/>
    <w:rsid w:val="00A40784"/>
    <w:rsid w:val="00A4218B"/>
    <w:rsid w:val="00A42549"/>
    <w:rsid w:val="00A432B7"/>
    <w:rsid w:val="00A44C9D"/>
    <w:rsid w:val="00A45109"/>
    <w:rsid w:val="00A45846"/>
    <w:rsid w:val="00A46111"/>
    <w:rsid w:val="00A46BEF"/>
    <w:rsid w:val="00A47E65"/>
    <w:rsid w:val="00A5082E"/>
    <w:rsid w:val="00A50AEC"/>
    <w:rsid w:val="00A51049"/>
    <w:rsid w:val="00A51A0C"/>
    <w:rsid w:val="00A51D40"/>
    <w:rsid w:val="00A52473"/>
    <w:rsid w:val="00A52C20"/>
    <w:rsid w:val="00A53436"/>
    <w:rsid w:val="00A54231"/>
    <w:rsid w:val="00A55EAC"/>
    <w:rsid w:val="00A562D6"/>
    <w:rsid w:val="00A566DF"/>
    <w:rsid w:val="00A568EC"/>
    <w:rsid w:val="00A577A7"/>
    <w:rsid w:val="00A60500"/>
    <w:rsid w:val="00A612D1"/>
    <w:rsid w:val="00A61EEA"/>
    <w:rsid w:val="00A62087"/>
    <w:rsid w:val="00A63F20"/>
    <w:rsid w:val="00A64AE1"/>
    <w:rsid w:val="00A64C97"/>
    <w:rsid w:val="00A64F33"/>
    <w:rsid w:val="00A655E4"/>
    <w:rsid w:val="00A65E34"/>
    <w:rsid w:val="00A70E35"/>
    <w:rsid w:val="00A712A6"/>
    <w:rsid w:val="00A714F6"/>
    <w:rsid w:val="00A71721"/>
    <w:rsid w:val="00A71D56"/>
    <w:rsid w:val="00A72852"/>
    <w:rsid w:val="00A73A26"/>
    <w:rsid w:val="00A73BB7"/>
    <w:rsid w:val="00A760C7"/>
    <w:rsid w:val="00A768DF"/>
    <w:rsid w:val="00A76C68"/>
    <w:rsid w:val="00A76F5F"/>
    <w:rsid w:val="00A7757F"/>
    <w:rsid w:val="00A80087"/>
    <w:rsid w:val="00A81707"/>
    <w:rsid w:val="00A833E4"/>
    <w:rsid w:val="00A8457A"/>
    <w:rsid w:val="00A84B41"/>
    <w:rsid w:val="00A85570"/>
    <w:rsid w:val="00A85C3E"/>
    <w:rsid w:val="00A862E2"/>
    <w:rsid w:val="00A86FF0"/>
    <w:rsid w:val="00A9048F"/>
    <w:rsid w:val="00A918F3"/>
    <w:rsid w:val="00A919A0"/>
    <w:rsid w:val="00A91A54"/>
    <w:rsid w:val="00A93ACA"/>
    <w:rsid w:val="00A94EF7"/>
    <w:rsid w:val="00A9511A"/>
    <w:rsid w:val="00A95E02"/>
    <w:rsid w:val="00A96AEA"/>
    <w:rsid w:val="00AA1A34"/>
    <w:rsid w:val="00AA2493"/>
    <w:rsid w:val="00AA4718"/>
    <w:rsid w:val="00AA4B80"/>
    <w:rsid w:val="00AA523B"/>
    <w:rsid w:val="00AA5EA7"/>
    <w:rsid w:val="00AA61F2"/>
    <w:rsid w:val="00AA6C3B"/>
    <w:rsid w:val="00AA740D"/>
    <w:rsid w:val="00AB0452"/>
    <w:rsid w:val="00AB36B3"/>
    <w:rsid w:val="00AB3C74"/>
    <w:rsid w:val="00AB4201"/>
    <w:rsid w:val="00AB4A73"/>
    <w:rsid w:val="00AB4E06"/>
    <w:rsid w:val="00AB52C0"/>
    <w:rsid w:val="00AB5AC3"/>
    <w:rsid w:val="00AB5F46"/>
    <w:rsid w:val="00AB616A"/>
    <w:rsid w:val="00AB70F7"/>
    <w:rsid w:val="00AB763B"/>
    <w:rsid w:val="00AB76D9"/>
    <w:rsid w:val="00AC0724"/>
    <w:rsid w:val="00AC1282"/>
    <w:rsid w:val="00AC14E5"/>
    <w:rsid w:val="00AC2BFA"/>
    <w:rsid w:val="00AC3CF8"/>
    <w:rsid w:val="00AC42BC"/>
    <w:rsid w:val="00AC437A"/>
    <w:rsid w:val="00AC472A"/>
    <w:rsid w:val="00AC63E0"/>
    <w:rsid w:val="00AC63EA"/>
    <w:rsid w:val="00AD2B83"/>
    <w:rsid w:val="00AD4D27"/>
    <w:rsid w:val="00AD4DE2"/>
    <w:rsid w:val="00AD623D"/>
    <w:rsid w:val="00AD631A"/>
    <w:rsid w:val="00AD7B24"/>
    <w:rsid w:val="00AE571C"/>
    <w:rsid w:val="00AE62A5"/>
    <w:rsid w:val="00AE6910"/>
    <w:rsid w:val="00AE7B41"/>
    <w:rsid w:val="00AF1684"/>
    <w:rsid w:val="00AF4A09"/>
    <w:rsid w:val="00AF5CE8"/>
    <w:rsid w:val="00AF7C3D"/>
    <w:rsid w:val="00B000D7"/>
    <w:rsid w:val="00B00B10"/>
    <w:rsid w:val="00B01B44"/>
    <w:rsid w:val="00B021A9"/>
    <w:rsid w:val="00B03700"/>
    <w:rsid w:val="00B04632"/>
    <w:rsid w:val="00B054C2"/>
    <w:rsid w:val="00B07D25"/>
    <w:rsid w:val="00B108F9"/>
    <w:rsid w:val="00B1198F"/>
    <w:rsid w:val="00B119C8"/>
    <w:rsid w:val="00B11D24"/>
    <w:rsid w:val="00B12F4B"/>
    <w:rsid w:val="00B13F29"/>
    <w:rsid w:val="00B14D5F"/>
    <w:rsid w:val="00B15210"/>
    <w:rsid w:val="00B1529C"/>
    <w:rsid w:val="00B1556D"/>
    <w:rsid w:val="00B15853"/>
    <w:rsid w:val="00B1691B"/>
    <w:rsid w:val="00B1696B"/>
    <w:rsid w:val="00B2039F"/>
    <w:rsid w:val="00B20EC5"/>
    <w:rsid w:val="00B20F36"/>
    <w:rsid w:val="00B218D7"/>
    <w:rsid w:val="00B21B9C"/>
    <w:rsid w:val="00B2238B"/>
    <w:rsid w:val="00B224DE"/>
    <w:rsid w:val="00B236B0"/>
    <w:rsid w:val="00B237CA"/>
    <w:rsid w:val="00B24371"/>
    <w:rsid w:val="00B25170"/>
    <w:rsid w:val="00B25CB1"/>
    <w:rsid w:val="00B26646"/>
    <w:rsid w:val="00B26EEF"/>
    <w:rsid w:val="00B30149"/>
    <w:rsid w:val="00B30243"/>
    <w:rsid w:val="00B3029A"/>
    <w:rsid w:val="00B30A33"/>
    <w:rsid w:val="00B3166A"/>
    <w:rsid w:val="00B33628"/>
    <w:rsid w:val="00B33720"/>
    <w:rsid w:val="00B33F13"/>
    <w:rsid w:val="00B347C5"/>
    <w:rsid w:val="00B3653B"/>
    <w:rsid w:val="00B37F92"/>
    <w:rsid w:val="00B409A4"/>
    <w:rsid w:val="00B4212D"/>
    <w:rsid w:val="00B43821"/>
    <w:rsid w:val="00B458EE"/>
    <w:rsid w:val="00B45C2B"/>
    <w:rsid w:val="00B46D39"/>
    <w:rsid w:val="00B50428"/>
    <w:rsid w:val="00B505FB"/>
    <w:rsid w:val="00B50685"/>
    <w:rsid w:val="00B51055"/>
    <w:rsid w:val="00B510E5"/>
    <w:rsid w:val="00B5277C"/>
    <w:rsid w:val="00B52A4E"/>
    <w:rsid w:val="00B52D18"/>
    <w:rsid w:val="00B53642"/>
    <w:rsid w:val="00B53651"/>
    <w:rsid w:val="00B53667"/>
    <w:rsid w:val="00B53DC3"/>
    <w:rsid w:val="00B55E8E"/>
    <w:rsid w:val="00B567C1"/>
    <w:rsid w:val="00B56F54"/>
    <w:rsid w:val="00B57BA5"/>
    <w:rsid w:val="00B57DAC"/>
    <w:rsid w:val="00B62742"/>
    <w:rsid w:val="00B630F5"/>
    <w:rsid w:val="00B63A3D"/>
    <w:rsid w:val="00B63B96"/>
    <w:rsid w:val="00B640EC"/>
    <w:rsid w:val="00B6568E"/>
    <w:rsid w:val="00B65A03"/>
    <w:rsid w:val="00B662A3"/>
    <w:rsid w:val="00B703C5"/>
    <w:rsid w:val="00B7328B"/>
    <w:rsid w:val="00B74502"/>
    <w:rsid w:val="00B751E6"/>
    <w:rsid w:val="00B75C88"/>
    <w:rsid w:val="00B7602C"/>
    <w:rsid w:val="00B760AA"/>
    <w:rsid w:val="00B7693B"/>
    <w:rsid w:val="00B802C2"/>
    <w:rsid w:val="00B806AD"/>
    <w:rsid w:val="00B81DCF"/>
    <w:rsid w:val="00B82219"/>
    <w:rsid w:val="00B83215"/>
    <w:rsid w:val="00B83B96"/>
    <w:rsid w:val="00B843F6"/>
    <w:rsid w:val="00B85063"/>
    <w:rsid w:val="00B85285"/>
    <w:rsid w:val="00B85F7F"/>
    <w:rsid w:val="00B872EB"/>
    <w:rsid w:val="00B90A33"/>
    <w:rsid w:val="00B917CE"/>
    <w:rsid w:val="00B920D2"/>
    <w:rsid w:val="00B923E4"/>
    <w:rsid w:val="00B93489"/>
    <w:rsid w:val="00B93EA7"/>
    <w:rsid w:val="00B94371"/>
    <w:rsid w:val="00B950A9"/>
    <w:rsid w:val="00B950E3"/>
    <w:rsid w:val="00B96B64"/>
    <w:rsid w:val="00B9722E"/>
    <w:rsid w:val="00B97448"/>
    <w:rsid w:val="00B97484"/>
    <w:rsid w:val="00BA0478"/>
    <w:rsid w:val="00BA06F1"/>
    <w:rsid w:val="00BA1307"/>
    <w:rsid w:val="00BA139B"/>
    <w:rsid w:val="00BA23FF"/>
    <w:rsid w:val="00BA3DAB"/>
    <w:rsid w:val="00BA5610"/>
    <w:rsid w:val="00BA64AB"/>
    <w:rsid w:val="00BA6672"/>
    <w:rsid w:val="00BA7A59"/>
    <w:rsid w:val="00BB3F6C"/>
    <w:rsid w:val="00BB5246"/>
    <w:rsid w:val="00BB5CFB"/>
    <w:rsid w:val="00BB68A3"/>
    <w:rsid w:val="00BC051A"/>
    <w:rsid w:val="00BC16BB"/>
    <w:rsid w:val="00BC29C0"/>
    <w:rsid w:val="00BC3302"/>
    <w:rsid w:val="00BC44BF"/>
    <w:rsid w:val="00BC5339"/>
    <w:rsid w:val="00BC57E2"/>
    <w:rsid w:val="00BC62FA"/>
    <w:rsid w:val="00BC6DCF"/>
    <w:rsid w:val="00BC79AA"/>
    <w:rsid w:val="00BD04CB"/>
    <w:rsid w:val="00BD1E8F"/>
    <w:rsid w:val="00BD4A33"/>
    <w:rsid w:val="00BD56C9"/>
    <w:rsid w:val="00BD5B34"/>
    <w:rsid w:val="00BD690F"/>
    <w:rsid w:val="00BD7686"/>
    <w:rsid w:val="00BE080E"/>
    <w:rsid w:val="00BE2213"/>
    <w:rsid w:val="00BE4BB7"/>
    <w:rsid w:val="00BE70EB"/>
    <w:rsid w:val="00BE746E"/>
    <w:rsid w:val="00BE78D3"/>
    <w:rsid w:val="00BE7E5D"/>
    <w:rsid w:val="00BF1475"/>
    <w:rsid w:val="00BF2726"/>
    <w:rsid w:val="00BF4551"/>
    <w:rsid w:val="00BF71A4"/>
    <w:rsid w:val="00BF7FCB"/>
    <w:rsid w:val="00C00BB2"/>
    <w:rsid w:val="00C00F16"/>
    <w:rsid w:val="00C0166B"/>
    <w:rsid w:val="00C030B5"/>
    <w:rsid w:val="00C03DAF"/>
    <w:rsid w:val="00C03EE1"/>
    <w:rsid w:val="00C040ED"/>
    <w:rsid w:val="00C06234"/>
    <w:rsid w:val="00C06DBD"/>
    <w:rsid w:val="00C108F5"/>
    <w:rsid w:val="00C10C9D"/>
    <w:rsid w:val="00C1291F"/>
    <w:rsid w:val="00C13148"/>
    <w:rsid w:val="00C13728"/>
    <w:rsid w:val="00C14438"/>
    <w:rsid w:val="00C14DEA"/>
    <w:rsid w:val="00C16FD2"/>
    <w:rsid w:val="00C178CB"/>
    <w:rsid w:val="00C17D14"/>
    <w:rsid w:val="00C2144E"/>
    <w:rsid w:val="00C21CA1"/>
    <w:rsid w:val="00C21F05"/>
    <w:rsid w:val="00C21FA8"/>
    <w:rsid w:val="00C2286B"/>
    <w:rsid w:val="00C23B89"/>
    <w:rsid w:val="00C245C0"/>
    <w:rsid w:val="00C252A2"/>
    <w:rsid w:val="00C25FC5"/>
    <w:rsid w:val="00C262FD"/>
    <w:rsid w:val="00C2668A"/>
    <w:rsid w:val="00C27E45"/>
    <w:rsid w:val="00C30211"/>
    <w:rsid w:val="00C32EBE"/>
    <w:rsid w:val="00C34C4A"/>
    <w:rsid w:val="00C355AF"/>
    <w:rsid w:val="00C36A82"/>
    <w:rsid w:val="00C36FF2"/>
    <w:rsid w:val="00C3707D"/>
    <w:rsid w:val="00C4178A"/>
    <w:rsid w:val="00C41FE5"/>
    <w:rsid w:val="00C43567"/>
    <w:rsid w:val="00C4700C"/>
    <w:rsid w:val="00C47402"/>
    <w:rsid w:val="00C531E9"/>
    <w:rsid w:val="00C5421B"/>
    <w:rsid w:val="00C54DE4"/>
    <w:rsid w:val="00C559C0"/>
    <w:rsid w:val="00C55D78"/>
    <w:rsid w:val="00C56F21"/>
    <w:rsid w:val="00C603D4"/>
    <w:rsid w:val="00C6172A"/>
    <w:rsid w:val="00C62131"/>
    <w:rsid w:val="00C62763"/>
    <w:rsid w:val="00C64120"/>
    <w:rsid w:val="00C65DC4"/>
    <w:rsid w:val="00C666BC"/>
    <w:rsid w:val="00C66F42"/>
    <w:rsid w:val="00C7027B"/>
    <w:rsid w:val="00C71718"/>
    <w:rsid w:val="00C72B46"/>
    <w:rsid w:val="00C72C36"/>
    <w:rsid w:val="00C72F7B"/>
    <w:rsid w:val="00C75EC8"/>
    <w:rsid w:val="00C812BF"/>
    <w:rsid w:val="00C82A95"/>
    <w:rsid w:val="00C83191"/>
    <w:rsid w:val="00C83606"/>
    <w:rsid w:val="00C850A5"/>
    <w:rsid w:val="00C851B6"/>
    <w:rsid w:val="00C85791"/>
    <w:rsid w:val="00C8744A"/>
    <w:rsid w:val="00C87BDD"/>
    <w:rsid w:val="00C9005E"/>
    <w:rsid w:val="00C905F9"/>
    <w:rsid w:val="00C91369"/>
    <w:rsid w:val="00C91506"/>
    <w:rsid w:val="00C917FA"/>
    <w:rsid w:val="00C935AA"/>
    <w:rsid w:val="00C95ADB"/>
    <w:rsid w:val="00C95B73"/>
    <w:rsid w:val="00C95E2B"/>
    <w:rsid w:val="00C96051"/>
    <w:rsid w:val="00C96CFA"/>
    <w:rsid w:val="00C97144"/>
    <w:rsid w:val="00CA3762"/>
    <w:rsid w:val="00CA38B6"/>
    <w:rsid w:val="00CA396D"/>
    <w:rsid w:val="00CA465E"/>
    <w:rsid w:val="00CA4BCE"/>
    <w:rsid w:val="00CA6B9C"/>
    <w:rsid w:val="00CA7F56"/>
    <w:rsid w:val="00CA7FE6"/>
    <w:rsid w:val="00CB14C2"/>
    <w:rsid w:val="00CB1807"/>
    <w:rsid w:val="00CB27B4"/>
    <w:rsid w:val="00CB3F3C"/>
    <w:rsid w:val="00CB542B"/>
    <w:rsid w:val="00CB57D0"/>
    <w:rsid w:val="00CB6E71"/>
    <w:rsid w:val="00CB7585"/>
    <w:rsid w:val="00CB7B2D"/>
    <w:rsid w:val="00CC02FA"/>
    <w:rsid w:val="00CC1BB1"/>
    <w:rsid w:val="00CC1CA9"/>
    <w:rsid w:val="00CC1E5C"/>
    <w:rsid w:val="00CC2643"/>
    <w:rsid w:val="00CC2758"/>
    <w:rsid w:val="00CC3CD3"/>
    <w:rsid w:val="00CC4D0B"/>
    <w:rsid w:val="00CC54F6"/>
    <w:rsid w:val="00CC5C0E"/>
    <w:rsid w:val="00CC6AD5"/>
    <w:rsid w:val="00CD1E89"/>
    <w:rsid w:val="00CD25EB"/>
    <w:rsid w:val="00CD295E"/>
    <w:rsid w:val="00CD4759"/>
    <w:rsid w:val="00CD5304"/>
    <w:rsid w:val="00CD5828"/>
    <w:rsid w:val="00CD7419"/>
    <w:rsid w:val="00CE1B4E"/>
    <w:rsid w:val="00CE2502"/>
    <w:rsid w:val="00CE2780"/>
    <w:rsid w:val="00CE5C5D"/>
    <w:rsid w:val="00CE6089"/>
    <w:rsid w:val="00CE710D"/>
    <w:rsid w:val="00CE75B4"/>
    <w:rsid w:val="00CE76AA"/>
    <w:rsid w:val="00CE7B5E"/>
    <w:rsid w:val="00CF1273"/>
    <w:rsid w:val="00CF1860"/>
    <w:rsid w:val="00CF24CA"/>
    <w:rsid w:val="00CF274D"/>
    <w:rsid w:val="00CF2C00"/>
    <w:rsid w:val="00CF4ADB"/>
    <w:rsid w:val="00CF53FE"/>
    <w:rsid w:val="00CF66C6"/>
    <w:rsid w:val="00CF7357"/>
    <w:rsid w:val="00D00EAB"/>
    <w:rsid w:val="00D01496"/>
    <w:rsid w:val="00D0180E"/>
    <w:rsid w:val="00D02891"/>
    <w:rsid w:val="00D02DDF"/>
    <w:rsid w:val="00D04635"/>
    <w:rsid w:val="00D0514A"/>
    <w:rsid w:val="00D0700B"/>
    <w:rsid w:val="00D121E1"/>
    <w:rsid w:val="00D144D3"/>
    <w:rsid w:val="00D14EFE"/>
    <w:rsid w:val="00D14F27"/>
    <w:rsid w:val="00D15A28"/>
    <w:rsid w:val="00D1781B"/>
    <w:rsid w:val="00D17B5B"/>
    <w:rsid w:val="00D17D69"/>
    <w:rsid w:val="00D20727"/>
    <w:rsid w:val="00D2142C"/>
    <w:rsid w:val="00D23DF1"/>
    <w:rsid w:val="00D27638"/>
    <w:rsid w:val="00D279BE"/>
    <w:rsid w:val="00D27E37"/>
    <w:rsid w:val="00D316DC"/>
    <w:rsid w:val="00D32BCD"/>
    <w:rsid w:val="00D32ED5"/>
    <w:rsid w:val="00D34608"/>
    <w:rsid w:val="00D352E7"/>
    <w:rsid w:val="00D35BEB"/>
    <w:rsid w:val="00D36229"/>
    <w:rsid w:val="00D37635"/>
    <w:rsid w:val="00D37945"/>
    <w:rsid w:val="00D37D6F"/>
    <w:rsid w:val="00D37E65"/>
    <w:rsid w:val="00D4034E"/>
    <w:rsid w:val="00D40430"/>
    <w:rsid w:val="00D40FB6"/>
    <w:rsid w:val="00D41421"/>
    <w:rsid w:val="00D42CC3"/>
    <w:rsid w:val="00D435D2"/>
    <w:rsid w:val="00D43CB0"/>
    <w:rsid w:val="00D4466C"/>
    <w:rsid w:val="00D4493A"/>
    <w:rsid w:val="00D456DC"/>
    <w:rsid w:val="00D45BB2"/>
    <w:rsid w:val="00D46535"/>
    <w:rsid w:val="00D50225"/>
    <w:rsid w:val="00D5040A"/>
    <w:rsid w:val="00D51563"/>
    <w:rsid w:val="00D54860"/>
    <w:rsid w:val="00D554E0"/>
    <w:rsid w:val="00D557D4"/>
    <w:rsid w:val="00D55BA1"/>
    <w:rsid w:val="00D55D1A"/>
    <w:rsid w:val="00D60073"/>
    <w:rsid w:val="00D61D1E"/>
    <w:rsid w:val="00D63C88"/>
    <w:rsid w:val="00D64C8E"/>
    <w:rsid w:val="00D65940"/>
    <w:rsid w:val="00D66463"/>
    <w:rsid w:val="00D7558A"/>
    <w:rsid w:val="00D7637D"/>
    <w:rsid w:val="00D76C4E"/>
    <w:rsid w:val="00D779DC"/>
    <w:rsid w:val="00D80696"/>
    <w:rsid w:val="00D81D69"/>
    <w:rsid w:val="00D83CB0"/>
    <w:rsid w:val="00D853B9"/>
    <w:rsid w:val="00D87C55"/>
    <w:rsid w:val="00D9014A"/>
    <w:rsid w:val="00D90B51"/>
    <w:rsid w:val="00D90D27"/>
    <w:rsid w:val="00D916B2"/>
    <w:rsid w:val="00D92BA7"/>
    <w:rsid w:val="00D942B0"/>
    <w:rsid w:val="00D94695"/>
    <w:rsid w:val="00D948D7"/>
    <w:rsid w:val="00D9516B"/>
    <w:rsid w:val="00D9580C"/>
    <w:rsid w:val="00D95BF8"/>
    <w:rsid w:val="00D979F7"/>
    <w:rsid w:val="00DA1EC0"/>
    <w:rsid w:val="00DA25CF"/>
    <w:rsid w:val="00DA5D4C"/>
    <w:rsid w:val="00DA6669"/>
    <w:rsid w:val="00DB0056"/>
    <w:rsid w:val="00DB02DF"/>
    <w:rsid w:val="00DB0DF4"/>
    <w:rsid w:val="00DB2104"/>
    <w:rsid w:val="00DB2999"/>
    <w:rsid w:val="00DB341A"/>
    <w:rsid w:val="00DB45A1"/>
    <w:rsid w:val="00DB4A8F"/>
    <w:rsid w:val="00DB4EEB"/>
    <w:rsid w:val="00DB51CE"/>
    <w:rsid w:val="00DB5704"/>
    <w:rsid w:val="00DB5B13"/>
    <w:rsid w:val="00DB709E"/>
    <w:rsid w:val="00DB7EC7"/>
    <w:rsid w:val="00DC109F"/>
    <w:rsid w:val="00DC11E7"/>
    <w:rsid w:val="00DC294E"/>
    <w:rsid w:val="00DC2F73"/>
    <w:rsid w:val="00DC346F"/>
    <w:rsid w:val="00DC372A"/>
    <w:rsid w:val="00DC50EE"/>
    <w:rsid w:val="00DC5211"/>
    <w:rsid w:val="00DC57D4"/>
    <w:rsid w:val="00DD0C37"/>
    <w:rsid w:val="00DD0C39"/>
    <w:rsid w:val="00DD12CF"/>
    <w:rsid w:val="00DD17DF"/>
    <w:rsid w:val="00DD1C6A"/>
    <w:rsid w:val="00DD2C5E"/>
    <w:rsid w:val="00DD4496"/>
    <w:rsid w:val="00DD5EA0"/>
    <w:rsid w:val="00DD7333"/>
    <w:rsid w:val="00DE0EC5"/>
    <w:rsid w:val="00DE220D"/>
    <w:rsid w:val="00DE476C"/>
    <w:rsid w:val="00DE544E"/>
    <w:rsid w:val="00DE67CA"/>
    <w:rsid w:val="00DE6C92"/>
    <w:rsid w:val="00DE73B8"/>
    <w:rsid w:val="00DF025C"/>
    <w:rsid w:val="00DF1320"/>
    <w:rsid w:val="00DF1A16"/>
    <w:rsid w:val="00DF1E05"/>
    <w:rsid w:val="00DF33BD"/>
    <w:rsid w:val="00DF469A"/>
    <w:rsid w:val="00DF5681"/>
    <w:rsid w:val="00DF5F0F"/>
    <w:rsid w:val="00DF6182"/>
    <w:rsid w:val="00DF69E2"/>
    <w:rsid w:val="00E00F8F"/>
    <w:rsid w:val="00E018BD"/>
    <w:rsid w:val="00E03D30"/>
    <w:rsid w:val="00E04198"/>
    <w:rsid w:val="00E0568A"/>
    <w:rsid w:val="00E05AE5"/>
    <w:rsid w:val="00E060F2"/>
    <w:rsid w:val="00E07993"/>
    <w:rsid w:val="00E12AAF"/>
    <w:rsid w:val="00E130FF"/>
    <w:rsid w:val="00E14584"/>
    <w:rsid w:val="00E153E9"/>
    <w:rsid w:val="00E1561F"/>
    <w:rsid w:val="00E15B3F"/>
    <w:rsid w:val="00E15FE4"/>
    <w:rsid w:val="00E2035E"/>
    <w:rsid w:val="00E205F1"/>
    <w:rsid w:val="00E20752"/>
    <w:rsid w:val="00E20A11"/>
    <w:rsid w:val="00E20B9E"/>
    <w:rsid w:val="00E2188F"/>
    <w:rsid w:val="00E219A6"/>
    <w:rsid w:val="00E2216C"/>
    <w:rsid w:val="00E22B42"/>
    <w:rsid w:val="00E25164"/>
    <w:rsid w:val="00E25188"/>
    <w:rsid w:val="00E25FEC"/>
    <w:rsid w:val="00E26C06"/>
    <w:rsid w:val="00E31879"/>
    <w:rsid w:val="00E31A41"/>
    <w:rsid w:val="00E31C9B"/>
    <w:rsid w:val="00E339C2"/>
    <w:rsid w:val="00E34A0F"/>
    <w:rsid w:val="00E35975"/>
    <w:rsid w:val="00E36207"/>
    <w:rsid w:val="00E36309"/>
    <w:rsid w:val="00E36FC0"/>
    <w:rsid w:val="00E429FE"/>
    <w:rsid w:val="00E43D08"/>
    <w:rsid w:val="00E440EE"/>
    <w:rsid w:val="00E44A7A"/>
    <w:rsid w:val="00E44B59"/>
    <w:rsid w:val="00E45347"/>
    <w:rsid w:val="00E46225"/>
    <w:rsid w:val="00E465FB"/>
    <w:rsid w:val="00E46F1C"/>
    <w:rsid w:val="00E4739A"/>
    <w:rsid w:val="00E47FDC"/>
    <w:rsid w:val="00E50DD2"/>
    <w:rsid w:val="00E50F40"/>
    <w:rsid w:val="00E517EC"/>
    <w:rsid w:val="00E5294E"/>
    <w:rsid w:val="00E53C08"/>
    <w:rsid w:val="00E544ED"/>
    <w:rsid w:val="00E54BD2"/>
    <w:rsid w:val="00E55634"/>
    <w:rsid w:val="00E55983"/>
    <w:rsid w:val="00E6046F"/>
    <w:rsid w:val="00E61230"/>
    <w:rsid w:val="00E61518"/>
    <w:rsid w:val="00E61F09"/>
    <w:rsid w:val="00E6264C"/>
    <w:rsid w:val="00E62B14"/>
    <w:rsid w:val="00E63475"/>
    <w:rsid w:val="00E64128"/>
    <w:rsid w:val="00E643CF"/>
    <w:rsid w:val="00E6579E"/>
    <w:rsid w:val="00E673CB"/>
    <w:rsid w:val="00E67EFF"/>
    <w:rsid w:val="00E71865"/>
    <w:rsid w:val="00E7203A"/>
    <w:rsid w:val="00E726A9"/>
    <w:rsid w:val="00E72BAE"/>
    <w:rsid w:val="00E7314A"/>
    <w:rsid w:val="00E73282"/>
    <w:rsid w:val="00E733E4"/>
    <w:rsid w:val="00E74B94"/>
    <w:rsid w:val="00E76801"/>
    <w:rsid w:val="00E80092"/>
    <w:rsid w:val="00E83061"/>
    <w:rsid w:val="00E83755"/>
    <w:rsid w:val="00E840DC"/>
    <w:rsid w:val="00E84916"/>
    <w:rsid w:val="00E84980"/>
    <w:rsid w:val="00E856E8"/>
    <w:rsid w:val="00E86AE0"/>
    <w:rsid w:val="00E87661"/>
    <w:rsid w:val="00E87CF4"/>
    <w:rsid w:val="00E87F7D"/>
    <w:rsid w:val="00E90BD2"/>
    <w:rsid w:val="00E91894"/>
    <w:rsid w:val="00E91B4D"/>
    <w:rsid w:val="00E92D6E"/>
    <w:rsid w:val="00E93DFA"/>
    <w:rsid w:val="00E97B63"/>
    <w:rsid w:val="00E97BF9"/>
    <w:rsid w:val="00EA0F12"/>
    <w:rsid w:val="00EA1B6F"/>
    <w:rsid w:val="00EA2108"/>
    <w:rsid w:val="00EA4451"/>
    <w:rsid w:val="00EA49C1"/>
    <w:rsid w:val="00EA5DED"/>
    <w:rsid w:val="00EA6A23"/>
    <w:rsid w:val="00EA7E82"/>
    <w:rsid w:val="00EB3AC0"/>
    <w:rsid w:val="00EB3F9B"/>
    <w:rsid w:val="00EB4345"/>
    <w:rsid w:val="00EB4457"/>
    <w:rsid w:val="00EB5C20"/>
    <w:rsid w:val="00EB64B3"/>
    <w:rsid w:val="00EB7DF4"/>
    <w:rsid w:val="00EC00BD"/>
    <w:rsid w:val="00EC02A9"/>
    <w:rsid w:val="00EC0D6F"/>
    <w:rsid w:val="00EC15FF"/>
    <w:rsid w:val="00EC1AF6"/>
    <w:rsid w:val="00EC3059"/>
    <w:rsid w:val="00EC3CB5"/>
    <w:rsid w:val="00EC414D"/>
    <w:rsid w:val="00EC41D3"/>
    <w:rsid w:val="00EC60BA"/>
    <w:rsid w:val="00EC60BF"/>
    <w:rsid w:val="00EC69FF"/>
    <w:rsid w:val="00EC6C2E"/>
    <w:rsid w:val="00ED07D0"/>
    <w:rsid w:val="00ED2F42"/>
    <w:rsid w:val="00ED3ADD"/>
    <w:rsid w:val="00ED409C"/>
    <w:rsid w:val="00ED75DC"/>
    <w:rsid w:val="00EE0C52"/>
    <w:rsid w:val="00EE21FC"/>
    <w:rsid w:val="00EE303D"/>
    <w:rsid w:val="00EE3570"/>
    <w:rsid w:val="00EE4093"/>
    <w:rsid w:val="00EE4AE0"/>
    <w:rsid w:val="00EE557C"/>
    <w:rsid w:val="00EE5C85"/>
    <w:rsid w:val="00EE5D55"/>
    <w:rsid w:val="00EE5FD6"/>
    <w:rsid w:val="00EE63CA"/>
    <w:rsid w:val="00EF18BC"/>
    <w:rsid w:val="00EF1D73"/>
    <w:rsid w:val="00EF25FE"/>
    <w:rsid w:val="00EF3E55"/>
    <w:rsid w:val="00EF3EEC"/>
    <w:rsid w:val="00EF4435"/>
    <w:rsid w:val="00EF54D4"/>
    <w:rsid w:val="00F0037D"/>
    <w:rsid w:val="00F01220"/>
    <w:rsid w:val="00F01B04"/>
    <w:rsid w:val="00F01F85"/>
    <w:rsid w:val="00F03612"/>
    <w:rsid w:val="00F04573"/>
    <w:rsid w:val="00F111D5"/>
    <w:rsid w:val="00F11382"/>
    <w:rsid w:val="00F11978"/>
    <w:rsid w:val="00F14039"/>
    <w:rsid w:val="00F1410A"/>
    <w:rsid w:val="00F15DA3"/>
    <w:rsid w:val="00F16242"/>
    <w:rsid w:val="00F16342"/>
    <w:rsid w:val="00F16BE9"/>
    <w:rsid w:val="00F20C55"/>
    <w:rsid w:val="00F21B12"/>
    <w:rsid w:val="00F25505"/>
    <w:rsid w:val="00F273CB"/>
    <w:rsid w:val="00F27789"/>
    <w:rsid w:val="00F27AFB"/>
    <w:rsid w:val="00F3161B"/>
    <w:rsid w:val="00F33DFB"/>
    <w:rsid w:val="00F35E81"/>
    <w:rsid w:val="00F365BC"/>
    <w:rsid w:val="00F40603"/>
    <w:rsid w:val="00F408C5"/>
    <w:rsid w:val="00F40D32"/>
    <w:rsid w:val="00F40E79"/>
    <w:rsid w:val="00F4166B"/>
    <w:rsid w:val="00F41C37"/>
    <w:rsid w:val="00F4207F"/>
    <w:rsid w:val="00F44741"/>
    <w:rsid w:val="00F45727"/>
    <w:rsid w:val="00F467E2"/>
    <w:rsid w:val="00F5108B"/>
    <w:rsid w:val="00F514C9"/>
    <w:rsid w:val="00F5277A"/>
    <w:rsid w:val="00F52A53"/>
    <w:rsid w:val="00F555D8"/>
    <w:rsid w:val="00F55CF2"/>
    <w:rsid w:val="00F5652B"/>
    <w:rsid w:val="00F5669B"/>
    <w:rsid w:val="00F567B4"/>
    <w:rsid w:val="00F5777E"/>
    <w:rsid w:val="00F57C0F"/>
    <w:rsid w:val="00F60077"/>
    <w:rsid w:val="00F6235C"/>
    <w:rsid w:val="00F64919"/>
    <w:rsid w:val="00F64B4F"/>
    <w:rsid w:val="00F66391"/>
    <w:rsid w:val="00F6775E"/>
    <w:rsid w:val="00F67EF5"/>
    <w:rsid w:val="00F67F4C"/>
    <w:rsid w:val="00F71842"/>
    <w:rsid w:val="00F7278C"/>
    <w:rsid w:val="00F727B0"/>
    <w:rsid w:val="00F73657"/>
    <w:rsid w:val="00F74832"/>
    <w:rsid w:val="00F76776"/>
    <w:rsid w:val="00F778A8"/>
    <w:rsid w:val="00F80C02"/>
    <w:rsid w:val="00F81110"/>
    <w:rsid w:val="00F8255B"/>
    <w:rsid w:val="00F84315"/>
    <w:rsid w:val="00F84382"/>
    <w:rsid w:val="00F85D22"/>
    <w:rsid w:val="00F863D5"/>
    <w:rsid w:val="00F87E36"/>
    <w:rsid w:val="00F90462"/>
    <w:rsid w:val="00F90FB9"/>
    <w:rsid w:val="00F92358"/>
    <w:rsid w:val="00F934AC"/>
    <w:rsid w:val="00F96574"/>
    <w:rsid w:val="00F9717C"/>
    <w:rsid w:val="00FA084E"/>
    <w:rsid w:val="00FA1E73"/>
    <w:rsid w:val="00FA2112"/>
    <w:rsid w:val="00FA3AE7"/>
    <w:rsid w:val="00FA4DD6"/>
    <w:rsid w:val="00FB18DC"/>
    <w:rsid w:val="00FB3BA6"/>
    <w:rsid w:val="00FB3C7D"/>
    <w:rsid w:val="00FB42CA"/>
    <w:rsid w:val="00FB5533"/>
    <w:rsid w:val="00FB558D"/>
    <w:rsid w:val="00FB57F3"/>
    <w:rsid w:val="00FB667E"/>
    <w:rsid w:val="00FC15ED"/>
    <w:rsid w:val="00FC221C"/>
    <w:rsid w:val="00FC31A9"/>
    <w:rsid w:val="00FC4D30"/>
    <w:rsid w:val="00FC65A3"/>
    <w:rsid w:val="00FC7DC8"/>
    <w:rsid w:val="00FD0236"/>
    <w:rsid w:val="00FD0263"/>
    <w:rsid w:val="00FD4FD2"/>
    <w:rsid w:val="00FD66F0"/>
    <w:rsid w:val="00FD677A"/>
    <w:rsid w:val="00FE00D5"/>
    <w:rsid w:val="00FE015D"/>
    <w:rsid w:val="00FE0DC7"/>
    <w:rsid w:val="00FE195B"/>
    <w:rsid w:val="00FE2964"/>
    <w:rsid w:val="00FE309A"/>
    <w:rsid w:val="00FE34F0"/>
    <w:rsid w:val="00FE3584"/>
    <w:rsid w:val="00FE3BEF"/>
    <w:rsid w:val="00FE4632"/>
    <w:rsid w:val="00FE7D7F"/>
    <w:rsid w:val="00FF19BD"/>
    <w:rsid w:val="00FF1E59"/>
    <w:rsid w:val="00FF338F"/>
    <w:rsid w:val="00FF4B00"/>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E8DF3F"/>
  <w15:chartTrackingRefBased/>
  <w15:docId w15:val="{D9E79591-59E5-4E21-A79E-8EEDF5EE3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91A"/>
    <w:rPr>
      <w:rFonts w:ascii="Times New Roman" w:hAnsi="Times New Roman"/>
      <w:sz w:val="22"/>
    </w:rPr>
  </w:style>
  <w:style w:type="paragraph" w:styleId="Heading1">
    <w:name w:val="heading 1"/>
    <w:basedOn w:val="Normal"/>
    <w:next w:val="Normal"/>
    <w:link w:val="Heading1Char"/>
    <w:uiPriority w:val="9"/>
    <w:qFormat/>
    <w:rsid w:val="002D0E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aliases w:val="Heading 2."/>
    <w:basedOn w:val="Normal"/>
    <w:next w:val="Normal"/>
    <w:link w:val="Heading2Char"/>
    <w:uiPriority w:val="9"/>
    <w:unhideWhenUsed/>
    <w:qFormat/>
    <w:rsid w:val="002D0E69"/>
    <w:pPr>
      <w:keepNext/>
      <w:keepLines/>
      <w:spacing w:before="160" w:after="80"/>
      <w:outlineLvl w:val="1"/>
    </w:pPr>
    <w:rPr>
      <w:rFonts w:eastAsiaTheme="majorEastAsia" w:cstheme="majorBidi"/>
      <w:sz w:val="24"/>
      <w:szCs w:val="32"/>
    </w:rPr>
  </w:style>
  <w:style w:type="paragraph" w:styleId="Heading3">
    <w:name w:val="heading 3"/>
    <w:basedOn w:val="Normal"/>
    <w:next w:val="Normal"/>
    <w:link w:val="Heading3Char"/>
    <w:uiPriority w:val="9"/>
    <w:semiHidden/>
    <w:unhideWhenUsed/>
    <w:qFormat/>
    <w:rsid w:val="002D0E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0E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0E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0E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0E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0E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0E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E69"/>
    <w:rPr>
      <w:rFonts w:asciiTheme="majorHAnsi" w:eastAsiaTheme="majorEastAsia" w:hAnsiTheme="majorHAnsi" w:cstheme="majorBidi"/>
      <w:color w:val="0F4761" w:themeColor="accent1" w:themeShade="BF"/>
      <w:sz w:val="40"/>
      <w:szCs w:val="40"/>
    </w:rPr>
  </w:style>
  <w:style w:type="character" w:customStyle="1" w:styleId="Heading2Char">
    <w:name w:val="Heading 2 Char"/>
    <w:aliases w:val="Heading 2. Char"/>
    <w:basedOn w:val="DefaultParagraphFont"/>
    <w:link w:val="Heading2"/>
    <w:uiPriority w:val="9"/>
    <w:rsid w:val="002D0E69"/>
    <w:rPr>
      <w:rFonts w:ascii="Times New Roman" w:eastAsiaTheme="majorEastAsia" w:hAnsi="Times New Roman" w:cstheme="majorBidi"/>
      <w:szCs w:val="32"/>
    </w:rPr>
  </w:style>
  <w:style w:type="character" w:customStyle="1" w:styleId="Heading3Char">
    <w:name w:val="Heading 3 Char"/>
    <w:basedOn w:val="DefaultParagraphFont"/>
    <w:link w:val="Heading3"/>
    <w:uiPriority w:val="9"/>
    <w:semiHidden/>
    <w:rsid w:val="002D0E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0E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0E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0E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0E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0E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0E69"/>
    <w:rPr>
      <w:rFonts w:eastAsiaTheme="majorEastAsia" w:cstheme="majorBidi"/>
      <w:color w:val="272727" w:themeColor="text1" w:themeTint="D8"/>
    </w:rPr>
  </w:style>
  <w:style w:type="paragraph" w:styleId="Title">
    <w:name w:val="Title"/>
    <w:basedOn w:val="Normal"/>
    <w:next w:val="Normal"/>
    <w:link w:val="TitleChar"/>
    <w:uiPriority w:val="10"/>
    <w:qFormat/>
    <w:rsid w:val="002D0E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E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E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E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E69"/>
    <w:pPr>
      <w:spacing w:before="160"/>
      <w:jc w:val="center"/>
    </w:pPr>
    <w:rPr>
      <w:i/>
      <w:iCs/>
      <w:color w:val="404040" w:themeColor="text1" w:themeTint="BF"/>
    </w:rPr>
  </w:style>
  <w:style w:type="character" w:customStyle="1" w:styleId="QuoteChar">
    <w:name w:val="Quote Char"/>
    <w:basedOn w:val="DefaultParagraphFont"/>
    <w:link w:val="Quote"/>
    <w:uiPriority w:val="29"/>
    <w:rsid w:val="002D0E69"/>
    <w:rPr>
      <w:i/>
      <w:iCs/>
      <w:color w:val="404040" w:themeColor="text1" w:themeTint="BF"/>
    </w:rPr>
  </w:style>
  <w:style w:type="paragraph" w:styleId="ListParagraph">
    <w:name w:val="List Paragraph"/>
    <w:basedOn w:val="Normal"/>
    <w:uiPriority w:val="34"/>
    <w:qFormat/>
    <w:rsid w:val="002D0E69"/>
    <w:pPr>
      <w:ind w:left="720"/>
      <w:contextualSpacing/>
    </w:pPr>
  </w:style>
  <w:style w:type="character" w:styleId="IntenseEmphasis">
    <w:name w:val="Intense Emphasis"/>
    <w:basedOn w:val="DefaultParagraphFont"/>
    <w:uiPriority w:val="21"/>
    <w:qFormat/>
    <w:rsid w:val="002D0E69"/>
    <w:rPr>
      <w:i/>
      <w:iCs/>
      <w:color w:val="0F4761" w:themeColor="accent1" w:themeShade="BF"/>
    </w:rPr>
  </w:style>
  <w:style w:type="paragraph" w:styleId="IntenseQuote">
    <w:name w:val="Intense Quote"/>
    <w:basedOn w:val="Normal"/>
    <w:next w:val="Normal"/>
    <w:link w:val="IntenseQuoteChar"/>
    <w:uiPriority w:val="30"/>
    <w:qFormat/>
    <w:rsid w:val="002D0E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0E69"/>
    <w:rPr>
      <w:i/>
      <w:iCs/>
      <w:color w:val="0F4761" w:themeColor="accent1" w:themeShade="BF"/>
    </w:rPr>
  </w:style>
  <w:style w:type="character" w:styleId="IntenseReference">
    <w:name w:val="Intense Reference"/>
    <w:basedOn w:val="DefaultParagraphFont"/>
    <w:uiPriority w:val="32"/>
    <w:qFormat/>
    <w:rsid w:val="002D0E69"/>
    <w:rPr>
      <w:b/>
      <w:bCs/>
      <w:smallCaps/>
      <w:color w:val="0F4761" w:themeColor="accent1" w:themeShade="BF"/>
      <w:spacing w:val="5"/>
    </w:rPr>
  </w:style>
  <w:style w:type="paragraph" w:styleId="TOCHeading">
    <w:name w:val="TOC Heading"/>
    <w:basedOn w:val="Heading1"/>
    <w:next w:val="Normal"/>
    <w:uiPriority w:val="39"/>
    <w:unhideWhenUsed/>
    <w:qFormat/>
    <w:rsid w:val="002D0E69"/>
    <w:pPr>
      <w:spacing w:before="240" w:after="0" w:line="259" w:lineRule="auto"/>
      <w:outlineLvl w:val="9"/>
    </w:pPr>
    <w:rPr>
      <w:kern w:val="0"/>
      <w:sz w:val="32"/>
      <w:szCs w:val="32"/>
      <w:lang w:eastAsia="en-US"/>
      <w14:ligatures w14:val="none"/>
    </w:rPr>
  </w:style>
  <w:style w:type="paragraph" w:customStyle="1" w:styleId="Heading">
    <w:name w:val="Heading"/>
    <w:basedOn w:val="Heading1"/>
    <w:link w:val="HeadingChar"/>
    <w:qFormat/>
    <w:rsid w:val="00677DEB"/>
    <w:rPr>
      <w:rFonts w:ascii="Times New Roman" w:hAnsi="Times New Roman"/>
      <w:b/>
      <w:color w:val="auto"/>
      <w:sz w:val="28"/>
    </w:rPr>
  </w:style>
  <w:style w:type="character" w:customStyle="1" w:styleId="HeadingChar">
    <w:name w:val="Heading Char"/>
    <w:basedOn w:val="Heading1Char"/>
    <w:link w:val="Heading"/>
    <w:rsid w:val="00677DEB"/>
    <w:rPr>
      <w:rFonts w:ascii="Times New Roman" w:eastAsiaTheme="majorEastAsia" w:hAnsi="Times New Roman" w:cstheme="majorBidi"/>
      <w:b/>
      <w:color w:val="0F4761" w:themeColor="accent1" w:themeShade="BF"/>
      <w:sz w:val="28"/>
      <w:szCs w:val="40"/>
    </w:rPr>
  </w:style>
  <w:style w:type="paragraph" w:styleId="TOC1">
    <w:name w:val="toc 1"/>
    <w:basedOn w:val="Normal"/>
    <w:next w:val="Normal"/>
    <w:autoRedefine/>
    <w:uiPriority w:val="39"/>
    <w:unhideWhenUsed/>
    <w:rsid w:val="00FD0236"/>
    <w:pPr>
      <w:tabs>
        <w:tab w:val="left" w:pos="630"/>
        <w:tab w:val="right" w:leader="dot" w:pos="9350"/>
      </w:tabs>
      <w:spacing w:before="120" w:after="0" w:line="276" w:lineRule="auto"/>
    </w:pPr>
    <w:rPr>
      <w:rFonts w:eastAsia="Times New Roman" w:cs="Times New Roman"/>
      <w:b/>
      <w:bCs/>
      <w:iCs/>
      <w:szCs w:val="22"/>
    </w:rPr>
  </w:style>
  <w:style w:type="character" w:styleId="Hyperlink">
    <w:name w:val="Hyperlink"/>
    <w:basedOn w:val="DefaultParagraphFont"/>
    <w:uiPriority w:val="99"/>
    <w:unhideWhenUsed/>
    <w:rsid w:val="00677DEB"/>
    <w:rPr>
      <w:color w:val="467886" w:themeColor="hyperlink"/>
      <w:u w:val="single"/>
    </w:rPr>
  </w:style>
  <w:style w:type="paragraph" w:styleId="TOC2">
    <w:name w:val="toc 2"/>
    <w:basedOn w:val="Normal"/>
    <w:next w:val="Normal"/>
    <w:autoRedefine/>
    <w:uiPriority w:val="39"/>
    <w:unhideWhenUsed/>
    <w:rsid w:val="00D36229"/>
    <w:pPr>
      <w:tabs>
        <w:tab w:val="left" w:pos="1100"/>
        <w:tab w:val="left" w:pos="1530"/>
        <w:tab w:val="right" w:leader="underscore" w:pos="9350"/>
      </w:tabs>
      <w:spacing w:before="120" w:after="0"/>
      <w:ind w:left="630"/>
    </w:pPr>
    <w:rPr>
      <w:rFonts w:cs="Times New Roman"/>
      <w:bCs/>
      <w:noProof/>
      <w:sz w:val="20"/>
      <w:szCs w:val="20"/>
    </w:rPr>
  </w:style>
  <w:style w:type="paragraph" w:styleId="TOC3">
    <w:name w:val="toc 3"/>
    <w:basedOn w:val="Normal"/>
    <w:next w:val="Normal"/>
    <w:autoRedefine/>
    <w:uiPriority w:val="39"/>
    <w:unhideWhenUsed/>
    <w:rsid w:val="00D36229"/>
    <w:pPr>
      <w:spacing w:after="0"/>
      <w:ind w:left="440"/>
    </w:pPr>
    <w:rPr>
      <w:sz w:val="20"/>
      <w:szCs w:val="20"/>
    </w:rPr>
  </w:style>
  <w:style w:type="paragraph" w:styleId="Header">
    <w:name w:val="header"/>
    <w:basedOn w:val="Normal"/>
    <w:link w:val="HeaderChar"/>
    <w:uiPriority w:val="99"/>
    <w:unhideWhenUsed/>
    <w:rsid w:val="000534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348D"/>
    <w:rPr>
      <w:rFonts w:ascii="Times New Roman" w:hAnsi="Times New Roman"/>
      <w:sz w:val="22"/>
    </w:rPr>
  </w:style>
  <w:style w:type="paragraph" w:styleId="Footer">
    <w:name w:val="footer"/>
    <w:basedOn w:val="Normal"/>
    <w:link w:val="FooterChar"/>
    <w:uiPriority w:val="99"/>
    <w:unhideWhenUsed/>
    <w:rsid w:val="000534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348D"/>
    <w:rPr>
      <w:rFonts w:ascii="Times New Roman" w:hAnsi="Times New Roman"/>
      <w:sz w:val="22"/>
    </w:rPr>
  </w:style>
  <w:style w:type="character" w:styleId="PlaceholderText">
    <w:name w:val="Placeholder Text"/>
    <w:basedOn w:val="DefaultParagraphFont"/>
    <w:uiPriority w:val="99"/>
    <w:semiHidden/>
    <w:rsid w:val="005308FF"/>
    <w:rPr>
      <w:color w:val="666666"/>
    </w:rPr>
  </w:style>
  <w:style w:type="paragraph" w:styleId="TOC4">
    <w:name w:val="toc 4"/>
    <w:basedOn w:val="Normal"/>
    <w:next w:val="Normal"/>
    <w:autoRedefine/>
    <w:uiPriority w:val="39"/>
    <w:unhideWhenUsed/>
    <w:rsid w:val="001D3372"/>
    <w:pPr>
      <w:spacing w:after="0"/>
      <w:ind w:left="660"/>
    </w:pPr>
    <w:rPr>
      <w:rFonts w:asciiTheme="minorHAnsi" w:hAnsiTheme="minorHAnsi"/>
      <w:sz w:val="20"/>
      <w:szCs w:val="20"/>
    </w:rPr>
  </w:style>
  <w:style w:type="paragraph" w:styleId="TOC5">
    <w:name w:val="toc 5"/>
    <w:basedOn w:val="Normal"/>
    <w:next w:val="Normal"/>
    <w:autoRedefine/>
    <w:uiPriority w:val="39"/>
    <w:unhideWhenUsed/>
    <w:rsid w:val="001D3372"/>
    <w:pPr>
      <w:spacing w:after="0"/>
      <w:ind w:left="880"/>
    </w:pPr>
    <w:rPr>
      <w:rFonts w:asciiTheme="minorHAnsi" w:hAnsiTheme="minorHAnsi"/>
      <w:sz w:val="20"/>
      <w:szCs w:val="20"/>
    </w:rPr>
  </w:style>
  <w:style w:type="paragraph" w:styleId="TOC6">
    <w:name w:val="toc 6"/>
    <w:basedOn w:val="Normal"/>
    <w:next w:val="Normal"/>
    <w:autoRedefine/>
    <w:uiPriority w:val="39"/>
    <w:unhideWhenUsed/>
    <w:rsid w:val="001D3372"/>
    <w:pPr>
      <w:spacing w:after="0"/>
      <w:ind w:left="1100"/>
    </w:pPr>
    <w:rPr>
      <w:rFonts w:asciiTheme="minorHAnsi" w:hAnsiTheme="minorHAnsi"/>
      <w:sz w:val="20"/>
      <w:szCs w:val="20"/>
    </w:rPr>
  </w:style>
  <w:style w:type="paragraph" w:styleId="TOC7">
    <w:name w:val="toc 7"/>
    <w:basedOn w:val="Normal"/>
    <w:next w:val="Normal"/>
    <w:autoRedefine/>
    <w:uiPriority w:val="39"/>
    <w:unhideWhenUsed/>
    <w:rsid w:val="001D3372"/>
    <w:pPr>
      <w:spacing w:after="0"/>
      <w:ind w:left="1320"/>
    </w:pPr>
    <w:rPr>
      <w:rFonts w:asciiTheme="minorHAnsi" w:hAnsiTheme="minorHAnsi"/>
      <w:sz w:val="20"/>
      <w:szCs w:val="20"/>
    </w:rPr>
  </w:style>
  <w:style w:type="paragraph" w:styleId="TOC8">
    <w:name w:val="toc 8"/>
    <w:basedOn w:val="Normal"/>
    <w:next w:val="Normal"/>
    <w:autoRedefine/>
    <w:uiPriority w:val="39"/>
    <w:unhideWhenUsed/>
    <w:rsid w:val="001D3372"/>
    <w:pPr>
      <w:spacing w:after="0"/>
      <w:ind w:left="1540"/>
    </w:pPr>
    <w:rPr>
      <w:rFonts w:asciiTheme="minorHAnsi" w:hAnsiTheme="minorHAnsi"/>
      <w:sz w:val="20"/>
      <w:szCs w:val="20"/>
    </w:rPr>
  </w:style>
  <w:style w:type="paragraph" w:styleId="TOC9">
    <w:name w:val="toc 9"/>
    <w:basedOn w:val="Normal"/>
    <w:next w:val="Normal"/>
    <w:autoRedefine/>
    <w:uiPriority w:val="39"/>
    <w:unhideWhenUsed/>
    <w:rsid w:val="001D3372"/>
    <w:pPr>
      <w:spacing w:after="0"/>
      <w:ind w:left="1760"/>
    </w:pPr>
    <w:rPr>
      <w:rFonts w:asciiTheme="minorHAnsi" w:hAnsiTheme="minorHAnsi"/>
      <w:sz w:val="20"/>
      <w:szCs w:val="20"/>
    </w:rPr>
  </w:style>
  <w:style w:type="table" w:styleId="TableGrid">
    <w:name w:val="Table Grid"/>
    <w:basedOn w:val="TableNormal"/>
    <w:uiPriority w:val="39"/>
    <w:rsid w:val="00A44C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D13BB"/>
    <w:rPr>
      <w:color w:val="605E5C"/>
      <w:shd w:val="clear" w:color="auto" w:fill="E1DFDD"/>
    </w:rPr>
  </w:style>
  <w:style w:type="paragraph" w:styleId="NoSpacing">
    <w:name w:val="No Spacing"/>
    <w:link w:val="NoSpacingChar"/>
    <w:uiPriority w:val="1"/>
    <w:qFormat/>
    <w:rsid w:val="00AC63EA"/>
    <w:pPr>
      <w:spacing w:after="0" w:line="240" w:lineRule="auto"/>
    </w:pPr>
    <w:rPr>
      <w:kern w:val="0"/>
      <w:sz w:val="22"/>
      <w:szCs w:val="22"/>
      <w:lang w:eastAsia="en-US"/>
      <w14:ligatures w14:val="none"/>
    </w:rPr>
  </w:style>
  <w:style w:type="character" w:customStyle="1" w:styleId="NoSpacingChar">
    <w:name w:val="No Spacing Char"/>
    <w:basedOn w:val="DefaultParagraphFont"/>
    <w:link w:val="NoSpacing"/>
    <w:uiPriority w:val="1"/>
    <w:rsid w:val="00AC63EA"/>
    <w:rPr>
      <w:kern w:val="0"/>
      <w:sz w:val="22"/>
      <w:szCs w:val="22"/>
      <w:lang w:eastAsia="en-US"/>
      <w14:ligatures w14:val="none"/>
    </w:rPr>
  </w:style>
  <w:style w:type="paragraph" w:styleId="TableofFigures">
    <w:name w:val="table of figures"/>
    <w:basedOn w:val="Normal"/>
    <w:next w:val="Normal"/>
    <w:uiPriority w:val="99"/>
    <w:unhideWhenUsed/>
    <w:rsid w:val="00124163"/>
    <w:pPr>
      <w:spacing w:after="0"/>
    </w:pPr>
  </w:style>
  <w:style w:type="paragraph" w:styleId="Caption">
    <w:name w:val="caption"/>
    <w:basedOn w:val="Normal"/>
    <w:next w:val="Normal"/>
    <w:uiPriority w:val="35"/>
    <w:unhideWhenUsed/>
    <w:qFormat/>
    <w:rsid w:val="00C62763"/>
    <w:pPr>
      <w:spacing w:after="200" w:line="240" w:lineRule="auto"/>
    </w:pPr>
    <w:rPr>
      <w:i/>
      <w:iCs/>
      <w:sz w:val="18"/>
      <w:szCs w:val="18"/>
    </w:rPr>
  </w:style>
  <w:style w:type="character" w:customStyle="1" w:styleId="katex-mathml">
    <w:name w:val="katex-mathml"/>
    <w:basedOn w:val="DefaultParagraphFont"/>
    <w:rsid w:val="00F514C9"/>
  </w:style>
  <w:style w:type="character" w:customStyle="1" w:styleId="mord">
    <w:name w:val="mord"/>
    <w:basedOn w:val="DefaultParagraphFont"/>
    <w:rsid w:val="00F514C9"/>
  </w:style>
  <w:style w:type="table" w:styleId="TableGridLight">
    <w:name w:val="Grid Table Light"/>
    <w:basedOn w:val="TableNormal"/>
    <w:uiPriority w:val="40"/>
    <w:rsid w:val="00F7365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047601">
      <w:bodyDiv w:val="1"/>
      <w:marLeft w:val="0"/>
      <w:marRight w:val="0"/>
      <w:marTop w:val="0"/>
      <w:marBottom w:val="0"/>
      <w:divBdr>
        <w:top w:val="none" w:sz="0" w:space="0" w:color="auto"/>
        <w:left w:val="none" w:sz="0" w:space="0" w:color="auto"/>
        <w:bottom w:val="none" w:sz="0" w:space="0" w:color="auto"/>
        <w:right w:val="none" w:sz="0" w:space="0" w:color="auto"/>
      </w:divBdr>
    </w:div>
    <w:div w:id="56903438">
      <w:bodyDiv w:val="1"/>
      <w:marLeft w:val="0"/>
      <w:marRight w:val="0"/>
      <w:marTop w:val="0"/>
      <w:marBottom w:val="0"/>
      <w:divBdr>
        <w:top w:val="none" w:sz="0" w:space="0" w:color="auto"/>
        <w:left w:val="none" w:sz="0" w:space="0" w:color="auto"/>
        <w:bottom w:val="none" w:sz="0" w:space="0" w:color="auto"/>
        <w:right w:val="none" w:sz="0" w:space="0" w:color="auto"/>
      </w:divBdr>
    </w:div>
    <w:div w:id="62531982">
      <w:bodyDiv w:val="1"/>
      <w:marLeft w:val="0"/>
      <w:marRight w:val="0"/>
      <w:marTop w:val="0"/>
      <w:marBottom w:val="0"/>
      <w:divBdr>
        <w:top w:val="none" w:sz="0" w:space="0" w:color="auto"/>
        <w:left w:val="none" w:sz="0" w:space="0" w:color="auto"/>
        <w:bottom w:val="none" w:sz="0" w:space="0" w:color="auto"/>
        <w:right w:val="none" w:sz="0" w:space="0" w:color="auto"/>
      </w:divBdr>
    </w:div>
    <w:div w:id="107362023">
      <w:bodyDiv w:val="1"/>
      <w:marLeft w:val="0"/>
      <w:marRight w:val="0"/>
      <w:marTop w:val="0"/>
      <w:marBottom w:val="0"/>
      <w:divBdr>
        <w:top w:val="none" w:sz="0" w:space="0" w:color="auto"/>
        <w:left w:val="none" w:sz="0" w:space="0" w:color="auto"/>
        <w:bottom w:val="none" w:sz="0" w:space="0" w:color="auto"/>
        <w:right w:val="none" w:sz="0" w:space="0" w:color="auto"/>
      </w:divBdr>
    </w:div>
    <w:div w:id="174619631">
      <w:bodyDiv w:val="1"/>
      <w:marLeft w:val="0"/>
      <w:marRight w:val="0"/>
      <w:marTop w:val="0"/>
      <w:marBottom w:val="0"/>
      <w:divBdr>
        <w:top w:val="none" w:sz="0" w:space="0" w:color="auto"/>
        <w:left w:val="none" w:sz="0" w:space="0" w:color="auto"/>
        <w:bottom w:val="none" w:sz="0" w:space="0" w:color="auto"/>
        <w:right w:val="none" w:sz="0" w:space="0" w:color="auto"/>
      </w:divBdr>
    </w:div>
    <w:div w:id="259871267">
      <w:bodyDiv w:val="1"/>
      <w:marLeft w:val="0"/>
      <w:marRight w:val="0"/>
      <w:marTop w:val="0"/>
      <w:marBottom w:val="0"/>
      <w:divBdr>
        <w:top w:val="none" w:sz="0" w:space="0" w:color="auto"/>
        <w:left w:val="none" w:sz="0" w:space="0" w:color="auto"/>
        <w:bottom w:val="none" w:sz="0" w:space="0" w:color="auto"/>
        <w:right w:val="none" w:sz="0" w:space="0" w:color="auto"/>
      </w:divBdr>
    </w:div>
    <w:div w:id="285089863">
      <w:bodyDiv w:val="1"/>
      <w:marLeft w:val="0"/>
      <w:marRight w:val="0"/>
      <w:marTop w:val="0"/>
      <w:marBottom w:val="0"/>
      <w:divBdr>
        <w:top w:val="none" w:sz="0" w:space="0" w:color="auto"/>
        <w:left w:val="none" w:sz="0" w:space="0" w:color="auto"/>
        <w:bottom w:val="none" w:sz="0" w:space="0" w:color="auto"/>
        <w:right w:val="none" w:sz="0" w:space="0" w:color="auto"/>
      </w:divBdr>
    </w:div>
    <w:div w:id="314846682">
      <w:bodyDiv w:val="1"/>
      <w:marLeft w:val="0"/>
      <w:marRight w:val="0"/>
      <w:marTop w:val="0"/>
      <w:marBottom w:val="0"/>
      <w:divBdr>
        <w:top w:val="none" w:sz="0" w:space="0" w:color="auto"/>
        <w:left w:val="none" w:sz="0" w:space="0" w:color="auto"/>
        <w:bottom w:val="none" w:sz="0" w:space="0" w:color="auto"/>
        <w:right w:val="none" w:sz="0" w:space="0" w:color="auto"/>
      </w:divBdr>
    </w:div>
    <w:div w:id="342709861">
      <w:bodyDiv w:val="1"/>
      <w:marLeft w:val="0"/>
      <w:marRight w:val="0"/>
      <w:marTop w:val="0"/>
      <w:marBottom w:val="0"/>
      <w:divBdr>
        <w:top w:val="none" w:sz="0" w:space="0" w:color="auto"/>
        <w:left w:val="none" w:sz="0" w:space="0" w:color="auto"/>
        <w:bottom w:val="none" w:sz="0" w:space="0" w:color="auto"/>
        <w:right w:val="none" w:sz="0" w:space="0" w:color="auto"/>
      </w:divBdr>
    </w:div>
    <w:div w:id="344599846">
      <w:bodyDiv w:val="1"/>
      <w:marLeft w:val="0"/>
      <w:marRight w:val="0"/>
      <w:marTop w:val="0"/>
      <w:marBottom w:val="0"/>
      <w:divBdr>
        <w:top w:val="none" w:sz="0" w:space="0" w:color="auto"/>
        <w:left w:val="none" w:sz="0" w:space="0" w:color="auto"/>
        <w:bottom w:val="none" w:sz="0" w:space="0" w:color="auto"/>
        <w:right w:val="none" w:sz="0" w:space="0" w:color="auto"/>
      </w:divBdr>
    </w:div>
    <w:div w:id="354616235">
      <w:bodyDiv w:val="1"/>
      <w:marLeft w:val="0"/>
      <w:marRight w:val="0"/>
      <w:marTop w:val="0"/>
      <w:marBottom w:val="0"/>
      <w:divBdr>
        <w:top w:val="none" w:sz="0" w:space="0" w:color="auto"/>
        <w:left w:val="none" w:sz="0" w:space="0" w:color="auto"/>
        <w:bottom w:val="none" w:sz="0" w:space="0" w:color="auto"/>
        <w:right w:val="none" w:sz="0" w:space="0" w:color="auto"/>
      </w:divBdr>
    </w:div>
    <w:div w:id="411321594">
      <w:bodyDiv w:val="1"/>
      <w:marLeft w:val="0"/>
      <w:marRight w:val="0"/>
      <w:marTop w:val="0"/>
      <w:marBottom w:val="0"/>
      <w:divBdr>
        <w:top w:val="none" w:sz="0" w:space="0" w:color="auto"/>
        <w:left w:val="none" w:sz="0" w:space="0" w:color="auto"/>
        <w:bottom w:val="none" w:sz="0" w:space="0" w:color="auto"/>
        <w:right w:val="none" w:sz="0" w:space="0" w:color="auto"/>
      </w:divBdr>
    </w:div>
    <w:div w:id="436557788">
      <w:bodyDiv w:val="1"/>
      <w:marLeft w:val="0"/>
      <w:marRight w:val="0"/>
      <w:marTop w:val="0"/>
      <w:marBottom w:val="0"/>
      <w:divBdr>
        <w:top w:val="none" w:sz="0" w:space="0" w:color="auto"/>
        <w:left w:val="none" w:sz="0" w:space="0" w:color="auto"/>
        <w:bottom w:val="none" w:sz="0" w:space="0" w:color="auto"/>
        <w:right w:val="none" w:sz="0" w:space="0" w:color="auto"/>
      </w:divBdr>
    </w:div>
    <w:div w:id="439572494">
      <w:bodyDiv w:val="1"/>
      <w:marLeft w:val="0"/>
      <w:marRight w:val="0"/>
      <w:marTop w:val="0"/>
      <w:marBottom w:val="0"/>
      <w:divBdr>
        <w:top w:val="none" w:sz="0" w:space="0" w:color="auto"/>
        <w:left w:val="none" w:sz="0" w:space="0" w:color="auto"/>
        <w:bottom w:val="none" w:sz="0" w:space="0" w:color="auto"/>
        <w:right w:val="none" w:sz="0" w:space="0" w:color="auto"/>
      </w:divBdr>
    </w:div>
    <w:div w:id="469594894">
      <w:bodyDiv w:val="1"/>
      <w:marLeft w:val="0"/>
      <w:marRight w:val="0"/>
      <w:marTop w:val="0"/>
      <w:marBottom w:val="0"/>
      <w:divBdr>
        <w:top w:val="none" w:sz="0" w:space="0" w:color="auto"/>
        <w:left w:val="none" w:sz="0" w:space="0" w:color="auto"/>
        <w:bottom w:val="none" w:sz="0" w:space="0" w:color="auto"/>
        <w:right w:val="none" w:sz="0" w:space="0" w:color="auto"/>
      </w:divBdr>
    </w:div>
    <w:div w:id="476193283">
      <w:bodyDiv w:val="1"/>
      <w:marLeft w:val="0"/>
      <w:marRight w:val="0"/>
      <w:marTop w:val="0"/>
      <w:marBottom w:val="0"/>
      <w:divBdr>
        <w:top w:val="none" w:sz="0" w:space="0" w:color="auto"/>
        <w:left w:val="none" w:sz="0" w:space="0" w:color="auto"/>
        <w:bottom w:val="none" w:sz="0" w:space="0" w:color="auto"/>
        <w:right w:val="none" w:sz="0" w:space="0" w:color="auto"/>
      </w:divBdr>
    </w:div>
    <w:div w:id="500046609">
      <w:bodyDiv w:val="1"/>
      <w:marLeft w:val="0"/>
      <w:marRight w:val="0"/>
      <w:marTop w:val="0"/>
      <w:marBottom w:val="0"/>
      <w:divBdr>
        <w:top w:val="none" w:sz="0" w:space="0" w:color="auto"/>
        <w:left w:val="none" w:sz="0" w:space="0" w:color="auto"/>
        <w:bottom w:val="none" w:sz="0" w:space="0" w:color="auto"/>
        <w:right w:val="none" w:sz="0" w:space="0" w:color="auto"/>
      </w:divBdr>
    </w:div>
    <w:div w:id="504049895">
      <w:bodyDiv w:val="1"/>
      <w:marLeft w:val="0"/>
      <w:marRight w:val="0"/>
      <w:marTop w:val="0"/>
      <w:marBottom w:val="0"/>
      <w:divBdr>
        <w:top w:val="none" w:sz="0" w:space="0" w:color="auto"/>
        <w:left w:val="none" w:sz="0" w:space="0" w:color="auto"/>
        <w:bottom w:val="none" w:sz="0" w:space="0" w:color="auto"/>
        <w:right w:val="none" w:sz="0" w:space="0" w:color="auto"/>
      </w:divBdr>
    </w:div>
    <w:div w:id="517933426">
      <w:bodyDiv w:val="1"/>
      <w:marLeft w:val="0"/>
      <w:marRight w:val="0"/>
      <w:marTop w:val="0"/>
      <w:marBottom w:val="0"/>
      <w:divBdr>
        <w:top w:val="none" w:sz="0" w:space="0" w:color="auto"/>
        <w:left w:val="none" w:sz="0" w:space="0" w:color="auto"/>
        <w:bottom w:val="none" w:sz="0" w:space="0" w:color="auto"/>
        <w:right w:val="none" w:sz="0" w:space="0" w:color="auto"/>
      </w:divBdr>
    </w:div>
    <w:div w:id="534077451">
      <w:bodyDiv w:val="1"/>
      <w:marLeft w:val="0"/>
      <w:marRight w:val="0"/>
      <w:marTop w:val="0"/>
      <w:marBottom w:val="0"/>
      <w:divBdr>
        <w:top w:val="none" w:sz="0" w:space="0" w:color="auto"/>
        <w:left w:val="none" w:sz="0" w:space="0" w:color="auto"/>
        <w:bottom w:val="none" w:sz="0" w:space="0" w:color="auto"/>
        <w:right w:val="none" w:sz="0" w:space="0" w:color="auto"/>
      </w:divBdr>
    </w:div>
    <w:div w:id="588079239">
      <w:bodyDiv w:val="1"/>
      <w:marLeft w:val="0"/>
      <w:marRight w:val="0"/>
      <w:marTop w:val="0"/>
      <w:marBottom w:val="0"/>
      <w:divBdr>
        <w:top w:val="none" w:sz="0" w:space="0" w:color="auto"/>
        <w:left w:val="none" w:sz="0" w:space="0" w:color="auto"/>
        <w:bottom w:val="none" w:sz="0" w:space="0" w:color="auto"/>
        <w:right w:val="none" w:sz="0" w:space="0" w:color="auto"/>
      </w:divBdr>
    </w:div>
    <w:div w:id="615912531">
      <w:bodyDiv w:val="1"/>
      <w:marLeft w:val="0"/>
      <w:marRight w:val="0"/>
      <w:marTop w:val="0"/>
      <w:marBottom w:val="0"/>
      <w:divBdr>
        <w:top w:val="none" w:sz="0" w:space="0" w:color="auto"/>
        <w:left w:val="none" w:sz="0" w:space="0" w:color="auto"/>
        <w:bottom w:val="none" w:sz="0" w:space="0" w:color="auto"/>
        <w:right w:val="none" w:sz="0" w:space="0" w:color="auto"/>
      </w:divBdr>
    </w:div>
    <w:div w:id="647368701">
      <w:bodyDiv w:val="1"/>
      <w:marLeft w:val="0"/>
      <w:marRight w:val="0"/>
      <w:marTop w:val="0"/>
      <w:marBottom w:val="0"/>
      <w:divBdr>
        <w:top w:val="none" w:sz="0" w:space="0" w:color="auto"/>
        <w:left w:val="none" w:sz="0" w:space="0" w:color="auto"/>
        <w:bottom w:val="none" w:sz="0" w:space="0" w:color="auto"/>
        <w:right w:val="none" w:sz="0" w:space="0" w:color="auto"/>
      </w:divBdr>
    </w:div>
    <w:div w:id="700133433">
      <w:bodyDiv w:val="1"/>
      <w:marLeft w:val="0"/>
      <w:marRight w:val="0"/>
      <w:marTop w:val="0"/>
      <w:marBottom w:val="0"/>
      <w:divBdr>
        <w:top w:val="none" w:sz="0" w:space="0" w:color="auto"/>
        <w:left w:val="none" w:sz="0" w:space="0" w:color="auto"/>
        <w:bottom w:val="none" w:sz="0" w:space="0" w:color="auto"/>
        <w:right w:val="none" w:sz="0" w:space="0" w:color="auto"/>
      </w:divBdr>
      <w:divsChild>
        <w:div w:id="898594432">
          <w:marLeft w:val="0"/>
          <w:marRight w:val="0"/>
          <w:marTop w:val="0"/>
          <w:marBottom w:val="0"/>
          <w:divBdr>
            <w:top w:val="none" w:sz="0" w:space="0" w:color="auto"/>
            <w:left w:val="none" w:sz="0" w:space="0" w:color="auto"/>
            <w:bottom w:val="none" w:sz="0" w:space="0" w:color="auto"/>
            <w:right w:val="none" w:sz="0" w:space="0" w:color="auto"/>
          </w:divBdr>
        </w:div>
      </w:divsChild>
    </w:div>
    <w:div w:id="781001391">
      <w:bodyDiv w:val="1"/>
      <w:marLeft w:val="0"/>
      <w:marRight w:val="0"/>
      <w:marTop w:val="0"/>
      <w:marBottom w:val="0"/>
      <w:divBdr>
        <w:top w:val="none" w:sz="0" w:space="0" w:color="auto"/>
        <w:left w:val="none" w:sz="0" w:space="0" w:color="auto"/>
        <w:bottom w:val="none" w:sz="0" w:space="0" w:color="auto"/>
        <w:right w:val="none" w:sz="0" w:space="0" w:color="auto"/>
      </w:divBdr>
    </w:div>
    <w:div w:id="784153254">
      <w:bodyDiv w:val="1"/>
      <w:marLeft w:val="0"/>
      <w:marRight w:val="0"/>
      <w:marTop w:val="0"/>
      <w:marBottom w:val="0"/>
      <w:divBdr>
        <w:top w:val="none" w:sz="0" w:space="0" w:color="auto"/>
        <w:left w:val="none" w:sz="0" w:space="0" w:color="auto"/>
        <w:bottom w:val="none" w:sz="0" w:space="0" w:color="auto"/>
        <w:right w:val="none" w:sz="0" w:space="0" w:color="auto"/>
      </w:divBdr>
    </w:div>
    <w:div w:id="808549327">
      <w:bodyDiv w:val="1"/>
      <w:marLeft w:val="0"/>
      <w:marRight w:val="0"/>
      <w:marTop w:val="0"/>
      <w:marBottom w:val="0"/>
      <w:divBdr>
        <w:top w:val="none" w:sz="0" w:space="0" w:color="auto"/>
        <w:left w:val="none" w:sz="0" w:space="0" w:color="auto"/>
        <w:bottom w:val="none" w:sz="0" w:space="0" w:color="auto"/>
        <w:right w:val="none" w:sz="0" w:space="0" w:color="auto"/>
      </w:divBdr>
    </w:div>
    <w:div w:id="838349990">
      <w:bodyDiv w:val="1"/>
      <w:marLeft w:val="0"/>
      <w:marRight w:val="0"/>
      <w:marTop w:val="0"/>
      <w:marBottom w:val="0"/>
      <w:divBdr>
        <w:top w:val="none" w:sz="0" w:space="0" w:color="auto"/>
        <w:left w:val="none" w:sz="0" w:space="0" w:color="auto"/>
        <w:bottom w:val="none" w:sz="0" w:space="0" w:color="auto"/>
        <w:right w:val="none" w:sz="0" w:space="0" w:color="auto"/>
      </w:divBdr>
    </w:div>
    <w:div w:id="856962438">
      <w:bodyDiv w:val="1"/>
      <w:marLeft w:val="0"/>
      <w:marRight w:val="0"/>
      <w:marTop w:val="0"/>
      <w:marBottom w:val="0"/>
      <w:divBdr>
        <w:top w:val="none" w:sz="0" w:space="0" w:color="auto"/>
        <w:left w:val="none" w:sz="0" w:space="0" w:color="auto"/>
        <w:bottom w:val="none" w:sz="0" w:space="0" w:color="auto"/>
        <w:right w:val="none" w:sz="0" w:space="0" w:color="auto"/>
      </w:divBdr>
    </w:div>
    <w:div w:id="885218506">
      <w:bodyDiv w:val="1"/>
      <w:marLeft w:val="0"/>
      <w:marRight w:val="0"/>
      <w:marTop w:val="0"/>
      <w:marBottom w:val="0"/>
      <w:divBdr>
        <w:top w:val="none" w:sz="0" w:space="0" w:color="auto"/>
        <w:left w:val="none" w:sz="0" w:space="0" w:color="auto"/>
        <w:bottom w:val="none" w:sz="0" w:space="0" w:color="auto"/>
        <w:right w:val="none" w:sz="0" w:space="0" w:color="auto"/>
      </w:divBdr>
      <w:divsChild>
        <w:div w:id="325480354">
          <w:marLeft w:val="0"/>
          <w:marRight w:val="0"/>
          <w:marTop w:val="0"/>
          <w:marBottom w:val="0"/>
          <w:divBdr>
            <w:top w:val="single" w:sz="2" w:space="0" w:color="auto"/>
            <w:left w:val="single" w:sz="2" w:space="0" w:color="auto"/>
            <w:bottom w:val="single" w:sz="2" w:space="0" w:color="auto"/>
            <w:right w:val="single" w:sz="2" w:space="0" w:color="auto"/>
          </w:divBdr>
          <w:divsChild>
            <w:div w:id="181286779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23732998">
      <w:bodyDiv w:val="1"/>
      <w:marLeft w:val="0"/>
      <w:marRight w:val="0"/>
      <w:marTop w:val="0"/>
      <w:marBottom w:val="0"/>
      <w:divBdr>
        <w:top w:val="none" w:sz="0" w:space="0" w:color="auto"/>
        <w:left w:val="none" w:sz="0" w:space="0" w:color="auto"/>
        <w:bottom w:val="none" w:sz="0" w:space="0" w:color="auto"/>
        <w:right w:val="none" w:sz="0" w:space="0" w:color="auto"/>
      </w:divBdr>
    </w:div>
    <w:div w:id="953172741">
      <w:bodyDiv w:val="1"/>
      <w:marLeft w:val="0"/>
      <w:marRight w:val="0"/>
      <w:marTop w:val="0"/>
      <w:marBottom w:val="0"/>
      <w:divBdr>
        <w:top w:val="none" w:sz="0" w:space="0" w:color="auto"/>
        <w:left w:val="none" w:sz="0" w:space="0" w:color="auto"/>
        <w:bottom w:val="none" w:sz="0" w:space="0" w:color="auto"/>
        <w:right w:val="none" w:sz="0" w:space="0" w:color="auto"/>
      </w:divBdr>
    </w:div>
    <w:div w:id="993875764">
      <w:bodyDiv w:val="1"/>
      <w:marLeft w:val="0"/>
      <w:marRight w:val="0"/>
      <w:marTop w:val="0"/>
      <w:marBottom w:val="0"/>
      <w:divBdr>
        <w:top w:val="none" w:sz="0" w:space="0" w:color="auto"/>
        <w:left w:val="none" w:sz="0" w:space="0" w:color="auto"/>
        <w:bottom w:val="none" w:sz="0" w:space="0" w:color="auto"/>
        <w:right w:val="none" w:sz="0" w:space="0" w:color="auto"/>
      </w:divBdr>
    </w:div>
    <w:div w:id="1063870357">
      <w:bodyDiv w:val="1"/>
      <w:marLeft w:val="0"/>
      <w:marRight w:val="0"/>
      <w:marTop w:val="0"/>
      <w:marBottom w:val="0"/>
      <w:divBdr>
        <w:top w:val="none" w:sz="0" w:space="0" w:color="auto"/>
        <w:left w:val="none" w:sz="0" w:space="0" w:color="auto"/>
        <w:bottom w:val="none" w:sz="0" w:space="0" w:color="auto"/>
        <w:right w:val="none" w:sz="0" w:space="0" w:color="auto"/>
      </w:divBdr>
    </w:div>
    <w:div w:id="1064067572">
      <w:bodyDiv w:val="1"/>
      <w:marLeft w:val="0"/>
      <w:marRight w:val="0"/>
      <w:marTop w:val="0"/>
      <w:marBottom w:val="0"/>
      <w:divBdr>
        <w:top w:val="none" w:sz="0" w:space="0" w:color="auto"/>
        <w:left w:val="none" w:sz="0" w:space="0" w:color="auto"/>
        <w:bottom w:val="none" w:sz="0" w:space="0" w:color="auto"/>
        <w:right w:val="none" w:sz="0" w:space="0" w:color="auto"/>
      </w:divBdr>
    </w:div>
    <w:div w:id="1086146359">
      <w:bodyDiv w:val="1"/>
      <w:marLeft w:val="0"/>
      <w:marRight w:val="0"/>
      <w:marTop w:val="0"/>
      <w:marBottom w:val="0"/>
      <w:divBdr>
        <w:top w:val="none" w:sz="0" w:space="0" w:color="auto"/>
        <w:left w:val="none" w:sz="0" w:space="0" w:color="auto"/>
        <w:bottom w:val="none" w:sz="0" w:space="0" w:color="auto"/>
        <w:right w:val="none" w:sz="0" w:space="0" w:color="auto"/>
      </w:divBdr>
    </w:div>
    <w:div w:id="1127235957">
      <w:bodyDiv w:val="1"/>
      <w:marLeft w:val="0"/>
      <w:marRight w:val="0"/>
      <w:marTop w:val="0"/>
      <w:marBottom w:val="0"/>
      <w:divBdr>
        <w:top w:val="none" w:sz="0" w:space="0" w:color="auto"/>
        <w:left w:val="none" w:sz="0" w:space="0" w:color="auto"/>
        <w:bottom w:val="none" w:sz="0" w:space="0" w:color="auto"/>
        <w:right w:val="none" w:sz="0" w:space="0" w:color="auto"/>
      </w:divBdr>
    </w:div>
    <w:div w:id="1187064310">
      <w:bodyDiv w:val="1"/>
      <w:marLeft w:val="0"/>
      <w:marRight w:val="0"/>
      <w:marTop w:val="0"/>
      <w:marBottom w:val="0"/>
      <w:divBdr>
        <w:top w:val="none" w:sz="0" w:space="0" w:color="auto"/>
        <w:left w:val="none" w:sz="0" w:space="0" w:color="auto"/>
        <w:bottom w:val="none" w:sz="0" w:space="0" w:color="auto"/>
        <w:right w:val="none" w:sz="0" w:space="0" w:color="auto"/>
      </w:divBdr>
    </w:div>
    <w:div w:id="1196041001">
      <w:bodyDiv w:val="1"/>
      <w:marLeft w:val="0"/>
      <w:marRight w:val="0"/>
      <w:marTop w:val="0"/>
      <w:marBottom w:val="0"/>
      <w:divBdr>
        <w:top w:val="none" w:sz="0" w:space="0" w:color="auto"/>
        <w:left w:val="none" w:sz="0" w:space="0" w:color="auto"/>
        <w:bottom w:val="none" w:sz="0" w:space="0" w:color="auto"/>
        <w:right w:val="none" w:sz="0" w:space="0" w:color="auto"/>
      </w:divBdr>
    </w:div>
    <w:div w:id="1237134949">
      <w:bodyDiv w:val="1"/>
      <w:marLeft w:val="0"/>
      <w:marRight w:val="0"/>
      <w:marTop w:val="0"/>
      <w:marBottom w:val="0"/>
      <w:divBdr>
        <w:top w:val="none" w:sz="0" w:space="0" w:color="auto"/>
        <w:left w:val="none" w:sz="0" w:space="0" w:color="auto"/>
        <w:bottom w:val="none" w:sz="0" w:space="0" w:color="auto"/>
        <w:right w:val="none" w:sz="0" w:space="0" w:color="auto"/>
      </w:divBdr>
      <w:divsChild>
        <w:div w:id="1168211759">
          <w:marLeft w:val="0"/>
          <w:marRight w:val="0"/>
          <w:marTop w:val="0"/>
          <w:marBottom w:val="0"/>
          <w:divBdr>
            <w:top w:val="single" w:sz="2" w:space="0" w:color="auto"/>
            <w:left w:val="single" w:sz="2" w:space="0" w:color="auto"/>
            <w:bottom w:val="single" w:sz="2" w:space="0" w:color="auto"/>
            <w:right w:val="single" w:sz="2" w:space="0" w:color="auto"/>
          </w:divBdr>
          <w:divsChild>
            <w:div w:id="63780268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39557231">
      <w:bodyDiv w:val="1"/>
      <w:marLeft w:val="0"/>
      <w:marRight w:val="0"/>
      <w:marTop w:val="0"/>
      <w:marBottom w:val="0"/>
      <w:divBdr>
        <w:top w:val="none" w:sz="0" w:space="0" w:color="auto"/>
        <w:left w:val="none" w:sz="0" w:space="0" w:color="auto"/>
        <w:bottom w:val="none" w:sz="0" w:space="0" w:color="auto"/>
        <w:right w:val="none" w:sz="0" w:space="0" w:color="auto"/>
      </w:divBdr>
    </w:div>
    <w:div w:id="1245913881">
      <w:bodyDiv w:val="1"/>
      <w:marLeft w:val="0"/>
      <w:marRight w:val="0"/>
      <w:marTop w:val="0"/>
      <w:marBottom w:val="0"/>
      <w:divBdr>
        <w:top w:val="none" w:sz="0" w:space="0" w:color="auto"/>
        <w:left w:val="none" w:sz="0" w:space="0" w:color="auto"/>
        <w:bottom w:val="none" w:sz="0" w:space="0" w:color="auto"/>
        <w:right w:val="none" w:sz="0" w:space="0" w:color="auto"/>
      </w:divBdr>
    </w:div>
    <w:div w:id="1268777443">
      <w:bodyDiv w:val="1"/>
      <w:marLeft w:val="0"/>
      <w:marRight w:val="0"/>
      <w:marTop w:val="0"/>
      <w:marBottom w:val="0"/>
      <w:divBdr>
        <w:top w:val="none" w:sz="0" w:space="0" w:color="auto"/>
        <w:left w:val="none" w:sz="0" w:space="0" w:color="auto"/>
        <w:bottom w:val="none" w:sz="0" w:space="0" w:color="auto"/>
        <w:right w:val="none" w:sz="0" w:space="0" w:color="auto"/>
      </w:divBdr>
    </w:div>
    <w:div w:id="1289623084">
      <w:bodyDiv w:val="1"/>
      <w:marLeft w:val="0"/>
      <w:marRight w:val="0"/>
      <w:marTop w:val="0"/>
      <w:marBottom w:val="0"/>
      <w:divBdr>
        <w:top w:val="none" w:sz="0" w:space="0" w:color="auto"/>
        <w:left w:val="none" w:sz="0" w:space="0" w:color="auto"/>
        <w:bottom w:val="none" w:sz="0" w:space="0" w:color="auto"/>
        <w:right w:val="none" w:sz="0" w:space="0" w:color="auto"/>
      </w:divBdr>
    </w:div>
    <w:div w:id="1296764112">
      <w:bodyDiv w:val="1"/>
      <w:marLeft w:val="0"/>
      <w:marRight w:val="0"/>
      <w:marTop w:val="0"/>
      <w:marBottom w:val="0"/>
      <w:divBdr>
        <w:top w:val="none" w:sz="0" w:space="0" w:color="auto"/>
        <w:left w:val="none" w:sz="0" w:space="0" w:color="auto"/>
        <w:bottom w:val="none" w:sz="0" w:space="0" w:color="auto"/>
        <w:right w:val="none" w:sz="0" w:space="0" w:color="auto"/>
      </w:divBdr>
    </w:div>
    <w:div w:id="1330400648">
      <w:bodyDiv w:val="1"/>
      <w:marLeft w:val="0"/>
      <w:marRight w:val="0"/>
      <w:marTop w:val="0"/>
      <w:marBottom w:val="0"/>
      <w:divBdr>
        <w:top w:val="none" w:sz="0" w:space="0" w:color="auto"/>
        <w:left w:val="none" w:sz="0" w:space="0" w:color="auto"/>
        <w:bottom w:val="none" w:sz="0" w:space="0" w:color="auto"/>
        <w:right w:val="none" w:sz="0" w:space="0" w:color="auto"/>
      </w:divBdr>
    </w:div>
    <w:div w:id="1339773297">
      <w:bodyDiv w:val="1"/>
      <w:marLeft w:val="0"/>
      <w:marRight w:val="0"/>
      <w:marTop w:val="0"/>
      <w:marBottom w:val="0"/>
      <w:divBdr>
        <w:top w:val="none" w:sz="0" w:space="0" w:color="auto"/>
        <w:left w:val="none" w:sz="0" w:space="0" w:color="auto"/>
        <w:bottom w:val="none" w:sz="0" w:space="0" w:color="auto"/>
        <w:right w:val="none" w:sz="0" w:space="0" w:color="auto"/>
      </w:divBdr>
      <w:divsChild>
        <w:div w:id="544104310">
          <w:marLeft w:val="0"/>
          <w:marRight w:val="0"/>
          <w:marTop w:val="0"/>
          <w:marBottom w:val="0"/>
          <w:divBdr>
            <w:top w:val="none" w:sz="0" w:space="0" w:color="auto"/>
            <w:left w:val="none" w:sz="0" w:space="0" w:color="auto"/>
            <w:bottom w:val="none" w:sz="0" w:space="0" w:color="auto"/>
            <w:right w:val="none" w:sz="0" w:space="0" w:color="auto"/>
          </w:divBdr>
          <w:divsChild>
            <w:div w:id="1253277339">
              <w:marLeft w:val="0"/>
              <w:marRight w:val="0"/>
              <w:marTop w:val="0"/>
              <w:marBottom w:val="0"/>
              <w:divBdr>
                <w:top w:val="none" w:sz="0" w:space="0" w:color="auto"/>
                <w:left w:val="none" w:sz="0" w:space="0" w:color="auto"/>
                <w:bottom w:val="none" w:sz="0" w:space="0" w:color="auto"/>
                <w:right w:val="none" w:sz="0" w:space="0" w:color="auto"/>
              </w:divBdr>
              <w:divsChild>
                <w:div w:id="1561555174">
                  <w:marLeft w:val="240"/>
                  <w:marRight w:val="240"/>
                  <w:marTop w:val="240"/>
                  <w:marBottom w:val="240"/>
                  <w:divBdr>
                    <w:top w:val="none" w:sz="0" w:space="0" w:color="auto"/>
                    <w:left w:val="none" w:sz="0" w:space="0" w:color="auto"/>
                    <w:bottom w:val="none" w:sz="0" w:space="0" w:color="auto"/>
                    <w:right w:val="none" w:sz="0" w:space="0" w:color="auto"/>
                  </w:divBdr>
                  <w:divsChild>
                    <w:div w:id="175655650">
                      <w:marLeft w:val="0"/>
                      <w:marRight w:val="0"/>
                      <w:marTop w:val="0"/>
                      <w:marBottom w:val="3120"/>
                      <w:divBdr>
                        <w:top w:val="none" w:sz="0" w:space="0" w:color="auto"/>
                        <w:left w:val="none" w:sz="0" w:space="0" w:color="auto"/>
                        <w:bottom w:val="none" w:sz="0" w:space="0" w:color="auto"/>
                        <w:right w:val="none" w:sz="0" w:space="0" w:color="auto"/>
                      </w:divBdr>
                      <w:divsChild>
                        <w:div w:id="1641184812">
                          <w:marLeft w:val="0"/>
                          <w:marRight w:val="0"/>
                          <w:marTop w:val="0"/>
                          <w:marBottom w:val="0"/>
                          <w:divBdr>
                            <w:top w:val="none" w:sz="0" w:space="0" w:color="auto"/>
                            <w:left w:val="none" w:sz="0" w:space="0" w:color="auto"/>
                            <w:bottom w:val="none" w:sz="0" w:space="0" w:color="auto"/>
                            <w:right w:val="none" w:sz="0" w:space="0" w:color="auto"/>
                          </w:divBdr>
                          <w:divsChild>
                            <w:div w:id="1765223253">
                              <w:marLeft w:val="0"/>
                              <w:marRight w:val="0"/>
                              <w:marTop w:val="0"/>
                              <w:marBottom w:val="0"/>
                              <w:divBdr>
                                <w:top w:val="none" w:sz="0" w:space="0" w:color="auto"/>
                                <w:left w:val="none" w:sz="0" w:space="0" w:color="auto"/>
                                <w:bottom w:val="none" w:sz="0" w:space="0" w:color="auto"/>
                                <w:right w:val="none" w:sz="0" w:space="0" w:color="auto"/>
                              </w:divBdr>
                              <w:divsChild>
                                <w:div w:id="107164054">
                                  <w:marLeft w:val="0"/>
                                  <w:marRight w:val="0"/>
                                  <w:marTop w:val="0"/>
                                  <w:marBottom w:val="0"/>
                                  <w:divBdr>
                                    <w:top w:val="none" w:sz="0" w:space="0" w:color="auto"/>
                                    <w:left w:val="none" w:sz="0" w:space="0" w:color="auto"/>
                                    <w:bottom w:val="none" w:sz="0" w:space="0" w:color="auto"/>
                                    <w:right w:val="none" w:sz="0" w:space="0" w:color="auto"/>
                                  </w:divBdr>
                                  <w:divsChild>
                                    <w:div w:id="312609579">
                                      <w:marLeft w:val="0"/>
                                      <w:marRight w:val="0"/>
                                      <w:marTop w:val="0"/>
                                      <w:marBottom w:val="0"/>
                                      <w:divBdr>
                                        <w:top w:val="none" w:sz="0" w:space="0" w:color="auto"/>
                                        <w:left w:val="none" w:sz="0" w:space="0" w:color="auto"/>
                                        <w:bottom w:val="none" w:sz="0" w:space="0" w:color="auto"/>
                                        <w:right w:val="none" w:sz="0" w:space="0" w:color="auto"/>
                                      </w:divBdr>
                                      <w:divsChild>
                                        <w:div w:id="727848798">
                                          <w:marLeft w:val="0"/>
                                          <w:marRight w:val="0"/>
                                          <w:marTop w:val="0"/>
                                          <w:marBottom w:val="0"/>
                                          <w:divBdr>
                                            <w:top w:val="none" w:sz="0" w:space="0" w:color="auto"/>
                                            <w:left w:val="none" w:sz="0" w:space="0" w:color="auto"/>
                                            <w:bottom w:val="none" w:sz="0" w:space="0" w:color="auto"/>
                                            <w:right w:val="none" w:sz="0" w:space="0" w:color="auto"/>
                                          </w:divBdr>
                                        </w:div>
                                        <w:div w:id="1553424174">
                                          <w:marLeft w:val="0"/>
                                          <w:marRight w:val="0"/>
                                          <w:marTop w:val="120"/>
                                          <w:marBottom w:val="0"/>
                                          <w:divBdr>
                                            <w:top w:val="none" w:sz="0" w:space="0" w:color="auto"/>
                                            <w:left w:val="none" w:sz="0" w:space="0" w:color="auto"/>
                                            <w:bottom w:val="none" w:sz="0" w:space="0" w:color="auto"/>
                                            <w:right w:val="none" w:sz="0" w:space="0" w:color="auto"/>
                                          </w:divBdr>
                                          <w:divsChild>
                                            <w:div w:id="216475765">
                                              <w:marLeft w:val="0"/>
                                              <w:marRight w:val="0"/>
                                              <w:marTop w:val="0"/>
                                              <w:marBottom w:val="0"/>
                                              <w:divBdr>
                                                <w:top w:val="none" w:sz="0" w:space="0" w:color="auto"/>
                                                <w:left w:val="none" w:sz="0" w:space="0" w:color="auto"/>
                                                <w:bottom w:val="none" w:sz="0" w:space="0" w:color="auto"/>
                                                <w:right w:val="none" w:sz="0" w:space="0" w:color="auto"/>
                                              </w:divBdr>
                                            </w:div>
                                            <w:div w:id="383913590">
                                              <w:marLeft w:val="0"/>
                                              <w:marRight w:val="0"/>
                                              <w:marTop w:val="0"/>
                                              <w:marBottom w:val="0"/>
                                              <w:divBdr>
                                                <w:top w:val="none" w:sz="0" w:space="0" w:color="auto"/>
                                                <w:left w:val="none" w:sz="0" w:space="0" w:color="auto"/>
                                                <w:bottom w:val="none" w:sz="0" w:space="0" w:color="auto"/>
                                                <w:right w:val="none" w:sz="0" w:space="0" w:color="auto"/>
                                              </w:divBdr>
                                              <w:divsChild>
                                                <w:div w:id="686906618">
                                                  <w:marLeft w:val="0"/>
                                                  <w:marRight w:val="0"/>
                                                  <w:marTop w:val="0"/>
                                                  <w:marBottom w:val="0"/>
                                                  <w:divBdr>
                                                    <w:top w:val="none" w:sz="0" w:space="0" w:color="auto"/>
                                                    <w:left w:val="none" w:sz="0" w:space="0" w:color="auto"/>
                                                    <w:bottom w:val="none" w:sz="0" w:space="0" w:color="auto"/>
                                                    <w:right w:val="none" w:sz="0" w:space="0" w:color="auto"/>
                                                  </w:divBdr>
                                                </w:div>
                                              </w:divsChild>
                                            </w:div>
                                            <w:div w:id="1217397622">
                                              <w:marLeft w:val="0"/>
                                              <w:marRight w:val="0"/>
                                              <w:marTop w:val="0"/>
                                              <w:marBottom w:val="0"/>
                                              <w:divBdr>
                                                <w:top w:val="none" w:sz="0" w:space="0" w:color="auto"/>
                                                <w:left w:val="none" w:sz="0" w:space="0" w:color="auto"/>
                                                <w:bottom w:val="none" w:sz="0" w:space="0" w:color="auto"/>
                                                <w:right w:val="none" w:sz="0" w:space="0" w:color="auto"/>
                                              </w:divBdr>
                                            </w:div>
                                            <w:div w:id="129128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41810243">
      <w:bodyDiv w:val="1"/>
      <w:marLeft w:val="0"/>
      <w:marRight w:val="0"/>
      <w:marTop w:val="0"/>
      <w:marBottom w:val="0"/>
      <w:divBdr>
        <w:top w:val="none" w:sz="0" w:space="0" w:color="auto"/>
        <w:left w:val="none" w:sz="0" w:space="0" w:color="auto"/>
        <w:bottom w:val="none" w:sz="0" w:space="0" w:color="auto"/>
        <w:right w:val="none" w:sz="0" w:space="0" w:color="auto"/>
      </w:divBdr>
    </w:div>
    <w:div w:id="1342006770">
      <w:bodyDiv w:val="1"/>
      <w:marLeft w:val="0"/>
      <w:marRight w:val="0"/>
      <w:marTop w:val="0"/>
      <w:marBottom w:val="0"/>
      <w:divBdr>
        <w:top w:val="none" w:sz="0" w:space="0" w:color="auto"/>
        <w:left w:val="none" w:sz="0" w:space="0" w:color="auto"/>
        <w:bottom w:val="none" w:sz="0" w:space="0" w:color="auto"/>
        <w:right w:val="none" w:sz="0" w:space="0" w:color="auto"/>
      </w:divBdr>
    </w:div>
    <w:div w:id="1353916051">
      <w:bodyDiv w:val="1"/>
      <w:marLeft w:val="0"/>
      <w:marRight w:val="0"/>
      <w:marTop w:val="0"/>
      <w:marBottom w:val="0"/>
      <w:divBdr>
        <w:top w:val="none" w:sz="0" w:space="0" w:color="auto"/>
        <w:left w:val="none" w:sz="0" w:space="0" w:color="auto"/>
        <w:bottom w:val="none" w:sz="0" w:space="0" w:color="auto"/>
        <w:right w:val="none" w:sz="0" w:space="0" w:color="auto"/>
      </w:divBdr>
    </w:div>
    <w:div w:id="1360082558">
      <w:bodyDiv w:val="1"/>
      <w:marLeft w:val="0"/>
      <w:marRight w:val="0"/>
      <w:marTop w:val="0"/>
      <w:marBottom w:val="0"/>
      <w:divBdr>
        <w:top w:val="none" w:sz="0" w:space="0" w:color="auto"/>
        <w:left w:val="none" w:sz="0" w:space="0" w:color="auto"/>
        <w:bottom w:val="none" w:sz="0" w:space="0" w:color="auto"/>
        <w:right w:val="none" w:sz="0" w:space="0" w:color="auto"/>
      </w:divBdr>
    </w:div>
    <w:div w:id="1399088498">
      <w:bodyDiv w:val="1"/>
      <w:marLeft w:val="0"/>
      <w:marRight w:val="0"/>
      <w:marTop w:val="0"/>
      <w:marBottom w:val="0"/>
      <w:divBdr>
        <w:top w:val="none" w:sz="0" w:space="0" w:color="auto"/>
        <w:left w:val="none" w:sz="0" w:space="0" w:color="auto"/>
        <w:bottom w:val="none" w:sz="0" w:space="0" w:color="auto"/>
        <w:right w:val="none" w:sz="0" w:space="0" w:color="auto"/>
      </w:divBdr>
    </w:div>
    <w:div w:id="1401947569">
      <w:bodyDiv w:val="1"/>
      <w:marLeft w:val="0"/>
      <w:marRight w:val="0"/>
      <w:marTop w:val="0"/>
      <w:marBottom w:val="0"/>
      <w:divBdr>
        <w:top w:val="none" w:sz="0" w:space="0" w:color="auto"/>
        <w:left w:val="none" w:sz="0" w:space="0" w:color="auto"/>
        <w:bottom w:val="none" w:sz="0" w:space="0" w:color="auto"/>
        <w:right w:val="none" w:sz="0" w:space="0" w:color="auto"/>
      </w:divBdr>
    </w:div>
    <w:div w:id="1403715970">
      <w:bodyDiv w:val="1"/>
      <w:marLeft w:val="0"/>
      <w:marRight w:val="0"/>
      <w:marTop w:val="0"/>
      <w:marBottom w:val="0"/>
      <w:divBdr>
        <w:top w:val="none" w:sz="0" w:space="0" w:color="auto"/>
        <w:left w:val="none" w:sz="0" w:space="0" w:color="auto"/>
        <w:bottom w:val="none" w:sz="0" w:space="0" w:color="auto"/>
        <w:right w:val="none" w:sz="0" w:space="0" w:color="auto"/>
      </w:divBdr>
      <w:divsChild>
        <w:div w:id="657656414">
          <w:marLeft w:val="0"/>
          <w:marRight w:val="0"/>
          <w:marTop w:val="0"/>
          <w:marBottom w:val="0"/>
          <w:divBdr>
            <w:top w:val="none" w:sz="0" w:space="0" w:color="auto"/>
            <w:left w:val="none" w:sz="0" w:space="0" w:color="auto"/>
            <w:bottom w:val="none" w:sz="0" w:space="0" w:color="auto"/>
            <w:right w:val="none" w:sz="0" w:space="0" w:color="auto"/>
          </w:divBdr>
        </w:div>
      </w:divsChild>
    </w:div>
    <w:div w:id="1406881405">
      <w:bodyDiv w:val="1"/>
      <w:marLeft w:val="0"/>
      <w:marRight w:val="0"/>
      <w:marTop w:val="0"/>
      <w:marBottom w:val="0"/>
      <w:divBdr>
        <w:top w:val="none" w:sz="0" w:space="0" w:color="auto"/>
        <w:left w:val="none" w:sz="0" w:space="0" w:color="auto"/>
        <w:bottom w:val="none" w:sz="0" w:space="0" w:color="auto"/>
        <w:right w:val="none" w:sz="0" w:space="0" w:color="auto"/>
      </w:divBdr>
    </w:div>
    <w:div w:id="1410881520">
      <w:bodyDiv w:val="1"/>
      <w:marLeft w:val="0"/>
      <w:marRight w:val="0"/>
      <w:marTop w:val="0"/>
      <w:marBottom w:val="0"/>
      <w:divBdr>
        <w:top w:val="none" w:sz="0" w:space="0" w:color="auto"/>
        <w:left w:val="none" w:sz="0" w:space="0" w:color="auto"/>
        <w:bottom w:val="none" w:sz="0" w:space="0" w:color="auto"/>
        <w:right w:val="none" w:sz="0" w:space="0" w:color="auto"/>
      </w:divBdr>
    </w:div>
    <w:div w:id="1425955636">
      <w:bodyDiv w:val="1"/>
      <w:marLeft w:val="0"/>
      <w:marRight w:val="0"/>
      <w:marTop w:val="0"/>
      <w:marBottom w:val="0"/>
      <w:divBdr>
        <w:top w:val="none" w:sz="0" w:space="0" w:color="auto"/>
        <w:left w:val="none" w:sz="0" w:space="0" w:color="auto"/>
        <w:bottom w:val="none" w:sz="0" w:space="0" w:color="auto"/>
        <w:right w:val="none" w:sz="0" w:space="0" w:color="auto"/>
      </w:divBdr>
    </w:div>
    <w:div w:id="1427916946">
      <w:bodyDiv w:val="1"/>
      <w:marLeft w:val="0"/>
      <w:marRight w:val="0"/>
      <w:marTop w:val="0"/>
      <w:marBottom w:val="0"/>
      <w:divBdr>
        <w:top w:val="none" w:sz="0" w:space="0" w:color="auto"/>
        <w:left w:val="none" w:sz="0" w:space="0" w:color="auto"/>
        <w:bottom w:val="none" w:sz="0" w:space="0" w:color="auto"/>
        <w:right w:val="none" w:sz="0" w:space="0" w:color="auto"/>
      </w:divBdr>
    </w:div>
    <w:div w:id="1428381402">
      <w:bodyDiv w:val="1"/>
      <w:marLeft w:val="0"/>
      <w:marRight w:val="0"/>
      <w:marTop w:val="0"/>
      <w:marBottom w:val="0"/>
      <w:divBdr>
        <w:top w:val="none" w:sz="0" w:space="0" w:color="auto"/>
        <w:left w:val="none" w:sz="0" w:space="0" w:color="auto"/>
        <w:bottom w:val="none" w:sz="0" w:space="0" w:color="auto"/>
        <w:right w:val="none" w:sz="0" w:space="0" w:color="auto"/>
      </w:divBdr>
      <w:divsChild>
        <w:div w:id="2083329495">
          <w:marLeft w:val="0"/>
          <w:marRight w:val="0"/>
          <w:marTop w:val="0"/>
          <w:marBottom w:val="0"/>
          <w:divBdr>
            <w:top w:val="none" w:sz="0" w:space="0" w:color="auto"/>
            <w:left w:val="none" w:sz="0" w:space="0" w:color="auto"/>
            <w:bottom w:val="none" w:sz="0" w:space="0" w:color="auto"/>
            <w:right w:val="none" w:sz="0" w:space="0" w:color="auto"/>
          </w:divBdr>
          <w:divsChild>
            <w:div w:id="781388757">
              <w:marLeft w:val="0"/>
              <w:marRight w:val="0"/>
              <w:marTop w:val="0"/>
              <w:marBottom w:val="0"/>
              <w:divBdr>
                <w:top w:val="none" w:sz="0" w:space="0" w:color="auto"/>
                <w:left w:val="none" w:sz="0" w:space="0" w:color="auto"/>
                <w:bottom w:val="none" w:sz="0" w:space="0" w:color="auto"/>
                <w:right w:val="none" w:sz="0" w:space="0" w:color="auto"/>
              </w:divBdr>
              <w:divsChild>
                <w:div w:id="1379628615">
                  <w:marLeft w:val="240"/>
                  <w:marRight w:val="240"/>
                  <w:marTop w:val="240"/>
                  <w:marBottom w:val="240"/>
                  <w:divBdr>
                    <w:top w:val="none" w:sz="0" w:space="0" w:color="auto"/>
                    <w:left w:val="none" w:sz="0" w:space="0" w:color="auto"/>
                    <w:bottom w:val="none" w:sz="0" w:space="0" w:color="auto"/>
                    <w:right w:val="none" w:sz="0" w:space="0" w:color="auto"/>
                  </w:divBdr>
                  <w:divsChild>
                    <w:div w:id="2074228819">
                      <w:marLeft w:val="0"/>
                      <w:marRight w:val="0"/>
                      <w:marTop w:val="0"/>
                      <w:marBottom w:val="3120"/>
                      <w:divBdr>
                        <w:top w:val="none" w:sz="0" w:space="0" w:color="auto"/>
                        <w:left w:val="none" w:sz="0" w:space="0" w:color="auto"/>
                        <w:bottom w:val="none" w:sz="0" w:space="0" w:color="auto"/>
                        <w:right w:val="none" w:sz="0" w:space="0" w:color="auto"/>
                      </w:divBdr>
                      <w:divsChild>
                        <w:div w:id="1921058770">
                          <w:marLeft w:val="0"/>
                          <w:marRight w:val="0"/>
                          <w:marTop w:val="0"/>
                          <w:marBottom w:val="0"/>
                          <w:divBdr>
                            <w:top w:val="none" w:sz="0" w:space="0" w:color="auto"/>
                            <w:left w:val="none" w:sz="0" w:space="0" w:color="auto"/>
                            <w:bottom w:val="none" w:sz="0" w:space="0" w:color="auto"/>
                            <w:right w:val="none" w:sz="0" w:space="0" w:color="auto"/>
                          </w:divBdr>
                          <w:divsChild>
                            <w:div w:id="777525333">
                              <w:marLeft w:val="0"/>
                              <w:marRight w:val="0"/>
                              <w:marTop w:val="0"/>
                              <w:marBottom w:val="0"/>
                              <w:divBdr>
                                <w:top w:val="none" w:sz="0" w:space="0" w:color="auto"/>
                                <w:left w:val="none" w:sz="0" w:space="0" w:color="auto"/>
                                <w:bottom w:val="none" w:sz="0" w:space="0" w:color="auto"/>
                                <w:right w:val="none" w:sz="0" w:space="0" w:color="auto"/>
                              </w:divBdr>
                              <w:divsChild>
                                <w:div w:id="102775319">
                                  <w:marLeft w:val="0"/>
                                  <w:marRight w:val="0"/>
                                  <w:marTop w:val="0"/>
                                  <w:marBottom w:val="0"/>
                                  <w:divBdr>
                                    <w:top w:val="none" w:sz="0" w:space="0" w:color="auto"/>
                                    <w:left w:val="none" w:sz="0" w:space="0" w:color="auto"/>
                                    <w:bottom w:val="none" w:sz="0" w:space="0" w:color="auto"/>
                                    <w:right w:val="none" w:sz="0" w:space="0" w:color="auto"/>
                                  </w:divBdr>
                                  <w:divsChild>
                                    <w:div w:id="1412237613">
                                      <w:marLeft w:val="0"/>
                                      <w:marRight w:val="0"/>
                                      <w:marTop w:val="0"/>
                                      <w:marBottom w:val="0"/>
                                      <w:divBdr>
                                        <w:top w:val="none" w:sz="0" w:space="0" w:color="auto"/>
                                        <w:left w:val="none" w:sz="0" w:space="0" w:color="auto"/>
                                        <w:bottom w:val="none" w:sz="0" w:space="0" w:color="auto"/>
                                        <w:right w:val="none" w:sz="0" w:space="0" w:color="auto"/>
                                      </w:divBdr>
                                      <w:divsChild>
                                        <w:div w:id="66847461">
                                          <w:marLeft w:val="0"/>
                                          <w:marRight w:val="0"/>
                                          <w:marTop w:val="0"/>
                                          <w:marBottom w:val="0"/>
                                          <w:divBdr>
                                            <w:top w:val="none" w:sz="0" w:space="0" w:color="auto"/>
                                            <w:left w:val="none" w:sz="0" w:space="0" w:color="auto"/>
                                            <w:bottom w:val="none" w:sz="0" w:space="0" w:color="auto"/>
                                            <w:right w:val="none" w:sz="0" w:space="0" w:color="auto"/>
                                          </w:divBdr>
                                        </w:div>
                                        <w:div w:id="1163427277">
                                          <w:marLeft w:val="0"/>
                                          <w:marRight w:val="0"/>
                                          <w:marTop w:val="120"/>
                                          <w:marBottom w:val="0"/>
                                          <w:divBdr>
                                            <w:top w:val="none" w:sz="0" w:space="0" w:color="auto"/>
                                            <w:left w:val="none" w:sz="0" w:space="0" w:color="auto"/>
                                            <w:bottom w:val="none" w:sz="0" w:space="0" w:color="auto"/>
                                            <w:right w:val="none" w:sz="0" w:space="0" w:color="auto"/>
                                          </w:divBdr>
                                          <w:divsChild>
                                            <w:div w:id="557938973">
                                              <w:marLeft w:val="0"/>
                                              <w:marRight w:val="0"/>
                                              <w:marTop w:val="0"/>
                                              <w:marBottom w:val="0"/>
                                              <w:divBdr>
                                                <w:top w:val="none" w:sz="0" w:space="0" w:color="auto"/>
                                                <w:left w:val="none" w:sz="0" w:space="0" w:color="auto"/>
                                                <w:bottom w:val="none" w:sz="0" w:space="0" w:color="auto"/>
                                                <w:right w:val="none" w:sz="0" w:space="0" w:color="auto"/>
                                              </w:divBdr>
                                            </w:div>
                                            <w:div w:id="332951657">
                                              <w:marLeft w:val="0"/>
                                              <w:marRight w:val="0"/>
                                              <w:marTop w:val="0"/>
                                              <w:marBottom w:val="0"/>
                                              <w:divBdr>
                                                <w:top w:val="none" w:sz="0" w:space="0" w:color="auto"/>
                                                <w:left w:val="none" w:sz="0" w:space="0" w:color="auto"/>
                                                <w:bottom w:val="none" w:sz="0" w:space="0" w:color="auto"/>
                                                <w:right w:val="none" w:sz="0" w:space="0" w:color="auto"/>
                                              </w:divBdr>
                                              <w:divsChild>
                                                <w:div w:id="2320282">
                                                  <w:marLeft w:val="0"/>
                                                  <w:marRight w:val="0"/>
                                                  <w:marTop w:val="0"/>
                                                  <w:marBottom w:val="0"/>
                                                  <w:divBdr>
                                                    <w:top w:val="none" w:sz="0" w:space="0" w:color="auto"/>
                                                    <w:left w:val="none" w:sz="0" w:space="0" w:color="auto"/>
                                                    <w:bottom w:val="none" w:sz="0" w:space="0" w:color="auto"/>
                                                    <w:right w:val="none" w:sz="0" w:space="0" w:color="auto"/>
                                                  </w:divBdr>
                                                </w:div>
                                              </w:divsChild>
                                            </w:div>
                                            <w:div w:id="134690061">
                                              <w:marLeft w:val="0"/>
                                              <w:marRight w:val="0"/>
                                              <w:marTop w:val="0"/>
                                              <w:marBottom w:val="0"/>
                                              <w:divBdr>
                                                <w:top w:val="none" w:sz="0" w:space="0" w:color="auto"/>
                                                <w:left w:val="none" w:sz="0" w:space="0" w:color="auto"/>
                                                <w:bottom w:val="none" w:sz="0" w:space="0" w:color="auto"/>
                                                <w:right w:val="none" w:sz="0" w:space="0" w:color="auto"/>
                                              </w:divBdr>
                                            </w:div>
                                            <w:div w:id="110638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38255777">
      <w:bodyDiv w:val="1"/>
      <w:marLeft w:val="0"/>
      <w:marRight w:val="0"/>
      <w:marTop w:val="0"/>
      <w:marBottom w:val="0"/>
      <w:divBdr>
        <w:top w:val="none" w:sz="0" w:space="0" w:color="auto"/>
        <w:left w:val="none" w:sz="0" w:space="0" w:color="auto"/>
        <w:bottom w:val="none" w:sz="0" w:space="0" w:color="auto"/>
        <w:right w:val="none" w:sz="0" w:space="0" w:color="auto"/>
      </w:divBdr>
    </w:div>
    <w:div w:id="1440030369">
      <w:bodyDiv w:val="1"/>
      <w:marLeft w:val="0"/>
      <w:marRight w:val="0"/>
      <w:marTop w:val="0"/>
      <w:marBottom w:val="0"/>
      <w:divBdr>
        <w:top w:val="none" w:sz="0" w:space="0" w:color="auto"/>
        <w:left w:val="none" w:sz="0" w:space="0" w:color="auto"/>
        <w:bottom w:val="none" w:sz="0" w:space="0" w:color="auto"/>
        <w:right w:val="none" w:sz="0" w:space="0" w:color="auto"/>
      </w:divBdr>
    </w:div>
    <w:div w:id="1453136888">
      <w:bodyDiv w:val="1"/>
      <w:marLeft w:val="0"/>
      <w:marRight w:val="0"/>
      <w:marTop w:val="0"/>
      <w:marBottom w:val="0"/>
      <w:divBdr>
        <w:top w:val="none" w:sz="0" w:space="0" w:color="auto"/>
        <w:left w:val="none" w:sz="0" w:space="0" w:color="auto"/>
        <w:bottom w:val="none" w:sz="0" w:space="0" w:color="auto"/>
        <w:right w:val="none" w:sz="0" w:space="0" w:color="auto"/>
      </w:divBdr>
    </w:div>
    <w:div w:id="1515455661">
      <w:bodyDiv w:val="1"/>
      <w:marLeft w:val="0"/>
      <w:marRight w:val="0"/>
      <w:marTop w:val="0"/>
      <w:marBottom w:val="0"/>
      <w:divBdr>
        <w:top w:val="none" w:sz="0" w:space="0" w:color="auto"/>
        <w:left w:val="none" w:sz="0" w:space="0" w:color="auto"/>
        <w:bottom w:val="none" w:sz="0" w:space="0" w:color="auto"/>
        <w:right w:val="none" w:sz="0" w:space="0" w:color="auto"/>
      </w:divBdr>
    </w:div>
    <w:div w:id="1521817862">
      <w:bodyDiv w:val="1"/>
      <w:marLeft w:val="0"/>
      <w:marRight w:val="0"/>
      <w:marTop w:val="0"/>
      <w:marBottom w:val="0"/>
      <w:divBdr>
        <w:top w:val="none" w:sz="0" w:space="0" w:color="auto"/>
        <w:left w:val="none" w:sz="0" w:space="0" w:color="auto"/>
        <w:bottom w:val="none" w:sz="0" w:space="0" w:color="auto"/>
        <w:right w:val="none" w:sz="0" w:space="0" w:color="auto"/>
      </w:divBdr>
    </w:div>
    <w:div w:id="1543864290">
      <w:bodyDiv w:val="1"/>
      <w:marLeft w:val="0"/>
      <w:marRight w:val="0"/>
      <w:marTop w:val="0"/>
      <w:marBottom w:val="0"/>
      <w:divBdr>
        <w:top w:val="none" w:sz="0" w:space="0" w:color="auto"/>
        <w:left w:val="none" w:sz="0" w:space="0" w:color="auto"/>
        <w:bottom w:val="none" w:sz="0" w:space="0" w:color="auto"/>
        <w:right w:val="none" w:sz="0" w:space="0" w:color="auto"/>
      </w:divBdr>
    </w:div>
    <w:div w:id="1565721847">
      <w:bodyDiv w:val="1"/>
      <w:marLeft w:val="0"/>
      <w:marRight w:val="0"/>
      <w:marTop w:val="0"/>
      <w:marBottom w:val="0"/>
      <w:divBdr>
        <w:top w:val="none" w:sz="0" w:space="0" w:color="auto"/>
        <w:left w:val="none" w:sz="0" w:space="0" w:color="auto"/>
        <w:bottom w:val="none" w:sz="0" w:space="0" w:color="auto"/>
        <w:right w:val="none" w:sz="0" w:space="0" w:color="auto"/>
      </w:divBdr>
      <w:divsChild>
        <w:div w:id="1980577034">
          <w:marLeft w:val="0"/>
          <w:marRight w:val="0"/>
          <w:marTop w:val="0"/>
          <w:marBottom w:val="0"/>
          <w:divBdr>
            <w:top w:val="single" w:sz="2" w:space="0" w:color="auto"/>
            <w:left w:val="single" w:sz="2" w:space="0" w:color="auto"/>
            <w:bottom w:val="single" w:sz="2" w:space="0" w:color="auto"/>
            <w:right w:val="single" w:sz="2" w:space="0" w:color="auto"/>
          </w:divBdr>
          <w:divsChild>
            <w:div w:id="102066953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69728167">
      <w:bodyDiv w:val="1"/>
      <w:marLeft w:val="0"/>
      <w:marRight w:val="0"/>
      <w:marTop w:val="0"/>
      <w:marBottom w:val="0"/>
      <w:divBdr>
        <w:top w:val="none" w:sz="0" w:space="0" w:color="auto"/>
        <w:left w:val="none" w:sz="0" w:space="0" w:color="auto"/>
        <w:bottom w:val="none" w:sz="0" w:space="0" w:color="auto"/>
        <w:right w:val="none" w:sz="0" w:space="0" w:color="auto"/>
      </w:divBdr>
    </w:div>
    <w:div w:id="1587836529">
      <w:bodyDiv w:val="1"/>
      <w:marLeft w:val="0"/>
      <w:marRight w:val="0"/>
      <w:marTop w:val="0"/>
      <w:marBottom w:val="0"/>
      <w:divBdr>
        <w:top w:val="none" w:sz="0" w:space="0" w:color="auto"/>
        <w:left w:val="none" w:sz="0" w:space="0" w:color="auto"/>
        <w:bottom w:val="none" w:sz="0" w:space="0" w:color="auto"/>
        <w:right w:val="none" w:sz="0" w:space="0" w:color="auto"/>
      </w:divBdr>
    </w:div>
    <w:div w:id="1608809536">
      <w:bodyDiv w:val="1"/>
      <w:marLeft w:val="0"/>
      <w:marRight w:val="0"/>
      <w:marTop w:val="0"/>
      <w:marBottom w:val="0"/>
      <w:divBdr>
        <w:top w:val="none" w:sz="0" w:space="0" w:color="auto"/>
        <w:left w:val="none" w:sz="0" w:space="0" w:color="auto"/>
        <w:bottom w:val="none" w:sz="0" w:space="0" w:color="auto"/>
        <w:right w:val="none" w:sz="0" w:space="0" w:color="auto"/>
      </w:divBdr>
    </w:div>
    <w:div w:id="1623613726">
      <w:bodyDiv w:val="1"/>
      <w:marLeft w:val="0"/>
      <w:marRight w:val="0"/>
      <w:marTop w:val="0"/>
      <w:marBottom w:val="0"/>
      <w:divBdr>
        <w:top w:val="none" w:sz="0" w:space="0" w:color="auto"/>
        <w:left w:val="none" w:sz="0" w:space="0" w:color="auto"/>
        <w:bottom w:val="none" w:sz="0" w:space="0" w:color="auto"/>
        <w:right w:val="none" w:sz="0" w:space="0" w:color="auto"/>
      </w:divBdr>
    </w:div>
    <w:div w:id="1634748998">
      <w:bodyDiv w:val="1"/>
      <w:marLeft w:val="0"/>
      <w:marRight w:val="0"/>
      <w:marTop w:val="0"/>
      <w:marBottom w:val="0"/>
      <w:divBdr>
        <w:top w:val="none" w:sz="0" w:space="0" w:color="auto"/>
        <w:left w:val="none" w:sz="0" w:space="0" w:color="auto"/>
        <w:bottom w:val="none" w:sz="0" w:space="0" w:color="auto"/>
        <w:right w:val="none" w:sz="0" w:space="0" w:color="auto"/>
      </w:divBdr>
    </w:div>
    <w:div w:id="1652522443">
      <w:bodyDiv w:val="1"/>
      <w:marLeft w:val="0"/>
      <w:marRight w:val="0"/>
      <w:marTop w:val="0"/>
      <w:marBottom w:val="0"/>
      <w:divBdr>
        <w:top w:val="none" w:sz="0" w:space="0" w:color="auto"/>
        <w:left w:val="none" w:sz="0" w:space="0" w:color="auto"/>
        <w:bottom w:val="none" w:sz="0" w:space="0" w:color="auto"/>
        <w:right w:val="none" w:sz="0" w:space="0" w:color="auto"/>
      </w:divBdr>
    </w:div>
    <w:div w:id="1660110853">
      <w:bodyDiv w:val="1"/>
      <w:marLeft w:val="0"/>
      <w:marRight w:val="0"/>
      <w:marTop w:val="0"/>
      <w:marBottom w:val="0"/>
      <w:divBdr>
        <w:top w:val="none" w:sz="0" w:space="0" w:color="auto"/>
        <w:left w:val="none" w:sz="0" w:space="0" w:color="auto"/>
        <w:bottom w:val="none" w:sz="0" w:space="0" w:color="auto"/>
        <w:right w:val="none" w:sz="0" w:space="0" w:color="auto"/>
      </w:divBdr>
    </w:div>
    <w:div w:id="1667170490">
      <w:bodyDiv w:val="1"/>
      <w:marLeft w:val="0"/>
      <w:marRight w:val="0"/>
      <w:marTop w:val="0"/>
      <w:marBottom w:val="0"/>
      <w:divBdr>
        <w:top w:val="none" w:sz="0" w:space="0" w:color="auto"/>
        <w:left w:val="none" w:sz="0" w:space="0" w:color="auto"/>
        <w:bottom w:val="none" w:sz="0" w:space="0" w:color="auto"/>
        <w:right w:val="none" w:sz="0" w:space="0" w:color="auto"/>
      </w:divBdr>
    </w:div>
    <w:div w:id="1722972382">
      <w:bodyDiv w:val="1"/>
      <w:marLeft w:val="0"/>
      <w:marRight w:val="0"/>
      <w:marTop w:val="0"/>
      <w:marBottom w:val="0"/>
      <w:divBdr>
        <w:top w:val="none" w:sz="0" w:space="0" w:color="auto"/>
        <w:left w:val="none" w:sz="0" w:space="0" w:color="auto"/>
        <w:bottom w:val="none" w:sz="0" w:space="0" w:color="auto"/>
        <w:right w:val="none" w:sz="0" w:space="0" w:color="auto"/>
      </w:divBdr>
    </w:div>
    <w:div w:id="1744644814">
      <w:bodyDiv w:val="1"/>
      <w:marLeft w:val="0"/>
      <w:marRight w:val="0"/>
      <w:marTop w:val="0"/>
      <w:marBottom w:val="0"/>
      <w:divBdr>
        <w:top w:val="none" w:sz="0" w:space="0" w:color="auto"/>
        <w:left w:val="none" w:sz="0" w:space="0" w:color="auto"/>
        <w:bottom w:val="none" w:sz="0" w:space="0" w:color="auto"/>
        <w:right w:val="none" w:sz="0" w:space="0" w:color="auto"/>
      </w:divBdr>
    </w:div>
    <w:div w:id="1760297273">
      <w:bodyDiv w:val="1"/>
      <w:marLeft w:val="0"/>
      <w:marRight w:val="0"/>
      <w:marTop w:val="0"/>
      <w:marBottom w:val="0"/>
      <w:divBdr>
        <w:top w:val="none" w:sz="0" w:space="0" w:color="auto"/>
        <w:left w:val="none" w:sz="0" w:space="0" w:color="auto"/>
        <w:bottom w:val="none" w:sz="0" w:space="0" w:color="auto"/>
        <w:right w:val="none" w:sz="0" w:space="0" w:color="auto"/>
      </w:divBdr>
    </w:div>
    <w:div w:id="1820803980">
      <w:bodyDiv w:val="1"/>
      <w:marLeft w:val="0"/>
      <w:marRight w:val="0"/>
      <w:marTop w:val="0"/>
      <w:marBottom w:val="0"/>
      <w:divBdr>
        <w:top w:val="none" w:sz="0" w:space="0" w:color="auto"/>
        <w:left w:val="none" w:sz="0" w:space="0" w:color="auto"/>
        <w:bottom w:val="none" w:sz="0" w:space="0" w:color="auto"/>
        <w:right w:val="none" w:sz="0" w:space="0" w:color="auto"/>
      </w:divBdr>
    </w:div>
    <w:div w:id="1965042916">
      <w:bodyDiv w:val="1"/>
      <w:marLeft w:val="0"/>
      <w:marRight w:val="0"/>
      <w:marTop w:val="0"/>
      <w:marBottom w:val="0"/>
      <w:divBdr>
        <w:top w:val="none" w:sz="0" w:space="0" w:color="auto"/>
        <w:left w:val="none" w:sz="0" w:space="0" w:color="auto"/>
        <w:bottom w:val="none" w:sz="0" w:space="0" w:color="auto"/>
        <w:right w:val="none" w:sz="0" w:space="0" w:color="auto"/>
      </w:divBdr>
    </w:div>
    <w:div w:id="1972906212">
      <w:bodyDiv w:val="1"/>
      <w:marLeft w:val="0"/>
      <w:marRight w:val="0"/>
      <w:marTop w:val="0"/>
      <w:marBottom w:val="0"/>
      <w:divBdr>
        <w:top w:val="none" w:sz="0" w:space="0" w:color="auto"/>
        <w:left w:val="none" w:sz="0" w:space="0" w:color="auto"/>
        <w:bottom w:val="none" w:sz="0" w:space="0" w:color="auto"/>
        <w:right w:val="none" w:sz="0" w:space="0" w:color="auto"/>
      </w:divBdr>
    </w:div>
    <w:div w:id="1974212672">
      <w:bodyDiv w:val="1"/>
      <w:marLeft w:val="0"/>
      <w:marRight w:val="0"/>
      <w:marTop w:val="0"/>
      <w:marBottom w:val="0"/>
      <w:divBdr>
        <w:top w:val="none" w:sz="0" w:space="0" w:color="auto"/>
        <w:left w:val="none" w:sz="0" w:space="0" w:color="auto"/>
        <w:bottom w:val="none" w:sz="0" w:space="0" w:color="auto"/>
        <w:right w:val="none" w:sz="0" w:space="0" w:color="auto"/>
      </w:divBdr>
    </w:div>
    <w:div w:id="1981114375">
      <w:bodyDiv w:val="1"/>
      <w:marLeft w:val="0"/>
      <w:marRight w:val="0"/>
      <w:marTop w:val="0"/>
      <w:marBottom w:val="0"/>
      <w:divBdr>
        <w:top w:val="none" w:sz="0" w:space="0" w:color="auto"/>
        <w:left w:val="none" w:sz="0" w:space="0" w:color="auto"/>
        <w:bottom w:val="none" w:sz="0" w:space="0" w:color="auto"/>
        <w:right w:val="none" w:sz="0" w:space="0" w:color="auto"/>
      </w:divBdr>
    </w:div>
    <w:div w:id="2010908741">
      <w:bodyDiv w:val="1"/>
      <w:marLeft w:val="0"/>
      <w:marRight w:val="0"/>
      <w:marTop w:val="0"/>
      <w:marBottom w:val="0"/>
      <w:divBdr>
        <w:top w:val="none" w:sz="0" w:space="0" w:color="auto"/>
        <w:left w:val="none" w:sz="0" w:space="0" w:color="auto"/>
        <w:bottom w:val="none" w:sz="0" w:space="0" w:color="auto"/>
        <w:right w:val="none" w:sz="0" w:space="0" w:color="auto"/>
      </w:divBdr>
    </w:div>
    <w:div w:id="2018072787">
      <w:bodyDiv w:val="1"/>
      <w:marLeft w:val="0"/>
      <w:marRight w:val="0"/>
      <w:marTop w:val="0"/>
      <w:marBottom w:val="0"/>
      <w:divBdr>
        <w:top w:val="none" w:sz="0" w:space="0" w:color="auto"/>
        <w:left w:val="none" w:sz="0" w:space="0" w:color="auto"/>
        <w:bottom w:val="none" w:sz="0" w:space="0" w:color="auto"/>
        <w:right w:val="none" w:sz="0" w:space="0" w:color="auto"/>
      </w:divBdr>
    </w:div>
    <w:div w:id="2018270554">
      <w:bodyDiv w:val="1"/>
      <w:marLeft w:val="0"/>
      <w:marRight w:val="0"/>
      <w:marTop w:val="0"/>
      <w:marBottom w:val="0"/>
      <w:divBdr>
        <w:top w:val="none" w:sz="0" w:space="0" w:color="auto"/>
        <w:left w:val="none" w:sz="0" w:space="0" w:color="auto"/>
        <w:bottom w:val="none" w:sz="0" w:space="0" w:color="auto"/>
        <w:right w:val="none" w:sz="0" w:space="0" w:color="auto"/>
      </w:divBdr>
    </w:div>
    <w:div w:id="2059627793">
      <w:bodyDiv w:val="1"/>
      <w:marLeft w:val="0"/>
      <w:marRight w:val="0"/>
      <w:marTop w:val="0"/>
      <w:marBottom w:val="0"/>
      <w:divBdr>
        <w:top w:val="none" w:sz="0" w:space="0" w:color="auto"/>
        <w:left w:val="none" w:sz="0" w:space="0" w:color="auto"/>
        <w:bottom w:val="none" w:sz="0" w:space="0" w:color="auto"/>
        <w:right w:val="none" w:sz="0" w:space="0" w:color="auto"/>
      </w:divBdr>
    </w:div>
    <w:div w:id="2100252140">
      <w:bodyDiv w:val="1"/>
      <w:marLeft w:val="0"/>
      <w:marRight w:val="0"/>
      <w:marTop w:val="0"/>
      <w:marBottom w:val="0"/>
      <w:divBdr>
        <w:top w:val="none" w:sz="0" w:space="0" w:color="auto"/>
        <w:left w:val="none" w:sz="0" w:space="0" w:color="auto"/>
        <w:bottom w:val="none" w:sz="0" w:space="0" w:color="auto"/>
        <w:right w:val="none" w:sz="0" w:space="0" w:color="auto"/>
      </w:divBdr>
    </w:div>
    <w:div w:id="2101563532">
      <w:bodyDiv w:val="1"/>
      <w:marLeft w:val="0"/>
      <w:marRight w:val="0"/>
      <w:marTop w:val="0"/>
      <w:marBottom w:val="0"/>
      <w:divBdr>
        <w:top w:val="none" w:sz="0" w:space="0" w:color="auto"/>
        <w:left w:val="none" w:sz="0" w:space="0" w:color="auto"/>
        <w:bottom w:val="none" w:sz="0" w:space="0" w:color="auto"/>
        <w:right w:val="none" w:sz="0" w:space="0" w:color="auto"/>
      </w:divBdr>
    </w:div>
    <w:div w:id="2121096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image" Target="media/image57.png"/><Relationship Id="rId84" Type="http://schemas.openxmlformats.org/officeDocument/2006/relationships/image" Target="media/image73.png"/><Relationship Id="rId89" Type="http://schemas.openxmlformats.org/officeDocument/2006/relationships/image" Target="media/image78.png"/><Relationship Id="rId16" Type="http://schemas.openxmlformats.org/officeDocument/2006/relationships/image" Target="media/image5.png"/><Relationship Id="rId11" Type="http://schemas.openxmlformats.org/officeDocument/2006/relationships/image" Target="media/image1.png"/><Relationship Id="rId32" Type="http://schemas.openxmlformats.org/officeDocument/2006/relationships/image" Target="media/image21.png"/><Relationship Id="rId37" Type="http://schemas.openxmlformats.org/officeDocument/2006/relationships/image" Target="media/image26.emf"/><Relationship Id="rId53" Type="http://schemas.openxmlformats.org/officeDocument/2006/relationships/image" Target="media/image42.png"/><Relationship Id="rId58" Type="http://schemas.openxmlformats.org/officeDocument/2006/relationships/image" Target="media/image47.png"/><Relationship Id="rId74" Type="http://schemas.openxmlformats.org/officeDocument/2006/relationships/image" Target="media/image63.png"/><Relationship Id="rId79" Type="http://schemas.openxmlformats.org/officeDocument/2006/relationships/image" Target="media/image68.png"/><Relationship Id="rId102" Type="http://schemas.openxmlformats.org/officeDocument/2006/relationships/image" Target="media/image91.png"/><Relationship Id="rId5" Type="http://schemas.openxmlformats.org/officeDocument/2006/relationships/numbering" Target="numbering.xml"/><Relationship Id="rId90" Type="http://schemas.openxmlformats.org/officeDocument/2006/relationships/image" Target="media/image79.png"/><Relationship Id="rId95" Type="http://schemas.openxmlformats.org/officeDocument/2006/relationships/image" Target="media/image84.png"/><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image" Target="media/image32.emf"/><Relationship Id="rId48" Type="http://schemas.openxmlformats.org/officeDocument/2006/relationships/image" Target="media/image37.png"/><Relationship Id="rId64" Type="http://schemas.openxmlformats.org/officeDocument/2006/relationships/image" Target="media/image53.png"/><Relationship Id="rId69" Type="http://schemas.openxmlformats.org/officeDocument/2006/relationships/image" Target="media/image58.emf"/><Relationship Id="rId80" Type="http://schemas.openxmlformats.org/officeDocument/2006/relationships/image" Target="media/image69.png"/><Relationship Id="rId85" Type="http://schemas.openxmlformats.org/officeDocument/2006/relationships/image" Target="media/image74.png"/><Relationship Id="rId12" Type="http://schemas.openxmlformats.org/officeDocument/2006/relationships/image" Target="media/image2.png"/><Relationship Id="rId17" Type="http://schemas.openxmlformats.org/officeDocument/2006/relationships/image" Target="media/image6.png"/><Relationship Id="rId33" Type="http://schemas.openxmlformats.org/officeDocument/2006/relationships/image" Target="media/image22.png"/><Relationship Id="rId38" Type="http://schemas.openxmlformats.org/officeDocument/2006/relationships/image" Target="media/image27.png"/><Relationship Id="rId59" Type="http://schemas.openxmlformats.org/officeDocument/2006/relationships/image" Target="media/image48.png"/><Relationship Id="rId103" Type="http://schemas.openxmlformats.org/officeDocument/2006/relationships/footer" Target="footer2.xm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image" Target="media/image59.emf"/><Relationship Id="rId75" Type="http://schemas.openxmlformats.org/officeDocument/2006/relationships/image" Target="media/image64.png"/><Relationship Id="rId83" Type="http://schemas.openxmlformats.org/officeDocument/2006/relationships/image" Target="media/image72.png"/><Relationship Id="rId88" Type="http://schemas.openxmlformats.org/officeDocument/2006/relationships/image" Target="media/image77.png"/><Relationship Id="rId91" Type="http://schemas.openxmlformats.org/officeDocument/2006/relationships/image" Target="media/image80.png"/><Relationship Id="rId96" Type="http://schemas.openxmlformats.org/officeDocument/2006/relationships/image" Target="media/image85.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endnotes" Target="end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62.png"/><Relationship Id="rId78" Type="http://schemas.openxmlformats.org/officeDocument/2006/relationships/image" Target="media/image67.png"/><Relationship Id="rId81" Type="http://schemas.openxmlformats.org/officeDocument/2006/relationships/image" Target="media/image70.png"/><Relationship Id="rId86" Type="http://schemas.openxmlformats.org/officeDocument/2006/relationships/image" Target="media/image75.png"/><Relationship Id="rId94" Type="http://schemas.openxmlformats.org/officeDocument/2006/relationships/image" Target="media/image83.png"/><Relationship Id="rId99" Type="http://schemas.openxmlformats.org/officeDocument/2006/relationships/image" Target="media/image88.png"/><Relationship Id="rId101" Type="http://schemas.openxmlformats.org/officeDocument/2006/relationships/image" Target="media/image90.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7.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image" Target="media/image65.png"/><Relationship Id="rId97" Type="http://schemas.openxmlformats.org/officeDocument/2006/relationships/image" Target="media/image86.png"/><Relationship Id="rId104"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image" Target="media/image60.png"/><Relationship Id="rId92" Type="http://schemas.openxmlformats.org/officeDocument/2006/relationships/image" Target="media/image81.png"/><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image" Target="media/image55.png"/><Relationship Id="rId87" Type="http://schemas.openxmlformats.org/officeDocument/2006/relationships/image" Target="media/image76.png"/><Relationship Id="rId61" Type="http://schemas.openxmlformats.org/officeDocument/2006/relationships/image" Target="media/image50.png"/><Relationship Id="rId82" Type="http://schemas.openxmlformats.org/officeDocument/2006/relationships/image" Target="media/image71.png"/><Relationship Id="rId19" Type="http://schemas.openxmlformats.org/officeDocument/2006/relationships/image" Target="media/image8.png"/><Relationship Id="rId14" Type="http://schemas.openxmlformats.org/officeDocument/2006/relationships/footer" Target="footer1.xml"/><Relationship Id="rId30" Type="http://schemas.openxmlformats.org/officeDocument/2006/relationships/image" Target="media/image19.png"/><Relationship Id="rId35" Type="http://schemas.openxmlformats.org/officeDocument/2006/relationships/image" Target="media/image24.emf"/><Relationship Id="rId56" Type="http://schemas.openxmlformats.org/officeDocument/2006/relationships/image" Target="media/image45.png"/><Relationship Id="rId77" Type="http://schemas.openxmlformats.org/officeDocument/2006/relationships/image" Target="media/image66.png"/><Relationship Id="rId100" Type="http://schemas.openxmlformats.org/officeDocument/2006/relationships/image" Target="media/image89.png"/><Relationship Id="rId105"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0.png"/><Relationship Id="rId72" Type="http://schemas.openxmlformats.org/officeDocument/2006/relationships/image" Target="media/image61.png"/><Relationship Id="rId93" Type="http://schemas.openxmlformats.org/officeDocument/2006/relationships/image" Target="media/image82.png"/><Relationship Id="rId98" Type="http://schemas.openxmlformats.org/officeDocument/2006/relationships/image" Target="media/image87.png"/><Relationship Id="rId3" Type="http://schemas.openxmlformats.org/officeDocument/2006/relationships/customXml" Target="../customXml/item3.xml"/><Relationship Id="rId25" Type="http://schemas.openxmlformats.org/officeDocument/2006/relationships/image" Target="media/image14.png"/><Relationship Id="rId46" Type="http://schemas.openxmlformats.org/officeDocument/2006/relationships/image" Target="media/image35.png"/><Relationship Id="rId67" Type="http://schemas.openxmlformats.org/officeDocument/2006/relationships/image" Target="media/image5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CFE818538704A46B6C7E7FDC7B78DE5" ma:contentTypeVersion="16" ma:contentTypeDescription="Create a new document." ma:contentTypeScope="" ma:versionID="210c2a5d69e6997e53f3d1f7e251966a">
  <xsd:schema xmlns:xsd="http://www.w3.org/2001/XMLSchema" xmlns:xs="http://www.w3.org/2001/XMLSchema" xmlns:p="http://schemas.microsoft.com/office/2006/metadata/properties" xmlns:ns3="540f991d-76c4-476c-bc17-27845eaedf3c" xmlns:ns4="72bacf14-1fa9-4fd1-bc77-603f384183f3" targetNamespace="http://schemas.microsoft.com/office/2006/metadata/properties" ma:root="true" ma:fieldsID="8834f8fe5bc920e4f4162914f7ff849d" ns3:_="" ns4:_="">
    <xsd:import namespace="540f991d-76c4-476c-bc17-27845eaedf3c"/>
    <xsd:import namespace="72bacf14-1fa9-4fd1-bc77-603f384183f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bjectDetectorVersions" minOccurs="0"/>
                <xsd:element ref="ns3:MediaServiceOCR" minOccurs="0"/>
                <xsd:element ref="ns3:MediaServiceDateTaken" minOccurs="0"/>
                <xsd:element ref="ns3:MediaLengthInSeconds" minOccurs="0"/>
                <xsd:element ref="ns3:MediaServiceSystemTags" minOccurs="0"/>
                <xsd:element ref="ns3:MediaServiceSearchPropertie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40f991d-76c4-476c-bc17-27845eaedf3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2bacf14-1fa9-4fd1-bc77-603f384183f3"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540f991d-76c4-476c-bc17-27845eaedf3c" xsi:nil="true"/>
  </documentManagement>
</p:properties>
</file>

<file path=customXml/itemProps1.xml><?xml version="1.0" encoding="utf-8"?>
<ds:datastoreItem xmlns:ds="http://schemas.openxmlformats.org/officeDocument/2006/customXml" ds:itemID="{3498A6A5-9BEC-4A33-B24D-4EA87AA14E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40f991d-76c4-476c-bc17-27845eaedf3c"/>
    <ds:schemaRef ds:uri="72bacf14-1fa9-4fd1-bc77-603f384183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30A5B6-3371-44AC-977D-46B7495BF237}">
  <ds:schemaRefs>
    <ds:schemaRef ds:uri="http://schemas.microsoft.com/sharepoint/v3/contenttype/forms"/>
  </ds:schemaRefs>
</ds:datastoreItem>
</file>

<file path=customXml/itemProps3.xml><?xml version="1.0" encoding="utf-8"?>
<ds:datastoreItem xmlns:ds="http://schemas.openxmlformats.org/officeDocument/2006/customXml" ds:itemID="{C2F9ECC8-8D57-449C-B055-46EC673744F9}">
  <ds:schemaRefs>
    <ds:schemaRef ds:uri="http://schemas.openxmlformats.org/officeDocument/2006/bibliography"/>
  </ds:schemaRefs>
</ds:datastoreItem>
</file>

<file path=customXml/itemProps4.xml><?xml version="1.0" encoding="utf-8"?>
<ds:datastoreItem xmlns:ds="http://schemas.openxmlformats.org/officeDocument/2006/customXml" ds:itemID="{92CB322E-5155-4B81-B20D-0824BC55A6F6}">
  <ds:schemaRefs>
    <ds:schemaRef ds:uri="540f991d-76c4-476c-bc17-27845eaedf3c"/>
    <ds:schemaRef ds:uri="http://purl.org/dc/dcmitype/"/>
    <ds:schemaRef ds:uri="http://purl.org/dc/terms/"/>
    <ds:schemaRef ds:uri="http://schemas.microsoft.com/office/2006/metadata/properties"/>
    <ds:schemaRef ds:uri="http://schemas.openxmlformats.org/package/2006/metadata/core-properties"/>
    <ds:schemaRef ds:uri="http://www.w3.org/XML/1998/namespace"/>
    <ds:schemaRef ds:uri="72bacf14-1fa9-4fd1-bc77-603f384183f3"/>
    <ds:schemaRef ds:uri="http://schemas.microsoft.com/office/2006/documentManagement/types"/>
    <ds:schemaRef ds:uri="http://schemas.microsoft.com/office/infopath/2007/PartnerControls"/>
    <ds:schemaRef ds:uri="http://purl.org/dc/elements/1.1/"/>
  </ds:schemaRefs>
</ds:datastoreItem>
</file>

<file path=docMetadata/LabelInfo.xml><?xml version="1.0" encoding="utf-8"?>
<clbl:labelList xmlns:clbl="http://schemas.microsoft.com/office/2020/mipLabelMetadata">
  <clbl:label id="{1ada0a2f-b917-4d51-b0d0-d418a10c8b23}" enabled="1" method="Standard" siteId="{12a3af23-a769-4654-847f-958f3d479f4a}" removed="0"/>
</clbl:labelList>
</file>

<file path=docProps/app.xml><?xml version="1.0" encoding="utf-8"?>
<Properties xmlns="http://schemas.openxmlformats.org/officeDocument/2006/extended-properties" xmlns:vt="http://schemas.openxmlformats.org/officeDocument/2006/docPropsVTypes">
  <Template>Normal</Template>
  <TotalTime>0</TotalTime>
  <Pages>111</Pages>
  <Words>15381</Words>
  <Characters>97363</Characters>
  <Application>Microsoft Office Word</Application>
  <DocSecurity>0</DocSecurity>
  <Lines>4233</Lines>
  <Paragraphs>2621</Paragraphs>
  <ScaleCrop>false</ScaleCrop>
  <HeadingPairs>
    <vt:vector size="2" baseType="variant">
      <vt:variant>
        <vt:lpstr>Title</vt:lpstr>
      </vt:variant>
      <vt:variant>
        <vt:i4>1</vt:i4>
      </vt:variant>
    </vt:vector>
  </HeadingPairs>
  <TitlesOfParts>
    <vt:vector size="1" baseType="lpstr">
      <vt:lpstr/>
    </vt:vector>
  </TitlesOfParts>
  <Company>Nestle</Company>
  <LinksUpToDate>false</LinksUpToDate>
  <CharactersWithSpaces>110123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Consumer Purchase Intention Drivers in Hong Kong’s Instant Coffee Market: Examining the Effects of Social Media Marketing Activities, Environmental Conscious, Sustainability, and Brand Trust</dc:title>
  <dc:subject/>
  <dc:creator>Leung,Fion,HK-Hong Kong(Kowloon),Sales</dc:creator>
  <cp:keywords/>
  <dc:description/>
  <cp:lastModifiedBy>Leung,Fion,HK-Hong Kong(Kowloon),Sales</cp:lastModifiedBy>
  <cp:revision>531</cp:revision>
  <cp:lastPrinted>2025-11-10T04:45:00Z</cp:lastPrinted>
  <dcterms:created xsi:type="dcterms:W3CDTF">2025-11-06T14:06:00Z</dcterms:created>
  <dcterms:modified xsi:type="dcterms:W3CDTF">2025-11-11T02:24:00Z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0x010100CCFE818538704A46B6C7E7FDC7B78DE5</vt:lpwstr>
  </property>
</Properties>
</file>