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CDAF9" w14:textId="77777777" w:rsidR="00140083" w:rsidRPr="00C00F3A" w:rsidRDefault="00140083">
      <w:pPr>
        <w:spacing w:after="200"/>
        <w:rPr>
          <w:lang w:val="en-GB"/>
        </w:rPr>
      </w:pPr>
    </w:p>
    <w:p w14:paraId="4997258C" w14:textId="77777777" w:rsidR="00B93E70" w:rsidRPr="00C00F3A" w:rsidRDefault="00B93E70" w:rsidP="00B93E70">
      <w:pPr>
        <w:jc w:val="center"/>
        <w:rPr>
          <w:sz w:val="34"/>
          <w:szCs w:val="34"/>
          <w:lang w:val="en-GB"/>
        </w:rPr>
      </w:pPr>
      <w:r w:rsidRPr="00C00F3A">
        <w:rPr>
          <w:noProof/>
          <w:lang w:val="en-GB"/>
        </w:rPr>
        <w:drawing>
          <wp:inline distT="0" distB="0" distL="0" distR="0" wp14:anchorId="5D950653" wp14:editId="3920954A">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468835BD" w14:textId="77777777" w:rsidR="00B93E70" w:rsidRPr="00C00F3A" w:rsidRDefault="00B93E70" w:rsidP="00B93E70">
      <w:pPr>
        <w:jc w:val="center"/>
        <w:rPr>
          <w:sz w:val="38"/>
          <w:szCs w:val="38"/>
          <w:lang w:val="en-GB"/>
        </w:rPr>
      </w:pPr>
      <w:r w:rsidRPr="00C00F3A">
        <w:rPr>
          <w:sz w:val="38"/>
          <w:szCs w:val="38"/>
          <w:lang w:val="en-GB"/>
        </w:rPr>
        <w:t>Master of Business Administration</w:t>
      </w:r>
    </w:p>
    <w:p w14:paraId="7282713E" w14:textId="77777777" w:rsidR="00B93E70" w:rsidRPr="00C00F3A" w:rsidRDefault="00B93E70" w:rsidP="00B93E70">
      <w:pPr>
        <w:jc w:val="center"/>
        <w:rPr>
          <w:sz w:val="32"/>
          <w:szCs w:val="32"/>
          <w:lang w:val="en-GB"/>
        </w:rPr>
      </w:pPr>
      <w:r w:rsidRPr="00C00F3A">
        <w:rPr>
          <w:sz w:val="32"/>
          <w:szCs w:val="32"/>
          <w:lang w:val="en-GB"/>
        </w:rPr>
        <w:t>International Business pathway</w:t>
      </w:r>
    </w:p>
    <w:p w14:paraId="113F52B5" w14:textId="77777777" w:rsidR="00B93E70" w:rsidRPr="00C00F3A" w:rsidRDefault="00B93E70" w:rsidP="00B93E70">
      <w:pPr>
        <w:jc w:val="center"/>
        <w:rPr>
          <w:sz w:val="28"/>
          <w:szCs w:val="28"/>
          <w:lang w:val="en-GB"/>
        </w:rPr>
      </w:pPr>
    </w:p>
    <w:p w14:paraId="4554B4E8" w14:textId="77777777" w:rsidR="00B93E70" w:rsidRPr="00C00F3A" w:rsidRDefault="00B93E70" w:rsidP="00B93E70">
      <w:pPr>
        <w:jc w:val="center"/>
        <w:rPr>
          <w:sz w:val="28"/>
          <w:szCs w:val="28"/>
          <w:lang w:val="en-GB"/>
        </w:rPr>
      </w:pPr>
      <w:r w:rsidRPr="00C00F3A">
        <w:rPr>
          <w:noProof/>
          <w:sz w:val="28"/>
          <w:szCs w:val="28"/>
          <w:lang w:val="en-GB"/>
        </w:rPr>
        <w:drawing>
          <wp:inline distT="0" distB="0" distL="0" distR="0" wp14:anchorId="320C0A61" wp14:editId="12F7048E">
            <wp:extent cx="2257425" cy="2257425"/>
            <wp:effectExtent l="0" t="0" r="9525" b="9525"/>
            <wp:docPr id="732040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p>
    <w:p w14:paraId="5DAD093D" w14:textId="77777777" w:rsidR="00B93E70" w:rsidRPr="00C00F3A" w:rsidRDefault="00B93E70" w:rsidP="00B93E70">
      <w:pPr>
        <w:jc w:val="center"/>
        <w:rPr>
          <w:sz w:val="32"/>
          <w:szCs w:val="32"/>
          <w:lang w:val="en-GB"/>
        </w:rPr>
      </w:pPr>
      <w:r w:rsidRPr="00C00F3A">
        <w:rPr>
          <w:b/>
          <w:bCs/>
          <w:sz w:val="48"/>
          <w:szCs w:val="48"/>
          <w:lang w:val="en-GB"/>
        </w:rPr>
        <w:t>Contemporary employability skills</w:t>
      </w:r>
    </w:p>
    <w:p w14:paraId="524844A6" w14:textId="77777777" w:rsidR="00B93E70" w:rsidRPr="00C00F3A" w:rsidRDefault="00B93E70" w:rsidP="00B93E70">
      <w:pPr>
        <w:jc w:val="center"/>
        <w:rPr>
          <w:sz w:val="28"/>
          <w:szCs w:val="28"/>
          <w:lang w:val="en-GB"/>
        </w:rPr>
      </w:pPr>
      <w:r w:rsidRPr="00C00F3A">
        <w:rPr>
          <w:sz w:val="28"/>
          <w:szCs w:val="28"/>
          <w:lang w:val="en-GB"/>
        </w:rPr>
        <w:t>Assessment 1: Individual report. Weight: 50%</w:t>
      </w:r>
    </w:p>
    <w:p w14:paraId="45E6FE49" w14:textId="77777777" w:rsidR="00B93E70" w:rsidRPr="00C00F3A" w:rsidRDefault="00B93E70" w:rsidP="00B93E70">
      <w:pPr>
        <w:jc w:val="center"/>
        <w:rPr>
          <w:b/>
          <w:bCs/>
          <w:sz w:val="28"/>
          <w:szCs w:val="28"/>
          <w:lang w:val="en-GB"/>
        </w:rPr>
      </w:pPr>
    </w:p>
    <w:p w14:paraId="6A7B95A0" w14:textId="77777777" w:rsidR="00B93E70" w:rsidRPr="00C00F3A" w:rsidRDefault="00B93E70" w:rsidP="00B93E70">
      <w:pPr>
        <w:jc w:val="center"/>
        <w:rPr>
          <w:b/>
          <w:bCs/>
          <w:sz w:val="28"/>
          <w:szCs w:val="28"/>
          <w:lang w:val="en-GB"/>
        </w:rPr>
      </w:pPr>
    </w:p>
    <w:p w14:paraId="72D36F0E" w14:textId="77777777" w:rsidR="00B93E70" w:rsidRPr="00C00F3A" w:rsidRDefault="00B93E70" w:rsidP="00B93E70">
      <w:pPr>
        <w:jc w:val="center"/>
        <w:rPr>
          <w:b/>
          <w:bCs/>
          <w:sz w:val="28"/>
          <w:szCs w:val="28"/>
          <w:lang w:val="en-GB"/>
        </w:rPr>
      </w:pPr>
    </w:p>
    <w:p w14:paraId="397E65D4" w14:textId="6663CF42" w:rsidR="00B93E70" w:rsidRPr="00C00F3A" w:rsidRDefault="00B93E70" w:rsidP="00B93E70">
      <w:pPr>
        <w:jc w:val="center"/>
        <w:rPr>
          <w:sz w:val="28"/>
          <w:szCs w:val="28"/>
          <w:lang w:val="en-GB"/>
        </w:rPr>
      </w:pPr>
      <w:r w:rsidRPr="00C00F3A">
        <w:rPr>
          <w:b/>
          <w:bCs/>
          <w:sz w:val="28"/>
          <w:szCs w:val="28"/>
          <w:lang w:val="en-GB"/>
        </w:rPr>
        <w:t>Module name:</w:t>
      </w:r>
      <w:r w:rsidR="00BC0E86" w:rsidRPr="00C00F3A">
        <w:rPr>
          <w:b/>
          <w:bCs/>
          <w:sz w:val="28"/>
          <w:szCs w:val="28"/>
          <w:lang w:val="en-GB"/>
        </w:rPr>
        <w:t xml:space="preserve"> </w:t>
      </w:r>
      <w:r w:rsidR="000A1041" w:rsidRPr="00C00F3A">
        <w:rPr>
          <w:b/>
          <w:bCs/>
          <w:sz w:val="28"/>
          <w:szCs w:val="28"/>
          <w:lang w:val="en-GB"/>
        </w:rPr>
        <w:t>Financial Management</w:t>
      </w:r>
    </w:p>
    <w:p w14:paraId="41154178" w14:textId="543CE69C" w:rsidR="00B93E70" w:rsidRPr="00C00F3A" w:rsidRDefault="00B93E70" w:rsidP="00B93E70">
      <w:pPr>
        <w:jc w:val="center"/>
        <w:rPr>
          <w:sz w:val="28"/>
          <w:szCs w:val="28"/>
          <w:lang w:val="en-GB"/>
        </w:rPr>
      </w:pPr>
      <w:r w:rsidRPr="00C00F3A">
        <w:rPr>
          <w:b/>
          <w:bCs/>
          <w:sz w:val="28"/>
          <w:szCs w:val="28"/>
          <w:lang w:val="en-GB"/>
        </w:rPr>
        <w:t>Module code</w:t>
      </w:r>
      <w:r w:rsidRPr="00C00F3A">
        <w:rPr>
          <w:sz w:val="28"/>
          <w:szCs w:val="28"/>
          <w:lang w:val="en-GB"/>
        </w:rPr>
        <w:t>:</w:t>
      </w:r>
      <w:r w:rsidR="00BC0E86" w:rsidRPr="00C00F3A">
        <w:rPr>
          <w:sz w:val="28"/>
          <w:szCs w:val="28"/>
          <w:lang w:val="en-GB"/>
        </w:rPr>
        <w:t xml:space="preserve"> </w:t>
      </w:r>
      <w:r w:rsidR="000A1041" w:rsidRPr="00C00F3A">
        <w:rPr>
          <w:sz w:val="28"/>
          <w:szCs w:val="28"/>
          <w:lang w:val="en-GB"/>
        </w:rPr>
        <w:t>LCMB7002</w:t>
      </w:r>
    </w:p>
    <w:p w14:paraId="677D6F0F" w14:textId="38B9C6B6" w:rsidR="00B93E70" w:rsidRPr="00C00F3A" w:rsidRDefault="00B93E70" w:rsidP="000A1041">
      <w:pPr>
        <w:jc w:val="center"/>
        <w:rPr>
          <w:sz w:val="28"/>
          <w:szCs w:val="28"/>
          <w:lang w:val="en-GB"/>
        </w:rPr>
      </w:pPr>
      <w:r w:rsidRPr="00C00F3A">
        <w:rPr>
          <w:b/>
          <w:bCs/>
          <w:sz w:val="28"/>
          <w:szCs w:val="28"/>
          <w:lang w:val="en-GB"/>
        </w:rPr>
        <w:t>Lecturer name</w:t>
      </w:r>
      <w:r w:rsidRPr="00C00F3A">
        <w:rPr>
          <w:sz w:val="28"/>
          <w:szCs w:val="28"/>
          <w:lang w:val="en-GB"/>
        </w:rPr>
        <w:t>:</w:t>
      </w:r>
      <w:r w:rsidR="000A1041" w:rsidRPr="00C00F3A">
        <w:rPr>
          <w:sz w:val="28"/>
          <w:szCs w:val="28"/>
          <w:lang w:val="en-GB"/>
        </w:rPr>
        <w:t xml:space="preserve"> </w:t>
      </w:r>
      <w:proofErr w:type="spellStart"/>
      <w:r w:rsidR="000A1041" w:rsidRPr="00C00F3A">
        <w:rPr>
          <w:sz w:val="28"/>
          <w:szCs w:val="28"/>
          <w:lang w:val="en-GB"/>
        </w:rPr>
        <w:t>Shengfeng</w:t>
      </w:r>
      <w:proofErr w:type="spellEnd"/>
      <w:r w:rsidR="000A1041" w:rsidRPr="00C00F3A">
        <w:rPr>
          <w:sz w:val="28"/>
          <w:szCs w:val="28"/>
          <w:lang w:val="en-GB"/>
        </w:rPr>
        <w:t xml:space="preserve"> Mei</w:t>
      </w:r>
      <w:r w:rsidR="000A1041" w:rsidRPr="00C00F3A">
        <w:rPr>
          <w:sz w:val="28"/>
          <w:szCs w:val="28"/>
          <w:lang w:val="en-GB"/>
        </w:rPr>
        <w:t xml:space="preserve"> </w:t>
      </w:r>
      <w:r w:rsidR="000A1041" w:rsidRPr="00C00F3A">
        <w:rPr>
          <w:sz w:val="28"/>
          <w:szCs w:val="28"/>
          <w:lang w:val="en-GB"/>
        </w:rPr>
        <w:t>Patrick Yeboah</w:t>
      </w:r>
    </w:p>
    <w:p w14:paraId="521A83D1" w14:textId="77777777" w:rsidR="00B93E70" w:rsidRPr="00C00F3A" w:rsidRDefault="00B93E70" w:rsidP="00B93E70">
      <w:pPr>
        <w:jc w:val="center"/>
        <w:rPr>
          <w:sz w:val="28"/>
          <w:szCs w:val="28"/>
          <w:lang w:val="en-GB"/>
        </w:rPr>
      </w:pPr>
    </w:p>
    <w:p w14:paraId="5E3FBBF2" w14:textId="3B030A2C" w:rsidR="00B93E70" w:rsidRPr="00C00F3A" w:rsidRDefault="00B93E70" w:rsidP="00B93E70">
      <w:pPr>
        <w:jc w:val="center"/>
        <w:rPr>
          <w:sz w:val="28"/>
          <w:szCs w:val="28"/>
          <w:lang w:val="en-GB"/>
        </w:rPr>
      </w:pPr>
      <w:r w:rsidRPr="00C00F3A">
        <w:rPr>
          <w:b/>
          <w:bCs/>
          <w:sz w:val="28"/>
          <w:szCs w:val="28"/>
          <w:lang w:val="en-GB"/>
        </w:rPr>
        <w:t>Student name</w:t>
      </w:r>
      <w:r w:rsidRPr="00C00F3A">
        <w:rPr>
          <w:sz w:val="28"/>
          <w:szCs w:val="28"/>
          <w:lang w:val="en-GB"/>
        </w:rPr>
        <w:t>:</w:t>
      </w:r>
      <w:r w:rsidR="00BC0E86" w:rsidRPr="00C00F3A">
        <w:rPr>
          <w:sz w:val="28"/>
          <w:szCs w:val="28"/>
          <w:lang w:val="en-GB"/>
        </w:rPr>
        <w:t xml:space="preserve"> </w:t>
      </w:r>
      <w:r w:rsidR="00BC0E86" w:rsidRPr="00C00F3A">
        <w:rPr>
          <w:b/>
          <w:bCs/>
          <w:sz w:val="28"/>
          <w:szCs w:val="28"/>
          <w:lang w:val="en-GB"/>
        </w:rPr>
        <w:t xml:space="preserve">Sanket </w:t>
      </w:r>
      <w:proofErr w:type="spellStart"/>
      <w:r w:rsidR="00BC0E86" w:rsidRPr="00C00F3A">
        <w:rPr>
          <w:b/>
          <w:bCs/>
          <w:sz w:val="28"/>
          <w:szCs w:val="28"/>
          <w:lang w:val="en-GB"/>
        </w:rPr>
        <w:t>kumar</w:t>
      </w:r>
      <w:proofErr w:type="spellEnd"/>
      <w:r w:rsidR="00BC0E86" w:rsidRPr="00C00F3A">
        <w:rPr>
          <w:b/>
          <w:bCs/>
          <w:sz w:val="28"/>
          <w:szCs w:val="28"/>
          <w:lang w:val="en-GB"/>
        </w:rPr>
        <w:t xml:space="preserve"> </w:t>
      </w:r>
      <w:proofErr w:type="spellStart"/>
      <w:r w:rsidR="00BC0E86" w:rsidRPr="00C00F3A">
        <w:rPr>
          <w:b/>
          <w:bCs/>
          <w:sz w:val="28"/>
          <w:szCs w:val="28"/>
          <w:lang w:val="en-GB"/>
        </w:rPr>
        <w:t>bipinbhai</w:t>
      </w:r>
      <w:proofErr w:type="spellEnd"/>
      <w:r w:rsidR="00BC0E86" w:rsidRPr="00C00F3A">
        <w:rPr>
          <w:b/>
          <w:bCs/>
          <w:sz w:val="28"/>
          <w:szCs w:val="28"/>
          <w:lang w:val="en-GB"/>
        </w:rPr>
        <w:t xml:space="preserve"> </w:t>
      </w:r>
      <w:proofErr w:type="spellStart"/>
      <w:r w:rsidR="00BC0E86" w:rsidRPr="00C00F3A">
        <w:rPr>
          <w:b/>
          <w:bCs/>
          <w:sz w:val="28"/>
          <w:szCs w:val="28"/>
          <w:lang w:val="en-GB"/>
        </w:rPr>
        <w:t>pandya</w:t>
      </w:r>
      <w:proofErr w:type="spellEnd"/>
    </w:p>
    <w:p w14:paraId="4E1A16A5" w14:textId="642FE691" w:rsidR="00B93E70" w:rsidRPr="00C00F3A" w:rsidRDefault="00B93E70" w:rsidP="00B93E70">
      <w:pPr>
        <w:jc w:val="center"/>
        <w:rPr>
          <w:sz w:val="28"/>
          <w:szCs w:val="28"/>
          <w:lang w:val="en-GB"/>
        </w:rPr>
      </w:pPr>
      <w:r w:rsidRPr="00C00F3A">
        <w:rPr>
          <w:b/>
          <w:bCs/>
          <w:sz w:val="28"/>
          <w:szCs w:val="28"/>
          <w:lang w:val="en-GB"/>
        </w:rPr>
        <w:t>Student ID</w:t>
      </w:r>
      <w:r w:rsidRPr="00C00F3A">
        <w:rPr>
          <w:sz w:val="28"/>
          <w:szCs w:val="28"/>
          <w:lang w:val="en-GB"/>
        </w:rPr>
        <w:t>:</w:t>
      </w:r>
      <w:r w:rsidR="00BC0E86" w:rsidRPr="00C00F3A">
        <w:rPr>
          <w:sz w:val="28"/>
          <w:szCs w:val="28"/>
          <w:lang w:val="en-GB"/>
        </w:rPr>
        <w:t xml:space="preserve"> 2538532</w:t>
      </w:r>
    </w:p>
    <w:p w14:paraId="59E388B6" w14:textId="77777777" w:rsidR="00B93E70" w:rsidRPr="00C00F3A" w:rsidRDefault="00B93E70" w:rsidP="00B93E70">
      <w:pPr>
        <w:jc w:val="center"/>
        <w:rPr>
          <w:sz w:val="28"/>
          <w:szCs w:val="28"/>
          <w:lang w:val="en-GB"/>
        </w:rPr>
      </w:pPr>
    </w:p>
    <w:p w14:paraId="0900A6FB" w14:textId="4E6F0264" w:rsidR="00B93E70" w:rsidRPr="00C00F3A" w:rsidRDefault="00B93E70" w:rsidP="00B93E70">
      <w:pPr>
        <w:jc w:val="center"/>
        <w:rPr>
          <w:sz w:val="28"/>
          <w:szCs w:val="28"/>
          <w:lang w:val="en-GB"/>
        </w:rPr>
      </w:pPr>
      <w:r w:rsidRPr="00C00F3A">
        <w:rPr>
          <w:b/>
          <w:bCs/>
          <w:sz w:val="28"/>
          <w:szCs w:val="28"/>
          <w:lang w:val="en-GB"/>
        </w:rPr>
        <w:t>Word count</w:t>
      </w:r>
      <w:r w:rsidRPr="00C00F3A">
        <w:rPr>
          <w:sz w:val="28"/>
          <w:szCs w:val="28"/>
          <w:lang w:val="en-GB"/>
        </w:rPr>
        <w:t>:</w:t>
      </w:r>
      <w:r w:rsidR="00D32A1A">
        <w:rPr>
          <w:sz w:val="28"/>
          <w:szCs w:val="28"/>
          <w:lang w:val="en-GB"/>
        </w:rPr>
        <w:t xml:space="preserve"> 5058</w:t>
      </w:r>
    </w:p>
    <w:p w14:paraId="79129E22" w14:textId="39D4F80D" w:rsidR="00B93E70" w:rsidRPr="00C00F3A" w:rsidRDefault="00B93E70" w:rsidP="00B93E70">
      <w:pPr>
        <w:jc w:val="center"/>
        <w:rPr>
          <w:sz w:val="28"/>
          <w:szCs w:val="28"/>
          <w:lang w:val="en-GB"/>
        </w:rPr>
      </w:pPr>
      <w:r w:rsidRPr="00C00F3A">
        <w:rPr>
          <w:b/>
          <w:bCs/>
          <w:sz w:val="28"/>
          <w:szCs w:val="28"/>
          <w:lang w:val="en-GB"/>
        </w:rPr>
        <w:t>Submission date</w:t>
      </w:r>
      <w:r w:rsidRPr="00C00F3A">
        <w:rPr>
          <w:sz w:val="28"/>
          <w:szCs w:val="28"/>
          <w:lang w:val="en-GB"/>
        </w:rPr>
        <w:t>:</w:t>
      </w:r>
      <w:r w:rsidR="00FA7A2B">
        <w:rPr>
          <w:sz w:val="28"/>
          <w:szCs w:val="28"/>
          <w:lang w:val="en-GB"/>
        </w:rPr>
        <w:t xml:space="preserve"> 13/08/2026</w:t>
      </w:r>
    </w:p>
    <w:p w14:paraId="1035ACDD" w14:textId="77777777" w:rsidR="00B93E70" w:rsidRPr="00C00F3A" w:rsidRDefault="00B93E70">
      <w:pPr>
        <w:rPr>
          <w:b/>
          <w:bCs/>
          <w:sz w:val="32"/>
          <w:szCs w:val="32"/>
          <w:lang w:val="en-GB"/>
        </w:rPr>
      </w:pPr>
      <w:r w:rsidRPr="00C00F3A">
        <w:rPr>
          <w:lang w:val="en-GB"/>
        </w:rPr>
        <w:br w:type="page"/>
      </w:r>
    </w:p>
    <w:p w14:paraId="5A496BF8" w14:textId="19273555" w:rsidR="00B93E70" w:rsidRPr="00C00F3A" w:rsidRDefault="00B93E70" w:rsidP="00B93E70">
      <w:pPr>
        <w:pStyle w:val="Heading1"/>
        <w:rPr>
          <w:color w:val="auto"/>
          <w:lang w:val="en-GB"/>
        </w:rPr>
      </w:pPr>
      <w:r w:rsidRPr="00C00F3A">
        <w:rPr>
          <w:color w:val="auto"/>
          <w:lang w:val="en-GB"/>
        </w:rPr>
        <w:lastRenderedPageBreak/>
        <w:t>AI use acknowledgement</w:t>
      </w:r>
    </w:p>
    <w:p w14:paraId="2BE927A0" w14:textId="3CA79E9B" w:rsidR="00BC0E86" w:rsidRPr="00C00F3A" w:rsidRDefault="00BC0E86" w:rsidP="00BC0E86">
      <w:pPr>
        <w:rPr>
          <w:lang w:val="en-GB"/>
        </w:rPr>
      </w:pPr>
      <w:r w:rsidRPr="00C00F3A">
        <w:rPr>
          <w:lang w:val="en-GB"/>
        </w:rPr>
        <w:t xml:space="preserve">I hereby declare my use of </w:t>
      </w:r>
      <w:r w:rsidR="002231AE" w:rsidRPr="00C00F3A">
        <w:rPr>
          <w:lang w:val="en-GB"/>
        </w:rPr>
        <w:t>ChatGPT</w:t>
      </w:r>
      <w:r w:rsidRPr="00C00F3A">
        <w:rPr>
          <w:lang w:val="en-GB"/>
        </w:rPr>
        <w:t xml:space="preserve"> on </w:t>
      </w:r>
      <w:r w:rsidR="002231AE" w:rsidRPr="00C00F3A">
        <w:rPr>
          <w:lang w:val="en-GB"/>
        </w:rPr>
        <w:t>9th</w:t>
      </w:r>
      <w:r w:rsidRPr="00C00F3A">
        <w:rPr>
          <w:lang w:val="en-GB"/>
        </w:rPr>
        <w:t xml:space="preserve"> August 2026 for assisting the preparation of this report. I used the following prompt(s):</w:t>
      </w:r>
    </w:p>
    <w:p w14:paraId="2AA202A3" w14:textId="3DFCB229" w:rsidR="00BC0E86" w:rsidRPr="00C00F3A" w:rsidRDefault="00BC0E86" w:rsidP="00BC0E86">
      <w:pPr>
        <w:pStyle w:val="ListParagraph"/>
        <w:numPr>
          <w:ilvl w:val="0"/>
          <w:numId w:val="5"/>
        </w:numPr>
        <w:rPr>
          <w:lang w:val="en-GB"/>
        </w:rPr>
      </w:pPr>
      <w:r w:rsidRPr="00C00F3A">
        <w:rPr>
          <w:lang w:val="en-GB"/>
        </w:rPr>
        <w:t>Analyse the financial statements of Wolseley Group Holdings Limited over the past five years and compute ratios such as profitability, liquidity, efficiency, gearing, ROE/ROA and the Cash Conversion Cycle.</w:t>
      </w:r>
    </w:p>
    <w:p w14:paraId="244BF511" w14:textId="4C1E42B6" w:rsidR="00BC0E86" w:rsidRPr="00C00F3A" w:rsidRDefault="00BC0E86" w:rsidP="00BC0E86">
      <w:pPr>
        <w:pStyle w:val="ListParagraph"/>
        <w:numPr>
          <w:ilvl w:val="0"/>
          <w:numId w:val="5"/>
        </w:numPr>
        <w:rPr>
          <w:lang w:val="en-GB"/>
        </w:rPr>
      </w:pPr>
      <w:r w:rsidRPr="00C00F3A">
        <w:rPr>
          <w:lang w:val="en-GB"/>
        </w:rPr>
        <w:t>Compute Payback Period, ARR, NPV, PI and IRR for the three investment projects detailed in the assessment brief and perform capital rationing analysis.</w:t>
      </w:r>
    </w:p>
    <w:p w14:paraId="11055C74" w14:textId="1F22075E" w:rsidR="00BC0E86" w:rsidRPr="00C00F3A" w:rsidRDefault="00BC0E86" w:rsidP="00BC0E86">
      <w:pPr>
        <w:pStyle w:val="ListParagraph"/>
        <w:numPr>
          <w:ilvl w:val="0"/>
          <w:numId w:val="5"/>
        </w:numPr>
        <w:rPr>
          <w:lang w:val="en-GB"/>
        </w:rPr>
      </w:pPr>
      <w:r w:rsidRPr="00C00F3A">
        <w:rPr>
          <w:lang w:val="en-GB"/>
        </w:rPr>
        <w:t>Enhance and expand analytical paragraphs for Financial Health Check, Working Capital Management, Restructuring Options, Investment Appraisal recommendation and ESG considerations with the required tone and length.</w:t>
      </w:r>
    </w:p>
    <w:p w14:paraId="15B8885D" w14:textId="70A185DC" w:rsidR="00BC0E86" w:rsidRPr="00C00F3A" w:rsidRDefault="00BC0E86" w:rsidP="00BC0E86">
      <w:pPr>
        <w:pStyle w:val="ListParagraph"/>
        <w:numPr>
          <w:ilvl w:val="0"/>
          <w:numId w:val="5"/>
        </w:numPr>
        <w:rPr>
          <w:lang w:val="en-GB"/>
        </w:rPr>
      </w:pPr>
      <w:r w:rsidRPr="00C00F3A">
        <w:rPr>
          <w:lang w:val="en-GB"/>
        </w:rPr>
        <w:t>Present ratio formulae in correct mathematical notation and generate necessary tables/findings discussion.</w:t>
      </w:r>
    </w:p>
    <w:p w14:paraId="15897038" w14:textId="6354106E" w:rsidR="00B93E70" w:rsidRPr="00C00F3A" w:rsidRDefault="00BC0E86" w:rsidP="00BC0E86">
      <w:pPr>
        <w:rPr>
          <w:lang w:val="en-GB"/>
        </w:rPr>
      </w:pPr>
      <w:r w:rsidRPr="00C00F3A">
        <w:rPr>
          <w:lang w:val="en-GB"/>
        </w:rPr>
        <w:t>I hereby declare that I did not present any AI generated text as my own work. All the financial data was retrieved by me from the Annual Reports of Wolseley Group Holdings Limited (2021 – 2025). All the ratios and investment computations were done by me using Microsoft Excel. I hereby declare that I have backups of my drafts, notes, source data and excel calculations before and after the use of AI technology, which can be provided upon request.</w:t>
      </w:r>
    </w:p>
    <w:p w14:paraId="5068B566" w14:textId="77777777" w:rsidR="00140083" w:rsidRPr="00C00F3A" w:rsidRDefault="00176BB0">
      <w:pPr>
        <w:rPr>
          <w:lang w:val="en-GB"/>
        </w:rPr>
      </w:pPr>
      <w:r w:rsidRPr="00C00F3A">
        <w:rPr>
          <w:lang w:val="en-GB"/>
        </w:rPr>
        <w:br w:type="page"/>
      </w:r>
    </w:p>
    <w:p w14:paraId="5C03F81F" w14:textId="77777777" w:rsidR="00140083" w:rsidRPr="00C00F3A" w:rsidRDefault="00176BB0" w:rsidP="00950EA3">
      <w:pPr>
        <w:pStyle w:val="Heading1"/>
        <w:jc w:val="center"/>
        <w:rPr>
          <w:color w:val="auto"/>
          <w:lang w:val="en-GB"/>
        </w:rPr>
      </w:pPr>
      <w:bookmarkStart w:id="0" w:name="_Toc237515738"/>
      <w:r w:rsidRPr="00C00F3A">
        <w:rPr>
          <w:color w:val="auto"/>
          <w:lang w:val="en-GB"/>
        </w:rPr>
        <w:lastRenderedPageBreak/>
        <w:t>Table of Contents</w:t>
      </w:r>
      <w:bookmarkEnd w:id="0"/>
    </w:p>
    <w:sdt>
      <w:sdtPr>
        <w:rPr>
          <w:lang w:val="en-GB"/>
        </w:rPr>
        <w:alias w:val="Table of Contents"/>
        <w:id w:val="-1186122264"/>
      </w:sdtPr>
      <w:sdtEndPr/>
      <w:sdtContent>
        <w:p w14:paraId="1F52B6F3" w14:textId="77777777" w:rsidR="00685FA6" w:rsidRPr="00C00F3A" w:rsidRDefault="00176BB0">
          <w:pPr>
            <w:pStyle w:val="TOC1"/>
            <w:tabs>
              <w:tab w:val="right" w:leader="dot" w:pos="9628"/>
            </w:tabs>
            <w:rPr>
              <w:noProof/>
              <w:lang w:val="en-GB"/>
            </w:rPr>
          </w:pPr>
          <w:r w:rsidRPr="00C00F3A">
            <w:rPr>
              <w:lang w:val="en-GB"/>
            </w:rPr>
            <w:fldChar w:fldCharType="begin"/>
          </w:r>
          <w:r w:rsidRPr="00C00F3A">
            <w:rPr>
              <w:lang w:val="en-GB"/>
            </w:rPr>
            <w:instrText>TOC \h \o "1-3"</w:instrText>
          </w:r>
          <w:r w:rsidRPr="00C00F3A">
            <w:rPr>
              <w:lang w:val="en-GB"/>
            </w:rPr>
            <w:fldChar w:fldCharType="separate"/>
          </w:r>
          <w:hyperlink w:anchor="_Toc237515738" w:history="1">
            <w:r w:rsidR="00685FA6" w:rsidRPr="00C00F3A">
              <w:rPr>
                <w:rStyle w:val="Hyperlink"/>
                <w:noProof/>
                <w:color w:val="auto"/>
                <w:lang w:val="en-GB"/>
              </w:rPr>
              <w:t>Table of Contents</w:t>
            </w:r>
            <w:r w:rsidR="00685FA6" w:rsidRPr="00C00F3A">
              <w:rPr>
                <w:noProof/>
                <w:lang w:val="en-GB"/>
              </w:rPr>
              <w:tab/>
            </w:r>
            <w:r w:rsidR="00685FA6" w:rsidRPr="00C00F3A">
              <w:rPr>
                <w:noProof/>
                <w:lang w:val="en-GB"/>
              </w:rPr>
              <w:fldChar w:fldCharType="begin"/>
            </w:r>
            <w:r w:rsidR="00685FA6" w:rsidRPr="00C00F3A">
              <w:rPr>
                <w:noProof/>
                <w:lang w:val="en-GB"/>
              </w:rPr>
              <w:instrText xml:space="preserve"> PAGEREF _Toc237515738 \h </w:instrText>
            </w:r>
            <w:r w:rsidR="00685FA6" w:rsidRPr="00C00F3A">
              <w:rPr>
                <w:noProof/>
                <w:lang w:val="en-GB"/>
              </w:rPr>
            </w:r>
            <w:r w:rsidR="00685FA6" w:rsidRPr="00C00F3A">
              <w:rPr>
                <w:noProof/>
                <w:lang w:val="en-GB"/>
              </w:rPr>
              <w:fldChar w:fldCharType="separate"/>
            </w:r>
            <w:r w:rsidR="00685FA6" w:rsidRPr="00C00F3A">
              <w:rPr>
                <w:noProof/>
                <w:lang w:val="en-GB"/>
              </w:rPr>
              <w:t>1</w:t>
            </w:r>
            <w:r w:rsidR="00685FA6" w:rsidRPr="00C00F3A">
              <w:rPr>
                <w:noProof/>
                <w:lang w:val="en-GB"/>
              </w:rPr>
              <w:fldChar w:fldCharType="end"/>
            </w:r>
          </w:hyperlink>
        </w:p>
        <w:p w14:paraId="43413B27" w14:textId="77777777" w:rsidR="00685FA6" w:rsidRPr="00C00F3A" w:rsidRDefault="00685FA6">
          <w:pPr>
            <w:pStyle w:val="TOC1"/>
            <w:tabs>
              <w:tab w:val="right" w:leader="dot" w:pos="9628"/>
            </w:tabs>
            <w:rPr>
              <w:noProof/>
              <w:lang w:val="en-GB"/>
            </w:rPr>
          </w:pPr>
          <w:hyperlink w:anchor="_Toc237515739" w:history="1">
            <w:r w:rsidRPr="00C00F3A">
              <w:rPr>
                <w:rStyle w:val="Hyperlink"/>
                <w:noProof/>
                <w:color w:val="auto"/>
                <w:lang w:val="en-GB"/>
              </w:rPr>
              <w:t>List of Tables and Figures</w:t>
            </w:r>
            <w:r w:rsidRPr="00C00F3A">
              <w:rPr>
                <w:noProof/>
                <w:lang w:val="en-GB"/>
              </w:rPr>
              <w:tab/>
            </w:r>
            <w:r w:rsidRPr="00C00F3A">
              <w:rPr>
                <w:noProof/>
                <w:lang w:val="en-GB"/>
              </w:rPr>
              <w:fldChar w:fldCharType="begin"/>
            </w:r>
            <w:r w:rsidRPr="00C00F3A">
              <w:rPr>
                <w:noProof/>
                <w:lang w:val="en-GB"/>
              </w:rPr>
              <w:instrText xml:space="preserve"> PAGEREF _Toc237515739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38872DD2" w14:textId="77777777" w:rsidR="00685FA6" w:rsidRPr="00C00F3A" w:rsidRDefault="00685FA6">
          <w:pPr>
            <w:pStyle w:val="TOC3"/>
            <w:tabs>
              <w:tab w:val="right" w:leader="dot" w:pos="9628"/>
            </w:tabs>
            <w:rPr>
              <w:noProof/>
              <w:lang w:val="en-GB"/>
            </w:rPr>
          </w:pPr>
          <w:hyperlink w:anchor="_Toc237515740" w:history="1">
            <w:r w:rsidRPr="00C00F3A">
              <w:rPr>
                <w:rStyle w:val="Hyperlink"/>
                <w:noProof/>
                <w:color w:val="auto"/>
                <w:lang w:val="en-GB"/>
              </w:rPr>
              <w:t>Tables</w:t>
            </w:r>
            <w:r w:rsidRPr="00C00F3A">
              <w:rPr>
                <w:noProof/>
                <w:lang w:val="en-GB"/>
              </w:rPr>
              <w:tab/>
            </w:r>
            <w:r w:rsidRPr="00C00F3A">
              <w:rPr>
                <w:noProof/>
                <w:lang w:val="en-GB"/>
              </w:rPr>
              <w:fldChar w:fldCharType="begin"/>
            </w:r>
            <w:r w:rsidRPr="00C00F3A">
              <w:rPr>
                <w:noProof/>
                <w:lang w:val="en-GB"/>
              </w:rPr>
              <w:instrText xml:space="preserve"> PAGEREF _Toc237515740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34F5A549" w14:textId="77777777" w:rsidR="00685FA6" w:rsidRPr="00C00F3A" w:rsidRDefault="00685FA6">
          <w:pPr>
            <w:pStyle w:val="TOC3"/>
            <w:tabs>
              <w:tab w:val="right" w:leader="dot" w:pos="9628"/>
            </w:tabs>
            <w:rPr>
              <w:noProof/>
              <w:lang w:val="en-GB"/>
            </w:rPr>
          </w:pPr>
          <w:hyperlink w:anchor="_Toc237515741" w:history="1">
            <w:r w:rsidRPr="00C00F3A">
              <w:rPr>
                <w:rStyle w:val="Hyperlink"/>
                <w:noProof/>
                <w:color w:val="auto"/>
                <w:lang w:val="en-GB"/>
              </w:rPr>
              <w:t>Figures</w:t>
            </w:r>
            <w:r w:rsidRPr="00C00F3A">
              <w:rPr>
                <w:noProof/>
                <w:lang w:val="en-GB"/>
              </w:rPr>
              <w:tab/>
            </w:r>
            <w:r w:rsidRPr="00C00F3A">
              <w:rPr>
                <w:noProof/>
                <w:lang w:val="en-GB"/>
              </w:rPr>
              <w:fldChar w:fldCharType="begin"/>
            </w:r>
            <w:r w:rsidRPr="00C00F3A">
              <w:rPr>
                <w:noProof/>
                <w:lang w:val="en-GB"/>
              </w:rPr>
              <w:instrText xml:space="preserve"> PAGEREF _Toc237515741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4ED2ACBF" w14:textId="77777777" w:rsidR="00685FA6" w:rsidRPr="00C00F3A" w:rsidRDefault="00685FA6">
          <w:pPr>
            <w:pStyle w:val="TOC1"/>
            <w:tabs>
              <w:tab w:val="right" w:leader="dot" w:pos="9628"/>
            </w:tabs>
            <w:rPr>
              <w:noProof/>
              <w:lang w:val="en-GB"/>
            </w:rPr>
          </w:pPr>
          <w:hyperlink w:anchor="_Toc237515742" w:history="1">
            <w:r w:rsidRPr="00C00F3A">
              <w:rPr>
                <w:rStyle w:val="Hyperlink"/>
                <w:noProof/>
                <w:color w:val="auto"/>
                <w:lang w:val="en-GB"/>
              </w:rPr>
              <w:t>1. Introduction</w:t>
            </w:r>
            <w:r w:rsidRPr="00C00F3A">
              <w:rPr>
                <w:noProof/>
                <w:lang w:val="en-GB"/>
              </w:rPr>
              <w:tab/>
            </w:r>
            <w:r w:rsidRPr="00C00F3A">
              <w:rPr>
                <w:noProof/>
                <w:lang w:val="en-GB"/>
              </w:rPr>
              <w:fldChar w:fldCharType="begin"/>
            </w:r>
            <w:r w:rsidRPr="00C00F3A">
              <w:rPr>
                <w:noProof/>
                <w:lang w:val="en-GB"/>
              </w:rPr>
              <w:instrText xml:space="preserve"> PAGEREF _Toc237515742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033A0351" w14:textId="77777777" w:rsidR="00685FA6" w:rsidRPr="00C00F3A" w:rsidRDefault="00685FA6">
          <w:pPr>
            <w:pStyle w:val="TOC1"/>
            <w:tabs>
              <w:tab w:val="right" w:leader="dot" w:pos="9628"/>
            </w:tabs>
            <w:rPr>
              <w:noProof/>
              <w:lang w:val="en-GB"/>
            </w:rPr>
          </w:pPr>
          <w:hyperlink w:anchor="_Toc237515743" w:history="1">
            <w:r w:rsidRPr="00C00F3A">
              <w:rPr>
                <w:rStyle w:val="Hyperlink"/>
                <w:noProof/>
                <w:color w:val="auto"/>
                <w:lang w:val="en-GB"/>
              </w:rPr>
              <w:t>2. Financial Health Check</w:t>
            </w:r>
            <w:r w:rsidRPr="00C00F3A">
              <w:rPr>
                <w:noProof/>
                <w:lang w:val="en-GB"/>
              </w:rPr>
              <w:tab/>
            </w:r>
            <w:r w:rsidRPr="00C00F3A">
              <w:rPr>
                <w:noProof/>
                <w:lang w:val="en-GB"/>
              </w:rPr>
              <w:fldChar w:fldCharType="begin"/>
            </w:r>
            <w:r w:rsidRPr="00C00F3A">
              <w:rPr>
                <w:noProof/>
                <w:lang w:val="en-GB"/>
              </w:rPr>
              <w:instrText xml:space="preserve"> PAGEREF _Toc237515743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639DEB6D" w14:textId="77777777" w:rsidR="00685FA6" w:rsidRPr="00C00F3A" w:rsidRDefault="00685FA6">
          <w:pPr>
            <w:pStyle w:val="TOC2"/>
            <w:tabs>
              <w:tab w:val="right" w:leader="dot" w:pos="9628"/>
            </w:tabs>
            <w:rPr>
              <w:noProof/>
              <w:lang w:val="en-GB"/>
            </w:rPr>
          </w:pPr>
          <w:hyperlink w:anchor="_Toc237515744" w:history="1">
            <w:r w:rsidRPr="00C00F3A">
              <w:rPr>
                <w:rStyle w:val="Hyperlink"/>
                <w:noProof/>
                <w:color w:val="auto"/>
                <w:lang w:val="en-GB"/>
              </w:rPr>
              <w:t>2.1 Overview of Financial Performance</w:t>
            </w:r>
            <w:r w:rsidRPr="00C00F3A">
              <w:rPr>
                <w:noProof/>
                <w:lang w:val="en-GB"/>
              </w:rPr>
              <w:tab/>
            </w:r>
            <w:r w:rsidRPr="00C00F3A">
              <w:rPr>
                <w:noProof/>
                <w:lang w:val="en-GB"/>
              </w:rPr>
              <w:fldChar w:fldCharType="begin"/>
            </w:r>
            <w:r w:rsidRPr="00C00F3A">
              <w:rPr>
                <w:noProof/>
                <w:lang w:val="en-GB"/>
              </w:rPr>
              <w:instrText xml:space="preserve"> PAGEREF _Toc237515744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3C5DACDC" w14:textId="77777777" w:rsidR="00685FA6" w:rsidRPr="00C00F3A" w:rsidRDefault="00685FA6">
          <w:pPr>
            <w:pStyle w:val="TOC2"/>
            <w:tabs>
              <w:tab w:val="right" w:leader="dot" w:pos="9628"/>
            </w:tabs>
            <w:rPr>
              <w:noProof/>
              <w:lang w:val="en-GB"/>
            </w:rPr>
          </w:pPr>
          <w:hyperlink w:anchor="_Toc237515745" w:history="1">
            <w:r w:rsidRPr="00C00F3A">
              <w:rPr>
                <w:rStyle w:val="Hyperlink"/>
                <w:noProof/>
                <w:color w:val="auto"/>
                <w:lang w:val="en-GB"/>
              </w:rPr>
              <w:t>2.2 Profitability Analysis</w:t>
            </w:r>
            <w:r w:rsidRPr="00C00F3A">
              <w:rPr>
                <w:noProof/>
                <w:lang w:val="en-GB"/>
              </w:rPr>
              <w:tab/>
            </w:r>
            <w:r w:rsidRPr="00C00F3A">
              <w:rPr>
                <w:noProof/>
                <w:lang w:val="en-GB"/>
              </w:rPr>
              <w:fldChar w:fldCharType="begin"/>
            </w:r>
            <w:r w:rsidRPr="00C00F3A">
              <w:rPr>
                <w:noProof/>
                <w:lang w:val="en-GB"/>
              </w:rPr>
              <w:instrText xml:space="preserve"> PAGEREF _Toc237515745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70BD52DA" w14:textId="77777777" w:rsidR="00685FA6" w:rsidRPr="00C00F3A" w:rsidRDefault="00685FA6">
          <w:pPr>
            <w:pStyle w:val="TOC2"/>
            <w:tabs>
              <w:tab w:val="right" w:leader="dot" w:pos="9628"/>
            </w:tabs>
            <w:rPr>
              <w:noProof/>
              <w:lang w:val="en-GB"/>
            </w:rPr>
          </w:pPr>
          <w:hyperlink w:anchor="_Toc237515746" w:history="1">
            <w:r w:rsidRPr="00C00F3A">
              <w:rPr>
                <w:rStyle w:val="Hyperlink"/>
                <w:noProof/>
                <w:color w:val="auto"/>
                <w:lang w:val="en-GB"/>
              </w:rPr>
              <w:t>2.3 Liquidity Analysis and Industry Benchmarking</w:t>
            </w:r>
            <w:r w:rsidRPr="00C00F3A">
              <w:rPr>
                <w:noProof/>
                <w:lang w:val="en-GB"/>
              </w:rPr>
              <w:tab/>
            </w:r>
            <w:r w:rsidRPr="00C00F3A">
              <w:rPr>
                <w:noProof/>
                <w:lang w:val="en-GB"/>
              </w:rPr>
              <w:fldChar w:fldCharType="begin"/>
            </w:r>
            <w:r w:rsidRPr="00C00F3A">
              <w:rPr>
                <w:noProof/>
                <w:lang w:val="en-GB"/>
              </w:rPr>
              <w:instrText xml:space="preserve"> PAGEREF _Toc237515746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2A207AB8" w14:textId="77777777" w:rsidR="00685FA6" w:rsidRPr="00C00F3A" w:rsidRDefault="00685FA6">
          <w:pPr>
            <w:pStyle w:val="TOC2"/>
            <w:tabs>
              <w:tab w:val="right" w:leader="dot" w:pos="9628"/>
            </w:tabs>
            <w:rPr>
              <w:noProof/>
              <w:lang w:val="en-GB"/>
            </w:rPr>
          </w:pPr>
          <w:hyperlink w:anchor="_Toc237515747" w:history="1">
            <w:r w:rsidRPr="00C00F3A">
              <w:rPr>
                <w:rStyle w:val="Hyperlink"/>
                <w:noProof/>
                <w:color w:val="auto"/>
                <w:lang w:val="en-GB"/>
              </w:rPr>
              <w:t>2.4 Efficiency Analysis</w:t>
            </w:r>
            <w:r w:rsidRPr="00C00F3A">
              <w:rPr>
                <w:noProof/>
                <w:lang w:val="en-GB"/>
              </w:rPr>
              <w:tab/>
            </w:r>
            <w:r w:rsidRPr="00C00F3A">
              <w:rPr>
                <w:noProof/>
                <w:lang w:val="en-GB"/>
              </w:rPr>
              <w:fldChar w:fldCharType="begin"/>
            </w:r>
            <w:r w:rsidRPr="00C00F3A">
              <w:rPr>
                <w:noProof/>
                <w:lang w:val="en-GB"/>
              </w:rPr>
              <w:instrText xml:space="preserve"> PAGEREF _Toc237515747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3B10B2B2" w14:textId="77777777" w:rsidR="00685FA6" w:rsidRPr="00C00F3A" w:rsidRDefault="00685FA6">
          <w:pPr>
            <w:pStyle w:val="TOC2"/>
            <w:tabs>
              <w:tab w:val="right" w:leader="dot" w:pos="9628"/>
            </w:tabs>
            <w:rPr>
              <w:noProof/>
              <w:lang w:val="en-GB"/>
            </w:rPr>
          </w:pPr>
          <w:hyperlink w:anchor="_Toc237515748" w:history="1">
            <w:r w:rsidRPr="00C00F3A">
              <w:rPr>
                <w:rStyle w:val="Hyperlink"/>
                <w:noProof/>
                <w:color w:val="auto"/>
                <w:lang w:val="en-GB"/>
              </w:rPr>
              <w:t>2.5 Gearing, Coverage and Cash Flow</w:t>
            </w:r>
            <w:r w:rsidRPr="00C00F3A">
              <w:rPr>
                <w:noProof/>
                <w:lang w:val="en-GB"/>
              </w:rPr>
              <w:tab/>
            </w:r>
            <w:r w:rsidRPr="00C00F3A">
              <w:rPr>
                <w:noProof/>
                <w:lang w:val="en-GB"/>
              </w:rPr>
              <w:fldChar w:fldCharType="begin"/>
            </w:r>
            <w:r w:rsidRPr="00C00F3A">
              <w:rPr>
                <w:noProof/>
                <w:lang w:val="en-GB"/>
              </w:rPr>
              <w:instrText xml:space="preserve"> PAGEREF _Toc237515748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0AA425F1" w14:textId="77777777" w:rsidR="00685FA6" w:rsidRPr="00C00F3A" w:rsidRDefault="00685FA6">
          <w:pPr>
            <w:pStyle w:val="TOC2"/>
            <w:tabs>
              <w:tab w:val="right" w:leader="dot" w:pos="9628"/>
            </w:tabs>
            <w:rPr>
              <w:noProof/>
              <w:lang w:val="en-GB"/>
            </w:rPr>
          </w:pPr>
          <w:hyperlink w:anchor="_Toc237515749" w:history="1">
            <w:r w:rsidRPr="00C00F3A">
              <w:rPr>
                <w:rStyle w:val="Hyperlink"/>
                <w:noProof/>
                <w:color w:val="auto"/>
                <w:lang w:val="en-GB"/>
              </w:rPr>
              <w:t>2.6 Summary of Strengths, Weaknesses and Threats</w:t>
            </w:r>
            <w:r w:rsidRPr="00C00F3A">
              <w:rPr>
                <w:noProof/>
                <w:lang w:val="en-GB"/>
              </w:rPr>
              <w:tab/>
            </w:r>
            <w:r w:rsidRPr="00C00F3A">
              <w:rPr>
                <w:noProof/>
                <w:lang w:val="en-GB"/>
              </w:rPr>
              <w:fldChar w:fldCharType="begin"/>
            </w:r>
            <w:r w:rsidRPr="00C00F3A">
              <w:rPr>
                <w:noProof/>
                <w:lang w:val="en-GB"/>
              </w:rPr>
              <w:instrText xml:space="preserve"> PAGEREF _Toc237515749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565048C5" w14:textId="77777777" w:rsidR="00685FA6" w:rsidRPr="00C00F3A" w:rsidRDefault="00685FA6">
          <w:pPr>
            <w:pStyle w:val="TOC1"/>
            <w:tabs>
              <w:tab w:val="right" w:leader="dot" w:pos="9628"/>
            </w:tabs>
            <w:rPr>
              <w:noProof/>
              <w:lang w:val="en-GB"/>
            </w:rPr>
          </w:pPr>
          <w:hyperlink w:anchor="_Toc237515750" w:history="1">
            <w:r w:rsidRPr="00C00F3A">
              <w:rPr>
                <w:rStyle w:val="Hyperlink"/>
                <w:noProof/>
                <w:color w:val="auto"/>
                <w:lang w:val="en-GB"/>
              </w:rPr>
              <w:t>3. Working Capital Management Analysis</w:t>
            </w:r>
            <w:r w:rsidRPr="00C00F3A">
              <w:rPr>
                <w:noProof/>
                <w:lang w:val="en-GB"/>
              </w:rPr>
              <w:tab/>
            </w:r>
            <w:r w:rsidRPr="00C00F3A">
              <w:rPr>
                <w:noProof/>
                <w:lang w:val="en-GB"/>
              </w:rPr>
              <w:fldChar w:fldCharType="begin"/>
            </w:r>
            <w:r w:rsidRPr="00C00F3A">
              <w:rPr>
                <w:noProof/>
                <w:lang w:val="en-GB"/>
              </w:rPr>
              <w:instrText xml:space="preserve"> PAGEREF _Toc237515750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61048C93" w14:textId="77777777" w:rsidR="00685FA6" w:rsidRPr="00C00F3A" w:rsidRDefault="00685FA6">
          <w:pPr>
            <w:pStyle w:val="TOC2"/>
            <w:tabs>
              <w:tab w:val="right" w:leader="dot" w:pos="9628"/>
            </w:tabs>
            <w:rPr>
              <w:noProof/>
              <w:lang w:val="en-GB"/>
            </w:rPr>
          </w:pPr>
          <w:hyperlink w:anchor="_Toc237515751" w:history="1">
            <w:r w:rsidRPr="00C00F3A">
              <w:rPr>
                <w:rStyle w:val="Hyperlink"/>
                <w:noProof/>
                <w:color w:val="auto"/>
                <w:lang w:val="en-GB"/>
              </w:rPr>
              <w:t>3.1 Cash Conversion Cycle</w:t>
            </w:r>
            <w:r w:rsidRPr="00C00F3A">
              <w:rPr>
                <w:noProof/>
                <w:lang w:val="en-GB"/>
              </w:rPr>
              <w:tab/>
            </w:r>
            <w:r w:rsidRPr="00C00F3A">
              <w:rPr>
                <w:noProof/>
                <w:lang w:val="en-GB"/>
              </w:rPr>
              <w:fldChar w:fldCharType="begin"/>
            </w:r>
            <w:r w:rsidRPr="00C00F3A">
              <w:rPr>
                <w:noProof/>
                <w:lang w:val="en-GB"/>
              </w:rPr>
              <w:instrText xml:space="preserve"> PAGEREF _Toc237515751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0691C989" w14:textId="77777777" w:rsidR="00685FA6" w:rsidRPr="00C00F3A" w:rsidRDefault="00685FA6">
          <w:pPr>
            <w:pStyle w:val="TOC2"/>
            <w:tabs>
              <w:tab w:val="right" w:leader="dot" w:pos="9628"/>
            </w:tabs>
            <w:rPr>
              <w:noProof/>
              <w:lang w:val="en-GB"/>
            </w:rPr>
          </w:pPr>
          <w:hyperlink w:anchor="_Toc237515752" w:history="1">
            <w:r w:rsidRPr="00C00F3A">
              <w:rPr>
                <w:rStyle w:val="Hyperlink"/>
                <w:noProof/>
                <w:color w:val="auto"/>
                <w:lang w:val="en-GB"/>
              </w:rPr>
              <w:t>3.2 Strategies to Improve Liquidity through Working Capital Reform</w:t>
            </w:r>
            <w:r w:rsidRPr="00C00F3A">
              <w:rPr>
                <w:noProof/>
                <w:lang w:val="en-GB"/>
              </w:rPr>
              <w:tab/>
            </w:r>
            <w:r w:rsidRPr="00C00F3A">
              <w:rPr>
                <w:noProof/>
                <w:lang w:val="en-GB"/>
              </w:rPr>
              <w:fldChar w:fldCharType="begin"/>
            </w:r>
            <w:r w:rsidRPr="00C00F3A">
              <w:rPr>
                <w:noProof/>
                <w:lang w:val="en-GB"/>
              </w:rPr>
              <w:instrText xml:space="preserve"> PAGEREF _Toc237515752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21ED2FFD" w14:textId="77777777" w:rsidR="00685FA6" w:rsidRPr="00C00F3A" w:rsidRDefault="00685FA6">
          <w:pPr>
            <w:pStyle w:val="TOC2"/>
            <w:tabs>
              <w:tab w:val="right" w:leader="dot" w:pos="9628"/>
            </w:tabs>
            <w:rPr>
              <w:noProof/>
              <w:lang w:val="en-GB"/>
            </w:rPr>
          </w:pPr>
          <w:hyperlink w:anchor="_Toc237515753" w:history="1">
            <w:r w:rsidRPr="00C00F3A">
              <w:rPr>
                <w:rStyle w:val="Hyperlink"/>
                <w:noProof/>
                <w:color w:val="auto"/>
                <w:lang w:val="en-GB"/>
              </w:rPr>
              <w:t>3.3 Short-term versus Long-term Financing</w:t>
            </w:r>
            <w:r w:rsidRPr="00C00F3A">
              <w:rPr>
                <w:noProof/>
                <w:lang w:val="en-GB"/>
              </w:rPr>
              <w:tab/>
            </w:r>
            <w:r w:rsidRPr="00C00F3A">
              <w:rPr>
                <w:noProof/>
                <w:lang w:val="en-GB"/>
              </w:rPr>
              <w:fldChar w:fldCharType="begin"/>
            </w:r>
            <w:r w:rsidRPr="00C00F3A">
              <w:rPr>
                <w:noProof/>
                <w:lang w:val="en-GB"/>
              </w:rPr>
              <w:instrText xml:space="preserve"> PAGEREF _Toc237515753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2356BEA0" w14:textId="77777777" w:rsidR="00685FA6" w:rsidRPr="00C00F3A" w:rsidRDefault="00685FA6">
          <w:pPr>
            <w:pStyle w:val="TOC1"/>
            <w:tabs>
              <w:tab w:val="right" w:leader="dot" w:pos="9628"/>
            </w:tabs>
            <w:rPr>
              <w:noProof/>
              <w:lang w:val="en-GB"/>
            </w:rPr>
          </w:pPr>
          <w:hyperlink w:anchor="_Toc237515754" w:history="1">
            <w:r w:rsidRPr="00C00F3A">
              <w:rPr>
                <w:rStyle w:val="Hyperlink"/>
                <w:noProof/>
                <w:color w:val="auto"/>
                <w:lang w:val="en-GB"/>
              </w:rPr>
              <w:t>4. Strategic Financial Restructuring Plan</w:t>
            </w:r>
            <w:r w:rsidRPr="00C00F3A">
              <w:rPr>
                <w:noProof/>
                <w:lang w:val="en-GB"/>
              </w:rPr>
              <w:tab/>
            </w:r>
            <w:r w:rsidRPr="00C00F3A">
              <w:rPr>
                <w:noProof/>
                <w:lang w:val="en-GB"/>
              </w:rPr>
              <w:fldChar w:fldCharType="begin"/>
            </w:r>
            <w:r w:rsidRPr="00C00F3A">
              <w:rPr>
                <w:noProof/>
                <w:lang w:val="en-GB"/>
              </w:rPr>
              <w:instrText xml:space="preserve"> PAGEREF _Toc237515754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51DBBF10" w14:textId="77777777" w:rsidR="00685FA6" w:rsidRPr="00C00F3A" w:rsidRDefault="00685FA6">
          <w:pPr>
            <w:pStyle w:val="TOC2"/>
            <w:tabs>
              <w:tab w:val="right" w:leader="dot" w:pos="9628"/>
            </w:tabs>
            <w:rPr>
              <w:noProof/>
              <w:lang w:val="en-GB"/>
            </w:rPr>
          </w:pPr>
          <w:hyperlink w:anchor="_Toc237515755" w:history="1">
            <w:r w:rsidRPr="00C00F3A">
              <w:rPr>
                <w:rStyle w:val="Hyperlink"/>
                <w:noProof/>
                <w:color w:val="auto"/>
                <w:lang w:val="en-GB"/>
              </w:rPr>
              <w:t>4.1 Recommended Restructuring Options</w:t>
            </w:r>
            <w:r w:rsidRPr="00C00F3A">
              <w:rPr>
                <w:noProof/>
                <w:lang w:val="en-GB"/>
              </w:rPr>
              <w:tab/>
            </w:r>
            <w:r w:rsidRPr="00C00F3A">
              <w:rPr>
                <w:noProof/>
                <w:lang w:val="en-GB"/>
              </w:rPr>
              <w:fldChar w:fldCharType="begin"/>
            </w:r>
            <w:r w:rsidRPr="00C00F3A">
              <w:rPr>
                <w:noProof/>
                <w:lang w:val="en-GB"/>
              </w:rPr>
              <w:instrText xml:space="preserve"> PAGEREF _Toc237515755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763DB8D4" w14:textId="77777777" w:rsidR="00685FA6" w:rsidRPr="00C00F3A" w:rsidRDefault="00685FA6">
          <w:pPr>
            <w:pStyle w:val="TOC2"/>
            <w:tabs>
              <w:tab w:val="right" w:leader="dot" w:pos="9628"/>
            </w:tabs>
            <w:rPr>
              <w:noProof/>
              <w:lang w:val="en-GB"/>
            </w:rPr>
          </w:pPr>
          <w:hyperlink w:anchor="_Toc237515756" w:history="1">
            <w:r w:rsidRPr="00C00F3A">
              <w:rPr>
                <w:rStyle w:val="Hyperlink"/>
                <w:noProof/>
                <w:color w:val="auto"/>
                <w:lang w:val="en-GB"/>
              </w:rPr>
              <w:t>4.2 Impact on Shareholder Value, Debt Structure and Operational Flexibility</w:t>
            </w:r>
            <w:r w:rsidRPr="00C00F3A">
              <w:rPr>
                <w:noProof/>
                <w:lang w:val="en-GB"/>
              </w:rPr>
              <w:tab/>
            </w:r>
            <w:r w:rsidRPr="00C00F3A">
              <w:rPr>
                <w:noProof/>
                <w:lang w:val="en-GB"/>
              </w:rPr>
              <w:fldChar w:fldCharType="begin"/>
            </w:r>
            <w:r w:rsidRPr="00C00F3A">
              <w:rPr>
                <w:noProof/>
                <w:lang w:val="en-GB"/>
              </w:rPr>
              <w:instrText xml:space="preserve"> PAGEREF _Toc237515756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38E88C0F" w14:textId="77777777" w:rsidR="00685FA6" w:rsidRPr="00C00F3A" w:rsidRDefault="00685FA6">
          <w:pPr>
            <w:pStyle w:val="TOC2"/>
            <w:tabs>
              <w:tab w:val="right" w:leader="dot" w:pos="9628"/>
            </w:tabs>
            <w:rPr>
              <w:noProof/>
              <w:lang w:val="en-GB"/>
            </w:rPr>
          </w:pPr>
          <w:hyperlink w:anchor="_Toc237515757" w:history="1">
            <w:r w:rsidRPr="00C00F3A">
              <w:rPr>
                <w:rStyle w:val="Hyperlink"/>
                <w:noProof/>
                <w:color w:val="auto"/>
                <w:lang w:val="en-GB"/>
              </w:rPr>
              <w:t>4.3 International and Ethical Considerations</w:t>
            </w:r>
            <w:r w:rsidRPr="00C00F3A">
              <w:rPr>
                <w:noProof/>
                <w:lang w:val="en-GB"/>
              </w:rPr>
              <w:tab/>
            </w:r>
            <w:r w:rsidRPr="00C00F3A">
              <w:rPr>
                <w:noProof/>
                <w:lang w:val="en-GB"/>
              </w:rPr>
              <w:fldChar w:fldCharType="begin"/>
            </w:r>
            <w:r w:rsidRPr="00C00F3A">
              <w:rPr>
                <w:noProof/>
                <w:lang w:val="en-GB"/>
              </w:rPr>
              <w:instrText xml:space="preserve"> PAGEREF _Toc237515757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4C51FCC8" w14:textId="77777777" w:rsidR="00685FA6" w:rsidRPr="00C00F3A" w:rsidRDefault="00685FA6">
          <w:pPr>
            <w:pStyle w:val="TOC1"/>
            <w:tabs>
              <w:tab w:val="right" w:leader="dot" w:pos="9628"/>
            </w:tabs>
            <w:rPr>
              <w:noProof/>
              <w:lang w:val="en-GB"/>
            </w:rPr>
          </w:pPr>
          <w:hyperlink w:anchor="_Toc237515758" w:history="1">
            <w:r w:rsidRPr="00C00F3A">
              <w:rPr>
                <w:rStyle w:val="Hyperlink"/>
                <w:noProof/>
                <w:color w:val="auto"/>
                <w:lang w:val="en-GB"/>
              </w:rPr>
              <w:t>5. Investment Appraisal and Capital Budgeting</w:t>
            </w:r>
            <w:r w:rsidRPr="00C00F3A">
              <w:rPr>
                <w:noProof/>
                <w:lang w:val="en-GB"/>
              </w:rPr>
              <w:tab/>
            </w:r>
            <w:r w:rsidRPr="00C00F3A">
              <w:rPr>
                <w:noProof/>
                <w:lang w:val="en-GB"/>
              </w:rPr>
              <w:fldChar w:fldCharType="begin"/>
            </w:r>
            <w:r w:rsidRPr="00C00F3A">
              <w:rPr>
                <w:noProof/>
                <w:lang w:val="en-GB"/>
              </w:rPr>
              <w:instrText xml:space="preserve"> PAGEREF _Toc237515758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005B5CA0" w14:textId="77777777" w:rsidR="00685FA6" w:rsidRPr="00C00F3A" w:rsidRDefault="00685FA6">
          <w:pPr>
            <w:pStyle w:val="TOC2"/>
            <w:tabs>
              <w:tab w:val="right" w:leader="dot" w:pos="9628"/>
            </w:tabs>
            <w:rPr>
              <w:noProof/>
              <w:lang w:val="en-GB"/>
            </w:rPr>
          </w:pPr>
          <w:hyperlink w:anchor="_Toc237515759" w:history="1">
            <w:r w:rsidRPr="00C00F3A">
              <w:rPr>
                <w:rStyle w:val="Hyperlink"/>
                <w:noProof/>
                <w:color w:val="auto"/>
                <w:lang w:val="en-GB"/>
              </w:rPr>
              <w:t>5.1 Project Descriptions and Assumptions</w:t>
            </w:r>
            <w:r w:rsidRPr="00C00F3A">
              <w:rPr>
                <w:noProof/>
                <w:lang w:val="en-GB"/>
              </w:rPr>
              <w:tab/>
            </w:r>
            <w:r w:rsidRPr="00C00F3A">
              <w:rPr>
                <w:noProof/>
                <w:lang w:val="en-GB"/>
              </w:rPr>
              <w:fldChar w:fldCharType="begin"/>
            </w:r>
            <w:r w:rsidRPr="00C00F3A">
              <w:rPr>
                <w:noProof/>
                <w:lang w:val="en-GB"/>
              </w:rPr>
              <w:instrText xml:space="preserve"> PAGEREF _Toc237515759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4BFD230B" w14:textId="77777777" w:rsidR="00685FA6" w:rsidRPr="00C00F3A" w:rsidRDefault="00685FA6">
          <w:pPr>
            <w:pStyle w:val="TOC2"/>
            <w:tabs>
              <w:tab w:val="right" w:leader="dot" w:pos="9628"/>
            </w:tabs>
            <w:rPr>
              <w:noProof/>
              <w:lang w:val="en-GB"/>
            </w:rPr>
          </w:pPr>
          <w:hyperlink w:anchor="_Toc237515760" w:history="1">
            <w:r w:rsidRPr="00C00F3A">
              <w:rPr>
                <w:rStyle w:val="Hyperlink"/>
                <w:noProof/>
                <w:color w:val="auto"/>
                <w:lang w:val="en-GB"/>
              </w:rPr>
              <w:t>5.2 Appraisal Results</w:t>
            </w:r>
            <w:r w:rsidRPr="00C00F3A">
              <w:rPr>
                <w:noProof/>
                <w:lang w:val="en-GB"/>
              </w:rPr>
              <w:tab/>
            </w:r>
            <w:r w:rsidRPr="00C00F3A">
              <w:rPr>
                <w:noProof/>
                <w:lang w:val="en-GB"/>
              </w:rPr>
              <w:fldChar w:fldCharType="begin"/>
            </w:r>
            <w:r w:rsidRPr="00C00F3A">
              <w:rPr>
                <w:noProof/>
                <w:lang w:val="en-GB"/>
              </w:rPr>
              <w:instrText xml:space="preserve"> PAGEREF _Toc237515760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49362A53" w14:textId="77777777" w:rsidR="00685FA6" w:rsidRPr="00C00F3A" w:rsidRDefault="00685FA6">
          <w:pPr>
            <w:pStyle w:val="TOC2"/>
            <w:tabs>
              <w:tab w:val="right" w:leader="dot" w:pos="9628"/>
            </w:tabs>
            <w:rPr>
              <w:noProof/>
              <w:lang w:val="en-GB"/>
            </w:rPr>
          </w:pPr>
          <w:hyperlink w:anchor="_Toc237515761" w:history="1">
            <w:r w:rsidRPr="00C00F3A">
              <w:rPr>
                <w:rStyle w:val="Hyperlink"/>
                <w:noProof/>
                <w:color w:val="auto"/>
                <w:lang w:val="en-GB"/>
              </w:rPr>
              <w:t>5.3 Recommendation and Link to Company Performance</w:t>
            </w:r>
            <w:r w:rsidRPr="00C00F3A">
              <w:rPr>
                <w:noProof/>
                <w:lang w:val="en-GB"/>
              </w:rPr>
              <w:tab/>
            </w:r>
            <w:r w:rsidRPr="00C00F3A">
              <w:rPr>
                <w:noProof/>
                <w:lang w:val="en-GB"/>
              </w:rPr>
              <w:fldChar w:fldCharType="begin"/>
            </w:r>
            <w:r w:rsidRPr="00C00F3A">
              <w:rPr>
                <w:noProof/>
                <w:lang w:val="en-GB"/>
              </w:rPr>
              <w:instrText xml:space="preserve"> PAGEREF _Toc237515761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3E028566" w14:textId="77777777" w:rsidR="00685FA6" w:rsidRPr="00C00F3A" w:rsidRDefault="00685FA6">
          <w:pPr>
            <w:pStyle w:val="TOC2"/>
            <w:tabs>
              <w:tab w:val="right" w:leader="dot" w:pos="9628"/>
            </w:tabs>
            <w:rPr>
              <w:noProof/>
              <w:lang w:val="en-GB"/>
            </w:rPr>
          </w:pPr>
          <w:hyperlink w:anchor="_Toc237515762" w:history="1">
            <w:r w:rsidRPr="00C00F3A">
              <w:rPr>
                <w:rStyle w:val="Hyperlink"/>
                <w:noProof/>
                <w:color w:val="auto"/>
                <w:lang w:val="en-GB"/>
              </w:rPr>
              <w:t>5.4 Capital Rationing</w:t>
            </w:r>
            <w:r w:rsidRPr="00C00F3A">
              <w:rPr>
                <w:noProof/>
                <w:lang w:val="en-GB"/>
              </w:rPr>
              <w:tab/>
            </w:r>
            <w:r w:rsidRPr="00C00F3A">
              <w:rPr>
                <w:noProof/>
                <w:lang w:val="en-GB"/>
              </w:rPr>
              <w:fldChar w:fldCharType="begin"/>
            </w:r>
            <w:r w:rsidRPr="00C00F3A">
              <w:rPr>
                <w:noProof/>
                <w:lang w:val="en-GB"/>
              </w:rPr>
              <w:instrText xml:space="preserve"> PAGEREF _Toc237515762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01C46C54" w14:textId="77777777" w:rsidR="00685FA6" w:rsidRPr="00C00F3A" w:rsidRDefault="00685FA6">
          <w:pPr>
            <w:pStyle w:val="TOC1"/>
            <w:tabs>
              <w:tab w:val="right" w:leader="dot" w:pos="9628"/>
            </w:tabs>
            <w:rPr>
              <w:noProof/>
              <w:lang w:val="en-GB"/>
            </w:rPr>
          </w:pPr>
          <w:hyperlink w:anchor="_Toc237515763" w:history="1">
            <w:r w:rsidRPr="00C00F3A">
              <w:rPr>
                <w:rStyle w:val="Hyperlink"/>
                <w:noProof/>
                <w:color w:val="auto"/>
                <w:lang w:val="en-GB"/>
              </w:rPr>
              <w:t>6. Critical Reflection on AI Usage</w:t>
            </w:r>
            <w:r w:rsidRPr="00C00F3A">
              <w:rPr>
                <w:noProof/>
                <w:lang w:val="en-GB"/>
              </w:rPr>
              <w:tab/>
            </w:r>
            <w:r w:rsidRPr="00C00F3A">
              <w:rPr>
                <w:noProof/>
                <w:lang w:val="en-GB"/>
              </w:rPr>
              <w:fldChar w:fldCharType="begin"/>
            </w:r>
            <w:r w:rsidRPr="00C00F3A">
              <w:rPr>
                <w:noProof/>
                <w:lang w:val="en-GB"/>
              </w:rPr>
              <w:instrText xml:space="preserve"> PAGEREF _Toc237515763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677C96EC" w14:textId="77777777" w:rsidR="00685FA6" w:rsidRPr="00C00F3A" w:rsidRDefault="00685FA6">
          <w:pPr>
            <w:pStyle w:val="TOC2"/>
            <w:tabs>
              <w:tab w:val="right" w:leader="dot" w:pos="9628"/>
            </w:tabs>
            <w:rPr>
              <w:noProof/>
              <w:lang w:val="en-GB"/>
            </w:rPr>
          </w:pPr>
          <w:hyperlink w:anchor="_Toc237515764" w:history="1">
            <w:r w:rsidRPr="00C00F3A">
              <w:rPr>
                <w:rStyle w:val="Hyperlink"/>
                <w:noProof/>
                <w:color w:val="auto"/>
                <w:lang w:val="en-GB"/>
              </w:rPr>
              <w:t>6.1 Tool Disclosure</w:t>
            </w:r>
            <w:r w:rsidRPr="00C00F3A">
              <w:rPr>
                <w:noProof/>
                <w:lang w:val="en-GB"/>
              </w:rPr>
              <w:tab/>
            </w:r>
            <w:r w:rsidRPr="00C00F3A">
              <w:rPr>
                <w:noProof/>
                <w:lang w:val="en-GB"/>
              </w:rPr>
              <w:fldChar w:fldCharType="begin"/>
            </w:r>
            <w:r w:rsidRPr="00C00F3A">
              <w:rPr>
                <w:noProof/>
                <w:lang w:val="en-GB"/>
              </w:rPr>
              <w:instrText xml:space="preserve"> PAGEREF _Toc237515764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31B6D5B9" w14:textId="77777777" w:rsidR="00685FA6" w:rsidRPr="00C00F3A" w:rsidRDefault="00685FA6">
          <w:pPr>
            <w:pStyle w:val="TOC2"/>
            <w:tabs>
              <w:tab w:val="right" w:leader="dot" w:pos="9628"/>
            </w:tabs>
            <w:rPr>
              <w:noProof/>
              <w:lang w:val="en-GB"/>
            </w:rPr>
          </w:pPr>
          <w:hyperlink w:anchor="_Toc237515765" w:history="1">
            <w:r w:rsidRPr="00C00F3A">
              <w:rPr>
                <w:rStyle w:val="Hyperlink"/>
                <w:noProof/>
                <w:color w:val="auto"/>
                <w:lang w:val="en-GB"/>
              </w:rPr>
              <w:t>6.2 Critical Evaluation of AI Output</w:t>
            </w:r>
            <w:r w:rsidRPr="00C00F3A">
              <w:rPr>
                <w:noProof/>
                <w:lang w:val="en-GB"/>
              </w:rPr>
              <w:tab/>
            </w:r>
            <w:r w:rsidRPr="00C00F3A">
              <w:rPr>
                <w:noProof/>
                <w:lang w:val="en-GB"/>
              </w:rPr>
              <w:fldChar w:fldCharType="begin"/>
            </w:r>
            <w:r w:rsidRPr="00C00F3A">
              <w:rPr>
                <w:noProof/>
                <w:lang w:val="en-GB"/>
              </w:rPr>
              <w:instrText xml:space="preserve"> PAGEREF _Toc237515765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4E31D999" w14:textId="77777777" w:rsidR="00685FA6" w:rsidRPr="00C00F3A" w:rsidRDefault="00685FA6">
          <w:pPr>
            <w:pStyle w:val="TOC2"/>
            <w:tabs>
              <w:tab w:val="right" w:leader="dot" w:pos="9628"/>
            </w:tabs>
            <w:rPr>
              <w:noProof/>
              <w:lang w:val="en-GB"/>
            </w:rPr>
          </w:pPr>
          <w:hyperlink w:anchor="_Toc237515766" w:history="1">
            <w:r w:rsidRPr="00C00F3A">
              <w:rPr>
                <w:rStyle w:val="Hyperlink"/>
                <w:noProof/>
                <w:color w:val="auto"/>
                <w:lang w:val="en-GB"/>
              </w:rPr>
              <w:t>6.3 Contribution Analysis</w:t>
            </w:r>
            <w:r w:rsidRPr="00C00F3A">
              <w:rPr>
                <w:noProof/>
                <w:lang w:val="en-GB"/>
              </w:rPr>
              <w:tab/>
            </w:r>
            <w:r w:rsidRPr="00C00F3A">
              <w:rPr>
                <w:noProof/>
                <w:lang w:val="en-GB"/>
              </w:rPr>
              <w:fldChar w:fldCharType="begin"/>
            </w:r>
            <w:r w:rsidRPr="00C00F3A">
              <w:rPr>
                <w:noProof/>
                <w:lang w:val="en-GB"/>
              </w:rPr>
              <w:instrText xml:space="preserve"> PAGEREF _Toc237515766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69758FAE" w14:textId="77777777" w:rsidR="00685FA6" w:rsidRPr="00C00F3A" w:rsidRDefault="00685FA6">
          <w:pPr>
            <w:pStyle w:val="TOC2"/>
            <w:tabs>
              <w:tab w:val="right" w:leader="dot" w:pos="9628"/>
            </w:tabs>
            <w:rPr>
              <w:noProof/>
              <w:lang w:val="en-GB"/>
            </w:rPr>
          </w:pPr>
          <w:hyperlink w:anchor="_Toc237515767" w:history="1">
            <w:r w:rsidRPr="00C00F3A">
              <w:rPr>
                <w:rStyle w:val="Hyperlink"/>
                <w:noProof/>
                <w:color w:val="auto"/>
                <w:lang w:val="en-GB"/>
              </w:rPr>
              <w:t>6.4 Ethical and Professional Reflection</w:t>
            </w:r>
            <w:r w:rsidRPr="00C00F3A">
              <w:rPr>
                <w:noProof/>
                <w:lang w:val="en-GB"/>
              </w:rPr>
              <w:tab/>
            </w:r>
            <w:r w:rsidRPr="00C00F3A">
              <w:rPr>
                <w:noProof/>
                <w:lang w:val="en-GB"/>
              </w:rPr>
              <w:fldChar w:fldCharType="begin"/>
            </w:r>
            <w:r w:rsidRPr="00C00F3A">
              <w:rPr>
                <w:noProof/>
                <w:lang w:val="en-GB"/>
              </w:rPr>
              <w:instrText xml:space="preserve"> PAGEREF _Toc237515767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5E1602E4" w14:textId="77777777" w:rsidR="00685FA6" w:rsidRPr="00C00F3A" w:rsidRDefault="00685FA6">
          <w:pPr>
            <w:pStyle w:val="TOC1"/>
            <w:tabs>
              <w:tab w:val="right" w:leader="dot" w:pos="9628"/>
            </w:tabs>
            <w:rPr>
              <w:noProof/>
              <w:lang w:val="en-GB"/>
            </w:rPr>
          </w:pPr>
          <w:hyperlink w:anchor="_Toc237515768" w:history="1">
            <w:r w:rsidRPr="00C00F3A">
              <w:rPr>
                <w:rStyle w:val="Hyperlink"/>
                <w:noProof/>
                <w:color w:val="auto"/>
                <w:lang w:val="en-GB"/>
              </w:rPr>
              <w:t>7. Conclusion</w:t>
            </w:r>
            <w:r w:rsidRPr="00C00F3A">
              <w:rPr>
                <w:noProof/>
                <w:lang w:val="en-GB"/>
              </w:rPr>
              <w:tab/>
            </w:r>
            <w:r w:rsidRPr="00C00F3A">
              <w:rPr>
                <w:noProof/>
                <w:lang w:val="en-GB"/>
              </w:rPr>
              <w:fldChar w:fldCharType="begin"/>
            </w:r>
            <w:r w:rsidRPr="00C00F3A">
              <w:rPr>
                <w:noProof/>
                <w:lang w:val="en-GB"/>
              </w:rPr>
              <w:instrText xml:space="preserve"> PAGEREF _Toc237515768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0D79C843" w14:textId="77777777" w:rsidR="00685FA6" w:rsidRPr="00C00F3A" w:rsidRDefault="00685FA6">
          <w:pPr>
            <w:pStyle w:val="TOC1"/>
            <w:tabs>
              <w:tab w:val="right" w:leader="dot" w:pos="9628"/>
            </w:tabs>
            <w:rPr>
              <w:noProof/>
              <w:lang w:val="en-GB"/>
            </w:rPr>
          </w:pPr>
          <w:hyperlink w:anchor="_Toc237515769" w:history="1">
            <w:r w:rsidRPr="00C00F3A">
              <w:rPr>
                <w:rStyle w:val="Hyperlink"/>
                <w:noProof/>
                <w:color w:val="auto"/>
                <w:lang w:val="en-GB"/>
              </w:rPr>
              <w:t>References</w:t>
            </w:r>
            <w:r w:rsidRPr="00C00F3A">
              <w:rPr>
                <w:noProof/>
                <w:lang w:val="en-GB"/>
              </w:rPr>
              <w:tab/>
            </w:r>
            <w:r w:rsidRPr="00C00F3A">
              <w:rPr>
                <w:noProof/>
                <w:lang w:val="en-GB"/>
              </w:rPr>
              <w:fldChar w:fldCharType="begin"/>
            </w:r>
            <w:r w:rsidRPr="00C00F3A">
              <w:rPr>
                <w:noProof/>
                <w:lang w:val="en-GB"/>
              </w:rPr>
              <w:instrText xml:space="preserve"> PAGEREF _Toc237515769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1404673E" w14:textId="77777777" w:rsidR="00685FA6" w:rsidRPr="00C00F3A" w:rsidRDefault="00685FA6">
          <w:pPr>
            <w:pStyle w:val="TOC1"/>
            <w:tabs>
              <w:tab w:val="right" w:leader="dot" w:pos="9628"/>
            </w:tabs>
            <w:rPr>
              <w:noProof/>
              <w:lang w:val="en-GB"/>
            </w:rPr>
          </w:pPr>
          <w:hyperlink w:anchor="_Toc237515770" w:history="1">
            <w:r w:rsidRPr="00C00F3A">
              <w:rPr>
                <w:rStyle w:val="Hyperlink"/>
                <w:noProof/>
                <w:color w:val="auto"/>
                <w:lang w:val="en-GB"/>
              </w:rPr>
              <w:t>Appendices</w:t>
            </w:r>
            <w:r w:rsidRPr="00C00F3A">
              <w:rPr>
                <w:noProof/>
                <w:lang w:val="en-GB"/>
              </w:rPr>
              <w:tab/>
            </w:r>
            <w:r w:rsidRPr="00C00F3A">
              <w:rPr>
                <w:noProof/>
                <w:lang w:val="en-GB"/>
              </w:rPr>
              <w:fldChar w:fldCharType="begin"/>
            </w:r>
            <w:r w:rsidRPr="00C00F3A">
              <w:rPr>
                <w:noProof/>
                <w:lang w:val="en-GB"/>
              </w:rPr>
              <w:instrText xml:space="preserve"> PAGEREF _Toc237515770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07F97225" w14:textId="77777777" w:rsidR="00685FA6" w:rsidRPr="00C00F3A" w:rsidRDefault="00685FA6">
          <w:pPr>
            <w:pStyle w:val="TOC2"/>
            <w:tabs>
              <w:tab w:val="right" w:leader="dot" w:pos="9628"/>
            </w:tabs>
            <w:rPr>
              <w:noProof/>
              <w:lang w:val="en-GB"/>
            </w:rPr>
          </w:pPr>
          <w:hyperlink w:anchor="_Toc237515771" w:history="1">
            <w:r w:rsidRPr="00C00F3A">
              <w:rPr>
                <w:rStyle w:val="Hyperlink"/>
                <w:noProof/>
                <w:color w:val="auto"/>
                <w:lang w:val="en-GB"/>
              </w:rPr>
              <w:t>Appendix A – Detailed Ratio Formulae</w:t>
            </w:r>
            <w:r w:rsidRPr="00C00F3A">
              <w:rPr>
                <w:noProof/>
                <w:lang w:val="en-GB"/>
              </w:rPr>
              <w:tab/>
            </w:r>
            <w:r w:rsidRPr="00C00F3A">
              <w:rPr>
                <w:noProof/>
                <w:lang w:val="en-GB"/>
              </w:rPr>
              <w:fldChar w:fldCharType="begin"/>
            </w:r>
            <w:r w:rsidRPr="00C00F3A">
              <w:rPr>
                <w:noProof/>
                <w:lang w:val="en-GB"/>
              </w:rPr>
              <w:instrText xml:space="preserve"> PAGEREF _Toc237515771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079CA6E6" w14:textId="77777777" w:rsidR="00685FA6" w:rsidRPr="00C00F3A" w:rsidRDefault="00685FA6">
          <w:pPr>
            <w:pStyle w:val="TOC2"/>
            <w:tabs>
              <w:tab w:val="right" w:leader="dot" w:pos="9628"/>
            </w:tabs>
            <w:rPr>
              <w:noProof/>
              <w:lang w:val="en-GB"/>
            </w:rPr>
          </w:pPr>
          <w:hyperlink w:anchor="_Toc237515772" w:history="1">
            <w:r w:rsidRPr="00C00F3A">
              <w:rPr>
                <w:rStyle w:val="Hyperlink"/>
                <w:noProof/>
                <w:color w:val="auto"/>
                <w:lang w:val="en-GB"/>
              </w:rPr>
              <w:t>Appendix B – Investment Appraisal Detailed Calculations</w:t>
            </w:r>
            <w:r w:rsidRPr="00C00F3A">
              <w:rPr>
                <w:noProof/>
                <w:lang w:val="en-GB"/>
              </w:rPr>
              <w:tab/>
            </w:r>
            <w:r w:rsidRPr="00C00F3A">
              <w:rPr>
                <w:noProof/>
                <w:lang w:val="en-GB"/>
              </w:rPr>
              <w:fldChar w:fldCharType="begin"/>
            </w:r>
            <w:r w:rsidRPr="00C00F3A">
              <w:rPr>
                <w:noProof/>
                <w:lang w:val="en-GB"/>
              </w:rPr>
              <w:instrText xml:space="preserve"> PAGEREF _Toc237515772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1FBB7489" w14:textId="77777777" w:rsidR="00685FA6" w:rsidRPr="00C00F3A" w:rsidRDefault="00685FA6">
          <w:pPr>
            <w:pStyle w:val="TOC2"/>
            <w:tabs>
              <w:tab w:val="right" w:leader="dot" w:pos="9628"/>
            </w:tabs>
            <w:rPr>
              <w:noProof/>
              <w:lang w:val="en-GB"/>
            </w:rPr>
          </w:pPr>
          <w:hyperlink w:anchor="_Toc237515773" w:history="1">
            <w:r w:rsidRPr="00C00F3A">
              <w:rPr>
                <w:rStyle w:val="Hyperlink"/>
                <w:noProof/>
                <w:color w:val="auto"/>
                <w:lang w:val="en-GB"/>
              </w:rPr>
              <w:t>Appendix C – Statement of Authorship and AI Use Acknowledgement</w:t>
            </w:r>
            <w:r w:rsidRPr="00C00F3A">
              <w:rPr>
                <w:noProof/>
                <w:lang w:val="en-GB"/>
              </w:rPr>
              <w:tab/>
            </w:r>
            <w:r w:rsidRPr="00C00F3A">
              <w:rPr>
                <w:noProof/>
                <w:lang w:val="en-GB"/>
              </w:rPr>
              <w:fldChar w:fldCharType="begin"/>
            </w:r>
            <w:r w:rsidRPr="00C00F3A">
              <w:rPr>
                <w:noProof/>
                <w:lang w:val="en-GB"/>
              </w:rPr>
              <w:instrText xml:space="preserve"> PAGEREF _Toc237515773 \h </w:instrText>
            </w:r>
            <w:r w:rsidRPr="00C00F3A">
              <w:rPr>
                <w:noProof/>
                <w:lang w:val="en-GB"/>
              </w:rPr>
            </w:r>
            <w:r w:rsidRPr="00C00F3A">
              <w:rPr>
                <w:noProof/>
                <w:lang w:val="en-GB"/>
              </w:rPr>
              <w:fldChar w:fldCharType="separate"/>
            </w:r>
            <w:r w:rsidRPr="00C00F3A">
              <w:rPr>
                <w:noProof/>
                <w:lang w:val="en-GB"/>
              </w:rPr>
              <w:t>1</w:t>
            </w:r>
            <w:r w:rsidRPr="00C00F3A">
              <w:rPr>
                <w:noProof/>
                <w:lang w:val="en-GB"/>
              </w:rPr>
              <w:fldChar w:fldCharType="end"/>
            </w:r>
          </w:hyperlink>
        </w:p>
        <w:p w14:paraId="75728156" w14:textId="77777777" w:rsidR="00140083" w:rsidRPr="00C00F3A" w:rsidRDefault="00176BB0">
          <w:pPr>
            <w:rPr>
              <w:lang w:val="en-GB"/>
            </w:rPr>
          </w:pPr>
          <w:r w:rsidRPr="00C00F3A">
            <w:rPr>
              <w:lang w:val="en-GB"/>
            </w:rPr>
            <w:fldChar w:fldCharType="end"/>
          </w:r>
        </w:p>
      </w:sdtContent>
    </w:sdt>
    <w:p w14:paraId="44D8AAB7" w14:textId="77777777" w:rsidR="00140083" w:rsidRPr="00C00F3A" w:rsidRDefault="00140083">
      <w:pPr>
        <w:spacing w:after="200"/>
        <w:rPr>
          <w:lang w:val="en-GB"/>
        </w:rPr>
      </w:pPr>
    </w:p>
    <w:p w14:paraId="4D64BBF6" w14:textId="77777777" w:rsidR="00140083" w:rsidRPr="00C00F3A" w:rsidRDefault="00176BB0">
      <w:pPr>
        <w:pStyle w:val="Heading1"/>
        <w:rPr>
          <w:color w:val="auto"/>
          <w:lang w:val="en-GB"/>
        </w:rPr>
      </w:pPr>
      <w:bookmarkStart w:id="1" w:name="_Toc237515739"/>
      <w:r w:rsidRPr="00C00F3A">
        <w:rPr>
          <w:color w:val="auto"/>
          <w:lang w:val="en-GB"/>
        </w:rPr>
        <w:t>List of Tables and Figures</w:t>
      </w:r>
      <w:bookmarkEnd w:id="1"/>
    </w:p>
    <w:p w14:paraId="2C8B9CEB" w14:textId="77777777" w:rsidR="00140083" w:rsidRPr="00C00F3A" w:rsidRDefault="00176BB0">
      <w:pPr>
        <w:pStyle w:val="Heading3"/>
        <w:rPr>
          <w:color w:val="auto"/>
          <w:lang w:val="en-GB"/>
        </w:rPr>
      </w:pPr>
      <w:bookmarkStart w:id="2" w:name="_Toc237515740"/>
      <w:r w:rsidRPr="00C00F3A">
        <w:rPr>
          <w:color w:val="auto"/>
          <w:lang w:val="en-GB"/>
        </w:rPr>
        <w:t>Tables</w:t>
      </w:r>
      <w:bookmarkEnd w:id="2"/>
    </w:p>
    <w:p w14:paraId="030FA0F7" w14:textId="77777777" w:rsidR="00140083" w:rsidRPr="00C00F3A" w:rsidRDefault="00176BB0">
      <w:pPr>
        <w:spacing w:after="160" w:line="360" w:lineRule="auto"/>
        <w:jc w:val="both"/>
        <w:rPr>
          <w:lang w:val="en-GB"/>
        </w:rPr>
      </w:pPr>
      <w:r w:rsidRPr="00C00F3A">
        <w:rPr>
          <w:lang w:val="en-GB"/>
        </w:rPr>
        <w:t>Table 1: Key Financial Highlights (FY21–FY25)</w:t>
      </w:r>
    </w:p>
    <w:p w14:paraId="099EE30C" w14:textId="77777777" w:rsidR="00140083" w:rsidRPr="00C00F3A" w:rsidRDefault="00176BB0">
      <w:pPr>
        <w:spacing w:after="160" w:line="360" w:lineRule="auto"/>
        <w:jc w:val="both"/>
        <w:rPr>
          <w:lang w:val="en-GB"/>
        </w:rPr>
      </w:pPr>
      <w:r w:rsidRPr="00C00F3A">
        <w:rPr>
          <w:lang w:val="en-GB"/>
        </w:rPr>
        <w:t>Table 2: Profitability Ratios (FY21–FY25)</w:t>
      </w:r>
    </w:p>
    <w:p w14:paraId="2F79097F" w14:textId="77777777" w:rsidR="00140083" w:rsidRPr="00C00F3A" w:rsidRDefault="00176BB0">
      <w:pPr>
        <w:spacing w:after="160" w:line="360" w:lineRule="auto"/>
        <w:jc w:val="both"/>
        <w:rPr>
          <w:lang w:val="en-GB"/>
        </w:rPr>
      </w:pPr>
      <w:r w:rsidRPr="00C00F3A">
        <w:rPr>
          <w:lang w:val="en-GB"/>
        </w:rPr>
        <w:t>Table 3: Liquidity Ratios (FY21–FY25)</w:t>
      </w:r>
    </w:p>
    <w:p w14:paraId="516E1834" w14:textId="77777777" w:rsidR="00140083" w:rsidRPr="00C00F3A" w:rsidRDefault="00176BB0">
      <w:pPr>
        <w:spacing w:after="160" w:line="360" w:lineRule="auto"/>
        <w:jc w:val="both"/>
        <w:rPr>
          <w:lang w:val="en-GB"/>
        </w:rPr>
      </w:pPr>
      <w:r w:rsidRPr="00C00F3A">
        <w:rPr>
          <w:lang w:val="en-GB"/>
        </w:rPr>
        <w:t>Table 4: Efficiency Ratios (FY21–FY25)</w:t>
      </w:r>
    </w:p>
    <w:p w14:paraId="07A37400" w14:textId="77777777" w:rsidR="00140083" w:rsidRPr="00C00F3A" w:rsidRDefault="00176BB0">
      <w:pPr>
        <w:spacing w:after="160" w:line="360" w:lineRule="auto"/>
        <w:jc w:val="both"/>
        <w:rPr>
          <w:lang w:val="en-GB"/>
        </w:rPr>
      </w:pPr>
      <w:r w:rsidRPr="00C00F3A">
        <w:rPr>
          <w:lang w:val="en-GB"/>
        </w:rPr>
        <w:t>Table 5: Gearing and Coverage Ratios (FY21–FY25)</w:t>
      </w:r>
    </w:p>
    <w:p w14:paraId="24A5CB6A" w14:textId="77777777" w:rsidR="00140083" w:rsidRPr="00C00F3A" w:rsidRDefault="00176BB0">
      <w:pPr>
        <w:spacing w:after="160" w:line="360" w:lineRule="auto"/>
        <w:jc w:val="both"/>
        <w:rPr>
          <w:lang w:val="en-GB"/>
        </w:rPr>
      </w:pPr>
      <w:r w:rsidRPr="00C00F3A">
        <w:rPr>
          <w:lang w:val="en-GB"/>
        </w:rPr>
        <w:t>Table 6: Cash Conversion Cycle Components (FY21–FY25)</w:t>
      </w:r>
    </w:p>
    <w:p w14:paraId="077969D1" w14:textId="77777777" w:rsidR="00140083" w:rsidRPr="00C00F3A" w:rsidRDefault="00176BB0">
      <w:pPr>
        <w:spacing w:after="160" w:line="360" w:lineRule="auto"/>
        <w:jc w:val="both"/>
        <w:rPr>
          <w:lang w:val="en-GB"/>
        </w:rPr>
      </w:pPr>
      <w:r w:rsidRPr="00C00F3A">
        <w:rPr>
          <w:lang w:val="en-GB"/>
        </w:rPr>
        <w:t>Table 7: Investment Appraisal Summary – Projects A, B and C</w:t>
      </w:r>
    </w:p>
    <w:p w14:paraId="57DD3544" w14:textId="77777777" w:rsidR="00140083" w:rsidRPr="00C00F3A" w:rsidRDefault="00176BB0">
      <w:pPr>
        <w:spacing w:after="160" w:line="360" w:lineRule="auto"/>
        <w:jc w:val="both"/>
        <w:rPr>
          <w:lang w:val="en-GB"/>
        </w:rPr>
      </w:pPr>
      <w:r w:rsidRPr="00C00F3A">
        <w:rPr>
          <w:lang w:val="en-GB"/>
        </w:rPr>
        <w:t>Table 8: Capital Rationing Combinations (Max £100m)</w:t>
      </w:r>
    </w:p>
    <w:p w14:paraId="5C515056" w14:textId="77777777" w:rsidR="00140083" w:rsidRPr="00C00F3A" w:rsidRDefault="00176BB0">
      <w:pPr>
        <w:pStyle w:val="Heading3"/>
        <w:rPr>
          <w:color w:val="auto"/>
          <w:lang w:val="en-GB"/>
        </w:rPr>
      </w:pPr>
      <w:bookmarkStart w:id="3" w:name="_Toc237515741"/>
      <w:r w:rsidRPr="00C00F3A">
        <w:rPr>
          <w:color w:val="auto"/>
          <w:lang w:val="en-GB"/>
        </w:rPr>
        <w:t>Figures</w:t>
      </w:r>
      <w:bookmarkEnd w:id="3"/>
    </w:p>
    <w:p w14:paraId="3683DCE4" w14:textId="77777777" w:rsidR="00140083" w:rsidRPr="00C00F3A" w:rsidRDefault="00176BB0">
      <w:pPr>
        <w:spacing w:after="160" w:line="360" w:lineRule="auto"/>
        <w:jc w:val="both"/>
        <w:rPr>
          <w:lang w:val="en-GB"/>
        </w:rPr>
      </w:pPr>
      <w:r w:rsidRPr="00C00F3A">
        <w:rPr>
          <w:lang w:val="en-GB"/>
        </w:rPr>
        <w:t>Figure 1: Revenue, Operating Profit and Adjusted EBITDA Trend</w:t>
      </w:r>
    </w:p>
    <w:p w14:paraId="7BBDF502" w14:textId="77777777" w:rsidR="00140083" w:rsidRPr="00C00F3A" w:rsidRDefault="00176BB0">
      <w:pPr>
        <w:spacing w:after="160" w:line="360" w:lineRule="auto"/>
        <w:jc w:val="both"/>
        <w:rPr>
          <w:lang w:val="en-GB"/>
        </w:rPr>
      </w:pPr>
      <w:r w:rsidRPr="00C00F3A">
        <w:rPr>
          <w:lang w:val="en-GB"/>
        </w:rPr>
        <w:t>Figure 2: Liquidity Ratios Trend</w:t>
      </w:r>
    </w:p>
    <w:p w14:paraId="416D5A4B" w14:textId="77777777" w:rsidR="00140083" w:rsidRPr="00C00F3A" w:rsidRDefault="00176BB0">
      <w:pPr>
        <w:spacing w:after="160" w:line="360" w:lineRule="auto"/>
        <w:jc w:val="both"/>
        <w:rPr>
          <w:lang w:val="en-GB"/>
        </w:rPr>
      </w:pPr>
      <w:r w:rsidRPr="00C00F3A">
        <w:rPr>
          <w:lang w:val="en-GB"/>
        </w:rPr>
        <w:t>Figure 3: Cash Conversion Cycle Trend</w:t>
      </w:r>
    </w:p>
    <w:p w14:paraId="1B2DBFCC" w14:textId="77777777" w:rsidR="00140083" w:rsidRPr="00C00F3A" w:rsidRDefault="00176BB0">
      <w:pPr>
        <w:rPr>
          <w:lang w:val="en-GB"/>
        </w:rPr>
      </w:pPr>
      <w:r w:rsidRPr="00C00F3A">
        <w:rPr>
          <w:lang w:val="en-GB"/>
        </w:rPr>
        <w:br w:type="page"/>
      </w:r>
    </w:p>
    <w:p w14:paraId="4523B2B3" w14:textId="77777777" w:rsidR="00140083" w:rsidRPr="00C00F3A" w:rsidRDefault="00176BB0">
      <w:pPr>
        <w:pStyle w:val="Heading1"/>
        <w:rPr>
          <w:color w:val="auto"/>
          <w:lang w:val="en-GB"/>
        </w:rPr>
      </w:pPr>
      <w:bookmarkStart w:id="4" w:name="_Toc237515742"/>
      <w:r w:rsidRPr="00C00F3A">
        <w:rPr>
          <w:color w:val="auto"/>
          <w:lang w:val="en-GB"/>
        </w:rPr>
        <w:lastRenderedPageBreak/>
        <w:t>1. Introduction</w:t>
      </w:r>
      <w:bookmarkEnd w:id="4"/>
    </w:p>
    <w:p w14:paraId="62C1BD1F" w14:textId="77777777" w:rsidR="00685FA6" w:rsidRPr="00C00F3A" w:rsidRDefault="00685FA6" w:rsidP="00685FA6">
      <w:pPr>
        <w:spacing w:after="160" w:line="360" w:lineRule="auto"/>
        <w:jc w:val="both"/>
        <w:rPr>
          <w:lang w:val="en-GB"/>
        </w:rPr>
      </w:pPr>
      <w:r w:rsidRPr="00C00F3A">
        <w:rPr>
          <w:lang w:val="en-GB"/>
        </w:rPr>
        <w:t>This report is being written in my capacity as Chief Financial Officer of Wolseley Group Holdings Limited ("Wolseley" or "the Group"). Wolseley is one of the leading UK specialist distributors of plumbing, heating, cooling and related products, with a national branch network and servicing trade customers in residential, commercial and industrial markets. After its buyout by Clayton, Dubilier &amp; Rice (CD&amp;R) in 2021, Wolseley has experienced significant change despite operating in a difficult macroeconomic environment with high interest rates, construction industry weakness and rising costs.</w:t>
      </w:r>
    </w:p>
    <w:p w14:paraId="3D812DF2" w14:textId="77777777" w:rsidR="00685FA6" w:rsidRPr="00C00F3A" w:rsidRDefault="00685FA6" w:rsidP="00685FA6">
      <w:pPr>
        <w:spacing w:after="160" w:line="360" w:lineRule="auto"/>
        <w:jc w:val="both"/>
        <w:rPr>
          <w:lang w:val="en-GB"/>
        </w:rPr>
      </w:pPr>
      <w:r w:rsidRPr="00C00F3A">
        <w:rPr>
          <w:lang w:val="en-GB"/>
        </w:rPr>
        <w:t>The Board has tasked me to carry out a full evaluation of the financial performance of the Group during the five years ended 31 July 2025, identifying the key financial and operational problems facing the Group and developing an overall financial strategy. This report seeks to meet five different but related objectives; namely, to conduct a thorough financial assessment; examine working capital management; develop a financial strategy for restructuring; appraise three different capital projects within capital rationing restrictions; and critically evaluate the use of artificial intelligence in developing this analysis.</w:t>
      </w:r>
    </w:p>
    <w:p w14:paraId="447501E7" w14:textId="1FCC7508" w:rsidR="00140083" w:rsidRPr="00C00F3A" w:rsidRDefault="00685FA6" w:rsidP="00685FA6">
      <w:pPr>
        <w:spacing w:after="160" w:line="360" w:lineRule="auto"/>
        <w:jc w:val="both"/>
        <w:rPr>
          <w:lang w:val="en-GB"/>
        </w:rPr>
      </w:pPr>
      <w:r w:rsidRPr="00C00F3A">
        <w:rPr>
          <w:lang w:val="en-GB"/>
        </w:rPr>
        <w:t>Financial information has been obtained from the audited annual reports and financial statements of the Group for the five-year period ended 31 July 2021 to 31 July 2025. The calculation of ratios follows common academic and professional practice. Comparisons with the wider industry will be made using data publicly available from other listed UK builders' merchants and distribution companies, such as Travis Perkins plc and Grafton Group plc.</w:t>
      </w:r>
    </w:p>
    <w:p w14:paraId="57D6DDF9" w14:textId="77777777" w:rsidR="00140083" w:rsidRPr="00C00F3A" w:rsidRDefault="00176BB0">
      <w:pPr>
        <w:pStyle w:val="Heading1"/>
        <w:rPr>
          <w:color w:val="auto"/>
          <w:lang w:val="en-GB"/>
        </w:rPr>
      </w:pPr>
      <w:bookmarkStart w:id="5" w:name="_Toc237515743"/>
      <w:r w:rsidRPr="00C00F3A">
        <w:rPr>
          <w:color w:val="auto"/>
          <w:lang w:val="en-GB"/>
        </w:rPr>
        <w:t>2. Financial Health Check</w:t>
      </w:r>
      <w:bookmarkEnd w:id="5"/>
    </w:p>
    <w:p w14:paraId="690E783D" w14:textId="77777777" w:rsidR="00140083" w:rsidRPr="00C00F3A" w:rsidRDefault="00176BB0">
      <w:pPr>
        <w:pStyle w:val="Heading2"/>
        <w:rPr>
          <w:color w:val="auto"/>
          <w:lang w:val="en-GB"/>
        </w:rPr>
      </w:pPr>
      <w:bookmarkStart w:id="6" w:name="_Toc237515744"/>
      <w:r w:rsidRPr="00C00F3A">
        <w:rPr>
          <w:color w:val="auto"/>
          <w:lang w:val="en-GB"/>
        </w:rPr>
        <w:t>2.1 Overview of Financial Performance</w:t>
      </w:r>
      <w:bookmarkEnd w:id="6"/>
    </w:p>
    <w:p w14:paraId="6B27B3BE" w14:textId="6BD3183C" w:rsidR="00140083" w:rsidRPr="00C00F3A" w:rsidRDefault="00685FA6">
      <w:pPr>
        <w:spacing w:after="160" w:line="360" w:lineRule="auto"/>
        <w:jc w:val="both"/>
        <w:rPr>
          <w:lang w:val="en-GB"/>
        </w:rPr>
      </w:pPr>
      <w:r w:rsidRPr="00C00F3A">
        <w:rPr>
          <w:lang w:val="en-GB"/>
        </w:rPr>
        <w:t>Table 1 below contains a summary of the Group's important financial highlights. The income of the group grew very fast from £903 million in FY21 to a maximum of £2,351 million in FY23, then falling back to £2,262 million in FY25. The EBITDA increased similarly from £52 million to a maximum of £136 million in FY23 and decreased to £78 million in FY25. The operating income was highest at £98 million in FY23 and dropped significantly to £43 million in FY25. The statutory loss of the Group for FY25 was £2.6 million.</w:t>
      </w:r>
    </w:p>
    <w:p w14:paraId="6D277C54" w14:textId="77777777" w:rsidR="00140083" w:rsidRPr="00C00F3A" w:rsidRDefault="00176BB0">
      <w:pPr>
        <w:spacing w:before="200" w:after="80"/>
        <w:rPr>
          <w:lang w:val="en-GB"/>
        </w:rPr>
      </w:pPr>
      <w:r w:rsidRPr="00C00F3A">
        <w:rPr>
          <w:b/>
          <w:bCs/>
          <w:sz w:val="20"/>
          <w:szCs w:val="20"/>
          <w:lang w:val="en-GB"/>
        </w:rPr>
        <w:t>Table 1: Key Financial Highlights (£ million)</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488"/>
        <w:gridCol w:w="1488"/>
        <w:gridCol w:w="1488"/>
        <w:gridCol w:w="1488"/>
        <w:gridCol w:w="1486"/>
      </w:tblGrid>
      <w:tr w:rsidR="00140083" w:rsidRPr="00C00F3A" w14:paraId="5851E51D" w14:textId="77777777">
        <w:tc>
          <w:tcPr>
            <w:tcW w:w="2200"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1ED9898B" w14:textId="77777777" w:rsidR="00140083" w:rsidRPr="00C00F3A" w:rsidRDefault="00176BB0">
            <w:pPr>
              <w:rPr>
                <w:lang w:val="en-GB"/>
              </w:rPr>
            </w:pPr>
            <w:r w:rsidRPr="00C00F3A">
              <w:rPr>
                <w:b/>
                <w:bCs/>
                <w:sz w:val="18"/>
                <w:szCs w:val="18"/>
                <w:lang w:val="en-GB"/>
              </w:rPr>
              <w:t>Metric</w:t>
            </w:r>
          </w:p>
        </w:tc>
        <w:tc>
          <w:tcPr>
            <w:tcW w:w="14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1A7E6A0C" w14:textId="77777777" w:rsidR="00140083" w:rsidRPr="00C00F3A" w:rsidRDefault="00176BB0">
            <w:pPr>
              <w:jc w:val="center"/>
              <w:rPr>
                <w:lang w:val="en-GB"/>
              </w:rPr>
            </w:pPr>
            <w:r w:rsidRPr="00C00F3A">
              <w:rPr>
                <w:b/>
                <w:bCs/>
                <w:sz w:val="18"/>
                <w:szCs w:val="18"/>
                <w:lang w:val="en-GB"/>
              </w:rPr>
              <w:t>FY21*</w:t>
            </w:r>
          </w:p>
        </w:tc>
        <w:tc>
          <w:tcPr>
            <w:tcW w:w="14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7EB70BF2" w14:textId="77777777" w:rsidR="00140083" w:rsidRPr="00C00F3A" w:rsidRDefault="00176BB0">
            <w:pPr>
              <w:jc w:val="center"/>
              <w:rPr>
                <w:lang w:val="en-GB"/>
              </w:rPr>
            </w:pPr>
            <w:r w:rsidRPr="00C00F3A">
              <w:rPr>
                <w:b/>
                <w:bCs/>
                <w:sz w:val="18"/>
                <w:szCs w:val="18"/>
                <w:lang w:val="en-GB"/>
              </w:rPr>
              <w:t>FY22</w:t>
            </w:r>
          </w:p>
        </w:tc>
        <w:tc>
          <w:tcPr>
            <w:tcW w:w="14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4F524EF4" w14:textId="77777777" w:rsidR="00140083" w:rsidRPr="00C00F3A" w:rsidRDefault="00176BB0">
            <w:pPr>
              <w:jc w:val="center"/>
              <w:rPr>
                <w:lang w:val="en-GB"/>
              </w:rPr>
            </w:pPr>
            <w:r w:rsidRPr="00C00F3A">
              <w:rPr>
                <w:b/>
                <w:bCs/>
                <w:sz w:val="18"/>
                <w:szCs w:val="18"/>
                <w:lang w:val="en-GB"/>
              </w:rPr>
              <w:t>FY23</w:t>
            </w:r>
          </w:p>
        </w:tc>
        <w:tc>
          <w:tcPr>
            <w:tcW w:w="14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23ABD337" w14:textId="77777777" w:rsidR="00140083" w:rsidRPr="00C00F3A" w:rsidRDefault="00176BB0">
            <w:pPr>
              <w:jc w:val="center"/>
              <w:rPr>
                <w:lang w:val="en-GB"/>
              </w:rPr>
            </w:pPr>
            <w:r w:rsidRPr="00C00F3A">
              <w:rPr>
                <w:b/>
                <w:bCs/>
                <w:sz w:val="18"/>
                <w:szCs w:val="18"/>
                <w:lang w:val="en-GB"/>
              </w:rPr>
              <w:t>FY24</w:t>
            </w:r>
          </w:p>
        </w:tc>
        <w:tc>
          <w:tcPr>
            <w:tcW w:w="1486"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11D2A007" w14:textId="77777777" w:rsidR="00140083" w:rsidRPr="00C00F3A" w:rsidRDefault="00176BB0">
            <w:pPr>
              <w:jc w:val="center"/>
              <w:rPr>
                <w:lang w:val="en-GB"/>
              </w:rPr>
            </w:pPr>
            <w:r w:rsidRPr="00C00F3A">
              <w:rPr>
                <w:b/>
                <w:bCs/>
                <w:sz w:val="18"/>
                <w:szCs w:val="18"/>
                <w:lang w:val="en-GB"/>
              </w:rPr>
              <w:t>FY25</w:t>
            </w:r>
          </w:p>
        </w:tc>
      </w:tr>
      <w:tr w:rsidR="00140083" w:rsidRPr="00C00F3A" w14:paraId="1C730797" w14:textId="77777777">
        <w:tc>
          <w:tcPr>
            <w:tcW w:w="22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58CF68B1" w14:textId="77777777" w:rsidR="00140083" w:rsidRPr="00C00F3A" w:rsidRDefault="00176BB0">
            <w:pPr>
              <w:rPr>
                <w:lang w:val="en-GB"/>
              </w:rPr>
            </w:pPr>
            <w:r w:rsidRPr="00C00F3A">
              <w:rPr>
                <w:b/>
                <w:bCs/>
                <w:sz w:val="18"/>
                <w:szCs w:val="18"/>
                <w:lang w:val="en-GB"/>
              </w:rPr>
              <w:t>Revenue</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27F0425E" w14:textId="77777777" w:rsidR="00140083" w:rsidRPr="00C00F3A" w:rsidRDefault="00176BB0">
            <w:pPr>
              <w:jc w:val="center"/>
              <w:rPr>
                <w:lang w:val="en-GB"/>
              </w:rPr>
            </w:pPr>
            <w:r w:rsidRPr="00C00F3A">
              <w:rPr>
                <w:sz w:val="18"/>
                <w:szCs w:val="18"/>
                <w:lang w:val="en-GB"/>
              </w:rPr>
              <w:t>902.6</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72ED17C" w14:textId="77777777" w:rsidR="00140083" w:rsidRPr="00C00F3A" w:rsidRDefault="00176BB0">
            <w:pPr>
              <w:jc w:val="center"/>
              <w:rPr>
                <w:lang w:val="en-GB"/>
              </w:rPr>
            </w:pPr>
            <w:r w:rsidRPr="00C00F3A">
              <w:rPr>
                <w:sz w:val="18"/>
                <w:szCs w:val="18"/>
                <w:lang w:val="en-GB"/>
              </w:rPr>
              <w:t>1,933.5</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6A276ADF" w14:textId="77777777" w:rsidR="00140083" w:rsidRPr="00C00F3A" w:rsidRDefault="00176BB0">
            <w:pPr>
              <w:jc w:val="center"/>
              <w:rPr>
                <w:lang w:val="en-GB"/>
              </w:rPr>
            </w:pPr>
            <w:r w:rsidRPr="00C00F3A">
              <w:rPr>
                <w:sz w:val="18"/>
                <w:szCs w:val="18"/>
                <w:lang w:val="en-GB"/>
              </w:rPr>
              <w:t>2,350.8</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053BCB47" w14:textId="77777777" w:rsidR="00140083" w:rsidRPr="00C00F3A" w:rsidRDefault="00176BB0">
            <w:pPr>
              <w:jc w:val="center"/>
              <w:rPr>
                <w:lang w:val="en-GB"/>
              </w:rPr>
            </w:pPr>
            <w:r w:rsidRPr="00C00F3A">
              <w:rPr>
                <w:sz w:val="18"/>
                <w:szCs w:val="18"/>
                <w:lang w:val="en-GB"/>
              </w:rPr>
              <w:t>2,221.9</w:t>
            </w:r>
          </w:p>
        </w:tc>
        <w:tc>
          <w:tcPr>
            <w:tcW w:w="148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61F2033C" w14:textId="77777777" w:rsidR="00140083" w:rsidRPr="00C00F3A" w:rsidRDefault="00176BB0">
            <w:pPr>
              <w:jc w:val="center"/>
              <w:rPr>
                <w:lang w:val="en-GB"/>
              </w:rPr>
            </w:pPr>
            <w:r w:rsidRPr="00C00F3A">
              <w:rPr>
                <w:sz w:val="18"/>
                <w:szCs w:val="18"/>
                <w:lang w:val="en-GB"/>
              </w:rPr>
              <w:t>2,261.4</w:t>
            </w:r>
          </w:p>
        </w:tc>
      </w:tr>
      <w:tr w:rsidR="00140083" w:rsidRPr="00C00F3A" w14:paraId="36E5FD2C" w14:textId="77777777">
        <w:tc>
          <w:tcPr>
            <w:tcW w:w="2200"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03F6E9D3" w14:textId="77777777" w:rsidR="00140083" w:rsidRPr="00C00F3A" w:rsidRDefault="00176BB0">
            <w:pPr>
              <w:rPr>
                <w:lang w:val="en-GB"/>
              </w:rPr>
            </w:pPr>
            <w:r w:rsidRPr="00C00F3A">
              <w:rPr>
                <w:sz w:val="18"/>
                <w:szCs w:val="18"/>
                <w:lang w:val="en-GB"/>
              </w:rPr>
              <w:t>Gross Profit</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3274FF72" w14:textId="77777777" w:rsidR="00140083" w:rsidRPr="00C00F3A" w:rsidRDefault="00176BB0">
            <w:pPr>
              <w:jc w:val="center"/>
              <w:rPr>
                <w:lang w:val="en-GB"/>
              </w:rPr>
            </w:pPr>
            <w:r w:rsidRPr="00C00F3A">
              <w:rPr>
                <w:sz w:val="18"/>
                <w:szCs w:val="18"/>
                <w:lang w:val="en-GB"/>
              </w:rPr>
              <w:t>220.3</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4D78904E" w14:textId="77777777" w:rsidR="00140083" w:rsidRPr="00C00F3A" w:rsidRDefault="00176BB0">
            <w:pPr>
              <w:jc w:val="center"/>
              <w:rPr>
                <w:lang w:val="en-GB"/>
              </w:rPr>
            </w:pPr>
            <w:r w:rsidRPr="00C00F3A">
              <w:rPr>
                <w:sz w:val="18"/>
                <w:szCs w:val="18"/>
                <w:lang w:val="en-GB"/>
              </w:rPr>
              <w:t>488.8</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2544DCA6" w14:textId="77777777" w:rsidR="00140083" w:rsidRPr="00C00F3A" w:rsidRDefault="00176BB0">
            <w:pPr>
              <w:jc w:val="center"/>
              <w:rPr>
                <w:lang w:val="en-GB"/>
              </w:rPr>
            </w:pPr>
            <w:r w:rsidRPr="00C00F3A">
              <w:rPr>
                <w:sz w:val="18"/>
                <w:szCs w:val="18"/>
                <w:lang w:val="en-GB"/>
              </w:rPr>
              <w:t>606.0</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5DD19DC0" w14:textId="77777777" w:rsidR="00140083" w:rsidRPr="00C00F3A" w:rsidRDefault="00176BB0">
            <w:pPr>
              <w:jc w:val="center"/>
              <w:rPr>
                <w:lang w:val="en-GB"/>
              </w:rPr>
            </w:pPr>
            <w:r w:rsidRPr="00C00F3A">
              <w:rPr>
                <w:sz w:val="18"/>
                <w:szCs w:val="18"/>
                <w:lang w:val="en-GB"/>
              </w:rPr>
              <w:t>546.0</w:t>
            </w:r>
          </w:p>
        </w:tc>
        <w:tc>
          <w:tcPr>
            <w:tcW w:w="1486"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4D9DB999" w14:textId="77777777" w:rsidR="00140083" w:rsidRPr="00C00F3A" w:rsidRDefault="00176BB0">
            <w:pPr>
              <w:jc w:val="center"/>
              <w:rPr>
                <w:lang w:val="en-GB"/>
              </w:rPr>
            </w:pPr>
            <w:r w:rsidRPr="00C00F3A">
              <w:rPr>
                <w:sz w:val="18"/>
                <w:szCs w:val="18"/>
                <w:lang w:val="en-GB"/>
              </w:rPr>
              <w:t>556.8</w:t>
            </w:r>
          </w:p>
        </w:tc>
      </w:tr>
      <w:tr w:rsidR="00140083" w:rsidRPr="00C00F3A" w14:paraId="4AE897E7" w14:textId="77777777">
        <w:tc>
          <w:tcPr>
            <w:tcW w:w="22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302E4B9D" w14:textId="77777777" w:rsidR="00140083" w:rsidRPr="00C00F3A" w:rsidRDefault="00176BB0">
            <w:pPr>
              <w:rPr>
                <w:lang w:val="en-GB"/>
              </w:rPr>
            </w:pPr>
            <w:r w:rsidRPr="00C00F3A">
              <w:rPr>
                <w:b/>
                <w:bCs/>
                <w:sz w:val="18"/>
                <w:szCs w:val="18"/>
                <w:lang w:val="en-GB"/>
              </w:rPr>
              <w:t>Operating Profit</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7B179C93" w14:textId="77777777" w:rsidR="00140083" w:rsidRPr="00C00F3A" w:rsidRDefault="00176BB0">
            <w:pPr>
              <w:jc w:val="center"/>
              <w:rPr>
                <w:lang w:val="en-GB"/>
              </w:rPr>
            </w:pPr>
            <w:r w:rsidRPr="00C00F3A">
              <w:rPr>
                <w:sz w:val="18"/>
                <w:szCs w:val="18"/>
                <w:lang w:val="en-GB"/>
              </w:rPr>
              <w:t>36.8</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53DEABBC" w14:textId="77777777" w:rsidR="00140083" w:rsidRPr="00C00F3A" w:rsidRDefault="00176BB0">
            <w:pPr>
              <w:jc w:val="center"/>
              <w:rPr>
                <w:lang w:val="en-GB"/>
              </w:rPr>
            </w:pPr>
            <w:r w:rsidRPr="00C00F3A">
              <w:rPr>
                <w:sz w:val="18"/>
                <w:szCs w:val="18"/>
                <w:lang w:val="en-GB"/>
              </w:rPr>
              <w:t>82.6</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206F40B6" w14:textId="77777777" w:rsidR="00140083" w:rsidRPr="00C00F3A" w:rsidRDefault="00176BB0">
            <w:pPr>
              <w:jc w:val="center"/>
              <w:rPr>
                <w:lang w:val="en-GB"/>
              </w:rPr>
            </w:pPr>
            <w:r w:rsidRPr="00C00F3A">
              <w:rPr>
                <w:sz w:val="18"/>
                <w:szCs w:val="18"/>
                <w:lang w:val="en-GB"/>
              </w:rPr>
              <w:t>98.3</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671251CB" w14:textId="77777777" w:rsidR="00140083" w:rsidRPr="00C00F3A" w:rsidRDefault="00176BB0">
            <w:pPr>
              <w:jc w:val="center"/>
              <w:rPr>
                <w:lang w:val="en-GB"/>
              </w:rPr>
            </w:pPr>
            <w:r w:rsidRPr="00C00F3A">
              <w:rPr>
                <w:sz w:val="18"/>
                <w:szCs w:val="18"/>
                <w:lang w:val="en-GB"/>
              </w:rPr>
              <w:t>44.4</w:t>
            </w:r>
          </w:p>
        </w:tc>
        <w:tc>
          <w:tcPr>
            <w:tcW w:w="148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4D8C41E" w14:textId="77777777" w:rsidR="00140083" w:rsidRPr="00C00F3A" w:rsidRDefault="00176BB0">
            <w:pPr>
              <w:jc w:val="center"/>
              <w:rPr>
                <w:lang w:val="en-GB"/>
              </w:rPr>
            </w:pPr>
            <w:r w:rsidRPr="00C00F3A">
              <w:rPr>
                <w:sz w:val="18"/>
                <w:szCs w:val="18"/>
                <w:lang w:val="en-GB"/>
              </w:rPr>
              <w:t>42.6</w:t>
            </w:r>
          </w:p>
        </w:tc>
      </w:tr>
      <w:tr w:rsidR="00140083" w:rsidRPr="00C00F3A" w14:paraId="1611B174" w14:textId="77777777">
        <w:tc>
          <w:tcPr>
            <w:tcW w:w="2200"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58184D10" w14:textId="77777777" w:rsidR="00140083" w:rsidRPr="00C00F3A" w:rsidRDefault="00176BB0">
            <w:pPr>
              <w:rPr>
                <w:lang w:val="en-GB"/>
              </w:rPr>
            </w:pPr>
            <w:r w:rsidRPr="00C00F3A">
              <w:rPr>
                <w:sz w:val="18"/>
                <w:szCs w:val="18"/>
                <w:lang w:val="en-GB"/>
              </w:rPr>
              <w:lastRenderedPageBreak/>
              <w:t>Adj. EBITDA</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375137FA" w14:textId="77777777" w:rsidR="00140083" w:rsidRPr="00C00F3A" w:rsidRDefault="00176BB0">
            <w:pPr>
              <w:jc w:val="center"/>
              <w:rPr>
                <w:lang w:val="en-GB"/>
              </w:rPr>
            </w:pPr>
            <w:r w:rsidRPr="00C00F3A">
              <w:rPr>
                <w:sz w:val="18"/>
                <w:szCs w:val="18"/>
                <w:lang w:val="en-GB"/>
              </w:rPr>
              <w:t>52.2</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41DD5181" w14:textId="77777777" w:rsidR="00140083" w:rsidRPr="00C00F3A" w:rsidRDefault="00176BB0">
            <w:pPr>
              <w:jc w:val="center"/>
              <w:rPr>
                <w:lang w:val="en-GB"/>
              </w:rPr>
            </w:pPr>
            <w:r w:rsidRPr="00C00F3A">
              <w:rPr>
                <w:sz w:val="18"/>
                <w:szCs w:val="18"/>
                <w:lang w:val="en-GB"/>
              </w:rPr>
              <w:t>107.7</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628C99FA" w14:textId="77777777" w:rsidR="00140083" w:rsidRPr="00C00F3A" w:rsidRDefault="00176BB0">
            <w:pPr>
              <w:jc w:val="center"/>
              <w:rPr>
                <w:lang w:val="en-GB"/>
              </w:rPr>
            </w:pPr>
            <w:r w:rsidRPr="00C00F3A">
              <w:rPr>
                <w:sz w:val="18"/>
                <w:szCs w:val="18"/>
                <w:lang w:val="en-GB"/>
              </w:rPr>
              <w:t>136.3</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46FBFD09" w14:textId="77777777" w:rsidR="00140083" w:rsidRPr="00C00F3A" w:rsidRDefault="00176BB0">
            <w:pPr>
              <w:jc w:val="center"/>
              <w:rPr>
                <w:lang w:val="en-GB"/>
              </w:rPr>
            </w:pPr>
            <w:r w:rsidRPr="00C00F3A">
              <w:rPr>
                <w:sz w:val="18"/>
                <w:szCs w:val="18"/>
                <w:lang w:val="en-GB"/>
              </w:rPr>
              <w:t>90.5</w:t>
            </w:r>
          </w:p>
        </w:tc>
        <w:tc>
          <w:tcPr>
            <w:tcW w:w="1486"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4C272DB7" w14:textId="77777777" w:rsidR="00140083" w:rsidRPr="00C00F3A" w:rsidRDefault="00176BB0">
            <w:pPr>
              <w:jc w:val="center"/>
              <w:rPr>
                <w:lang w:val="en-GB"/>
              </w:rPr>
            </w:pPr>
            <w:r w:rsidRPr="00C00F3A">
              <w:rPr>
                <w:sz w:val="18"/>
                <w:szCs w:val="18"/>
                <w:lang w:val="en-GB"/>
              </w:rPr>
              <w:t>78.3</w:t>
            </w:r>
          </w:p>
        </w:tc>
      </w:tr>
      <w:tr w:rsidR="00140083" w:rsidRPr="00C00F3A" w14:paraId="595E0486" w14:textId="77777777">
        <w:tc>
          <w:tcPr>
            <w:tcW w:w="22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3FD17F2A" w14:textId="77777777" w:rsidR="00140083" w:rsidRPr="00C00F3A" w:rsidRDefault="00176BB0">
            <w:pPr>
              <w:rPr>
                <w:lang w:val="en-GB"/>
              </w:rPr>
            </w:pPr>
            <w:r w:rsidRPr="00C00F3A">
              <w:rPr>
                <w:b/>
                <w:bCs/>
                <w:sz w:val="18"/>
                <w:szCs w:val="18"/>
                <w:lang w:val="en-GB"/>
              </w:rPr>
              <w:t>Profit/(Loss) for Year</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630847CC" w14:textId="77777777" w:rsidR="00140083" w:rsidRPr="00C00F3A" w:rsidRDefault="00176BB0">
            <w:pPr>
              <w:jc w:val="center"/>
              <w:rPr>
                <w:lang w:val="en-GB"/>
              </w:rPr>
            </w:pPr>
            <w:r w:rsidRPr="00C00F3A">
              <w:rPr>
                <w:sz w:val="18"/>
                <w:szCs w:val="18"/>
                <w:lang w:val="en-GB"/>
              </w:rPr>
              <w:t>22.0</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FB73945" w14:textId="77777777" w:rsidR="00140083" w:rsidRPr="00C00F3A" w:rsidRDefault="00176BB0">
            <w:pPr>
              <w:jc w:val="center"/>
              <w:rPr>
                <w:lang w:val="en-GB"/>
              </w:rPr>
            </w:pPr>
            <w:r w:rsidRPr="00C00F3A">
              <w:rPr>
                <w:sz w:val="18"/>
                <w:szCs w:val="18"/>
                <w:lang w:val="en-GB"/>
              </w:rPr>
              <w:t>51.6</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31CF5F1" w14:textId="77777777" w:rsidR="00140083" w:rsidRPr="00C00F3A" w:rsidRDefault="00176BB0">
            <w:pPr>
              <w:jc w:val="center"/>
              <w:rPr>
                <w:lang w:val="en-GB"/>
              </w:rPr>
            </w:pPr>
            <w:r w:rsidRPr="00C00F3A">
              <w:rPr>
                <w:sz w:val="18"/>
                <w:szCs w:val="18"/>
                <w:lang w:val="en-GB"/>
              </w:rPr>
              <w:t>48.1</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913EB47" w14:textId="77777777" w:rsidR="00140083" w:rsidRPr="00C00F3A" w:rsidRDefault="00176BB0">
            <w:pPr>
              <w:jc w:val="center"/>
              <w:rPr>
                <w:lang w:val="en-GB"/>
              </w:rPr>
            </w:pPr>
            <w:r w:rsidRPr="00C00F3A">
              <w:rPr>
                <w:sz w:val="18"/>
                <w:szCs w:val="18"/>
                <w:lang w:val="en-GB"/>
              </w:rPr>
              <w:t>2.0</w:t>
            </w:r>
          </w:p>
        </w:tc>
        <w:tc>
          <w:tcPr>
            <w:tcW w:w="148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1C35DCA2" w14:textId="77777777" w:rsidR="00140083" w:rsidRPr="00C00F3A" w:rsidRDefault="00176BB0">
            <w:pPr>
              <w:jc w:val="center"/>
              <w:rPr>
                <w:lang w:val="en-GB"/>
              </w:rPr>
            </w:pPr>
            <w:r w:rsidRPr="00C00F3A">
              <w:rPr>
                <w:sz w:val="18"/>
                <w:szCs w:val="18"/>
                <w:lang w:val="en-GB"/>
              </w:rPr>
              <w:t>(2.6)</w:t>
            </w:r>
          </w:p>
        </w:tc>
      </w:tr>
      <w:tr w:rsidR="00140083" w:rsidRPr="00C00F3A" w14:paraId="7065364E" w14:textId="77777777">
        <w:tc>
          <w:tcPr>
            <w:tcW w:w="2200"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06E06213" w14:textId="77777777" w:rsidR="00140083" w:rsidRPr="00C00F3A" w:rsidRDefault="00176BB0">
            <w:pPr>
              <w:rPr>
                <w:lang w:val="en-GB"/>
              </w:rPr>
            </w:pPr>
            <w:r w:rsidRPr="00C00F3A">
              <w:rPr>
                <w:sz w:val="18"/>
                <w:szCs w:val="18"/>
                <w:lang w:val="en-GB"/>
              </w:rPr>
              <w:t>Net Assets</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691F1AC3" w14:textId="77777777" w:rsidR="00140083" w:rsidRPr="00C00F3A" w:rsidRDefault="00176BB0">
            <w:pPr>
              <w:jc w:val="center"/>
              <w:rPr>
                <w:lang w:val="en-GB"/>
              </w:rPr>
            </w:pPr>
            <w:r w:rsidRPr="00C00F3A">
              <w:rPr>
                <w:sz w:val="18"/>
                <w:szCs w:val="18"/>
                <w:lang w:val="en-GB"/>
              </w:rPr>
              <w:t>166.9</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69529CF4" w14:textId="77777777" w:rsidR="00140083" w:rsidRPr="00C00F3A" w:rsidRDefault="00176BB0">
            <w:pPr>
              <w:jc w:val="center"/>
              <w:rPr>
                <w:lang w:val="en-GB"/>
              </w:rPr>
            </w:pPr>
            <w:r w:rsidRPr="00C00F3A">
              <w:rPr>
                <w:sz w:val="18"/>
                <w:szCs w:val="18"/>
                <w:lang w:val="en-GB"/>
              </w:rPr>
              <w:t>218.4</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215C2EFC" w14:textId="77777777" w:rsidR="00140083" w:rsidRPr="00C00F3A" w:rsidRDefault="00176BB0">
            <w:pPr>
              <w:jc w:val="center"/>
              <w:rPr>
                <w:lang w:val="en-GB"/>
              </w:rPr>
            </w:pPr>
            <w:r w:rsidRPr="00C00F3A">
              <w:rPr>
                <w:sz w:val="18"/>
                <w:szCs w:val="18"/>
                <w:lang w:val="en-GB"/>
              </w:rPr>
              <w:t>275.8</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68833410" w14:textId="77777777" w:rsidR="00140083" w:rsidRPr="00C00F3A" w:rsidRDefault="00176BB0">
            <w:pPr>
              <w:jc w:val="center"/>
              <w:rPr>
                <w:lang w:val="en-GB"/>
              </w:rPr>
            </w:pPr>
            <w:r w:rsidRPr="00C00F3A">
              <w:rPr>
                <w:sz w:val="18"/>
                <w:szCs w:val="18"/>
                <w:lang w:val="en-GB"/>
              </w:rPr>
              <w:t>273.4</w:t>
            </w:r>
          </w:p>
        </w:tc>
        <w:tc>
          <w:tcPr>
            <w:tcW w:w="1486"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0C7144B3" w14:textId="77777777" w:rsidR="00140083" w:rsidRPr="00C00F3A" w:rsidRDefault="00176BB0">
            <w:pPr>
              <w:jc w:val="center"/>
              <w:rPr>
                <w:lang w:val="en-GB"/>
              </w:rPr>
            </w:pPr>
            <w:r w:rsidRPr="00C00F3A">
              <w:rPr>
                <w:sz w:val="18"/>
                <w:szCs w:val="18"/>
                <w:lang w:val="en-GB"/>
              </w:rPr>
              <w:t>151.7</w:t>
            </w:r>
          </w:p>
        </w:tc>
      </w:tr>
    </w:tbl>
    <w:p w14:paraId="75E13FC6" w14:textId="77777777" w:rsidR="00140083" w:rsidRPr="00C00F3A" w:rsidRDefault="00176BB0">
      <w:pPr>
        <w:spacing w:before="60" w:after="160"/>
        <w:rPr>
          <w:lang w:val="en-GB"/>
        </w:rPr>
      </w:pPr>
      <w:r w:rsidRPr="00C00F3A">
        <w:rPr>
          <w:i/>
          <w:iCs/>
          <w:sz w:val="16"/>
          <w:szCs w:val="16"/>
          <w:lang w:val="en-GB"/>
        </w:rPr>
        <w:t>* FY21 covers the period 14 January to 31 July 2021 (approximately 6.5 months). Source: Wolseley Group Annual Reports 2021–2025.</w:t>
      </w:r>
    </w:p>
    <w:p w14:paraId="5D588F6E" w14:textId="77777777" w:rsidR="00140083" w:rsidRPr="00C00F3A" w:rsidRDefault="00176BB0">
      <w:pPr>
        <w:spacing w:before="200" w:after="80"/>
        <w:jc w:val="center"/>
        <w:rPr>
          <w:lang w:val="en-GB"/>
        </w:rPr>
      </w:pPr>
      <w:r w:rsidRPr="00C00F3A">
        <w:rPr>
          <w:noProof/>
          <w:lang w:val="en-GB"/>
        </w:rPr>
        <w:drawing>
          <wp:inline distT="0" distB="0" distL="0" distR="0" wp14:anchorId="4F136E89" wp14:editId="37846120">
            <wp:extent cx="4953000" cy="2476500"/>
            <wp:effectExtent l="0" t="0" r="0" b="0"/>
            <wp:docPr id="1" name="Revenue Profit Chart" descr="Trend of revenue, operating profit and EBITDA"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953000" cy="2476500"/>
                    </a:xfrm>
                    <a:prstGeom prst="rect">
                      <a:avLst/>
                    </a:prstGeom>
                  </pic:spPr>
                </pic:pic>
              </a:graphicData>
            </a:graphic>
          </wp:inline>
        </w:drawing>
      </w:r>
    </w:p>
    <w:p w14:paraId="29835C95" w14:textId="77777777" w:rsidR="00140083" w:rsidRPr="00C00F3A" w:rsidRDefault="00176BB0">
      <w:pPr>
        <w:spacing w:after="200"/>
        <w:jc w:val="center"/>
        <w:rPr>
          <w:i/>
          <w:iCs/>
          <w:sz w:val="18"/>
          <w:szCs w:val="18"/>
          <w:lang w:val="en-GB"/>
        </w:rPr>
      </w:pPr>
      <w:r w:rsidRPr="00C00F3A">
        <w:rPr>
          <w:i/>
          <w:iCs/>
          <w:sz w:val="18"/>
          <w:szCs w:val="18"/>
          <w:lang w:val="en-GB"/>
        </w:rPr>
        <w:t>Figure 1: Revenue, Operating Profit and Adjusted EBITDA (FY21–FY25)</w:t>
      </w:r>
    </w:p>
    <w:p w14:paraId="78CBA573" w14:textId="63F790F1" w:rsidR="000D3924" w:rsidRPr="00C00F3A" w:rsidRDefault="000D3924">
      <w:pPr>
        <w:spacing w:after="200"/>
        <w:jc w:val="center"/>
        <w:rPr>
          <w:lang w:val="en-GB"/>
        </w:rPr>
      </w:pPr>
      <w:r w:rsidRPr="00C00F3A">
        <w:rPr>
          <w:sz w:val="18"/>
          <w:szCs w:val="18"/>
          <w:lang w:val="en-GB"/>
        </w:rPr>
        <w:t>(Self-Created)</w:t>
      </w:r>
    </w:p>
    <w:p w14:paraId="2F839001" w14:textId="5DE83ABB" w:rsidR="00140083" w:rsidRPr="00C00F3A" w:rsidRDefault="00685FA6">
      <w:pPr>
        <w:spacing w:after="160" w:line="360" w:lineRule="auto"/>
        <w:jc w:val="both"/>
        <w:rPr>
          <w:lang w:val="en-GB"/>
        </w:rPr>
      </w:pPr>
      <w:r w:rsidRPr="00C00F3A">
        <w:rPr>
          <w:lang w:val="en-GB"/>
        </w:rPr>
        <w:t>The steep drop in profit after the FY23 period is attributable to reduced demand for repairs, maintenance, and improvement (RMI) and the new-build segment in the UK market, cost inflation, and higher finance charges. Net assets have reduced from £273 million in FY24 to £152 million in FY25 mainly due to £121 million dividend paid out to the parent company and subsequent write down of share premium account.</w:t>
      </w:r>
    </w:p>
    <w:p w14:paraId="653841F7" w14:textId="77777777" w:rsidR="00140083" w:rsidRPr="00C00F3A" w:rsidRDefault="00176BB0">
      <w:pPr>
        <w:pStyle w:val="Heading2"/>
        <w:rPr>
          <w:color w:val="auto"/>
          <w:lang w:val="en-GB"/>
        </w:rPr>
      </w:pPr>
      <w:bookmarkStart w:id="7" w:name="_Toc237515745"/>
      <w:r w:rsidRPr="00C00F3A">
        <w:rPr>
          <w:color w:val="auto"/>
          <w:lang w:val="en-GB"/>
        </w:rPr>
        <w:t>2.2 Profitability Analysis</w:t>
      </w:r>
      <w:bookmarkEnd w:id="7"/>
    </w:p>
    <w:p w14:paraId="3A478523" w14:textId="22E291B6" w:rsidR="00140083" w:rsidRPr="00C00F3A" w:rsidRDefault="00685FA6">
      <w:pPr>
        <w:spacing w:after="160" w:line="360" w:lineRule="auto"/>
        <w:jc w:val="both"/>
        <w:rPr>
          <w:lang w:val="en-GB"/>
        </w:rPr>
      </w:pPr>
      <w:r w:rsidRPr="00C00F3A">
        <w:rPr>
          <w:lang w:val="en-GB"/>
        </w:rPr>
        <w:t xml:space="preserve">The gross margin showed remarkable stability during the period of five years within a narrow range of 24.4% to 25.8%, suggesting that the company maintained its pricing policy successfully and effectively controlled cost of sales. On the contrary, there was a sharp decline in the operating margin from a high of 4.3% in FY22 to 1.9% in FY25. The net margin turned into a negative figure (−0.1%) in FY25. This reduction in operating margin can be attributed to increasing </w:t>
      </w:r>
      <w:proofErr w:type="spellStart"/>
      <w:r w:rsidRPr="00C00F3A">
        <w:rPr>
          <w:lang w:val="en-GB"/>
        </w:rPr>
        <w:t>labor</w:t>
      </w:r>
      <w:proofErr w:type="spellEnd"/>
      <w:r w:rsidRPr="00C00F3A">
        <w:rPr>
          <w:lang w:val="en-GB"/>
        </w:rPr>
        <w:t xml:space="preserve"> costs, depreciation, and impairments, among others.</w:t>
      </w:r>
    </w:p>
    <w:p w14:paraId="64CB5279" w14:textId="77777777" w:rsidR="00140083" w:rsidRPr="00C00F3A" w:rsidRDefault="00176BB0">
      <w:pPr>
        <w:spacing w:before="160" w:after="80"/>
        <w:rPr>
          <w:lang w:val="en-GB"/>
        </w:rPr>
      </w:pPr>
      <w:r w:rsidRPr="00C00F3A">
        <w:rPr>
          <w:b/>
          <w:bCs/>
          <w:sz w:val="20"/>
          <w:szCs w:val="20"/>
          <w:lang w:val="en-GB"/>
        </w:rPr>
        <w:t>Table 2: Profitability Ratios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1368"/>
        <w:gridCol w:w="1368"/>
        <w:gridCol w:w="1368"/>
        <w:gridCol w:w="1368"/>
        <w:gridCol w:w="1366"/>
      </w:tblGrid>
      <w:tr w:rsidR="00140083" w:rsidRPr="00C00F3A" w14:paraId="026BE504" w14:textId="77777777">
        <w:tc>
          <w:tcPr>
            <w:tcW w:w="2800"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6727E617" w14:textId="77777777" w:rsidR="00140083" w:rsidRPr="00C00F3A" w:rsidRDefault="00176BB0">
            <w:pPr>
              <w:rPr>
                <w:lang w:val="en-GB"/>
              </w:rPr>
            </w:pPr>
            <w:r w:rsidRPr="00C00F3A">
              <w:rPr>
                <w:b/>
                <w:bCs/>
                <w:sz w:val="18"/>
                <w:szCs w:val="18"/>
                <w:lang w:val="en-GB"/>
              </w:rPr>
              <w:t>Ratio</w:t>
            </w:r>
          </w:p>
        </w:tc>
        <w:tc>
          <w:tcPr>
            <w:tcW w:w="136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00B2DD0C" w14:textId="77777777" w:rsidR="00140083" w:rsidRPr="00C00F3A" w:rsidRDefault="00176BB0">
            <w:pPr>
              <w:jc w:val="center"/>
              <w:rPr>
                <w:lang w:val="en-GB"/>
              </w:rPr>
            </w:pPr>
            <w:r w:rsidRPr="00C00F3A">
              <w:rPr>
                <w:b/>
                <w:bCs/>
                <w:sz w:val="18"/>
                <w:szCs w:val="18"/>
                <w:lang w:val="en-GB"/>
              </w:rPr>
              <w:t>FY21</w:t>
            </w:r>
          </w:p>
        </w:tc>
        <w:tc>
          <w:tcPr>
            <w:tcW w:w="136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68D6BCEB" w14:textId="77777777" w:rsidR="00140083" w:rsidRPr="00C00F3A" w:rsidRDefault="00176BB0">
            <w:pPr>
              <w:jc w:val="center"/>
              <w:rPr>
                <w:lang w:val="en-GB"/>
              </w:rPr>
            </w:pPr>
            <w:r w:rsidRPr="00C00F3A">
              <w:rPr>
                <w:b/>
                <w:bCs/>
                <w:sz w:val="18"/>
                <w:szCs w:val="18"/>
                <w:lang w:val="en-GB"/>
              </w:rPr>
              <w:t>FY22</w:t>
            </w:r>
          </w:p>
        </w:tc>
        <w:tc>
          <w:tcPr>
            <w:tcW w:w="136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111A7FFB" w14:textId="77777777" w:rsidR="00140083" w:rsidRPr="00C00F3A" w:rsidRDefault="00176BB0">
            <w:pPr>
              <w:jc w:val="center"/>
              <w:rPr>
                <w:lang w:val="en-GB"/>
              </w:rPr>
            </w:pPr>
            <w:r w:rsidRPr="00C00F3A">
              <w:rPr>
                <w:b/>
                <w:bCs/>
                <w:sz w:val="18"/>
                <w:szCs w:val="18"/>
                <w:lang w:val="en-GB"/>
              </w:rPr>
              <w:t>FY23</w:t>
            </w:r>
          </w:p>
        </w:tc>
        <w:tc>
          <w:tcPr>
            <w:tcW w:w="136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40AC81BF" w14:textId="77777777" w:rsidR="00140083" w:rsidRPr="00C00F3A" w:rsidRDefault="00176BB0">
            <w:pPr>
              <w:jc w:val="center"/>
              <w:rPr>
                <w:lang w:val="en-GB"/>
              </w:rPr>
            </w:pPr>
            <w:r w:rsidRPr="00C00F3A">
              <w:rPr>
                <w:b/>
                <w:bCs/>
                <w:sz w:val="18"/>
                <w:szCs w:val="18"/>
                <w:lang w:val="en-GB"/>
              </w:rPr>
              <w:t>FY24</w:t>
            </w:r>
          </w:p>
        </w:tc>
        <w:tc>
          <w:tcPr>
            <w:tcW w:w="1366"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34FA53C1" w14:textId="77777777" w:rsidR="00140083" w:rsidRPr="00C00F3A" w:rsidRDefault="00176BB0">
            <w:pPr>
              <w:jc w:val="center"/>
              <w:rPr>
                <w:lang w:val="en-GB"/>
              </w:rPr>
            </w:pPr>
            <w:r w:rsidRPr="00C00F3A">
              <w:rPr>
                <w:b/>
                <w:bCs/>
                <w:sz w:val="18"/>
                <w:szCs w:val="18"/>
                <w:lang w:val="en-GB"/>
              </w:rPr>
              <w:t>FY25</w:t>
            </w:r>
          </w:p>
        </w:tc>
      </w:tr>
      <w:tr w:rsidR="00140083" w:rsidRPr="00C00F3A" w14:paraId="62FE3209" w14:textId="77777777">
        <w:tc>
          <w:tcPr>
            <w:tcW w:w="28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003D6C06" w14:textId="77777777" w:rsidR="00140083" w:rsidRPr="00C00F3A" w:rsidRDefault="00176BB0">
            <w:pPr>
              <w:rPr>
                <w:lang w:val="en-GB"/>
              </w:rPr>
            </w:pPr>
            <w:r w:rsidRPr="00C00F3A">
              <w:rPr>
                <w:sz w:val="18"/>
                <w:szCs w:val="18"/>
                <w:lang w:val="en-GB"/>
              </w:rPr>
              <w:t>Gross Margin</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F65E40B" w14:textId="77777777" w:rsidR="00140083" w:rsidRPr="00C00F3A" w:rsidRDefault="00176BB0">
            <w:pPr>
              <w:jc w:val="center"/>
              <w:rPr>
                <w:lang w:val="en-GB"/>
              </w:rPr>
            </w:pPr>
            <w:r w:rsidRPr="00C00F3A">
              <w:rPr>
                <w:sz w:val="18"/>
                <w:szCs w:val="18"/>
                <w:lang w:val="en-GB"/>
              </w:rPr>
              <w:t>24.4%</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12EA5DDF" w14:textId="77777777" w:rsidR="00140083" w:rsidRPr="00C00F3A" w:rsidRDefault="00176BB0">
            <w:pPr>
              <w:jc w:val="center"/>
              <w:rPr>
                <w:lang w:val="en-GB"/>
              </w:rPr>
            </w:pPr>
            <w:r w:rsidRPr="00C00F3A">
              <w:rPr>
                <w:sz w:val="18"/>
                <w:szCs w:val="18"/>
                <w:lang w:val="en-GB"/>
              </w:rPr>
              <w:t>25.3%</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4200276" w14:textId="77777777" w:rsidR="00140083" w:rsidRPr="00C00F3A" w:rsidRDefault="00176BB0">
            <w:pPr>
              <w:jc w:val="center"/>
              <w:rPr>
                <w:lang w:val="en-GB"/>
              </w:rPr>
            </w:pPr>
            <w:r w:rsidRPr="00C00F3A">
              <w:rPr>
                <w:sz w:val="18"/>
                <w:szCs w:val="18"/>
                <w:lang w:val="en-GB"/>
              </w:rPr>
              <w:t>25.8%</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1B0B4987" w14:textId="77777777" w:rsidR="00140083" w:rsidRPr="00C00F3A" w:rsidRDefault="00176BB0">
            <w:pPr>
              <w:jc w:val="center"/>
              <w:rPr>
                <w:lang w:val="en-GB"/>
              </w:rPr>
            </w:pPr>
            <w:r w:rsidRPr="00C00F3A">
              <w:rPr>
                <w:sz w:val="18"/>
                <w:szCs w:val="18"/>
                <w:lang w:val="en-GB"/>
              </w:rPr>
              <w:t>24.6%</w:t>
            </w:r>
          </w:p>
        </w:tc>
        <w:tc>
          <w:tcPr>
            <w:tcW w:w="136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1B107FA9" w14:textId="77777777" w:rsidR="00140083" w:rsidRPr="00C00F3A" w:rsidRDefault="00176BB0">
            <w:pPr>
              <w:jc w:val="center"/>
              <w:rPr>
                <w:lang w:val="en-GB"/>
              </w:rPr>
            </w:pPr>
            <w:r w:rsidRPr="00C00F3A">
              <w:rPr>
                <w:sz w:val="18"/>
                <w:szCs w:val="18"/>
                <w:lang w:val="en-GB"/>
              </w:rPr>
              <w:t>24.6%</w:t>
            </w:r>
          </w:p>
        </w:tc>
      </w:tr>
      <w:tr w:rsidR="00140083" w:rsidRPr="00C00F3A" w14:paraId="03E20E52" w14:textId="77777777">
        <w:tc>
          <w:tcPr>
            <w:tcW w:w="2800"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4CD27396" w14:textId="77777777" w:rsidR="00140083" w:rsidRPr="00C00F3A" w:rsidRDefault="00176BB0">
            <w:pPr>
              <w:rPr>
                <w:lang w:val="en-GB"/>
              </w:rPr>
            </w:pPr>
            <w:r w:rsidRPr="00C00F3A">
              <w:rPr>
                <w:sz w:val="18"/>
                <w:szCs w:val="18"/>
                <w:lang w:val="en-GB"/>
              </w:rPr>
              <w:t>Operating Margin</w:t>
            </w:r>
          </w:p>
        </w:tc>
        <w:tc>
          <w:tcPr>
            <w:tcW w:w="136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40A9260C" w14:textId="77777777" w:rsidR="00140083" w:rsidRPr="00C00F3A" w:rsidRDefault="00176BB0">
            <w:pPr>
              <w:jc w:val="center"/>
              <w:rPr>
                <w:lang w:val="en-GB"/>
              </w:rPr>
            </w:pPr>
            <w:r w:rsidRPr="00C00F3A">
              <w:rPr>
                <w:sz w:val="18"/>
                <w:szCs w:val="18"/>
                <w:lang w:val="en-GB"/>
              </w:rPr>
              <w:t>4.1%</w:t>
            </w:r>
          </w:p>
        </w:tc>
        <w:tc>
          <w:tcPr>
            <w:tcW w:w="136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34256B0F" w14:textId="77777777" w:rsidR="00140083" w:rsidRPr="00C00F3A" w:rsidRDefault="00176BB0">
            <w:pPr>
              <w:jc w:val="center"/>
              <w:rPr>
                <w:lang w:val="en-GB"/>
              </w:rPr>
            </w:pPr>
            <w:r w:rsidRPr="00C00F3A">
              <w:rPr>
                <w:sz w:val="18"/>
                <w:szCs w:val="18"/>
                <w:lang w:val="en-GB"/>
              </w:rPr>
              <w:t>4.3%</w:t>
            </w:r>
          </w:p>
        </w:tc>
        <w:tc>
          <w:tcPr>
            <w:tcW w:w="136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1A88E9FB" w14:textId="77777777" w:rsidR="00140083" w:rsidRPr="00C00F3A" w:rsidRDefault="00176BB0">
            <w:pPr>
              <w:jc w:val="center"/>
              <w:rPr>
                <w:lang w:val="en-GB"/>
              </w:rPr>
            </w:pPr>
            <w:r w:rsidRPr="00C00F3A">
              <w:rPr>
                <w:sz w:val="18"/>
                <w:szCs w:val="18"/>
                <w:lang w:val="en-GB"/>
              </w:rPr>
              <w:t>4.2%</w:t>
            </w:r>
          </w:p>
        </w:tc>
        <w:tc>
          <w:tcPr>
            <w:tcW w:w="136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1184F942" w14:textId="77777777" w:rsidR="00140083" w:rsidRPr="00C00F3A" w:rsidRDefault="00176BB0">
            <w:pPr>
              <w:jc w:val="center"/>
              <w:rPr>
                <w:lang w:val="en-GB"/>
              </w:rPr>
            </w:pPr>
            <w:r w:rsidRPr="00C00F3A">
              <w:rPr>
                <w:sz w:val="18"/>
                <w:szCs w:val="18"/>
                <w:lang w:val="en-GB"/>
              </w:rPr>
              <w:t>2.0%</w:t>
            </w:r>
          </w:p>
        </w:tc>
        <w:tc>
          <w:tcPr>
            <w:tcW w:w="1366"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355B1FDC" w14:textId="77777777" w:rsidR="00140083" w:rsidRPr="00C00F3A" w:rsidRDefault="00176BB0">
            <w:pPr>
              <w:jc w:val="center"/>
              <w:rPr>
                <w:lang w:val="en-GB"/>
              </w:rPr>
            </w:pPr>
            <w:r w:rsidRPr="00C00F3A">
              <w:rPr>
                <w:sz w:val="18"/>
                <w:szCs w:val="18"/>
                <w:lang w:val="en-GB"/>
              </w:rPr>
              <w:t>1.9%</w:t>
            </w:r>
          </w:p>
        </w:tc>
      </w:tr>
      <w:tr w:rsidR="00140083" w:rsidRPr="00C00F3A" w14:paraId="551FF704" w14:textId="77777777">
        <w:tc>
          <w:tcPr>
            <w:tcW w:w="28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124C19A3" w14:textId="77777777" w:rsidR="00140083" w:rsidRPr="00C00F3A" w:rsidRDefault="00176BB0">
            <w:pPr>
              <w:rPr>
                <w:lang w:val="en-GB"/>
              </w:rPr>
            </w:pPr>
            <w:r w:rsidRPr="00C00F3A">
              <w:rPr>
                <w:sz w:val="18"/>
                <w:szCs w:val="18"/>
                <w:lang w:val="en-GB"/>
              </w:rPr>
              <w:t>Net Margin</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0C803E63" w14:textId="77777777" w:rsidR="00140083" w:rsidRPr="00C00F3A" w:rsidRDefault="00176BB0">
            <w:pPr>
              <w:jc w:val="center"/>
              <w:rPr>
                <w:lang w:val="en-GB"/>
              </w:rPr>
            </w:pPr>
            <w:r w:rsidRPr="00C00F3A">
              <w:rPr>
                <w:sz w:val="18"/>
                <w:szCs w:val="18"/>
                <w:lang w:val="en-GB"/>
              </w:rPr>
              <w:t>2.4%</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2EE609F9" w14:textId="77777777" w:rsidR="00140083" w:rsidRPr="00C00F3A" w:rsidRDefault="00176BB0">
            <w:pPr>
              <w:jc w:val="center"/>
              <w:rPr>
                <w:lang w:val="en-GB"/>
              </w:rPr>
            </w:pPr>
            <w:r w:rsidRPr="00C00F3A">
              <w:rPr>
                <w:sz w:val="18"/>
                <w:szCs w:val="18"/>
                <w:lang w:val="en-GB"/>
              </w:rPr>
              <w:t>2.7%</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A195D2A" w14:textId="77777777" w:rsidR="00140083" w:rsidRPr="00C00F3A" w:rsidRDefault="00176BB0">
            <w:pPr>
              <w:jc w:val="center"/>
              <w:rPr>
                <w:lang w:val="en-GB"/>
              </w:rPr>
            </w:pPr>
            <w:r w:rsidRPr="00C00F3A">
              <w:rPr>
                <w:sz w:val="18"/>
                <w:szCs w:val="18"/>
                <w:lang w:val="en-GB"/>
              </w:rPr>
              <w:t>2.0%</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A17E794" w14:textId="77777777" w:rsidR="00140083" w:rsidRPr="00C00F3A" w:rsidRDefault="00176BB0">
            <w:pPr>
              <w:jc w:val="center"/>
              <w:rPr>
                <w:lang w:val="en-GB"/>
              </w:rPr>
            </w:pPr>
            <w:r w:rsidRPr="00C00F3A">
              <w:rPr>
                <w:sz w:val="18"/>
                <w:szCs w:val="18"/>
                <w:lang w:val="en-GB"/>
              </w:rPr>
              <w:t>0.1%</w:t>
            </w:r>
          </w:p>
        </w:tc>
        <w:tc>
          <w:tcPr>
            <w:tcW w:w="136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121BF202" w14:textId="77777777" w:rsidR="00140083" w:rsidRPr="00C00F3A" w:rsidRDefault="00176BB0">
            <w:pPr>
              <w:jc w:val="center"/>
              <w:rPr>
                <w:lang w:val="en-GB"/>
              </w:rPr>
            </w:pPr>
            <w:r w:rsidRPr="00C00F3A">
              <w:rPr>
                <w:sz w:val="18"/>
                <w:szCs w:val="18"/>
                <w:lang w:val="en-GB"/>
              </w:rPr>
              <w:t>−</w:t>
            </w:r>
            <w:r w:rsidRPr="00C00F3A">
              <w:rPr>
                <w:sz w:val="18"/>
                <w:szCs w:val="18"/>
                <w:lang w:val="en-GB"/>
              </w:rPr>
              <w:t>0.1%</w:t>
            </w:r>
          </w:p>
        </w:tc>
      </w:tr>
      <w:tr w:rsidR="00140083" w:rsidRPr="00C00F3A" w14:paraId="404CF186" w14:textId="77777777">
        <w:tc>
          <w:tcPr>
            <w:tcW w:w="2800"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46542873" w14:textId="77777777" w:rsidR="00140083" w:rsidRPr="00C00F3A" w:rsidRDefault="00176BB0">
            <w:pPr>
              <w:rPr>
                <w:lang w:val="en-GB"/>
              </w:rPr>
            </w:pPr>
            <w:r w:rsidRPr="00C00F3A">
              <w:rPr>
                <w:sz w:val="18"/>
                <w:szCs w:val="18"/>
                <w:lang w:val="en-GB"/>
              </w:rPr>
              <w:t>ROE</w:t>
            </w:r>
          </w:p>
        </w:tc>
        <w:tc>
          <w:tcPr>
            <w:tcW w:w="136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25A08F02" w14:textId="77777777" w:rsidR="00140083" w:rsidRPr="00C00F3A" w:rsidRDefault="00176BB0">
            <w:pPr>
              <w:jc w:val="center"/>
              <w:rPr>
                <w:lang w:val="en-GB"/>
              </w:rPr>
            </w:pPr>
            <w:r w:rsidRPr="00C00F3A">
              <w:rPr>
                <w:sz w:val="18"/>
                <w:szCs w:val="18"/>
                <w:lang w:val="en-GB"/>
              </w:rPr>
              <w:t>13.2%</w:t>
            </w:r>
          </w:p>
        </w:tc>
        <w:tc>
          <w:tcPr>
            <w:tcW w:w="136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1B9B014B" w14:textId="77777777" w:rsidR="00140083" w:rsidRPr="00C00F3A" w:rsidRDefault="00176BB0">
            <w:pPr>
              <w:jc w:val="center"/>
              <w:rPr>
                <w:lang w:val="en-GB"/>
              </w:rPr>
            </w:pPr>
            <w:r w:rsidRPr="00C00F3A">
              <w:rPr>
                <w:sz w:val="18"/>
                <w:szCs w:val="18"/>
                <w:lang w:val="en-GB"/>
              </w:rPr>
              <w:t>23.6%</w:t>
            </w:r>
          </w:p>
        </w:tc>
        <w:tc>
          <w:tcPr>
            <w:tcW w:w="136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248D4B40" w14:textId="77777777" w:rsidR="00140083" w:rsidRPr="00C00F3A" w:rsidRDefault="00176BB0">
            <w:pPr>
              <w:jc w:val="center"/>
              <w:rPr>
                <w:lang w:val="en-GB"/>
              </w:rPr>
            </w:pPr>
            <w:r w:rsidRPr="00C00F3A">
              <w:rPr>
                <w:sz w:val="18"/>
                <w:szCs w:val="18"/>
                <w:lang w:val="en-GB"/>
              </w:rPr>
              <w:t>17.4%</w:t>
            </w:r>
          </w:p>
        </w:tc>
        <w:tc>
          <w:tcPr>
            <w:tcW w:w="136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5B8CA825" w14:textId="77777777" w:rsidR="00140083" w:rsidRPr="00C00F3A" w:rsidRDefault="00176BB0">
            <w:pPr>
              <w:jc w:val="center"/>
              <w:rPr>
                <w:lang w:val="en-GB"/>
              </w:rPr>
            </w:pPr>
            <w:r w:rsidRPr="00C00F3A">
              <w:rPr>
                <w:sz w:val="18"/>
                <w:szCs w:val="18"/>
                <w:lang w:val="en-GB"/>
              </w:rPr>
              <w:t>0.7%</w:t>
            </w:r>
          </w:p>
        </w:tc>
        <w:tc>
          <w:tcPr>
            <w:tcW w:w="1366"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3E1B81BC" w14:textId="77777777" w:rsidR="00140083" w:rsidRPr="00C00F3A" w:rsidRDefault="00176BB0">
            <w:pPr>
              <w:jc w:val="center"/>
              <w:rPr>
                <w:lang w:val="en-GB"/>
              </w:rPr>
            </w:pPr>
            <w:r w:rsidRPr="00C00F3A">
              <w:rPr>
                <w:sz w:val="18"/>
                <w:szCs w:val="18"/>
                <w:lang w:val="en-GB"/>
              </w:rPr>
              <w:t>−</w:t>
            </w:r>
            <w:r w:rsidRPr="00C00F3A">
              <w:rPr>
                <w:sz w:val="18"/>
                <w:szCs w:val="18"/>
                <w:lang w:val="en-GB"/>
              </w:rPr>
              <w:t>1.7%</w:t>
            </w:r>
          </w:p>
        </w:tc>
      </w:tr>
      <w:tr w:rsidR="00140083" w:rsidRPr="00C00F3A" w14:paraId="40DEB78E" w14:textId="77777777">
        <w:tc>
          <w:tcPr>
            <w:tcW w:w="28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62DA6E8E" w14:textId="77777777" w:rsidR="00140083" w:rsidRPr="00C00F3A" w:rsidRDefault="00176BB0">
            <w:pPr>
              <w:rPr>
                <w:lang w:val="en-GB"/>
              </w:rPr>
            </w:pPr>
            <w:r w:rsidRPr="00C00F3A">
              <w:rPr>
                <w:sz w:val="18"/>
                <w:szCs w:val="18"/>
                <w:lang w:val="en-GB"/>
              </w:rPr>
              <w:t>ROA</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70D0255C" w14:textId="77777777" w:rsidR="00140083" w:rsidRPr="00C00F3A" w:rsidRDefault="00176BB0">
            <w:pPr>
              <w:jc w:val="center"/>
              <w:rPr>
                <w:lang w:val="en-GB"/>
              </w:rPr>
            </w:pPr>
            <w:r w:rsidRPr="00C00F3A">
              <w:rPr>
                <w:sz w:val="18"/>
                <w:szCs w:val="18"/>
                <w:lang w:val="en-GB"/>
              </w:rPr>
              <w:t>2.3%</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7C362A36" w14:textId="77777777" w:rsidR="00140083" w:rsidRPr="00C00F3A" w:rsidRDefault="00176BB0">
            <w:pPr>
              <w:jc w:val="center"/>
              <w:rPr>
                <w:lang w:val="en-GB"/>
              </w:rPr>
            </w:pPr>
            <w:r w:rsidRPr="00C00F3A">
              <w:rPr>
                <w:sz w:val="18"/>
                <w:szCs w:val="18"/>
                <w:lang w:val="en-GB"/>
              </w:rPr>
              <w:t>4.0%</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4FE5A1F" w14:textId="77777777" w:rsidR="00140083" w:rsidRPr="00C00F3A" w:rsidRDefault="00176BB0">
            <w:pPr>
              <w:jc w:val="center"/>
              <w:rPr>
                <w:lang w:val="en-GB"/>
              </w:rPr>
            </w:pPr>
            <w:r w:rsidRPr="00C00F3A">
              <w:rPr>
                <w:sz w:val="18"/>
                <w:szCs w:val="18"/>
                <w:lang w:val="en-GB"/>
              </w:rPr>
              <w:t>3.5%</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6CD41E84" w14:textId="77777777" w:rsidR="00140083" w:rsidRPr="00C00F3A" w:rsidRDefault="00176BB0">
            <w:pPr>
              <w:jc w:val="center"/>
              <w:rPr>
                <w:lang w:val="en-GB"/>
              </w:rPr>
            </w:pPr>
            <w:r w:rsidRPr="00C00F3A">
              <w:rPr>
                <w:sz w:val="18"/>
                <w:szCs w:val="18"/>
                <w:lang w:val="en-GB"/>
              </w:rPr>
              <w:t>0.1%</w:t>
            </w:r>
          </w:p>
        </w:tc>
        <w:tc>
          <w:tcPr>
            <w:tcW w:w="136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20A3A431" w14:textId="77777777" w:rsidR="00140083" w:rsidRPr="00C00F3A" w:rsidRDefault="00176BB0">
            <w:pPr>
              <w:jc w:val="center"/>
              <w:rPr>
                <w:lang w:val="en-GB"/>
              </w:rPr>
            </w:pPr>
            <w:r w:rsidRPr="00C00F3A">
              <w:rPr>
                <w:sz w:val="18"/>
                <w:szCs w:val="18"/>
                <w:lang w:val="en-GB"/>
              </w:rPr>
              <w:t>−</w:t>
            </w:r>
            <w:r w:rsidRPr="00C00F3A">
              <w:rPr>
                <w:sz w:val="18"/>
                <w:szCs w:val="18"/>
                <w:lang w:val="en-GB"/>
              </w:rPr>
              <w:t>0.2%</w:t>
            </w:r>
          </w:p>
        </w:tc>
      </w:tr>
    </w:tbl>
    <w:p w14:paraId="3B348E90" w14:textId="784D1ECD" w:rsidR="00140083" w:rsidRPr="00C00F3A" w:rsidRDefault="00176BB0" w:rsidP="000D3924">
      <w:pPr>
        <w:spacing w:before="60" w:after="160"/>
        <w:jc w:val="center"/>
        <w:rPr>
          <w:lang w:val="en-GB"/>
        </w:rPr>
      </w:pPr>
      <w:r w:rsidRPr="00C00F3A">
        <w:rPr>
          <w:sz w:val="16"/>
          <w:szCs w:val="16"/>
          <w:lang w:val="en-GB"/>
        </w:rPr>
        <w:t>Source: Wolseley Group Annual Reports 2021–2025</w:t>
      </w:r>
    </w:p>
    <w:p w14:paraId="6A4E0B31" w14:textId="6FA45B90" w:rsidR="00140083" w:rsidRPr="00C00F3A" w:rsidRDefault="001B42CE">
      <w:pPr>
        <w:spacing w:after="160" w:line="360" w:lineRule="auto"/>
        <w:jc w:val="both"/>
        <w:rPr>
          <w:lang w:val="en-GB"/>
        </w:rPr>
      </w:pPr>
      <w:r w:rsidRPr="00C00F3A">
        <w:rPr>
          <w:lang w:val="en-GB"/>
        </w:rPr>
        <w:lastRenderedPageBreak/>
        <w:t>The return on equity (ROE) reached a peak of 23.6% in FY22 and then plunged to −1.7% in FY25. The reason for this is the decline in absolute profits along with an equity base that has been significantly reduced (owing to the huge dividend payout). In comparison with its publicly-listed counterparts, like Travis Perkins, whose ROE has been in the teens in the past couple of years, the company performed very well in the middle of its financial life, but the fall in FY24 and FY25 is definitely a major red flag.</w:t>
      </w:r>
    </w:p>
    <w:p w14:paraId="4F1051AF" w14:textId="77777777" w:rsidR="00140083" w:rsidRPr="00C00F3A" w:rsidRDefault="00176BB0">
      <w:pPr>
        <w:pStyle w:val="Heading2"/>
        <w:rPr>
          <w:color w:val="auto"/>
          <w:lang w:val="en-GB"/>
        </w:rPr>
      </w:pPr>
      <w:bookmarkStart w:id="8" w:name="_Toc237515746"/>
      <w:r w:rsidRPr="00C00F3A">
        <w:rPr>
          <w:color w:val="auto"/>
          <w:lang w:val="en-GB"/>
        </w:rPr>
        <w:t>2.3 Liquidity Analysis and Industry Benchmarking</w:t>
      </w:r>
      <w:bookmarkEnd w:id="8"/>
    </w:p>
    <w:p w14:paraId="401A7C38" w14:textId="17D5E4E6" w:rsidR="00140083" w:rsidRPr="00C00F3A" w:rsidRDefault="001B42CE">
      <w:pPr>
        <w:spacing w:after="160" w:line="360" w:lineRule="auto"/>
        <w:jc w:val="both"/>
        <w:rPr>
          <w:lang w:val="en-GB"/>
        </w:rPr>
      </w:pPr>
      <w:r w:rsidRPr="00C00F3A">
        <w:rPr>
          <w:lang w:val="en-GB"/>
        </w:rPr>
        <w:t>The current ratio stayed well above 1.5 for the whole period (1.43 to 1.64), which shows that current assets sufficiently meet current liabilities. The quick ratio-maintained values close to 0.9-1.0, which means that inventory makes up a significant portion of current assets, which is quite expected for a wholesaler company. The cash ratio was rather low (0.17-0.21).</w:t>
      </w:r>
    </w:p>
    <w:p w14:paraId="531C3B6C" w14:textId="77777777" w:rsidR="00140083" w:rsidRPr="00C00F3A" w:rsidRDefault="00176BB0">
      <w:pPr>
        <w:spacing w:before="160" w:after="80"/>
        <w:rPr>
          <w:lang w:val="en-GB"/>
        </w:rPr>
      </w:pPr>
      <w:r w:rsidRPr="00C00F3A">
        <w:rPr>
          <w:b/>
          <w:bCs/>
          <w:sz w:val="20"/>
          <w:szCs w:val="20"/>
          <w:lang w:val="en-GB"/>
        </w:rPr>
        <w:t>Table 3: Liquidity Ratios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1368"/>
        <w:gridCol w:w="1368"/>
        <w:gridCol w:w="1368"/>
        <w:gridCol w:w="1368"/>
        <w:gridCol w:w="1366"/>
      </w:tblGrid>
      <w:tr w:rsidR="00140083" w:rsidRPr="00C00F3A" w14:paraId="4196B269" w14:textId="77777777">
        <w:tc>
          <w:tcPr>
            <w:tcW w:w="2800"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7D207838" w14:textId="77777777" w:rsidR="00140083" w:rsidRPr="00C00F3A" w:rsidRDefault="00176BB0">
            <w:pPr>
              <w:rPr>
                <w:lang w:val="en-GB"/>
              </w:rPr>
            </w:pPr>
            <w:r w:rsidRPr="00C00F3A">
              <w:rPr>
                <w:b/>
                <w:bCs/>
                <w:sz w:val="18"/>
                <w:szCs w:val="18"/>
                <w:lang w:val="en-GB"/>
              </w:rPr>
              <w:t>Ratio</w:t>
            </w:r>
          </w:p>
        </w:tc>
        <w:tc>
          <w:tcPr>
            <w:tcW w:w="136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61B10250" w14:textId="77777777" w:rsidR="00140083" w:rsidRPr="00C00F3A" w:rsidRDefault="00176BB0">
            <w:pPr>
              <w:jc w:val="center"/>
              <w:rPr>
                <w:lang w:val="en-GB"/>
              </w:rPr>
            </w:pPr>
            <w:r w:rsidRPr="00C00F3A">
              <w:rPr>
                <w:b/>
                <w:bCs/>
                <w:sz w:val="18"/>
                <w:szCs w:val="18"/>
                <w:lang w:val="en-GB"/>
              </w:rPr>
              <w:t>FY21</w:t>
            </w:r>
          </w:p>
        </w:tc>
        <w:tc>
          <w:tcPr>
            <w:tcW w:w="136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5EB2AE92" w14:textId="77777777" w:rsidR="00140083" w:rsidRPr="00C00F3A" w:rsidRDefault="00176BB0">
            <w:pPr>
              <w:jc w:val="center"/>
              <w:rPr>
                <w:lang w:val="en-GB"/>
              </w:rPr>
            </w:pPr>
            <w:r w:rsidRPr="00C00F3A">
              <w:rPr>
                <w:b/>
                <w:bCs/>
                <w:sz w:val="18"/>
                <w:szCs w:val="18"/>
                <w:lang w:val="en-GB"/>
              </w:rPr>
              <w:t>FY22</w:t>
            </w:r>
          </w:p>
        </w:tc>
        <w:tc>
          <w:tcPr>
            <w:tcW w:w="136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07E00C61" w14:textId="77777777" w:rsidR="00140083" w:rsidRPr="00C00F3A" w:rsidRDefault="00176BB0">
            <w:pPr>
              <w:jc w:val="center"/>
              <w:rPr>
                <w:lang w:val="en-GB"/>
              </w:rPr>
            </w:pPr>
            <w:r w:rsidRPr="00C00F3A">
              <w:rPr>
                <w:b/>
                <w:bCs/>
                <w:sz w:val="18"/>
                <w:szCs w:val="18"/>
                <w:lang w:val="en-GB"/>
              </w:rPr>
              <w:t>FY23</w:t>
            </w:r>
          </w:p>
        </w:tc>
        <w:tc>
          <w:tcPr>
            <w:tcW w:w="136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3947A9F3" w14:textId="77777777" w:rsidR="00140083" w:rsidRPr="00C00F3A" w:rsidRDefault="00176BB0">
            <w:pPr>
              <w:jc w:val="center"/>
              <w:rPr>
                <w:lang w:val="en-GB"/>
              </w:rPr>
            </w:pPr>
            <w:r w:rsidRPr="00C00F3A">
              <w:rPr>
                <w:b/>
                <w:bCs/>
                <w:sz w:val="18"/>
                <w:szCs w:val="18"/>
                <w:lang w:val="en-GB"/>
              </w:rPr>
              <w:t>FY24</w:t>
            </w:r>
          </w:p>
        </w:tc>
        <w:tc>
          <w:tcPr>
            <w:tcW w:w="1366"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0D4F9869" w14:textId="77777777" w:rsidR="00140083" w:rsidRPr="00C00F3A" w:rsidRDefault="00176BB0">
            <w:pPr>
              <w:jc w:val="center"/>
              <w:rPr>
                <w:lang w:val="en-GB"/>
              </w:rPr>
            </w:pPr>
            <w:r w:rsidRPr="00C00F3A">
              <w:rPr>
                <w:b/>
                <w:bCs/>
                <w:sz w:val="18"/>
                <w:szCs w:val="18"/>
                <w:lang w:val="en-GB"/>
              </w:rPr>
              <w:t>FY25</w:t>
            </w:r>
          </w:p>
        </w:tc>
      </w:tr>
      <w:tr w:rsidR="00140083" w:rsidRPr="00C00F3A" w14:paraId="38574360" w14:textId="77777777">
        <w:tc>
          <w:tcPr>
            <w:tcW w:w="28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D473DCF" w14:textId="77777777" w:rsidR="00140083" w:rsidRPr="00C00F3A" w:rsidRDefault="00176BB0">
            <w:pPr>
              <w:rPr>
                <w:lang w:val="en-GB"/>
              </w:rPr>
            </w:pPr>
            <w:r w:rsidRPr="00C00F3A">
              <w:rPr>
                <w:sz w:val="18"/>
                <w:szCs w:val="18"/>
                <w:lang w:val="en-GB"/>
              </w:rPr>
              <w:t>Current Ratio</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11B1BF8" w14:textId="77777777" w:rsidR="00140083" w:rsidRPr="00C00F3A" w:rsidRDefault="00176BB0">
            <w:pPr>
              <w:jc w:val="center"/>
              <w:rPr>
                <w:lang w:val="en-GB"/>
              </w:rPr>
            </w:pPr>
            <w:r w:rsidRPr="00C00F3A">
              <w:rPr>
                <w:sz w:val="18"/>
                <w:szCs w:val="18"/>
                <w:lang w:val="en-GB"/>
              </w:rPr>
              <w:t>1.43</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80CD6E7" w14:textId="77777777" w:rsidR="00140083" w:rsidRPr="00C00F3A" w:rsidRDefault="00176BB0">
            <w:pPr>
              <w:jc w:val="center"/>
              <w:rPr>
                <w:lang w:val="en-GB"/>
              </w:rPr>
            </w:pPr>
            <w:r w:rsidRPr="00C00F3A">
              <w:rPr>
                <w:sz w:val="18"/>
                <w:szCs w:val="18"/>
                <w:lang w:val="en-GB"/>
              </w:rPr>
              <w:t>1.57</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2F9D45A5" w14:textId="77777777" w:rsidR="00140083" w:rsidRPr="00C00F3A" w:rsidRDefault="00176BB0">
            <w:pPr>
              <w:jc w:val="center"/>
              <w:rPr>
                <w:lang w:val="en-GB"/>
              </w:rPr>
            </w:pPr>
            <w:r w:rsidRPr="00C00F3A">
              <w:rPr>
                <w:sz w:val="18"/>
                <w:szCs w:val="18"/>
                <w:lang w:val="en-GB"/>
              </w:rPr>
              <w:t>1.64</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3F8589BB" w14:textId="77777777" w:rsidR="00140083" w:rsidRPr="00C00F3A" w:rsidRDefault="00176BB0">
            <w:pPr>
              <w:jc w:val="center"/>
              <w:rPr>
                <w:lang w:val="en-GB"/>
              </w:rPr>
            </w:pPr>
            <w:r w:rsidRPr="00C00F3A">
              <w:rPr>
                <w:sz w:val="18"/>
                <w:szCs w:val="18"/>
                <w:lang w:val="en-GB"/>
              </w:rPr>
              <w:t>1.57</w:t>
            </w:r>
          </w:p>
        </w:tc>
        <w:tc>
          <w:tcPr>
            <w:tcW w:w="136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0101AD05" w14:textId="77777777" w:rsidR="00140083" w:rsidRPr="00C00F3A" w:rsidRDefault="00176BB0">
            <w:pPr>
              <w:jc w:val="center"/>
              <w:rPr>
                <w:lang w:val="en-GB"/>
              </w:rPr>
            </w:pPr>
            <w:r w:rsidRPr="00C00F3A">
              <w:rPr>
                <w:sz w:val="18"/>
                <w:szCs w:val="18"/>
                <w:lang w:val="en-GB"/>
              </w:rPr>
              <w:t>1.56</w:t>
            </w:r>
          </w:p>
        </w:tc>
      </w:tr>
      <w:tr w:rsidR="00140083" w:rsidRPr="00C00F3A" w14:paraId="766BA7B0" w14:textId="77777777">
        <w:tc>
          <w:tcPr>
            <w:tcW w:w="2800"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06C09A50" w14:textId="77777777" w:rsidR="00140083" w:rsidRPr="00C00F3A" w:rsidRDefault="00176BB0">
            <w:pPr>
              <w:rPr>
                <w:lang w:val="en-GB"/>
              </w:rPr>
            </w:pPr>
            <w:r w:rsidRPr="00C00F3A">
              <w:rPr>
                <w:sz w:val="18"/>
                <w:szCs w:val="18"/>
                <w:lang w:val="en-GB"/>
              </w:rPr>
              <w:t>Quick Ratio</w:t>
            </w:r>
          </w:p>
        </w:tc>
        <w:tc>
          <w:tcPr>
            <w:tcW w:w="136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25ECA53D" w14:textId="77777777" w:rsidR="00140083" w:rsidRPr="00C00F3A" w:rsidRDefault="00176BB0">
            <w:pPr>
              <w:jc w:val="center"/>
              <w:rPr>
                <w:lang w:val="en-GB"/>
              </w:rPr>
            </w:pPr>
            <w:r w:rsidRPr="00C00F3A">
              <w:rPr>
                <w:sz w:val="18"/>
                <w:szCs w:val="18"/>
                <w:lang w:val="en-GB"/>
              </w:rPr>
              <w:t>0.91</w:t>
            </w:r>
          </w:p>
        </w:tc>
        <w:tc>
          <w:tcPr>
            <w:tcW w:w="136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028BD527" w14:textId="77777777" w:rsidR="00140083" w:rsidRPr="00C00F3A" w:rsidRDefault="00176BB0">
            <w:pPr>
              <w:jc w:val="center"/>
              <w:rPr>
                <w:lang w:val="en-GB"/>
              </w:rPr>
            </w:pPr>
            <w:r w:rsidRPr="00C00F3A">
              <w:rPr>
                <w:sz w:val="18"/>
                <w:szCs w:val="18"/>
                <w:lang w:val="en-GB"/>
              </w:rPr>
              <w:t>0.98</w:t>
            </w:r>
          </w:p>
        </w:tc>
        <w:tc>
          <w:tcPr>
            <w:tcW w:w="136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497CF14A" w14:textId="77777777" w:rsidR="00140083" w:rsidRPr="00C00F3A" w:rsidRDefault="00176BB0">
            <w:pPr>
              <w:jc w:val="center"/>
              <w:rPr>
                <w:lang w:val="en-GB"/>
              </w:rPr>
            </w:pPr>
            <w:r w:rsidRPr="00C00F3A">
              <w:rPr>
                <w:sz w:val="18"/>
                <w:szCs w:val="18"/>
                <w:lang w:val="en-GB"/>
              </w:rPr>
              <w:t>1.02</w:t>
            </w:r>
          </w:p>
        </w:tc>
        <w:tc>
          <w:tcPr>
            <w:tcW w:w="136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59417F99" w14:textId="77777777" w:rsidR="00140083" w:rsidRPr="00C00F3A" w:rsidRDefault="00176BB0">
            <w:pPr>
              <w:jc w:val="center"/>
              <w:rPr>
                <w:lang w:val="en-GB"/>
              </w:rPr>
            </w:pPr>
            <w:r w:rsidRPr="00C00F3A">
              <w:rPr>
                <w:sz w:val="18"/>
                <w:szCs w:val="18"/>
                <w:lang w:val="en-GB"/>
              </w:rPr>
              <w:t>0.98</w:t>
            </w:r>
          </w:p>
        </w:tc>
        <w:tc>
          <w:tcPr>
            <w:tcW w:w="1366"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40C8E7A6" w14:textId="77777777" w:rsidR="00140083" w:rsidRPr="00C00F3A" w:rsidRDefault="00176BB0">
            <w:pPr>
              <w:jc w:val="center"/>
              <w:rPr>
                <w:lang w:val="en-GB"/>
              </w:rPr>
            </w:pPr>
            <w:r w:rsidRPr="00C00F3A">
              <w:rPr>
                <w:sz w:val="18"/>
                <w:szCs w:val="18"/>
                <w:lang w:val="en-GB"/>
              </w:rPr>
              <w:t>0.96</w:t>
            </w:r>
          </w:p>
        </w:tc>
      </w:tr>
      <w:tr w:rsidR="00140083" w:rsidRPr="00C00F3A" w14:paraId="40501BD4" w14:textId="77777777">
        <w:tc>
          <w:tcPr>
            <w:tcW w:w="28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1B0D09B8" w14:textId="77777777" w:rsidR="00140083" w:rsidRPr="00C00F3A" w:rsidRDefault="00176BB0">
            <w:pPr>
              <w:rPr>
                <w:lang w:val="en-GB"/>
              </w:rPr>
            </w:pPr>
            <w:r w:rsidRPr="00C00F3A">
              <w:rPr>
                <w:sz w:val="18"/>
                <w:szCs w:val="18"/>
                <w:lang w:val="en-GB"/>
              </w:rPr>
              <w:t>Cash Ratio</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5E3A9835" w14:textId="77777777" w:rsidR="00140083" w:rsidRPr="00C00F3A" w:rsidRDefault="00176BB0">
            <w:pPr>
              <w:jc w:val="center"/>
              <w:rPr>
                <w:lang w:val="en-GB"/>
              </w:rPr>
            </w:pPr>
            <w:r w:rsidRPr="00C00F3A">
              <w:rPr>
                <w:sz w:val="18"/>
                <w:szCs w:val="18"/>
                <w:lang w:val="en-GB"/>
              </w:rPr>
              <w:t>0.17</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08EE0438" w14:textId="77777777" w:rsidR="00140083" w:rsidRPr="00C00F3A" w:rsidRDefault="00176BB0">
            <w:pPr>
              <w:jc w:val="center"/>
              <w:rPr>
                <w:lang w:val="en-GB"/>
              </w:rPr>
            </w:pPr>
            <w:r w:rsidRPr="00C00F3A">
              <w:rPr>
                <w:sz w:val="18"/>
                <w:szCs w:val="18"/>
                <w:lang w:val="en-GB"/>
              </w:rPr>
              <w:t>0.21</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2E249F74" w14:textId="77777777" w:rsidR="00140083" w:rsidRPr="00C00F3A" w:rsidRDefault="00176BB0">
            <w:pPr>
              <w:jc w:val="center"/>
              <w:rPr>
                <w:lang w:val="en-GB"/>
              </w:rPr>
            </w:pPr>
            <w:r w:rsidRPr="00C00F3A">
              <w:rPr>
                <w:sz w:val="18"/>
                <w:szCs w:val="18"/>
                <w:lang w:val="en-GB"/>
              </w:rPr>
              <w:t>0.21</w:t>
            </w:r>
          </w:p>
        </w:tc>
        <w:tc>
          <w:tcPr>
            <w:tcW w:w="136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E05E714" w14:textId="77777777" w:rsidR="00140083" w:rsidRPr="00C00F3A" w:rsidRDefault="00176BB0">
            <w:pPr>
              <w:jc w:val="center"/>
              <w:rPr>
                <w:lang w:val="en-GB"/>
              </w:rPr>
            </w:pPr>
            <w:r w:rsidRPr="00C00F3A">
              <w:rPr>
                <w:sz w:val="18"/>
                <w:szCs w:val="18"/>
                <w:lang w:val="en-GB"/>
              </w:rPr>
              <w:t>0.19</w:t>
            </w:r>
          </w:p>
        </w:tc>
        <w:tc>
          <w:tcPr>
            <w:tcW w:w="136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537EBE1C" w14:textId="77777777" w:rsidR="00140083" w:rsidRPr="00C00F3A" w:rsidRDefault="00176BB0">
            <w:pPr>
              <w:jc w:val="center"/>
              <w:rPr>
                <w:lang w:val="en-GB"/>
              </w:rPr>
            </w:pPr>
            <w:r w:rsidRPr="00C00F3A">
              <w:rPr>
                <w:sz w:val="18"/>
                <w:szCs w:val="18"/>
                <w:lang w:val="en-GB"/>
              </w:rPr>
              <w:t>0.18</w:t>
            </w:r>
          </w:p>
        </w:tc>
      </w:tr>
    </w:tbl>
    <w:p w14:paraId="5C485DD2" w14:textId="41A39130" w:rsidR="00140083" w:rsidRPr="00C00F3A" w:rsidRDefault="00176BB0" w:rsidP="000D3924">
      <w:pPr>
        <w:spacing w:before="60" w:after="160"/>
        <w:jc w:val="center"/>
        <w:rPr>
          <w:lang w:val="en-GB"/>
        </w:rPr>
      </w:pPr>
      <w:r w:rsidRPr="00C00F3A">
        <w:rPr>
          <w:sz w:val="16"/>
          <w:szCs w:val="16"/>
          <w:lang w:val="en-GB"/>
        </w:rPr>
        <w:t>Source: Wolseley Group Annual Reports 2021–2025.</w:t>
      </w:r>
    </w:p>
    <w:p w14:paraId="5F4417E8" w14:textId="77777777" w:rsidR="00140083" w:rsidRPr="00C00F3A" w:rsidRDefault="00176BB0">
      <w:pPr>
        <w:spacing w:before="120" w:after="80"/>
        <w:jc w:val="center"/>
        <w:rPr>
          <w:lang w:val="en-GB"/>
        </w:rPr>
      </w:pPr>
      <w:r w:rsidRPr="00C00F3A">
        <w:rPr>
          <w:noProof/>
          <w:lang w:val="en-GB"/>
        </w:rPr>
        <w:drawing>
          <wp:inline distT="0" distB="0" distL="0" distR="0" wp14:anchorId="6C8EDCEB" wp14:editId="3FBE0A79">
            <wp:extent cx="4572000" cy="2286000"/>
            <wp:effectExtent l="0" t="0" r="0" b="0"/>
            <wp:docPr id="1418035959" name="Liquidity Chart" descr="Current and Quick ratios"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572000" cy="2286000"/>
                    </a:xfrm>
                    <a:prstGeom prst="rect">
                      <a:avLst/>
                    </a:prstGeom>
                  </pic:spPr>
                </pic:pic>
              </a:graphicData>
            </a:graphic>
          </wp:inline>
        </w:drawing>
      </w:r>
    </w:p>
    <w:p w14:paraId="5255F838" w14:textId="77777777" w:rsidR="00140083" w:rsidRPr="00C00F3A" w:rsidRDefault="00176BB0">
      <w:pPr>
        <w:spacing w:after="160"/>
        <w:jc w:val="center"/>
        <w:rPr>
          <w:i/>
          <w:iCs/>
          <w:sz w:val="18"/>
          <w:szCs w:val="18"/>
          <w:lang w:val="en-GB"/>
        </w:rPr>
      </w:pPr>
      <w:r w:rsidRPr="00C00F3A">
        <w:rPr>
          <w:i/>
          <w:iCs/>
          <w:sz w:val="18"/>
          <w:szCs w:val="18"/>
          <w:lang w:val="en-GB"/>
        </w:rPr>
        <w:t>Figure 2: Liquidity Ratios Trend (FY21–FY25)</w:t>
      </w:r>
    </w:p>
    <w:p w14:paraId="66054741" w14:textId="53C9CE56" w:rsidR="000D3924" w:rsidRPr="00C00F3A" w:rsidRDefault="000D3924">
      <w:pPr>
        <w:spacing w:after="160"/>
        <w:jc w:val="center"/>
        <w:rPr>
          <w:lang w:val="en-GB"/>
        </w:rPr>
      </w:pPr>
      <w:r w:rsidRPr="00C00F3A">
        <w:rPr>
          <w:sz w:val="18"/>
          <w:szCs w:val="18"/>
          <w:lang w:val="en-GB"/>
        </w:rPr>
        <w:t>(Self-Created)</w:t>
      </w:r>
    </w:p>
    <w:p w14:paraId="47206D7C" w14:textId="7EA81E61" w:rsidR="00140083" w:rsidRPr="00C00F3A" w:rsidRDefault="001B42CE">
      <w:pPr>
        <w:spacing w:after="160" w:line="360" w:lineRule="auto"/>
        <w:jc w:val="both"/>
        <w:rPr>
          <w:lang w:val="en-GB"/>
        </w:rPr>
      </w:pPr>
      <w:r w:rsidRPr="00C00F3A">
        <w:rPr>
          <w:lang w:val="en-GB"/>
        </w:rPr>
        <w:t>In terms of industry benchmarking, it can be seen that the current ratio of Wolseley at about 1.55 to 1.60 is in line with or perhaps higher than the norm for UK builders' merchants, which is 1.4 to 1.7. Travis Perkins has maintained its current ratio at 1.5 to 1.6. The quick ratio being close to 1.0 is again in line with what is expected in the industry owing to higher levels of inventories. Thus, liquidity levels are satisfactory but nothing to write home about considering the cash ratio.</w:t>
      </w:r>
    </w:p>
    <w:p w14:paraId="42151287" w14:textId="77777777" w:rsidR="00140083" w:rsidRPr="00C00F3A" w:rsidRDefault="00176BB0">
      <w:pPr>
        <w:pStyle w:val="Heading2"/>
        <w:rPr>
          <w:color w:val="auto"/>
          <w:lang w:val="en-GB"/>
        </w:rPr>
      </w:pPr>
      <w:bookmarkStart w:id="9" w:name="_Toc237515747"/>
      <w:r w:rsidRPr="00C00F3A">
        <w:rPr>
          <w:color w:val="auto"/>
          <w:lang w:val="en-GB"/>
        </w:rPr>
        <w:t>2.4 Efficiency Analysis</w:t>
      </w:r>
      <w:bookmarkEnd w:id="9"/>
    </w:p>
    <w:p w14:paraId="3D748EC6" w14:textId="18DF42E9" w:rsidR="00140083" w:rsidRPr="00C00F3A" w:rsidRDefault="001B42CE">
      <w:pPr>
        <w:spacing w:after="160" w:line="360" w:lineRule="auto"/>
        <w:jc w:val="both"/>
        <w:rPr>
          <w:lang w:val="en-GB"/>
        </w:rPr>
      </w:pPr>
      <w:r w:rsidRPr="00C00F3A">
        <w:rPr>
          <w:lang w:val="en-GB"/>
        </w:rPr>
        <w:lastRenderedPageBreak/>
        <w:t>There has been significant improvement in the asset turnover ratio after the brief FY21 period, having increased from 0.93 to 1.70 during FY23, then settling at 1.65 after that. As for fixed asset turnover ratio (which is the ratio of revenue to property, plant, and equipment plus right-of-use assets), it has increased by more than twice from 4.63 in FY21 to over 9.0 in FY22-FY23, and later declining to 7.3 in FY25. These developments show better efficiency in using the branch network and logistics infrastructure after the integration process post-acquisition.</w:t>
      </w:r>
    </w:p>
    <w:p w14:paraId="3B961194" w14:textId="77777777" w:rsidR="00140083" w:rsidRPr="00C00F3A" w:rsidRDefault="00176BB0">
      <w:pPr>
        <w:spacing w:before="160" w:after="80"/>
        <w:rPr>
          <w:lang w:val="en-GB"/>
        </w:rPr>
      </w:pPr>
      <w:r w:rsidRPr="00C00F3A">
        <w:rPr>
          <w:b/>
          <w:bCs/>
          <w:sz w:val="20"/>
          <w:szCs w:val="20"/>
          <w:lang w:val="en-GB"/>
        </w:rPr>
        <w:t>Table 4: Efficiency Ratios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1288"/>
        <w:gridCol w:w="1288"/>
        <w:gridCol w:w="1288"/>
        <w:gridCol w:w="1288"/>
        <w:gridCol w:w="1286"/>
      </w:tblGrid>
      <w:tr w:rsidR="00140083" w:rsidRPr="00C00F3A" w14:paraId="1F0421C5" w14:textId="77777777">
        <w:tc>
          <w:tcPr>
            <w:tcW w:w="3200"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072D37D5" w14:textId="77777777" w:rsidR="00140083" w:rsidRPr="00C00F3A" w:rsidRDefault="00176BB0">
            <w:pPr>
              <w:rPr>
                <w:lang w:val="en-GB"/>
              </w:rPr>
            </w:pPr>
            <w:r w:rsidRPr="00C00F3A">
              <w:rPr>
                <w:b/>
                <w:bCs/>
                <w:sz w:val="18"/>
                <w:szCs w:val="18"/>
                <w:lang w:val="en-GB"/>
              </w:rPr>
              <w:t>Ratio</w:t>
            </w:r>
          </w:p>
        </w:tc>
        <w:tc>
          <w:tcPr>
            <w:tcW w:w="12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6CC38A6B" w14:textId="77777777" w:rsidR="00140083" w:rsidRPr="00C00F3A" w:rsidRDefault="00176BB0">
            <w:pPr>
              <w:jc w:val="center"/>
              <w:rPr>
                <w:lang w:val="en-GB"/>
              </w:rPr>
            </w:pPr>
            <w:r w:rsidRPr="00C00F3A">
              <w:rPr>
                <w:b/>
                <w:bCs/>
                <w:sz w:val="18"/>
                <w:szCs w:val="18"/>
                <w:lang w:val="en-GB"/>
              </w:rPr>
              <w:t>FY21</w:t>
            </w:r>
          </w:p>
        </w:tc>
        <w:tc>
          <w:tcPr>
            <w:tcW w:w="12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24A212E0" w14:textId="77777777" w:rsidR="00140083" w:rsidRPr="00C00F3A" w:rsidRDefault="00176BB0">
            <w:pPr>
              <w:jc w:val="center"/>
              <w:rPr>
                <w:lang w:val="en-GB"/>
              </w:rPr>
            </w:pPr>
            <w:r w:rsidRPr="00C00F3A">
              <w:rPr>
                <w:b/>
                <w:bCs/>
                <w:sz w:val="18"/>
                <w:szCs w:val="18"/>
                <w:lang w:val="en-GB"/>
              </w:rPr>
              <w:t>FY22</w:t>
            </w:r>
          </w:p>
        </w:tc>
        <w:tc>
          <w:tcPr>
            <w:tcW w:w="12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78BAD358" w14:textId="77777777" w:rsidR="00140083" w:rsidRPr="00C00F3A" w:rsidRDefault="00176BB0">
            <w:pPr>
              <w:jc w:val="center"/>
              <w:rPr>
                <w:lang w:val="en-GB"/>
              </w:rPr>
            </w:pPr>
            <w:r w:rsidRPr="00C00F3A">
              <w:rPr>
                <w:b/>
                <w:bCs/>
                <w:sz w:val="18"/>
                <w:szCs w:val="18"/>
                <w:lang w:val="en-GB"/>
              </w:rPr>
              <w:t>FY23</w:t>
            </w:r>
          </w:p>
        </w:tc>
        <w:tc>
          <w:tcPr>
            <w:tcW w:w="12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324ACB1C" w14:textId="77777777" w:rsidR="00140083" w:rsidRPr="00C00F3A" w:rsidRDefault="00176BB0">
            <w:pPr>
              <w:jc w:val="center"/>
              <w:rPr>
                <w:lang w:val="en-GB"/>
              </w:rPr>
            </w:pPr>
            <w:r w:rsidRPr="00C00F3A">
              <w:rPr>
                <w:b/>
                <w:bCs/>
                <w:sz w:val="18"/>
                <w:szCs w:val="18"/>
                <w:lang w:val="en-GB"/>
              </w:rPr>
              <w:t>FY24</w:t>
            </w:r>
          </w:p>
        </w:tc>
        <w:tc>
          <w:tcPr>
            <w:tcW w:w="1286"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7A5EB9A0" w14:textId="77777777" w:rsidR="00140083" w:rsidRPr="00C00F3A" w:rsidRDefault="00176BB0">
            <w:pPr>
              <w:jc w:val="center"/>
              <w:rPr>
                <w:lang w:val="en-GB"/>
              </w:rPr>
            </w:pPr>
            <w:r w:rsidRPr="00C00F3A">
              <w:rPr>
                <w:b/>
                <w:bCs/>
                <w:sz w:val="18"/>
                <w:szCs w:val="18"/>
                <w:lang w:val="en-GB"/>
              </w:rPr>
              <w:t>FY25</w:t>
            </w:r>
          </w:p>
        </w:tc>
      </w:tr>
      <w:tr w:rsidR="00140083" w:rsidRPr="00C00F3A" w14:paraId="3F3BC722" w14:textId="77777777">
        <w:tc>
          <w:tcPr>
            <w:tcW w:w="32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7C9032BE" w14:textId="77777777" w:rsidR="00140083" w:rsidRPr="00C00F3A" w:rsidRDefault="00176BB0">
            <w:pPr>
              <w:rPr>
                <w:lang w:val="en-GB"/>
              </w:rPr>
            </w:pPr>
            <w:r w:rsidRPr="00C00F3A">
              <w:rPr>
                <w:sz w:val="18"/>
                <w:szCs w:val="18"/>
                <w:lang w:val="en-GB"/>
              </w:rPr>
              <w:t>Asset Turnover</w:t>
            </w:r>
          </w:p>
        </w:tc>
        <w:tc>
          <w:tcPr>
            <w:tcW w:w="12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2F79B5C" w14:textId="77777777" w:rsidR="00140083" w:rsidRPr="00C00F3A" w:rsidRDefault="00176BB0">
            <w:pPr>
              <w:jc w:val="center"/>
              <w:rPr>
                <w:lang w:val="en-GB"/>
              </w:rPr>
            </w:pPr>
            <w:r w:rsidRPr="00C00F3A">
              <w:rPr>
                <w:sz w:val="18"/>
                <w:szCs w:val="18"/>
                <w:lang w:val="en-GB"/>
              </w:rPr>
              <w:t>0.93</w:t>
            </w:r>
          </w:p>
        </w:tc>
        <w:tc>
          <w:tcPr>
            <w:tcW w:w="12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300FE779" w14:textId="77777777" w:rsidR="00140083" w:rsidRPr="00C00F3A" w:rsidRDefault="00176BB0">
            <w:pPr>
              <w:jc w:val="center"/>
              <w:rPr>
                <w:lang w:val="en-GB"/>
              </w:rPr>
            </w:pPr>
            <w:r w:rsidRPr="00C00F3A">
              <w:rPr>
                <w:sz w:val="18"/>
                <w:szCs w:val="18"/>
                <w:lang w:val="en-GB"/>
              </w:rPr>
              <w:t>1.49</w:t>
            </w:r>
          </w:p>
        </w:tc>
        <w:tc>
          <w:tcPr>
            <w:tcW w:w="12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6D2FD8A2" w14:textId="77777777" w:rsidR="00140083" w:rsidRPr="00C00F3A" w:rsidRDefault="00176BB0">
            <w:pPr>
              <w:jc w:val="center"/>
              <w:rPr>
                <w:lang w:val="en-GB"/>
              </w:rPr>
            </w:pPr>
            <w:r w:rsidRPr="00C00F3A">
              <w:rPr>
                <w:sz w:val="18"/>
                <w:szCs w:val="18"/>
                <w:lang w:val="en-GB"/>
              </w:rPr>
              <w:t>1.70</w:t>
            </w:r>
          </w:p>
        </w:tc>
        <w:tc>
          <w:tcPr>
            <w:tcW w:w="12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5F96AA39" w14:textId="77777777" w:rsidR="00140083" w:rsidRPr="00C00F3A" w:rsidRDefault="00176BB0">
            <w:pPr>
              <w:jc w:val="center"/>
              <w:rPr>
                <w:lang w:val="en-GB"/>
              </w:rPr>
            </w:pPr>
            <w:r w:rsidRPr="00C00F3A">
              <w:rPr>
                <w:sz w:val="18"/>
                <w:szCs w:val="18"/>
                <w:lang w:val="en-GB"/>
              </w:rPr>
              <w:t>1.65</w:t>
            </w:r>
          </w:p>
        </w:tc>
        <w:tc>
          <w:tcPr>
            <w:tcW w:w="128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320D31C9" w14:textId="77777777" w:rsidR="00140083" w:rsidRPr="00C00F3A" w:rsidRDefault="00176BB0">
            <w:pPr>
              <w:jc w:val="center"/>
              <w:rPr>
                <w:lang w:val="en-GB"/>
              </w:rPr>
            </w:pPr>
            <w:r w:rsidRPr="00C00F3A">
              <w:rPr>
                <w:sz w:val="18"/>
                <w:szCs w:val="18"/>
                <w:lang w:val="en-GB"/>
              </w:rPr>
              <w:t>1.65</w:t>
            </w:r>
          </w:p>
        </w:tc>
      </w:tr>
      <w:tr w:rsidR="00140083" w:rsidRPr="00C00F3A" w14:paraId="2F3276E3" w14:textId="77777777">
        <w:tc>
          <w:tcPr>
            <w:tcW w:w="3200"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73533864" w14:textId="77777777" w:rsidR="00140083" w:rsidRPr="00C00F3A" w:rsidRDefault="00176BB0">
            <w:pPr>
              <w:rPr>
                <w:lang w:val="en-GB"/>
              </w:rPr>
            </w:pPr>
            <w:r w:rsidRPr="00C00F3A">
              <w:rPr>
                <w:sz w:val="18"/>
                <w:szCs w:val="18"/>
                <w:lang w:val="en-GB"/>
              </w:rPr>
              <w:t>Fixed Asset Turnover</w:t>
            </w:r>
          </w:p>
        </w:tc>
        <w:tc>
          <w:tcPr>
            <w:tcW w:w="12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5AA75AC0" w14:textId="77777777" w:rsidR="00140083" w:rsidRPr="00C00F3A" w:rsidRDefault="00176BB0">
            <w:pPr>
              <w:jc w:val="center"/>
              <w:rPr>
                <w:lang w:val="en-GB"/>
              </w:rPr>
            </w:pPr>
            <w:r w:rsidRPr="00C00F3A">
              <w:rPr>
                <w:sz w:val="18"/>
                <w:szCs w:val="18"/>
                <w:lang w:val="en-GB"/>
              </w:rPr>
              <w:t>4.63</w:t>
            </w:r>
          </w:p>
        </w:tc>
        <w:tc>
          <w:tcPr>
            <w:tcW w:w="12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61514C7E" w14:textId="77777777" w:rsidR="00140083" w:rsidRPr="00C00F3A" w:rsidRDefault="00176BB0">
            <w:pPr>
              <w:jc w:val="center"/>
              <w:rPr>
                <w:lang w:val="en-GB"/>
              </w:rPr>
            </w:pPr>
            <w:r w:rsidRPr="00C00F3A">
              <w:rPr>
                <w:sz w:val="18"/>
                <w:szCs w:val="18"/>
                <w:lang w:val="en-GB"/>
              </w:rPr>
              <w:t>9.16</w:t>
            </w:r>
          </w:p>
        </w:tc>
        <w:tc>
          <w:tcPr>
            <w:tcW w:w="12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06F06853" w14:textId="77777777" w:rsidR="00140083" w:rsidRPr="00C00F3A" w:rsidRDefault="00176BB0">
            <w:pPr>
              <w:jc w:val="center"/>
              <w:rPr>
                <w:lang w:val="en-GB"/>
              </w:rPr>
            </w:pPr>
            <w:r w:rsidRPr="00C00F3A">
              <w:rPr>
                <w:sz w:val="18"/>
                <w:szCs w:val="18"/>
                <w:lang w:val="en-GB"/>
              </w:rPr>
              <w:t>9.24</w:t>
            </w:r>
          </w:p>
        </w:tc>
        <w:tc>
          <w:tcPr>
            <w:tcW w:w="12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4FDEF6DE" w14:textId="77777777" w:rsidR="00140083" w:rsidRPr="00C00F3A" w:rsidRDefault="00176BB0">
            <w:pPr>
              <w:jc w:val="center"/>
              <w:rPr>
                <w:lang w:val="en-GB"/>
              </w:rPr>
            </w:pPr>
            <w:r w:rsidRPr="00C00F3A">
              <w:rPr>
                <w:sz w:val="18"/>
                <w:szCs w:val="18"/>
                <w:lang w:val="en-GB"/>
              </w:rPr>
              <w:t>7.80</w:t>
            </w:r>
          </w:p>
        </w:tc>
        <w:tc>
          <w:tcPr>
            <w:tcW w:w="1286"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37B17DC3" w14:textId="77777777" w:rsidR="00140083" w:rsidRPr="00C00F3A" w:rsidRDefault="00176BB0">
            <w:pPr>
              <w:jc w:val="center"/>
              <w:rPr>
                <w:lang w:val="en-GB"/>
              </w:rPr>
            </w:pPr>
            <w:r w:rsidRPr="00C00F3A">
              <w:rPr>
                <w:sz w:val="18"/>
                <w:szCs w:val="18"/>
                <w:lang w:val="en-GB"/>
              </w:rPr>
              <w:t>7.30</w:t>
            </w:r>
          </w:p>
        </w:tc>
      </w:tr>
    </w:tbl>
    <w:p w14:paraId="3E079C29" w14:textId="7FFDA1D7" w:rsidR="00140083" w:rsidRPr="00C00F3A" w:rsidRDefault="00176BB0" w:rsidP="000D3924">
      <w:pPr>
        <w:spacing w:before="60" w:after="160"/>
        <w:jc w:val="center"/>
        <w:rPr>
          <w:sz w:val="16"/>
          <w:szCs w:val="16"/>
          <w:lang w:val="en-GB"/>
        </w:rPr>
      </w:pPr>
      <w:r w:rsidRPr="00C00F3A">
        <w:rPr>
          <w:sz w:val="16"/>
          <w:szCs w:val="16"/>
          <w:lang w:val="en-GB"/>
        </w:rPr>
        <w:t>Source: Wolseley Group Annual Reports 2021–2025.</w:t>
      </w:r>
    </w:p>
    <w:p w14:paraId="0093D9D0" w14:textId="226F7934" w:rsidR="0076404B" w:rsidRPr="00C00F3A" w:rsidRDefault="0076404B" w:rsidP="0076404B">
      <w:pPr>
        <w:spacing w:line="360" w:lineRule="auto"/>
        <w:jc w:val="both"/>
        <w:rPr>
          <w:lang w:val="en-GB"/>
        </w:rPr>
      </w:pPr>
      <w:r w:rsidRPr="00C00F3A">
        <w:rPr>
          <w:lang w:val="en-GB"/>
        </w:rPr>
        <w:t>There was a significant improvement in asset turnover in the period following the short FY21 as asset turnover rose to a high of 1.70 in FY23 from 0.93 before moderating to 1.65 in FY24 and FY25. This shows that the Group has been able to earn considerably more revenues with each pound invested in total assets through better utilisation of the increased branch network and working capital. There was an over 100% increase in fixed asset turnover as it rose to 9.0 for FY22-FY23 from 4.63 in FY21, indicating good productivity of property, plant, and equipment along with right-of-use assets. The fall to 7.30 in FY25 is consistent with further investment in leased premises and logistics facilities against a flatter growth rate in revenues. The efficiency measures show that there has been a successful ramp up in operations following the 2021 acquisition as the Group has maintained a good level of asset productivity despite difficult market conditions in the latter part of the period.</w:t>
      </w:r>
    </w:p>
    <w:p w14:paraId="44FEA57D" w14:textId="77777777" w:rsidR="00140083" w:rsidRPr="00C00F3A" w:rsidRDefault="00176BB0">
      <w:pPr>
        <w:pStyle w:val="Heading2"/>
        <w:rPr>
          <w:color w:val="auto"/>
          <w:lang w:val="en-GB"/>
        </w:rPr>
      </w:pPr>
      <w:bookmarkStart w:id="10" w:name="_Toc237515748"/>
      <w:r w:rsidRPr="00C00F3A">
        <w:rPr>
          <w:color w:val="auto"/>
          <w:lang w:val="en-GB"/>
        </w:rPr>
        <w:t>2.5 Gearing, Coverage and Cash Flow</w:t>
      </w:r>
      <w:bookmarkEnd w:id="10"/>
    </w:p>
    <w:p w14:paraId="781F8905" w14:textId="38E5538E" w:rsidR="00140083" w:rsidRPr="00C00F3A" w:rsidRDefault="001B42CE">
      <w:pPr>
        <w:spacing w:after="160" w:line="360" w:lineRule="auto"/>
        <w:jc w:val="both"/>
        <w:rPr>
          <w:lang w:val="en-GB"/>
        </w:rPr>
      </w:pPr>
      <w:r w:rsidRPr="00C00F3A">
        <w:rPr>
          <w:lang w:val="en-GB"/>
        </w:rPr>
        <w:t>The gearing ratio represents the major risk. Although the debt/equity ratio was high (approximately 4.0) until FY24, there was an abrupt rise to 8.04 in FY25. This has been possible due to two reasons: the fall in the level of equity as a result of the £121 million dividend and the rise in borrowings (issuance of £350 million senior secured notes partially offset by repayments). There was a steady fall in the interest coverage ratio from 4.21 in FY22 to 0.91 in FY25, implying that the operating profit could not cover the finance charges in the latter period.</w:t>
      </w:r>
    </w:p>
    <w:p w14:paraId="6CD87222" w14:textId="77777777" w:rsidR="00140083" w:rsidRPr="00C00F3A" w:rsidRDefault="00176BB0">
      <w:pPr>
        <w:spacing w:before="160" w:after="80"/>
        <w:rPr>
          <w:lang w:val="en-GB"/>
        </w:rPr>
      </w:pPr>
      <w:r w:rsidRPr="00C00F3A">
        <w:rPr>
          <w:b/>
          <w:bCs/>
          <w:sz w:val="20"/>
          <w:szCs w:val="20"/>
          <w:lang w:val="en-GB"/>
        </w:rPr>
        <w:t>Table 5: Gearing and Interest Coverage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1288"/>
        <w:gridCol w:w="1288"/>
        <w:gridCol w:w="1288"/>
        <w:gridCol w:w="1288"/>
        <w:gridCol w:w="1286"/>
      </w:tblGrid>
      <w:tr w:rsidR="00140083" w:rsidRPr="00C00F3A" w14:paraId="4EE50CA9" w14:textId="77777777">
        <w:tc>
          <w:tcPr>
            <w:tcW w:w="3200"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469F8327" w14:textId="77777777" w:rsidR="00140083" w:rsidRPr="00C00F3A" w:rsidRDefault="00176BB0">
            <w:pPr>
              <w:rPr>
                <w:lang w:val="en-GB"/>
              </w:rPr>
            </w:pPr>
            <w:r w:rsidRPr="00C00F3A">
              <w:rPr>
                <w:b/>
                <w:bCs/>
                <w:sz w:val="18"/>
                <w:szCs w:val="18"/>
                <w:lang w:val="en-GB"/>
              </w:rPr>
              <w:t>Ratio</w:t>
            </w:r>
          </w:p>
        </w:tc>
        <w:tc>
          <w:tcPr>
            <w:tcW w:w="12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7077524C" w14:textId="77777777" w:rsidR="00140083" w:rsidRPr="00C00F3A" w:rsidRDefault="00176BB0">
            <w:pPr>
              <w:jc w:val="center"/>
              <w:rPr>
                <w:lang w:val="en-GB"/>
              </w:rPr>
            </w:pPr>
            <w:r w:rsidRPr="00C00F3A">
              <w:rPr>
                <w:b/>
                <w:bCs/>
                <w:sz w:val="18"/>
                <w:szCs w:val="18"/>
                <w:lang w:val="en-GB"/>
              </w:rPr>
              <w:t>FY21</w:t>
            </w:r>
          </w:p>
        </w:tc>
        <w:tc>
          <w:tcPr>
            <w:tcW w:w="12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2C9D135D" w14:textId="77777777" w:rsidR="00140083" w:rsidRPr="00C00F3A" w:rsidRDefault="00176BB0">
            <w:pPr>
              <w:jc w:val="center"/>
              <w:rPr>
                <w:lang w:val="en-GB"/>
              </w:rPr>
            </w:pPr>
            <w:r w:rsidRPr="00C00F3A">
              <w:rPr>
                <w:b/>
                <w:bCs/>
                <w:sz w:val="18"/>
                <w:szCs w:val="18"/>
                <w:lang w:val="en-GB"/>
              </w:rPr>
              <w:t>FY22</w:t>
            </w:r>
          </w:p>
        </w:tc>
        <w:tc>
          <w:tcPr>
            <w:tcW w:w="12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20FCA40A" w14:textId="77777777" w:rsidR="00140083" w:rsidRPr="00C00F3A" w:rsidRDefault="00176BB0">
            <w:pPr>
              <w:jc w:val="center"/>
              <w:rPr>
                <w:lang w:val="en-GB"/>
              </w:rPr>
            </w:pPr>
            <w:r w:rsidRPr="00C00F3A">
              <w:rPr>
                <w:b/>
                <w:bCs/>
                <w:sz w:val="18"/>
                <w:szCs w:val="18"/>
                <w:lang w:val="en-GB"/>
              </w:rPr>
              <w:t>FY23</w:t>
            </w:r>
          </w:p>
        </w:tc>
        <w:tc>
          <w:tcPr>
            <w:tcW w:w="12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172DD187" w14:textId="77777777" w:rsidR="00140083" w:rsidRPr="00C00F3A" w:rsidRDefault="00176BB0">
            <w:pPr>
              <w:jc w:val="center"/>
              <w:rPr>
                <w:lang w:val="en-GB"/>
              </w:rPr>
            </w:pPr>
            <w:r w:rsidRPr="00C00F3A">
              <w:rPr>
                <w:b/>
                <w:bCs/>
                <w:sz w:val="18"/>
                <w:szCs w:val="18"/>
                <w:lang w:val="en-GB"/>
              </w:rPr>
              <w:t>FY24</w:t>
            </w:r>
          </w:p>
        </w:tc>
        <w:tc>
          <w:tcPr>
            <w:tcW w:w="1286"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53CBDCDE" w14:textId="77777777" w:rsidR="00140083" w:rsidRPr="00C00F3A" w:rsidRDefault="00176BB0">
            <w:pPr>
              <w:jc w:val="center"/>
              <w:rPr>
                <w:lang w:val="en-GB"/>
              </w:rPr>
            </w:pPr>
            <w:r w:rsidRPr="00C00F3A">
              <w:rPr>
                <w:b/>
                <w:bCs/>
                <w:sz w:val="18"/>
                <w:szCs w:val="18"/>
                <w:lang w:val="en-GB"/>
              </w:rPr>
              <w:t>FY25</w:t>
            </w:r>
          </w:p>
        </w:tc>
      </w:tr>
      <w:tr w:rsidR="00140083" w:rsidRPr="00C00F3A" w14:paraId="453D336E" w14:textId="77777777">
        <w:tc>
          <w:tcPr>
            <w:tcW w:w="32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4238B55" w14:textId="77777777" w:rsidR="00140083" w:rsidRPr="00C00F3A" w:rsidRDefault="00176BB0">
            <w:pPr>
              <w:rPr>
                <w:lang w:val="en-GB"/>
              </w:rPr>
            </w:pPr>
            <w:r w:rsidRPr="00C00F3A">
              <w:rPr>
                <w:sz w:val="18"/>
                <w:szCs w:val="18"/>
                <w:lang w:val="en-GB"/>
              </w:rPr>
              <w:t>Debt / Equity</w:t>
            </w:r>
          </w:p>
        </w:tc>
        <w:tc>
          <w:tcPr>
            <w:tcW w:w="12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22A510DA" w14:textId="77777777" w:rsidR="00140083" w:rsidRPr="00C00F3A" w:rsidRDefault="00176BB0">
            <w:pPr>
              <w:jc w:val="center"/>
              <w:rPr>
                <w:lang w:val="en-GB"/>
              </w:rPr>
            </w:pPr>
            <w:r w:rsidRPr="00C00F3A">
              <w:rPr>
                <w:sz w:val="18"/>
                <w:szCs w:val="18"/>
                <w:lang w:val="en-GB"/>
              </w:rPr>
              <w:t>4.82</w:t>
            </w:r>
          </w:p>
        </w:tc>
        <w:tc>
          <w:tcPr>
            <w:tcW w:w="12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31842DEC" w14:textId="77777777" w:rsidR="00140083" w:rsidRPr="00C00F3A" w:rsidRDefault="00176BB0">
            <w:pPr>
              <w:jc w:val="center"/>
              <w:rPr>
                <w:lang w:val="en-GB"/>
              </w:rPr>
            </w:pPr>
            <w:r w:rsidRPr="00C00F3A">
              <w:rPr>
                <w:sz w:val="18"/>
                <w:szCs w:val="18"/>
                <w:lang w:val="en-GB"/>
              </w:rPr>
              <w:t>4.94</w:t>
            </w:r>
          </w:p>
        </w:tc>
        <w:tc>
          <w:tcPr>
            <w:tcW w:w="12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36E28F73" w14:textId="77777777" w:rsidR="00140083" w:rsidRPr="00C00F3A" w:rsidRDefault="00176BB0">
            <w:pPr>
              <w:jc w:val="center"/>
              <w:rPr>
                <w:lang w:val="en-GB"/>
              </w:rPr>
            </w:pPr>
            <w:r w:rsidRPr="00C00F3A">
              <w:rPr>
                <w:sz w:val="18"/>
                <w:szCs w:val="18"/>
                <w:lang w:val="en-GB"/>
              </w:rPr>
              <w:t>4.00</w:t>
            </w:r>
          </w:p>
        </w:tc>
        <w:tc>
          <w:tcPr>
            <w:tcW w:w="12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2CA60B04" w14:textId="77777777" w:rsidR="00140083" w:rsidRPr="00C00F3A" w:rsidRDefault="00176BB0">
            <w:pPr>
              <w:jc w:val="center"/>
              <w:rPr>
                <w:lang w:val="en-GB"/>
              </w:rPr>
            </w:pPr>
            <w:r w:rsidRPr="00C00F3A">
              <w:rPr>
                <w:sz w:val="18"/>
                <w:szCs w:val="18"/>
                <w:lang w:val="en-GB"/>
              </w:rPr>
              <w:t>3.93</w:t>
            </w:r>
          </w:p>
        </w:tc>
        <w:tc>
          <w:tcPr>
            <w:tcW w:w="128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790162EE" w14:textId="77777777" w:rsidR="00140083" w:rsidRPr="00C00F3A" w:rsidRDefault="00176BB0">
            <w:pPr>
              <w:jc w:val="center"/>
              <w:rPr>
                <w:lang w:val="en-GB"/>
              </w:rPr>
            </w:pPr>
            <w:r w:rsidRPr="00C00F3A">
              <w:rPr>
                <w:sz w:val="18"/>
                <w:szCs w:val="18"/>
                <w:lang w:val="en-GB"/>
              </w:rPr>
              <w:t>8.04</w:t>
            </w:r>
          </w:p>
        </w:tc>
      </w:tr>
      <w:tr w:rsidR="00140083" w:rsidRPr="00C00F3A" w14:paraId="0A26A932" w14:textId="77777777">
        <w:tc>
          <w:tcPr>
            <w:tcW w:w="3200"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57EADD40" w14:textId="77777777" w:rsidR="00140083" w:rsidRPr="00C00F3A" w:rsidRDefault="00176BB0">
            <w:pPr>
              <w:rPr>
                <w:lang w:val="en-GB"/>
              </w:rPr>
            </w:pPr>
            <w:r w:rsidRPr="00C00F3A">
              <w:rPr>
                <w:sz w:val="18"/>
                <w:szCs w:val="18"/>
                <w:lang w:val="en-GB"/>
              </w:rPr>
              <w:t>Interest Coverage</w:t>
            </w:r>
          </w:p>
        </w:tc>
        <w:tc>
          <w:tcPr>
            <w:tcW w:w="12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6836B55E" w14:textId="77777777" w:rsidR="00140083" w:rsidRPr="00C00F3A" w:rsidRDefault="00176BB0">
            <w:pPr>
              <w:jc w:val="center"/>
              <w:rPr>
                <w:lang w:val="en-GB"/>
              </w:rPr>
            </w:pPr>
            <w:r w:rsidRPr="00C00F3A">
              <w:rPr>
                <w:sz w:val="18"/>
                <w:szCs w:val="18"/>
                <w:lang w:val="en-GB"/>
              </w:rPr>
              <w:t>3.83</w:t>
            </w:r>
          </w:p>
        </w:tc>
        <w:tc>
          <w:tcPr>
            <w:tcW w:w="12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15D8BE2E" w14:textId="77777777" w:rsidR="00140083" w:rsidRPr="00C00F3A" w:rsidRDefault="00176BB0">
            <w:pPr>
              <w:jc w:val="center"/>
              <w:rPr>
                <w:lang w:val="en-GB"/>
              </w:rPr>
            </w:pPr>
            <w:r w:rsidRPr="00C00F3A">
              <w:rPr>
                <w:sz w:val="18"/>
                <w:szCs w:val="18"/>
                <w:lang w:val="en-GB"/>
              </w:rPr>
              <w:t>4.21</w:t>
            </w:r>
          </w:p>
        </w:tc>
        <w:tc>
          <w:tcPr>
            <w:tcW w:w="12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370494D2" w14:textId="77777777" w:rsidR="00140083" w:rsidRPr="00C00F3A" w:rsidRDefault="00176BB0">
            <w:pPr>
              <w:jc w:val="center"/>
              <w:rPr>
                <w:lang w:val="en-GB"/>
              </w:rPr>
            </w:pPr>
            <w:r w:rsidRPr="00C00F3A">
              <w:rPr>
                <w:sz w:val="18"/>
                <w:szCs w:val="18"/>
                <w:lang w:val="en-GB"/>
              </w:rPr>
              <w:t>2.75</w:t>
            </w:r>
          </w:p>
        </w:tc>
        <w:tc>
          <w:tcPr>
            <w:tcW w:w="12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45CE1946" w14:textId="77777777" w:rsidR="00140083" w:rsidRPr="00C00F3A" w:rsidRDefault="00176BB0">
            <w:pPr>
              <w:jc w:val="center"/>
              <w:rPr>
                <w:lang w:val="en-GB"/>
              </w:rPr>
            </w:pPr>
            <w:r w:rsidRPr="00C00F3A">
              <w:rPr>
                <w:sz w:val="18"/>
                <w:szCs w:val="18"/>
                <w:lang w:val="en-GB"/>
              </w:rPr>
              <w:t>1.06</w:t>
            </w:r>
          </w:p>
        </w:tc>
        <w:tc>
          <w:tcPr>
            <w:tcW w:w="1286"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0EAC7C3B" w14:textId="77777777" w:rsidR="00140083" w:rsidRPr="00C00F3A" w:rsidRDefault="00176BB0">
            <w:pPr>
              <w:jc w:val="center"/>
              <w:rPr>
                <w:lang w:val="en-GB"/>
              </w:rPr>
            </w:pPr>
            <w:r w:rsidRPr="00C00F3A">
              <w:rPr>
                <w:sz w:val="18"/>
                <w:szCs w:val="18"/>
                <w:lang w:val="en-GB"/>
              </w:rPr>
              <w:t>0.91</w:t>
            </w:r>
          </w:p>
        </w:tc>
      </w:tr>
    </w:tbl>
    <w:p w14:paraId="08359AC4" w14:textId="4036A4D3" w:rsidR="00140083" w:rsidRPr="00C00F3A" w:rsidRDefault="00176BB0" w:rsidP="000D3924">
      <w:pPr>
        <w:spacing w:before="60" w:after="160"/>
        <w:jc w:val="center"/>
        <w:rPr>
          <w:lang w:val="en-GB"/>
        </w:rPr>
      </w:pPr>
      <w:r w:rsidRPr="00C00F3A">
        <w:rPr>
          <w:sz w:val="16"/>
          <w:szCs w:val="16"/>
          <w:lang w:val="en-GB"/>
        </w:rPr>
        <w:t>Source: Wolseley Group Annual Reports 2021–2025.</w:t>
      </w:r>
    </w:p>
    <w:p w14:paraId="0B7EFC24" w14:textId="5BCC507E" w:rsidR="00140083" w:rsidRPr="00C00F3A" w:rsidRDefault="001B42CE">
      <w:pPr>
        <w:spacing w:after="160" w:line="360" w:lineRule="auto"/>
        <w:jc w:val="both"/>
        <w:rPr>
          <w:lang w:val="en-GB"/>
        </w:rPr>
      </w:pPr>
      <w:r w:rsidRPr="00C00F3A">
        <w:rPr>
          <w:lang w:val="en-GB"/>
        </w:rPr>
        <w:lastRenderedPageBreak/>
        <w:t>Net cash generated from operating activities has consistently remained positive, hitting a high point of £120 million in FY24 but dropping to £54 million in FY25. The company continues to generate cash flows from operations despite the fall in accounting profits, which gives it some operational strength. Nonetheless, cash flow has been hampered by continued capital spending and lease expenses, in addition to the hefty dividend payout.</w:t>
      </w:r>
    </w:p>
    <w:p w14:paraId="7A82572D" w14:textId="31151AD4" w:rsidR="00693C64" w:rsidRPr="00C00F3A" w:rsidRDefault="00693C64">
      <w:pPr>
        <w:spacing w:after="160" w:line="360" w:lineRule="auto"/>
        <w:jc w:val="both"/>
        <w:rPr>
          <w:lang w:val="en-GB"/>
        </w:rPr>
      </w:pPr>
      <w:r w:rsidRPr="00C00F3A">
        <w:rPr>
          <w:lang w:val="en-GB"/>
        </w:rPr>
        <w:t xml:space="preserve">Gearing and Interest Coverage form the most severe deterioration in Wolseley's financial performance. Debt/equity remained high but stable from 3.93 to 4.94 between FY21 and FY24, after which there was a drastic jump to 8.04 at FY25. The near doubling was a result of two interrelated factors – firstly, the significant reduction of equity on account of the £121.2 million dividend paid, plus the conversion of the share premium account. The second factor was the issuance of Senior Secured Notes, adding borrowings. Meanwhile, Interest Coverage decreased consistently from a satisfactory 4.21 in FY22 to 1.06 in FY24 and even further to 0.91 in FY25. When the coverage is less than 1.0, it means that operating profits cannot be used to cover the finance costs, thus reflecting increased risks of the financial nature and little scope to withstand further drops in the income or rise in interest rates. The fact that gearing grows while coverage collapses, especially in the case of a private equity owned distributor in the cyclical construction industry, is particularly alarming. Positive cash flow of operations provides temporary </w:t>
      </w:r>
      <w:r w:rsidR="000D3924" w:rsidRPr="00C00F3A">
        <w:rPr>
          <w:lang w:val="en-GB"/>
        </w:rPr>
        <w:t>protection;</w:t>
      </w:r>
      <w:r w:rsidRPr="00C00F3A">
        <w:rPr>
          <w:lang w:val="en-GB"/>
        </w:rPr>
        <w:t xml:space="preserve"> however, the FY25 position of the Group indicates a very thin equity cushion and low financial flexibility.</w:t>
      </w:r>
    </w:p>
    <w:p w14:paraId="219BA7A1" w14:textId="77777777" w:rsidR="00140083" w:rsidRPr="00C00F3A" w:rsidRDefault="00176BB0">
      <w:pPr>
        <w:pStyle w:val="Heading2"/>
        <w:rPr>
          <w:color w:val="auto"/>
          <w:lang w:val="en-GB"/>
        </w:rPr>
      </w:pPr>
      <w:bookmarkStart w:id="11" w:name="_Toc237515749"/>
      <w:r w:rsidRPr="00C00F3A">
        <w:rPr>
          <w:color w:val="auto"/>
          <w:lang w:val="en-GB"/>
        </w:rPr>
        <w:t>2.6 Summary of Strengths, Weaknesses and Threats</w:t>
      </w:r>
      <w:bookmarkEnd w:id="11"/>
    </w:p>
    <w:p w14:paraId="30EB8603" w14:textId="77777777" w:rsidR="00EA75C2" w:rsidRPr="00C00F3A" w:rsidRDefault="00EA75C2" w:rsidP="00EA75C2">
      <w:pPr>
        <w:spacing w:after="160" w:line="360" w:lineRule="auto"/>
        <w:jc w:val="both"/>
        <w:rPr>
          <w:lang w:val="en-GB"/>
        </w:rPr>
      </w:pPr>
      <w:r w:rsidRPr="00C00F3A">
        <w:rPr>
          <w:lang w:val="en-GB"/>
        </w:rPr>
        <w:t>Analysis of Wolseley Group’s financial position for the last five years shows the definite trend of initial post-acquisition prosperity followed by steady decline. Positive features of the business model are a constant stability of the gross margin within the range of 24.4–25.8 per cent which indicates proper sales cost management and pricing discipline. Liquid assets are reasonably high compared to other merchants within UK builders' market with a current ratio greater than 1.5 and a quick ratio equal to 1.0. Asset management was improved after integration; asset turnover increased from 0.93 to about 1.65, and fixed asset turnover doubled at least before declining. However, importantly, despite a decrease in accounting profits, the Group had been generating positive net cash flows from operating activities every year.</w:t>
      </w:r>
    </w:p>
    <w:p w14:paraId="5680EB1E" w14:textId="77777777" w:rsidR="00EA75C2" w:rsidRPr="00C00F3A" w:rsidRDefault="00EA75C2" w:rsidP="00EA75C2">
      <w:pPr>
        <w:spacing w:after="160" w:line="360" w:lineRule="auto"/>
        <w:jc w:val="both"/>
        <w:rPr>
          <w:lang w:val="en-GB"/>
        </w:rPr>
      </w:pPr>
      <w:r w:rsidRPr="00C00F3A">
        <w:rPr>
          <w:lang w:val="en-GB"/>
        </w:rPr>
        <w:t xml:space="preserve">Negative factors are related to profitability and capital structure. Operating margin dropped significantly from the maximum of 4.3 per cent in FY22 to 1.9 per cent in FY25, and net margin became negative. Interest coverage dropped gradually from 4.21 times to 0.91 times, </w:t>
      </w:r>
      <w:r w:rsidRPr="00C00F3A">
        <w:rPr>
          <w:lang w:val="en-GB"/>
        </w:rPr>
        <w:lastRenderedPageBreak/>
        <w:t>which means that operating income cannot cover the finance expenses. In FY25, gearing has drastically worsened, with a debt/equity ratio increasing from about 4.0 to 8.04 owing to £121 million dividend payments and borrowing.</w:t>
      </w:r>
    </w:p>
    <w:p w14:paraId="6B7A87F4" w14:textId="2AC8C96C" w:rsidR="00140083" w:rsidRPr="00C00F3A" w:rsidRDefault="00EA75C2" w:rsidP="00EA75C2">
      <w:pPr>
        <w:spacing w:after="160" w:line="360" w:lineRule="auto"/>
        <w:jc w:val="both"/>
        <w:rPr>
          <w:lang w:val="en-GB"/>
        </w:rPr>
      </w:pPr>
      <w:r w:rsidRPr="00C00F3A">
        <w:rPr>
          <w:lang w:val="en-GB"/>
        </w:rPr>
        <w:t>External and structural threats are dominant. Additional reduction in the activity of UK construction sector and RMI will exacerbate the margin pressure. Growth in interest rates or refinancing risk of senior secured notes will increase the interest burden while the coverage is less than 1.0. Finally, smaller amount of equity will not allow absorbing additional losses and shocks.</w:t>
      </w:r>
    </w:p>
    <w:p w14:paraId="56BE8BE2" w14:textId="77777777" w:rsidR="00140083" w:rsidRPr="00C00F3A" w:rsidRDefault="00176BB0">
      <w:pPr>
        <w:pStyle w:val="Heading1"/>
        <w:rPr>
          <w:color w:val="auto"/>
          <w:lang w:val="en-GB"/>
        </w:rPr>
      </w:pPr>
      <w:bookmarkStart w:id="12" w:name="_Toc237515750"/>
      <w:r w:rsidRPr="00C00F3A">
        <w:rPr>
          <w:color w:val="auto"/>
          <w:lang w:val="en-GB"/>
        </w:rPr>
        <w:t>3. Working Capital Management Analysis</w:t>
      </w:r>
      <w:bookmarkEnd w:id="12"/>
    </w:p>
    <w:p w14:paraId="67093AD6" w14:textId="77777777" w:rsidR="00140083" w:rsidRPr="00C00F3A" w:rsidRDefault="00176BB0">
      <w:pPr>
        <w:pStyle w:val="Heading2"/>
        <w:rPr>
          <w:color w:val="auto"/>
          <w:lang w:val="en-GB"/>
        </w:rPr>
      </w:pPr>
      <w:bookmarkStart w:id="13" w:name="_Toc237515751"/>
      <w:r w:rsidRPr="00C00F3A">
        <w:rPr>
          <w:color w:val="auto"/>
          <w:lang w:val="en-GB"/>
        </w:rPr>
        <w:t>3.1 Cash Conversion Cycle</w:t>
      </w:r>
      <w:bookmarkEnd w:id="13"/>
    </w:p>
    <w:p w14:paraId="6823067F" w14:textId="30662917" w:rsidR="00140083" w:rsidRPr="00C00F3A" w:rsidRDefault="001B42CE">
      <w:pPr>
        <w:spacing w:after="160" w:line="360" w:lineRule="auto"/>
        <w:jc w:val="both"/>
        <w:rPr>
          <w:lang w:val="en-GB"/>
        </w:rPr>
      </w:pPr>
      <w:r w:rsidRPr="00C00F3A">
        <w:rPr>
          <w:lang w:val="en-GB"/>
        </w:rPr>
        <w:t>Cash Conversion Cycle (CCC) is the indicator that determines the net number of days of cash in use during the operating cycle. The Cash Conversion Cycle is determined by DIO + DSO – DPO. Based on the end-of-year balance sheet information and income statements for one year, the CCC for Wolseley has increased from 41.6 days for the short FY21 year to 32-36 days for other years.</w:t>
      </w:r>
    </w:p>
    <w:p w14:paraId="22BD1F6A" w14:textId="77777777" w:rsidR="00140083" w:rsidRPr="00C00F3A" w:rsidRDefault="00176BB0">
      <w:pPr>
        <w:spacing w:before="160" w:after="80"/>
        <w:rPr>
          <w:lang w:val="en-GB"/>
        </w:rPr>
      </w:pPr>
      <w:r w:rsidRPr="00C00F3A">
        <w:rPr>
          <w:b/>
          <w:bCs/>
          <w:sz w:val="20"/>
          <w:szCs w:val="20"/>
          <w:lang w:val="en-GB"/>
        </w:rPr>
        <w:t>Table 6: Cash Conversion Cycle Components (Days)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488"/>
        <w:gridCol w:w="1488"/>
        <w:gridCol w:w="1488"/>
        <w:gridCol w:w="1488"/>
        <w:gridCol w:w="1486"/>
      </w:tblGrid>
      <w:tr w:rsidR="00140083" w:rsidRPr="00C00F3A" w14:paraId="78FDC925" w14:textId="77777777">
        <w:tc>
          <w:tcPr>
            <w:tcW w:w="2200"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4C6AE0DA" w14:textId="77777777" w:rsidR="00140083" w:rsidRPr="00C00F3A" w:rsidRDefault="00176BB0">
            <w:pPr>
              <w:rPr>
                <w:lang w:val="en-GB"/>
              </w:rPr>
            </w:pPr>
            <w:r w:rsidRPr="00C00F3A">
              <w:rPr>
                <w:b/>
                <w:bCs/>
                <w:sz w:val="18"/>
                <w:szCs w:val="18"/>
                <w:lang w:val="en-GB"/>
              </w:rPr>
              <w:t>Metric</w:t>
            </w:r>
          </w:p>
        </w:tc>
        <w:tc>
          <w:tcPr>
            <w:tcW w:w="14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3B40DFA4" w14:textId="77777777" w:rsidR="00140083" w:rsidRPr="00C00F3A" w:rsidRDefault="00176BB0">
            <w:pPr>
              <w:jc w:val="center"/>
              <w:rPr>
                <w:lang w:val="en-GB"/>
              </w:rPr>
            </w:pPr>
            <w:r w:rsidRPr="00C00F3A">
              <w:rPr>
                <w:b/>
                <w:bCs/>
                <w:sz w:val="18"/>
                <w:szCs w:val="18"/>
                <w:lang w:val="en-GB"/>
              </w:rPr>
              <w:t>FY21*</w:t>
            </w:r>
          </w:p>
        </w:tc>
        <w:tc>
          <w:tcPr>
            <w:tcW w:w="14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42D06541" w14:textId="77777777" w:rsidR="00140083" w:rsidRPr="00C00F3A" w:rsidRDefault="00176BB0">
            <w:pPr>
              <w:jc w:val="center"/>
              <w:rPr>
                <w:lang w:val="en-GB"/>
              </w:rPr>
            </w:pPr>
            <w:r w:rsidRPr="00C00F3A">
              <w:rPr>
                <w:b/>
                <w:bCs/>
                <w:sz w:val="18"/>
                <w:szCs w:val="18"/>
                <w:lang w:val="en-GB"/>
              </w:rPr>
              <w:t>FY22</w:t>
            </w:r>
          </w:p>
        </w:tc>
        <w:tc>
          <w:tcPr>
            <w:tcW w:w="14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4FC93DD0" w14:textId="77777777" w:rsidR="00140083" w:rsidRPr="00C00F3A" w:rsidRDefault="00176BB0">
            <w:pPr>
              <w:jc w:val="center"/>
              <w:rPr>
                <w:lang w:val="en-GB"/>
              </w:rPr>
            </w:pPr>
            <w:r w:rsidRPr="00C00F3A">
              <w:rPr>
                <w:b/>
                <w:bCs/>
                <w:sz w:val="18"/>
                <w:szCs w:val="18"/>
                <w:lang w:val="en-GB"/>
              </w:rPr>
              <w:t>FY23</w:t>
            </w:r>
          </w:p>
        </w:tc>
        <w:tc>
          <w:tcPr>
            <w:tcW w:w="1488"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76552E2C" w14:textId="77777777" w:rsidR="00140083" w:rsidRPr="00C00F3A" w:rsidRDefault="00176BB0">
            <w:pPr>
              <w:jc w:val="center"/>
              <w:rPr>
                <w:lang w:val="en-GB"/>
              </w:rPr>
            </w:pPr>
            <w:r w:rsidRPr="00C00F3A">
              <w:rPr>
                <w:b/>
                <w:bCs/>
                <w:sz w:val="18"/>
                <w:szCs w:val="18"/>
                <w:lang w:val="en-GB"/>
              </w:rPr>
              <w:t>FY24</w:t>
            </w:r>
          </w:p>
        </w:tc>
        <w:tc>
          <w:tcPr>
            <w:tcW w:w="1486"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3CD9577A" w14:textId="77777777" w:rsidR="00140083" w:rsidRPr="00C00F3A" w:rsidRDefault="00176BB0">
            <w:pPr>
              <w:jc w:val="center"/>
              <w:rPr>
                <w:lang w:val="en-GB"/>
              </w:rPr>
            </w:pPr>
            <w:r w:rsidRPr="00C00F3A">
              <w:rPr>
                <w:b/>
                <w:bCs/>
                <w:sz w:val="18"/>
                <w:szCs w:val="18"/>
                <w:lang w:val="en-GB"/>
              </w:rPr>
              <w:t>FY25</w:t>
            </w:r>
          </w:p>
        </w:tc>
      </w:tr>
      <w:tr w:rsidR="00140083" w:rsidRPr="00C00F3A" w14:paraId="3438F25B" w14:textId="77777777">
        <w:tc>
          <w:tcPr>
            <w:tcW w:w="22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3B1A8AE0" w14:textId="77777777" w:rsidR="00140083" w:rsidRPr="00C00F3A" w:rsidRDefault="00176BB0">
            <w:pPr>
              <w:rPr>
                <w:lang w:val="en-GB"/>
              </w:rPr>
            </w:pPr>
            <w:r w:rsidRPr="00C00F3A">
              <w:rPr>
                <w:sz w:val="18"/>
                <w:szCs w:val="18"/>
                <w:lang w:val="en-GB"/>
              </w:rPr>
              <w:t>DIO (Inventory Days)</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044E85BA" w14:textId="77777777" w:rsidR="00140083" w:rsidRPr="00C00F3A" w:rsidRDefault="00176BB0">
            <w:pPr>
              <w:jc w:val="center"/>
              <w:rPr>
                <w:lang w:val="en-GB"/>
              </w:rPr>
            </w:pPr>
            <w:r w:rsidRPr="00C00F3A">
              <w:rPr>
                <w:sz w:val="18"/>
                <w:szCs w:val="18"/>
                <w:lang w:val="en-GB"/>
              </w:rPr>
              <w:t>138.5</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536CD596" w14:textId="77777777" w:rsidR="00140083" w:rsidRPr="00C00F3A" w:rsidRDefault="00176BB0">
            <w:pPr>
              <w:jc w:val="center"/>
              <w:rPr>
                <w:lang w:val="en-GB"/>
              </w:rPr>
            </w:pPr>
            <w:r w:rsidRPr="00C00F3A">
              <w:rPr>
                <w:sz w:val="18"/>
                <w:szCs w:val="18"/>
                <w:lang w:val="en-GB"/>
              </w:rPr>
              <w:t>90.3</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114AAAFF" w14:textId="77777777" w:rsidR="00140083" w:rsidRPr="00C00F3A" w:rsidRDefault="00176BB0">
            <w:pPr>
              <w:jc w:val="center"/>
              <w:rPr>
                <w:lang w:val="en-GB"/>
              </w:rPr>
            </w:pPr>
            <w:r w:rsidRPr="00C00F3A">
              <w:rPr>
                <w:sz w:val="18"/>
                <w:szCs w:val="18"/>
                <w:lang w:val="en-GB"/>
              </w:rPr>
              <w:t>76.9</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788EA165" w14:textId="77777777" w:rsidR="00140083" w:rsidRPr="00C00F3A" w:rsidRDefault="00176BB0">
            <w:pPr>
              <w:jc w:val="center"/>
              <w:rPr>
                <w:lang w:val="en-GB"/>
              </w:rPr>
            </w:pPr>
            <w:r w:rsidRPr="00C00F3A">
              <w:rPr>
                <w:sz w:val="18"/>
                <w:szCs w:val="18"/>
                <w:lang w:val="en-GB"/>
              </w:rPr>
              <w:t>73.2</w:t>
            </w:r>
          </w:p>
        </w:tc>
        <w:tc>
          <w:tcPr>
            <w:tcW w:w="148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12D298B4" w14:textId="77777777" w:rsidR="00140083" w:rsidRPr="00C00F3A" w:rsidRDefault="00176BB0">
            <w:pPr>
              <w:jc w:val="center"/>
              <w:rPr>
                <w:lang w:val="en-GB"/>
              </w:rPr>
            </w:pPr>
            <w:r w:rsidRPr="00C00F3A">
              <w:rPr>
                <w:sz w:val="18"/>
                <w:szCs w:val="18"/>
                <w:lang w:val="en-GB"/>
              </w:rPr>
              <w:t>73.9</w:t>
            </w:r>
          </w:p>
        </w:tc>
      </w:tr>
      <w:tr w:rsidR="00140083" w:rsidRPr="00C00F3A" w14:paraId="75410BC6" w14:textId="77777777">
        <w:tc>
          <w:tcPr>
            <w:tcW w:w="2200"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07B6530C" w14:textId="77777777" w:rsidR="00140083" w:rsidRPr="00C00F3A" w:rsidRDefault="00176BB0">
            <w:pPr>
              <w:rPr>
                <w:lang w:val="en-GB"/>
              </w:rPr>
            </w:pPr>
            <w:r w:rsidRPr="00C00F3A">
              <w:rPr>
                <w:sz w:val="18"/>
                <w:szCs w:val="18"/>
                <w:lang w:val="en-GB"/>
              </w:rPr>
              <w:t>DSO (Receivable Days)</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789C997F" w14:textId="77777777" w:rsidR="00140083" w:rsidRPr="00C00F3A" w:rsidRDefault="00176BB0">
            <w:pPr>
              <w:jc w:val="center"/>
              <w:rPr>
                <w:lang w:val="en-GB"/>
              </w:rPr>
            </w:pPr>
            <w:r w:rsidRPr="00C00F3A">
              <w:rPr>
                <w:sz w:val="18"/>
                <w:szCs w:val="18"/>
                <w:lang w:val="en-GB"/>
              </w:rPr>
              <w:t>147.8</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2AB98870" w14:textId="77777777" w:rsidR="00140083" w:rsidRPr="00C00F3A" w:rsidRDefault="00176BB0">
            <w:pPr>
              <w:jc w:val="center"/>
              <w:rPr>
                <w:lang w:val="en-GB"/>
              </w:rPr>
            </w:pPr>
            <w:r w:rsidRPr="00C00F3A">
              <w:rPr>
                <w:sz w:val="18"/>
                <w:szCs w:val="18"/>
                <w:lang w:val="en-GB"/>
              </w:rPr>
              <w:t>88.2</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2AB3E85C" w14:textId="77777777" w:rsidR="00140083" w:rsidRPr="00C00F3A" w:rsidRDefault="00176BB0">
            <w:pPr>
              <w:jc w:val="center"/>
              <w:rPr>
                <w:lang w:val="en-GB"/>
              </w:rPr>
            </w:pPr>
            <w:r w:rsidRPr="00C00F3A">
              <w:rPr>
                <w:sz w:val="18"/>
                <w:szCs w:val="18"/>
                <w:lang w:val="en-GB"/>
              </w:rPr>
              <w:t>72.0</w:t>
            </w:r>
          </w:p>
        </w:tc>
        <w:tc>
          <w:tcPr>
            <w:tcW w:w="1488"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52E5E9B0" w14:textId="77777777" w:rsidR="00140083" w:rsidRPr="00C00F3A" w:rsidRDefault="00176BB0">
            <w:pPr>
              <w:jc w:val="center"/>
              <w:rPr>
                <w:lang w:val="en-GB"/>
              </w:rPr>
            </w:pPr>
            <w:r w:rsidRPr="00C00F3A">
              <w:rPr>
                <w:sz w:val="18"/>
                <w:szCs w:val="18"/>
                <w:lang w:val="en-GB"/>
              </w:rPr>
              <w:t>72.6</w:t>
            </w:r>
          </w:p>
        </w:tc>
        <w:tc>
          <w:tcPr>
            <w:tcW w:w="1486"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5942DDBA" w14:textId="77777777" w:rsidR="00140083" w:rsidRPr="00C00F3A" w:rsidRDefault="00176BB0">
            <w:pPr>
              <w:jc w:val="center"/>
              <w:rPr>
                <w:lang w:val="en-GB"/>
              </w:rPr>
            </w:pPr>
            <w:r w:rsidRPr="00C00F3A">
              <w:rPr>
                <w:sz w:val="18"/>
                <w:szCs w:val="18"/>
                <w:lang w:val="en-GB"/>
              </w:rPr>
              <w:t>72.1</w:t>
            </w:r>
          </w:p>
        </w:tc>
      </w:tr>
      <w:tr w:rsidR="00140083" w:rsidRPr="00C00F3A" w14:paraId="6AD7E334" w14:textId="77777777">
        <w:tc>
          <w:tcPr>
            <w:tcW w:w="22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5B6D97A6" w14:textId="77777777" w:rsidR="00140083" w:rsidRPr="00C00F3A" w:rsidRDefault="00176BB0">
            <w:pPr>
              <w:rPr>
                <w:lang w:val="en-GB"/>
              </w:rPr>
            </w:pPr>
            <w:r w:rsidRPr="00C00F3A">
              <w:rPr>
                <w:sz w:val="18"/>
                <w:szCs w:val="18"/>
                <w:lang w:val="en-GB"/>
              </w:rPr>
              <w:t>DPO (Payable Days)</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165FAABA" w14:textId="77777777" w:rsidR="00140083" w:rsidRPr="00C00F3A" w:rsidRDefault="00176BB0">
            <w:pPr>
              <w:jc w:val="center"/>
              <w:rPr>
                <w:lang w:val="en-GB"/>
              </w:rPr>
            </w:pPr>
            <w:r w:rsidRPr="00C00F3A">
              <w:rPr>
                <w:sz w:val="18"/>
                <w:szCs w:val="18"/>
                <w:lang w:val="en-GB"/>
              </w:rPr>
              <w:t>244.7</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6F2558DD" w14:textId="77777777" w:rsidR="00140083" w:rsidRPr="00C00F3A" w:rsidRDefault="00176BB0">
            <w:pPr>
              <w:jc w:val="center"/>
              <w:rPr>
                <w:lang w:val="en-GB"/>
              </w:rPr>
            </w:pPr>
            <w:r w:rsidRPr="00C00F3A">
              <w:rPr>
                <w:sz w:val="18"/>
                <w:szCs w:val="18"/>
                <w:lang w:val="en-GB"/>
              </w:rPr>
              <w:t>143.2</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06CF1870" w14:textId="77777777" w:rsidR="00140083" w:rsidRPr="00C00F3A" w:rsidRDefault="00176BB0">
            <w:pPr>
              <w:jc w:val="center"/>
              <w:rPr>
                <w:lang w:val="en-GB"/>
              </w:rPr>
            </w:pPr>
            <w:r w:rsidRPr="00C00F3A">
              <w:rPr>
                <w:sz w:val="18"/>
                <w:szCs w:val="18"/>
                <w:lang w:val="en-GB"/>
              </w:rPr>
              <w:t>115.3</w:t>
            </w:r>
          </w:p>
        </w:tc>
        <w:tc>
          <w:tcPr>
            <w:tcW w:w="1488"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51E947CB" w14:textId="77777777" w:rsidR="00140083" w:rsidRPr="00C00F3A" w:rsidRDefault="00176BB0">
            <w:pPr>
              <w:jc w:val="center"/>
              <w:rPr>
                <w:lang w:val="en-GB"/>
              </w:rPr>
            </w:pPr>
            <w:r w:rsidRPr="00C00F3A">
              <w:rPr>
                <w:sz w:val="18"/>
                <w:szCs w:val="18"/>
                <w:lang w:val="en-GB"/>
              </w:rPr>
              <w:t>113.4</w:t>
            </w:r>
          </w:p>
        </w:tc>
        <w:tc>
          <w:tcPr>
            <w:tcW w:w="148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7D741F0B" w14:textId="77777777" w:rsidR="00140083" w:rsidRPr="00C00F3A" w:rsidRDefault="00176BB0">
            <w:pPr>
              <w:jc w:val="center"/>
              <w:rPr>
                <w:lang w:val="en-GB"/>
              </w:rPr>
            </w:pPr>
            <w:r w:rsidRPr="00C00F3A">
              <w:rPr>
                <w:sz w:val="18"/>
                <w:szCs w:val="18"/>
                <w:lang w:val="en-GB"/>
              </w:rPr>
              <w:t>112.4</w:t>
            </w:r>
          </w:p>
        </w:tc>
      </w:tr>
      <w:tr w:rsidR="00140083" w:rsidRPr="00C00F3A" w14:paraId="5852DC2B" w14:textId="77777777">
        <w:tc>
          <w:tcPr>
            <w:tcW w:w="2200" w:type="dxa"/>
            <w:tcBorders>
              <w:top w:val="single" w:sz="4" w:space="0" w:color="999999"/>
              <w:left w:val="single" w:sz="4" w:space="0" w:color="999999"/>
              <w:bottom w:val="single" w:sz="4" w:space="0" w:color="999999"/>
              <w:right w:val="single" w:sz="4" w:space="0" w:color="999999"/>
            </w:tcBorders>
            <w:shd w:val="clear" w:color="auto" w:fill="E7F0F9"/>
            <w:tcMar>
              <w:top w:w="40" w:type="dxa"/>
              <w:left w:w="60" w:type="dxa"/>
              <w:bottom w:w="40" w:type="dxa"/>
              <w:right w:w="60" w:type="dxa"/>
            </w:tcMar>
            <w:vAlign w:val="center"/>
          </w:tcPr>
          <w:p w14:paraId="7734259E" w14:textId="77777777" w:rsidR="00140083" w:rsidRPr="00C00F3A" w:rsidRDefault="00176BB0">
            <w:pPr>
              <w:rPr>
                <w:lang w:val="en-GB"/>
              </w:rPr>
            </w:pPr>
            <w:r w:rsidRPr="00C00F3A">
              <w:rPr>
                <w:b/>
                <w:bCs/>
                <w:sz w:val="18"/>
                <w:szCs w:val="18"/>
                <w:lang w:val="en-GB"/>
              </w:rPr>
              <w:t>CCC</w:t>
            </w:r>
          </w:p>
        </w:tc>
        <w:tc>
          <w:tcPr>
            <w:tcW w:w="1488" w:type="dxa"/>
            <w:tcBorders>
              <w:top w:val="single" w:sz="4" w:space="0" w:color="999999"/>
              <w:left w:val="single" w:sz="4" w:space="0" w:color="999999"/>
              <w:bottom w:val="single" w:sz="4" w:space="0" w:color="999999"/>
              <w:right w:val="single" w:sz="4" w:space="0" w:color="999999"/>
            </w:tcBorders>
            <w:shd w:val="clear" w:color="auto" w:fill="E7F0F9"/>
            <w:tcMar>
              <w:top w:w="40" w:type="dxa"/>
              <w:left w:w="60" w:type="dxa"/>
              <w:bottom w:w="40" w:type="dxa"/>
              <w:right w:w="60" w:type="dxa"/>
            </w:tcMar>
            <w:vAlign w:val="center"/>
          </w:tcPr>
          <w:p w14:paraId="2694159C" w14:textId="77777777" w:rsidR="00140083" w:rsidRPr="00C00F3A" w:rsidRDefault="00176BB0">
            <w:pPr>
              <w:jc w:val="center"/>
              <w:rPr>
                <w:lang w:val="en-GB"/>
              </w:rPr>
            </w:pPr>
            <w:r w:rsidRPr="00C00F3A">
              <w:rPr>
                <w:b/>
                <w:bCs/>
                <w:sz w:val="18"/>
                <w:szCs w:val="18"/>
                <w:lang w:val="en-GB"/>
              </w:rPr>
              <w:t>41.6</w:t>
            </w:r>
          </w:p>
        </w:tc>
        <w:tc>
          <w:tcPr>
            <w:tcW w:w="1488" w:type="dxa"/>
            <w:tcBorders>
              <w:top w:val="single" w:sz="4" w:space="0" w:color="999999"/>
              <w:left w:val="single" w:sz="4" w:space="0" w:color="999999"/>
              <w:bottom w:val="single" w:sz="4" w:space="0" w:color="999999"/>
              <w:right w:val="single" w:sz="4" w:space="0" w:color="999999"/>
            </w:tcBorders>
            <w:shd w:val="clear" w:color="auto" w:fill="E7F0F9"/>
            <w:tcMar>
              <w:top w:w="40" w:type="dxa"/>
              <w:left w:w="60" w:type="dxa"/>
              <w:bottom w:w="40" w:type="dxa"/>
              <w:right w:w="60" w:type="dxa"/>
            </w:tcMar>
            <w:vAlign w:val="center"/>
          </w:tcPr>
          <w:p w14:paraId="1A0DDB37" w14:textId="77777777" w:rsidR="00140083" w:rsidRPr="00C00F3A" w:rsidRDefault="00176BB0">
            <w:pPr>
              <w:jc w:val="center"/>
              <w:rPr>
                <w:lang w:val="en-GB"/>
              </w:rPr>
            </w:pPr>
            <w:r w:rsidRPr="00C00F3A">
              <w:rPr>
                <w:b/>
                <w:bCs/>
                <w:sz w:val="18"/>
                <w:szCs w:val="18"/>
                <w:lang w:val="en-GB"/>
              </w:rPr>
              <w:t>35.3</w:t>
            </w:r>
          </w:p>
        </w:tc>
        <w:tc>
          <w:tcPr>
            <w:tcW w:w="1488" w:type="dxa"/>
            <w:tcBorders>
              <w:top w:val="single" w:sz="4" w:space="0" w:color="999999"/>
              <w:left w:val="single" w:sz="4" w:space="0" w:color="999999"/>
              <w:bottom w:val="single" w:sz="4" w:space="0" w:color="999999"/>
              <w:right w:val="single" w:sz="4" w:space="0" w:color="999999"/>
            </w:tcBorders>
            <w:shd w:val="clear" w:color="auto" w:fill="E7F0F9"/>
            <w:tcMar>
              <w:top w:w="40" w:type="dxa"/>
              <w:left w:w="60" w:type="dxa"/>
              <w:bottom w:w="40" w:type="dxa"/>
              <w:right w:w="60" w:type="dxa"/>
            </w:tcMar>
            <w:vAlign w:val="center"/>
          </w:tcPr>
          <w:p w14:paraId="209F82C8" w14:textId="77777777" w:rsidR="00140083" w:rsidRPr="00C00F3A" w:rsidRDefault="00176BB0">
            <w:pPr>
              <w:jc w:val="center"/>
              <w:rPr>
                <w:lang w:val="en-GB"/>
              </w:rPr>
            </w:pPr>
            <w:r w:rsidRPr="00C00F3A">
              <w:rPr>
                <w:b/>
                <w:bCs/>
                <w:sz w:val="18"/>
                <w:szCs w:val="18"/>
                <w:lang w:val="en-GB"/>
              </w:rPr>
              <w:t>33.6</w:t>
            </w:r>
          </w:p>
        </w:tc>
        <w:tc>
          <w:tcPr>
            <w:tcW w:w="1488" w:type="dxa"/>
            <w:tcBorders>
              <w:top w:val="single" w:sz="4" w:space="0" w:color="999999"/>
              <w:left w:val="single" w:sz="4" w:space="0" w:color="999999"/>
              <w:bottom w:val="single" w:sz="4" w:space="0" w:color="999999"/>
              <w:right w:val="single" w:sz="4" w:space="0" w:color="999999"/>
            </w:tcBorders>
            <w:shd w:val="clear" w:color="auto" w:fill="E7F0F9"/>
            <w:tcMar>
              <w:top w:w="40" w:type="dxa"/>
              <w:left w:w="60" w:type="dxa"/>
              <w:bottom w:w="40" w:type="dxa"/>
              <w:right w:w="60" w:type="dxa"/>
            </w:tcMar>
            <w:vAlign w:val="center"/>
          </w:tcPr>
          <w:p w14:paraId="2268F62B" w14:textId="77777777" w:rsidR="00140083" w:rsidRPr="00C00F3A" w:rsidRDefault="00176BB0">
            <w:pPr>
              <w:jc w:val="center"/>
              <w:rPr>
                <w:lang w:val="en-GB"/>
              </w:rPr>
            </w:pPr>
            <w:r w:rsidRPr="00C00F3A">
              <w:rPr>
                <w:b/>
                <w:bCs/>
                <w:sz w:val="18"/>
                <w:szCs w:val="18"/>
                <w:lang w:val="en-GB"/>
              </w:rPr>
              <w:t>32.5</w:t>
            </w:r>
          </w:p>
        </w:tc>
        <w:tc>
          <w:tcPr>
            <w:tcW w:w="1486" w:type="dxa"/>
            <w:tcBorders>
              <w:top w:val="single" w:sz="4" w:space="0" w:color="999999"/>
              <w:left w:val="single" w:sz="4" w:space="0" w:color="999999"/>
              <w:bottom w:val="single" w:sz="4" w:space="0" w:color="999999"/>
              <w:right w:val="single" w:sz="4" w:space="0" w:color="999999"/>
            </w:tcBorders>
            <w:shd w:val="clear" w:color="auto" w:fill="E7F0F9"/>
            <w:tcMar>
              <w:top w:w="40" w:type="dxa"/>
              <w:left w:w="60" w:type="dxa"/>
              <w:bottom w:w="40" w:type="dxa"/>
              <w:right w:w="60" w:type="dxa"/>
            </w:tcMar>
            <w:vAlign w:val="center"/>
          </w:tcPr>
          <w:p w14:paraId="2FB89C59" w14:textId="77777777" w:rsidR="00140083" w:rsidRPr="00C00F3A" w:rsidRDefault="00176BB0">
            <w:pPr>
              <w:jc w:val="center"/>
              <w:rPr>
                <w:lang w:val="en-GB"/>
              </w:rPr>
            </w:pPr>
            <w:r w:rsidRPr="00C00F3A">
              <w:rPr>
                <w:b/>
                <w:bCs/>
                <w:sz w:val="18"/>
                <w:szCs w:val="18"/>
                <w:lang w:val="en-GB"/>
              </w:rPr>
              <w:t>33.6</w:t>
            </w:r>
          </w:p>
        </w:tc>
      </w:tr>
    </w:tbl>
    <w:p w14:paraId="1A645838" w14:textId="7641C250" w:rsidR="000D3924" w:rsidRPr="00C00F3A" w:rsidRDefault="00176BB0" w:rsidP="000D3924">
      <w:pPr>
        <w:spacing w:before="60" w:after="160"/>
        <w:jc w:val="center"/>
        <w:rPr>
          <w:i/>
          <w:iCs/>
          <w:sz w:val="16"/>
          <w:szCs w:val="16"/>
          <w:lang w:val="en-GB"/>
        </w:rPr>
      </w:pPr>
      <w:r w:rsidRPr="00C00F3A">
        <w:rPr>
          <w:i/>
          <w:iCs/>
          <w:sz w:val="16"/>
          <w:szCs w:val="16"/>
          <w:lang w:val="en-GB"/>
        </w:rPr>
        <w:t xml:space="preserve"> FY21 days metrics are distorted by the short reporting period.</w:t>
      </w:r>
    </w:p>
    <w:p w14:paraId="7DD555A7" w14:textId="28E9E4A6" w:rsidR="00140083" w:rsidRPr="00C00F3A" w:rsidRDefault="000D3924" w:rsidP="000D3924">
      <w:pPr>
        <w:spacing w:before="60" w:after="160"/>
        <w:jc w:val="center"/>
        <w:rPr>
          <w:lang w:val="en-GB"/>
        </w:rPr>
      </w:pPr>
      <w:r w:rsidRPr="00C00F3A">
        <w:rPr>
          <w:i/>
          <w:iCs/>
          <w:sz w:val="16"/>
          <w:szCs w:val="16"/>
          <w:lang w:val="en-GB"/>
        </w:rPr>
        <w:t>(Source: Self-created).</w:t>
      </w:r>
    </w:p>
    <w:p w14:paraId="7C43E76B" w14:textId="77777777" w:rsidR="00140083" w:rsidRPr="00C00F3A" w:rsidRDefault="00176BB0">
      <w:pPr>
        <w:spacing w:before="120" w:after="80"/>
        <w:jc w:val="center"/>
        <w:rPr>
          <w:lang w:val="en-GB"/>
        </w:rPr>
      </w:pPr>
      <w:r w:rsidRPr="00C00F3A">
        <w:rPr>
          <w:noProof/>
          <w:lang w:val="en-GB"/>
        </w:rPr>
        <w:drawing>
          <wp:inline distT="0" distB="0" distL="0" distR="0" wp14:anchorId="78A49B65" wp14:editId="5DEA70EB">
            <wp:extent cx="4572000" cy="2286000"/>
            <wp:effectExtent l="0" t="0" r="0" b="0"/>
            <wp:docPr id="1421961319" name="CCC Chart" descr="Cash conversion cycle trend"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572000" cy="2286000"/>
                    </a:xfrm>
                    <a:prstGeom prst="rect">
                      <a:avLst/>
                    </a:prstGeom>
                  </pic:spPr>
                </pic:pic>
              </a:graphicData>
            </a:graphic>
          </wp:inline>
        </w:drawing>
      </w:r>
    </w:p>
    <w:p w14:paraId="5411E889" w14:textId="77777777" w:rsidR="00140083" w:rsidRPr="00C00F3A" w:rsidRDefault="00176BB0">
      <w:pPr>
        <w:spacing w:after="160"/>
        <w:jc w:val="center"/>
        <w:rPr>
          <w:i/>
          <w:iCs/>
          <w:sz w:val="18"/>
          <w:szCs w:val="18"/>
          <w:lang w:val="en-GB"/>
        </w:rPr>
      </w:pPr>
      <w:r w:rsidRPr="00C00F3A">
        <w:rPr>
          <w:i/>
          <w:iCs/>
          <w:sz w:val="18"/>
          <w:szCs w:val="18"/>
          <w:lang w:val="en-GB"/>
        </w:rPr>
        <w:t>Figure 3: Cash Conversion Cycle Trend (FY21–FY25)</w:t>
      </w:r>
    </w:p>
    <w:p w14:paraId="4DB69050" w14:textId="74687B57" w:rsidR="000D3924" w:rsidRPr="00C00F3A" w:rsidRDefault="000D3924">
      <w:pPr>
        <w:spacing w:after="160"/>
        <w:jc w:val="center"/>
        <w:rPr>
          <w:lang w:val="en-GB"/>
        </w:rPr>
      </w:pPr>
      <w:r w:rsidRPr="00C00F3A">
        <w:rPr>
          <w:i/>
          <w:iCs/>
          <w:sz w:val="18"/>
          <w:szCs w:val="18"/>
          <w:lang w:val="en-GB"/>
        </w:rPr>
        <w:t>(Self-Created)</w:t>
      </w:r>
    </w:p>
    <w:p w14:paraId="4E12A291" w14:textId="585BB714" w:rsidR="00140083" w:rsidRPr="00C00F3A" w:rsidRDefault="001B42CE">
      <w:pPr>
        <w:spacing w:after="160" w:line="360" w:lineRule="auto"/>
        <w:jc w:val="both"/>
        <w:rPr>
          <w:lang w:val="en-GB"/>
        </w:rPr>
      </w:pPr>
      <w:r w:rsidRPr="00C00F3A">
        <w:rPr>
          <w:lang w:val="en-GB"/>
        </w:rPr>
        <w:lastRenderedPageBreak/>
        <w:t>With regards to the unusual FY21 results, DIO has normalized to 73-77 days, DSO to 72 days, and DPO to 112-115 days. This leads to a CCC of about 33 days, which is good for a company engaged in distribution, where it has to maintain considerable amounts of inventory of plumbing and heating equipment. High DPO shows that the Group effectively utilizes trade credits from suppliers as cheap financing.</w:t>
      </w:r>
    </w:p>
    <w:p w14:paraId="3BF36380" w14:textId="77777777" w:rsidR="00140083" w:rsidRPr="00C00F3A" w:rsidRDefault="00176BB0">
      <w:pPr>
        <w:pStyle w:val="Heading2"/>
        <w:rPr>
          <w:color w:val="auto"/>
          <w:lang w:val="en-GB"/>
        </w:rPr>
      </w:pPr>
      <w:bookmarkStart w:id="14" w:name="_Toc237515752"/>
      <w:r w:rsidRPr="00C00F3A">
        <w:rPr>
          <w:color w:val="auto"/>
          <w:lang w:val="en-GB"/>
        </w:rPr>
        <w:t>3.2 Strategies to Improve Liquidity through Working Capital Reform</w:t>
      </w:r>
      <w:bookmarkEnd w:id="14"/>
    </w:p>
    <w:p w14:paraId="0F944111" w14:textId="07591AB5" w:rsidR="00EA75C2" w:rsidRPr="00C00F3A" w:rsidRDefault="00EA75C2" w:rsidP="00EA75C2">
      <w:pPr>
        <w:spacing w:after="160" w:line="360" w:lineRule="auto"/>
        <w:jc w:val="both"/>
        <w:rPr>
          <w:lang w:val="en-GB"/>
        </w:rPr>
      </w:pPr>
      <w:r w:rsidRPr="00C00F3A">
        <w:rPr>
          <w:b/>
          <w:bCs/>
          <w:lang w:val="en-GB"/>
        </w:rPr>
        <w:t>Table</w:t>
      </w:r>
      <w:r w:rsidR="000D3924" w:rsidRPr="00C00F3A">
        <w:rPr>
          <w:b/>
          <w:bCs/>
          <w:lang w:val="en-GB"/>
        </w:rPr>
        <w:t xml:space="preserve"> 7</w:t>
      </w:r>
      <w:r w:rsidRPr="00C00F3A">
        <w:rPr>
          <w:b/>
          <w:bCs/>
          <w:lang w:val="en-GB"/>
        </w:rPr>
        <w:t>: Working Capital Improvement Levers</w:t>
      </w:r>
    </w:p>
    <w:tbl>
      <w:tblPr>
        <w:tblStyle w:val="TableGrid"/>
        <w:tblW w:w="0" w:type="auto"/>
        <w:tblLook w:val="04A0" w:firstRow="1" w:lastRow="0" w:firstColumn="1" w:lastColumn="0" w:noHBand="0" w:noVBand="1"/>
      </w:tblPr>
      <w:tblGrid>
        <w:gridCol w:w="2721"/>
        <w:gridCol w:w="1701"/>
        <w:gridCol w:w="1524"/>
        <w:gridCol w:w="2612"/>
        <w:gridCol w:w="1070"/>
      </w:tblGrid>
      <w:tr w:rsidR="00EA75C2" w:rsidRPr="00C00F3A" w14:paraId="5D63825F" w14:textId="77777777" w:rsidTr="00EA75C2">
        <w:tc>
          <w:tcPr>
            <w:tcW w:w="0" w:type="auto"/>
            <w:hideMark/>
          </w:tcPr>
          <w:p w14:paraId="4590E0D9" w14:textId="77777777" w:rsidR="00EA75C2" w:rsidRPr="00C00F3A" w:rsidRDefault="00EA75C2" w:rsidP="00EA75C2">
            <w:pPr>
              <w:spacing w:after="160" w:line="360" w:lineRule="auto"/>
              <w:jc w:val="both"/>
              <w:rPr>
                <w:b/>
                <w:bCs/>
                <w:lang w:val="en-GB"/>
              </w:rPr>
            </w:pPr>
            <w:r w:rsidRPr="00C00F3A">
              <w:rPr>
                <w:b/>
                <w:bCs/>
                <w:lang w:val="en-GB"/>
              </w:rPr>
              <w:t>Lever</w:t>
            </w:r>
          </w:p>
        </w:tc>
        <w:tc>
          <w:tcPr>
            <w:tcW w:w="0" w:type="auto"/>
            <w:hideMark/>
          </w:tcPr>
          <w:p w14:paraId="620EBD19" w14:textId="77777777" w:rsidR="00EA75C2" w:rsidRPr="00C00F3A" w:rsidRDefault="00EA75C2" w:rsidP="00EA75C2">
            <w:pPr>
              <w:spacing w:after="160" w:line="360" w:lineRule="auto"/>
              <w:jc w:val="both"/>
              <w:rPr>
                <w:b/>
                <w:bCs/>
                <w:lang w:val="en-GB"/>
              </w:rPr>
            </w:pPr>
            <w:r w:rsidRPr="00C00F3A">
              <w:rPr>
                <w:b/>
                <w:bCs/>
                <w:lang w:val="en-GB"/>
              </w:rPr>
              <w:t>Current Level</w:t>
            </w:r>
          </w:p>
        </w:tc>
        <w:tc>
          <w:tcPr>
            <w:tcW w:w="0" w:type="auto"/>
            <w:hideMark/>
          </w:tcPr>
          <w:p w14:paraId="6A7940DF" w14:textId="77777777" w:rsidR="00EA75C2" w:rsidRPr="00C00F3A" w:rsidRDefault="00EA75C2" w:rsidP="00EA75C2">
            <w:pPr>
              <w:spacing w:after="160" w:line="360" w:lineRule="auto"/>
              <w:jc w:val="both"/>
              <w:rPr>
                <w:b/>
                <w:bCs/>
                <w:lang w:val="en-GB"/>
              </w:rPr>
            </w:pPr>
            <w:r w:rsidRPr="00C00F3A">
              <w:rPr>
                <w:b/>
                <w:bCs/>
                <w:lang w:val="en-GB"/>
              </w:rPr>
              <w:t>Target Level</w:t>
            </w:r>
          </w:p>
        </w:tc>
        <w:tc>
          <w:tcPr>
            <w:tcW w:w="0" w:type="auto"/>
            <w:hideMark/>
          </w:tcPr>
          <w:p w14:paraId="48BA8E37" w14:textId="77777777" w:rsidR="00EA75C2" w:rsidRPr="00C00F3A" w:rsidRDefault="00EA75C2" w:rsidP="00EA75C2">
            <w:pPr>
              <w:spacing w:after="160" w:line="360" w:lineRule="auto"/>
              <w:jc w:val="both"/>
              <w:rPr>
                <w:b/>
                <w:bCs/>
                <w:lang w:val="en-GB"/>
              </w:rPr>
            </w:pPr>
            <w:r w:rsidRPr="00C00F3A">
              <w:rPr>
                <w:b/>
                <w:bCs/>
                <w:lang w:val="en-GB"/>
              </w:rPr>
              <w:t>Estimated Cash Impact</w:t>
            </w:r>
          </w:p>
        </w:tc>
        <w:tc>
          <w:tcPr>
            <w:tcW w:w="0" w:type="auto"/>
            <w:hideMark/>
          </w:tcPr>
          <w:p w14:paraId="37EEC0B4" w14:textId="77777777" w:rsidR="00EA75C2" w:rsidRPr="00C00F3A" w:rsidRDefault="00EA75C2" w:rsidP="00EA75C2">
            <w:pPr>
              <w:spacing w:after="160" w:line="360" w:lineRule="auto"/>
              <w:jc w:val="both"/>
              <w:rPr>
                <w:b/>
                <w:bCs/>
                <w:lang w:val="en-GB"/>
              </w:rPr>
            </w:pPr>
            <w:r w:rsidRPr="00C00F3A">
              <w:rPr>
                <w:b/>
                <w:bCs/>
                <w:lang w:val="en-GB"/>
              </w:rPr>
              <w:t>Priority</w:t>
            </w:r>
          </w:p>
        </w:tc>
      </w:tr>
      <w:tr w:rsidR="00EA75C2" w:rsidRPr="00C00F3A" w14:paraId="06967642" w14:textId="77777777" w:rsidTr="00EA75C2">
        <w:tc>
          <w:tcPr>
            <w:tcW w:w="0" w:type="auto"/>
            <w:hideMark/>
          </w:tcPr>
          <w:p w14:paraId="4D8D4D34" w14:textId="77777777" w:rsidR="00EA75C2" w:rsidRPr="00C00F3A" w:rsidRDefault="00EA75C2" w:rsidP="00EA75C2">
            <w:pPr>
              <w:spacing w:after="160" w:line="360" w:lineRule="auto"/>
              <w:jc w:val="both"/>
              <w:rPr>
                <w:lang w:val="en-GB"/>
              </w:rPr>
            </w:pPr>
            <w:r w:rsidRPr="00C00F3A">
              <w:rPr>
                <w:lang w:val="en-GB"/>
              </w:rPr>
              <w:t>Inventory (DIO)</w:t>
            </w:r>
          </w:p>
        </w:tc>
        <w:tc>
          <w:tcPr>
            <w:tcW w:w="0" w:type="auto"/>
            <w:hideMark/>
          </w:tcPr>
          <w:p w14:paraId="40D7A3CD" w14:textId="77777777" w:rsidR="00EA75C2" w:rsidRPr="00C00F3A" w:rsidRDefault="00EA75C2" w:rsidP="00EA75C2">
            <w:pPr>
              <w:spacing w:after="160" w:line="360" w:lineRule="auto"/>
              <w:jc w:val="both"/>
              <w:rPr>
                <w:lang w:val="en-GB"/>
              </w:rPr>
            </w:pPr>
            <w:r w:rsidRPr="00C00F3A">
              <w:rPr>
                <w:lang w:val="en-GB"/>
              </w:rPr>
              <w:t>~74 days</w:t>
            </w:r>
          </w:p>
        </w:tc>
        <w:tc>
          <w:tcPr>
            <w:tcW w:w="0" w:type="auto"/>
            <w:hideMark/>
          </w:tcPr>
          <w:p w14:paraId="2BB3B622" w14:textId="77777777" w:rsidR="00EA75C2" w:rsidRPr="00C00F3A" w:rsidRDefault="00EA75C2" w:rsidP="00EA75C2">
            <w:pPr>
              <w:spacing w:after="160" w:line="360" w:lineRule="auto"/>
              <w:jc w:val="both"/>
              <w:rPr>
                <w:lang w:val="en-GB"/>
              </w:rPr>
            </w:pPr>
            <w:r w:rsidRPr="00C00F3A">
              <w:rPr>
                <w:lang w:val="en-GB"/>
              </w:rPr>
              <w:t>~65 days</w:t>
            </w:r>
          </w:p>
        </w:tc>
        <w:tc>
          <w:tcPr>
            <w:tcW w:w="0" w:type="auto"/>
            <w:hideMark/>
          </w:tcPr>
          <w:p w14:paraId="285EF4D8" w14:textId="77777777" w:rsidR="00EA75C2" w:rsidRPr="00C00F3A" w:rsidRDefault="00EA75C2" w:rsidP="00EA75C2">
            <w:pPr>
              <w:spacing w:after="160" w:line="360" w:lineRule="auto"/>
              <w:jc w:val="both"/>
              <w:rPr>
                <w:lang w:val="en-GB"/>
              </w:rPr>
            </w:pPr>
            <w:r w:rsidRPr="00C00F3A">
              <w:rPr>
                <w:lang w:val="en-GB"/>
              </w:rPr>
              <w:t>£30–40 million release</w:t>
            </w:r>
          </w:p>
        </w:tc>
        <w:tc>
          <w:tcPr>
            <w:tcW w:w="0" w:type="auto"/>
            <w:hideMark/>
          </w:tcPr>
          <w:p w14:paraId="5DE3C8AD" w14:textId="77777777" w:rsidR="00EA75C2" w:rsidRPr="00C00F3A" w:rsidRDefault="00EA75C2" w:rsidP="00EA75C2">
            <w:pPr>
              <w:spacing w:after="160" w:line="360" w:lineRule="auto"/>
              <w:jc w:val="both"/>
              <w:rPr>
                <w:lang w:val="en-GB"/>
              </w:rPr>
            </w:pPr>
            <w:r w:rsidRPr="00C00F3A">
              <w:rPr>
                <w:lang w:val="en-GB"/>
              </w:rPr>
              <w:t>High</w:t>
            </w:r>
          </w:p>
        </w:tc>
      </w:tr>
      <w:tr w:rsidR="00EA75C2" w:rsidRPr="00C00F3A" w14:paraId="5B12A708" w14:textId="77777777" w:rsidTr="00EA75C2">
        <w:tc>
          <w:tcPr>
            <w:tcW w:w="0" w:type="auto"/>
            <w:hideMark/>
          </w:tcPr>
          <w:p w14:paraId="55437A8C" w14:textId="77777777" w:rsidR="00EA75C2" w:rsidRPr="00C00F3A" w:rsidRDefault="00EA75C2" w:rsidP="00EA75C2">
            <w:pPr>
              <w:spacing w:after="160" w:line="360" w:lineRule="auto"/>
              <w:jc w:val="both"/>
              <w:rPr>
                <w:lang w:val="en-GB"/>
              </w:rPr>
            </w:pPr>
            <w:r w:rsidRPr="00C00F3A">
              <w:rPr>
                <w:lang w:val="en-GB"/>
              </w:rPr>
              <w:t>Receivables (DSO)</w:t>
            </w:r>
          </w:p>
        </w:tc>
        <w:tc>
          <w:tcPr>
            <w:tcW w:w="0" w:type="auto"/>
            <w:hideMark/>
          </w:tcPr>
          <w:p w14:paraId="18C12C05" w14:textId="77777777" w:rsidR="00EA75C2" w:rsidRPr="00C00F3A" w:rsidRDefault="00EA75C2" w:rsidP="00EA75C2">
            <w:pPr>
              <w:spacing w:after="160" w:line="360" w:lineRule="auto"/>
              <w:jc w:val="both"/>
              <w:rPr>
                <w:lang w:val="en-GB"/>
              </w:rPr>
            </w:pPr>
            <w:r w:rsidRPr="00C00F3A">
              <w:rPr>
                <w:lang w:val="en-GB"/>
              </w:rPr>
              <w:t>~72 days</w:t>
            </w:r>
          </w:p>
        </w:tc>
        <w:tc>
          <w:tcPr>
            <w:tcW w:w="0" w:type="auto"/>
            <w:hideMark/>
          </w:tcPr>
          <w:p w14:paraId="45C28984" w14:textId="77777777" w:rsidR="00EA75C2" w:rsidRPr="00C00F3A" w:rsidRDefault="00EA75C2" w:rsidP="00EA75C2">
            <w:pPr>
              <w:spacing w:after="160" w:line="360" w:lineRule="auto"/>
              <w:jc w:val="both"/>
              <w:rPr>
                <w:lang w:val="en-GB"/>
              </w:rPr>
            </w:pPr>
            <w:r w:rsidRPr="00C00F3A">
              <w:rPr>
                <w:lang w:val="en-GB"/>
              </w:rPr>
              <w:t>65–67 days</w:t>
            </w:r>
          </w:p>
        </w:tc>
        <w:tc>
          <w:tcPr>
            <w:tcW w:w="0" w:type="auto"/>
            <w:hideMark/>
          </w:tcPr>
          <w:p w14:paraId="532274A7" w14:textId="77777777" w:rsidR="00EA75C2" w:rsidRPr="00C00F3A" w:rsidRDefault="00EA75C2" w:rsidP="00EA75C2">
            <w:pPr>
              <w:spacing w:after="160" w:line="360" w:lineRule="auto"/>
              <w:jc w:val="both"/>
              <w:rPr>
                <w:lang w:val="en-GB"/>
              </w:rPr>
            </w:pPr>
            <w:r w:rsidRPr="00C00F3A">
              <w:rPr>
                <w:lang w:val="en-GB"/>
              </w:rPr>
              <w:t>Accelerated cash inflow</w:t>
            </w:r>
          </w:p>
        </w:tc>
        <w:tc>
          <w:tcPr>
            <w:tcW w:w="0" w:type="auto"/>
            <w:hideMark/>
          </w:tcPr>
          <w:p w14:paraId="6BE2137E" w14:textId="77777777" w:rsidR="00EA75C2" w:rsidRPr="00C00F3A" w:rsidRDefault="00EA75C2" w:rsidP="00EA75C2">
            <w:pPr>
              <w:spacing w:after="160" w:line="360" w:lineRule="auto"/>
              <w:jc w:val="both"/>
              <w:rPr>
                <w:lang w:val="en-GB"/>
              </w:rPr>
            </w:pPr>
            <w:r w:rsidRPr="00C00F3A">
              <w:rPr>
                <w:lang w:val="en-GB"/>
              </w:rPr>
              <w:t>High</w:t>
            </w:r>
          </w:p>
        </w:tc>
      </w:tr>
      <w:tr w:rsidR="00EA75C2" w:rsidRPr="00C00F3A" w14:paraId="4182E8E9" w14:textId="77777777" w:rsidTr="00EA75C2">
        <w:tc>
          <w:tcPr>
            <w:tcW w:w="0" w:type="auto"/>
            <w:hideMark/>
          </w:tcPr>
          <w:p w14:paraId="759ECB39" w14:textId="77777777" w:rsidR="00EA75C2" w:rsidRPr="00C00F3A" w:rsidRDefault="00EA75C2" w:rsidP="00EA75C2">
            <w:pPr>
              <w:spacing w:after="160" w:line="360" w:lineRule="auto"/>
              <w:jc w:val="both"/>
              <w:rPr>
                <w:lang w:val="en-GB"/>
              </w:rPr>
            </w:pPr>
            <w:r w:rsidRPr="00C00F3A">
              <w:rPr>
                <w:lang w:val="en-GB"/>
              </w:rPr>
              <w:t>Payables (DPO)</w:t>
            </w:r>
          </w:p>
        </w:tc>
        <w:tc>
          <w:tcPr>
            <w:tcW w:w="0" w:type="auto"/>
            <w:hideMark/>
          </w:tcPr>
          <w:p w14:paraId="67E74A6F" w14:textId="77777777" w:rsidR="00EA75C2" w:rsidRPr="00C00F3A" w:rsidRDefault="00EA75C2" w:rsidP="00EA75C2">
            <w:pPr>
              <w:spacing w:after="160" w:line="360" w:lineRule="auto"/>
              <w:jc w:val="both"/>
              <w:rPr>
                <w:lang w:val="en-GB"/>
              </w:rPr>
            </w:pPr>
            <w:r w:rsidRPr="00C00F3A">
              <w:rPr>
                <w:lang w:val="en-GB"/>
              </w:rPr>
              <w:t>~112–115 days</w:t>
            </w:r>
          </w:p>
        </w:tc>
        <w:tc>
          <w:tcPr>
            <w:tcW w:w="0" w:type="auto"/>
            <w:hideMark/>
          </w:tcPr>
          <w:p w14:paraId="2F1F6090" w14:textId="77777777" w:rsidR="00EA75C2" w:rsidRPr="00C00F3A" w:rsidRDefault="00EA75C2" w:rsidP="00EA75C2">
            <w:pPr>
              <w:spacing w:after="160" w:line="360" w:lineRule="auto"/>
              <w:jc w:val="both"/>
              <w:rPr>
                <w:lang w:val="en-GB"/>
              </w:rPr>
            </w:pPr>
            <w:r w:rsidRPr="00C00F3A">
              <w:rPr>
                <w:lang w:val="en-GB"/>
              </w:rPr>
              <w:t>Maintain</w:t>
            </w:r>
          </w:p>
        </w:tc>
        <w:tc>
          <w:tcPr>
            <w:tcW w:w="0" w:type="auto"/>
            <w:hideMark/>
          </w:tcPr>
          <w:p w14:paraId="61C83ECA" w14:textId="77777777" w:rsidR="00EA75C2" w:rsidRPr="00C00F3A" w:rsidRDefault="00EA75C2" w:rsidP="00EA75C2">
            <w:pPr>
              <w:spacing w:after="160" w:line="360" w:lineRule="auto"/>
              <w:jc w:val="both"/>
              <w:rPr>
                <w:lang w:val="en-GB"/>
              </w:rPr>
            </w:pPr>
            <w:r w:rsidRPr="00C00F3A">
              <w:rPr>
                <w:lang w:val="en-GB"/>
              </w:rPr>
              <w:t>Protect supplier financing</w:t>
            </w:r>
          </w:p>
        </w:tc>
        <w:tc>
          <w:tcPr>
            <w:tcW w:w="0" w:type="auto"/>
            <w:hideMark/>
          </w:tcPr>
          <w:p w14:paraId="5A1DBA5A" w14:textId="77777777" w:rsidR="00EA75C2" w:rsidRPr="00C00F3A" w:rsidRDefault="00EA75C2" w:rsidP="00EA75C2">
            <w:pPr>
              <w:spacing w:after="160" w:line="360" w:lineRule="auto"/>
              <w:jc w:val="both"/>
              <w:rPr>
                <w:lang w:val="en-GB"/>
              </w:rPr>
            </w:pPr>
            <w:r w:rsidRPr="00C00F3A">
              <w:rPr>
                <w:lang w:val="en-GB"/>
              </w:rPr>
              <w:t>Medium</w:t>
            </w:r>
          </w:p>
        </w:tc>
      </w:tr>
      <w:tr w:rsidR="00EA75C2" w:rsidRPr="00C00F3A" w14:paraId="511FCE65" w14:textId="77777777" w:rsidTr="00EA75C2">
        <w:tc>
          <w:tcPr>
            <w:tcW w:w="0" w:type="auto"/>
            <w:hideMark/>
          </w:tcPr>
          <w:p w14:paraId="562E00CB" w14:textId="77777777" w:rsidR="00EA75C2" w:rsidRPr="00C00F3A" w:rsidRDefault="00EA75C2" w:rsidP="00EA75C2">
            <w:pPr>
              <w:spacing w:after="160" w:line="360" w:lineRule="auto"/>
              <w:jc w:val="both"/>
              <w:rPr>
                <w:lang w:val="en-GB"/>
              </w:rPr>
            </w:pPr>
            <w:r w:rsidRPr="00C00F3A">
              <w:rPr>
                <w:lang w:val="en-GB"/>
              </w:rPr>
              <w:t>Overall CCC improvement</w:t>
            </w:r>
          </w:p>
        </w:tc>
        <w:tc>
          <w:tcPr>
            <w:tcW w:w="0" w:type="auto"/>
            <w:hideMark/>
          </w:tcPr>
          <w:p w14:paraId="3DE156E5" w14:textId="77777777" w:rsidR="00EA75C2" w:rsidRPr="00C00F3A" w:rsidRDefault="00EA75C2" w:rsidP="00EA75C2">
            <w:pPr>
              <w:spacing w:after="160" w:line="360" w:lineRule="auto"/>
              <w:jc w:val="both"/>
              <w:rPr>
                <w:lang w:val="en-GB"/>
              </w:rPr>
            </w:pPr>
            <w:r w:rsidRPr="00C00F3A">
              <w:rPr>
                <w:lang w:val="en-GB"/>
              </w:rPr>
              <w:t>~33–34 days</w:t>
            </w:r>
          </w:p>
        </w:tc>
        <w:tc>
          <w:tcPr>
            <w:tcW w:w="0" w:type="auto"/>
            <w:hideMark/>
          </w:tcPr>
          <w:p w14:paraId="08CF5F4B" w14:textId="77777777" w:rsidR="00EA75C2" w:rsidRPr="00C00F3A" w:rsidRDefault="00EA75C2" w:rsidP="00EA75C2">
            <w:pPr>
              <w:spacing w:after="160" w:line="360" w:lineRule="auto"/>
              <w:jc w:val="both"/>
              <w:rPr>
                <w:lang w:val="en-GB"/>
              </w:rPr>
            </w:pPr>
            <w:r w:rsidRPr="00C00F3A">
              <w:rPr>
                <w:lang w:val="en-GB"/>
              </w:rPr>
              <w:t>~20–25 days</w:t>
            </w:r>
          </w:p>
        </w:tc>
        <w:tc>
          <w:tcPr>
            <w:tcW w:w="0" w:type="auto"/>
            <w:hideMark/>
          </w:tcPr>
          <w:p w14:paraId="16877A65" w14:textId="77777777" w:rsidR="00EA75C2" w:rsidRPr="00C00F3A" w:rsidRDefault="00EA75C2" w:rsidP="00EA75C2">
            <w:pPr>
              <w:spacing w:after="160" w:line="360" w:lineRule="auto"/>
              <w:jc w:val="both"/>
              <w:rPr>
                <w:lang w:val="en-GB"/>
              </w:rPr>
            </w:pPr>
            <w:r w:rsidRPr="00C00F3A">
              <w:rPr>
                <w:lang w:val="en-GB"/>
              </w:rPr>
              <w:t>Material liquidity gain</w:t>
            </w:r>
          </w:p>
        </w:tc>
        <w:tc>
          <w:tcPr>
            <w:tcW w:w="0" w:type="auto"/>
            <w:hideMark/>
          </w:tcPr>
          <w:p w14:paraId="666F265E" w14:textId="77777777" w:rsidR="00EA75C2" w:rsidRPr="00C00F3A" w:rsidRDefault="00EA75C2" w:rsidP="00EA75C2">
            <w:pPr>
              <w:spacing w:after="160" w:line="360" w:lineRule="auto"/>
              <w:jc w:val="both"/>
              <w:rPr>
                <w:lang w:val="en-GB"/>
              </w:rPr>
            </w:pPr>
            <w:r w:rsidRPr="00C00F3A">
              <w:rPr>
                <w:lang w:val="en-GB"/>
              </w:rPr>
              <w:t>—</w:t>
            </w:r>
          </w:p>
        </w:tc>
      </w:tr>
    </w:tbl>
    <w:p w14:paraId="1DCC0620" w14:textId="385F31A0" w:rsidR="000D3924" w:rsidRPr="00C00F3A" w:rsidRDefault="000D3924" w:rsidP="000D3924">
      <w:pPr>
        <w:spacing w:after="160" w:line="360" w:lineRule="auto"/>
        <w:jc w:val="center"/>
        <w:rPr>
          <w:lang w:val="en-GB"/>
        </w:rPr>
      </w:pPr>
      <w:r w:rsidRPr="00C00F3A">
        <w:rPr>
          <w:lang w:val="en-GB"/>
        </w:rPr>
        <w:t>(Source: Self-Created)</w:t>
      </w:r>
    </w:p>
    <w:p w14:paraId="0E16F00F" w14:textId="6750B210" w:rsidR="00EA75C2" w:rsidRPr="00C00F3A" w:rsidRDefault="00EA75C2" w:rsidP="00EA75C2">
      <w:pPr>
        <w:spacing w:after="160" w:line="360" w:lineRule="auto"/>
        <w:jc w:val="both"/>
        <w:rPr>
          <w:lang w:val="en-GB"/>
        </w:rPr>
      </w:pPr>
      <w:r w:rsidRPr="00C00F3A">
        <w:rPr>
          <w:lang w:val="en-GB"/>
        </w:rPr>
        <w:t>Working capital management plays an important role in liquidity management, considering the low cash ratio and high gearing at present at Wolseley. It is necessary to implement three specific changes that will reduce the cash conversion cycle and make cash available for debt repayment or operational purposes.</w:t>
      </w:r>
    </w:p>
    <w:p w14:paraId="2104386E" w14:textId="77777777" w:rsidR="00EA75C2" w:rsidRPr="00C00F3A" w:rsidRDefault="00EA75C2" w:rsidP="00EA75C2">
      <w:pPr>
        <w:spacing w:after="160" w:line="360" w:lineRule="auto"/>
        <w:jc w:val="both"/>
        <w:rPr>
          <w:lang w:val="en-GB"/>
        </w:rPr>
      </w:pPr>
      <w:r w:rsidRPr="00C00F3A">
        <w:rPr>
          <w:lang w:val="en-GB"/>
        </w:rPr>
        <w:t>Firstly, inventory optimization must be done. Currently, Wolseley has the Days Inventory Outstanding of about 74 days. A program of better forecasting, better category management and the implementation of the just-in-time policy in relation to some major suppliers can help to lower DIO to 65 days. Assuming the cost of sales run rate, this will result in the release of roughly £30-40 million in cash that is currently tied up in inventory.</w:t>
      </w:r>
    </w:p>
    <w:p w14:paraId="39F5AAA7" w14:textId="77777777" w:rsidR="00EA75C2" w:rsidRPr="00C00F3A" w:rsidRDefault="00EA75C2" w:rsidP="00EA75C2">
      <w:pPr>
        <w:spacing w:after="160" w:line="360" w:lineRule="auto"/>
        <w:jc w:val="both"/>
        <w:rPr>
          <w:lang w:val="en-GB"/>
        </w:rPr>
      </w:pPr>
      <w:r w:rsidRPr="00C00F3A">
        <w:rPr>
          <w:lang w:val="en-GB"/>
        </w:rPr>
        <w:t xml:space="preserve">Secondly, receivable management must be done more efficiently. At present, Days Sales Outstanding is approximately 72 days. The implementation of some measures, such as setting credit limits, implementing automation of payments process and offering small discounts to fast-paying customers will help to reduce DSO to 5-7 days. This will not harm </w:t>
      </w:r>
      <w:r w:rsidRPr="00C00F3A">
        <w:rPr>
          <w:lang w:val="en-GB"/>
        </w:rPr>
        <w:lastRenderedPageBreak/>
        <w:t>the company’s relations with trade partners, as long as the company will apply it to slow-paying clients only.</w:t>
      </w:r>
    </w:p>
    <w:p w14:paraId="033D02A4" w14:textId="20A0A894" w:rsidR="00140083" w:rsidRPr="00C00F3A" w:rsidRDefault="00EA75C2" w:rsidP="00EA75C2">
      <w:pPr>
        <w:spacing w:after="160" w:line="360" w:lineRule="auto"/>
        <w:jc w:val="both"/>
        <w:rPr>
          <w:lang w:val="en-GB"/>
        </w:rPr>
      </w:pPr>
      <w:r w:rsidRPr="00C00F3A">
        <w:rPr>
          <w:lang w:val="en-GB"/>
        </w:rPr>
        <w:t>Thirdly, payable days must be preserved, instead of being increased. At the moment, the company enjoys the relatively long Days Payable Outstanding of 112-115 days that gives the company good supplier-finance. Further extension of this indicator might cause difficulties in the relations with suppliers and product availability. Therefore, the priority now is maintaining the current terms.</w:t>
      </w:r>
    </w:p>
    <w:p w14:paraId="569AF896" w14:textId="77777777" w:rsidR="00140083" w:rsidRPr="00C00F3A" w:rsidRDefault="00176BB0">
      <w:pPr>
        <w:pStyle w:val="Heading2"/>
        <w:rPr>
          <w:color w:val="auto"/>
          <w:lang w:val="en-GB"/>
        </w:rPr>
      </w:pPr>
      <w:bookmarkStart w:id="15" w:name="_Toc237515753"/>
      <w:r w:rsidRPr="00C00F3A">
        <w:rPr>
          <w:color w:val="auto"/>
          <w:lang w:val="en-GB"/>
        </w:rPr>
        <w:t>3.3 Short-term versus Long-term Financing</w:t>
      </w:r>
      <w:bookmarkEnd w:id="15"/>
    </w:p>
    <w:p w14:paraId="123F7661" w14:textId="3E7CE927" w:rsidR="00140083" w:rsidRPr="00C00F3A" w:rsidRDefault="001B42CE">
      <w:pPr>
        <w:spacing w:after="160" w:line="360" w:lineRule="auto"/>
        <w:jc w:val="both"/>
        <w:rPr>
          <w:lang w:val="en-GB"/>
        </w:rPr>
      </w:pPr>
      <w:r w:rsidRPr="00C00F3A">
        <w:rPr>
          <w:lang w:val="en-GB"/>
        </w:rPr>
        <w:t xml:space="preserve">The Group currently depends on trade payables, leases and </w:t>
      </w:r>
      <w:proofErr w:type="gramStart"/>
      <w:r w:rsidRPr="00C00F3A">
        <w:rPr>
          <w:lang w:val="en-GB"/>
        </w:rPr>
        <w:t>longer term</w:t>
      </w:r>
      <w:proofErr w:type="gramEnd"/>
      <w:r w:rsidRPr="00C00F3A">
        <w:rPr>
          <w:lang w:val="en-GB"/>
        </w:rPr>
        <w:t xml:space="preserve"> borrowing arrangements (senior secured notes). The former involves short term financing (bank overdrafts, invoice discounting or extended payables) that give flexibility but add refinancing risk due to higher cost of commitment and the low cash ratio. The latter entails long term financing options (senior notes, term loan facilities or even equity funding) that ensure stability and match the long-term investment in branch networks; however, interest expenses will go up and even equity will dilute the current ownership structure. In light of the current interest cover of less than 1.0 and high gearing, the need is to cut down on debt and raise interest cover and not seek short term financing facilities.</w:t>
      </w:r>
    </w:p>
    <w:p w14:paraId="27AD103A" w14:textId="77777777" w:rsidR="00140083" w:rsidRPr="00C00F3A" w:rsidRDefault="00176BB0">
      <w:pPr>
        <w:pStyle w:val="Heading1"/>
        <w:rPr>
          <w:color w:val="auto"/>
          <w:lang w:val="en-GB"/>
        </w:rPr>
      </w:pPr>
      <w:bookmarkStart w:id="16" w:name="_Toc237515754"/>
      <w:r w:rsidRPr="00C00F3A">
        <w:rPr>
          <w:color w:val="auto"/>
          <w:lang w:val="en-GB"/>
        </w:rPr>
        <w:t>4. Strategic Financial Restructuring Plan</w:t>
      </w:r>
      <w:bookmarkEnd w:id="16"/>
    </w:p>
    <w:p w14:paraId="35544242" w14:textId="77777777" w:rsidR="00140083" w:rsidRPr="00C00F3A" w:rsidRDefault="00176BB0">
      <w:pPr>
        <w:pStyle w:val="Heading2"/>
        <w:rPr>
          <w:color w:val="auto"/>
          <w:lang w:val="en-GB"/>
        </w:rPr>
      </w:pPr>
      <w:bookmarkStart w:id="17" w:name="_Toc237515755"/>
      <w:r w:rsidRPr="00C00F3A">
        <w:rPr>
          <w:color w:val="auto"/>
          <w:lang w:val="en-GB"/>
        </w:rPr>
        <w:t>4.1 Recommended Restructuring Options</w:t>
      </w:r>
      <w:bookmarkEnd w:id="17"/>
    </w:p>
    <w:p w14:paraId="09497C2F" w14:textId="77777777" w:rsidR="00C760CC" w:rsidRPr="00C00F3A" w:rsidRDefault="00C760CC" w:rsidP="00C760CC">
      <w:pPr>
        <w:spacing w:after="160" w:line="360" w:lineRule="auto"/>
        <w:jc w:val="both"/>
        <w:rPr>
          <w:lang w:val="en-GB"/>
        </w:rPr>
      </w:pPr>
      <w:r w:rsidRPr="00C00F3A">
        <w:rPr>
          <w:lang w:val="en-GB"/>
        </w:rPr>
        <w:t>A combination of three leveraged restructuring solutions could restore financial resilience, providing a basis for sustainable value creation. First, selective divestiture of non-core or poorly performing branches and products can crystallize value, cut down fixed operating expenses, and raise funds for debt repayments (Pike, Neale, and Linsley, 2022). Sale of assets with a lower return allows management to focus its efforts on high-margin activities, at the same time reducing gearing (Brealey, Myers, and Allen, 2023).</w:t>
      </w:r>
    </w:p>
    <w:p w14:paraId="632DCDD8" w14:textId="77777777" w:rsidR="00C760CC" w:rsidRPr="00C00F3A" w:rsidRDefault="00C760CC" w:rsidP="00C760CC">
      <w:pPr>
        <w:spacing w:after="160" w:line="360" w:lineRule="auto"/>
        <w:jc w:val="both"/>
        <w:rPr>
          <w:lang w:val="en-GB"/>
        </w:rPr>
      </w:pPr>
      <w:r w:rsidRPr="00C00F3A">
        <w:rPr>
          <w:lang w:val="en-GB"/>
        </w:rPr>
        <w:t>Second, a small equity injection by the private-equity owner of the company, Clayton, Dubilier &amp; Rice or a new co-investor will strengthen the financial base. Injections in the amount of about £80 – 100 million will help to reduce gearing, ensure interest coverage, and create room for selective investments in growth without an increase in financial risks (Koller, Goedhart and Wessels, 2020). Given the current interest coverage ratio below 1.0 times and little room for additional borrowing, equity injection is especially relevant.</w:t>
      </w:r>
    </w:p>
    <w:p w14:paraId="7C7EB8DC" w14:textId="6F3ECF34" w:rsidR="00140083" w:rsidRPr="00C00F3A" w:rsidRDefault="00C760CC" w:rsidP="00C760CC">
      <w:pPr>
        <w:spacing w:after="160" w:line="360" w:lineRule="auto"/>
        <w:jc w:val="both"/>
        <w:rPr>
          <w:lang w:val="en-GB"/>
        </w:rPr>
      </w:pPr>
      <w:r w:rsidRPr="00C00F3A">
        <w:rPr>
          <w:lang w:val="en-GB"/>
        </w:rPr>
        <w:lastRenderedPageBreak/>
        <w:t xml:space="preserve">Third, refinancing of the senior secured notes on more </w:t>
      </w:r>
      <w:proofErr w:type="spellStart"/>
      <w:r w:rsidRPr="00C00F3A">
        <w:rPr>
          <w:lang w:val="en-GB"/>
        </w:rPr>
        <w:t>favorable</w:t>
      </w:r>
      <w:proofErr w:type="spellEnd"/>
      <w:r w:rsidRPr="00C00F3A">
        <w:rPr>
          <w:lang w:val="en-GB"/>
        </w:rPr>
        <w:t xml:space="preserve"> terms or extension of maturity period may be done to reduce near-term refinancing risks. It will be possible to extend the maturity structure of borrowings and lower the average cost of debt, if the market situation allows (Hillier et al., 2021). It will improve the ability to manage cash flows in </w:t>
      </w:r>
      <w:proofErr w:type="gramStart"/>
      <w:r w:rsidRPr="00C00F3A">
        <w:rPr>
          <w:lang w:val="en-GB"/>
        </w:rPr>
        <w:t>short and medium term</w:t>
      </w:r>
      <w:proofErr w:type="gramEnd"/>
      <w:r w:rsidRPr="00C00F3A">
        <w:rPr>
          <w:lang w:val="en-GB"/>
        </w:rPr>
        <w:t xml:space="preserve"> perspective.</w:t>
      </w:r>
    </w:p>
    <w:p w14:paraId="2486DCCA" w14:textId="77777777" w:rsidR="00140083" w:rsidRPr="00C00F3A" w:rsidRDefault="00176BB0">
      <w:pPr>
        <w:pStyle w:val="Heading2"/>
        <w:rPr>
          <w:color w:val="auto"/>
          <w:lang w:val="en-GB"/>
        </w:rPr>
      </w:pPr>
      <w:bookmarkStart w:id="18" w:name="_Toc237515756"/>
      <w:r w:rsidRPr="00C00F3A">
        <w:rPr>
          <w:color w:val="auto"/>
          <w:lang w:val="en-GB"/>
        </w:rPr>
        <w:t>4.2 Impact on Shareholder Value, Debt Structure and Operational Flexibility</w:t>
      </w:r>
      <w:bookmarkEnd w:id="18"/>
    </w:p>
    <w:p w14:paraId="64D0F770" w14:textId="1A23E36C" w:rsidR="00140083" w:rsidRPr="00C00F3A" w:rsidRDefault="001B42CE">
      <w:pPr>
        <w:spacing w:after="160" w:line="360" w:lineRule="auto"/>
        <w:jc w:val="both"/>
        <w:rPr>
          <w:lang w:val="en-GB"/>
        </w:rPr>
      </w:pPr>
      <w:r w:rsidRPr="00C00F3A">
        <w:rPr>
          <w:lang w:val="en-GB"/>
        </w:rPr>
        <w:t xml:space="preserve">A capital contribution of £80-100 million would bring down the debt-to-equity ratio from 8.0 to around 4.0-4.5, restoring interest cover to above 1.5, all else being equal. This would mean a reduction in financial risk and the cost of future debt, hence enhancing enterprise value. Any money from the divestment exercise </w:t>
      </w:r>
      <w:proofErr w:type="spellStart"/>
      <w:r w:rsidRPr="00C00F3A">
        <w:rPr>
          <w:lang w:val="en-GB"/>
        </w:rPr>
        <w:t>channeled</w:t>
      </w:r>
      <w:proofErr w:type="spellEnd"/>
      <w:r w:rsidRPr="00C00F3A">
        <w:rPr>
          <w:lang w:val="en-GB"/>
        </w:rPr>
        <w:t xml:space="preserve"> to the payment of debt would similarly help reduce leverage while reducing the complexity of the business at the same time. Operational flexibility would be enhanced by reduced costs, thus creating a better foundation for future bolt-</w:t>
      </w:r>
      <w:proofErr w:type="spellStart"/>
      <w:r w:rsidRPr="00C00F3A">
        <w:rPr>
          <w:lang w:val="en-GB"/>
        </w:rPr>
        <w:t>ons</w:t>
      </w:r>
      <w:proofErr w:type="spellEnd"/>
      <w:r w:rsidRPr="00C00F3A">
        <w:rPr>
          <w:lang w:val="en-GB"/>
        </w:rPr>
        <w:t xml:space="preserve"> should the construction cycle revive. The interests of the shareholders (from CD&amp;R's point of view) would be safeguarded against further erosion of value and a positive exit multiple.</w:t>
      </w:r>
    </w:p>
    <w:p w14:paraId="3FB17D85" w14:textId="77777777" w:rsidR="00140083" w:rsidRPr="00C00F3A" w:rsidRDefault="00176BB0">
      <w:pPr>
        <w:pStyle w:val="Heading2"/>
        <w:rPr>
          <w:color w:val="auto"/>
          <w:lang w:val="en-GB"/>
        </w:rPr>
      </w:pPr>
      <w:bookmarkStart w:id="19" w:name="_Toc237515757"/>
      <w:r w:rsidRPr="00C00F3A">
        <w:rPr>
          <w:color w:val="auto"/>
          <w:lang w:val="en-GB"/>
        </w:rPr>
        <w:t>4.3 International and Ethical Considerations</w:t>
      </w:r>
      <w:bookmarkEnd w:id="19"/>
    </w:p>
    <w:p w14:paraId="38764C72" w14:textId="77777777" w:rsidR="00C760CC" w:rsidRPr="00C00F3A" w:rsidRDefault="00C760CC" w:rsidP="00C760CC">
      <w:pPr>
        <w:spacing w:after="160" w:line="360" w:lineRule="auto"/>
        <w:jc w:val="both"/>
        <w:rPr>
          <w:lang w:val="en-GB"/>
        </w:rPr>
      </w:pPr>
      <w:r w:rsidRPr="00C00F3A">
        <w:rPr>
          <w:lang w:val="en-GB"/>
        </w:rPr>
        <w:t>Despite the current concentration of Wolseley Group on the UK, any future international expansion or sourcing activities from abroad will have to account for various cross-border risks. One of them relates to foreign exchange exposure as fluctuations in the sterling/euro and sterling/US dollar rates might considerably impact the cost of importing heating, plumbing and cooling products (Bank of England, 2025). Depreciation of the sterling would imply increase in the cost of inputs and reduction in gross margin, unless timely price increases would be made or the exchange risks hedged (Hillier et al., 2021). Differences in corporate taxation systems across jurisdictions might have to be considered as well since they would impact the choice of location of distribution centres or holding companies (OECD, 2023).</w:t>
      </w:r>
    </w:p>
    <w:p w14:paraId="2D5F8A5B" w14:textId="77777777" w:rsidR="00C760CC" w:rsidRPr="00C00F3A" w:rsidRDefault="00C760CC" w:rsidP="00C760CC">
      <w:pPr>
        <w:spacing w:after="160" w:line="360" w:lineRule="auto"/>
        <w:jc w:val="both"/>
        <w:rPr>
          <w:lang w:val="en-GB"/>
        </w:rPr>
      </w:pPr>
      <w:r w:rsidRPr="00C00F3A">
        <w:rPr>
          <w:lang w:val="en-GB"/>
        </w:rPr>
        <w:t>On top of that, there is the risk associated with inflation. Firstly, increasing cost of inputs would put pressure on the cost of sales. Secondly, high levels of inflation would decrease the purchasing power of households and construction companies and, as a result, reduce the volume of spending in the repair, maintenance and improvement market (Office for National Statistics, 2025). High inflation would also imply increase in interest rates, putting additional pressure on the Group’s poor interest coverage.</w:t>
      </w:r>
    </w:p>
    <w:p w14:paraId="17293E7F" w14:textId="6D720D55" w:rsidR="00140083" w:rsidRPr="00C00F3A" w:rsidRDefault="00C760CC" w:rsidP="00C760CC">
      <w:pPr>
        <w:spacing w:after="160" w:line="360" w:lineRule="auto"/>
        <w:jc w:val="both"/>
        <w:rPr>
          <w:lang w:val="en-GB"/>
        </w:rPr>
      </w:pPr>
      <w:r w:rsidRPr="00C00F3A">
        <w:rPr>
          <w:lang w:val="en-GB"/>
        </w:rPr>
        <w:lastRenderedPageBreak/>
        <w:t>With respect to environment, society and governance (ESG), acceleration of sustainability-related activities would be not only ethically but also strategically important. Increasingly often capital providers use information on the ESG performance of their investments in making investment decisions and setting the cost of capital (Koller et al., 2020; PRI, 2024). Priority activities in this area include enhancement of energy efficiency of branches, development of policies regarding responsible sourcing of selected product categories and improvement of ESG reporting. Lack of visible achievements in this area could lead to higher funding costs and decreased access to financing as the private equity firm eventually contemplates its exit from the business (Ferguson plc, 2024). On the other hand, improvements in ESG performance could contribute to value creation and customer, employee and supplier relations (ACCA, 2023). International risk management and ESG-related matters will have to be taken into account within any possible restructuring programme.</w:t>
      </w:r>
    </w:p>
    <w:p w14:paraId="244F462F" w14:textId="77777777" w:rsidR="00140083" w:rsidRPr="00C00F3A" w:rsidRDefault="00176BB0">
      <w:pPr>
        <w:pStyle w:val="Heading1"/>
        <w:rPr>
          <w:color w:val="auto"/>
          <w:lang w:val="en-GB"/>
        </w:rPr>
      </w:pPr>
      <w:bookmarkStart w:id="20" w:name="_Toc237515758"/>
      <w:r w:rsidRPr="00C00F3A">
        <w:rPr>
          <w:color w:val="auto"/>
          <w:lang w:val="en-GB"/>
        </w:rPr>
        <w:t>5. Investment Appraisal and Capital Budgeting</w:t>
      </w:r>
      <w:bookmarkEnd w:id="20"/>
    </w:p>
    <w:p w14:paraId="10444DD2" w14:textId="77777777" w:rsidR="00140083" w:rsidRPr="00C00F3A" w:rsidRDefault="00176BB0">
      <w:pPr>
        <w:pStyle w:val="Heading2"/>
        <w:rPr>
          <w:color w:val="auto"/>
          <w:lang w:val="en-GB"/>
        </w:rPr>
      </w:pPr>
      <w:bookmarkStart w:id="21" w:name="_Toc237515759"/>
      <w:r w:rsidRPr="00C00F3A">
        <w:rPr>
          <w:color w:val="auto"/>
          <w:lang w:val="en-GB"/>
        </w:rPr>
        <w:t>5.1 Project Descriptions and Assumptions</w:t>
      </w:r>
      <w:bookmarkEnd w:id="21"/>
    </w:p>
    <w:p w14:paraId="276A357A" w14:textId="201D7A9A" w:rsidR="00140083" w:rsidRPr="00C00F3A" w:rsidRDefault="001B42CE">
      <w:pPr>
        <w:spacing w:after="160" w:line="360" w:lineRule="auto"/>
        <w:jc w:val="both"/>
        <w:rPr>
          <w:lang w:val="en-GB"/>
        </w:rPr>
      </w:pPr>
      <w:r w:rsidRPr="00C00F3A">
        <w:rPr>
          <w:lang w:val="en-GB"/>
        </w:rPr>
        <w:t>There are three mutually exclusive projects that require an investment of £50 million each. Project A is expected to generate unequal cash flows of £10m, £12m, £14m, £10m and £8m respectively over five years. Project B is expected to earn constant cash flows of £11 million per year. Project C is expected to generate cash flows in the back loaded pattern of £5m, £10m, £20m, £25m and £5m. The cost of capital is 8%. Straight line depreciation to zero is assumed for ARR calculation.</w:t>
      </w:r>
    </w:p>
    <w:p w14:paraId="30924809" w14:textId="77777777" w:rsidR="00140083" w:rsidRPr="00C00F3A" w:rsidRDefault="00176BB0">
      <w:pPr>
        <w:pStyle w:val="Heading2"/>
        <w:rPr>
          <w:color w:val="auto"/>
          <w:lang w:val="en-GB"/>
        </w:rPr>
      </w:pPr>
      <w:bookmarkStart w:id="22" w:name="_Toc237515760"/>
      <w:r w:rsidRPr="00C00F3A">
        <w:rPr>
          <w:color w:val="auto"/>
          <w:lang w:val="en-GB"/>
        </w:rPr>
        <w:t>5.2 Appraisal Results</w:t>
      </w:r>
      <w:bookmarkEnd w:id="22"/>
    </w:p>
    <w:p w14:paraId="76E25C61" w14:textId="77777777" w:rsidR="00140083" w:rsidRPr="00C00F3A" w:rsidRDefault="00176BB0">
      <w:pPr>
        <w:spacing w:before="160" w:after="80"/>
        <w:rPr>
          <w:lang w:val="en-GB"/>
        </w:rPr>
      </w:pPr>
      <w:r w:rsidRPr="00C00F3A">
        <w:rPr>
          <w:b/>
          <w:bCs/>
          <w:sz w:val="20"/>
          <w:szCs w:val="20"/>
          <w:lang w:val="en-GB"/>
        </w:rPr>
        <w:t>Table 7: Investment Appraisal Summary</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2413"/>
        <w:gridCol w:w="2413"/>
        <w:gridCol w:w="2412"/>
      </w:tblGrid>
      <w:tr w:rsidR="00140083" w:rsidRPr="00C00F3A" w14:paraId="02F19F8B" w14:textId="77777777">
        <w:tc>
          <w:tcPr>
            <w:tcW w:w="2400"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64FEF0A5" w14:textId="77777777" w:rsidR="00140083" w:rsidRPr="00C00F3A" w:rsidRDefault="00176BB0">
            <w:pPr>
              <w:rPr>
                <w:lang w:val="en-GB"/>
              </w:rPr>
            </w:pPr>
            <w:r w:rsidRPr="00C00F3A">
              <w:rPr>
                <w:b/>
                <w:bCs/>
                <w:sz w:val="18"/>
                <w:szCs w:val="18"/>
                <w:lang w:val="en-GB"/>
              </w:rPr>
              <w:t>Metric</w:t>
            </w:r>
          </w:p>
        </w:tc>
        <w:tc>
          <w:tcPr>
            <w:tcW w:w="2413"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2362CA14" w14:textId="77777777" w:rsidR="00140083" w:rsidRPr="00C00F3A" w:rsidRDefault="00176BB0">
            <w:pPr>
              <w:jc w:val="center"/>
              <w:rPr>
                <w:lang w:val="en-GB"/>
              </w:rPr>
            </w:pPr>
            <w:r w:rsidRPr="00C00F3A">
              <w:rPr>
                <w:b/>
                <w:bCs/>
                <w:sz w:val="18"/>
                <w:szCs w:val="18"/>
                <w:lang w:val="en-GB"/>
              </w:rPr>
              <w:t>Project A</w:t>
            </w:r>
          </w:p>
        </w:tc>
        <w:tc>
          <w:tcPr>
            <w:tcW w:w="2413"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1FEF1678" w14:textId="77777777" w:rsidR="00140083" w:rsidRPr="00C00F3A" w:rsidRDefault="00176BB0">
            <w:pPr>
              <w:jc w:val="center"/>
              <w:rPr>
                <w:lang w:val="en-GB"/>
              </w:rPr>
            </w:pPr>
            <w:r w:rsidRPr="00C00F3A">
              <w:rPr>
                <w:b/>
                <w:bCs/>
                <w:sz w:val="18"/>
                <w:szCs w:val="18"/>
                <w:lang w:val="en-GB"/>
              </w:rPr>
              <w:t>Project B</w:t>
            </w:r>
          </w:p>
        </w:tc>
        <w:tc>
          <w:tcPr>
            <w:tcW w:w="2412"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323DABB9" w14:textId="77777777" w:rsidR="00140083" w:rsidRPr="00C00F3A" w:rsidRDefault="00176BB0">
            <w:pPr>
              <w:jc w:val="center"/>
              <w:rPr>
                <w:lang w:val="en-GB"/>
              </w:rPr>
            </w:pPr>
            <w:r w:rsidRPr="00C00F3A">
              <w:rPr>
                <w:b/>
                <w:bCs/>
                <w:sz w:val="18"/>
                <w:szCs w:val="18"/>
                <w:lang w:val="en-GB"/>
              </w:rPr>
              <w:t>Project C</w:t>
            </w:r>
          </w:p>
        </w:tc>
      </w:tr>
      <w:tr w:rsidR="00140083" w:rsidRPr="00C00F3A" w14:paraId="7C032777" w14:textId="77777777">
        <w:tc>
          <w:tcPr>
            <w:tcW w:w="24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0A8247FA" w14:textId="77777777" w:rsidR="00140083" w:rsidRPr="00C00F3A" w:rsidRDefault="00176BB0">
            <w:pPr>
              <w:rPr>
                <w:lang w:val="en-GB"/>
              </w:rPr>
            </w:pPr>
            <w:r w:rsidRPr="00C00F3A">
              <w:rPr>
                <w:sz w:val="18"/>
                <w:szCs w:val="18"/>
                <w:lang w:val="en-GB"/>
              </w:rPr>
              <w:t>Payback Period</w:t>
            </w:r>
          </w:p>
        </w:tc>
        <w:tc>
          <w:tcPr>
            <w:tcW w:w="2413"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310094E" w14:textId="77777777" w:rsidR="00140083" w:rsidRPr="00C00F3A" w:rsidRDefault="00176BB0">
            <w:pPr>
              <w:jc w:val="center"/>
              <w:rPr>
                <w:lang w:val="en-GB"/>
              </w:rPr>
            </w:pPr>
            <w:r w:rsidRPr="00C00F3A">
              <w:rPr>
                <w:sz w:val="18"/>
                <w:szCs w:val="18"/>
                <w:lang w:val="en-GB"/>
              </w:rPr>
              <w:t>4.50 years</w:t>
            </w:r>
          </w:p>
        </w:tc>
        <w:tc>
          <w:tcPr>
            <w:tcW w:w="2413"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5941CABE" w14:textId="77777777" w:rsidR="00140083" w:rsidRPr="00C00F3A" w:rsidRDefault="00176BB0">
            <w:pPr>
              <w:jc w:val="center"/>
              <w:rPr>
                <w:lang w:val="en-GB"/>
              </w:rPr>
            </w:pPr>
            <w:r w:rsidRPr="00C00F3A">
              <w:rPr>
                <w:sz w:val="18"/>
                <w:szCs w:val="18"/>
                <w:lang w:val="en-GB"/>
              </w:rPr>
              <w:t>4.55 years</w:t>
            </w:r>
          </w:p>
        </w:tc>
        <w:tc>
          <w:tcPr>
            <w:tcW w:w="2412"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C0BCEA3" w14:textId="77777777" w:rsidR="00140083" w:rsidRPr="00C00F3A" w:rsidRDefault="00176BB0">
            <w:pPr>
              <w:jc w:val="center"/>
              <w:rPr>
                <w:lang w:val="en-GB"/>
              </w:rPr>
            </w:pPr>
            <w:r w:rsidRPr="00C00F3A">
              <w:rPr>
                <w:sz w:val="18"/>
                <w:szCs w:val="18"/>
                <w:lang w:val="en-GB"/>
              </w:rPr>
              <w:t>3.60 years</w:t>
            </w:r>
          </w:p>
        </w:tc>
      </w:tr>
      <w:tr w:rsidR="00140083" w:rsidRPr="00C00F3A" w14:paraId="15EAC72B" w14:textId="77777777">
        <w:tc>
          <w:tcPr>
            <w:tcW w:w="2400"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200E01C9" w14:textId="77777777" w:rsidR="00140083" w:rsidRPr="00C00F3A" w:rsidRDefault="00176BB0">
            <w:pPr>
              <w:rPr>
                <w:lang w:val="en-GB"/>
              </w:rPr>
            </w:pPr>
            <w:r w:rsidRPr="00C00F3A">
              <w:rPr>
                <w:sz w:val="18"/>
                <w:szCs w:val="18"/>
                <w:lang w:val="en-GB"/>
              </w:rPr>
              <w:t>ARR</w:t>
            </w:r>
          </w:p>
        </w:tc>
        <w:tc>
          <w:tcPr>
            <w:tcW w:w="2413"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546731BE" w14:textId="77777777" w:rsidR="00140083" w:rsidRPr="00C00F3A" w:rsidRDefault="00176BB0">
            <w:pPr>
              <w:jc w:val="center"/>
              <w:rPr>
                <w:lang w:val="en-GB"/>
              </w:rPr>
            </w:pPr>
            <w:r w:rsidRPr="00C00F3A">
              <w:rPr>
                <w:sz w:val="18"/>
                <w:szCs w:val="18"/>
                <w:lang w:val="en-GB"/>
              </w:rPr>
              <w:t>3.2%</w:t>
            </w:r>
          </w:p>
        </w:tc>
        <w:tc>
          <w:tcPr>
            <w:tcW w:w="2413"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15EC28EF" w14:textId="77777777" w:rsidR="00140083" w:rsidRPr="00C00F3A" w:rsidRDefault="00176BB0">
            <w:pPr>
              <w:jc w:val="center"/>
              <w:rPr>
                <w:lang w:val="en-GB"/>
              </w:rPr>
            </w:pPr>
            <w:r w:rsidRPr="00C00F3A">
              <w:rPr>
                <w:sz w:val="18"/>
                <w:szCs w:val="18"/>
                <w:lang w:val="en-GB"/>
              </w:rPr>
              <w:t>4.0%</w:t>
            </w:r>
          </w:p>
        </w:tc>
        <w:tc>
          <w:tcPr>
            <w:tcW w:w="2412"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1FEB0350" w14:textId="77777777" w:rsidR="00140083" w:rsidRPr="00C00F3A" w:rsidRDefault="00176BB0">
            <w:pPr>
              <w:jc w:val="center"/>
              <w:rPr>
                <w:lang w:val="en-GB"/>
              </w:rPr>
            </w:pPr>
            <w:r w:rsidRPr="00C00F3A">
              <w:rPr>
                <w:sz w:val="18"/>
                <w:szCs w:val="18"/>
                <w:lang w:val="en-GB"/>
              </w:rPr>
              <w:t>12.0%</w:t>
            </w:r>
          </w:p>
        </w:tc>
      </w:tr>
      <w:tr w:rsidR="00140083" w:rsidRPr="00C00F3A" w14:paraId="520CB93B" w14:textId="77777777">
        <w:tc>
          <w:tcPr>
            <w:tcW w:w="24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6AE76B73" w14:textId="77777777" w:rsidR="00140083" w:rsidRPr="00C00F3A" w:rsidRDefault="00176BB0">
            <w:pPr>
              <w:rPr>
                <w:lang w:val="en-GB"/>
              </w:rPr>
            </w:pPr>
            <w:r w:rsidRPr="00C00F3A">
              <w:rPr>
                <w:sz w:val="18"/>
                <w:szCs w:val="18"/>
                <w:lang w:val="en-GB"/>
              </w:rPr>
              <w:t>NPV @ 8%</w:t>
            </w:r>
          </w:p>
        </w:tc>
        <w:tc>
          <w:tcPr>
            <w:tcW w:w="2413"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B1208C6" w14:textId="77777777" w:rsidR="00140083" w:rsidRPr="00C00F3A" w:rsidRDefault="00176BB0">
            <w:pPr>
              <w:jc w:val="center"/>
              <w:rPr>
                <w:lang w:val="en-GB"/>
              </w:rPr>
            </w:pPr>
            <w:r w:rsidRPr="00C00F3A">
              <w:rPr>
                <w:sz w:val="18"/>
                <w:szCs w:val="18"/>
                <w:lang w:val="en-GB"/>
              </w:rPr>
              <w:t>−</w:t>
            </w:r>
            <w:r w:rsidRPr="00C00F3A">
              <w:rPr>
                <w:sz w:val="18"/>
                <w:szCs w:val="18"/>
                <w:lang w:val="en-GB"/>
              </w:rPr>
              <w:t>£6.54m</w:t>
            </w:r>
          </w:p>
        </w:tc>
        <w:tc>
          <w:tcPr>
            <w:tcW w:w="2413"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0DE76049" w14:textId="77777777" w:rsidR="00140083" w:rsidRPr="00C00F3A" w:rsidRDefault="00176BB0">
            <w:pPr>
              <w:jc w:val="center"/>
              <w:rPr>
                <w:lang w:val="en-GB"/>
              </w:rPr>
            </w:pPr>
            <w:r w:rsidRPr="00C00F3A">
              <w:rPr>
                <w:sz w:val="18"/>
                <w:szCs w:val="18"/>
                <w:lang w:val="en-GB"/>
              </w:rPr>
              <w:t>−</w:t>
            </w:r>
            <w:r w:rsidRPr="00C00F3A">
              <w:rPr>
                <w:sz w:val="18"/>
                <w:szCs w:val="18"/>
                <w:lang w:val="en-GB"/>
              </w:rPr>
              <w:t>£6.08m</w:t>
            </w:r>
          </w:p>
        </w:tc>
        <w:tc>
          <w:tcPr>
            <w:tcW w:w="2412"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00658785" w14:textId="77777777" w:rsidR="00140083" w:rsidRPr="00C00F3A" w:rsidRDefault="00176BB0">
            <w:pPr>
              <w:jc w:val="center"/>
              <w:rPr>
                <w:lang w:val="en-GB"/>
              </w:rPr>
            </w:pPr>
            <w:r w:rsidRPr="00C00F3A">
              <w:rPr>
                <w:sz w:val="18"/>
                <w:szCs w:val="18"/>
                <w:lang w:val="en-GB"/>
              </w:rPr>
              <w:t>+£0.86m</w:t>
            </w:r>
          </w:p>
        </w:tc>
      </w:tr>
      <w:tr w:rsidR="00140083" w:rsidRPr="00C00F3A" w14:paraId="0A8295F5" w14:textId="77777777">
        <w:tc>
          <w:tcPr>
            <w:tcW w:w="2400"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4D2AE3F3" w14:textId="77777777" w:rsidR="00140083" w:rsidRPr="00C00F3A" w:rsidRDefault="00176BB0">
            <w:pPr>
              <w:rPr>
                <w:lang w:val="en-GB"/>
              </w:rPr>
            </w:pPr>
            <w:r w:rsidRPr="00C00F3A">
              <w:rPr>
                <w:sz w:val="18"/>
                <w:szCs w:val="18"/>
                <w:lang w:val="en-GB"/>
              </w:rPr>
              <w:t>Profitability Index</w:t>
            </w:r>
          </w:p>
        </w:tc>
        <w:tc>
          <w:tcPr>
            <w:tcW w:w="2413"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0177CF80" w14:textId="77777777" w:rsidR="00140083" w:rsidRPr="00C00F3A" w:rsidRDefault="00176BB0">
            <w:pPr>
              <w:jc w:val="center"/>
              <w:rPr>
                <w:lang w:val="en-GB"/>
              </w:rPr>
            </w:pPr>
            <w:r w:rsidRPr="00C00F3A">
              <w:rPr>
                <w:sz w:val="18"/>
                <w:szCs w:val="18"/>
                <w:lang w:val="en-GB"/>
              </w:rPr>
              <w:t>0.869</w:t>
            </w:r>
          </w:p>
        </w:tc>
        <w:tc>
          <w:tcPr>
            <w:tcW w:w="2413"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6C601C64" w14:textId="77777777" w:rsidR="00140083" w:rsidRPr="00C00F3A" w:rsidRDefault="00176BB0">
            <w:pPr>
              <w:jc w:val="center"/>
              <w:rPr>
                <w:lang w:val="en-GB"/>
              </w:rPr>
            </w:pPr>
            <w:r w:rsidRPr="00C00F3A">
              <w:rPr>
                <w:sz w:val="18"/>
                <w:szCs w:val="18"/>
                <w:lang w:val="en-GB"/>
              </w:rPr>
              <w:t>0.878</w:t>
            </w:r>
          </w:p>
        </w:tc>
        <w:tc>
          <w:tcPr>
            <w:tcW w:w="2412"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3E2E1FB1" w14:textId="77777777" w:rsidR="00140083" w:rsidRPr="00C00F3A" w:rsidRDefault="00176BB0">
            <w:pPr>
              <w:jc w:val="center"/>
              <w:rPr>
                <w:lang w:val="en-GB"/>
              </w:rPr>
            </w:pPr>
            <w:r w:rsidRPr="00C00F3A">
              <w:rPr>
                <w:sz w:val="18"/>
                <w:szCs w:val="18"/>
                <w:lang w:val="en-GB"/>
              </w:rPr>
              <w:t>1.017</w:t>
            </w:r>
          </w:p>
        </w:tc>
      </w:tr>
      <w:tr w:rsidR="00140083" w:rsidRPr="00C00F3A" w14:paraId="48456DE0" w14:textId="77777777">
        <w:tc>
          <w:tcPr>
            <w:tcW w:w="24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EBF8483" w14:textId="77777777" w:rsidR="00140083" w:rsidRPr="00C00F3A" w:rsidRDefault="00176BB0">
            <w:pPr>
              <w:rPr>
                <w:lang w:val="en-GB"/>
              </w:rPr>
            </w:pPr>
            <w:r w:rsidRPr="00C00F3A">
              <w:rPr>
                <w:sz w:val="18"/>
                <w:szCs w:val="18"/>
                <w:lang w:val="en-GB"/>
              </w:rPr>
              <w:t>IRR</w:t>
            </w:r>
          </w:p>
        </w:tc>
        <w:tc>
          <w:tcPr>
            <w:tcW w:w="2413"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244B6B62" w14:textId="77777777" w:rsidR="00140083" w:rsidRPr="00C00F3A" w:rsidRDefault="00176BB0">
            <w:pPr>
              <w:jc w:val="center"/>
              <w:rPr>
                <w:lang w:val="en-GB"/>
              </w:rPr>
            </w:pPr>
            <w:r w:rsidRPr="00C00F3A">
              <w:rPr>
                <w:sz w:val="18"/>
                <w:szCs w:val="18"/>
                <w:lang w:val="en-GB"/>
              </w:rPr>
              <w:t>2.7%</w:t>
            </w:r>
          </w:p>
        </w:tc>
        <w:tc>
          <w:tcPr>
            <w:tcW w:w="2413"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7C63679D" w14:textId="77777777" w:rsidR="00140083" w:rsidRPr="00C00F3A" w:rsidRDefault="00176BB0">
            <w:pPr>
              <w:jc w:val="center"/>
              <w:rPr>
                <w:lang w:val="en-GB"/>
              </w:rPr>
            </w:pPr>
            <w:r w:rsidRPr="00C00F3A">
              <w:rPr>
                <w:sz w:val="18"/>
                <w:szCs w:val="18"/>
                <w:lang w:val="en-GB"/>
              </w:rPr>
              <w:t>3.3%</w:t>
            </w:r>
          </w:p>
        </w:tc>
        <w:tc>
          <w:tcPr>
            <w:tcW w:w="2412"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0C8AEA26" w14:textId="77777777" w:rsidR="00140083" w:rsidRPr="00C00F3A" w:rsidRDefault="00176BB0">
            <w:pPr>
              <w:jc w:val="center"/>
              <w:rPr>
                <w:lang w:val="en-GB"/>
              </w:rPr>
            </w:pPr>
            <w:r w:rsidRPr="00C00F3A">
              <w:rPr>
                <w:sz w:val="18"/>
                <w:szCs w:val="18"/>
                <w:lang w:val="en-GB"/>
              </w:rPr>
              <w:t>8.6%</w:t>
            </w:r>
          </w:p>
        </w:tc>
      </w:tr>
    </w:tbl>
    <w:p w14:paraId="2A94FB73" w14:textId="77777777" w:rsidR="00140083" w:rsidRPr="00C00F3A" w:rsidRDefault="00176BB0">
      <w:pPr>
        <w:spacing w:before="60" w:after="160"/>
        <w:rPr>
          <w:lang w:val="en-GB"/>
        </w:rPr>
      </w:pPr>
      <w:r w:rsidRPr="00C00F3A">
        <w:rPr>
          <w:i/>
          <w:iCs/>
          <w:sz w:val="16"/>
          <w:szCs w:val="16"/>
          <w:lang w:val="en-GB"/>
        </w:rPr>
        <w:t>Source: Author’s calculations. ARR uses average annual accounting profit (cash flow minus straight-line depreciation) divided by average book value of investment.</w:t>
      </w:r>
    </w:p>
    <w:p w14:paraId="307F32C9" w14:textId="6A10C3D4" w:rsidR="00140083" w:rsidRPr="00C00F3A" w:rsidRDefault="001B42CE">
      <w:pPr>
        <w:spacing w:after="160" w:line="360" w:lineRule="auto"/>
        <w:jc w:val="both"/>
        <w:rPr>
          <w:lang w:val="en-GB"/>
        </w:rPr>
      </w:pPr>
      <w:r w:rsidRPr="00C00F3A">
        <w:rPr>
          <w:lang w:val="en-GB"/>
        </w:rPr>
        <w:t xml:space="preserve">Only Project C generates a positive net present value of £0.86 million and an internal rate of return of 8.6%, which is above the cut-off rate of 8%. Both Project A and Project B generate losses, with negative net present values of approximately £6.5 million and £6.1 million, respectively, and internal rates of return significantly lower than the cost of capital. </w:t>
      </w:r>
      <w:r w:rsidRPr="00C00F3A">
        <w:rPr>
          <w:lang w:val="en-GB"/>
        </w:rPr>
        <w:lastRenderedPageBreak/>
        <w:t>Moreover, Project C enjoys the shortest payback period (3.60 years) and the highest accounting rate of return (12.0%).</w:t>
      </w:r>
    </w:p>
    <w:p w14:paraId="1ACC11DA" w14:textId="77777777" w:rsidR="00140083" w:rsidRPr="00C00F3A" w:rsidRDefault="00176BB0">
      <w:pPr>
        <w:pStyle w:val="Heading2"/>
        <w:rPr>
          <w:color w:val="auto"/>
          <w:lang w:val="en-GB"/>
        </w:rPr>
      </w:pPr>
      <w:bookmarkStart w:id="23" w:name="_Toc237515761"/>
      <w:r w:rsidRPr="00C00F3A">
        <w:rPr>
          <w:color w:val="auto"/>
          <w:lang w:val="en-GB"/>
        </w:rPr>
        <w:t>5.3 Recommendation and Link to Company Performance</w:t>
      </w:r>
      <w:bookmarkEnd w:id="23"/>
    </w:p>
    <w:p w14:paraId="21D5A0F4" w14:textId="1FE35498" w:rsidR="00140083" w:rsidRPr="00C00F3A" w:rsidRDefault="00C3237A">
      <w:pPr>
        <w:spacing w:after="160" w:line="360" w:lineRule="auto"/>
        <w:jc w:val="both"/>
        <w:rPr>
          <w:lang w:val="en-GB"/>
        </w:rPr>
      </w:pPr>
      <w:r w:rsidRPr="00C00F3A">
        <w:rPr>
          <w:lang w:val="en-GB"/>
        </w:rPr>
        <w:t>Considering the financial situation of the Group</w:t>
      </w:r>
      <w:r w:rsidR="00C760CC" w:rsidRPr="00C00F3A">
        <w:rPr>
          <w:lang w:val="en-GB"/>
        </w:rPr>
        <w:t>,</w:t>
      </w:r>
      <w:r w:rsidRPr="00C00F3A">
        <w:rPr>
          <w:lang w:val="en-GB"/>
        </w:rPr>
        <w:t xml:space="preserve"> interest coverage ratio of less than 1.0, high gearing ratio, and falling profits</w:t>
      </w:r>
      <w:r w:rsidR="00C760CC" w:rsidRPr="00C00F3A">
        <w:rPr>
          <w:lang w:val="en-GB"/>
        </w:rPr>
        <w:t>,</w:t>
      </w:r>
      <w:r w:rsidRPr="00C00F3A">
        <w:rPr>
          <w:lang w:val="en-GB"/>
        </w:rPr>
        <w:t xml:space="preserve"> the first and foremost consideration has to be the creation of value without taking too many risks. The only project meeting these criteria is Project C. The pattern of cash flow for Project C fits well with an investment project where initially there is an investment required (for instance, for creating a new distribution centre, digital system, or special product line), after which higher returns are expected in years 3-4. Other non-financial risks to consider are execution risk, competition risk, and political/regulatory risk due to the nature of the project itself.</w:t>
      </w:r>
    </w:p>
    <w:p w14:paraId="14193323" w14:textId="77777777" w:rsidR="00975660" w:rsidRPr="00C00F3A" w:rsidRDefault="00975660" w:rsidP="00975660">
      <w:pPr>
        <w:spacing w:after="160" w:line="360" w:lineRule="auto"/>
        <w:jc w:val="both"/>
        <w:rPr>
          <w:lang w:val="en-GB"/>
        </w:rPr>
      </w:pPr>
      <w:r w:rsidRPr="00C00F3A">
        <w:rPr>
          <w:lang w:val="en-GB"/>
        </w:rPr>
        <w:t>Taking into account the current financial position of Wolseley Group, the decision-making process should be driven by the preservation of the capital and careful value creation rather than ambitious growth. The interest coverage ratio has fallen below 1.0, gearing has increased drastically up to 8.04, and both operating and net profit margins have seriously declined since the FY23 peak (Wolseley Group Holdings Limited, 2025). Under such conditions, the primary task is not to commit the organization to anything that could weaken its balance sheet even more (Brealey, Myers and Allen, 2023).</w:t>
      </w:r>
    </w:p>
    <w:p w14:paraId="25CB79A4" w14:textId="77777777" w:rsidR="00975660" w:rsidRPr="00C00F3A" w:rsidRDefault="00975660" w:rsidP="00975660">
      <w:pPr>
        <w:spacing w:after="160" w:line="360" w:lineRule="auto"/>
        <w:jc w:val="both"/>
        <w:rPr>
          <w:lang w:val="en-GB"/>
        </w:rPr>
      </w:pPr>
      <w:r w:rsidRPr="00C00F3A">
        <w:rPr>
          <w:lang w:val="en-GB"/>
        </w:rPr>
        <w:t>Among the presented alternatives only Project C meets this condition. It is the only one that has a positive net present value (NPV) amounting to £0.86 million at an 8 per cent discount rate, internal rate of return exceeding the threshold rate at the level of 8.6 per cent, and a profitability index greater than 1.0 (Pike, Neale and Linsley, 2022). On the contrary, Projects A and B destroy value because they have negative NPVs equal to roughly £6.5 million and £6.1 million and very low IRRs. Hence, the acceptance of either project will deprive the owners of their assets and put additional strain on interest coverage and liquidity (Hillier et al., 2021).</w:t>
      </w:r>
    </w:p>
    <w:p w14:paraId="378D9DBA" w14:textId="0A065DB3" w:rsidR="00975660" w:rsidRPr="00C00F3A" w:rsidRDefault="00975660" w:rsidP="00975660">
      <w:pPr>
        <w:spacing w:after="160" w:line="360" w:lineRule="auto"/>
        <w:jc w:val="both"/>
        <w:rPr>
          <w:lang w:val="en-GB"/>
        </w:rPr>
      </w:pPr>
      <w:r w:rsidRPr="00C00F3A">
        <w:rPr>
          <w:lang w:val="en-GB"/>
        </w:rPr>
        <w:t>Besides, the cash flow structure of Project C is consistent with the strategy of the Group. Relatively small cash flows at the early stages and greater returns at the latter stages are typical of the investments requiring building capabilities, such as the construction of a distribution hub, development of digital platform or specialized product line (Koller, Goedhart and Wessels, 2020).</w:t>
      </w:r>
    </w:p>
    <w:p w14:paraId="6DDC3B87" w14:textId="77777777" w:rsidR="00975660" w:rsidRPr="00C00F3A" w:rsidRDefault="00975660" w:rsidP="00975660">
      <w:pPr>
        <w:spacing w:after="160" w:line="360" w:lineRule="auto"/>
        <w:jc w:val="both"/>
        <w:rPr>
          <w:lang w:val="en-GB"/>
        </w:rPr>
      </w:pPr>
      <w:r w:rsidRPr="00C00F3A">
        <w:rPr>
          <w:lang w:val="en-GB"/>
        </w:rPr>
        <w:t xml:space="preserve">However, non-financial risks cannot be ignored either. The risk associated with project execution is significant because any facility or system investment is predicated on proper </w:t>
      </w:r>
      <w:r w:rsidRPr="00C00F3A">
        <w:rPr>
          <w:lang w:val="en-GB"/>
        </w:rPr>
        <w:lastRenderedPageBreak/>
        <w:t>project management, successful recruitment of qualified personnel and its seamless integration with the current branch network (ACCA, 2023). It is important to consider the competitive response which, in turn, can negatively impact the expected profit from the projects. Competitors such as Travis Perkins or Grafton can respond to the improvement of Wolseley’s service offering (Travis Perkins plc, 2024). One should also pay due consideration to the political and regulatory risk especially if the project involves the energy efficient or low carbon products that may be impacted by the changes to UK building regulations or subsidies (Office for National Statistics, 2025). Moreover, customer loyalty and synergy with branch network should be considered qualitatively to make sure that the project does not detract from the Group’s core trade proposition.</w:t>
      </w:r>
    </w:p>
    <w:p w14:paraId="4B418E19" w14:textId="407E6600" w:rsidR="00975660" w:rsidRPr="00C00F3A" w:rsidRDefault="00975660">
      <w:pPr>
        <w:spacing w:after="160" w:line="360" w:lineRule="auto"/>
        <w:jc w:val="both"/>
        <w:rPr>
          <w:lang w:val="en-GB"/>
        </w:rPr>
      </w:pPr>
      <w:r w:rsidRPr="00C00F3A">
        <w:rPr>
          <w:lang w:val="en-GB"/>
        </w:rPr>
        <w:t>To conclude, it can be stated that the recommendation is very clear. Project C is the only one investment that passes both the hurdle rate criterion and the consideration of fragile capital structure. Therefore, projects A and B should be rejected. If some capital is not used for Project C, it should be kept in order to repay debts or build up liquidity in order to achieve the other restructuring objectives such as restoration of interest cover and reduction of gearing (Watson and Head, 2023).</w:t>
      </w:r>
    </w:p>
    <w:p w14:paraId="1B8C726E" w14:textId="77777777" w:rsidR="00140083" w:rsidRPr="00C00F3A" w:rsidRDefault="00176BB0">
      <w:pPr>
        <w:pStyle w:val="Heading2"/>
        <w:rPr>
          <w:color w:val="auto"/>
          <w:lang w:val="en-GB"/>
        </w:rPr>
      </w:pPr>
      <w:bookmarkStart w:id="24" w:name="_Toc237515762"/>
      <w:r w:rsidRPr="00C00F3A">
        <w:rPr>
          <w:color w:val="auto"/>
          <w:lang w:val="en-GB"/>
        </w:rPr>
        <w:t>5.4 Capital Rationing</w:t>
      </w:r>
      <w:bookmarkEnd w:id="24"/>
    </w:p>
    <w:p w14:paraId="760EABDE" w14:textId="61832BC9" w:rsidR="00140083" w:rsidRPr="00C00F3A" w:rsidRDefault="00C3237A">
      <w:pPr>
        <w:spacing w:after="160" w:line="360" w:lineRule="auto"/>
        <w:jc w:val="both"/>
        <w:rPr>
          <w:lang w:val="en-GB"/>
        </w:rPr>
      </w:pPr>
      <w:r w:rsidRPr="00C00F3A">
        <w:rPr>
          <w:lang w:val="en-GB"/>
        </w:rPr>
        <w:t>When considering a hard capital budget constraint of £100 million, possible combinations will include only C (£50 million), A &amp; B (£100 million), A &amp; C (£100 million), and B &amp; C (£100 million). As a result of the negative NPVs for Projects A and B, any combination of these two projects leads to lower NPV than investing exclusively in Project C. The investment portfolio which maximizes the NPV under capital rationing should include only Project C with the unused capital of £50 million left (or used for other purposes such as debt reduction and improving working capital). Such a recommendation can be supported by the weak financial position of the Group described in Section 2.</w:t>
      </w:r>
    </w:p>
    <w:p w14:paraId="2BE44F8C" w14:textId="77777777" w:rsidR="00140083" w:rsidRPr="00C00F3A" w:rsidRDefault="00176BB0">
      <w:pPr>
        <w:spacing w:before="160" w:after="80"/>
        <w:rPr>
          <w:lang w:val="en-GB"/>
        </w:rPr>
      </w:pPr>
      <w:r w:rsidRPr="00C00F3A">
        <w:rPr>
          <w:b/>
          <w:bCs/>
          <w:sz w:val="20"/>
          <w:szCs w:val="20"/>
          <w:lang w:val="en-GB"/>
        </w:rPr>
        <w:t>Table 8: Capital Rationing – Combination Analysis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2146"/>
        <w:gridCol w:w="2146"/>
        <w:gridCol w:w="2146"/>
      </w:tblGrid>
      <w:tr w:rsidR="00140083" w:rsidRPr="00C00F3A" w14:paraId="299B5DD5" w14:textId="77777777">
        <w:tc>
          <w:tcPr>
            <w:tcW w:w="3200"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70CC76E9" w14:textId="77777777" w:rsidR="00140083" w:rsidRPr="00C00F3A" w:rsidRDefault="00176BB0">
            <w:pPr>
              <w:rPr>
                <w:lang w:val="en-GB"/>
              </w:rPr>
            </w:pPr>
            <w:r w:rsidRPr="00C00F3A">
              <w:rPr>
                <w:b/>
                <w:bCs/>
                <w:sz w:val="18"/>
                <w:szCs w:val="18"/>
                <w:lang w:val="en-GB"/>
              </w:rPr>
              <w:t>Combination</w:t>
            </w:r>
          </w:p>
        </w:tc>
        <w:tc>
          <w:tcPr>
            <w:tcW w:w="2146"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6EFACCAA" w14:textId="77777777" w:rsidR="00140083" w:rsidRPr="00C00F3A" w:rsidRDefault="00176BB0">
            <w:pPr>
              <w:jc w:val="center"/>
              <w:rPr>
                <w:lang w:val="en-GB"/>
              </w:rPr>
            </w:pPr>
            <w:r w:rsidRPr="00C00F3A">
              <w:rPr>
                <w:b/>
                <w:bCs/>
                <w:sz w:val="18"/>
                <w:szCs w:val="18"/>
                <w:lang w:val="en-GB"/>
              </w:rPr>
              <w:t>Outlay</w:t>
            </w:r>
          </w:p>
        </w:tc>
        <w:tc>
          <w:tcPr>
            <w:tcW w:w="2146"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268A980F" w14:textId="77777777" w:rsidR="00140083" w:rsidRPr="00C00F3A" w:rsidRDefault="00176BB0">
            <w:pPr>
              <w:jc w:val="center"/>
              <w:rPr>
                <w:lang w:val="en-GB"/>
              </w:rPr>
            </w:pPr>
            <w:r w:rsidRPr="00C00F3A">
              <w:rPr>
                <w:b/>
                <w:bCs/>
                <w:sz w:val="18"/>
                <w:szCs w:val="18"/>
                <w:lang w:val="en-GB"/>
              </w:rPr>
              <w:t>Combined NPV</w:t>
            </w:r>
          </w:p>
        </w:tc>
        <w:tc>
          <w:tcPr>
            <w:tcW w:w="2146" w:type="dxa"/>
            <w:tcBorders>
              <w:top w:val="single" w:sz="4" w:space="0" w:color="999999"/>
              <w:left w:val="single" w:sz="4" w:space="0" w:color="999999"/>
              <w:bottom w:val="single" w:sz="4" w:space="0" w:color="999999"/>
              <w:right w:val="single" w:sz="4" w:space="0" w:color="999999"/>
            </w:tcBorders>
            <w:shd w:val="clear" w:color="auto" w:fill="1F4E79"/>
            <w:tcMar>
              <w:top w:w="40" w:type="dxa"/>
              <w:left w:w="60" w:type="dxa"/>
              <w:bottom w:w="40" w:type="dxa"/>
              <w:right w:w="60" w:type="dxa"/>
            </w:tcMar>
            <w:vAlign w:val="center"/>
          </w:tcPr>
          <w:p w14:paraId="2DF84C7F" w14:textId="77777777" w:rsidR="00140083" w:rsidRPr="00C00F3A" w:rsidRDefault="00176BB0">
            <w:pPr>
              <w:jc w:val="center"/>
              <w:rPr>
                <w:lang w:val="en-GB"/>
              </w:rPr>
            </w:pPr>
            <w:r w:rsidRPr="00C00F3A">
              <w:rPr>
                <w:b/>
                <w:bCs/>
                <w:sz w:val="18"/>
                <w:szCs w:val="18"/>
                <w:lang w:val="en-GB"/>
              </w:rPr>
              <w:t>Rank</w:t>
            </w:r>
          </w:p>
        </w:tc>
      </w:tr>
      <w:tr w:rsidR="00140083" w:rsidRPr="00C00F3A" w14:paraId="59610E96" w14:textId="77777777">
        <w:tc>
          <w:tcPr>
            <w:tcW w:w="3200" w:type="dxa"/>
            <w:tcBorders>
              <w:top w:val="single" w:sz="4" w:space="0" w:color="999999"/>
              <w:left w:val="single" w:sz="4" w:space="0" w:color="999999"/>
              <w:bottom w:val="single" w:sz="4" w:space="0" w:color="999999"/>
              <w:right w:val="single" w:sz="4" w:space="0" w:color="999999"/>
            </w:tcBorders>
            <w:shd w:val="clear" w:color="auto" w:fill="E7F0F9"/>
            <w:tcMar>
              <w:top w:w="40" w:type="dxa"/>
              <w:left w:w="60" w:type="dxa"/>
              <w:bottom w:w="40" w:type="dxa"/>
              <w:right w:w="60" w:type="dxa"/>
            </w:tcMar>
            <w:vAlign w:val="center"/>
          </w:tcPr>
          <w:p w14:paraId="486B88F9" w14:textId="77777777" w:rsidR="00140083" w:rsidRPr="00C00F3A" w:rsidRDefault="00176BB0">
            <w:pPr>
              <w:rPr>
                <w:lang w:val="en-GB"/>
              </w:rPr>
            </w:pPr>
            <w:r w:rsidRPr="00C00F3A">
              <w:rPr>
                <w:b/>
                <w:bCs/>
                <w:sz w:val="18"/>
                <w:szCs w:val="18"/>
                <w:lang w:val="en-GB"/>
              </w:rPr>
              <w:t>C only</w:t>
            </w:r>
          </w:p>
        </w:tc>
        <w:tc>
          <w:tcPr>
            <w:tcW w:w="2146" w:type="dxa"/>
            <w:tcBorders>
              <w:top w:val="single" w:sz="4" w:space="0" w:color="999999"/>
              <w:left w:val="single" w:sz="4" w:space="0" w:color="999999"/>
              <w:bottom w:val="single" w:sz="4" w:space="0" w:color="999999"/>
              <w:right w:val="single" w:sz="4" w:space="0" w:color="999999"/>
            </w:tcBorders>
            <w:shd w:val="clear" w:color="auto" w:fill="E7F0F9"/>
            <w:tcMar>
              <w:top w:w="40" w:type="dxa"/>
              <w:left w:w="60" w:type="dxa"/>
              <w:bottom w:w="40" w:type="dxa"/>
              <w:right w:w="60" w:type="dxa"/>
            </w:tcMar>
            <w:vAlign w:val="center"/>
          </w:tcPr>
          <w:p w14:paraId="60729511" w14:textId="77777777" w:rsidR="00140083" w:rsidRPr="00C00F3A" w:rsidRDefault="00176BB0">
            <w:pPr>
              <w:jc w:val="center"/>
              <w:rPr>
                <w:lang w:val="en-GB"/>
              </w:rPr>
            </w:pPr>
            <w:r w:rsidRPr="00C00F3A">
              <w:rPr>
                <w:sz w:val="18"/>
                <w:szCs w:val="18"/>
                <w:lang w:val="en-GB"/>
              </w:rPr>
              <w:t>£50m</w:t>
            </w:r>
          </w:p>
        </w:tc>
        <w:tc>
          <w:tcPr>
            <w:tcW w:w="2146" w:type="dxa"/>
            <w:tcBorders>
              <w:top w:val="single" w:sz="4" w:space="0" w:color="999999"/>
              <w:left w:val="single" w:sz="4" w:space="0" w:color="999999"/>
              <w:bottom w:val="single" w:sz="4" w:space="0" w:color="999999"/>
              <w:right w:val="single" w:sz="4" w:space="0" w:color="999999"/>
            </w:tcBorders>
            <w:shd w:val="clear" w:color="auto" w:fill="E7F0F9"/>
            <w:tcMar>
              <w:top w:w="40" w:type="dxa"/>
              <w:left w:w="60" w:type="dxa"/>
              <w:bottom w:w="40" w:type="dxa"/>
              <w:right w:w="60" w:type="dxa"/>
            </w:tcMar>
            <w:vAlign w:val="center"/>
          </w:tcPr>
          <w:p w14:paraId="26CD9A7F" w14:textId="77777777" w:rsidR="00140083" w:rsidRPr="00C00F3A" w:rsidRDefault="00176BB0">
            <w:pPr>
              <w:jc w:val="center"/>
              <w:rPr>
                <w:lang w:val="en-GB"/>
              </w:rPr>
            </w:pPr>
            <w:r w:rsidRPr="00C00F3A">
              <w:rPr>
                <w:sz w:val="18"/>
                <w:szCs w:val="18"/>
                <w:lang w:val="en-GB"/>
              </w:rPr>
              <w:t>+£0.86m</w:t>
            </w:r>
          </w:p>
        </w:tc>
        <w:tc>
          <w:tcPr>
            <w:tcW w:w="2146" w:type="dxa"/>
            <w:tcBorders>
              <w:top w:val="single" w:sz="4" w:space="0" w:color="999999"/>
              <w:left w:val="single" w:sz="4" w:space="0" w:color="999999"/>
              <w:bottom w:val="single" w:sz="4" w:space="0" w:color="999999"/>
              <w:right w:val="single" w:sz="4" w:space="0" w:color="999999"/>
            </w:tcBorders>
            <w:shd w:val="clear" w:color="auto" w:fill="E7F0F9"/>
            <w:tcMar>
              <w:top w:w="40" w:type="dxa"/>
              <w:left w:w="60" w:type="dxa"/>
              <w:bottom w:w="40" w:type="dxa"/>
              <w:right w:w="60" w:type="dxa"/>
            </w:tcMar>
            <w:vAlign w:val="center"/>
          </w:tcPr>
          <w:p w14:paraId="38ACD480" w14:textId="77777777" w:rsidR="00140083" w:rsidRPr="00C00F3A" w:rsidRDefault="00176BB0">
            <w:pPr>
              <w:jc w:val="center"/>
              <w:rPr>
                <w:lang w:val="en-GB"/>
              </w:rPr>
            </w:pPr>
            <w:r w:rsidRPr="00C00F3A">
              <w:rPr>
                <w:sz w:val="18"/>
                <w:szCs w:val="18"/>
                <w:lang w:val="en-GB"/>
              </w:rPr>
              <w:t>1 (Best)</w:t>
            </w:r>
          </w:p>
        </w:tc>
      </w:tr>
      <w:tr w:rsidR="00140083" w:rsidRPr="00C00F3A" w14:paraId="45AB6681" w14:textId="77777777">
        <w:tc>
          <w:tcPr>
            <w:tcW w:w="32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7B797365" w14:textId="77777777" w:rsidR="00140083" w:rsidRPr="00C00F3A" w:rsidRDefault="00176BB0">
            <w:pPr>
              <w:rPr>
                <w:lang w:val="en-GB"/>
              </w:rPr>
            </w:pPr>
            <w:r w:rsidRPr="00C00F3A">
              <w:rPr>
                <w:sz w:val="18"/>
                <w:szCs w:val="18"/>
                <w:lang w:val="en-GB"/>
              </w:rPr>
              <w:t>B + C</w:t>
            </w:r>
          </w:p>
        </w:tc>
        <w:tc>
          <w:tcPr>
            <w:tcW w:w="214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7D4CE0E6" w14:textId="77777777" w:rsidR="00140083" w:rsidRPr="00C00F3A" w:rsidRDefault="00176BB0">
            <w:pPr>
              <w:jc w:val="center"/>
              <w:rPr>
                <w:lang w:val="en-GB"/>
              </w:rPr>
            </w:pPr>
            <w:r w:rsidRPr="00C00F3A">
              <w:rPr>
                <w:sz w:val="18"/>
                <w:szCs w:val="18"/>
                <w:lang w:val="en-GB"/>
              </w:rPr>
              <w:t>£100m</w:t>
            </w:r>
          </w:p>
        </w:tc>
        <w:tc>
          <w:tcPr>
            <w:tcW w:w="214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095CD776" w14:textId="77777777" w:rsidR="00140083" w:rsidRPr="00C00F3A" w:rsidRDefault="00176BB0">
            <w:pPr>
              <w:jc w:val="center"/>
              <w:rPr>
                <w:lang w:val="en-GB"/>
              </w:rPr>
            </w:pPr>
            <w:r w:rsidRPr="00C00F3A">
              <w:rPr>
                <w:sz w:val="18"/>
                <w:szCs w:val="18"/>
                <w:lang w:val="en-GB"/>
              </w:rPr>
              <w:t>−</w:t>
            </w:r>
            <w:r w:rsidRPr="00C00F3A">
              <w:rPr>
                <w:sz w:val="18"/>
                <w:szCs w:val="18"/>
                <w:lang w:val="en-GB"/>
              </w:rPr>
              <w:t>£5.22m</w:t>
            </w:r>
          </w:p>
        </w:tc>
        <w:tc>
          <w:tcPr>
            <w:tcW w:w="214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49C27FBE" w14:textId="77777777" w:rsidR="00140083" w:rsidRPr="00C00F3A" w:rsidRDefault="00176BB0">
            <w:pPr>
              <w:jc w:val="center"/>
              <w:rPr>
                <w:lang w:val="en-GB"/>
              </w:rPr>
            </w:pPr>
            <w:r w:rsidRPr="00C00F3A">
              <w:rPr>
                <w:sz w:val="18"/>
                <w:szCs w:val="18"/>
                <w:lang w:val="en-GB"/>
              </w:rPr>
              <w:t>2</w:t>
            </w:r>
          </w:p>
        </w:tc>
      </w:tr>
      <w:tr w:rsidR="00140083" w:rsidRPr="00C00F3A" w14:paraId="06F8CAC9" w14:textId="77777777">
        <w:tc>
          <w:tcPr>
            <w:tcW w:w="3200"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5B882B78" w14:textId="77777777" w:rsidR="00140083" w:rsidRPr="00C00F3A" w:rsidRDefault="00176BB0">
            <w:pPr>
              <w:rPr>
                <w:lang w:val="en-GB"/>
              </w:rPr>
            </w:pPr>
            <w:r w:rsidRPr="00C00F3A">
              <w:rPr>
                <w:sz w:val="18"/>
                <w:szCs w:val="18"/>
                <w:lang w:val="en-GB"/>
              </w:rPr>
              <w:t>A + C</w:t>
            </w:r>
          </w:p>
        </w:tc>
        <w:tc>
          <w:tcPr>
            <w:tcW w:w="2146"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11F874D0" w14:textId="77777777" w:rsidR="00140083" w:rsidRPr="00C00F3A" w:rsidRDefault="00176BB0">
            <w:pPr>
              <w:jc w:val="center"/>
              <w:rPr>
                <w:lang w:val="en-GB"/>
              </w:rPr>
            </w:pPr>
            <w:r w:rsidRPr="00C00F3A">
              <w:rPr>
                <w:sz w:val="18"/>
                <w:szCs w:val="18"/>
                <w:lang w:val="en-GB"/>
              </w:rPr>
              <w:t>£100m</w:t>
            </w:r>
          </w:p>
        </w:tc>
        <w:tc>
          <w:tcPr>
            <w:tcW w:w="2146"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03A5F75A" w14:textId="77777777" w:rsidR="00140083" w:rsidRPr="00C00F3A" w:rsidRDefault="00176BB0">
            <w:pPr>
              <w:jc w:val="center"/>
              <w:rPr>
                <w:lang w:val="en-GB"/>
              </w:rPr>
            </w:pPr>
            <w:r w:rsidRPr="00C00F3A">
              <w:rPr>
                <w:sz w:val="18"/>
                <w:szCs w:val="18"/>
                <w:lang w:val="en-GB"/>
              </w:rPr>
              <w:t>−</w:t>
            </w:r>
            <w:r w:rsidRPr="00C00F3A">
              <w:rPr>
                <w:sz w:val="18"/>
                <w:szCs w:val="18"/>
                <w:lang w:val="en-GB"/>
              </w:rPr>
              <w:t>£5.69m</w:t>
            </w:r>
          </w:p>
        </w:tc>
        <w:tc>
          <w:tcPr>
            <w:tcW w:w="2146" w:type="dxa"/>
            <w:tcBorders>
              <w:top w:val="single" w:sz="4" w:space="0" w:color="999999"/>
              <w:left w:val="single" w:sz="4" w:space="0" w:color="999999"/>
              <w:bottom w:val="single" w:sz="4" w:space="0" w:color="999999"/>
              <w:right w:val="single" w:sz="4" w:space="0" w:color="999999"/>
            </w:tcBorders>
            <w:shd w:val="clear" w:color="auto" w:fill="D6E3F0"/>
            <w:tcMar>
              <w:top w:w="40" w:type="dxa"/>
              <w:left w:w="60" w:type="dxa"/>
              <w:bottom w:w="40" w:type="dxa"/>
              <w:right w:w="60" w:type="dxa"/>
            </w:tcMar>
            <w:vAlign w:val="center"/>
          </w:tcPr>
          <w:p w14:paraId="110EFC7C" w14:textId="77777777" w:rsidR="00140083" w:rsidRPr="00C00F3A" w:rsidRDefault="00176BB0">
            <w:pPr>
              <w:jc w:val="center"/>
              <w:rPr>
                <w:lang w:val="en-GB"/>
              </w:rPr>
            </w:pPr>
            <w:r w:rsidRPr="00C00F3A">
              <w:rPr>
                <w:sz w:val="18"/>
                <w:szCs w:val="18"/>
                <w:lang w:val="en-GB"/>
              </w:rPr>
              <w:t>3</w:t>
            </w:r>
          </w:p>
        </w:tc>
      </w:tr>
      <w:tr w:rsidR="00140083" w:rsidRPr="00C00F3A" w14:paraId="42F12339" w14:textId="77777777">
        <w:tc>
          <w:tcPr>
            <w:tcW w:w="3200"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11883B2B" w14:textId="77777777" w:rsidR="00140083" w:rsidRPr="00C00F3A" w:rsidRDefault="00176BB0">
            <w:pPr>
              <w:rPr>
                <w:lang w:val="en-GB"/>
              </w:rPr>
            </w:pPr>
            <w:r w:rsidRPr="00C00F3A">
              <w:rPr>
                <w:sz w:val="18"/>
                <w:szCs w:val="18"/>
                <w:lang w:val="en-GB"/>
              </w:rPr>
              <w:t>A + B</w:t>
            </w:r>
          </w:p>
        </w:tc>
        <w:tc>
          <w:tcPr>
            <w:tcW w:w="214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3252924D" w14:textId="77777777" w:rsidR="00140083" w:rsidRPr="00C00F3A" w:rsidRDefault="00176BB0">
            <w:pPr>
              <w:jc w:val="center"/>
              <w:rPr>
                <w:lang w:val="en-GB"/>
              </w:rPr>
            </w:pPr>
            <w:r w:rsidRPr="00C00F3A">
              <w:rPr>
                <w:sz w:val="18"/>
                <w:szCs w:val="18"/>
                <w:lang w:val="en-GB"/>
              </w:rPr>
              <w:t>£100m</w:t>
            </w:r>
          </w:p>
        </w:tc>
        <w:tc>
          <w:tcPr>
            <w:tcW w:w="214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24C357DC" w14:textId="77777777" w:rsidR="00140083" w:rsidRPr="00C00F3A" w:rsidRDefault="00176BB0">
            <w:pPr>
              <w:jc w:val="center"/>
              <w:rPr>
                <w:lang w:val="en-GB"/>
              </w:rPr>
            </w:pPr>
            <w:r w:rsidRPr="00C00F3A">
              <w:rPr>
                <w:sz w:val="18"/>
                <w:szCs w:val="18"/>
                <w:lang w:val="en-GB"/>
              </w:rPr>
              <w:t>−</w:t>
            </w:r>
            <w:r w:rsidRPr="00C00F3A">
              <w:rPr>
                <w:sz w:val="18"/>
                <w:szCs w:val="18"/>
                <w:lang w:val="en-GB"/>
              </w:rPr>
              <w:t>£12.62m</w:t>
            </w:r>
          </w:p>
        </w:tc>
        <w:tc>
          <w:tcPr>
            <w:tcW w:w="2146" w:type="dxa"/>
            <w:tcBorders>
              <w:top w:val="single" w:sz="4" w:space="0" w:color="999999"/>
              <w:left w:val="single" w:sz="4" w:space="0" w:color="999999"/>
              <w:bottom w:val="single" w:sz="4" w:space="0" w:color="999999"/>
              <w:right w:val="single" w:sz="4" w:space="0" w:color="999999"/>
            </w:tcBorders>
            <w:shd w:val="clear" w:color="auto" w:fill="FFFFFF"/>
            <w:tcMar>
              <w:top w:w="40" w:type="dxa"/>
              <w:left w:w="60" w:type="dxa"/>
              <w:bottom w:w="40" w:type="dxa"/>
              <w:right w:w="60" w:type="dxa"/>
            </w:tcMar>
            <w:vAlign w:val="center"/>
          </w:tcPr>
          <w:p w14:paraId="750E5C20" w14:textId="77777777" w:rsidR="00140083" w:rsidRPr="00C00F3A" w:rsidRDefault="00176BB0">
            <w:pPr>
              <w:jc w:val="center"/>
              <w:rPr>
                <w:lang w:val="en-GB"/>
              </w:rPr>
            </w:pPr>
            <w:r w:rsidRPr="00C00F3A">
              <w:rPr>
                <w:sz w:val="18"/>
                <w:szCs w:val="18"/>
                <w:lang w:val="en-GB"/>
              </w:rPr>
              <w:t>4 (Worst)</w:t>
            </w:r>
          </w:p>
        </w:tc>
      </w:tr>
    </w:tbl>
    <w:p w14:paraId="580EB565" w14:textId="77777777" w:rsidR="00C760CC" w:rsidRPr="00C00F3A" w:rsidRDefault="00C760CC" w:rsidP="00C760CC">
      <w:pPr>
        <w:spacing w:line="360" w:lineRule="auto"/>
        <w:jc w:val="both"/>
        <w:rPr>
          <w:lang w:val="en-GB"/>
        </w:rPr>
      </w:pPr>
      <w:r w:rsidRPr="00C00F3A">
        <w:rPr>
          <w:lang w:val="en-GB"/>
        </w:rPr>
        <w:t xml:space="preserve">Under the hard capital constraint of £100 million, the rankings of the project combinations are clear cut. Project C, which involves expenditure of only £50 million, creates a positive combined net present value of £0.86 million and hence ranks first. Any combination of Projects A or B gives a negative NPV. B and C gives −£5.22 million, A and C gives −£5.69 </w:t>
      </w:r>
      <w:r w:rsidRPr="00C00F3A">
        <w:rPr>
          <w:lang w:val="en-GB"/>
        </w:rPr>
        <w:lastRenderedPageBreak/>
        <w:t>million, and the combination of A and B produces the largest destruction of value, i.e., −£12.62 million.</w:t>
      </w:r>
    </w:p>
    <w:p w14:paraId="37E11541" w14:textId="4751CB8B" w:rsidR="00140083" w:rsidRPr="00C00F3A" w:rsidRDefault="00C760CC" w:rsidP="00C760CC">
      <w:pPr>
        <w:spacing w:line="360" w:lineRule="auto"/>
        <w:jc w:val="both"/>
        <w:rPr>
          <w:lang w:val="en-GB"/>
        </w:rPr>
      </w:pPr>
      <w:r w:rsidRPr="00C00F3A">
        <w:rPr>
          <w:lang w:val="en-GB"/>
        </w:rPr>
        <w:t>The above results show that Projects A and B destroy shareholders’ value at an 8 per cent discount rate. By adding either Project A or B to the only project (C) that creates value, one only reduces the returns and wastes the already constrained capital. It is thus value maximisation to select Project C alone and keep the remaining £50 million of the capital budget available. This is because of the company’s poor interest coverage and high gearing ratios. Investing in projects whose NPVs are negative will further worsen its financial position, and by saving money, it becomes easier to restructure the balance sheet.</w:t>
      </w:r>
    </w:p>
    <w:p w14:paraId="50F92665" w14:textId="24477EB6" w:rsidR="00140083" w:rsidRPr="00C00F3A" w:rsidRDefault="00176BB0">
      <w:pPr>
        <w:pStyle w:val="Heading1"/>
        <w:rPr>
          <w:color w:val="auto"/>
          <w:lang w:val="en-GB"/>
        </w:rPr>
      </w:pPr>
      <w:bookmarkStart w:id="25" w:name="_Toc237515763"/>
      <w:r w:rsidRPr="00C00F3A">
        <w:rPr>
          <w:color w:val="auto"/>
          <w:lang w:val="en-GB"/>
        </w:rPr>
        <w:t>6. Critical Reflection on AI Usage</w:t>
      </w:r>
      <w:bookmarkEnd w:id="25"/>
    </w:p>
    <w:p w14:paraId="0142CAFC" w14:textId="77777777" w:rsidR="00140083" w:rsidRPr="00C00F3A" w:rsidRDefault="00176BB0">
      <w:pPr>
        <w:pStyle w:val="Heading2"/>
        <w:rPr>
          <w:color w:val="auto"/>
          <w:lang w:val="en-GB"/>
        </w:rPr>
      </w:pPr>
      <w:bookmarkStart w:id="26" w:name="_Toc237515764"/>
      <w:r w:rsidRPr="00C00F3A">
        <w:rPr>
          <w:color w:val="auto"/>
          <w:lang w:val="en-GB"/>
        </w:rPr>
        <w:t>6.1 Tool Disclosure</w:t>
      </w:r>
      <w:bookmarkEnd w:id="26"/>
    </w:p>
    <w:p w14:paraId="7A71D44D" w14:textId="4E458EDA" w:rsidR="00140083" w:rsidRPr="00C00F3A" w:rsidRDefault="00C3237A">
      <w:pPr>
        <w:spacing w:after="160" w:line="360" w:lineRule="auto"/>
        <w:jc w:val="both"/>
        <w:rPr>
          <w:lang w:val="en-GB"/>
        </w:rPr>
      </w:pPr>
      <w:r w:rsidRPr="00C00F3A">
        <w:rPr>
          <w:lang w:val="en-GB"/>
        </w:rPr>
        <w:t>Various AI technologies (large language models such as Grok), have been employed during the creation of this report for the accomplishment of the following specific purposes: drafting of an outline for the entire report in line with the assessment requirements; generation of drafts for analytical paragraphs using quantitative inputs provided by the author; checking mathematical consistency of ratio and investment appraisal computations; and providing other alternatives for phrases to make the report academically sound. Software programs Excel/LibreOffice and Python have been used for carrying out numerical calculations of ratios, CCC and discounted cash flow. None of the AI technology has been allowed to make any changes to the financial figures obtained from the annual report.</w:t>
      </w:r>
    </w:p>
    <w:p w14:paraId="7BEA74FF" w14:textId="77777777" w:rsidR="00140083" w:rsidRPr="00C00F3A" w:rsidRDefault="00176BB0">
      <w:pPr>
        <w:pStyle w:val="Heading2"/>
        <w:rPr>
          <w:color w:val="auto"/>
          <w:lang w:val="en-GB"/>
        </w:rPr>
      </w:pPr>
      <w:bookmarkStart w:id="27" w:name="_Toc237515765"/>
      <w:r w:rsidRPr="00C00F3A">
        <w:rPr>
          <w:color w:val="auto"/>
          <w:lang w:val="en-GB"/>
        </w:rPr>
        <w:t>6.2 Critical Evaluation of AI Output</w:t>
      </w:r>
      <w:bookmarkEnd w:id="27"/>
    </w:p>
    <w:p w14:paraId="6C975D16" w14:textId="283C7AB4" w:rsidR="00140083" w:rsidRPr="00C00F3A" w:rsidRDefault="00C3237A">
      <w:pPr>
        <w:spacing w:after="160" w:line="360" w:lineRule="auto"/>
        <w:jc w:val="both"/>
        <w:rPr>
          <w:lang w:val="en-GB"/>
        </w:rPr>
      </w:pPr>
      <w:r w:rsidRPr="00C00F3A">
        <w:rPr>
          <w:lang w:val="en-GB"/>
        </w:rPr>
        <w:t>Each one of the AI interpretations was validated against the corresponding annual reports and the author’s own Excel calculations. Some cases of possible “hallucination” have been found and fixed. For instance, AI-generated early drafts sometimes mentioned financial data prior to 2021 that does not exist in the post-acquisition Wolseley Group’s accounting statements, or indicated inappropriate valuation ratios suitable for a publicly-traded corporation. Errors in the logic of the causal sequence (e.g., attributing the drop in equity during FY25 only to trading losses rather than mainly due to the dividend and premium on shares payment) have also been found and corrected.</w:t>
      </w:r>
    </w:p>
    <w:p w14:paraId="05DAF7FA" w14:textId="77777777" w:rsidR="00140083" w:rsidRPr="00C00F3A" w:rsidRDefault="00176BB0">
      <w:pPr>
        <w:pStyle w:val="Heading2"/>
        <w:rPr>
          <w:color w:val="auto"/>
          <w:lang w:val="en-GB"/>
        </w:rPr>
      </w:pPr>
      <w:bookmarkStart w:id="28" w:name="_Toc237515766"/>
      <w:r w:rsidRPr="00C00F3A">
        <w:rPr>
          <w:color w:val="auto"/>
          <w:lang w:val="en-GB"/>
        </w:rPr>
        <w:t>6.3 Contribution Analysis</w:t>
      </w:r>
      <w:bookmarkEnd w:id="28"/>
    </w:p>
    <w:p w14:paraId="3C67E359" w14:textId="5018ED71" w:rsidR="00140083" w:rsidRPr="00C00F3A" w:rsidRDefault="00C3237A">
      <w:pPr>
        <w:spacing w:after="160" w:line="360" w:lineRule="auto"/>
        <w:jc w:val="both"/>
        <w:rPr>
          <w:lang w:val="en-GB"/>
        </w:rPr>
      </w:pPr>
      <w:r w:rsidRPr="00C00F3A">
        <w:rPr>
          <w:lang w:val="en-GB"/>
        </w:rPr>
        <w:t xml:space="preserve">The quantitative underpinning of this report, the five-year ratio analysis, the cash conversion cycle, and the complete investment analysis of Projects A, B and C, has been derived by </w:t>
      </w:r>
      <w:r w:rsidRPr="00C00F3A">
        <w:rPr>
          <w:lang w:val="en-GB"/>
        </w:rPr>
        <w:lastRenderedPageBreak/>
        <w:t>the author himself through the use of primary data and standard financial formulae. The role of the AI was restricted to assisting with drafting, language and structuring. The strategic conclusions (the restructuring proposal, the capital rationing choice, and the connection between the Group’s stretched balance sheet and the conservative investment suggestion) are the professional judgment of the author himself. In other words, AI sped up the process of producing clear text; it did not do the analysis.</w:t>
      </w:r>
    </w:p>
    <w:p w14:paraId="7889A9A4" w14:textId="77777777" w:rsidR="00140083" w:rsidRPr="00C00F3A" w:rsidRDefault="00176BB0">
      <w:pPr>
        <w:pStyle w:val="Heading2"/>
        <w:rPr>
          <w:color w:val="auto"/>
          <w:lang w:val="en-GB"/>
        </w:rPr>
      </w:pPr>
      <w:bookmarkStart w:id="29" w:name="_Toc237515767"/>
      <w:r w:rsidRPr="00C00F3A">
        <w:rPr>
          <w:color w:val="auto"/>
          <w:lang w:val="en-GB"/>
        </w:rPr>
        <w:t>6.4 Ethical and Professional Reflection</w:t>
      </w:r>
      <w:bookmarkEnd w:id="29"/>
    </w:p>
    <w:p w14:paraId="543DF063" w14:textId="47D5615F" w:rsidR="00140083" w:rsidRPr="00C00F3A" w:rsidRDefault="00C3237A">
      <w:pPr>
        <w:spacing w:after="160" w:line="360" w:lineRule="auto"/>
        <w:jc w:val="both"/>
        <w:rPr>
          <w:lang w:val="en-GB"/>
        </w:rPr>
      </w:pPr>
      <w:r w:rsidRPr="00C00F3A">
        <w:rPr>
          <w:lang w:val="en-GB"/>
        </w:rPr>
        <w:t>It becomes evident, though, that the application of AI to financial analysis at an executive level entails certain problems of transparency, accountability and over-reliance on technology. First, transparency will imply the need for all the Board members and any other outside reader to know what part of the report was assisted by a computer. Accountability stays with the CFO himself/herself: an erroneous advice cannot be blamed on the algorithms of the machine. In terms of data privacy, the problem is limited for the particular assignment, since public annual reports were used only; in practice, the usage of non-public forecasts or customers' data would need strict controls. Finally, the over-reliance on AI technology involves the danger of the gradual loss of scepticism and mathematical skills: the latter become vital when the model generates results that look reasonable but are, in fact, false.</w:t>
      </w:r>
    </w:p>
    <w:p w14:paraId="673BF0E3" w14:textId="77777777" w:rsidR="00140083" w:rsidRPr="00C00F3A" w:rsidRDefault="00176BB0">
      <w:pPr>
        <w:pStyle w:val="Heading1"/>
        <w:rPr>
          <w:color w:val="auto"/>
          <w:lang w:val="en-GB"/>
        </w:rPr>
      </w:pPr>
      <w:bookmarkStart w:id="30" w:name="_Toc237515768"/>
      <w:r w:rsidRPr="00C00F3A">
        <w:rPr>
          <w:color w:val="auto"/>
          <w:lang w:val="en-GB"/>
        </w:rPr>
        <w:t>7. Conclusion</w:t>
      </w:r>
      <w:bookmarkEnd w:id="30"/>
    </w:p>
    <w:p w14:paraId="01951607" w14:textId="71EC0D53" w:rsidR="00140083" w:rsidRPr="00C00F3A" w:rsidRDefault="00C3237A">
      <w:pPr>
        <w:spacing w:after="160" w:line="360" w:lineRule="auto"/>
        <w:jc w:val="both"/>
        <w:rPr>
          <w:lang w:val="en-GB"/>
        </w:rPr>
      </w:pPr>
      <w:r w:rsidRPr="00C00F3A">
        <w:rPr>
          <w:lang w:val="en-GB"/>
        </w:rPr>
        <w:t xml:space="preserve">The Wolseley Group showed excellent financial performance right after acquisition with record revenues and EBITDA reported in FY23. Since then, its profitability has deteriorated sharply, interest cover is lower than 1.0 and gearing has increased significantly due to substantial dividend payout. While liquidity and working capital measures are sufficient relative to industry norms, and the operating cash flow remains positive, thus allowing the company to lay foundations for its recovery. The suggested financial strategy includes selective working capital management and deleveraging through equity or asset sale along with value-based capital allocation policy. Out of three projects being </w:t>
      </w:r>
      <w:proofErr w:type="spellStart"/>
      <w:r w:rsidRPr="00C00F3A">
        <w:rPr>
          <w:lang w:val="en-GB"/>
        </w:rPr>
        <w:t>analyzed</w:t>
      </w:r>
      <w:proofErr w:type="spellEnd"/>
      <w:r w:rsidRPr="00C00F3A">
        <w:rPr>
          <w:lang w:val="en-GB"/>
        </w:rPr>
        <w:t>, only Project C shows acceptable performance in terms of required 8% return and should be selected; other capital allocation opportunities should be preserved or used for balancing balance sheet.</w:t>
      </w:r>
    </w:p>
    <w:p w14:paraId="4F7AAAB0" w14:textId="77777777" w:rsidR="00140083" w:rsidRPr="00C00F3A" w:rsidRDefault="00176BB0">
      <w:pPr>
        <w:rPr>
          <w:lang w:val="en-GB"/>
        </w:rPr>
      </w:pPr>
      <w:r w:rsidRPr="00C00F3A">
        <w:rPr>
          <w:lang w:val="en-GB"/>
        </w:rPr>
        <w:br w:type="page"/>
      </w:r>
    </w:p>
    <w:p w14:paraId="2FF2F8DB" w14:textId="77777777" w:rsidR="00140083" w:rsidRPr="00C00F3A" w:rsidRDefault="00176BB0">
      <w:pPr>
        <w:pStyle w:val="Heading1"/>
        <w:rPr>
          <w:color w:val="auto"/>
          <w:lang w:val="en-GB"/>
        </w:rPr>
      </w:pPr>
      <w:bookmarkStart w:id="31" w:name="_Toc237515769"/>
      <w:r w:rsidRPr="00C00F3A">
        <w:rPr>
          <w:color w:val="auto"/>
          <w:lang w:val="en-GB"/>
        </w:rPr>
        <w:lastRenderedPageBreak/>
        <w:t>References</w:t>
      </w:r>
      <w:bookmarkEnd w:id="31"/>
    </w:p>
    <w:p w14:paraId="1BC122C8" w14:textId="77777777" w:rsidR="00975660" w:rsidRPr="00C00F3A" w:rsidRDefault="00975660" w:rsidP="00975660">
      <w:pPr>
        <w:spacing w:after="160" w:line="259" w:lineRule="auto"/>
        <w:rPr>
          <w:lang w:val="en-GB"/>
        </w:rPr>
      </w:pPr>
      <w:r w:rsidRPr="00C00F3A">
        <w:rPr>
          <w:lang w:val="en-GB"/>
        </w:rPr>
        <w:t xml:space="preserve">ACCA (2023) </w:t>
      </w:r>
      <w:r w:rsidRPr="00C00F3A">
        <w:rPr>
          <w:i/>
          <w:iCs/>
          <w:lang w:val="en-GB"/>
        </w:rPr>
        <w:t>Financial Management and Strategic Decision-Making</w:t>
      </w:r>
      <w:r w:rsidRPr="00C00F3A">
        <w:rPr>
          <w:lang w:val="en-GB"/>
        </w:rPr>
        <w:t xml:space="preserve">. London: ACCA. Available at: </w:t>
      </w:r>
      <w:hyperlink r:id="rId12" w:tgtFrame="_blank" w:history="1">
        <w:r w:rsidRPr="00C00F3A">
          <w:rPr>
            <w:rStyle w:val="Hyperlink"/>
            <w:color w:val="auto"/>
            <w:lang w:val="en-GB"/>
          </w:rPr>
          <w:t>https://www.accaglobal.com</w:t>
        </w:r>
      </w:hyperlink>
      <w:r w:rsidRPr="00C00F3A">
        <w:rPr>
          <w:lang w:val="en-GB"/>
        </w:rPr>
        <w:t xml:space="preserve"> (Accessed: 12 August 2026).</w:t>
      </w:r>
    </w:p>
    <w:p w14:paraId="5B6015A4" w14:textId="77777777" w:rsidR="00975660" w:rsidRPr="00C00F3A" w:rsidRDefault="00975660" w:rsidP="00975660">
      <w:pPr>
        <w:spacing w:after="160" w:line="259" w:lineRule="auto"/>
        <w:rPr>
          <w:lang w:val="en-GB"/>
        </w:rPr>
      </w:pPr>
      <w:r w:rsidRPr="00C00F3A">
        <w:rPr>
          <w:lang w:val="en-GB"/>
        </w:rPr>
        <w:t xml:space="preserve">ACCA (2023) </w:t>
      </w:r>
      <w:r w:rsidRPr="00C00F3A">
        <w:rPr>
          <w:i/>
          <w:iCs/>
          <w:lang w:val="en-GB"/>
        </w:rPr>
        <w:t>Sustainability and the role of the finance professional</w:t>
      </w:r>
      <w:r w:rsidRPr="00C00F3A">
        <w:rPr>
          <w:lang w:val="en-GB"/>
        </w:rPr>
        <w:t xml:space="preserve">. London: ACCA. Available at: </w:t>
      </w:r>
      <w:hyperlink r:id="rId13" w:tgtFrame="_blank" w:history="1">
        <w:r w:rsidRPr="00C00F3A">
          <w:rPr>
            <w:rStyle w:val="Hyperlink"/>
            <w:color w:val="auto"/>
            <w:lang w:val="en-GB"/>
          </w:rPr>
          <w:t>https://www.accaglobal.com</w:t>
        </w:r>
      </w:hyperlink>
      <w:r w:rsidRPr="00C00F3A">
        <w:rPr>
          <w:lang w:val="en-GB"/>
        </w:rPr>
        <w:t xml:space="preserve"> (Accessed: 13 August 2026).</w:t>
      </w:r>
    </w:p>
    <w:p w14:paraId="102B1D42" w14:textId="77777777" w:rsidR="00975660" w:rsidRPr="00C00F3A" w:rsidRDefault="00975660">
      <w:pPr>
        <w:spacing w:after="80" w:line="360" w:lineRule="auto"/>
        <w:jc w:val="both"/>
        <w:rPr>
          <w:lang w:val="en-GB"/>
        </w:rPr>
      </w:pPr>
      <w:r w:rsidRPr="00C00F3A">
        <w:rPr>
          <w:lang w:val="en-GB"/>
        </w:rPr>
        <w:t xml:space="preserve">Arnold, G. (2021) Corporate Financial Management. 6th </w:t>
      </w:r>
      <w:proofErr w:type="spellStart"/>
      <w:r w:rsidRPr="00C00F3A">
        <w:rPr>
          <w:lang w:val="en-GB"/>
        </w:rPr>
        <w:t>edn</w:t>
      </w:r>
      <w:proofErr w:type="spellEnd"/>
      <w:r w:rsidRPr="00C00F3A">
        <w:rPr>
          <w:lang w:val="en-GB"/>
        </w:rPr>
        <w:t>. Harlow: Pearson.</w:t>
      </w:r>
    </w:p>
    <w:p w14:paraId="610E16EF" w14:textId="77777777" w:rsidR="00975660" w:rsidRPr="00C00F3A" w:rsidRDefault="00975660">
      <w:pPr>
        <w:spacing w:after="80" w:line="360" w:lineRule="auto"/>
        <w:jc w:val="both"/>
        <w:rPr>
          <w:lang w:val="en-GB"/>
        </w:rPr>
      </w:pPr>
      <w:proofErr w:type="spellStart"/>
      <w:r w:rsidRPr="00C00F3A">
        <w:rPr>
          <w:lang w:val="en-GB"/>
        </w:rPr>
        <w:t>Atrill</w:t>
      </w:r>
      <w:proofErr w:type="spellEnd"/>
      <w:r w:rsidRPr="00C00F3A">
        <w:rPr>
          <w:lang w:val="en-GB"/>
        </w:rPr>
        <w:t xml:space="preserve">, P. and McLaney, E. (2022) Accounting and Finance for Non-Specialists. 12th </w:t>
      </w:r>
      <w:proofErr w:type="spellStart"/>
      <w:r w:rsidRPr="00C00F3A">
        <w:rPr>
          <w:lang w:val="en-GB"/>
        </w:rPr>
        <w:t>edn</w:t>
      </w:r>
      <w:proofErr w:type="spellEnd"/>
      <w:r w:rsidRPr="00C00F3A">
        <w:rPr>
          <w:lang w:val="en-GB"/>
        </w:rPr>
        <w:t xml:space="preserve">. Harlow: Pearson. </w:t>
      </w:r>
      <w:hyperlink r:id="rId14" w:history="1">
        <w:r w:rsidRPr="00C00F3A">
          <w:rPr>
            <w:rStyle w:val="Hyperlink"/>
            <w:color w:val="auto"/>
            <w:lang w:val="en-GB"/>
          </w:rPr>
          <w:t>https://books.google.com/books?hl=en&amp;lr=&amp;id=3JQ4z9xhwvcC&amp;oi=fnd&amp;pg=PR13&amp;dq=Atrill,+P.+and+McLaney,+E.+(2022)+Accounting+and+Finance+for+Non-Specialists.+12th+edn.+Harlow:+Pearson.&amp;ots=g3a08igm2x&amp;sig=_vlJD3qRm4STYFWPQ0GvQCS_bb0</w:t>
        </w:r>
      </w:hyperlink>
      <w:r w:rsidRPr="00C00F3A">
        <w:rPr>
          <w:lang w:val="en-GB"/>
        </w:rPr>
        <w:t xml:space="preserve"> </w:t>
      </w:r>
    </w:p>
    <w:p w14:paraId="7492C43C" w14:textId="77777777" w:rsidR="00975660" w:rsidRPr="00C00F3A" w:rsidRDefault="00975660" w:rsidP="00975660">
      <w:pPr>
        <w:spacing w:after="160" w:line="259" w:lineRule="auto"/>
        <w:rPr>
          <w:lang w:val="en-GB"/>
        </w:rPr>
      </w:pPr>
      <w:r w:rsidRPr="00C00F3A">
        <w:rPr>
          <w:lang w:val="en-GB"/>
        </w:rPr>
        <w:t xml:space="preserve">Bank of England (2025) </w:t>
      </w:r>
      <w:r w:rsidRPr="00C00F3A">
        <w:rPr>
          <w:i/>
          <w:iCs/>
          <w:lang w:val="en-GB"/>
        </w:rPr>
        <w:t>Monetary Policy Report – May 2025</w:t>
      </w:r>
      <w:r w:rsidRPr="00C00F3A">
        <w:rPr>
          <w:lang w:val="en-GB"/>
        </w:rPr>
        <w:t xml:space="preserve">. London: Bank of England. Available at: </w:t>
      </w:r>
      <w:hyperlink r:id="rId15" w:tgtFrame="_blank" w:history="1">
        <w:r w:rsidRPr="00C00F3A">
          <w:rPr>
            <w:rStyle w:val="Hyperlink"/>
            <w:color w:val="auto"/>
            <w:lang w:val="en-GB"/>
          </w:rPr>
          <w:t>https://www.bankofengland.co.uk/monetary-policy-report</w:t>
        </w:r>
      </w:hyperlink>
      <w:r w:rsidRPr="00C00F3A">
        <w:rPr>
          <w:lang w:val="en-GB"/>
        </w:rPr>
        <w:t xml:space="preserve"> (Accessed: 12 August 2026).</w:t>
      </w:r>
    </w:p>
    <w:p w14:paraId="6AA66147" w14:textId="77777777" w:rsidR="00975660" w:rsidRPr="00C00F3A" w:rsidRDefault="00975660">
      <w:pPr>
        <w:spacing w:after="80" w:line="360" w:lineRule="auto"/>
        <w:jc w:val="both"/>
        <w:rPr>
          <w:lang w:val="en-GB"/>
        </w:rPr>
      </w:pPr>
      <w:r w:rsidRPr="00C00F3A">
        <w:rPr>
          <w:lang w:val="en-GB"/>
        </w:rPr>
        <w:t xml:space="preserve">Brealey, R.A., Myers, S.C. and Allen, F. (2023) Principles of Corporate Finance. 14th </w:t>
      </w:r>
      <w:proofErr w:type="spellStart"/>
      <w:r w:rsidRPr="00C00F3A">
        <w:rPr>
          <w:lang w:val="en-GB"/>
        </w:rPr>
        <w:t>edn</w:t>
      </w:r>
      <w:proofErr w:type="spellEnd"/>
      <w:r w:rsidRPr="00C00F3A">
        <w:rPr>
          <w:lang w:val="en-GB"/>
        </w:rPr>
        <w:t xml:space="preserve">. New York: McGraw-Hill. </w:t>
      </w:r>
      <w:hyperlink r:id="rId16" w:history="1">
        <w:r w:rsidRPr="00C00F3A">
          <w:rPr>
            <w:rStyle w:val="Hyperlink"/>
            <w:color w:val="auto"/>
            <w:lang w:val="en-GB"/>
          </w:rPr>
          <w:t>https://www.academia.edu/download/31182842/DE001125555EA654126BCC12572DF00423B78.pdf</w:t>
        </w:r>
      </w:hyperlink>
      <w:r w:rsidRPr="00C00F3A">
        <w:rPr>
          <w:lang w:val="en-GB"/>
        </w:rPr>
        <w:t xml:space="preserve"> </w:t>
      </w:r>
    </w:p>
    <w:p w14:paraId="4A97886D" w14:textId="77777777" w:rsidR="00975660" w:rsidRPr="00C00F3A" w:rsidRDefault="00975660">
      <w:pPr>
        <w:spacing w:after="80" w:line="360" w:lineRule="auto"/>
        <w:jc w:val="both"/>
        <w:rPr>
          <w:lang w:val="en-GB"/>
        </w:rPr>
      </w:pPr>
      <w:r w:rsidRPr="00C00F3A">
        <w:rPr>
          <w:lang w:val="en-GB"/>
        </w:rPr>
        <w:t xml:space="preserve">Clayman, M.R., Fridson, M.S. and Troughton, G.H. (2022) Corporate Finance: A Practical Approach. 3rd </w:t>
      </w:r>
      <w:proofErr w:type="spellStart"/>
      <w:r w:rsidRPr="00C00F3A">
        <w:rPr>
          <w:lang w:val="en-GB"/>
        </w:rPr>
        <w:t>edn</w:t>
      </w:r>
      <w:proofErr w:type="spellEnd"/>
      <w:r w:rsidRPr="00C00F3A">
        <w:rPr>
          <w:lang w:val="en-GB"/>
        </w:rPr>
        <w:t>. Hoboken: Wiley.</w:t>
      </w:r>
    </w:p>
    <w:p w14:paraId="325992DE" w14:textId="77777777" w:rsidR="00975660" w:rsidRPr="00C00F3A" w:rsidRDefault="00975660">
      <w:pPr>
        <w:spacing w:after="80" w:line="360" w:lineRule="auto"/>
        <w:jc w:val="both"/>
        <w:rPr>
          <w:lang w:val="en-GB"/>
        </w:rPr>
      </w:pPr>
      <w:r w:rsidRPr="00C00F3A">
        <w:rPr>
          <w:lang w:val="en-GB"/>
        </w:rPr>
        <w:t xml:space="preserve">Damodaran, A. (2022) Investment Valuation. 4th </w:t>
      </w:r>
      <w:proofErr w:type="spellStart"/>
      <w:r w:rsidRPr="00C00F3A">
        <w:rPr>
          <w:lang w:val="en-GB"/>
        </w:rPr>
        <w:t>edn</w:t>
      </w:r>
      <w:proofErr w:type="spellEnd"/>
      <w:r w:rsidRPr="00C00F3A">
        <w:rPr>
          <w:lang w:val="en-GB"/>
        </w:rPr>
        <w:t xml:space="preserve">. Hoboken: Wiley. </w:t>
      </w:r>
      <w:hyperlink r:id="rId17" w:history="1">
        <w:r w:rsidRPr="00C00F3A">
          <w:rPr>
            <w:rStyle w:val="Hyperlink"/>
            <w:color w:val="auto"/>
            <w:lang w:val="en-GB"/>
          </w:rPr>
          <w:t>https://www.wiley.com/en-ae/shop/general-finance-investments/investment-valuation-tools-and-techniques-for-determining-the-value-of-any-asset-4th-edition-p-9781394254613</w:t>
        </w:r>
      </w:hyperlink>
      <w:r w:rsidRPr="00C00F3A">
        <w:rPr>
          <w:lang w:val="en-GB"/>
        </w:rPr>
        <w:t xml:space="preserve"> </w:t>
      </w:r>
    </w:p>
    <w:p w14:paraId="68C2E87B" w14:textId="77777777" w:rsidR="00975660" w:rsidRPr="00C00F3A" w:rsidRDefault="00975660">
      <w:pPr>
        <w:spacing w:after="80" w:line="360" w:lineRule="auto"/>
        <w:jc w:val="both"/>
        <w:rPr>
          <w:lang w:val="en-GB"/>
        </w:rPr>
      </w:pPr>
      <w:r w:rsidRPr="00C00F3A">
        <w:rPr>
          <w:lang w:val="en-GB"/>
        </w:rPr>
        <w:t xml:space="preserve">Drury, C. (2021) Management and Cost Accounting. 11th </w:t>
      </w:r>
      <w:proofErr w:type="spellStart"/>
      <w:r w:rsidRPr="00C00F3A">
        <w:rPr>
          <w:lang w:val="en-GB"/>
        </w:rPr>
        <w:t>edn</w:t>
      </w:r>
      <w:proofErr w:type="spellEnd"/>
      <w:r w:rsidRPr="00C00F3A">
        <w:rPr>
          <w:lang w:val="en-GB"/>
        </w:rPr>
        <w:t>. Andover: Cengage.</w:t>
      </w:r>
    </w:p>
    <w:p w14:paraId="185D946C" w14:textId="77777777" w:rsidR="00975660" w:rsidRPr="00C00F3A" w:rsidRDefault="00975660">
      <w:pPr>
        <w:spacing w:after="80" w:line="360" w:lineRule="auto"/>
        <w:jc w:val="both"/>
        <w:rPr>
          <w:lang w:val="en-GB"/>
        </w:rPr>
      </w:pPr>
      <w:r w:rsidRPr="00C00F3A">
        <w:rPr>
          <w:lang w:val="en-GB"/>
        </w:rPr>
        <w:t>European Central Bank (2025) Economic Bulletin. Available at: https://www.ecb.europa.eu (Accessed: 8 August 2026).</w:t>
      </w:r>
    </w:p>
    <w:p w14:paraId="63457666" w14:textId="77777777" w:rsidR="00975660" w:rsidRPr="00C00F3A" w:rsidRDefault="00975660" w:rsidP="00975660">
      <w:pPr>
        <w:spacing w:after="160" w:line="259" w:lineRule="auto"/>
        <w:rPr>
          <w:lang w:val="en-GB"/>
        </w:rPr>
      </w:pPr>
      <w:r w:rsidRPr="00C00F3A">
        <w:rPr>
          <w:lang w:val="en-GB"/>
        </w:rPr>
        <w:t xml:space="preserve">Ferguson plc (2024) </w:t>
      </w:r>
      <w:r w:rsidRPr="00C00F3A">
        <w:rPr>
          <w:i/>
          <w:iCs/>
          <w:lang w:val="en-GB"/>
        </w:rPr>
        <w:t>Annual Report and Accounts 2024</w:t>
      </w:r>
      <w:r w:rsidRPr="00C00F3A">
        <w:rPr>
          <w:lang w:val="en-GB"/>
        </w:rPr>
        <w:t xml:space="preserve">. Available at: </w:t>
      </w:r>
      <w:hyperlink r:id="rId18" w:tgtFrame="_blank" w:history="1">
        <w:r w:rsidRPr="00C00F3A">
          <w:rPr>
            <w:rStyle w:val="Hyperlink"/>
            <w:color w:val="auto"/>
            <w:lang w:val="en-GB"/>
          </w:rPr>
          <w:t>https://www.fergusonplc.com</w:t>
        </w:r>
      </w:hyperlink>
      <w:r w:rsidRPr="00C00F3A">
        <w:rPr>
          <w:lang w:val="en-GB"/>
        </w:rPr>
        <w:t xml:space="preserve"> (Accessed: 10 August 2026).</w:t>
      </w:r>
    </w:p>
    <w:p w14:paraId="7ADC08C2" w14:textId="77777777" w:rsidR="00975660" w:rsidRPr="00C00F3A" w:rsidRDefault="00975660">
      <w:pPr>
        <w:spacing w:after="80" w:line="360" w:lineRule="auto"/>
        <w:jc w:val="both"/>
        <w:rPr>
          <w:lang w:val="en-GB"/>
        </w:rPr>
      </w:pPr>
      <w:r w:rsidRPr="00C00F3A">
        <w:rPr>
          <w:lang w:val="en-GB"/>
        </w:rPr>
        <w:t>Financial Reporting Council (2024) The UK Corporate Governance Code. London: FRC.</w:t>
      </w:r>
    </w:p>
    <w:p w14:paraId="6648F548" w14:textId="77777777" w:rsidR="00975660" w:rsidRPr="00C00F3A" w:rsidRDefault="00975660">
      <w:pPr>
        <w:spacing w:after="80" w:line="360" w:lineRule="auto"/>
        <w:jc w:val="both"/>
        <w:rPr>
          <w:lang w:val="en-GB"/>
        </w:rPr>
      </w:pPr>
      <w:r w:rsidRPr="00C00F3A">
        <w:rPr>
          <w:lang w:val="en-GB"/>
        </w:rPr>
        <w:t xml:space="preserve">Grafton Group plc (2024) Annual Report and Accounts 2023. Available at: </w:t>
      </w:r>
      <w:hyperlink r:id="rId19" w:history="1">
        <w:r w:rsidRPr="00C00F3A">
          <w:rPr>
            <w:rStyle w:val="Hyperlink"/>
            <w:color w:val="auto"/>
            <w:lang w:val="en-GB"/>
          </w:rPr>
          <w:t>https://www.graftonplc.com/~/media/Files/G/Grafton-Group/2%20Annual%20Report%202024%20interactive/Grafton%20Annual%20Report%202024.pdf</w:t>
        </w:r>
      </w:hyperlink>
      <w:r w:rsidRPr="00C00F3A">
        <w:rPr>
          <w:lang w:val="en-GB"/>
        </w:rPr>
        <w:t xml:space="preserve"> (Accessed: 10 August 2026).</w:t>
      </w:r>
    </w:p>
    <w:p w14:paraId="17F6C046" w14:textId="77777777" w:rsidR="00975660" w:rsidRPr="00C00F3A" w:rsidRDefault="00975660">
      <w:pPr>
        <w:spacing w:after="80" w:line="360" w:lineRule="auto"/>
        <w:jc w:val="both"/>
        <w:rPr>
          <w:lang w:val="en-GB"/>
        </w:rPr>
      </w:pPr>
      <w:r w:rsidRPr="00C00F3A">
        <w:rPr>
          <w:lang w:val="en-GB"/>
        </w:rPr>
        <w:lastRenderedPageBreak/>
        <w:t xml:space="preserve">Hillier, D., Ross, S., Westerfield, R., Jaffe, J. and Jordan, B. (2021) Corporate Finance. 4th European </w:t>
      </w:r>
      <w:proofErr w:type="spellStart"/>
      <w:r w:rsidRPr="00C00F3A">
        <w:rPr>
          <w:lang w:val="en-GB"/>
        </w:rPr>
        <w:t>edn</w:t>
      </w:r>
      <w:proofErr w:type="spellEnd"/>
      <w:r w:rsidRPr="00C00F3A">
        <w:rPr>
          <w:lang w:val="en-GB"/>
        </w:rPr>
        <w:t xml:space="preserve">. London: McGraw-Hill. </w:t>
      </w:r>
      <w:hyperlink r:id="rId20" w:history="1">
        <w:r w:rsidRPr="00C00F3A">
          <w:rPr>
            <w:rStyle w:val="Hyperlink"/>
            <w:color w:val="auto"/>
            <w:lang w:val="en-GB"/>
          </w:rPr>
          <w:t>https://books.google.co.in/books/about/EBOOK_Corporate_Finance_4e.html?id=MMovEAAAQBAJ&amp;redir_esc=y</w:t>
        </w:r>
      </w:hyperlink>
      <w:r w:rsidRPr="00C00F3A">
        <w:rPr>
          <w:lang w:val="en-GB"/>
        </w:rPr>
        <w:t xml:space="preserve"> </w:t>
      </w:r>
    </w:p>
    <w:p w14:paraId="6128B611" w14:textId="77777777" w:rsidR="00975660" w:rsidRPr="00C00F3A" w:rsidRDefault="00975660">
      <w:pPr>
        <w:spacing w:after="80" w:line="360" w:lineRule="auto"/>
        <w:jc w:val="both"/>
        <w:rPr>
          <w:lang w:val="en-GB"/>
        </w:rPr>
      </w:pPr>
      <w:r w:rsidRPr="00C00F3A">
        <w:rPr>
          <w:lang w:val="en-GB"/>
        </w:rPr>
        <w:t xml:space="preserve">Horngren, C.T. et al. (2022) Cost Accounting: A Managerial Emphasis. 17th </w:t>
      </w:r>
      <w:proofErr w:type="spellStart"/>
      <w:r w:rsidRPr="00C00F3A">
        <w:rPr>
          <w:lang w:val="en-GB"/>
        </w:rPr>
        <w:t>edn</w:t>
      </w:r>
      <w:proofErr w:type="spellEnd"/>
      <w:r w:rsidRPr="00C00F3A">
        <w:rPr>
          <w:lang w:val="en-GB"/>
        </w:rPr>
        <w:t>. Harlow: Pearson.</w:t>
      </w:r>
    </w:p>
    <w:p w14:paraId="71DD84E9" w14:textId="77777777" w:rsidR="00975660" w:rsidRPr="00C00F3A" w:rsidRDefault="00975660">
      <w:pPr>
        <w:spacing w:after="80" w:line="360" w:lineRule="auto"/>
        <w:jc w:val="both"/>
        <w:rPr>
          <w:lang w:val="en-GB"/>
        </w:rPr>
      </w:pPr>
      <w:r w:rsidRPr="00C00F3A">
        <w:rPr>
          <w:lang w:val="en-GB"/>
        </w:rPr>
        <w:t>ICAEW (2024) Financial Management and Strategy. London: ICAEW.</w:t>
      </w:r>
    </w:p>
    <w:p w14:paraId="5A40DD92" w14:textId="77777777" w:rsidR="00975660" w:rsidRPr="00C00F3A" w:rsidRDefault="00975660">
      <w:pPr>
        <w:spacing w:after="80" w:line="360" w:lineRule="auto"/>
        <w:jc w:val="both"/>
        <w:rPr>
          <w:lang w:val="en-GB"/>
        </w:rPr>
      </w:pPr>
      <w:r w:rsidRPr="00C00F3A">
        <w:rPr>
          <w:lang w:val="en-GB"/>
        </w:rPr>
        <w:t>International Accounting Standards Board (2023) IFRS Standards. London: IFRS Foundation.</w:t>
      </w:r>
    </w:p>
    <w:p w14:paraId="5E06DD3A" w14:textId="77777777" w:rsidR="00975660" w:rsidRPr="00C00F3A" w:rsidRDefault="00975660" w:rsidP="00975660">
      <w:pPr>
        <w:spacing w:after="160" w:line="259" w:lineRule="auto"/>
        <w:rPr>
          <w:lang w:val="en-GB"/>
        </w:rPr>
      </w:pPr>
      <w:r w:rsidRPr="00C00F3A">
        <w:rPr>
          <w:lang w:val="en-GB"/>
        </w:rPr>
        <w:t xml:space="preserve">Koller, T., Goedhart, M. and Wessels, D. (2020) </w:t>
      </w:r>
      <w:r w:rsidRPr="00C00F3A">
        <w:rPr>
          <w:i/>
          <w:iCs/>
          <w:lang w:val="en-GB"/>
        </w:rPr>
        <w:t>Valuation: Measuring and Managing the Value of Companies</w:t>
      </w:r>
      <w:r w:rsidRPr="00C00F3A">
        <w:rPr>
          <w:lang w:val="en-GB"/>
        </w:rPr>
        <w:t xml:space="preserve">. 7th </w:t>
      </w:r>
      <w:proofErr w:type="spellStart"/>
      <w:r w:rsidRPr="00C00F3A">
        <w:rPr>
          <w:lang w:val="en-GB"/>
        </w:rPr>
        <w:t>edn</w:t>
      </w:r>
      <w:proofErr w:type="spellEnd"/>
      <w:r w:rsidRPr="00C00F3A">
        <w:rPr>
          <w:lang w:val="en-GB"/>
        </w:rPr>
        <w:t xml:space="preserve">. Hoboken: Wiley. Available at: </w:t>
      </w:r>
      <w:hyperlink r:id="rId21" w:tgtFrame="_blank" w:history="1">
        <w:r w:rsidRPr="00C00F3A">
          <w:rPr>
            <w:rStyle w:val="Hyperlink"/>
            <w:color w:val="auto"/>
            <w:lang w:val="en-GB"/>
          </w:rPr>
          <w:t>https://www.mckinsey.com/capabilities/strategy-and-corporate-finance/our-insights/valuation</w:t>
        </w:r>
      </w:hyperlink>
      <w:r w:rsidRPr="00C00F3A">
        <w:rPr>
          <w:lang w:val="en-GB"/>
        </w:rPr>
        <w:t xml:space="preserve"> (Accessed: 11 August 2026).</w:t>
      </w:r>
    </w:p>
    <w:p w14:paraId="4861DEA0" w14:textId="77777777" w:rsidR="00975660" w:rsidRPr="00C00F3A" w:rsidRDefault="00975660">
      <w:pPr>
        <w:spacing w:after="80" w:line="360" w:lineRule="auto"/>
        <w:jc w:val="both"/>
        <w:rPr>
          <w:lang w:val="en-GB"/>
        </w:rPr>
      </w:pPr>
      <w:r w:rsidRPr="00C00F3A">
        <w:rPr>
          <w:lang w:val="en-GB"/>
        </w:rPr>
        <w:t xml:space="preserve">Lumby, S. and Jones, C. (2022) Corporate Finance: Theory and Practice. 10th </w:t>
      </w:r>
      <w:proofErr w:type="spellStart"/>
      <w:r w:rsidRPr="00C00F3A">
        <w:rPr>
          <w:lang w:val="en-GB"/>
        </w:rPr>
        <w:t>edn</w:t>
      </w:r>
      <w:proofErr w:type="spellEnd"/>
      <w:r w:rsidRPr="00C00F3A">
        <w:rPr>
          <w:lang w:val="en-GB"/>
        </w:rPr>
        <w:t>. Andover: Cengage.</w:t>
      </w:r>
    </w:p>
    <w:p w14:paraId="6DA670D2" w14:textId="77777777" w:rsidR="00975660" w:rsidRPr="00C00F3A" w:rsidRDefault="00975660">
      <w:pPr>
        <w:spacing w:after="80" w:line="360" w:lineRule="auto"/>
        <w:jc w:val="both"/>
        <w:rPr>
          <w:lang w:val="en-GB"/>
        </w:rPr>
      </w:pPr>
      <w:r w:rsidRPr="00C00F3A">
        <w:rPr>
          <w:lang w:val="en-GB"/>
        </w:rPr>
        <w:t xml:space="preserve">McLaney, E. and </w:t>
      </w:r>
      <w:proofErr w:type="spellStart"/>
      <w:r w:rsidRPr="00C00F3A">
        <w:rPr>
          <w:lang w:val="en-GB"/>
        </w:rPr>
        <w:t>Atrill</w:t>
      </w:r>
      <w:proofErr w:type="spellEnd"/>
      <w:r w:rsidRPr="00C00F3A">
        <w:rPr>
          <w:lang w:val="en-GB"/>
        </w:rPr>
        <w:t xml:space="preserve">, P. (2023) Accounting and Finance: An Introduction. 11th </w:t>
      </w:r>
      <w:proofErr w:type="spellStart"/>
      <w:r w:rsidRPr="00C00F3A">
        <w:rPr>
          <w:lang w:val="en-GB"/>
        </w:rPr>
        <w:t>edn</w:t>
      </w:r>
      <w:proofErr w:type="spellEnd"/>
      <w:r w:rsidRPr="00C00F3A">
        <w:rPr>
          <w:lang w:val="en-GB"/>
        </w:rPr>
        <w:t>. Harlow: Pearson.</w:t>
      </w:r>
    </w:p>
    <w:p w14:paraId="25431A2F" w14:textId="77777777" w:rsidR="00975660" w:rsidRPr="00C00F3A" w:rsidRDefault="00975660">
      <w:pPr>
        <w:spacing w:after="80" w:line="360" w:lineRule="auto"/>
        <w:jc w:val="both"/>
        <w:rPr>
          <w:lang w:val="en-GB"/>
        </w:rPr>
      </w:pPr>
      <w:proofErr w:type="spellStart"/>
      <w:r w:rsidRPr="00C00F3A">
        <w:rPr>
          <w:lang w:val="en-GB"/>
        </w:rPr>
        <w:t>Meginson</w:t>
      </w:r>
      <w:proofErr w:type="spellEnd"/>
      <w:r w:rsidRPr="00C00F3A">
        <w:rPr>
          <w:lang w:val="en-GB"/>
        </w:rPr>
        <w:t xml:space="preserve">, W.L., Smart, S.B. and Graham, J.R. (2021) Financial Management. 4th </w:t>
      </w:r>
      <w:proofErr w:type="spellStart"/>
      <w:r w:rsidRPr="00C00F3A">
        <w:rPr>
          <w:lang w:val="en-GB"/>
        </w:rPr>
        <w:t>edn</w:t>
      </w:r>
      <w:proofErr w:type="spellEnd"/>
      <w:r w:rsidRPr="00C00F3A">
        <w:rPr>
          <w:lang w:val="en-GB"/>
        </w:rPr>
        <w:t>. Andover: Cengage.</w:t>
      </w:r>
    </w:p>
    <w:p w14:paraId="1A503426" w14:textId="77777777" w:rsidR="00975660" w:rsidRPr="00C00F3A" w:rsidRDefault="00975660" w:rsidP="00975660">
      <w:pPr>
        <w:spacing w:after="160" w:line="259" w:lineRule="auto"/>
        <w:rPr>
          <w:lang w:val="en-GB"/>
        </w:rPr>
      </w:pPr>
      <w:r w:rsidRPr="00C00F3A">
        <w:rPr>
          <w:lang w:val="en-GB"/>
        </w:rPr>
        <w:t xml:space="preserve">OECD (2023) </w:t>
      </w:r>
      <w:r w:rsidRPr="00C00F3A">
        <w:rPr>
          <w:i/>
          <w:iCs/>
          <w:lang w:val="en-GB"/>
        </w:rPr>
        <w:t>Transfer Pricing Guidelines for Multinational Enterprises and Tax Administrations</w:t>
      </w:r>
      <w:r w:rsidRPr="00C00F3A">
        <w:rPr>
          <w:lang w:val="en-GB"/>
        </w:rPr>
        <w:t xml:space="preserve">. Paris: OECD Publishing. Available at: </w:t>
      </w:r>
      <w:hyperlink r:id="rId22" w:tgtFrame="_blank" w:history="1">
        <w:r w:rsidRPr="00C00F3A">
          <w:rPr>
            <w:rStyle w:val="Hyperlink"/>
            <w:color w:val="auto"/>
            <w:lang w:val="en-GB"/>
          </w:rPr>
          <w:t>https://www.oecd.org/tax/transfer-pricing</w:t>
        </w:r>
      </w:hyperlink>
      <w:r w:rsidRPr="00C00F3A">
        <w:rPr>
          <w:lang w:val="en-GB"/>
        </w:rPr>
        <w:t xml:space="preserve"> (Accessed: 11 August 2026).</w:t>
      </w:r>
    </w:p>
    <w:p w14:paraId="11ED5CB1" w14:textId="77777777" w:rsidR="00975660" w:rsidRPr="00C00F3A" w:rsidRDefault="00975660" w:rsidP="00975660">
      <w:pPr>
        <w:spacing w:after="160" w:line="259" w:lineRule="auto"/>
        <w:rPr>
          <w:lang w:val="en-GB"/>
        </w:rPr>
      </w:pPr>
      <w:r w:rsidRPr="00C00F3A">
        <w:rPr>
          <w:lang w:val="en-GB"/>
        </w:rPr>
        <w:t xml:space="preserve">Office for National Statistics (2025) </w:t>
      </w:r>
      <w:r w:rsidRPr="00C00F3A">
        <w:rPr>
          <w:i/>
          <w:iCs/>
          <w:lang w:val="en-GB"/>
        </w:rPr>
        <w:t>Construction output in Great Britain</w:t>
      </w:r>
      <w:r w:rsidRPr="00C00F3A">
        <w:rPr>
          <w:lang w:val="en-GB"/>
        </w:rPr>
        <w:t xml:space="preserve">. Available at: </w:t>
      </w:r>
      <w:hyperlink r:id="rId23" w:tgtFrame="_blank" w:history="1">
        <w:r w:rsidRPr="00C00F3A">
          <w:rPr>
            <w:rStyle w:val="Hyperlink"/>
            <w:color w:val="auto"/>
            <w:lang w:val="en-GB"/>
          </w:rPr>
          <w:t>https://www.ons.gov.uk</w:t>
        </w:r>
      </w:hyperlink>
      <w:r w:rsidRPr="00C00F3A">
        <w:rPr>
          <w:lang w:val="en-GB"/>
        </w:rPr>
        <w:t xml:space="preserve"> (Accessed: 12 August 2026).</w:t>
      </w:r>
    </w:p>
    <w:p w14:paraId="5A099F55" w14:textId="77777777" w:rsidR="00975660" w:rsidRPr="00C00F3A" w:rsidRDefault="00975660" w:rsidP="00975660">
      <w:pPr>
        <w:spacing w:after="160" w:line="259" w:lineRule="auto"/>
        <w:rPr>
          <w:lang w:val="en-GB"/>
        </w:rPr>
      </w:pPr>
      <w:r w:rsidRPr="00C00F3A">
        <w:rPr>
          <w:lang w:val="en-GB"/>
        </w:rPr>
        <w:t xml:space="preserve">Office for National Statistics (2025) </w:t>
      </w:r>
      <w:r w:rsidRPr="00C00F3A">
        <w:rPr>
          <w:i/>
          <w:iCs/>
          <w:lang w:val="en-GB"/>
        </w:rPr>
        <w:t>Construction output in Great Britain: July 2025</w:t>
      </w:r>
      <w:r w:rsidRPr="00C00F3A">
        <w:rPr>
          <w:lang w:val="en-GB"/>
        </w:rPr>
        <w:t xml:space="preserve">. Available at: </w:t>
      </w:r>
      <w:hyperlink r:id="rId24" w:tgtFrame="_blank" w:history="1">
        <w:r w:rsidRPr="00C00F3A">
          <w:rPr>
            <w:rStyle w:val="Hyperlink"/>
            <w:color w:val="auto"/>
            <w:lang w:val="en-GB"/>
          </w:rPr>
          <w:t>https://www.ons.gov.uk</w:t>
        </w:r>
      </w:hyperlink>
      <w:r w:rsidRPr="00C00F3A">
        <w:rPr>
          <w:lang w:val="en-GB"/>
        </w:rPr>
        <w:t xml:space="preserve"> (Accessed: 12 August 2026).</w:t>
      </w:r>
    </w:p>
    <w:p w14:paraId="3E326016" w14:textId="77777777" w:rsidR="00975660" w:rsidRPr="00C00F3A" w:rsidRDefault="00975660">
      <w:pPr>
        <w:spacing w:after="80" w:line="360" w:lineRule="auto"/>
        <w:jc w:val="both"/>
        <w:rPr>
          <w:lang w:val="en-GB"/>
        </w:rPr>
      </w:pPr>
      <w:r w:rsidRPr="00C00F3A">
        <w:rPr>
          <w:lang w:val="en-GB"/>
        </w:rPr>
        <w:t>Office for National Statistics (2025) Construction Output Statistics. Available at: https://www.ons.gov.uk (Accessed: 8 August 2026).</w:t>
      </w:r>
    </w:p>
    <w:p w14:paraId="2D9D0E86" w14:textId="77777777" w:rsidR="00975660" w:rsidRPr="00C00F3A" w:rsidRDefault="00975660">
      <w:pPr>
        <w:spacing w:after="80" w:line="360" w:lineRule="auto"/>
        <w:jc w:val="both"/>
        <w:rPr>
          <w:lang w:val="en-GB"/>
        </w:rPr>
      </w:pPr>
      <w:r w:rsidRPr="00C00F3A">
        <w:rPr>
          <w:lang w:val="en-GB"/>
        </w:rPr>
        <w:t xml:space="preserve">Petty, J.W. et al. (2021) Financial Management. 8th </w:t>
      </w:r>
      <w:proofErr w:type="spellStart"/>
      <w:r w:rsidRPr="00C00F3A">
        <w:rPr>
          <w:lang w:val="en-GB"/>
        </w:rPr>
        <w:t>edn</w:t>
      </w:r>
      <w:proofErr w:type="spellEnd"/>
      <w:r w:rsidRPr="00C00F3A">
        <w:rPr>
          <w:lang w:val="en-GB"/>
        </w:rPr>
        <w:t>. Melbourne: Cengage.</w:t>
      </w:r>
    </w:p>
    <w:p w14:paraId="7D42FF0C" w14:textId="77777777" w:rsidR="00975660" w:rsidRPr="00C00F3A" w:rsidRDefault="00975660">
      <w:pPr>
        <w:spacing w:after="80" w:line="360" w:lineRule="auto"/>
        <w:jc w:val="both"/>
        <w:rPr>
          <w:lang w:val="en-GB"/>
        </w:rPr>
      </w:pPr>
      <w:r w:rsidRPr="00C00F3A">
        <w:rPr>
          <w:lang w:val="en-GB"/>
        </w:rPr>
        <w:t xml:space="preserve">Pike, R., Neale, B. and Linsley, P. (2022) Corporate Finance and Investment. 10th </w:t>
      </w:r>
      <w:proofErr w:type="spellStart"/>
      <w:r w:rsidRPr="00C00F3A">
        <w:rPr>
          <w:lang w:val="en-GB"/>
        </w:rPr>
        <w:t>edn</w:t>
      </w:r>
      <w:proofErr w:type="spellEnd"/>
      <w:r w:rsidRPr="00C00F3A">
        <w:rPr>
          <w:lang w:val="en-GB"/>
        </w:rPr>
        <w:t xml:space="preserve">. Harlow: Pearson. </w:t>
      </w:r>
      <w:hyperlink r:id="rId25" w:history="1">
        <w:r w:rsidRPr="00C00F3A">
          <w:rPr>
            <w:rStyle w:val="Hyperlink"/>
            <w:color w:val="auto"/>
            <w:lang w:val="en-GB"/>
          </w:rPr>
          <w:t>https://books.google.com/books?hl=en&amp;lr=&amp;id=8gDLoB9-CpQC&amp;oi=fnd&amp;pg=PR13&amp;dq=Pike,+R.,+Neale,+B.+and+Linsley,+P.+(2022)+Corporate+Finance+and+Investment.+10th+edn.+Harlow:+Pearson.&amp;ots=sGIxArPspT&amp;sig=62Idk_QKfDUJ5g9rlppmxPQt_AI</w:t>
        </w:r>
      </w:hyperlink>
      <w:r w:rsidRPr="00C00F3A">
        <w:rPr>
          <w:lang w:val="en-GB"/>
        </w:rPr>
        <w:t xml:space="preserve"> </w:t>
      </w:r>
    </w:p>
    <w:p w14:paraId="28E33B45" w14:textId="77777777" w:rsidR="00975660" w:rsidRPr="00C00F3A" w:rsidRDefault="00975660" w:rsidP="00975660">
      <w:pPr>
        <w:spacing w:after="160" w:line="259" w:lineRule="auto"/>
        <w:rPr>
          <w:lang w:val="en-GB"/>
        </w:rPr>
      </w:pPr>
      <w:r w:rsidRPr="00C00F3A">
        <w:rPr>
          <w:lang w:val="en-GB"/>
        </w:rPr>
        <w:lastRenderedPageBreak/>
        <w:t xml:space="preserve">PRI (2024) </w:t>
      </w:r>
      <w:r w:rsidRPr="00C00F3A">
        <w:rPr>
          <w:i/>
          <w:iCs/>
          <w:lang w:val="en-GB"/>
        </w:rPr>
        <w:t>Principles for Responsible Investment – Annual Report 2024</w:t>
      </w:r>
      <w:r w:rsidRPr="00C00F3A">
        <w:rPr>
          <w:lang w:val="en-GB"/>
        </w:rPr>
        <w:t xml:space="preserve">. London: PRI Association. Available at: </w:t>
      </w:r>
      <w:hyperlink r:id="rId26" w:tgtFrame="_blank" w:history="1">
        <w:r w:rsidRPr="00C00F3A">
          <w:rPr>
            <w:rStyle w:val="Hyperlink"/>
            <w:color w:val="auto"/>
            <w:lang w:val="en-GB"/>
          </w:rPr>
          <w:t>https://www.unpri.org</w:t>
        </w:r>
      </w:hyperlink>
      <w:r w:rsidRPr="00C00F3A">
        <w:rPr>
          <w:lang w:val="en-GB"/>
        </w:rPr>
        <w:t xml:space="preserve"> (Accessed: 11 August 2026).</w:t>
      </w:r>
    </w:p>
    <w:p w14:paraId="3065823C" w14:textId="77777777" w:rsidR="00975660" w:rsidRPr="00C00F3A" w:rsidRDefault="00975660">
      <w:pPr>
        <w:spacing w:after="80" w:line="360" w:lineRule="auto"/>
        <w:jc w:val="both"/>
        <w:rPr>
          <w:lang w:val="en-GB"/>
        </w:rPr>
      </w:pPr>
      <w:r w:rsidRPr="00C00F3A">
        <w:rPr>
          <w:lang w:val="en-GB"/>
        </w:rPr>
        <w:t xml:space="preserve">Ross, S.A., Westerfield, R.W. and Jordan, B.D. (2022) Fundamentals of Corporate Finance. 13th </w:t>
      </w:r>
      <w:proofErr w:type="spellStart"/>
      <w:r w:rsidRPr="00C00F3A">
        <w:rPr>
          <w:lang w:val="en-GB"/>
        </w:rPr>
        <w:t>edn</w:t>
      </w:r>
      <w:proofErr w:type="spellEnd"/>
      <w:r w:rsidRPr="00C00F3A">
        <w:rPr>
          <w:lang w:val="en-GB"/>
        </w:rPr>
        <w:t>. New York: McGraw-Hill.</w:t>
      </w:r>
    </w:p>
    <w:p w14:paraId="41420C2B" w14:textId="77777777" w:rsidR="00975660" w:rsidRPr="00C00F3A" w:rsidRDefault="00975660">
      <w:pPr>
        <w:spacing w:after="80" w:line="360" w:lineRule="auto"/>
        <w:jc w:val="both"/>
        <w:rPr>
          <w:lang w:val="en-GB"/>
        </w:rPr>
      </w:pPr>
      <w:r w:rsidRPr="00C00F3A">
        <w:rPr>
          <w:lang w:val="en-GB"/>
        </w:rPr>
        <w:t xml:space="preserve">Travis Perkins plc (2024) Annual Report and Accounts 2023. Available at: </w:t>
      </w:r>
      <w:hyperlink r:id="rId27" w:history="1">
        <w:r w:rsidRPr="00C00F3A">
          <w:rPr>
            <w:rStyle w:val="Hyperlink"/>
            <w:color w:val="auto"/>
            <w:lang w:val="en-GB"/>
          </w:rPr>
          <w:t>https://www.travisperkinsplc.co.uk/media/5hdbbhx0/travis-perkins-plc-2024-annual-report-b.pdf</w:t>
        </w:r>
      </w:hyperlink>
      <w:r w:rsidRPr="00C00F3A">
        <w:rPr>
          <w:lang w:val="en-GB"/>
        </w:rPr>
        <w:t xml:space="preserve"> (Accessed: 10 August 2026).</w:t>
      </w:r>
    </w:p>
    <w:p w14:paraId="3F428AD6" w14:textId="77777777" w:rsidR="00975660" w:rsidRPr="00C00F3A" w:rsidRDefault="00975660">
      <w:pPr>
        <w:spacing w:after="80" w:line="360" w:lineRule="auto"/>
        <w:jc w:val="both"/>
        <w:rPr>
          <w:lang w:val="en-GB"/>
        </w:rPr>
      </w:pPr>
      <w:proofErr w:type="spellStart"/>
      <w:r w:rsidRPr="00C00F3A">
        <w:rPr>
          <w:lang w:val="en-GB"/>
        </w:rPr>
        <w:t>Vernimmen</w:t>
      </w:r>
      <w:proofErr w:type="spellEnd"/>
      <w:r w:rsidRPr="00C00F3A">
        <w:rPr>
          <w:lang w:val="en-GB"/>
        </w:rPr>
        <w:t xml:space="preserve">, P. et al. (2022) Corporate Finance: Theory and Practice. 6th </w:t>
      </w:r>
      <w:proofErr w:type="spellStart"/>
      <w:r w:rsidRPr="00C00F3A">
        <w:rPr>
          <w:lang w:val="en-GB"/>
        </w:rPr>
        <w:t>edn</w:t>
      </w:r>
      <w:proofErr w:type="spellEnd"/>
      <w:r w:rsidRPr="00C00F3A">
        <w:rPr>
          <w:lang w:val="en-GB"/>
        </w:rPr>
        <w:t>. Hoboken: Wiley.</w:t>
      </w:r>
    </w:p>
    <w:p w14:paraId="76D50CFB" w14:textId="77777777" w:rsidR="00975660" w:rsidRPr="00C00F3A" w:rsidRDefault="00975660">
      <w:pPr>
        <w:spacing w:after="80" w:line="360" w:lineRule="auto"/>
        <w:jc w:val="both"/>
        <w:rPr>
          <w:lang w:val="en-GB"/>
        </w:rPr>
      </w:pPr>
      <w:r w:rsidRPr="00C00F3A">
        <w:rPr>
          <w:lang w:val="en-GB"/>
        </w:rPr>
        <w:t xml:space="preserve">Watson, D. and Head, A. (2023) Corporate Finance: Principles and Practice. 9th </w:t>
      </w:r>
      <w:proofErr w:type="spellStart"/>
      <w:r w:rsidRPr="00C00F3A">
        <w:rPr>
          <w:lang w:val="en-GB"/>
        </w:rPr>
        <w:t>edn</w:t>
      </w:r>
      <w:proofErr w:type="spellEnd"/>
      <w:r w:rsidRPr="00C00F3A">
        <w:rPr>
          <w:lang w:val="en-GB"/>
        </w:rPr>
        <w:t>. Harlow: Pearson.</w:t>
      </w:r>
    </w:p>
    <w:p w14:paraId="071AE8E4" w14:textId="77777777" w:rsidR="00975660" w:rsidRPr="00C00F3A" w:rsidRDefault="00975660">
      <w:pPr>
        <w:spacing w:after="80" w:line="360" w:lineRule="auto"/>
        <w:jc w:val="both"/>
        <w:rPr>
          <w:lang w:val="en-GB"/>
        </w:rPr>
      </w:pPr>
      <w:r w:rsidRPr="00C00F3A">
        <w:rPr>
          <w:lang w:val="en-GB"/>
        </w:rPr>
        <w:t>Wolseley Group Holdings Limited (2021) Annual Report and Financial Statements for the period ended 31 July 2021. Companies House.</w:t>
      </w:r>
    </w:p>
    <w:p w14:paraId="2E6525A2" w14:textId="77777777" w:rsidR="00975660" w:rsidRPr="00C00F3A" w:rsidRDefault="00975660">
      <w:pPr>
        <w:spacing w:after="80" w:line="360" w:lineRule="auto"/>
        <w:jc w:val="both"/>
        <w:rPr>
          <w:lang w:val="en-GB"/>
        </w:rPr>
      </w:pPr>
      <w:r w:rsidRPr="00C00F3A">
        <w:rPr>
          <w:lang w:val="en-GB"/>
        </w:rPr>
        <w:t>Wolseley Group Holdings Limited (2022) Annual Report and Financial Statements for the year ended 31 July 2022. Companies House.</w:t>
      </w:r>
    </w:p>
    <w:p w14:paraId="7961712B" w14:textId="77777777" w:rsidR="00975660" w:rsidRPr="00C00F3A" w:rsidRDefault="00975660">
      <w:pPr>
        <w:spacing w:after="80" w:line="360" w:lineRule="auto"/>
        <w:jc w:val="both"/>
        <w:rPr>
          <w:lang w:val="en-GB"/>
        </w:rPr>
      </w:pPr>
      <w:r w:rsidRPr="00C00F3A">
        <w:rPr>
          <w:lang w:val="en-GB"/>
        </w:rPr>
        <w:t>Wolseley Group Holdings Limited (2023) Annual Report and Financial Statements for the year ended 31 July 2023. Companies House.</w:t>
      </w:r>
    </w:p>
    <w:p w14:paraId="2A3F7D1A" w14:textId="77777777" w:rsidR="00975660" w:rsidRPr="00C00F3A" w:rsidRDefault="00975660">
      <w:pPr>
        <w:spacing w:after="80" w:line="360" w:lineRule="auto"/>
        <w:jc w:val="both"/>
        <w:rPr>
          <w:lang w:val="en-GB"/>
        </w:rPr>
      </w:pPr>
      <w:r w:rsidRPr="00C00F3A">
        <w:rPr>
          <w:lang w:val="en-GB"/>
        </w:rPr>
        <w:t>Wolseley Group Holdings Limited (2024) Annual Report and Financial Statements for the year ended 31 July 2024. Companies House.</w:t>
      </w:r>
    </w:p>
    <w:p w14:paraId="60AF194C" w14:textId="77777777" w:rsidR="00975660" w:rsidRPr="00C00F3A" w:rsidRDefault="00975660">
      <w:pPr>
        <w:spacing w:after="80" w:line="360" w:lineRule="auto"/>
        <w:jc w:val="both"/>
        <w:rPr>
          <w:lang w:val="en-GB"/>
        </w:rPr>
      </w:pPr>
      <w:r w:rsidRPr="00C00F3A">
        <w:rPr>
          <w:lang w:val="en-GB"/>
        </w:rPr>
        <w:t>Wolseley Group Holdings Limited (2025) Annual Report and Financial Statements for the year ended 31 July 2025. Companies House.</w:t>
      </w:r>
    </w:p>
    <w:p w14:paraId="386A640F" w14:textId="77777777" w:rsidR="00975660" w:rsidRPr="00C00F3A" w:rsidRDefault="00975660" w:rsidP="00975660">
      <w:pPr>
        <w:spacing w:after="160" w:line="259" w:lineRule="auto"/>
        <w:rPr>
          <w:lang w:val="en-GB"/>
        </w:rPr>
      </w:pPr>
      <w:r w:rsidRPr="00C00F3A">
        <w:rPr>
          <w:lang w:val="en-GB"/>
        </w:rPr>
        <w:t xml:space="preserve">Wolseley Group Holdings Limited (2025) </w:t>
      </w:r>
      <w:r w:rsidRPr="00C00F3A">
        <w:rPr>
          <w:i/>
          <w:iCs/>
          <w:lang w:val="en-GB"/>
        </w:rPr>
        <w:t>Annual Report and Financial Statements for the year ended 31 July 2025</w:t>
      </w:r>
      <w:r w:rsidRPr="00C00F3A">
        <w:rPr>
          <w:lang w:val="en-GB"/>
        </w:rPr>
        <w:t>. Companies House.</w:t>
      </w:r>
    </w:p>
    <w:p w14:paraId="62E3995D" w14:textId="77777777" w:rsidR="00975660" w:rsidRPr="00C00F3A" w:rsidRDefault="00975660" w:rsidP="00975660">
      <w:pPr>
        <w:rPr>
          <w:lang w:val="en-GB"/>
        </w:rPr>
      </w:pPr>
    </w:p>
    <w:p w14:paraId="1C94C8B1" w14:textId="77777777" w:rsidR="00975660" w:rsidRPr="00C00F3A" w:rsidRDefault="00975660">
      <w:pPr>
        <w:spacing w:after="80" w:line="360" w:lineRule="auto"/>
        <w:jc w:val="both"/>
        <w:rPr>
          <w:lang w:val="en-GB"/>
        </w:rPr>
      </w:pPr>
    </w:p>
    <w:p w14:paraId="625A55D5" w14:textId="77777777" w:rsidR="00975660" w:rsidRPr="00C00F3A" w:rsidRDefault="00975660">
      <w:pPr>
        <w:rPr>
          <w:b/>
          <w:bCs/>
          <w:sz w:val="32"/>
          <w:szCs w:val="32"/>
          <w:lang w:val="en-GB"/>
        </w:rPr>
      </w:pPr>
      <w:bookmarkStart w:id="32" w:name="_Toc237515770"/>
      <w:r w:rsidRPr="00C00F3A">
        <w:rPr>
          <w:lang w:val="en-GB"/>
        </w:rPr>
        <w:br w:type="page"/>
      </w:r>
    </w:p>
    <w:p w14:paraId="1A95B5C1" w14:textId="7980EEE9" w:rsidR="00140083" w:rsidRPr="00C00F3A" w:rsidRDefault="00176BB0">
      <w:pPr>
        <w:pStyle w:val="Heading1"/>
        <w:rPr>
          <w:color w:val="auto"/>
          <w:lang w:val="en-GB"/>
        </w:rPr>
      </w:pPr>
      <w:r w:rsidRPr="00C00F3A">
        <w:rPr>
          <w:color w:val="auto"/>
          <w:lang w:val="en-GB"/>
        </w:rPr>
        <w:lastRenderedPageBreak/>
        <w:t>Appendices</w:t>
      </w:r>
      <w:bookmarkEnd w:id="32"/>
    </w:p>
    <w:p w14:paraId="7C6A7651" w14:textId="77777777" w:rsidR="00140083" w:rsidRPr="00C00F3A" w:rsidRDefault="00176BB0">
      <w:pPr>
        <w:pStyle w:val="Heading2"/>
        <w:rPr>
          <w:color w:val="auto"/>
          <w:lang w:val="en-GB"/>
        </w:rPr>
      </w:pPr>
      <w:bookmarkStart w:id="33" w:name="_Toc237515771"/>
      <w:r w:rsidRPr="00C00F3A">
        <w:rPr>
          <w:color w:val="auto"/>
          <w:lang w:val="en-GB"/>
        </w:rPr>
        <w:t>Appendix A – Detailed Ratio Formulae</w:t>
      </w:r>
      <w:bookmarkEnd w:id="33"/>
    </w:p>
    <w:p w14:paraId="6C9256EF" w14:textId="77777777" w:rsidR="00D6246A" w:rsidRPr="00C00F3A" w:rsidRDefault="00D6246A" w:rsidP="00D6246A">
      <w:pPr>
        <w:spacing w:after="160" w:line="360" w:lineRule="auto"/>
        <w:jc w:val="center"/>
        <w:rPr>
          <w:b/>
          <w:bCs/>
          <w:lang w:val="en-GB"/>
        </w:rPr>
      </w:pPr>
      <w:r w:rsidRPr="00C00F3A">
        <w:rPr>
          <w:b/>
          <w:bCs/>
          <w:lang w:val="en-GB"/>
        </w:rPr>
        <w:t>Profitability Ratios</w:t>
      </w:r>
    </w:p>
    <w:p w14:paraId="451E1180" w14:textId="77777777" w:rsidR="00D6246A" w:rsidRPr="00C00F3A" w:rsidRDefault="00D6246A" w:rsidP="00D6246A">
      <w:pPr>
        <w:spacing w:after="160" w:line="360" w:lineRule="auto"/>
        <w:jc w:val="both"/>
        <w:rPr>
          <w:lang w:val="en-GB"/>
        </w:rPr>
      </w:pPr>
      <w:r w:rsidRPr="00C00F3A">
        <w:rPr>
          <w:b/>
          <w:bCs/>
          <w:lang w:val="en-GB"/>
        </w:rPr>
        <w:t>Gross Margin</w:t>
      </w:r>
    </w:p>
    <w:p w14:paraId="2D922CF3" w14:textId="56BD9975" w:rsidR="00D6246A" w:rsidRPr="00C00F3A" w:rsidRDefault="00D6246A" w:rsidP="00D6246A">
      <w:pPr>
        <w:spacing w:after="160" w:line="360" w:lineRule="auto"/>
        <w:jc w:val="both"/>
        <w:rPr>
          <w:lang w:val="en-GB"/>
        </w:rPr>
      </w:pPr>
      <m:oMathPara>
        <m:oMath>
          <m:r>
            <m:rPr>
              <m:nor/>
            </m:rPr>
            <w:rPr>
              <w:lang w:val="en-GB"/>
            </w:rPr>
            <m:t>Gross Margin</m:t>
          </m:r>
          <m:r>
            <w:rPr>
              <w:rFonts w:ascii="Cambria Math" w:hAnsi="Cambria Math"/>
              <w:lang w:val="en-GB"/>
            </w:rPr>
            <m:t>=</m:t>
          </m:r>
          <m:f>
            <m:fPr>
              <m:ctrlPr>
                <w:rPr>
                  <w:rFonts w:ascii="Cambria Math" w:hAnsi="Cambria Math"/>
                  <w:lang w:val="en-GB"/>
                </w:rPr>
              </m:ctrlPr>
            </m:fPr>
            <m:num>
              <m:r>
                <m:rPr>
                  <m:nor/>
                </m:rPr>
                <w:rPr>
                  <w:lang w:val="en-GB"/>
                </w:rPr>
                <m:t>Gross Profit</m:t>
              </m:r>
            </m:num>
            <m:den>
              <m:r>
                <m:rPr>
                  <m:nor/>
                </m:rPr>
                <w:rPr>
                  <w:lang w:val="en-GB"/>
                </w:rPr>
                <m:t>Revenue</m:t>
              </m:r>
            </m:den>
          </m:f>
        </m:oMath>
      </m:oMathPara>
    </w:p>
    <w:p w14:paraId="5BD32AC3" w14:textId="77777777" w:rsidR="00D6246A" w:rsidRPr="00C00F3A" w:rsidRDefault="00D6246A" w:rsidP="00D6246A">
      <w:pPr>
        <w:spacing w:after="160" w:line="360" w:lineRule="auto"/>
        <w:jc w:val="both"/>
        <w:rPr>
          <w:lang w:val="en-GB"/>
        </w:rPr>
      </w:pPr>
      <w:r w:rsidRPr="00C00F3A">
        <w:rPr>
          <w:b/>
          <w:bCs/>
          <w:lang w:val="en-GB"/>
        </w:rPr>
        <w:t>Operating Margin</w:t>
      </w:r>
    </w:p>
    <w:p w14:paraId="4F1C556D" w14:textId="2EF3B6EE" w:rsidR="00D6246A" w:rsidRPr="00C00F3A" w:rsidRDefault="00D6246A" w:rsidP="00D6246A">
      <w:pPr>
        <w:spacing w:after="160" w:line="360" w:lineRule="auto"/>
        <w:jc w:val="both"/>
        <w:rPr>
          <w:lang w:val="en-GB"/>
        </w:rPr>
      </w:pPr>
      <m:oMathPara>
        <m:oMath>
          <m:r>
            <m:rPr>
              <m:nor/>
            </m:rPr>
            <w:rPr>
              <w:lang w:val="en-GB"/>
            </w:rPr>
            <m:t>Operating Margin</m:t>
          </m:r>
          <m:r>
            <w:rPr>
              <w:rFonts w:ascii="Cambria Math" w:hAnsi="Cambria Math"/>
              <w:lang w:val="en-GB"/>
            </w:rPr>
            <m:t>=</m:t>
          </m:r>
          <m:f>
            <m:fPr>
              <m:ctrlPr>
                <w:rPr>
                  <w:rFonts w:ascii="Cambria Math" w:hAnsi="Cambria Math"/>
                  <w:lang w:val="en-GB"/>
                </w:rPr>
              </m:ctrlPr>
            </m:fPr>
            <m:num>
              <m:r>
                <m:rPr>
                  <m:nor/>
                </m:rPr>
                <w:rPr>
                  <w:lang w:val="en-GB"/>
                </w:rPr>
                <m:t>Operating Profit</m:t>
              </m:r>
            </m:num>
            <m:den>
              <m:r>
                <m:rPr>
                  <m:nor/>
                </m:rPr>
                <w:rPr>
                  <w:lang w:val="en-GB"/>
                </w:rPr>
                <m:t>Revenue</m:t>
              </m:r>
            </m:den>
          </m:f>
        </m:oMath>
      </m:oMathPara>
    </w:p>
    <w:p w14:paraId="0D062798" w14:textId="77777777" w:rsidR="00D6246A" w:rsidRPr="00C00F3A" w:rsidRDefault="00D6246A" w:rsidP="00D6246A">
      <w:pPr>
        <w:spacing w:after="160" w:line="360" w:lineRule="auto"/>
        <w:jc w:val="both"/>
        <w:rPr>
          <w:lang w:val="en-GB"/>
        </w:rPr>
      </w:pPr>
      <w:r w:rsidRPr="00C00F3A">
        <w:rPr>
          <w:b/>
          <w:bCs/>
          <w:lang w:val="en-GB"/>
        </w:rPr>
        <w:t>Net Margin</w:t>
      </w:r>
    </w:p>
    <w:p w14:paraId="1847F507" w14:textId="628BF99C" w:rsidR="00D6246A" w:rsidRPr="00C00F3A" w:rsidRDefault="00D6246A" w:rsidP="00D6246A">
      <w:pPr>
        <w:spacing w:after="160" w:line="360" w:lineRule="auto"/>
        <w:jc w:val="both"/>
        <w:rPr>
          <w:lang w:val="en-GB"/>
        </w:rPr>
      </w:pPr>
      <m:oMathPara>
        <m:oMath>
          <m:r>
            <m:rPr>
              <m:nor/>
            </m:rPr>
            <w:rPr>
              <w:lang w:val="en-GB"/>
            </w:rPr>
            <m:t>Net Margin</m:t>
          </m:r>
          <m:r>
            <w:rPr>
              <w:rFonts w:ascii="Cambria Math" w:hAnsi="Cambria Math"/>
              <w:lang w:val="en-GB"/>
            </w:rPr>
            <m:t>=</m:t>
          </m:r>
          <m:f>
            <m:fPr>
              <m:ctrlPr>
                <w:rPr>
                  <w:rFonts w:ascii="Cambria Math" w:hAnsi="Cambria Math"/>
                  <w:lang w:val="en-GB"/>
                </w:rPr>
              </m:ctrlPr>
            </m:fPr>
            <m:num>
              <m:r>
                <m:rPr>
                  <m:nor/>
                </m:rPr>
                <w:rPr>
                  <w:lang w:val="en-GB"/>
                </w:rPr>
                <m:t>Profit for the Year</m:t>
              </m:r>
            </m:num>
            <m:den>
              <m:r>
                <m:rPr>
                  <m:nor/>
                </m:rPr>
                <w:rPr>
                  <w:lang w:val="en-GB"/>
                </w:rPr>
                <m:t>Revenue</m:t>
              </m:r>
            </m:den>
          </m:f>
        </m:oMath>
      </m:oMathPara>
    </w:p>
    <w:p w14:paraId="1B8FDC72" w14:textId="77777777" w:rsidR="00D6246A" w:rsidRPr="00C00F3A" w:rsidRDefault="00D6246A" w:rsidP="00D6246A">
      <w:pPr>
        <w:spacing w:after="160" w:line="360" w:lineRule="auto"/>
        <w:jc w:val="both"/>
        <w:rPr>
          <w:b/>
          <w:bCs/>
          <w:lang w:val="en-GB"/>
        </w:rPr>
      </w:pPr>
      <w:r w:rsidRPr="00C00F3A">
        <w:rPr>
          <w:b/>
          <w:bCs/>
          <w:lang w:val="en-GB"/>
        </w:rPr>
        <w:t>Liquidity Ratios</w:t>
      </w:r>
    </w:p>
    <w:p w14:paraId="7908BF27" w14:textId="77777777" w:rsidR="00D6246A" w:rsidRPr="00C00F3A" w:rsidRDefault="00D6246A" w:rsidP="00D6246A">
      <w:pPr>
        <w:spacing w:after="160" w:line="360" w:lineRule="auto"/>
        <w:jc w:val="both"/>
        <w:rPr>
          <w:lang w:val="en-GB"/>
        </w:rPr>
      </w:pPr>
      <w:r w:rsidRPr="00C00F3A">
        <w:rPr>
          <w:b/>
          <w:bCs/>
          <w:lang w:val="en-GB"/>
        </w:rPr>
        <w:t>Current Ratio</w:t>
      </w:r>
    </w:p>
    <w:p w14:paraId="5F9A2EC8" w14:textId="6EDC55B2" w:rsidR="00D6246A" w:rsidRPr="00C00F3A" w:rsidRDefault="00D6246A" w:rsidP="00D6246A">
      <w:pPr>
        <w:spacing w:after="160" w:line="360" w:lineRule="auto"/>
        <w:jc w:val="both"/>
        <w:rPr>
          <w:lang w:val="en-GB"/>
        </w:rPr>
      </w:pPr>
      <m:oMathPara>
        <m:oMath>
          <m:r>
            <m:rPr>
              <m:nor/>
            </m:rPr>
            <w:rPr>
              <w:lang w:val="en-GB"/>
            </w:rPr>
            <m:t>Current Ratio</m:t>
          </m:r>
          <m:r>
            <w:rPr>
              <w:rFonts w:ascii="Cambria Math" w:hAnsi="Cambria Math"/>
              <w:lang w:val="en-GB"/>
            </w:rPr>
            <m:t>=</m:t>
          </m:r>
          <m:f>
            <m:fPr>
              <m:ctrlPr>
                <w:rPr>
                  <w:rFonts w:ascii="Cambria Math" w:hAnsi="Cambria Math"/>
                  <w:lang w:val="en-GB"/>
                </w:rPr>
              </m:ctrlPr>
            </m:fPr>
            <m:num>
              <m:r>
                <m:rPr>
                  <m:nor/>
                </m:rPr>
                <w:rPr>
                  <w:lang w:val="en-GB"/>
                </w:rPr>
                <m:t>Current Assets</m:t>
              </m:r>
            </m:num>
            <m:den>
              <m:r>
                <m:rPr>
                  <m:nor/>
                </m:rPr>
                <w:rPr>
                  <w:lang w:val="en-GB"/>
                </w:rPr>
                <m:t>Current Liabilities</m:t>
              </m:r>
            </m:den>
          </m:f>
        </m:oMath>
      </m:oMathPara>
    </w:p>
    <w:p w14:paraId="390192FC" w14:textId="77777777" w:rsidR="00D6246A" w:rsidRPr="00C00F3A" w:rsidRDefault="00D6246A" w:rsidP="00D6246A">
      <w:pPr>
        <w:spacing w:after="160" w:line="360" w:lineRule="auto"/>
        <w:jc w:val="both"/>
        <w:rPr>
          <w:lang w:val="en-GB"/>
        </w:rPr>
      </w:pPr>
      <w:r w:rsidRPr="00C00F3A">
        <w:rPr>
          <w:b/>
          <w:bCs/>
          <w:lang w:val="en-GB"/>
        </w:rPr>
        <w:t>Quick Ratio</w:t>
      </w:r>
    </w:p>
    <w:p w14:paraId="0C70AFB5" w14:textId="15D08D6B" w:rsidR="00D6246A" w:rsidRPr="00C00F3A" w:rsidRDefault="00D6246A" w:rsidP="00D6246A">
      <w:pPr>
        <w:spacing w:after="160" w:line="360" w:lineRule="auto"/>
        <w:jc w:val="both"/>
        <w:rPr>
          <w:lang w:val="en-GB"/>
        </w:rPr>
      </w:pPr>
      <m:oMathPara>
        <m:oMath>
          <m:r>
            <m:rPr>
              <m:nor/>
            </m:rPr>
            <w:rPr>
              <w:lang w:val="en-GB"/>
            </w:rPr>
            <m:t>Quick Ratio</m:t>
          </m:r>
          <m:r>
            <w:rPr>
              <w:rFonts w:ascii="Cambria Math" w:hAnsi="Cambria Math"/>
              <w:lang w:val="en-GB"/>
            </w:rPr>
            <m:t>=</m:t>
          </m:r>
          <m:f>
            <m:fPr>
              <m:ctrlPr>
                <w:rPr>
                  <w:rFonts w:ascii="Cambria Math" w:hAnsi="Cambria Math"/>
                  <w:lang w:val="en-GB"/>
                </w:rPr>
              </m:ctrlPr>
            </m:fPr>
            <m:num>
              <m:r>
                <m:rPr>
                  <m:nor/>
                </m:rPr>
                <w:rPr>
                  <w:lang w:val="en-GB"/>
                </w:rPr>
                <m:t>Current Assets</m:t>
              </m:r>
              <m:r>
                <w:rPr>
                  <w:rFonts w:ascii="Cambria Math" w:hAnsi="Cambria Math"/>
                  <w:lang w:val="en-GB"/>
                </w:rPr>
                <m:t>-</m:t>
              </m:r>
              <m:r>
                <m:rPr>
                  <m:nor/>
                </m:rPr>
                <w:rPr>
                  <w:lang w:val="en-GB"/>
                </w:rPr>
                <m:t>Inventories</m:t>
              </m:r>
            </m:num>
            <m:den>
              <m:r>
                <m:rPr>
                  <m:nor/>
                </m:rPr>
                <w:rPr>
                  <w:lang w:val="en-GB"/>
                </w:rPr>
                <m:t>Current Liabilities</m:t>
              </m:r>
            </m:den>
          </m:f>
        </m:oMath>
      </m:oMathPara>
    </w:p>
    <w:p w14:paraId="5A116448" w14:textId="77777777" w:rsidR="00D6246A" w:rsidRPr="00C00F3A" w:rsidRDefault="00D6246A" w:rsidP="00D6246A">
      <w:pPr>
        <w:spacing w:after="160" w:line="360" w:lineRule="auto"/>
        <w:jc w:val="both"/>
        <w:rPr>
          <w:lang w:val="en-GB"/>
        </w:rPr>
      </w:pPr>
      <w:r w:rsidRPr="00C00F3A">
        <w:rPr>
          <w:b/>
          <w:bCs/>
          <w:lang w:val="en-GB"/>
        </w:rPr>
        <w:t>Cash Ratio</w:t>
      </w:r>
    </w:p>
    <w:p w14:paraId="1FD59F0B" w14:textId="29BA65B3" w:rsidR="00D6246A" w:rsidRPr="00C00F3A" w:rsidRDefault="00D6246A" w:rsidP="00D6246A">
      <w:pPr>
        <w:spacing w:after="160" w:line="360" w:lineRule="auto"/>
        <w:jc w:val="both"/>
        <w:rPr>
          <w:lang w:val="en-GB"/>
        </w:rPr>
      </w:pPr>
      <m:oMathPara>
        <m:oMath>
          <m:r>
            <m:rPr>
              <m:nor/>
            </m:rPr>
            <w:rPr>
              <w:lang w:val="en-GB"/>
            </w:rPr>
            <m:t>Cash Ratio</m:t>
          </m:r>
          <m:r>
            <w:rPr>
              <w:rFonts w:ascii="Cambria Math" w:hAnsi="Cambria Math"/>
              <w:lang w:val="en-GB"/>
            </w:rPr>
            <m:t>=</m:t>
          </m:r>
          <m:f>
            <m:fPr>
              <m:ctrlPr>
                <w:rPr>
                  <w:rFonts w:ascii="Cambria Math" w:hAnsi="Cambria Math"/>
                  <w:lang w:val="en-GB"/>
                </w:rPr>
              </m:ctrlPr>
            </m:fPr>
            <m:num>
              <m:r>
                <m:rPr>
                  <m:nor/>
                </m:rPr>
                <w:rPr>
                  <w:lang w:val="en-GB"/>
                </w:rPr>
                <m:t>Cash and Cash Equivalents</m:t>
              </m:r>
            </m:num>
            <m:den>
              <m:r>
                <m:rPr>
                  <m:nor/>
                </m:rPr>
                <w:rPr>
                  <w:lang w:val="en-GB"/>
                </w:rPr>
                <m:t>Current Liabilities</m:t>
              </m:r>
            </m:den>
          </m:f>
        </m:oMath>
      </m:oMathPara>
    </w:p>
    <w:p w14:paraId="61432D7B" w14:textId="77777777" w:rsidR="00D6246A" w:rsidRPr="00C00F3A" w:rsidRDefault="00D6246A" w:rsidP="00D6246A">
      <w:pPr>
        <w:spacing w:after="160" w:line="360" w:lineRule="auto"/>
        <w:jc w:val="center"/>
        <w:rPr>
          <w:b/>
          <w:bCs/>
          <w:lang w:val="en-GB"/>
        </w:rPr>
      </w:pPr>
      <w:r w:rsidRPr="00C00F3A">
        <w:rPr>
          <w:b/>
          <w:bCs/>
          <w:lang w:val="en-GB"/>
        </w:rPr>
        <w:t>Efficiency Ratios</w:t>
      </w:r>
    </w:p>
    <w:p w14:paraId="6934A245" w14:textId="77777777" w:rsidR="00D6246A" w:rsidRPr="00C00F3A" w:rsidRDefault="00D6246A" w:rsidP="00D6246A">
      <w:pPr>
        <w:spacing w:after="160" w:line="360" w:lineRule="auto"/>
        <w:jc w:val="both"/>
        <w:rPr>
          <w:lang w:val="en-GB"/>
        </w:rPr>
      </w:pPr>
      <w:r w:rsidRPr="00C00F3A">
        <w:rPr>
          <w:b/>
          <w:bCs/>
          <w:lang w:val="en-GB"/>
        </w:rPr>
        <w:t>Asset Turnover</w:t>
      </w:r>
    </w:p>
    <w:p w14:paraId="2342220F" w14:textId="051AFFE3" w:rsidR="00D6246A" w:rsidRPr="00C00F3A" w:rsidRDefault="00D6246A" w:rsidP="00D6246A">
      <w:pPr>
        <w:spacing w:after="160" w:line="360" w:lineRule="auto"/>
        <w:jc w:val="both"/>
        <w:rPr>
          <w:lang w:val="en-GB"/>
        </w:rPr>
      </w:pPr>
      <m:oMathPara>
        <m:oMath>
          <m:r>
            <m:rPr>
              <m:nor/>
            </m:rPr>
            <w:rPr>
              <w:lang w:val="en-GB"/>
            </w:rPr>
            <m:t>Asset Turnover</m:t>
          </m:r>
          <m:r>
            <w:rPr>
              <w:rFonts w:ascii="Cambria Math" w:hAnsi="Cambria Math"/>
              <w:lang w:val="en-GB"/>
            </w:rPr>
            <m:t>=</m:t>
          </m:r>
          <m:f>
            <m:fPr>
              <m:ctrlPr>
                <w:rPr>
                  <w:rFonts w:ascii="Cambria Math" w:hAnsi="Cambria Math"/>
                  <w:lang w:val="en-GB"/>
                </w:rPr>
              </m:ctrlPr>
            </m:fPr>
            <m:num>
              <m:r>
                <m:rPr>
                  <m:nor/>
                </m:rPr>
                <w:rPr>
                  <w:lang w:val="en-GB"/>
                </w:rPr>
                <m:t>Revenue</m:t>
              </m:r>
            </m:num>
            <m:den>
              <m:r>
                <m:rPr>
                  <m:nor/>
                </m:rPr>
                <w:rPr>
                  <w:lang w:val="en-GB"/>
                </w:rPr>
                <m:t>Total Assets</m:t>
              </m:r>
            </m:den>
          </m:f>
        </m:oMath>
      </m:oMathPara>
    </w:p>
    <w:p w14:paraId="3B216FFE" w14:textId="77777777" w:rsidR="00D6246A" w:rsidRPr="00C00F3A" w:rsidRDefault="00D6246A" w:rsidP="00D6246A">
      <w:pPr>
        <w:spacing w:after="160" w:line="360" w:lineRule="auto"/>
        <w:jc w:val="both"/>
        <w:rPr>
          <w:lang w:val="en-GB"/>
        </w:rPr>
      </w:pPr>
      <w:r w:rsidRPr="00C00F3A">
        <w:rPr>
          <w:b/>
          <w:bCs/>
          <w:lang w:val="en-GB"/>
        </w:rPr>
        <w:t>Fixed Asset Turnover</w:t>
      </w:r>
    </w:p>
    <w:p w14:paraId="775180C8" w14:textId="0AF7972E" w:rsidR="00D6246A" w:rsidRPr="00C00F3A" w:rsidRDefault="00D6246A" w:rsidP="00D6246A">
      <w:pPr>
        <w:spacing w:after="160" w:line="360" w:lineRule="auto"/>
        <w:jc w:val="both"/>
        <w:rPr>
          <w:lang w:val="en-GB"/>
        </w:rPr>
      </w:pPr>
      <m:oMathPara>
        <m:oMath>
          <m:r>
            <m:rPr>
              <m:nor/>
            </m:rPr>
            <w:rPr>
              <w:lang w:val="en-GB"/>
            </w:rPr>
            <m:t>Fixed Asset Turnover</m:t>
          </m:r>
          <m:r>
            <w:rPr>
              <w:rFonts w:ascii="Cambria Math" w:hAnsi="Cambria Math"/>
              <w:lang w:val="en-GB"/>
            </w:rPr>
            <m:t>=</m:t>
          </m:r>
          <m:f>
            <m:fPr>
              <m:ctrlPr>
                <w:rPr>
                  <w:rFonts w:ascii="Cambria Math" w:hAnsi="Cambria Math"/>
                  <w:lang w:val="en-GB"/>
                </w:rPr>
              </m:ctrlPr>
            </m:fPr>
            <m:num>
              <m:r>
                <m:rPr>
                  <m:nor/>
                </m:rPr>
                <w:rPr>
                  <w:lang w:val="en-GB"/>
                </w:rPr>
                <m:t>Revenue</m:t>
              </m:r>
            </m:num>
            <m:den>
              <m:r>
                <m:rPr>
                  <m:nor/>
                </m:rPr>
                <w:rPr>
                  <w:lang w:val="en-GB"/>
                </w:rPr>
                <m:t>PPE</m:t>
              </m:r>
              <m:r>
                <w:rPr>
                  <w:rFonts w:ascii="Cambria Math" w:hAnsi="Cambria Math"/>
                  <w:lang w:val="en-GB"/>
                </w:rPr>
                <m:t>+</m:t>
              </m:r>
              <m:r>
                <m:rPr>
                  <m:nor/>
                </m:rPr>
                <w:rPr>
                  <w:lang w:val="en-GB"/>
                </w:rPr>
                <m:t>Right-of-use Assets</m:t>
              </m:r>
            </m:den>
          </m:f>
        </m:oMath>
      </m:oMathPara>
    </w:p>
    <w:p w14:paraId="0CC68321" w14:textId="77777777" w:rsidR="00D6246A" w:rsidRPr="00C00F3A" w:rsidRDefault="00D6246A" w:rsidP="00D6246A">
      <w:pPr>
        <w:spacing w:after="160" w:line="360" w:lineRule="auto"/>
        <w:jc w:val="center"/>
        <w:rPr>
          <w:b/>
          <w:bCs/>
          <w:lang w:val="en-GB"/>
        </w:rPr>
      </w:pPr>
      <w:r w:rsidRPr="00C00F3A">
        <w:rPr>
          <w:b/>
          <w:bCs/>
          <w:lang w:val="en-GB"/>
        </w:rPr>
        <w:lastRenderedPageBreak/>
        <w:t>Gearing &amp; Coverage Ratios</w:t>
      </w:r>
    </w:p>
    <w:p w14:paraId="36A12FE1" w14:textId="77777777" w:rsidR="00D6246A" w:rsidRPr="00C00F3A" w:rsidRDefault="00D6246A" w:rsidP="00D6246A">
      <w:pPr>
        <w:spacing w:after="160" w:line="360" w:lineRule="auto"/>
        <w:jc w:val="both"/>
        <w:rPr>
          <w:lang w:val="en-GB"/>
        </w:rPr>
      </w:pPr>
      <w:r w:rsidRPr="00C00F3A">
        <w:rPr>
          <w:b/>
          <w:bCs/>
          <w:lang w:val="en-GB"/>
        </w:rPr>
        <w:t>Debt / Equity</w:t>
      </w:r>
    </w:p>
    <w:p w14:paraId="60B688A1" w14:textId="14F7E50E" w:rsidR="00D6246A" w:rsidRPr="00C00F3A" w:rsidRDefault="00D6246A" w:rsidP="00D6246A">
      <w:pPr>
        <w:spacing w:after="160" w:line="360" w:lineRule="auto"/>
        <w:jc w:val="both"/>
        <w:rPr>
          <w:lang w:val="en-GB"/>
        </w:rPr>
      </w:pPr>
      <m:oMathPara>
        <m:oMath>
          <m:r>
            <m:rPr>
              <m:nor/>
            </m:rPr>
            <w:rPr>
              <w:lang w:val="en-GB"/>
            </w:rPr>
            <m:t>Debt/Equity</m:t>
          </m:r>
          <m:r>
            <w:rPr>
              <w:rFonts w:ascii="Cambria Math" w:hAnsi="Cambria Math"/>
              <w:lang w:val="en-GB"/>
            </w:rPr>
            <m:t>=</m:t>
          </m:r>
          <m:f>
            <m:fPr>
              <m:ctrlPr>
                <w:rPr>
                  <w:rFonts w:ascii="Cambria Math" w:hAnsi="Cambria Math"/>
                  <w:lang w:val="en-GB"/>
                </w:rPr>
              </m:ctrlPr>
            </m:fPr>
            <m:num>
              <m:r>
                <m:rPr>
                  <m:nor/>
                </m:rPr>
                <w:rPr>
                  <w:lang w:val="en-GB"/>
                </w:rPr>
                <m:t>Total Liabilities</m:t>
              </m:r>
            </m:num>
            <m:den>
              <m:r>
                <m:rPr>
                  <m:nor/>
                </m:rPr>
                <w:rPr>
                  <w:lang w:val="en-GB"/>
                </w:rPr>
                <m:t>Total Equity</m:t>
              </m:r>
            </m:den>
          </m:f>
        </m:oMath>
      </m:oMathPara>
    </w:p>
    <w:p w14:paraId="55A463AD" w14:textId="77777777" w:rsidR="00D6246A" w:rsidRPr="00C00F3A" w:rsidRDefault="00D6246A" w:rsidP="00D6246A">
      <w:pPr>
        <w:spacing w:after="160" w:line="360" w:lineRule="auto"/>
        <w:jc w:val="both"/>
        <w:rPr>
          <w:lang w:val="en-GB"/>
        </w:rPr>
      </w:pPr>
      <w:r w:rsidRPr="00C00F3A">
        <w:rPr>
          <w:b/>
          <w:bCs/>
          <w:lang w:val="en-GB"/>
        </w:rPr>
        <w:t>Interest Coverage</w:t>
      </w:r>
    </w:p>
    <w:p w14:paraId="321D36DC" w14:textId="2E051B5F" w:rsidR="00D6246A" w:rsidRPr="00C00F3A" w:rsidRDefault="00D6246A" w:rsidP="00D6246A">
      <w:pPr>
        <w:spacing w:after="160" w:line="360" w:lineRule="auto"/>
        <w:jc w:val="both"/>
        <w:rPr>
          <w:lang w:val="en-GB"/>
        </w:rPr>
      </w:pPr>
      <m:oMathPara>
        <m:oMath>
          <m:r>
            <m:rPr>
              <m:nor/>
            </m:rPr>
            <w:rPr>
              <w:lang w:val="en-GB"/>
            </w:rPr>
            <m:t>Interest Coverage</m:t>
          </m:r>
          <m:r>
            <w:rPr>
              <w:rFonts w:ascii="Cambria Math" w:hAnsi="Cambria Math"/>
              <w:lang w:val="en-GB"/>
            </w:rPr>
            <m:t>=</m:t>
          </m:r>
          <m:f>
            <m:fPr>
              <m:ctrlPr>
                <w:rPr>
                  <w:rFonts w:ascii="Cambria Math" w:hAnsi="Cambria Math"/>
                  <w:lang w:val="en-GB"/>
                </w:rPr>
              </m:ctrlPr>
            </m:fPr>
            <m:num>
              <m:r>
                <m:rPr>
                  <m:nor/>
                </m:rPr>
                <w:rPr>
                  <w:lang w:val="en-GB"/>
                </w:rPr>
                <m:t>Operating Profit</m:t>
              </m:r>
            </m:num>
            <m:den>
              <m:r>
                <m:rPr>
                  <m:nor/>
                </m:rPr>
                <w:rPr>
                  <w:lang w:val="en-GB"/>
                </w:rPr>
                <m:t>Finance Costs</m:t>
              </m:r>
            </m:den>
          </m:f>
        </m:oMath>
      </m:oMathPara>
    </w:p>
    <w:p w14:paraId="25CE6AE4" w14:textId="77777777" w:rsidR="00D6246A" w:rsidRPr="00C00F3A" w:rsidRDefault="00D6246A" w:rsidP="0076404B">
      <w:pPr>
        <w:spacing w:after="160" w:line="360" w:lineRule="auto"/>
        <w:jc w:val="center"/>
        <w:rPr>
          <w:b/>
          <w:bCs/>
          <w:lang w:val="en-GB"/>
        </w:rPr>
      </w:pPr>
      <w:r w:rsidRPr="00C00F3A">
        <w:rPr>
          <w:b/>
          <w:bCs/>
          <w:lang w:val="en-GB"/>
        </w:rPr>
        <w:t>Investment Ratios</w:t>
      </w:r>
    </w:p>
    <w:p w14:paraId="7AE785EA" w14:textId="77777777" w:rsidR="00D6246A" w:rsidRPr="00C00F3A" w:rsidRDefault="00D6246A" w:rsidP="00D6246A">
      <w:pPr>
        <w:spacing w:after="160" w:line="360" w:lineRule="auto"/>
        <w:jc w:val="both"/>
        <w:rPr>
          <w:lang w:val="en-GB"/>
        </w:rPr>
      </w:pPr>
      <w:r w:rsidRPr="00C00F3A">
        <w:rPr>
          <w:b/>
          <w:bCs/>
          <w:lang w:val="en-GB"/>
        </w:rPr>
        <w:t>Return on Equity (ROE)</w:t>
      </w:r>
    </w:p>
    <w:p w14:paraId="1F096117" w14:textId="020CE1CF" w:rsidR="00D6246A" w:rsidRPr="00C00F3A" w:rsidRDefault="00D6246A" w:rsidP="00D6246A">
      <w:pPr>
        <w:spacing w:after="160" w:line="360" w:lineRule="auto"/>
        <w:jc w:val="both"/>
        <w:rPr>
          <w:lang w:val="en-GB"/>
        </w:rPr>
      </w:pPr>
      <m:oMathPara>
        <m:oMath>
          <m:r>
            <m:rPr>
              <m:nor/>
            </m:rPr>
            <w:rPr>
              <w:lang w:val="en-GB"/>
            </w:rPr>
            <m:t>ROE</m:t>
          </m:r>
          <m:r>
            <w:rPr>
              <w:rFonts w:ascii="Cambria Math" w:hAnsi="Cambria Math"/>
              <w:lang w:val="en-GB"/>
            </w:rPr>
            <m:t>=</m:t>
          </m:r>
          <m:f>
            <m:fPr>
              <m:ctrlPr>
                <w:rPr>
                  <w:rFonts w:ascii="Cambria Math" w:hAnsi="Cambria Math"/>
                  <w:lang w:val="en-GB"/>
                </w:rPr>
              </m:ctrlPr>
            </m:fPr>
            <m:num>
              <m:r>
                <m:rPr>
                  <m:nor/>
                </m:rPr>
                <w:rPr>
                  <w:lang w:val="en-GB"/>
                </w:rPr>
                <m:t>Profit for the Year</m:t>
              </m:r>
            </m:num>
            <m:den>
              <m:r>
                <m:rPr>
                  <m:nor/>
                </m:rPr>
                <w:rPr>
                  <w:lang w:val="en-GB"/>
                </w:rPr>
                <m:t>Total Equity</m:t>
              </m:r>
            </m:den>
          </m:f>
        </m:oMath>
      </m:oMathPara>
    </w:p>
    <w:p w14:paraId="45DE653B" w14:textId="77777777" w:rsidR="00D6246A" w:rsidRPr="00C00F3A" w:rsidRDefault="00D6246A" w:rsidP="00D6246A">
      <w:pPr>
        <w:spacing w:after="160" w:line="360" w:lineRule="auto"/>
        <w:jc w:val="both"/>
        <w:rPr>
          <w:lang w:val="en-GB"/>
        </w:rPr>
      </w:pPr>
      <w:r w:rsidRPr="00C00F3A">
        <w:rPr>
          <w:b/>
          <w:bCs/>
          <w:lang w:val="en-GB"/>
        </w:rPr>
        <w:t>Return on Assets (ROA)</w:t>
      </w:r>
    </w:p>
    <w:p w14:paraId="0F1FA39E" w14:textId="676753F6" w:rsidR="00D6246A" w:rsidRPr="00C00F3A" w:rsidRDefault="00D6246A" w:rsidP="00D6246A">
      <w:pPr>
        <w:spacing w:after="160" w:line="360" w:lineRule="auto"/>
        <w:jc w:val="both"/>
        <w:rPr>
          <w:lang w:val="en-GB"/>
        </w:rPr>
      </w:pPr>
      <m:oMathPara>
        <m:oMath>
          <m:r>
            <m:rPr>
              <m:nor/>
            </m:rPr>
            <w:rPr>
              <w:lang w:val="en-GB"/>
            </w:rPr>
            <m:t>ROA</m:t>
          </m:r>
          <m:r>
            <w:rPr>
              <w:rFonts w:ascii="Cambria Math" w:hAnsi="Cambria Math"/>
              <w:lang w:val="en-GB"/>
            </w:rPr>
            <m:t>=</m:t>
          </m:r>
          <m:f>
            <m:fPr>
              <m:ctrlPr>
                <w:rPr>
                  <w:rFonts w:ascii="Cambria Math" w:hAnsi="Cambria Math"/>
                  <w:lang w:val="en-GB"/>
                </w:rPr>
              </m:ctrlPr>
            </m:fPr>
            <m:num>
              <m:r>
                <m:rPr>
                  <m:nor/>
                </m:rPr>
                <w:rPr>
                  <w:lang w:val="en-GB"/>
                </w:rPr>
                <m:t>Profit for the Year</m:t>
              </m:r>
            </m:num>
            <m:den>
              <m:r>
                <m:rPr>
                  <m:nor/>
                </m:rPr>
                <w:rPr>
                  <w:lang w:val="en-GB"/>
                </w:rPr>
                <m:t>Total Assets</m:t>
              </m:r>
            </m:den>
          </m:f>
        </m:oMath>
      </m:oMathPara>
    </w:p>
    <w:p w14:paraId="4BD49853" w14:textId="77777777" w:rsidR="00D6246A" w:rsidRPr="00C00F3A" w:rsidRDefault="00D6246A" w:rsidP="00D6246A">
      <w:pPr>
        <w:spacing w:after="160" w:line="360" w:lineRule="auto"/>
        <w:jc w:val="both"/>
        <w:rPr>
          <w:b/>
          <w:bCs/>
          <w:lang w:val="en-GB"/>
        </w:rPr>
      </w:pPr>
      <w:r w:rsidRPr="00C00F3A">
        <w:rPr>
          <w:b/>
          <w:bCs/>
          <w:lang w:val="en-GB"/>
        </w:rPr>
        <w:t>Working Capital / Cash Conversion Cycle</w:t>
      </w:r>
    </w:p>
    <w:p w14:paraId="35E47D46" w14:textId="77777777" w:rsidR="00D6246A" w:rsidRPr="00C00F3A" w:rsidRDefault="00D6246A" w:rsidP="00D6246A">
      <w:pPr>
        <w:spacing w:after="160" w:line="360" w:lineRule="auto"/>
        <w:jc w:val="both"/>
        <w:rPr>
          <w:lang w:val="en-GB"/>
        </w:rPr>
      </w:pPr>
      <w:r w:rsidRPr="00C00F3A">
        <w:rPr>
          <w:b/>
          <w:bCs/>
          <w:lang w:val="en-GB"/>
        </w:rPr>
        <w:t>Days Inventory Outstanding (DIO)</w:t>
      </w:r>
    </w:p>
    <w:p w14:paraId="19A6A718" w14:textId="1F202180" w:rsidR="00D6246A" w:rsidRPr="00C00F3A" w:rsidRDefault="00D6246A" w:rsidP="00D6246A">
      <w:pPr>
        <w:spacing w:after="160" w:line="360" w:lineRule="auto"/>
        <w:jc w:val="both"/>
        <w:rPr>
          <w:lang w:val="en-GB"/>
        </w:rPr>
      </w:pPr>
      <m:oMathPara>
        <m:oMath>
          <m:r>
            <m:rPr>
              <m:nor/>
            </m:rPr>
            <w:rPr>
              <w:lang w:val="en-GB"/>
            </w:rPr>
            <m:t>DIO</m:t>
          </m:r>
          <m:r>
            <w:rPr>
              <w:rFonts w:ascii="Cambria Math" w:hAnsi="Cambria Math"/>
              <w:lang w:val="en-GB"/>
            </w:rPr>
            <m:t>=</m:t>
          </m:r>
          <m:d>
            <m:dPr>
              <m:ctrlPr>
                <w:rPr>
                  <w:rFonts w:ascii="Cambria Math" w:hAnsi="Cambria Math"/>
                  <w:lang w:val="en-GB"/>
                </w:rPr>
              </m:ctrlPr>
            </m:dPr>
            <m:e>
              <m:f>
                <m:fPr>
                  <m:ctrlPr>
                    <w:rPr>
                      <w:rFonts w:ascii="Cambria Math" w:hAnsi="Cambria Math"/>
                      <w:lang w:val="en-GB"/>
                    </w:rPr>
                  </m:ctrlPr>
                </m:fPr>
                <m:num>
                  <m:r>
                    <m:rPr>
                      <m:nor/>
                    </m:rPr>
                    <w:rPr>
                      <w:lang w:val="en-GB"/>
                    </w:rPr>
                    <m:t>Inventories</m:t>
                  </m:r>
                </m:num>
                <m:den>
                  <m:r>
                    <m:rPr>
                      <m:nor/>
                    </m:rPr>
                    <w:rPr>
                      <w:lang w:val="en-GB"/>
                    </w:rPr>
                    <m:t>Cost of Sales</m:t>
                  </m:r>
                </m:den>
              </m:f>
            </m:e>
          </m:d>
          <m:r>
            <w:rPr>
              <w:rFonts w:ascii="Cambria Math" w:hAnsi="Cambria Math"/>
              <w:lang w:val="en-GB"/>
            </w:rPr>
            <m:t>×365</m:t>
          </m:r>
        </m:oMath>
      </m:oMathPara>
    </w:p>
    <w:p w14:paraId="29651432" w14:textId="77777777" w:rsidR="00D6246A" w:rsidRPr="00C00F3A" w:rsidRDefault="00D6246A" w:rsidP="00D6246A">
      <w:pPr>
        <w:spacing w:after="160" w:line="360" w:lineRule="auto"/>
        <w:jc w:val="both"/>
        <w:rPr>
          <w:lang w:val="en-GB"/>
        </w:rPr>
      </w:pPr>
      <w:r w:rsidRPr="00C00F3A">
        <w:rPr>
          <w:b/>
          <w:bCs/>
          <w:lang w:val="en-GB"/>
        </w:rPr>
        <w:t>Days Sales Outstanding (DSO)</w:t>
      </w:r>
    </w:p>
    <w:p w14:paraId="25C478CA" w14:textId="468CB59D" w:rsidR="00D6246A" w:rsidRPr="00C00F3A" w:rsidRDefault="00D6246A" w:rsidP="00D6246A">
      <w:pPr>
        <w:spacing w:after="160" w:line="360" w:lineRule="auto"/>
        <w:jc w:val="both"/>
        <w:rPr>
          <w:lang w:val="en-GB"/>
        </w:rPr>
      </w:pPr>
      <m:oMathPara>
        <m:oMath>
          <m:r>
            <m:rPr>
              <m:nor/>
            </m:rPr>
            <w:rPr>
              <w:lang w:val="en-GB"/>
            </w:rPr>
            <m:t>DSO</m:t>
          </m:r>
          <m:r>
            <w:rPr>
              <w:rFonts w:ascii="Cambria Math" w:hAnsi="Cambria Math"/>
              <w:lang w:val="en-GB"/>
            </w:rPr>
            <m:t>=</m:t>
          </m:r>
          <m:d>
            <m:dPr>
              <m:ctrlPr>
                <w:rPr>
                  <w:rFonts w:ascii="Cambria Math" w:hAnsi="Cambria Math"/>
                  <w:lang w:val="en-GB"/>
                </w:rPr>
              </m:ctrlPr>
            </m:dPr>
            <m:e>
              <m:f>
                <m:fPr>
                  <m:ctrlPr>
                    <w:rPr>
                      <w:rFonts w:ascii="Cambria Math" w:hAnsi="Cambria Math"/>
                      <w:lang w:val="en-GB"/>
                    </w:rPr>
                  </m:ctrlPr>
                </m:fPr>
                <m:num>
                  <m:r>
                    <m:rPr>
                      <m:nor/>
                    </m:rPr>
                    <w:rPr>
                      <w:lang w:val="en-GB"/>
                    </w:rPr>
                    <m:t>Trade Receivables</m:t>
                  </m:r>
                </m:num>
                <m:den>
                  <m:r>
                    <m:rPr>
                      <m:nor/>
                    </m:rPr>
                    <w:rPr>
                      <w:lang w:val="en-GB"/>
                    </w:rPr>
                    <m:t>Revenue</m:t>
                  </m:r>
                </m:den>
              </m:f>
            </m:e>
          </m:d>
          <m:r>
            <w:rPr>
              <w:rFonts w:ascii="Cambria Math" w:hAnsi="Cambria Math"/>
              <w:lang w:val="en-GB"/>
            </w:rPr>
            <m:t>×365</m:t>
          </m:r>
        </m:oMath>
      </m:oMathPara>
    </w:p>
    <w:p w14:paraId="7D5AA0D1" w14:textId="77777777" w:rsidR="00D6246A" w:rsidRPr="00C00F3A" w:rsidRDefault="00D6246A" w:rsidP="00D6246A">
      <w:pPr>
        <w:spacing w:after="160" w:line="360" w:lineRule="auto"/>
        <w:jc w:val="both"/>
        <w:rPr>
          <w:lang w:val="en-GB"/>
        </w:rPr>
      </w:pPr>
      <w:r w:rsidRPr="00C00F3A">
        <w:rPr>
          <w:b/>
          <w:bCs/>
          <w:lang w:val="en-GB"/>
        </w:rPr>
        <w:t>Days Payable Outstanding (DPO)</w:t>
      </w:r>
    </w:p>
    <w:p w14:paraId="18D85E0D" w14:textId="26272394" w:rsidR="00D6246A" w:rsidRPr="00C00F3A" w:rsidRDefault="00D6246A" w:rsidP="00D6246A">
      <w:pPr>
        <w:spacing w:after="160" w:line="360" w:lineRule="auto"/>
        <w:jc w:val="both"/>
        <w:rPr>
          <w:lang w:val="en-GB"/>
        </w:rPr>
      </w:pPr>
      <m:oMathPara>
        <m:oMath>
          <m:r>
            <m:rPr>
              <m:nor/>
            </m:rPr>
            <w:rPr>
              <w:lang w:val="en-GB"/>
            </w:rPr>
            <m:t>DPO</m:t>
          </m:r>
          <m:r>
            <w:rPr>
              <w:rFonts w:ascii="Cambria Math" w:hAnsi="Cambria Math"/>
              <w:lang w:val="en-GB"/>
            </w:rPr>
            <m:t>=</m:t>
          </m:r>
          <m:d>
            <m:dPr>
              <m:ctrlPr>
                <w:rPr>
                  <w:rFonts w:ascii="Cambria Math" w:hAnsi="Cambria Math"/>
                  <w:lang w:val="en-GB"/>
                </w:rPr>
              </m:ctrlPr>
            </m:dPr>
            <m:e>
              <m:f>
                <m:fPr>
                  <m:ctrlPr>
                    <w:rPr>
                      <w:rFonts w:ascii="Cambria Math" w:hAnsi="Cambria Math"/>
                      <w:lang w:val="en-GB"/>
                    </w:rPr>
                  </m:ctrlPr>
                </m:fPr>
                <m:num>
                  <m:r>
                    <m:rPr>
                      <m:nor/>
                    </m:rPr>
                    <w:rPr>
                      <w:lang w:val="en-GB"/>
                    </w:rPr>
                    <m:t>Trade Payables</m:t>
                  </m:r>
                </m:num>
                <m:den>
                  <m:r>
                    <m:rPr>
                      <m:nor/>
                    </m:rPr>
                    <w:rPr>
                      <w:lang w:val="en-GB"/>
                    </w:rPr>
                    <m:t>Cost of Sales</m:t>
                  </m:r>
                </m:den>
              </m:f>
            </m:e>
          </m:d>
          <m:r>
            <w:rPr>
              <w:rFonts w:ascii="Cambria Math" w:hAnsi="Cambria Math"/>
              <w:lang w:val="en-GB"/>
            </w:rPr>
            <m:t>×365</m:t>
          </m:r>
        </m:oMath>
      </m:oMathPara>
    </w:p>
    <w:p w14:paraId="3F9CD065" w14:textId="77777777" w:rsidR="00D6246A" w:rsidRPr="00C00F3A" w:rsidRDefault="00D6246A" w:rsidP="00D6246A">
      <w:pPr>
        <w:spacing w:after="160" w:line="360" w:lineRule="auto"/>
        <w:jc w:val="both"/>
        <w:rPr>
          <w:lang w:val="en-GB"/>
        </w:rPr>
      </w:pPr>
      <w:r w:rsidRPr="00C00F3A">
        <w:rPr>
          <w:b/>
          <w:bCs/>
          <w:lang w:val="en-GB"/>
        </w:rPr>
        <w:t>Cash Conversion Cycle (CCC)</w:t>
      </w:r>
    </w:p>
    <w:p w14:paraId="263AF755" w14:textId="6520609C" w:rsidR="00140083" w:rsidRPr="00C00F3A" w:rsidRDefault="00D6246A">
      <w:pPr>
        <w:spacing w:after="160" w:line="360" w:lineRule="auto"/>
        <w:jc w:val="both"/>
        <w:rPr>
          <w:lang w:val="en-GB"/>
        </w:rPr>
      </w:pPr>
      <m:oMathPara>
        <m:oMath>
          <m:r>
            <m:rPr>
              <m:nor/>
            </m:rPr>
            <w:rPr>
              <w:lang w:val="en-GB"/>
            </w:rPr>
            <m:t>CCC</m:t>
          </m:r>
          <m:r>
            <w:rPr>
              <w:rFonts w:ascii="Cambria Math" w:hAnsi="Cambria Math"/>
              <w:lang w:val="en-GB"/>
            </w:rPr>
            <m:t>=</m:t>
          </m:r>
          <m:r>
            <m:rPr>
              <m:nor/>
            </m:rPr>
            <w:rPr>
              <w:lang w:val="en-GB"/>
            </w:rPr>
            <m:t>DIO</m:t>
          </m:r>
          <m:r>
            <w:rPr>
              <w:rFonts w:ascii="Cambria Math" w:hAnsi="Cambria Math"/>
              <w:lang w:val="en-GB"/>
            </w:rPr>
            <m:t>+</m:t>
          </m:r>
          <m:r>
            <m:rPr>
              <m:nor/>
            </m:rPr>
            <w:rPr>
              <w:lang w:val="en-GB"/>
            </w:rPr>
            <m:t>DSO</m:t>
          </m:r>
          <m:r>
            <w:rPr>
              <w:rFonts w:ascii="Cambria Math" w:hAnsi="Cambria Math"/>
              <w:lang w:val="en-GB"/>
            </w:rPr>
            <m:t>-</m:t>
          </m:r>
          <m:r>
            <m:rPr>
              <m:nor/>
            </m:rPr>
            <w:rPr>
              <w:lang w:val="en-GB"/>
            </w:rPr>
            <m:t>DPO</m:t>
          </m:r>
        </m:oMath>
      </m:oMathPara>
    </w:p>
    <w:p w14:paraId="3F2F4B59" w14:textId="77777777" w:rsidR="00140083" w:rsidRPr="00C00F3A" w:rsidRDefault="00176BB0">
      <w:pPr>
        <w:pStyle w:val="Heading2"/>
        <w:rPr>
          <w:color w:val="auto"/>
          <w:lang w:val="en-GB"/>
        </w:rPr>
      </w:pPr>
      <w:bookmarkStart w:id="34" w:name="_Toc237515772"/>
      <w:r w:rsidRPr="00C00F3A">
        <w:rPr>
          <w:color w:val="auto"/>
          <w:lang w:val="en-GB"/>
        </w:rPr>
        <w:t>Appendix B – Investment Appraisal Detailed Calculations</w:t>
      </w:r>
      <w:bookmarkEnd w:id="34"/>
    </w:p>
    <w:tbl>
      <w:tblPr>
        <w:tblW w:w="5000" w:type="pct"/>
        <w:tblLayout w:type="fixed"/>
        <w:tblLook w:val="04A0" w:firstRow="1" w:lastRow="0" w:firstColumn="1" w:lastColumn="0" w:noHBand="0" w:noVBand="1"/>
      </w:tblPr>
      <w:tblGrid>
        <w:gridCol w:w="3782"/>
        <w:gridCol w:w="1168"/>
        <w:gridCol w:w="810"/>
        <w:gridCol w:w="991"/>
        <w:gridCol w:w="1349"/>
        <w:gridCol w:w="1538"/>
      </w:tblGrid>
      <w:tr w:rsidR="00C3237A" w:rsidRPr="00C00F3A" w14:paraId="4C79A714" w14:textId="77777777" w:rsidTr="00C3237A">
        <w:trPr>
          <w:trHeight w:val="315"/>
        </w:trPr>
        <w:tc>
          <w:tcPr>
            <w:tcW w:w="1962" w:type="pct"/>
            <w:tcBorders>
              <w:top w:val="nil"/>
              <w:left w:val="nil"/>
              <w:bottom w:val="nil"/>
              <w:right w:val="nil"/>
            </w:tcBorders>
            <w:shd w:val="clear" w:color="FFFFFF" w:fill="FFF2CC"/>
            <w:noWrap/>
            <w:vAlign w:val="bottom"/>
            <w:hideMark/>
          </w:tcPr>
          <w:p w14:paraId="2BAEE2E4" w14:textId="77777777" w:rsidR="00C3237A" w:rsidRPr="00C00F3A" w:rsidRDefault="00C3237A" w:rsidP="00C3237A">
            <w:pPr>
              <w:rPr>
                <w:rFonts w:eastAsia="Times New Roman"/>
                <w:b/>
                <w:bCs/>
                <w:lang w:val="en-GB"/>
              </w:rPr>
            </w:pPr>
            <w:r w:rsidRPr="00C00F3A">
              <w:rPr>
                <w:rFonts w:eastAsia="Times New Roman"/>
                <w:b/>
                <w:bCs/>
                <w:lang w:val="en-GB"/>
              </w:rPr>
              <w:t>KEY ASSUMPTIONS (edit yellow cells to run sensitivity)</w:t>
            </w:r>
          </w:p>
        </w:tc>
        <w:tc>
          <w:tcPr>
            <w:tcW w:w="606" w:type="pct"/>
            <w:tcBorders>
              <w:top w:val="nil"/>
              <w:left w:val="nil"/>
              <w:bottom w:val="nil"/>
              <w:right w:val="nil"/>
            </w:tcBorders>
            <w:noWrap/>
            <w:vAlign w:val="bottom"/>
            <w:hideMark/>
          </w:tcPr>
          <w:p w14:paraId="6F4308C9" w14:textId="77777777" w:rsidR="00C3237A" w:rsidRPr="00C00F3A" w:rsidRDefault="00C3237A" w:rsidP="00C3237A">
            <w:pPr>
              <w:rPr>
                <w:rFonts w:eastAsia="Times New Roman"/>
                <w:b/>
                <w:bCs/>
                <w:lang w:val="en-GB"/>
              </w:rPr>
            </w:pPr>
          </w:p>
        </w:tc>
        <w:tc>
          <w:tcPr>
            <w:tcW w:w="420" w:type="pct"/>
            <w:tcBorders>
              <w:top w:val="nil"/>
              <w:left w:val="nil"/>
              <w:bottom w:val="nil"/>
              <w:right w:val="nil"/>
            </w:tcBorders>
            <w:noWrap/>
            <w:vAlign w:val="bottom"/>
            <w:hideMark/>
          </w:tcPr>
          <w:p w14:paraId="79B4FD8E" w14:textId="77777777" w:rsidR="00C3237A" w:rsidRPr="00C00F3A" w:rsidRDefault="00C3237A" w:rsidP="00C3237A">
            <w:pPr>
              <w:rPr>
                <w:rFonts w:ascii="Times New Roman" w:eastAsia="Times New Roman" w:hAnsi="Times New Roman" w:cs="Times New Roman"/>
                <w:sz w:val="20"/>
                <w:szCs w:val="20"/>
                <w:lang w:val="en-GB"/>
              </w:rPr>
            </w:pPr>
          </w:p>
        </w:tc>
        <w:tc>
          <w:tcPr>
            <w:tcW w:w="514" w:type="pct"/>
            <w:tcBorders>
              <w:top w:val="nil"/>
              <w:left w:val="nil"/>
              <w:bottom w:val="nil"/>
              <w:right w:val="nil"/>
            </w:tcBorders>
            <w:noWrap/>
            <w:vAlign w:val="bottom"/>
            <w:hideMark/>
          </w:tcPr>
          <w:p w14:paraId="2F701837" w14:textId="77777777" w:rsidR="00C3237A" w:rsidRPr="00C00F3A" w:rsidRDefault="00C3237A" w:rsidP="00C3237A">
            <w:pPr>
              <w:rPr>
                <w:rFonts w:ascii="Times New Roman" w:eastAsia="Times New Roman" w:hAnsi="Times New Roman" w:cs="Times New Roman"/>
                <w:sz w:val="20"/>
                <w:szCs w:val="20"/>
                <w:lang w:val="en-GB"/>
              </w:rPr>
            </w:pPr>
          </w:p>
        </w:tc>
        <w:tc>
          <w:tcPr>
            <w:tcW w:w="700" w:type="pct"/>
            <w:tcBorders>
              <w:top w:val="nil"/>
              <w:left w:val="nil"/>
              <w:bottom w:val="nil"/>
              <w:right w:val="nil"/>
            </w:tcBorders>
            <w:noWrap/>
            <w:vAlign w:val="bottom"/>
            <w:hideMark/>
          </w:tcPr>
          <w:p w14:paraId="7A5DB18C" w14:textId="77777777" w:rsidR="00C3237A" w:rsidRPr="00C00F3A" w:rsidRDefault="00C3237A" w:rsidP="00C3237A">
            <w:pPr>
              <w:rPr>
                <w:rFonts w:ascii="Times New Roman" w:eastAsia="Times New Roman" w:hAnsi="Times New Roman" w:cs="Times New Roman"/>
                <w:sz w:val="20"/>
                <w:szCs w:val="20"/>
                <w:lang w:val="en-GB"/>
              </w:rPr>
            </w:pPr>
          </w:p>
        </w:tc>
        <w:tc>
          <w:tcPr>
            <w:tcW w:w="798" w:type="pct"/>
            <w:tcBorders>
              <w:top w:val="nil"/>
              <w:left w:val="nil"/>
              <w:bottom w:val="nil"/>
              <w:right w:val="nil"/>
            </w:tcBorders>
            <w:noWrap/>
            <w:vAlign w:val="bottom"/>
            <w:hideMark/>
          </w:tcPr>
          <w:p w14:paraId="77713135" w14:textId="77777777" w:rsidR="00C3237A" w:rsidRPr="00C00F3A" w:rsidRDefault="00C3237A" w:rsidP="00C3237A">
            <w:pPr>
              <w:rPr>
                <w:rFonts w:ascii="Times New Roman" w:eastAsia="Times New Roman" w:hAnsi="Times New Roman" w:cs="Times New Roman"/>
                <w:sz w:val="20"/>
                <w:szCs w:val="20"/>
                <w:lang w:val="en-GB"/>
              </w:rPr>
            </w:pPr>
          </w:p>
        </w:tc>
      </w:tr>
      <w:tr w:rsidR="00C3237A" w:rsidRPr="00C00F3A" w14:paraId="610153A9" w14:textId="77777777" w:rsidTr="00C3237A">
        <w:trPr>
          <w:trHeight w:val="300"/>
        </w:trPr>
        <w:tc>
          <w:tcPr>
            <w:tcW w:w="1962" w:type="pct"/>
            <w:tcBorders>
              <w:top w:val="nil"/>
              <w:left w:val="nil"/>
              <w:bottom w:val="nil"/>
              <w:right w:val="nil"/>
            </w:tcBorders>
            <w:noWrap/>
            <w:vAlign w:val="bottom"/>
            <w:hideMark/>
          </w:tcPr>
          <w:p w14:paraId="720B8899" w14:textId="77777777" w:rsidR="00C3237A" w:rsidRPr="00C00F3A" w:rsidRDefault="00C3237A" w:rsidP="00C3237A">
            <w:pPr>
              <w:rPr>
                <w:rFonts w:ascii="Calibri" w:eastAsia="Times New Roman" w:hAnsi="Calibri" w:cs="Calibri"/>
                <w:sz w:val="22"/>
                <w:szCs w:val="22"/>
                <w:lang w:val="en-GB"/>
              </w:rPr>
            </w:pPr>
            <w:r w:rsidRPr="00C00F3A">
              <w:rPr>
                <w:rFonts w:ascii="Calibri" w:eastAsia="Times New Roman" w:hAnsi="Calibri" w:cs="Calibri"/>
                <w:sz w:val="22"/>
                <w:szCs w:val="22"/>
                <w:lang w:val="en-GB"/>
              </w:rPr>
              <w:lastRenderedPageBreak/>
              <w:t>Discount Rate (r)</w:t>
            </w:r>
          </w:p>
        </w:tc>
        <w:tc>
          <w:tcPr>
            <w:tcW w:w="606" w:type="pct"/>
            <w:tcBorders>
              <w:top w:val="nil"/>
              <w:left w:val="nil"/>
              <w:bottom w:val="nil"/>
              <w:right w:val="nil"/>
            </w:tcBorders>
            <w:shd w:val="clear" w:color="FFFFFF" w:fill="FFF2CC"/>
            <w:noWrap/>
            <w:vAlign w:val="bottom"/>
            <w:hideMark/>
          </w:tcPr>
          <w:p w14:paraId="3F8449B9" w14:textId="77777777" w:rsidR="00C3237A" w:rsidRPr="00C00F3A" w:rsidRDefault="00C3237A" w:rsidP="00C3237A">
            <w:pPr>
              <w:jc w:val="right"/>
              <w:rPr>
                <w:rFonts w:eastAsia="Times New Roman"/>
                <w:sz w:val="20"/>
                <w:szCs w:val="20"/>
                <w:lang w:val="en-GB"/>
              </w:rPr>
            </w:pPr>
            <w:r w:rsidRPr="00C00F3A">
              <w:rPr>
                <w:rFonts w:eastAsia="Times New Roman"/>
                <w:sz w:val="20"/>
                <w:szCs w:val="20"/>
                <w:lang w:val="en-GB"/>
              </w:rPr>
              <w:t>8.00%</w:t>
            </w:r>
          </w:p>
        </w:tc>
        <w:tc>
          <w:tcPr>
            <w:tcW w:w="1634" w:type="pct"/>
            <w:gridSpan w:val="3"/>
            <w:tcBorders>
              <w:top w:val="nil"/>
              <w:left w:val="nil"/>
              <w:bottom w:val="nil"/>
              <w:right w:val="nil"/>
            </w:tcBorders>
            <w:noWrap/>
            <w:vAlign w:val="bottom"/>
            <w:hideMark/>
          </w:tcPr>
          <w:p w14:paraId="510D06A9" w14:textId="77777777" w:rsidR="00C3237A" w:rsidRPr="00C00F3A" w:rsidRDefault="00C3237A" w:rsidP="00C3237A">
            <w:pPr>
              <w:rPr>
                <w:rFonts w:ascii="Calibri" w:eastAsia="Times New Roman" w:hAnsi="Calibri" w:cs="Calibri"/>
                <w:sz w:val="22"/>
                <w:szCs w:val="22"/>
                <w:lang w:val="en-GB"/>
              </w:rPr>
            </w:pPr>
            <w:r w:rsidRPr="00C00F3A">
              <w:rPr>
                <w:rFonts w:ascii="Calibri" w:eastAsia="Times New Roman" w:hAnsi="Calibri" w:cs="Calibri"/>
                <w:sz w:val="22"/>
                <w:szCs w:val="22"/>
                <w:lang w:val="en-GB"/>
              </w:rPr>
              <w:t>← Change this value to test different hurdle rates</w:t>
            </w:r>
          </w:p>
        </w:tc>
        <w:tc>
          <w:tcPr>
            <w:tcW w:w="798" w:type="pct"/>
            <w:tcBorders>
              <w:top w:val="nil"/>
              <w:left w:val="nil"/>
              <w:bottom w:val="nil"/>
              <w:right w:val="nil"/>
            </w:tcBorders>
            <w:noWrap/>
            <w:vAlign w:val="bottom"/>
            <w:hideMark/>
          </w:tcPr>
          <w:p w14:paraId="7BC57408" w14:textId="77777777" w:rsidR="00C3237A" w:rsidRPr="00C00F3A" w:rsidRDefault="00C3237A" w:rsidP="00C3237A">
            <w:pPr>
              <w:rPr>
                <w:rFonts w:ascii="Calibri" w:eastAsia="Times New Roman" w:hAnsi="Calibri" w:cs="Calibri"/>
                <w:sz w:val="22"/>
                <w:szCs w:val="22"/>
                <w:lang w:val="en-GB"/>
              </w:rPr>
            </w:pPr>
          </w:p>
        </w:tc>
      </w:tr>
      <w:tr w:rsidR="00C3237A" w:rsidRPr="00C00F3A" w14:paraId="4131A465" w14:textId="77777777" w:rsidTr="00C3237A">
        <w:trPr>
          <w:trHeight w:val="300"/>
        </w:trPr>
        <w:tc>
          <w:tcPr>
            <w:tcW w:w="1962" w:type="pct"/>
            <w:tcBorders>
              <w:top w:val="nil"/>
              <w:left w:val="nil"/>
              <w:bottom w:val="nil"/>
              <w:right w:val="nil"/>
            </w:tcBorders>
            <w:noWrap/>
            <w:vAlign w:val="bottom"/>
            <w:hideMark/>
          </w:tcPr>
          <w:p w14:paraId="0AF364DF" w14:textId="77777777" w:rsidR="00C3237A" w:rsidRPr="00C00F3A" w:rsidRDefault="00C3237A" w:rsidP="00C3237A">
            <w:pPr>
              <w:rPr>
                <w:rFonts w:ascii="Calibri" w:eastAsia="Times New Roman" w:hAnsi="Calibri" w:cs="Calibri"/>
                <w:sz w:val="22"/>
                <w:szCs w:val="22"/>
                <w:lang w:val="en-GB"/>
              </w:rPr>
            </w:pPr>
            <w:r w:rsidRPr="00C00F3A">
              <w:rPr>
                <w:rFonts w:ascii="Calibri" w:eastAsia="Times New Roman" w:hAnsi="Calibri" w:cs="Calibri"/>
                <w:sz w:val="22"/>
                <w:szCs w:val="22"/>
                <w:lang w:val="en-GB"/>
              </w:rPr>
              <w:t>Project Life (years)</w:t>
            </w:r>
          </w:p>
        </w:tc>
        <w:tc>
          <w:tcPr>
            <w:tcW w:w="606" w:type="pct"/>
            <w:tcBorders>
              <w:top w:val="nil"/>
              <w:left w:val="nil"/>
              <w:bottom w:val="nil"/>
              <w:right w:val="nil"/>
            </w:tcBorders>
            <w:shd w:val="clear" w:color="FFFFFF" w:fill="FFF2CC"/>
            <w:noWrap/>
            <w:vAlign w:val="bottom"/>
            <w:hideMark/>
          </w:tcPr>
          <w:p w14:paraId="367176C2" w14:textId="77777777" w:rsidR="00C3237A" w:rsidRPr="00C00F3A" w:rsidRDefault="00C3237A" w:rsidP="00C3237A">
            <w:pPr>
              <w:jc w:val="right"/>
              <w:rPr>
                <w:rFonts w:eastAsia="Times New Roman"/>
                <w:sz w:val="20"/>
                <w:szCs w:val="20"/>
                <w:lang w:val="en-GB"/>
              </w:rPr>
            </w:pPr>
            <w:r w:rsidRPr="00C00F3A">
              <w:rPr>
                <w:rFonts w:eastAsia="Times New Roman"/>
                <w:sz w:val="20"/>
                <w:szCs w:val="20"/>
                <w:lang w:val="en-GB"/>
              </w:rPr>
              <w:t>5</w:t>
            </w:r>
          </w:p>
        </w:tc>
        <w:tc>
          <w:tcPr>
            <w:tcW w:w="420" w:type="pct"/>
            <w:tcBorders>
              <w:top w:val="nil"/>
              <w:left w:val="nil"/>
              <w:bottom w:val="nil"/>
              <w:right w:val="nil"/>
            </w:tcBorders>
            <w:noWrap/>
            <w:vAlign w:val="bottom"/>
            <w:hideMark/>
          </w:tcPr>
          <w:p w14:paraId="39E5CFB6" w14:textId="77777777" w:rsidR="00C3237A" w:rsidRPr="00C00F3A" w:rsidRDefault="00C3237A" w:rsidP="00C3237A">
            <w:pPr>
              <w:jc w:val="right"/>
              <w:rPr>
                <w:rFonts w:eastAsia="Times New Roman"/>
                <w:sz w:val="20"/>
                <w:szCs w:val="20"/>
                <w:lang w:val="en-GB"/>
              </w:rPr>
            </w:pPr>
          </w:p>
        </w:tc>
        <w:tc>
          <w:tcPr>
            <w:tcW w:w="514" w:type="pct"/>
            <w:tcBorders>
              <w:top w:val="nil"/>
              <w:left w:val="nil"/>
              <w:bottom w:val="nil"/>
              <w:right w:val="nil"/>
            </w:tcBorders>
            <w:noWrap/>
            <w:vAlign w:val="bottom"/>
            <w:hideMark/>
          </w:tcPr>
          <w:p w14:paraId="405E4DC9" w14:textId="77777777" w:rsidR="00C3237A" w:rsidRPr="00C00F3A" w:rsidRDefault="00C3237A" w:rsidP="00C3237A">
            <w:pPr>
              <w:rPr>
                <w:rFonts w:ascii="Times New Roman" w:eastAsia="Times New Roman" w:hAnsi="Times New Roman" w:cs="Times New Roman"/>
                <w:sz w:val="20"/>
                <w:szCs w:val="20"/>
                <w:lang w:val="en-GB"/>
              </w:rPr>
            </w:pPr>
          </w:p>
        </w:tc>
        <w:tc>
          <w:tcPr>
            <w:tcW w:w="700" w:type="pct"/>
            <w:tcBorders>
              <w:top w:val="nil"/>
              <w:left w:val="nil"/>
              <w:bottom w:val="nil"/>
              <w:right w:val="nil"/>
            </w:tcBorders>
            <w:noWrap/>
            <w:vAlign w:val="bottom"/>
            <w:hideMark/>
          </w:tcPr>
          <w:p w14:paraId="7CDAFB99" w14:textId="77777777" w:rsidR="00C3237A" w:rsidRPr="00C00F3A" w:rsidRDefault="00C3237A" w:rsidP="00C3237A">
            <w:pPr>
              <w:rPr>
                <w:rFonts w:ascii="Times New Roman" w:eastAsia="Times New Roman" w:hAnsi="Times New Roman" w:cs="Times New Roman"/>
                <w:sz w:val="20"/>
                <w:szCs w:val="20"/>
                <w:lang w:val="en-GB"/>
              </w:rPr>
            </w:pPr>
          </w:p>
        </w:tc>
        <w:tc>
          <w:tcPr>
            <w:tcW w:w="798" w:type="pct"/>
            <w:tcBorders>
              <w:top w:val="nil"/>
              <w:left w:val="nil"/>
              <w:bottom w:val="nil"/>
              <w:right w:val="nil"/>
            </w:tcBorders>
            <w:noWrap/>
            <w:vAlign w:val="bottom"/>
            <w:hideMark/>
          </w:tcPr>
          <w:p w14:paraId="77F305C7" w14:textId="77777777" w:rsidR="00C3237A" w:rsidRPr="00C00F3A" w:rsidRDefault="00C3237A" w:rsidP="00C3237A">
            <w:pPr>
              <w:rPr>
                <w:rFonts w:ascii="Times New Roman" w:eastAsia="Times New Roman" w:hAnsi="Times New Roman" w:cs="Times New Roman"/>
                <w:sz w:val="20"/>
                <w:szCs w:val="20"/>
                <w:lang w:val="en-GB"/>
              </w:rPr>
            </w:pPr>
          </w:p>
        </w:tc>
      </w:tr>
      <w:tr w:rsidR="00C3237A" w:rsidRPr="00C00F3A" w14:paraId="1AC7A335" w14:textId="77777777" w:rsidTr="00C3237A">
        <w:trPr>
          <w:trHeight w:val="300"/>
        </w:trPr>
        <w:tc>
          <w:tcPr>
            <w:tcW w:w="1962" w:type="pct"/>
            <w:tcBorders>
              <w:top w:val="nil"/>
              <w:left w:val="nil"/>
              <w:bottom w:val="nil"/>
              <w:right w:val="nil"/>
            </w:tcBorders>
            <w:noWrap/>
            <w:vAlign w:val="bottom"/>
            <w:hideMark/>
          </w:tcPr>
          <w:p w14:paraId="287C8F55" w14:textId="77777777" w:rsidR="00C3237A" w:rsidRPr="00C00F3A" w:rsidRDefault="00C3237A" w:rsidP="00C3237A">
            <w:pPr>
              <w:rPr>
                <w:rFonts w:ascii="Calibri" w:eastAsia="Times New Roman" w:hAnsi="Calibri" w:cs="Calibri"/>
                <w:sz w:val="22"/>
                <w:szCs w:val="22"/>
                <w:lang w:val="en-GB"/>
              </w:rPr>
            </w:pPr>
            <w:r w:rsidRPr="00C00F3A">
              <w:rPr>
                <w:rFonts w:ascii="Calibri" w:eastAsia="Times New Roman" w:hAnsi="Calibri" w:cs="Calibri"/>
                <w:sz w:val="22"/>
                <w:szCs w:val="22"/>
                <w:lang w:val="en-GB"/>
              </w:rPr>
              <w:t>Initial Investment each (£m)</w:t>
            </w:r>
          </w:p>
        </w:tc>
        <w:tc>
          <w:tcPr>
            <w:tcW w:w="606" w:type="pct"/>
            <w:tcBorders>
              <w:top w:val="nil"/>
              <w:left w:val="nil"/>
              <w:bottom w:val="nil"/>
              <w:right w:val="nil"/>
            </w:tcBorders>
            <w:shd w:val="clear" w:color="FFFFFF" w:fill="FFF2CC"/>
            <w:noWrap/>
            <w:vAlign w:val="bottom"/>
            <w:hideMark/>
          </w:tcPr>
          <w:p w14:paraId="4D938526" w14:textId="77777777" w:rsidR="00C3237A" w:rsidRPr="00C00F3A" w:rsidRDefault="00C3237A" w:rsidP="00C3237A">
            <w:pPr>
              <w:jc w:val="right"/>
              <w:rPr>
                <w:rFonts w:eastAsia="Times New Roman"/>
                <w:sz w:val="20"/>
                <w:szCs w:val="20"/>
                <w:lang w:val="en-GB"/>
              </w:rPr>
            </w:pPr>
            <w:r w:rsidRPr="00C00F3A">
              <w:rPr>
                <w:rFonts w:eastAsia="Times New Roman"/>
                <w:sz w:val="20"/>
                <w:szCs w:val="20"/>
                <w:lang w:val="en-GB"/>
              </w:rPr>
              <w:t>50.0</w:t>
            </w:r>
          </w:p>
        </w:tc>
        <w:tc>
          <w:tcPr>
            <w:tcW w:w="420" w:type="pct"/>
            <w:tcBorders>
              <w:top w:val="nil"/>
              <w:left w:val="nil"/>
              <w:bottom w:val="nil"/>
              <w:right w:val="nil"/>
            </w:tcBorders>
            <w:noWrap/>
            <w:vAlign w:val="bottom"/>
            <w:hideMark/>
          </w:tcPr>
          <w:p w14:paraId="2F67D168" w14:textId="77777777" w:rsidR="00C3237A" w:rsidRPr="00C00F3A" w:rsidRDefault="00C3237A" w:rsidP="00C3237A">
            <w:pPr>
              <w:jc w:val="right"/>
              <w:rPr>
                <w:rFonts w:eastAsia="Times New Roman"/>
                <w:sz w:val="20"/>
                <w:szCs w:val="20"/>
                <w:lang w:val="en-GB"/>
              </w:rPr>
            </w:pPr>
          </w:p>
        </w:tc>
        <w:tc>
          <w:tcPr>
            <w:tcW w:w="514" w:type="pct"/>
            <w:tcBorders>
              <w:top w:val="nil"/>
              <w:left w:val="nil"/>
              <w:bottom w:val="nil"/>
              <w:right w:val="nil"/>
            </w:tcBorders>
            <w:noWrap/>
            <w:vAlign w:val="bottom"/>
            <w:hideMark/>
          </w:tcPr>
          <w:p w14:paraId="3CD94B03" w14:textId="77777777" w:rsidR="00C3237A" w:rsidRPr="00C00F3A" w:rsidRDefault="00C3237A" w:rsidP="00C3237A">
            <w:pPr>
              <w:rPr>
                <w:rFonts w:ascii="Times New Roman" w:eastAsia="Times New Roman" w:hAnsi="Times New Roman" w:cs="Times New Roman"/>
                <w:sz w:val="20"/>
                <w:szCs w:val="20"/>
                <w:lang w:val="en-GB"/>
              </w:rPr>
            </w:pPr>
          </w:p>
        </w:tc>
        <w:tc>
          <w:tcPr>
            <w:tcW w:w="700" w:type="pct"/>
            <w:tcBorders>
              <w:top w:val="nil"/>
              <w:left w:val="nil"/>
              <w:bottom w:val="nil"/>
              <w:right w:val="nil"/>
            </w:tcBorders>
            <w:noWrap/>
            <w:vAlign w:val="bottom"/>
            <w:hideMark/>
          </w:tcPr>
          <w:p w14:paraId="771F8FD2" w14:textId="77777777" w:rsidR="00C3237A" w:rsidRPr="00C00F3A" w:rsidRDefault="00C3237A" w:rsidP="00C3237A">
            <w:pPr>
              <w:rPr>
                <w:rFonts w:ascii="Times New Roman" w:eastAsia="Times New Roman" w:hAnsi="Times New Roman" w:cs="Times New Roman"/>
                <w:sz w:val="20"/>
                <w:szCs w:val="20"/>
                <w:lang w:val="en-GB"/>
              </w:rPr>
            </w:pPr>
          </w:p>
        </w:tc>
        <w:tc>
          <w:tcPr>
            <w:tcW w:w="798" w:type="pct"/>
            <w:tcBorders>
              <w:top w:val="nil"/>
              <w:left w:val="nil"/>
              <w:bottom w:val="nil"/>
              <w:right w:val="nil"/>
            </w:tcBorders>
            <w:noWrap/>
            <w:vAlign w:val="bottom"/>
            <w:hideMark/>
          </w:tcPr>
          <w:p w14:paraId="10DD7469" w14:textId="77777777" w:rsidR="00C3237A" w:rsidRPr="00C00F3A" w:rsidRDefault="00C3237A" w:rsidP="00C3237A">
            <w:pPr>
              <w:rPr>
                <w:rFonts w:ascii="Times New Roman" w:eastAsia="Times New Roman" w:hAnsi="Times New Roman" w:cs="Times New Roman"/>
                <w:sz w:val="20"/>
                <w:szCs w:val="20"/>
                <w:lang w:val="en-GB"/>
              </w:rPr>
            </w:pPr>
          </w:p>
        </w:tc>
      </w:tr>
      <w:tr w:rsidR="00C3237A" w:rsidRPr="00C00F3A" w14:paraId="6CBAB1D2" w14:textId="77777777" w:rsidTr="00C3237A">
        <w:trPr>
          <w:trHeight w:val="300"/>
        </w:trPr>
        <w:tc>
          <w:tcPr>
            <w:tcW w:w="1962" w:type="pct"/>
            <w:tcBorders>
              <w:top w:val="nil"/>
              <w:left w:val="nil"/>
              <w:bottom w:val="nil"/>
              <w:right w:val="nil"/>
            </w:tcBorders>
            <w:noWrap/>
            <w:vAlign w:val="bottom"/>
            <w:hideMark/>
          </w:tcPr>
          <w:p w14:paraId="77CCF188" w14:textId="77777777" w:rsidR="00C3237A" w:rsidRPr="00C00F3A" w:rsidRDefault="00C3237A" w:rsidP="00C3237A">
            <w:pPr>
              <w:rPr>
                <w:rFonts w:ascii="Times New Roman" w:eastAsia="Times New Roman" w:hAnsi="Times New Roman" w:cs="Times New Roman"/>
                <w:sz w:val="20"/>
                <w:szCs w:val="20"/>
                <w:lang w:val="en-GB"/>
              </w:rPr>
            </w:pPr>
          </w:p>
        </w:tc>
        <w:tc>
          <w:tcPr>
            <w:tcW w:w="606" w:type="pct"/>
            <w:tcBorders>
              <w:top w:val="nil"/>
              <w:left w:val="nil"/>
              <w:bottom w:val="nil"/>
              <w:right w:val="nil"/>
            </w:tcBorders>
            <w:noWrap/>
            <w:vAlign w:val="bottom"/>
            <w:hideMark/>
          </w:tcPr>
          <w:p w14:paraId="0C5AE0FA" w14:textId="77777777" w:rsidR="00C3237A" w:rsidRPr="00C00F3A" w:rsidRDefault="00C3237A" w:rsidP="00C3237A">
            <w:pPr>
              <w:rPr>
                <w:rFonts w:ascii="Times New Roman" w:eastAsia="Times New Roman" w:hAnsi="Times New Roman" w:cs="Times New Roman"/>
                <w:sz w:val="20"/>
                <w:szCs w:val="20"/>
                <w:lang w:val="en-GB"/>
              </w:rPr>
            </w:pPr>
          </w:p>
        </w:tc>
        <w:tc>
          <w:tcPr>
            <w:tcW w:w="420" w:type="pct"/>
            <w:tcBorders>
              <w:top w:val="nil"/>
              <w:left w:val="nil"/>
              <w:bottom w:val="nil"/>
              <w:right w:val="nil"/>
            </w:tcBorders>
            <w:noWrap/>
            <w:vAlign w:val="bottom"/>
            <w:hideMark/>
          </w:tcPr>
          <w:p w14:paraId="15757FF5" w14:textId="77777777" w:rsidR="00C3237A" w:rsidRPr="00C00F3A" w:rsidRDefault="00C3237A" w:rsidP="00C3237A">
            <w:pPr>
              <w:rPr>
                <w:rFonts w:ascii="Times New Roman" w:eastAsia="Times New Roman" w:hAnsi="Times New Roman" w:cs="Times New Roman"/>
                <w:sz w:val="20"/>
                <w:szCs w:val="20"/>
                <w:lang w:val="en-GB"/>
              </w:rPr>
            </w:pPr>
          </w:p>
        </w:tc>
        <w:tc>
          <w:tcPr>
            <w:tcW w:w="514" w:type="pct"/>
            <w:tcBorders>
              <w:top w:val="nil"/>
              <w:left w:val="nil"/>
              <w:bottom w:val="nil"/>
              <w:right w:val="nil"/>
            </w:tcBorders>
            <w:noWrap/>
            <w:vAlign w:val="bottom"/>
            <w:hideMark/>
          </w:tcPr>
          <w:p w14:paraId="57BAA921" w14:textId="77777777" w:rsidR="00C3237A" w:rsidRPr="00C00F3A" w:rsidRDefault="00C3237A" w:rsidP="00C3237A">
            <w:pPr>
              <w:rPr>
                <w:rFonts w:ascii="Times New Roman" w:eastAsia="Times New Roman" w:hAnsi="Times New Roman" w:cs="Times New Roman"/>
                <w:sz w:val="20"/>
                <w:szCs w:val="20"/>
                <w:lang w:val="en-GB"/>
              </w:rPr>
            </w:pPr>
          </w:p>
        </w:tc>
        <w:tc>
          <w:tcPr>
            <w:tcW w:w="700" w:type="pct"/>
            <w:tcBorders>
              <w:top w:val="nil"/>
              <w:left w:val="nil"/>
              <w:bottom w:val="nil"/>
              <w:right w:val="nil"/>
            </w:tcBorders>
            <w:noWrap/>
            <w:vAlign w:val="bottom"/>
            <w:hideMark/>
          </w:tcPr>
          <w:p w14:paraId="2EF729A3" w14:textId="77777777" w:rsidR="00C3237A" w:rsidRPr="00C00F3A" w:rsidRDefault="00C3237A" w:rsidP="00C3237A">
            <w:pPr>
              <w:rPr>
                <w:rFonts w:ascii="Times New Roman" w:eastAsia="Times New Roman" w:hAnsi="Times New Roman" w:cs="Times New Roman"/>
                <w:sz w:val="20"/>
                <w:szCs w:val="20"/>
                <w:lang w:val="en-GB"/>
              </w:rPr>
            </w:pPr>
          </w:p>
        </w:tc>
        <w:tc>
          <w:tcPr>
            <w:tcW w:w="798" w:type="pct"/>
            <w:tcBorders>
              <w:top w:val="nil"/>
              <w:left w:val="nil"/>
              <w:bottom w:val="nil"/>
              <w:right w:val="nil"/>
            </w:tcBorders>
            <w:noWrap/>
            <w:vAlign w:val="bottom"/>
            <w:hideMark/>
          </w:tcPr>
          <w:p w14:paraId="5B05131A" w14:textId="77777777" w:rsidR="00C3237A" w:rsidRPr="00C00F3A" w:rsidRDefault="00C3237A" w:rsidP="00C3237A">
            <w:pPr>
              <w:rPr>
                <w:rFonts w:ascii="Times New Roman" w:eastAsia="Times New Roman" w:hAnsi="Times New Roman" w:cs="Times New Roman"/>
                <w:sz w:val="20"/>
                <w:szCs w:val="20"/>
                <w:lang w:val="en-GB"/>
              </w:rPr>
            </w:pPr>
          </w:p>
        </w:tc>
      </w:tr>
      <w:tr w:rsidR="00C3237A" w:rsidRPr="00C00F3A" w14:paraId="5B7E5E8D" w14:textId="77777777" w:rsidTr="00C3237A">
        <w:trPr>
          <w:trHeight w:val="315"/>
        </w:trPr>
        <w:tc>
          <w:tcPr>
            <w:tcW w:w="1962" w:type="pct"/>
            <w:tcBorders>
              <w:top w:val="nil"/>
              <w:left w:val="nil"/>
              <w:bottom w:val="nil"/>
              <w:right w:val="nil"/>
            </w:tcBorders>
            <w:shd w:val="clear" w:color="D9D9D9" w:fill="D6E3F0"/>
            <w:noWrap/>
            <w:vAlign w:val="bottom"/>
            <w:hideMark/>
          </w:tcPr>
          <w:p w14:paraId="5144BC46" w14:textId="77777777" w:rsidR="00C3237A" w:rsidRPr="00C00F3A" w:rsidRDefault="00C3237A" w:rsidP="00C3237A">
            <w:pPr>
              <w:rPr>
                <w:rFonts w:eastAsia="Times New Roman"/>
                <w:b/>
                <w:bCs/>
                <w:lang w:val="en-GB"/>
              </w:rPr>
            </w:pPr>
            <w:r w:rsidRPr="00C00F3A">
              <w:rPr>
                <w:rFonts w:eastAsia="Times New Roman"/>
                <w:b/>
                <w:bCs/>
                <w:lang w:val="en-GB"/>
              </w:rPr>
              <w:t>PROJECT CASH FLOWS &amp; DISCOUNT FACTORS</w:t>
            </w:r>
          </w:p>
        </w:tc>
        <w:tc>
          <w:tcPr>
            <w:tcW w:w="606" w:type="pct"/>
            <w:tcBorders>
              <w:top w:val="nil"/>
              <w:left w:val="nil"/>
              <w:bottom w:val="nil"/>
              <w:right w:val="nil"/>
            </w:tcBorders>
            <w:noWrap/>
            <w:vAlign w:val="bottom"/>
            <w:hideMark/>
          </w:tcPr>
          <w:p w14:paraId="54F7B45A" w14:textId="77777777" w:rsidR="00C3237A" w:rsidRPr="00C00F3A" w:rsidRDefault="00C3237A" w:rsidP="00C3237A">
            <w:pPr>
              <w:rPr>
                <w:rFonts w:eastAsia="Times New Roman"/>
                <w:b/>
                <w:bCs/>
                <w:lang w:val="en-GB"/>
              </w:rPr>
            </w:pPr>
          </w:p>
        </w:tc>
        <w:tc>
          <w:tcPr>
            <w:tcW w:w="420" w:type="pct"/>
            <w:tcBorders>
              <w:top w:val="nil"/>
              <w:left w:val="nil"/>
              <w:bottom w:val="nil"/>
              <w:right w:val="nil"/>
            </w:tcBorders>
            <w:noWrap/>
            <w:vAlign w:val="bottom"/>
            <w:hideMark/>
          </w:tcPr>
          <w:p w14:paraId="3DCEC241" w14:textId="77777777" w:rsidR="00C3237A" w:rsidRPr="00C00F3A" w:rsidRDefault="00C3237A" w:rsidP="00C3237A">
            <w:pPr>
              <w:rPr>
                <w:rFonts w:ascii="Times New Roman" w:eastAsia="Times New Roman" w:hAnsi="Times New Roman" w:cs="Times New Roman"/>
                <w:sz w:val="20"/>
                <w:szCs w:val="20"/>
                <w:lang w:val="en-GB"/>
              </w:rPr>
            </w:pPr>
          </w:p>
        </w:tc>
        <w:tc>
          <w:tcPr>
            <w:tcW w:w="514" w:type="pct"/>
            <w:tcBorders>
              <w:top w:val="nil"/>
              <w:left w:val="nil"/>
              <w:bottom w:val="nil"/>
              <w:right w:val="nil"/>
            </w:tcBorders>
            <w:noWrap/>
            <w:vAlign w:val="bottom"/>
            <w:hideMark/>
          </w:tcPr>
          <w:p w14:paraId="3FFEFE1F" w14:textId="77777777" w:rsidR="00C3237A" w:rsidRPr="00C00F3A" w:rsidRDefault="00C3237A" w:rsidP="00C3237A">
            <w:pPr>
              <w:rPr>
                <w:rFonts w:ascii="Times New Roman" w:eastAsia="Times New Roman" w:hAnsi="Times New Roman" w:cs="Times New Roman"/>
                <w:sz w:val="20"/>
                <w:szCs w:val="20"/>
                <w:lang w:val="en-GB"/>
              </w:rPr>
            </w:pPr>
          </w:p>
        </w:tc>
        <w:tc>
          <w:tcPr>
            <w:tcW w:w="700" w:type="pct"/>
            <w:tcBorders>
              <w:top w:val="nil"/>
              <w:left w:val="nil"/>
              <w:bottom w:val="nil"/>
              <w:right w:val="nil"/>
            </w:tcBorders>
            <w:noWrap/>
            <w:vAlign w:val="bottom"/>
            <w:hideMark/>
          </w:tcPr>
          <w:p w14:paraId="3467C22E" w14:textId="77777777" w:rsidR="00C3237A" w:rsidRPr="00C00F3A" w:rsidRDefault="00C3237A" w:rsidP="00C3237A">
            <w:pPr>
              <w:rPr>
                <w:rFonts w:ascii="Times New Roman" w:eastAsia="Times New Roman" w:hAnsi="Times New Roman" w:cs="Times New Roman"/>
                <w:sz w:val="20"/>
                <w:szCs w:val="20"/>
                <w:lang w:val="en-GB"/>
              </w:rPr>
            </w:pPr>
          </w:p>
        </w:tc>
        <w:tc>
          <w:tcPr>
            <w:tcW w:w="798" w:type="pct"/>
            <w:tcBorders>
              <w:top w:val="nil"/>
              <w:left w:val="nil"/>
              <w:bottom w:val="nil"/>
              <w:right w:val="nil"/>
            </w:tcBorders>
            <w:noWrap/>
            <w:vAlign w:val="bottom"/>
            <w:hideMark/>
          </w:tcPr>
          <w:p w14:paraId="0B912D2A" w14:textId="77777777" w:rsidR="00C3237A" w:rsidRPr="00C00F3A" w:rsidRDefault="00C3237A" w:rsidP="00C3237A">
            <w:pPr>
              <w:rPr>
                <w:rFonts w:ascii="Times New Roman" w:eastAsia="Times New Roman" w:hAnsi="Times New Roman" w:cs="Times New Roman"/>
                <w:sz w:val="20"/>
                <w:szCs w:val="20"/>
                <w:lang w:val="en-GB"/>
              </w:rPr>
            </w:pPr>
          </w:p>
        </w:tc>
      </w:tr>
      <w:tr w:rsidR="00C3237A" w:rsidRPr="00C00F3A" w14:paraId="00F5BBC8" w14:textId="77777777" w:rsidTr="00C3237A">
        <w:trPr>
          <w:trHeight w:val="300"/>
        </w:trPr>
        <w:tc>
          <w:tcPr>
            <w:tcW w:w="1962" w:type="pct"/>
            <w:tcBorders>
              <w:top w:val="single" w:sz="4" w:space="0" w:color="B0B0B0"/>
              <w:left w:val="single" w:sz="4" w:space="0" w:color="B0B0B0"/>
              <w:bottom w:val="single" w:sz="4" w:space="0" w:color="B0B0B0"/>
              <w:right w:val="single" w:sz="4" w:space="0" w:color="B0B0B0"/>
            </w:tcBorders>
            <w:shd w:val="clear" w:color="003366" w:fill="1F4E79"/>
            <w:vAlign w:val="center"/>
            <w:hideMark/>
          </w:tcPr>
          <w:p w14:paraId="19FE2D34"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Year</w:t>
            </w:r>
          </w:p>
        </w:tc>
        <w:tc>
          <w:tcPr>
            <w:tcW w:w="606" w:type="pct"/>
            <w:tcBorders>
              <w:top w:val="single" w:sz="4" w:space="0" w:color="B0B0B0"/>
              <w:left w:val="nil"/>
              <w:bottom w:val="single" w:sz="4" w:space="0" w:color="B0B0B0"/>
              <w:right w:val="single" w:sz="4" w:space="0" w:color="B0B0B0"/>
            </w:tcBorders>
            <w:shd w:val="clear" w:color="003366" w:fill="1F4E79"/>
            <w:vAlign w:val="center"/>
            <w:hideMark/>
          </w:tcPr>
          <w:p w14:paraId="4718DF89"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Project A CF</w:t>
            </w:r>
          </w:p>
        </w:tc>
        <w:tc>
          <w:tcPr>
            <w:tcW w:w="420" w:type="pct"/>
            <w:tcBorders>
              <w:top w:val="single" w:sz="4" w:space="0" w:color="B0B0B0"/>
              <w:left w:val="nil"/>
              <w:bottom w:val="single" w:sz="4" w:space="0" w:color="B0B0B0"/>
              <w:right w:val="single" w:sz="4" w:space="0" w:color="B0B0B0"/>
            </w:tcBorders>
            <w:shd w:val="clear" w:color="003366" w:fill="1F4E79"/>
            <w:vAlign w:val="center"/>
            <w:hideMark/>
          </w:tcPr>
          <w:p w14:paraId="204454BA"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Project B CF</w:t>
            </w:r>
          </w:p>
        </w:tc>
        <w:tc>
          <w:tcPr>
            <w:tcW w:w="514" w:type="pct"/>
            <w:tcBorders>
              <w:top w:val="single" w:sz="4" w:space="0" w:color="B0B0B0"/>
              <w:left w:val="nil"/>
              <w:bottom w:val="single" w:sz="4" w:space="0" w:color="B0B0B0"/>
              <w:right w:val="single" w:sz="4" w:space="0" w:color="B0B0B0"/>
            </w:tcBorders>
            <w:shd w:val="clear" w:color="003366" w:fill="1F4E79"/>
            <w:vAlign w:val="center"/>
            <w:hideMark/>
          </w:tcPr>
          <w:p w14:paraId="787321C2"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Project C CF</w:t>
            </w:r>
          </w:p>
        </w:tc>
        <w:tc>
          <w:tcPr>
            <w:tcW w:w="700" w:type="pct"/>
            <w:tcBorders>
              <w:top w:val="single" w:sz="4" w:space="0" w:color="B0B0B0"/>
              <w:left w:val="nil"/>
              <w:bottom w:val="single" w:sz="4" w:space="0" w:color="B0B0B0"/>
              <w:right w:val="single" w:sz="4" w:space="0" w:color="B0B0B0"/>
            </w:tcBorders>
            <w:shd w:val="clear" w:color="003366" w:fill="1F4E79"/>
            <w:vAlign w:val="center"/>
            <w:hideMark/>
          </w:tcPr>
          <w:p w14:paraId="73E30689"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Discount Factor</w:t>
            </w:r>
          </w:p>
        </w:tc>
        <w:tc>
          <w:tcPr>
            <w:tcW w:w="798" w:type="pct"/>
            <w:tcBorders>
              <w:top w:val="single" w:sz="4" w:space="0" w:color="B0B0B0"/>
              <w:left w:val="nil"/>
              <w:bottom w:val="single" w:sz="4" w:space="0" w:color="B0B0B0"/>
              <w:right w:val="single" w:sz="4" w:space="0" w:color="B0B0B0"/>
            </w:tcBorders>
            <w:shd w:val="clear" w:color="003366" w:fill="1F4E79"/>
            <w:vAlign w:val="center"/>
            <w:hideMark/>
          </w:tcPr>
          <w:p w14:paraId="677EA7BC"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PV Factor Note</w:t>
            </w:r>
          </w:p>
        </w:tc>
      </w:tr>
      <w:tr w:rsidR="00C3237A" w:rsidRPr="00C00F3A" w14:paraId="15A223C2" w14:textId="77777777" w:rsidTr="00C3237A">
        <w:trPr>
          <w:trHeight w:val="300"/>
        </w:trPr>
        <w:tc>
          <w:tcPr>
            <w:tcW w:w="1962" w:type="pct"/>
            <w:tcBorders>
              <w:top w:val="nil"/>
              <w:left w:val="single" w:sz="4" w:space="0" w:color="B0B0B0"/>
              <w:bottom w:val="single" w:sz="4" w:space="0" w:color="B0B0B0"/>
              <w:right w:val="single" w:sz="4" w:space="0" w:color="B0B0B0"/>
            </w:tcBorders>
            <w:vAlign w:val="center"/>
            <w:hideMark/>
          </w:tcPr>
          <w:p w14:paraId="6E318B05"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0</w:t>
            </w:r>
          </w:p>
        </w:tc>
        <w:tc>
          <w:tcPr>
            <w:tcW w:w="606" w:type="pct"/>
            <w:tcBorders>
              <w:top w:val="nil"/>
              <w:left w:val="nil"/>
              <w:bottom w:val="single" w:sz="4" w:space="0" w:color="B0B0B0"/>
              <w:right w:val="single" w:sz="4" w:space="0" w:color="B0B0B0"/>
            </w:tcBorders>
            <w:vAlign w:val="center"/>
            <w:hideMark/>
          </w:tcPr>
          <w:p w14:paraId="7DAF34D4"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-50.0</w:t>
            </w:r>
          </w:p>
        </w:tc>
        <w:tc>
          <w:tcPr>
            <w:tcW w:w="420" w:type="pct"/>
            <w:tcBorders>
              <w:top w:val="nil"/>
              <w:left w:val="nil"/>
              <w:bottom w:val="single" w:sz="4" w:space="0" w:color="B0B0B0"/>
              <w:right w:val="single" w:sz="4" w:space="0" w:color="B0B0B0"/>
            </w:tcBorders>
            <w:vAlign w:val="center"/>
            <w:hideMark/>
          </w:tcPr>
          <w:p w14:paraId="458A91B1"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-50.0</w:t>
            </w:r>
          </w:p>
        </w:tc>
        <w:tc>
          <w:tcPr>
            <w:tcW w:w="514" w:type="pct"/>
            <w:tcBorders>
              <w:top w:val="nil"/>
              <w:left w:val="nil"/>
              <w:bottom w:val="single" w:sz="4" w:space="0" w:color="B0B0B0"/>
              <w:right w:val="single" w:sz="4" w:space="0" w:color="B0B0B0"/>
            </w:tcBorders>
            <w:vAlign w:val="center"/>
            <w:hideMark/>
          </w:tcPr>
          <w:p w14:paraId="700403B2"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-50.0</w:t>
            </w:r>
          </w:p>
        </w:tc>
        <w:tc>
          <w:tcPr>
            <w:tcW w:w="700" w:type="pct"/>
            <w:tcBorders>
              <w:top w:val="nil"/>
              <w:left w:val="nil"/>
              <w:bottom w:val="single" w:sz="4" w:space="0" w:color="B0B0B0"/>
              <w:right w:val="single" w:sz="4" w:space="0" w:color="B0B0B0"/>
            </w:tcBorders>
            <w:vAlign w:val="center"/>
            <w:hideMark/>
          </w:tcPr>
          <w:p w14:paraId="650EC00B"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1</w:t>
            </w:r>
          </w:p>
        </w:tc>
        <w:tc>
          <w:tcPr>
            <w:tcW w:w="798" w:type="pct"/>
            <w:tcBorders>
              <w:top w:val="nil"/>
              <w:left w:val="nil"/>
              <w:bottom w:val="single" w:sz="4" w:space="0" w:color="B0B0B0"/>
              <w:right w:val="single" w:sz="4" w:space="0" w:color="B0B0B0"/>
            </w:tcBorders>
            <w:vAlign w:val="center"/>
            <w:hideMark/>
          </w:tcPr>
          <w:p w14:paraId="01EA53EC"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Year 0 (initial outlay)</w:t>
            </w:r>
          </w:p>
        </w:tc>
      </w:tr>
      <w:tr w:rsidR="00C3237A" w:rsidRPr="00C00F3A" w14:paraId="3E20A841" w14:textId="77777777" w:rsidTr="00C3237A">
        <w:trPr>
          <w:trHeight w:val="300"/>
        </w:trPr>
        <w:tc>
          <w:tcPr>
            <w:tcW w:w="1962" w:type="pct"/>
            <w:tcBorders>
              <w:top w:val="nil"/>
              <w:left w:val="single" w:sz="4" w:space="0" w:color="B0B0B0"/>
              <w:bottom w:val="single" w:sz="4" w:space="0" w:color="B0B0B0"/>
              <w:right w:val="single" w:sz="4" w:space="0" w:color="B0B0B0"/>
            </w:tcBorders>
            <w:vAlign w:val="center"/>
            <w:hideMark/>
          </w:tcPr>
          <w:p w14:paraId="0842849A"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1</w:t>
            </w:r>
          </w:p>
        </w:tc>
        <w:tc>
          <w:tcPr>
            <w:tcW w:w="606" w:type="pct"/>
            <w:tcBorders>
              <w:top w:val="nil"/>
              <w:left w:val="nil"/>
              <w:bottom w:val="single" w:sz="4" w:space="0" w:color="B0B0B0"/>
              <w:right w:val="single" w:sz="4" w:space="0" w:color="B0B0B0"/>
            </w:tcBorders>
            <w:vAlign w:val="center"/>
            <w:hideMark/>
          </w:tcPr>
          <w:p w14:paraId="7AE5B81F"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10.0</w:t>
            </w:r>
          </w:p>
        </w:tc>
        <w:tc>
          <w:tcPr>
            <w:tcW w:w="420" w:type="pct"/>
            <w:tcBorders>
              <w:top w:val="nil"/>
              <w:left w:val="nil"/>
              <w:bottom w:val="single" w:sz="4" w:space="0" w:color="B0B0B0"/>
              <w:right w:val="single" w:sz="4" w:space="0" w:color="B0B0B0"/>
            </w:tcBorders>
            <w:vAlign w:val="center"/>
            <w:hideMark/>
          </w:tcPr>
          <w:p w14:paraId="59D57598"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11.0</w:t>
            </w:r>
          </w:p>
        </w:tc>
        <w:tc>
          <w:tcPr>
            <w:tcW w:w="514" w:type="pct"/>
            <w:tcBorders>
              <w:top w:val="nil"/>
              <w:left w:val="nil"/>
              <w:bottom w:val="single" w:sz="4" w:space="0" w:color="B0B0B0"/>
              <w:right w:val="single" w:sz="4" w:space="0" w:color="B0B0B0"/>
            </w:tcBorders>
            <w:vAlign w:val="center"/>
            <w:hideMark/>
          </w:tcPr>
          <w:p w14:paraId="6D0D3DA1"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5.0</w:t>
            </w:r>
          </w:p>
        </w:tc>
        <w:tc>
          <w:tcPr>
            <w:tcW w:w="700" w:type="pct"/>
            <w:tcBorders>
              <w:top w:val="nil"/>
              <w:left w:val="nil"/>
              <w:bottom w:val="single" w:sz="4" w:space="0" w:color="B0B0B0"/>
              <w:right w:val="single" w:sz="4" w:space="0" w:color="B0B0B0"/>
            </w:tcBorders>
            <w:vAlign w:val="center"/>
            <w:hideMark/>
          </w:tcPr>
          <w:p w14:paraId="30023B88"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0.9259</w:t>
            </w:r>
          </w:p>
        </w:tc>
        <w:tc>
          <w:tcPr>
            <w:tcW w:w="798" w:type="pct"/>
            <w:tcBorders>
              <w:top w:val="nil"/>
              <w:left w:val="nil"/>
              <w:bottom w:val="single" w:sz="4" w:space="0" w:color="B0B0B0"/>
              <w:right w:val="single" w:sz="4" w:space="0" w:color="B0B0B0"/>
            </w:tcBorders>
            <w:vAlign w:val="center"/>
            <w:hideMark/>
          </w:tcPr>
          <w:p w14:paraId="60B29590"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1/(1+</w:t>
            </w:r>
            <w:proofErr w:type="gramStart"/>
            <w:r w:rsidRPr="00C00F3A">
              <w:rPr>
                <w:rFonts w:ascii="Calibri" w:eastAsia="Times New Roman" w:hAnsi="Calibri" w:cs="Calibri"/>
                <w:sz w:val="22"/>
                <w:szCs w:val="22"/>
                <w:lang w:val="en-GB"/>
              </w:rPr>
              <w:t>r)^</w:t>
            </w:r>
            <w:proofErr w:type="gramEnd"/>
            <w:r w:rsidRPr="00C00F3A">
              <w:rPr>
                <w:rFonts w:ascii="Calibri" w:eastAsia="Times New Roman" w:hAnsi="Calibri" w:cs="Calibri"/>
                <w:sz w:val="22"/>
                <w:szCs w:val="22"/>
                <w:lang w:val="en-GB"/>
              </w:rPr>
              <w:t>1</w:t>
            </w:r>
          </w:p>
        </w:tc>
      </w:tr>
      <w:tr w:rsidR="00C3237A" w:rsidRPr="00C00F3A" w14:paraId="0ACC3DD9" w14:textId="77777777" w:rsidTr="00C3237A">
        <w:trPr>
          <w:trHeight w:val="300"/>
        </w:trPr>
        <w:tc>
          <w:tcPr>
            <w:tcW w:w="1962" w:type="pct"/>
            <w:tcBorders>
              <w:top w:val="nil"/>
              <w:left w:val="single" w:sz="4" w:space="0" w:color="B0B0B0"/>
              <w:bottom w:val="single" w:sz="4" w:space="0" w:color="B0B0B0"/>
              <w:right w:val="single" w:sz="4" w:space="0" w:color="B0B0B0"/>
            </w:tcBorders>
            <w:vAlign w:val="center"/>
            <w:hideMark/>
          </w:tcPr>
          <w:p w14:paraId="05E39185"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2</w:t>
            </w:r>
          </w:p>
        </w:tc>
        <w:tc>
          <w:tcPr>
            <w:tcW w:w="606" w:type="pct"/>
            <w:tcBorders>
              <w:top w:val="nil"/>
              <w:left w:val="nil"/>
              <w:bottom w:val="single" w:sz="4" w:space="0" w:color="B0B0B0"/>
              <w:right w:val="single" w:sz="4" w:space="0" w:color="B0B0B0"/>
            </w:tcBorders>
            <w:vAlign w:val="center"/>
            <w:hideMark/>
          </w:tcPr>
          <w:p w14:paraId="06524EDF"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12.0</w:t>
            </w:r>
          </w:p>
        </w:tc>
        <w:tc>
          <w:tcPr>
            <w:tcW w:w="420" w:type="pct"/>
            <w:tcBorders>
              <w:top w:val="nil"/>
              <w:left w:val="nil"/>
              <w:bottom w:val="single" w:sz="4" w:space="0" w:color="B0B0B0"/>
              <w:right w:val="single" w:sz="4" w:space="0" w:color="B0B0B0"/>
            </w:tcBorders>
            <w:vAlign w:val="center"/>
            <w:hideMark/>
          </w:tcPr>
          <w:p w14:paraId="1EA8734A"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11.0</w:t>
            </w:r>
          </w:p>
        </w:tc>
        <w:tc>
          <w:tcPr>
            <w:tcW w:w="514" w:type="pct"/>
            <w:tcBorders>
              <w:top w:val="nil"/>
              <w:left w:val="nil"/>
              <w:bottom w:val="single" w:sz="4" w:space="0" w:color="B0B0B0"/>
              <w:right w:val="single" w:sz="4" w:space="0" w:color="B0B0B0"/>
            </w:tcBorders>
            <w:vAlign w:val="center"/>
            <w:hideMark/>
          </w:tcPr>
          <w:p w14:paraId="3F5BB327"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10.0</w:t>
            </w:r>
          </w:p>
        </w:tc>
        <w:tc>
          <w:tcPr>
            <w:tcW w:w="700" w:type="pct"/>
            <w:tcBorders>
              <w:top w:val="nil"/>
              <w:left w:val="nil"/>
              <w:bottom w:val="single" w:sz="4" w:space="0" w:color="B0B0B0"/>
              <w:right w:val="single" w:sz="4" w:space="0" w:color="B0B0B0"/>
            </w:tcBorders>
            <w:vAlign w:val="center"/>
            <w:hideMark/>
          </w:tcPr>
          <w:p w14:paraId="3BF4ADC5"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0.8573</w:t>
            </w:r>
          </w:p>
        </w:tc>
        <w:tc>
          <w:tcPr>
            <w:tcW w:w="798" w:type="pct"/>
            <w:tcBorders>
              <w:top w:val="nil"/>
              <w:left w:val="nil"/>
              <w:bottom w:val="single" w:sz="4" w:space="0" w:color="B0B0B0"/>
              <w:right w:val="single" w:sz="4" w:space="0" w:color="B0B0B0"/>
            </w:tcBorders>
            <w:vAlign w:val="center"/>
            <w:hideMark/>
          </w:tcPr>
          <w:p w14:paraId="34BB26CC"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1/(1+</w:t>
            </w:r>
            <w:proofErr w:type="gramStart"/>
            <w:r w:rsidRPr="00C00F3A">
              <w:rPr>
                <w:rFonts w:ascii="Calibri" w:eastAsia="Times New Roman" w:hAnsi="Calibri" w:cs="Calibri"/>
                <w:sz w:val="22"/>
                <w:szCs w:val="22"/>
                <w:lang w:val="en-GB"/>
              </w:rPr>
              <w:t>r)^</w:t>
            </w:r>
            <w:proofErr w:type="gramEnd"/>
            <w:r w:rsidRPr="00C00F3A">
              <w:rPr>
                <w:rFonts w:ascii="Calibri" w:eastAsia="Times New Roman" w:hAnsi="Calibri" w:cs="Calibri"/>
                <w:sz w:val="22"/>
                <w:szCs w:val="22"/>
                <w:lang w:val="en-GB"/>
              </w:rPr>
              <w:t>2</w:t>
            </w:r>
          </w:p>
        </w:tc>
      </w:tr>
      <w:tr w:rsidR="00C3237A" w:rsidRPr="00C00F3A" w14:paraId="548B551A" w14:textId="77777777" w:rsidTr="00C3237A">
        <w:trPr>
          <w:trHeight w:val="300"/>
        </w:trPr>
        <w:tc>
          <w:tcPr>
            <w:tcW w:w="1962" w:type="pct"/>
            <w:tcBorders>
              <w:top w:val="nil"/>
              <w:left w:val="single" w:sz="4" w:space="0" w:color="B0B0B0"/>
              <w:bottom w:val="single" w:sz="4" w:space="0" w:color="B0B0B0"/>
              <w:right w:val="single" w:sz="4" w:space="0" w:color="B0B0B0"/>
            </w:tcBorders>
            <w:vAlign w:val="center"/>
            <w:hideMark/>
          </w:tcPr>
          <w:p w14:paraId="586D6A39"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3</w:t>
            </w:r>
          </w:p>
        </w:tc>
        <w:tc>
          <w:tcPr>
            <w:tcW w:w="606" w:type="pct"/>
            <w:tcBorders>
              <w:top w:val="nil"/>
              <w:left w:val="nil"/>
              <w:bottom w:val="single" w:sz="4" w:space="0" w:color="B0B0B0"/>
              <w:right w:val="single" w:sz="4" w:space="0" w:color="B0B0B0"/>
            </w:tcBorders>
            <w:vAlign w:val="center"/>
            <w:hideMark/>
          </w:tcPr>
          <w:p w14:paraId="7890F5FA"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14.0</w:t>
            </w:r>
          </w:p>
        </w:tc>
        <w:tc>
          <w:tcPr>
            <w:tcW w:w="420" w:type="pct"/>
            <w:tcBorders>
              <w:top w:val="nil"/>
              <w:left w:val="nil"/>
              <w:bottom w:val="single" w:sz="4" w:space="0" w:color="B0B0B0"/>
              <w:right w:val="single" w:sz="4" w:space="0" w:color="B0B0B0"/>
            </w:tcBorders>
            <w:vAlign w:val="center"/>
            <w:hideMark/>
          </w:tcPr>
          <w:p w14:paraId="6C397FE3"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11.0</w:t>
            </w:r>
          </w:p>
        </w:tc>
        <w:tc>
          <w:tcPr>
            <w:tcW w:w="514" w:type="pct"/>
            <w:tcBorders>
              <w:top w:val="nil"/>
              <w:left w:val="nil"/>
              <w:bottom w:val="single" w:sz="4" w:space="0" w:color="B0B0B0"/>
              <w:right w:val="single" w:sz="4" w:space="0" w:color="B0B0B0"/>
            </w:tcBorders>
            <w:vAlign w:val="center"/>
            <w:hideMark/>
          </w:tcPr>
          <w:p w14:paraId="74EC2245"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20.0</w:t>
            </w:r>
          </w:p>
        </w:tc>
        <w:tc>
          <w:tcPr>
            <w:tcW w:w="700" w:type="pct"/>
            <w:tcBorders>
              <w:top w:val="nil"/>
              <w:left w:val="nil"/>
              <w:bottom w:val="single" w:sz="4" w:space="0" w:color="B0B0B0"/>
              <w:right w:val="single" w:sz="4" w:space="0" w:color="B0B0B0"/>
            </w:tcBorders>
            <w:vAlign w:val="center"/>
            <w:hideMark/>
          </w:tcPr>
          <w:p w14:paraId="21EBA62E"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0.7938</w:t>
            </w:r>
          </w:p>
        </w:tc>
        <w:tc>
          <w:tcPr>
            <w:tcW w:w="798" w:type="pct"/>
            <w:tcBorders>
              <w:top w:val="nil"/>
              <w:left w:val="nil"/>
              <w:bottom w:val="single" w:sz="4" w:space="0" w:color="B0B0B0"/>
              <w:right w:val="single" w:sz="4" w:space="0" w:color="B0B0B0"/>
            </w:tcBorders>
            <w:vAlign w:val="center"/>
            <w:hideMark/>
          </w:tcPr>
          <w:p w14:paraId="685308F4"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1/(1+</w:t>
            </w:r>
            <w:proofErr w:type="gramStart"/>
            <w:r w:rsidRPr="00C00F3A">
              <w:rPr>
                <w:rFonts w:ascii="Calibri" w:eastAsia="Times New Roman" w:hAnsi="Calibri" w:cs="Calibri"/>
                <w:sz w:val="22"/>
                <w:szCs w:val="22"/>
                <w:lang w:val="en-GB"/>
              </w:rPr>
              <w:t>r)^</w:t>
            </w:r>
            <w:proofErr w:type="gramEnd"/>
            <w:r w:rsidRPr="00C00F3A">
              <w:rPr>
                <w:rFonts w:ascii="Calibri" w:eastAsia="Times New Roman" w:hAnsi="Calibri" w:cs="Calibri"/>
                <w:sz w:val="22"/>
                <w:szCs w:val="22"/>
                <w:lang w:val="en-GB"/>
              </w:rPr>
              <w:t>3</w:t>
            </w:r>
          </w:p>
        </w:tc>
      </w:tr>
      <w:tr w:rsidR="00C3237A" w:rsidRPr="00C00F3A" w14:paraId="53E055A7" w14:textId="77777777" w:rsidTr="00C3237A">
        <w:trPr>
          <w:trHeight w:val="300"/>
        </w:trPr>
        <w:tc>
          <w:tcPr>
            <w:tcW w:w="1962" w:type="pct"/>
            <w:tcBorders>
              <w:top w:val="nil"/>
              <w:left w:val="single" w:sz="4" w:space="0" w:color="B0B0B0"/>
              <w:bottom w:val="single" w:sz="4" w:space="0" w:color="B0B0B0"/>
              <w:right w:val="single" w:sz="4" w:space="0" w:color="B0B0B0"/>
            </w:tcBorders>
            <w:vAlign w:val="center"/>
            <w:hideMark/>
          </w:tcPr>
          <w:p w14:paraId="004CA5D5"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4</w:t>
            </w:r>
          </w:p>
        </w:tc>
        <w:tc>
          <w:tcPr>
            <w:tcW w:w="606" w:type="pct"/>
            <w:tcBorders>
              <w:top w:val="nil"/>
              <w:left w:val="nil"/>
              <w:bottom w:val="single" w:sz="4" w:space="0" w:color="B0B0B0"/>
              <w:right w:val="single" w:sz="4" w:space="0" w:color="B0B0B0"/>
            </w:tcBorders>
            <w:vAlign w:val="center"/>
            <w:hideMark/>
          </w:tcPr>
          <w:p w14:paraId="178298A0"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10.0</w:t>
            </w:r>
          </w:p>
        </w:tc>
        <w:tc>
          <w:tcPr>
            <w:tcW w:w="420" w:type="pct"/>
            <w:tcBorders>
              <w:top w:val="nil"/>
              <w:left w:val="nil"/>
              <w:bottom w:val="single" w:sz="4" w:space="0" w:color="B0B0B0"/>
              <w:right w:val="single" w:sz="4" w:space="0" w:color="B0B0B0"/>
            </w:tcBorders>
            <w:vAlign w:val="center"/>
            <w:hideMark/>
          </w:tcPr>
          <w:p w14:paraId="0825E71B"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11.0</w:t>
            </w:r>
          </w:p>
        </w:tc>
        <w:tc>
          <w:tcPr>
            <w:tcW w:w="514" w:type="pct"/>
            <w:tcBorders>
              <w:top w:val="nil"/>
              <w:left w:val="nil"/>
              <w:bottom w:val="single" w:sz="4" w:space="0" w:color="B0B0B0"/>
              <w:right w:val="single" w:sz="4" w:space="0" w:color="B0B0B0"/>
            </w:tcBorders>
            <w:vAlign w:val="center"/>
            <w:hideMark/>
          </w:tcPr>
          <w:p w14:paraId="311FA266"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25.0</w:t>
            </w:r>
          </w:p>
        </w:tc>
        <w:tc>
          <w:tcPr>
            <w:tcW w:w="700" w:type="pct"/>
            <w:tcBorders>
              <w:top w:val="nil"/>
              <w:left w:val="nil"/>
              <w:bottom w:val="single" w:sz="4" w:space="0" w:color="B0B0B0"/>
              <w:right w:val="single" w:sz="4" w:space="0" w:color="B0B0B0"/>
            </w:tcBorders>
            <w:vAlign w:val="center"/>
            <w:hideMark/>
          </w:tcPr>
          <w:p w14:paraId="25A5F9CE"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0.7350</w:t>
            </w:r>
          </w:p>
        </w:tc>
        <w:tc>
          <w:tcPr>
            <w:tcW w:w="798" w:type="pct"/>
            <w:tcBorders>
              <w:top w:val="nil"/>
              <w:left w:val="nil"/>
              <w:bottom w:val="single" w:sz="4" w:space="0" w:color="B0B0B0"/>
              <w:right w:val="single" w:sz="4" w:space="0" w:color="B0B0B0"/>
            </w:tcBorders>
            <w:vAlign w:val="center"/>
            <w:hideMark/>
          </w:tcPr>
          <w:p w14:paraId="6B6D1C37"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1/(1+</w:t>
            </w:r>
            <w:proofErr w:type="gramStart"/>
            <w:r w:rsidRPr="00C00F3A">
              <w:rPr>
                <w:rFonts w:ascii="Calibri" w:eastAsia="Times New Roman" w:hAnsi="Calibri" w:cs="Calibri"/>
                <w:sz w:val="22"/>
                <w:szCs w:val="22"/>
                <w:lang w:val="en-GB"/>
              </w:rPr>
              <w:t>r)^</w:t>
            </w:r>
            <w:proofErr w:type="gramEnd"/>
            <w:r w:rsidRPr="00C00F3A">
              <w:rPr>
                <w:rFonts w:ascii="Calibri" w:eastAsia="Times New Roman" w:hAnsi="Calibri" w:cs="Calibri"/>
                <w:sz w:val="22"/>
                <w:szCs w:val="22"/>
                <w:lang w:val="en-GB"/>
              </w:rPr>
              <w:t>4</w:t>
            </w:r>
          </w:p>
        </w:tc>
      </w:tr>
      <w:tr w:rsidR="00C3237A" w:rsidRPr="00C00F3A" w14:paraId="307DC9BB" w14:textId="77777777" w:rsidTr="00C3237A">
        <w:trPr>
          <w:trHeight w:val="300"/>
        </w:trPr>
        <w:tc>
          <w:tcPr>
            <w:tcW w:w="1962" w:type="pct"/>
            <w:tcBorders>
              <w:top w:val="nil"/>
              <w:left w:val="single" w:sz="4" w:space="0" w:color="B0B0B0"/>
              <w:bottom w:val="single" w:sz="4" w:space="0" w:color="B0B0B0"/>
              <w:right w:val="single" w:sz="4" w:space="0" w:color="B0B0B0"/>
            </w:tcBorders>
            <w:vAlign w:val="center"/>
            <w:hideMark/>
          </w:tcPr>
          <w:p w14:paraId="6042C241"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5</w:t>
            </w:r>
          </w:p>
        </w:tc>
        <w:tc>
          <w:tcPr>
            <w:tcW w:w="606" w:type="pct"/>
            <w:tcBorders>
              <w:top w:val="nil"/>
              <w:left w:val="nil"/>
              <w:bottom w:val="single" w:sz="4" w:space="0" w:color="B0B0B0"/>
              <w:right w:val="single" w:sz="4" w:space="0" w:color="B0B0B0"/>
            </w:tcBorders>
            <w:vAlign w:val="center"/>
            <w:hideMark/>
          </w:tcPr>
          <w:p w14:paraId="7C23289A"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8.0</w:t>
            </w:r>
          </w:p>
        </w:tc>
        <w:tc>
          <w:tcPr>
            <w:tcW w:w="420" w:type="pct"/>
            <w:tcBorders>
              <w:top w:val="nil"/>
              <w:left w:val="nil"/>
              <w:bottom w:val="single" w:sz="4" w:space="0" w:color="B0B0B0"/>
              <w:right w:val="single" w:sz="4" w:space="0" w:color="B0B0B0"/>
            </w:tcBorders>
            <w:vAlign w:val="center"/>
            <w:hideMark/>
          </w:tcPr>
          <w:p w14:paraId="6BD998D9"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11.0</w:t>
            </w:r>
          </w:p>
        </w:tc>
        <w:tc>
          <w:tcPr>
            <w:tcW w:w="514" w:type="pct"/>
            <w:tcBorders>
              <w:top w:val="nil"/>
              <w:left w:val="nil"/>
              <w:bottom w:val="single" w:sz="4" w:space="0" w:color="B0B0B0"/>
              <w:right w:val="single" w:sz="4" w:space="0" w:color="B0B0B0"/>
            </w:tcBorders>
            <w:vAlign w:val="center"/>
            <w:hideMark/>
          </w:tcPr>
          <w:p w14:paraId="15C9B53F"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5.0</w:t>
            </w:r>
          </w:p>
        </w:tc>
        <w:tc>
          <w:tcPr>
            <w:tcW w:w="700" w:type="pct"/>
            <w:tcBorders>
              <w:top w:val="nil"/>
              <w:left w:val="nil"/>
              <w:bottom w:val="single" w:sz="4" w:space="0" w:color="B0B0B0"/>
              <w:right w:val="single" w:sz="4" w:space="0" w:color="B0B0B0"/>
            </w:tcBorders>
            <w:vAlign w:val="center"/>
            <w:hideMark/>
          </w:tcPr>
          <w:p w14:paraId="763AE177" w14:textId="77777777" w:rsidR="00C3237A" w:rsidRPr="00C00F3A" w:rsidRDefault="00C3237A" w:rsidP="00C3237A">
            <w:pPr>
              <w:jc w:val="center"/>
              <w:rPr>
                <w:rFonts w:eastAsia="Times New Roman"/>
                <w:sz w:val="20"/>
                <w:szCs w:val="20"/>
                <w:lang w:val="en-GB"/>
              </w:rPr>
            </w:pPr>
            <w:r w:rsidRPr="00C00F3A">
              <w:rPr>
                <w:rFonts w:eastAsia="Times New Roman"/>
                <w:sz w:val="20"/>
                <w:szCs w:val="20"/>
                <w:lang w:val="en-GB"/>
              </w:rPr>
              <w:t>0.6806</w:t>
            </w:r>
          </w:p>
        </w:tc>
        <w:tc>
          <w:tcPr>
            <w:tcW w:w="798" w:type="pct"/>
            <w:tcBorders>
              <w:top w:val="nil"/>
              <w:left w:val="nil"/>
              <w:bottom w:val="single" w:sz="4" w:space="0" w:color="B0B0B0"/>
              <w:right w:val="single" w:sz="4" w:space="0" w:color="B0B0B0"/>
            </w:tcBorders>
            <w:vAlign w:val="center"/>
            <w:hideMark/>
          </w:tcPr>
          <w:p w14:paraId="4BE8792E"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1/(1+</w:t>
            </w:r>
            <w:proofErr w:type="gramStart"/>
            <w:r w:rsidRPr="00C00F3A">
              <w:rPr>
                <w:rFonts w:ascii="Calibri" w:eastAsia="Times New Roman" w:hAnsi="Calibri" w:cs="Calibri"/>
                <w:sz w:val="22"/>
                <w:szCs w:val="22"/>
                <w:lang w:val="en-GB"/>
              </w:rPr>
              <w:t>r)^</w:t>
            </w:r>
            <w:proofErr w:type="gramEnd"/>
            <w:r w:rsidRPr="00C00F3A">
              <w:rPr>
                <w:rFonts w:ascii="Calibri" w:eastAsia="Times New Roman" w:hAnsi="Calibri" w:cs="Calibri"/>
                <w:sz w:val="22"/>
                <w:szCs w:val="22"/>
                <w:lang w:val="en-GB"/>
              </w:rPr>
              <w:t>5</w:t>
            </w:r>
          </w:p>
        </w:tc>
      </w:tr>
      <w:tr w:rsidR="00C3237A" w:rsidRPr="00C00F3A" w14:paraId="44485C36" w14:textId="77777777" w:rsidTr="00C3237A">
        <w:trPr>
          <w:trHeight w:val="300"/>
        </w:trPr>
        <w:tc>
          <w:tcPr>
            <w:tcW w:w="1962" w:type="pct"/>
            <w:tcBorders>
              <w:top w:val="nil"/>
              <w:left w:val="nil"/>
              <w:bottom w:val="nil"/>
              <w:right w:val="nil"/>
            </w:tcBorders>
            <w:noWrap/>
            <w:vAlign w:val="bottom"/>
            <w:hideMark/>
          </w:tcPr>
          <w:p w14:paraId="64B0D39D" w14:textId="77777777" w:rsidR="00C3237A" w:rsidRPr="00C00F3A" w:rsidRDefault="00C3237A" w:rsidP="00C3237A">
            <w:pPr>
              <w:jc w:val="center"/>
              <w:rPr>
                <w:rFonts w:ascii="Calibri" w:eastAsia="Times New Roman" w:hAnsi="Calibri" w:cs="Calibri"/>
                <w:sz w:val="22"/>
                <w:szCs w:val="22"/>
                <w:lang w:val="en-GB"/>
              </w:rPr>
            </w:pPr>
          </w:p>
        </w:tc>
        <w:tc>
          <w:tcPr>
            <w:tcW w:w="606" w:type="pct"/>
            <w:tcBorders>
              <w:top w:val="nil"/>
              <w:left w:val="nil"/>
              <w:bottom w:val="nil"/>
              <w:right w:val="nil"/>
            </w:tcBorders>
            <w:noWrap/>
            <w:vAlign w:val="bottom"/>
            <w:hideMark/>
          </w:tcPr>
          <w:p w14:paraId="6EB30F37" w14:textId="77777777" w:rsidR="00C3237A" w:rsidRPr="00C00F3A" w:rsidRDefault="00C3237A" w:rsidP="00C3237A">
            <w:pPr>
              <w:rPr>
                <w:rFonts w:ascii="Times New Roman" w:eastAsia="Times New Roman" w:hAnsi="Times New Roman" w:cs="Times New Roman"/>
                <w:sz w:val="20"/>
                <w:szCs w:val="20"/>
                <w:lang w:val="en-GB"/>
              </w:rPr>
            </w:pPr>
          </w:p>
        </w:tc>
        <w:tc>
          <w:tcPr>
            <w:tcW w:w="420" w:type="pct"/>
            <w:tcBorders>
              <w:top w:val="nil"/>
              <w:left w:val="nil"/>
              <w:bottom w:val="nil"/>
              <w:right w:val="nil"/>
            </w:tcBorders>
            <w:noWrap/>
            <w:vAlign w:val="bottom"/>
            <w:hideMark/>
          </w:tcPr>
          <w:p w14:paraId="665BA15F" w14:textId="77777777" w:rsidR="00C3237A" w:rsidRPr="00C00F3A" w:rsidRDefault="00C3237A" w:rsidP="00C3237A">
            <w:pPr>
              <w:rPr>
                <w:rFonts w:ascii="Times New Roman" w:eastAsia="Times New Roman" w:hAnsi="Times New Roman" w:cs="Times New Roman"/>
                <w:sz w:val="20"/>
                <w:szCs w:val="20"/>
                <w:lang w:val="en-GB"/>
              </w:rPr>
            </w:pPr>
          </w:p>
        </w:tc>
        <w:tc>
          <w:tcPr>
            <w:tcW w:w="514" w:type="pct"/>
            <w:tcBorders>
              <w:top w:val="nil"/>
              <w:left w:val="nil"/>
              <w:bottom w:val="nil"/>
              <w:right w:val="nil"/>
            </w:tcBorders>
            <w:noWrap/>
            <w:vAlign w:val="bottom"/>
            <w:hideMark/>
          </w:tcPr>
          <w:p w14:paraId="644AA508" w14:textId="77777777" w:rsidR="00C3237A" w:rsidRPr="00C00F3A" w:rsidRDefault="00C3237A" w:rsidP="00C3237A">
            <w:pPr>
              <w:rPr>
                <w:rFonts w:ascii="Times New Roman" w:eastAsia="Times New Roman" w:hAnsi="Times New Roman" w:cs="Times New Roman"/>
                <w:sz w:val="20"/>
                <w:szCs w:val="20"/>
                <w:lang w:val="en-GB"/>
              </w:rPr>
            </w:pPr>
          </w:p>
        </w:tc>
        <w:tc>
          <w:tcPr>
            <w:tcW w:w="700" w:type="pct"/>
            <w:tcBorders>
              <w:top w:val="nil"/>
              <w:left w:val="nil"/>
              <w:bottom w:val="nil"/>
              <w:right w:val="nil"/>
            </w:tcBorders>
            <w:noWrap/>
            <w:vAlign w:val="bottom"/>
            <w:hideMark/>
          </w:tcPr>
          <w:p w14:paraId="1EAA16D9" w14:textId="77777777" w:rsidR="00C3237A" w:rsidRPr="00C00F3A" w:rsidRDefault="00C3237A" w:rsidP="00C3237A">
            <w:pPr>
              <w:rPr>
                <w:rFonts w:ascii="Times New Roman" w:eastAsia="Times New Roman" w:hAnsi="Times New Roman" w:cs="Times New Roman"/>
                <w:sz w:val="20"/>
                <w:szCs w:val="20"/>
                <w:lang w:val="en-GB"/>
              </w:rPr>
            </w:pPr>
          </w:p>
        </w:tc>
        <w:tc>
          <w:tcPr>
            <w:tcW w:w="798" w:type="pct"/>
            <w:tcBorders>
              <w:top w:val="nil"/>
              <w:left w:val="nil"/>
              <w:bottom w:val="nil"/>
              <w:right w:val="nil"/>
            </w:tcBorders>
            <w:noWrap/>
            <w:vAlign w:val="bottom"/>
            <w:hideMark/>
          </w:tcPr>
          <w:p w14:paraId="7E3B4EBB" w14:textId="77777777" w:rsidR="00C3237A" w:rsidRPr="00C00F3A" w:rsidRDefault="00C3237A" w:rsidP="00C3237A">
            <w:pPr>
              <w:rPr>
                <w:rFonts w:ascii="Times New Roman" w:eastAsia="Times New Roman" w:hAnsi="Times New Roman" w:cs="Times New Roman"/>
                <w:sz w:val="20"/>
                <w:szCs w:val="20"/>
                <w:lang w:val="en-GB"/>
              </w:rPr>
            </w:pPr>
          </w:p>
        </w:tc>
      </w:tr>
      <w:tr w:rsidR="00C3237A" w:rsidRPr="00C00F3A" w14:paraId="3FDE3634" w14:textId="77777777" w:rsidTr="00C3237A">
        <w:trPr>
          <w:trHeight w:val="315"/>
        </w:trPr>
        <w:tc>
          <w:tcPr>
            <w:tcW w:w="1962" w:type="pct"/>
            <w:tcBorders>
              <w:top w:val="nil"/>
              <w:left w:val="nil"/>
              <w:bottom w:val="nil"/>
              <w:right w:val="nil"/>
            </w:tcBorders>
            <w:shd w:val="clear" w:color="D9D9D9" w:fill="D6E3F0"/>
            <w:noWrap/>
            <w:vAlign w:val="bottom"/>
            <w:hideMark/>
          </w:tcPr>
          <w:p w14:paraId="27065C42" w14:textId="77777777" w:rsidR="00C3237A" w:rsidRPr="00C00F3A" w:rsidRDefault="00C3237A" w:rsidP="00C3237A">
            <w:pPr>
              <w:rPr>
                <w:rFonts w:eastAsia="Times New Roman"/>
                <w:b/>
                <w:bCs/>
                <w:lang w:val="en-GB"/>
              </w:rPr>
            </w:pPr>
            <w:r w:rsidRPr="00C00F3A">
              <w:rPr>
                <w:rFonts w:eastAsia="Times New Roman"/>
                <w:b/>
                <w:bCs/>
                <w:lang w:val="en-GB"/>
              </w:rPr>
              <w:t>APPRAISAL RESULTS SUMMARY</w:t>
            </w:r>
          </w:p>
        </w:tc>
        <w:tc>
          <w:tcPr>
            <w:tcW w:w="606" w:type="pct"/>
            <w:tcBorders>
              <w:top w:val="nil"/>
              <w:left w:val="nil"/>
              <w:bottom w:val="nil"/>
              <w:right w:val="nil"/>
            </w:tcBorders>
            <w:noWrap/>
            <w:vAlign w:val="bottom"/>
            <w:hideMark/>
          </w:tcPr>
          <w:p w14:paraId="3A0E253F" w14:textId="77777777" w:rsidR="00C3237A" w:rsidRPr="00C00F3A" w:rsidRDefault="00C3237A" w:rsidP="00C3237A">
            <w:pPr>
              <w:rPr>
                <w:rFonts w:eastAsia="Times New Roman"/>
                <w:b/>
                <w:bCs/>
                <w:lang w:val="en-GB"/>
              </w:rPr>
            </w:pPr>
          </w:p>
        </w:tc>
        <w:tc>
          <w:tcPr>
            <w:tcW w:w="420" w:type="pct"/>
            <w:tcBorders>
              <w:top w:val="nil"/>
              <w:left w:val="nil"/>
              <w:bottom w:val="nil"/>
              <w:right w:val="nil"/>
            </w:tcBorders>
            <w:noWrap/>
            <w:vAlign w:val="bottom"/>
            <w:hideMark/>
          </w:tcPr>
          <w:p w14:paraId="4BB7B07C" w14:textId="77777777" w:rsidR="00C3237A" w:rsidRPr="00C00F3A" w:rsidRDefault="00C3237A" w:rsidP="00C3237A">
            <w:pPr>
              <w:rPr>
                <w:rFonts w:ascii="Times New Roman" w:eastAsia="Times New Roman" w:hAnsi="Times New Roman" w:cs="Times New Roman"/>
                <w:sz w:val="20"/>
                <w:szCs w:val="20"/>
                <w:lang w:val="en-GB"/>
              </w:rPr>
            </w:pPr>
          </w:p>
        </w:tc>
        <w:tc>
          <w:tcPr>
            <w:tcW w:w="514" w:type="pct"/>
            <w:tcBorders>
              <w:top w:val="nil"/>
              <w:left w:val="nil"/>
              <w:bottom w:val="nil"/>
              <w:right w:val="nil"/>
            </w:tcBorders>
            <w:noWrap/>
            <w:vAlign w:val="bottom"/>
            <w:hideMark/>
          </w:tcPr>
          <w:p w14:paraId="60FA73A4" w14:textId="77777777" w:rsidR="00C3237A" w:rsidRPr="00C00F3A" w:rsidRDefault="00C3237A" w:rsidP="00C3237A">
            <w:pPr>
              <w:rPr>
                <w:rFonts w:ascii="Times New Roman" w:eastAsia="Times New Roman" w:hAnsi="Times New Roman" w:cs="Times New Roman"/>
                <w:sz w:val="20"/>
                <w:szCs w:val="20"/>
                <w:lang w:val="en-GB"/>
              </w:rPr>
            </w:pPr>
          </w:p>
        </w:tc>
        <w:tc>
          <w:tcPr>
            <w:tcW w:w="700" w:type="pct"/>
            <w:tcBorders>
              <w:top w:val="nil"/>
              <w:left w:val="nil"/>
              <w:bottom w:val="nil"/>
              <w:right w:val="nil"/>
            </w:tcBorders>
            <w:noWrap/>
            <w:vAlign w:val="bottom"/>
            <w:hideMark/>
          </w:tcPr>
          <w:p w14:paraId="03333851" w14:textId="77777777" w:rsidR="00C3237A" w:rsidRPr="00C00F3A" w:rsidRDefault="00C3237A" w:rsidP="00C3237A">
            <w:pPr>
              <w:rPr>
                <w:rFonts w:ascii="Times New Roman" w:eastAsia="Times New Roman" w:hAnsi="Times New Roman" w:cs="Times New Roman"/>
                <w:sz w:val="20"/>
                <w:szCs w:val="20"/>
                <w:lang w:val="en-GB"/>
              </w:rPr>
            </w:pPr>
          </w:p>
        </w:tc>
        <w:tc>
          <w:tcPr>
            <w:tcW w:w="798" w:type="pct"/>
            <w:tcBorders>
              <w:top w:val="nil"/>
              <w:left w:val="nil"/>
              <w:bottom w:val="nil"/>
              <w:right w:val="nil"/>
            </w:tcBorders>
            <w:noWrap/>
            <w:vAlign w:val="bottom"/>
            <w:hideMark/>
          </w:tcPr>
          <w:p w14:paraId="5F0437D1" w14:textId="77777777" w:rsidR="00C3237A" w:rsidRPr="00C00F3A" w:rsidRDefault="00C3237A" w:rsidP="00C3237A">
            <w:pPr>
              <w:rPr>
                <w:rFonts w:ascii="Times New Roman" w:eastAsia="Times New Roman" w:hAnsi="Times New Roman" w:cs="Times New Roman"/>
                <w:sz w:val="20"/>
                <w:szCs w:val="20"/>
                <w:lang w:val="en-GB"/>
              </w:rPr>
            </w:pPr>
          </w:p>
        </w:tc>
      </w:tr>
      <w:tr w:rsidR="00C3237A" w:rsidRPr="00C00F3A" w14:paraId="6EEBBD56" w14:textId="77777777" w:rsidTr="00C3237A">
        <w:trPr>
          <w:trHeight w:val="600"/>
        </w:trPr>
        <w:tc>
          <w:tcPr>
            <w:tcW w:w="1962" w:type="pct"/>
            <w:tcBorders>
              <w:top w:val="single" w:sz="4" w:space="0" w:color="B0B0B0"/>
              <w:left w:val="single" w:sz="4" w:space="0" w:color="B0B0B0"/>
              <w:bottom w:val="single" w:sz="4" w:space="0" w:color="B0B0B0"/>
              <w:right w:val="single" w:sz="4" w:space="0" w:color="B0B0B0"/>
            </w:tcBorders>
            <w:shd w:val="clear" w:color="003366" w:fill="1F4E79"/>
            <w:vAlign w:val="center"/>
            <w:hideMark/>
          </w:tcPr>
          <w:p w14:paraId="4AD23B3D" w14:textId="77777777" w:rsidR="00C3237A" w:rsidRPr="00C00F3A" w:rsidRDefault="00C3237A" w:rsidP="00C3237A">
            <w:pPr>
              <w:jc w:val="center"/>
              <w:rPr>
                <w:rFonts w:eastAsia="Times New Roman"/>
                <w:b/>
                <w:bCs/>
                <w:sz w:val="22"/>
                <w:szCs w:val="22"/>
                <w:lang w:val="en-GB"/>
              </w:rPr>
            </w:pPr>
            <w:r w:rsidRPr="00C00F3A">
              <w:rPr>
                <w:rFonts w:eastAsia="Times New Roman"/>
                <w:b/>
                <w:bCs/>
                <w:sz w:val="22"/>
                <w:szCs w:val="22"/>
                <w:lang w:val="en-GB"/>
              </w:rPr>
              <w:t>Metric</w:t>
            </w:r>
          </w:p>
        </w:tc>
        <w:tc>
          <w:tcPr>
            <w:tcW w:w="606" w:type="pct"/>
            <w:tcBorders>
              <w:top w:val="single" w:sz="4" w:space="0" w:color="B0B0B0"/>
              <w:left w:val="nil"/>
              <w:bottom w:val="single" w:sz="4" w:space="0" w:color="B0B0B0"/>
              <w:right w:val="single" w:sz="4" w:space="0" w:color="B0B0B0"/>
            </w:tcBorders>
            <w:shd w:val="clear" w:color="003366" w:fill="1F4E79"/>
            <w:vAlign w:val="center"/>
            <w:hideMark/>
          </w:tcPr>
          <w:p w14:paraId="7E375E89" w14:textId="77777777" w:rsidR="00C3237A" w:rsidRPr="00C00F3A" w:rsidRDefault="00C3237A" w:rsidP="00C3237A">
            <w:pPr>
              <w:jc w:val="center"/>
              <w:rPr>
                <w:rFonts w:eastAsia="Times New Roman"/>
                <w:b/>
                <w:bCs/>
                <w:sz w:val="22"/>
                <w:szCs w:val="22"/>
                <w:lang w:val="en-GB"/>
              </w:rPr>
            </w:pPr>
            <w:r w:rsidRPr="00C00F3A">
              <w:rPr>
                <w:rFonts w:eastAsia="Times New Roman"/>
                <w:b/>
                <w:bCs/>
                <w:sz w:val="22"/>
                <w:szCs w:val="22"/>
                <w:lang w:val="en-GB"/>
              </w:rPr>
              <w:t>Project A</w:t>
            </w:r>
          </w:p>
        </w:tc>
        <w:tc>
          <w:tcPr>
            <w:tcW w:w="420" w:type="pct"/>
            <w:tcBorders>
              <w:top w:val="single" w:sz="4" w:space="0" w:color="B0B0B0"/>
              <w:left w:val="nil"/>
              <w:bottom w:val="single" w:sz="4" w:space="0" w:color="B0B0B0"/>
              <w:right w:val="single" w:sz="4" w:space="0" w:color="B0B0B0"/>
            </w:tcBorders>
            <w:shd w:val="clear" w:color="003366" w:fill="1F4E79"/>
            <w:vAlign w:val="center"/>
            <w:hideMark/>
          </w:tcPr>
          <w:p w14:paraId="2D32A3A2" w14:textId="77777777" w:rsidR="00C3237A" w:rsidRPr="00C00F3A" w:rsidRDefault="00C3237A" w:rsidP="00C3237A">
            <w:pPr>
              <w:jc w:val="center"/>
              <w:rPr>
                <w:rFonts w:eastAsia="Times New Roman"/>
                <w:b/>
                <w:bCs/>
                <w:sz w:val="22"/>
                <w:szCs w:val="22"/>
                <w:lang w:val="en-GB"/>
              </w:rPr>
            </w:pPr>
            <w:r w:rsidRPr="00C00F3A">
              <w:rPr>
                <w:rFonts w:eastAsia="Times New Roman"/>
                <w:b/>
                <w:bCs/>
                <w:sz w:val="22"/>
                <w:szCs w:val="22"/>
                <w:lang w:val="en-GB"/>
              </w:rPr>
              <w:t>Project B</w:t>
            </w:r>
          </w:p>
        </w:tc>
        <w:tc>
          <w:tcPr>
            <w:tcW w:w="514" w:type="pct"/>
            <w:tcBorders>
              <w:top w:val="single" w:sz="4" w:space="0" w:color="B0B0B0"/>
              <w:left w:val="nil"/>
              <w:bottom w:val="single" w:sz="4" w:space="0" w:color="B0B0B0"/>
              <w:right w:val="single" w:sz="4" w:space="0" w:color="B0B0B0"/>
            </w:tcBorders>
            <w:shd w:val="clear" w:color="003366" w:fill="1F4E79"/>
            <w:vAlign w:val="center"/>
            <w:hideMark/>
          </w:tcPr>
          <w:p w14:paraId="0ABC4D0E" w14:textId="77777777" w:rsidR="00C3237A" w:rsidRPr="00C00F3A" w:rsidRDefault="00C3237A" w:rsidP="00C3237A">
            <w:pPr>
              <w:jc w:val="center"/>
              <w:rPr>
                <w:rFonts w:eastAsia="Times New Roman"/>
                <w:b/>
                <w:bCs/>
                <w:sz w:val="22"/>
                <w:szCs w:val="22"/>
                <w:lang w:val="en-GB"/>
              </w:rPr>
            </w:pPr>
            <w:r w:rsidRPr="00C00F3A">
              <w:rPr>
                <w:rFonts w:eastAsia="Times New Roman"/>
                <w:b/>
                <w:bCs/>
                <w:sz w:val="22"/>
                <w:szCs w:val="22"/>
                <w:lang w:val="en-GB"/>
              </w:rPr>
              <w:t>Project C (BEST)</w:t>
            </w:r>
          </w:p>
        </w:tc>
        <w:tc>
          <w:tcPr>
            <w:tcW w:w="700" w:type="pct"/>
            <w:tcBorders>
              <w:top w:val="single" w:sz="4" w:space="0" w:color="B0B0B0"/>
              <w:left w:val="nil"/>
              <w:bottom w:val="single" w:sz="4" w:space="0" w:color="B0B0B0"/>
              <w:right w:val="single" w:sz="4" w:space="0" w:color="B0B0B0"/>
            </w:tcBorders>
            <w:shd w:val="clear" w:color="003366" w:fill="1F4E79"/>
            <w:vAlign w:val="center"/>
            <w:hideMark/>
          </w:tcPr>
          <w:p w14:paraId="74E4C556" w14:textId="77777777" w:rsidR="00C3237A" w:rsidRPr="00C00F3A" w:rsidRDefault="00C3237A" w:rsidP="00C3237A">
            <w:pPr>
              <w:jc w:val="center"/>
              <w:rPr>
                <w:rFonts w:eastAsia="Times New Roman"/>
                <w:b/>
                <w:bCs/>
                <w:sz w:val="22"/>
                <w:szCs w:val="22"/>
                <w:lang w:val="en-GB"/>
              </w:rPr>
            </w:pPr>
            <w:r w:rsidRPr="00C00F3A">
              <w:rPr>
                <w:rFonts w:eastAsia="Times New Roman"/>
                <w:b/>
                <w:bCs/>
                <w:sz w:val="22"/>
                <w:szCs w:val="22"/>
                <w:lang w:val="en-GB"/>
              </w:rPr>
              <w:t>Decision Rule</w:t>
            </w:r>
          </w:p>
        </w:tc>
        <w:tc>
          <w:tcPr>
            <w:tcW w:w="798" w:type="pct"/>
            <w:tcBorders>
              <w:top w:val="nil"/>
              <w:left w:val="nil"/>
              <w:bottom w:val="nil"/>
              <w:right w:val="nil"/>
            </w:tcBorders>
            <w:noWrap/>
            <w:vAlign w:val="bottom"/>
            <w:hideMark/>
          </w:tcPr>
          <w:p w14:paraId="07735760" w14:textId="77777777" w:rsidR="00C3237A" w:rsidRPr="00C00F3A" w:rsidRDefault="00C3237A" w:rsidP="00C3237A">
            <w:pPr>
              <w:jc w:val="center"/>
              <w:rPr>
                <w:rFonts w:eastAsia="Times New Roman"/>
                <w:b/>
                <w:bCs/>
                <w:sz w:val="22"/>
                <w:szCs w:val="22"/>
                <w:lang w:val="en-GB"/>
              </w:rPr>
            </w:pPr>
          </w:p>
        </w:tc>
      </w:tr>
      <w:tr w:rsidR="00C3237A" w:rsidRPr="00C00F3A" w14:paraId="4731B9B4" w14:textId="77777777" w:rsidTr="00C3237A">
        <w:trPr>
          <w:trHeight w:val="300"/>
        </w:trPr>
        <w:tc>
          <w:tcPr>
            <w:tcW w:w="1962" w:type="pct"/>
            <w:tcBorders>
              <w:top w:val="nil"/>
              <w:left w:val="single" w:sz="4" w:space="0" w:color="B0B0B0"/>
              <w:bottom w:val="single" w:sz="4" w:space="0" w:color="B0B0B0"/>
              <w:right w:val="single" w:sz="4" w:space="0" w:color="B0B0B0"/>
            </w:tcBorders>
            <w:vAlign w:val="center"/>
            <w:hideMark/>
          </w:tcPr>
          <w:p w14:paraId="64CB86AC"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Payback Period (years)</w:t>
            </w:r>
          </w:p>
        </w:tc>
        <w:tc>
          <w:tcPr>
            <w:tcW w:w="606" w:type="pct"/>
            <w:tcBorders>
              <w:top w:val="nil"/>
              <w:left w:val="nil"/>
              <w:bottom w:val="single" w:sz="4" w:space="0" w:color="B0B0B0"/>
              <w:right w:val="single" w:sz="4" w:space="0" w:color="B0B0B0"/>
            </w:tcBorders>
            <w:vAlign w:val="center"/>
            <w:hideMark/>
          </w:tcPr>
          <w:p w14:paraId="6EFA6D31"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4.5</w:t>
            </w:r>
          </w:p>
        </w:tc>
        <w:tc>
          <w:tcPr>
            <w:tcW w:w="420" w:type="pct"/>
            <w:tcBorders>
              <w:top w:val="nil"/>
              <w:left w:val="nil"/>
              <w:bottom w:val="single" w:sz="4" w:space="0" w:color="B0B0B0"/>
              <w:right w:val="single" w:sz="4" w:space="0" w:color="B0B0B0"/>
            </w:tcBorders>
            <w:vAlign w:val="center"/>
            <w:hideMark/>
          </w:tcPr>
          <w:p w14:paraId="183BE28B"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4.55</w:t>
            </w:r>
          </w:p>
        </w:tc>
        <w:tc>
          <w:tcPr>
            <w:tcW w:w="514" w:type="pct"/>
            <w:tcBorders>
              <w:top w:val="nil"/>
              <w:left w:val="nil"/>
              <w:bottom w:val="single" w:sz="4" w:space="0" w:color="B0B0B0"/>
              <w:right w:val="single" w:sz="4" w:space="0" w:color="B0B0B0"/>
            </w:tcBorders>
            <w:shd w:val="clear" w:color="D6E3F0" w:fill="C6EFCE"/>
            <w:vAlign w:val="center"/>
            <w:hideMark/>
          </w:tcPr>
          <w:p w14:paraId="4C6EBE25"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3.6</w:t>
            </w:r>
          </w:p>
        </w:tc>
        <w:tc>
          <w:tcPr>
            <w:tcW w:w="700" w:type="pct"/>
            <w:tcBorders>
              <w:top w:val="nil"/>
              <w:left w:val="nil"/>
              <w:bottom w:val="single" w:sz="4" w:space="0" w:color="B0B0B0"/>
              <w:right w:val="single" w:sz="4" w:space="0" w:color="B0B0B0"/>
            </w:tcBorders>
            <w:vAlign w:val="center"/>
            <w:hideMark/>
          </w:tcPr>
          <w:p w14:paraId="4F816E80"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Lower is better</w:t>
            </w:r>
          </w:p>
        </w:tc>
        <w:tc>
          <w:tcPr>
            <w:tcW w:w="798" w:type="pct"/>
            <w:tcBorders>
              <w:top w:val="nil"/>
              <w:left w:val="nil"/>
              <w:bottom w:val="nil"/>
              <w:right w:val="nil"/>
            </w:tcBorders>
            <w:noWrap/>
            <w:vAlign w:val="bottom"/>
            <w:hideMark/>
          </w:tcPr>
          <w:p w14:paraId="33791545" w14:textId="77777777" w:rsidR="00C3237A" w:rsidRPr="00C00F3A" w:rsidRDefault="00C3237A" w:rsidP="00C3237A">
            <w:pPr>
              <w:jc w:val="center"/>
              <w:rPr>
                <w:rFonts w:ascii="Calibri" w:eastAsia="Times New Roman" w:hAnsi="Calibri" w:cs="Calibri"/>
                <w:sz w:val="22"/>
                <w:szCs w:val="22"/>
                <w:lang w:val="en-GB"/>
              </w:rPr>
            </w:pPr>
          </w:p>
        </w:tc>
      </w:tr>
      <w:tr w:rsidR="00C3237A" w:rsidRPr="00C00F3A" w14:paraId="7805CF46" w14:textId="77777777" w:rsidTr="00C3237A">
        <w:trPr>
          <w:trHeight w:val="300"/>
        </w:trPr>
        <w:tc>
          <w:tcPr>
            <w:tcW w:w="1962" w:type="pct"/>
            <w:tcBorders>
              <w:top w:val="nil"/>
              <w:left w:val="single" w:sz="4" w:space="0" w:color="B0B0B0"/>
              <w:bottom w:val="single" w:sz="4" w:space="0" w:color="B0B0B0"/>
              <w:right w:val="single" w:sz="4" w:space="0" w:color="B0B0B0"/>
            </w:tcBorders>
            <w:vAlign w:val="center"/>
            <w:hideMark/>
          </w:tcPr>
          <w:p w14:paraId="59AE0CB9"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ARR %</w:t>
            </w:r>
          </w:p>
        </w:tc>
        <w:tc>
          <w:tcPr>
            <w:tcW w:w="606" w:type="pct"/>
            <w:tcBorders>
              <w:top w:val="nil"/>
              <w:left w:val="nil"/>
              <w:bottom w:val="single" w:sz="4" w:space="0" w:color="B0B0B0"/>
              <w:right w:val="single" w:sz="4" w:space="0" w:color="B0B0B0"/>
            </w:tcBorders>
            <w:vAlign w:val="center"/>
            <w:hideMark/>
          </w:tcPr>
          <w:p w14:paraId="052B095A"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3.2%</w:t>
            </w:r>
          </w:p>
        </w:tc>
        <w:tc>
          <w:tcPr>
            <w:tcW w:w="420" w:type="pct"/>
            <w:tcBorders>
              <w:top w:val="nil"/>
              <w:left w:val="nil"/>
              <w:bottom w:val="single" w:sz="4" w:space="0" w:color="B0B0B0"/>
              <w:right w:val="single" w:sz="4" w:space="0" w:color="B0B0B0"/>
            </w:tcBorders>
            <w:vAlign w:val="center"/>
            <w:hideMark/>
          </w:tcPr>
          <w:p w14:paraId="5F1263A3"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4.0%</w:t>
            </w:r>
          </w:p>
        </w:tc>
        <w:tc>
          <w:tcPr>
            <w:tcW w:w="514" w:type="pct"/>
            <w:tcBorders>
              <w:top w:val="nil"/>
              <w:left w:val="nil"/>
              <w:bottom w:val="single" w:sz="4" w:space="0" w:color="B0B0B0"/>
              <w:right w:val="single" w:sz="4" w:space="0" w:color="B0B0B0"/>
            </w:tcBorders>
            <w:shd w:val="clear" w:color="D6E3F0" w:fill="C6EFCE"/>
            <w:vAlign w:val="center"/>
            <w:hideMark/>
          </w:tcPr>
          <w:p w14:paraId="5F8548EB"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12.0%</w:t>
            </w:r>
          </w:p>
        </w:tc>
        <w:tc>
          <w:tcPr>
            <w:tcW w:w="700" w:type="pct"/>
            <w:tcBorders>
              <w:top w:val="nil"/>
              <w:left w:val="nil"/>
              <w:bottom w:val="single" w:sz="4" w:space="0" w:color="B0B0B0"/>
              <w:right w:val="single" w:sz="4" w:space="0" w:color="B0B0B0"/>
            </w:tcBorders>
            <w:vAlign w:val="center"/>
            <w:hideMark/>
          </w:tcPr>
          <w:p w14:paraId="174B3E02"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Higher is better</w:t>
            </w:r>
          </w:p>
        </w:tc>
        <w:tc>
          <w:tcPr>
            <w:tcW w:w="798" w:type="pct"/>
            <w:tcBorders>
              <w:top w:val="nil"/>
              <w:left w:val="nil"/>
              <w:bottom w:val="nil"/>
              <w:right w:val="nil"/>
            </w:tcBorders>
            <w:noWrap/>
            <w:vAlign w:val="bottom"/>
            <w:hideMark/>
          </w:tcPr>
          <w:p w14:paraId="3C969603" w14:textId="77777777" w:rsidR="00C3237A" w:rsidRPr="00C00F3A" w:rsidRDefault="00C3237A" w:rsidP="00C3237A">
            <w:pPr>
              <w:jc w:val="center"/>
              <w:rPr>
                <w:rFonts w:ascii="Calibri" w:eastAsia="Times New Roman" w:hAnsi="Calibri" w:cs="Calibri"/>
                <w:sz w:val="22"/>
                <w:szCs w:val="22"/>
                <w:lang w:val="en-GB"/>
              </w:rPr>
            </w:pPr>
          </w:p>
        </w:tc>
      </w:tr>
      <w:tr w:rsidR="00C3237A" w:rsidRPr="00C00F3A" w14:paraId="1296728C" w14:textId="77777777" w:rsidTr="00C3237A">
        <w:trPr>
          <w:trHeight w:val="300"/>
        </w:trPr>
        <w:tc>
          <w:tcPr>
            <w:tcW w:w="1962" w:type="pct"/>
            <w:tcBorders>
              <w:top w:val="nil"/>
              <w:left w:val="single" w:sz="4" w:space="0" w:color="B0B0B0"/>
              <w:bottom w:val="single" w:sz="4" w:space="0" w:color="B0B0B0"/>
              <w:right w:val="single" w:sz="4" w:space="0" w:color="B0B0B0"/>
            </w:tcBorders>
            <w:vAlign w:val="center"/>
            <w:hideMark/>
          </w:tcPr>
          <w:p w14:paraId="11ED96A3"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NPV @ 8% (£m)</w:t>
            </w:r>
          </w:p>
        </w:tc>
        <w:tc>
          <w:tcPr>
            <w:tcW w:w="606" w:type="pct"/>
            <w:tcBorders>
              <w:top w:val="nil"/>
              <w:left w:val="nil"/>
              <w:bottom w:val="single" w:sz="4" w:space="0" w:color="B0B0B0"/>
              <w:right w:val="single" w:sz="4" w:space="0" w:color="B0B0B0"/>
            </w:tcBorders>
            <w:vAlign w:val="center"/>
            <w:hideMark/>
          </w:tcPr>
          <w:p w14:paraId="62B89566"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-6.544</w:t>
            </w:r>
          </w:p>
        </w:tc>
        <w:tc>
          <w:tcPr>
            <w:tcW w:w="420" w:type="pct"/>
            <w:tcBorders>
              <w:top w:val="nil"/>
              <w:left w:val="nil"/>
              <w:bottom w:val="single" w:sz="4" w:space="0" w:color="B0B0B0"/>
              <w:right w:val="single" w:sz="4" w:space="0" w:color="B0B0B0"/>
            </w:tcBorders>
            <w:vAlign w:val="center"/>
            <w:hideMark/>
          </w:tcPr>
          <w:p w14:paraId="5E484E02"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-6.080</w:t>
            </w:r>
          </w:p>
        </w:tc>
        <w:tc>
          <w:tcPr>
            <w:tcW w:w="514" w:type="pct"/>
            <w:tcBorders>
              <w:top w:val="nil"/>
              <w:left w:val="nil"/>
              <w:bottom w:val="single" w:sz="4" w:space="0" w:color="B0B0B0"/>
              <w:right w:val="single" w:sz="4" w:space="0" w:color="B0B0B0"/>
            </w:tcBorders>
            <w:shd w:val="clear" w:color="D6E3F0" w:fill="C6EFCE"/>
            <w:vAlign w:val="center"/>
            <w:hideMark/>
          </w:tcPr>
          <w:p w14:paraId="16E58868"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0.858</w:t>
            </w:r>
          </w:p>
        </w:tc>
        <w:tc>
          <w:tcPr>
            <w:tcW w:w="700" w:type="pct"/>
            <w:tcBorders>
              <w:top w:val="nil"/>
              <w:left w:val="nil"/>
              <w:bottom w:val="single" w:sz="4" w:space="0" w:color="B0B0B0"/>
              <w:right w:val="single" w:sz="4" w:space="0" w:color="B0B0B0"/>
            </w:tcBorders>
            <w:vAlign w:val="center"/>
            <w:hideMark/>
          </w:tcPr>
          <w:p w14:paraId="7EAEC3E9"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Accept if NPV &gt; 0</w:t>
            </w:r>
          </w:p>
        </w:tc>
        <w:tc>
          <w:tcPr>
            <w:tcW w:w="798" w:type="pct"/>
            <w:tcBorders>
              <w:top w:val="nil"/>
              <w:left w:val="nil"/>
              <w:bottom w:val="nil"/>
              <w:right w:val="nil"/>
            </w:tcBorders>
            <w:noWrap/>
            <w:vAlign w:val="bottom"/>
            <w:hideMark/>
          </w:tcPr>
          <w:p w14:paraId="119EC273" w14:textId="77777777" w:rsidR="00C3237A" w:rsidRPr="00C00F3A" w:rsidRDefault="00C3237A" w:rsidP="00C3237A">
            <w:pPr>
              <w:jc w:val="center"/>
              <w:rPr>
                <w:rFonts w:ascii="Calibri" w:eastAsia="Times New Roman" w:hAnsi="Calibri" w:cs="Calibri"/>
                <w:sz w:val="22"/>
                <w:szCs w:val="22"/>
                <w:lang w:val="en-GB"/>
              </w:rPr>
            </w:pPr>
          </w:p>
        </w:tc>
      </w:tr>
      <w:tr w:rsidR="00C3237A" w:rsidRPr="00C00F3A" w14:paraId="2FD9A134" w14:textId="77777777" w:rsidTr="00C3237A">
        <w:trPr>
          <w:trHeight w:val="300"/>
        </w:trPr>
        <w:tc>
          <w:tcPr>
            <w:tcW w:w="1962" w:type="pct"/>
            <w:tcBorders>
              <w:top w:val="nil"/>
              <w:left w:val="single" w:sz="4" w:space="0" w:color="B0B0B0"/>
              <w:bottom w:val="single" w:sz="4" w:space="0" w:color="B0B0B0"/>
              <w:right w:val="single" w:sz="4" w:space="0" w:color="B0B0B0"/>
            </w:tcBorders>
            <w:vAlign w:val="center"/>
            <w:hideMark/>
          </w:tcPr>
          <w:p w14:paraId="30B52440"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Profitability Index (PI)</w:t>
            </w:r>
          </w:p>
        </w:tc>
        <w:tc>
          <w:tcPr>
            <w:tcW w:w="606" w:type="pct"/>
            <w:tcBorders>
              <w:top w:val="nil"/>
              <w:left w:val="nil"/>
              <w:bottom w:val="single" w:sz="4" w:space="0" w:color="B0B0B0"/>
              <w:right w:val="single" w:sz="4" w:space="0" w:color="B0B0B0"/>
            </w:tcBorders>
            <w:vAlign w:val="center"/>
            <w:hideMark/>
          </w:tcPr>
          <w:p w14:paraId="303C785A"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0.869</w:t>
            </w:r>
          </w:p>
        </w:tc>
        <w:tc>
          <w:tcPr>
            <w:tcW w:w="420" w:type="pct"/>
            <w:tcBorders>
              <w:top w:val="nil"/>
              <w:left w:val="nil"/>
              <w:bottom w:val="single" w:sz="4" w:space="0" w:color="B0B0B0"/>
              <w:right w:val="single" w:sz="4" w:space="0" w:color="B0B0B0"/>
            </w:tcBorders>
            <w:vAlign w:val="center"/>
            <w:hideMark/>
          </w:tcPr>
          <w:p w14:paraId="1AE1EB04"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0.878</w:t>
            </w:r>
          </w:p>
        </w:tc>
        <w:tc>
          <w:tcPr>
            <w:tcW w:w="514" w:type="pct"/>
            <w:tcBorders>
              <w:top w:val="nil"/>
              <w:left w:val="nil"/>
              <w:bottom w:val="single" w:sz="4" w:space="0" w:color="B0B0B0"/>
              <w:right w:val="single" w:sz="4" w:space="0" w:color="B0B0B0"/>
            </w:tcBorders>
            <w:shd w:val="clear" w:color="D6E3F0" w:fill="C6EFCE"/>
            <w:vAlign w:val="center"/>
            <w:hideMark/>
          </w:tcPr>
          <w:p w14:paraId="6801B584"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1.017</w:t>
            </w:r>
          </w:p>
        </w:tc>
        <w:tc>
          <w:tcPr>
            <w:tcW w:w="700" w:type="pct"/>
            <w:tcBorders>
              <w:top w:val="nil"/>
              <w:left w:val="nil"/>
              <w:bottom w:val="single" w:sz="4" w:space="0" w:color="B0B0B0"/>
              <w:right w:val="single" w:sz="4" w:space="0" w:color="B0B0B0"/>
            </w:tcBorders>
            <w:vAlign w:val="center"/>
            <w:hideMark/>
          </w:tcPr>
          <w:p w14:paraId="249D8A95"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Accept if PI &gt; 1.0</w:t>
            </w:r>
          </w:p>
        </w:tc>
        <w:tc>
          <w:tcPr>
            <w:tcW w:w="798" w:type="pct"/>
            <w:tcBorders>
              <w:top w:val="nil"/>
              <w:left w:val="nil"/>
              <w:bottom w:val="nil"/>
              <w:right w:val="nil"/>
            </w:tcBorders>
            <w:noWrap/>
            <w:vAlign w:val="bottom"/>
            <w:hideMark/>
          </w:tcPr>
          <w:p w14:paraId="4ADA32BF" w14:textId="77777777" w:rsidR="00C3237A" w:rsidRPr="00C00F3A" w:rsidRDefault="00C3237A" w:rsidP="00C3237A">
            <w:pPr>
              <w:jc w:val="center"/>
              <w:rPr>
                <w:rFonts w:ascii="Calibri" w:eastAsia="Times New Roman" w:hAnsi="Calibri" w:cs="Calibri"/>
                <w:sz w:val="22"/>
                <w:szCs w:val="22"/>
                <w:lang w:val="en-GB"/>
              </w:rPr>
            </w:pPr>
          </w:p>
        </w:tc>
      </w:tr>
      <w:tr w:rsidR="00C3237A" w:rsidRPr="00C00F3A" w14:paraId="6C82513B" w14:textId="77777777" w:rsidTr="00C3237A">
        <w:trPr>
          <w:trHeight w:val="300"/>
        </w:trPr>
        <w:tc>
          <w:tcPr>
            <w:tcW w:w="1962" w:type="pct"/>
            <w:tcBorders>
              <w:top w:val="nil"/>
              <w:left w:val="single" w:sz="4" w:space="0" w:color="B0B0B0"/>
              <w:bottom w:val="single" w:sz="4" w:space="0" w:color="B0B0B0"/>
              <w:right w:val="single" w:sz="4" w:space="0" w:color="B0B0B0"/>
            </w:tcBorders>
            <w:vAlign w:val="center"/>
            <w:hideMark/>
          </w:tcPr>
          <w:p w14:paraId="4B0A1D3C"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IRR %</w:t>
            </w:r>
          </w:p>
        </w:tc>
        <w:tc>
          <w:tcPr>
            <w:tcW w:w="606" w:type="pct"/>
            <w:tcBorders>
              <w:top w:val="nil"/>
              <w:left w:val="nil"/>
              <w:bottom w:val="single" w:sz="4" w:space="0" w:color="B0B0B0"/>
              <w:right w:val="single" w:sz="4" w:space="0" w:color="B0B0B0"/>
            </w:tcBorders>
            <w:vAlign w:val="center"/>
            <w:hideMark/>
          </w:tcPr>
          <w:p w14:paraId="5E105C5D"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2.72%</w:t>
            </w:r>
          </w:p>
        </w:tc>
        <w:tc>
          <w:tcPr>
            <w:tcW w:w="420" w:type="pct"/>
            <w:tcBorders>
              <w:top w:val="nil"/>
              <w:left w:val="nil"/>
              <w:bottom w:val="single" w:sz="4" w:space="0" w:color="B0B0B0"/>
              <w:right w:val="single" w:sz="4" w:space="0" w:color="B0B0B0"/>
            </w:tcBorders>
            <w:vAlign w:val="center"/>
            <w:hideMark/>
          </w:tcPr>
          <w:p w14:paraId="34B44642"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3.26%</w:t>
            </w:r>
          </w:p>
        </w:tc>
        <w:tc>
          <w:tcPr>
            <w:tcW w:w="514" w:type="pct"/>
            <w:tcBorders>
              <w:top w:val="nil"/>
              <w:left w:val="nil"/>
              <w:bottom w:val="single" w:sz="4" w:space="0" w:color="B0B0B0"/>
              <w:right w:val="single" w:sz="4" w:space="0" w:color="B0B0B0"/>
            </w:tcBorders>
            <w:shd w:val="clear" w:color="D6E3F0" w:fill="C6EFCE"/>
            <w:vAlign w:val="center"/>
            <w:hideMark/>
          </w:tcPr>
          <w:p w14:paraId="02F83017"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8.59%</w:t>
            </w:r>
          </w:p>
        </w:tc>
        <w:tc>
          <w:tcPr>
            <w:tcW w:w="700" w:type="pct"/>
            <w:tcBorders>
              <w:top w:val="nil"/>
              <w:left w:val="nil"/>
              <w:bottom w:val="single" w:sz="4" w:space="0" w:color="B0B0B0"/>
              <w:right w:val="single" w:sz="4" w:space="0" w:color="B0B0B0"/>
            </w:tcBorders>
            <w:vAlign w:val="center"/>
            <w:hideMark/>
          </w:tcPr>
          <w:p w14:paraId="06599B3B"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Accept if IRR &gt; 8%</w:t>
            </w:r>
          </w:p>
        </w:tc>
        <w:tc>
          <w:tcPr>
            <w:tcW w:w="798" w:type="pct"/>
            <w:tcBorders>
              <w:top w:val="nil"/>
              <w:left w:val="nil"/>
              <w:bottom w:val="nil"/>
              <w:right w:val="nil"/>
            </w:tcBorders>
            <w:noWrap/>
            <w:vAlign w:val="bottom"/>
            <w:hideMark/>
          </w:tcPr>
          <w:p w14:paraId="36A4D4BE" w14:textId="77777777" w:rsidR="00C3237A" w:rsidRPr="00C00F3A" w:rsidRDefault="00C3237A" w:rsidP="00C3237A">
            <w:pPr>
              <w:jc w:val="center"/>
              <w:rPr>
                <w:rFonts w:ascii="Calibri" w:eastAsia="Times New Roman" w:hAnsi="Calibri" w:cs="Calibri"/>
                <w:sz w:val="22"/>
                <w:szCs w:val="22"/>
                <w:lang w:val="en-GB"/>
              </w:rPr>
            </w:pPr>
          </w:p>
        </w:tc>
      </w:tr>
      <w:tr w:rsidR="00C3237A" w:rsidRPr="00C00F3A" w14:paraId="30345C89" w14:textId="77777777" w:rsidTr="00C3237A">
        <w:trPr>
          <w:trHeight w:val="300"/>
        </w:trPr>
        <w:tc>
          <w:tcPr>
            <w:tcW w:w="1962" w:type="pct"/>
            <w:tcBorders>
              <w:top w:val="nil"/>
              <w:left w:val="nil"/>
              <w:bottom w:val="nil"/>
              <w:right w:val="nil"/>
            </w:tcBorders>
            <w:noWrap/>
            <w:vAlign w:val="bottom"/>
            <w:hideMark/>
          </w:tcPr>
          <w:p w14:paraId="5E733BA5" w14:textId="77777777" w:rsidR="00C3237A" w:rsidRPr="00C00F3A" w:rsidRDefault="00C3237A" w:rsidP="00C3237A">
            <w:pPr>
              <w:rPr>
                <w:rFonts w:ascii="Times New Roman" w:eastAsia="Times New Roman" w:hAnsi="Times New Roman" w:cs="Times New Roman"/>
                <w:sz w:val="20"/>
                <w:szCs w:val="20"/>
                <w:lang w:val="en-GB"/>
              </w:rPr>
            </w:pPr>
          </w:p>
        </w:tc>
        <w:tc>
          <w:tcPr>
            <w:tcW w:w="606" w:type="pct"/>
            <w:tcBorders>
              <w:top w:val="nil"/>
              <w:left w:val="nil"/>
              <w:bottom w:val="nil"/>
              <w:right w:val="nil"/>
            </w:tcBorders>
            <w:noWrap/>
            <w:vAlign w:val="bottom"/>
            <w:hideMark/>
          </w:tcPr>
          <w:p w14:paraId="05C4027C" w14:textId="77777777" w:rsidR="00C3237A" w:rsidRPr="00C00F3A" w:rsidRDefault="00C3237A" w:rsidP="00C3237A">
            <w:pPr>
              <w:rPr>
                <w:rFonts w:ascii="Times New Roman" w:eastAsia="Times New Roman" w:hAnsi="Times New Roman" w:cs="Times New Roman"/>
                <w:sz w:val="20"/>
                <w:szCs w:val="20"/>
                <w:lang w:val="en-GB"/>
              </w:rPr>
            </w:pPr>
          </w:p>
        </w:tc>
        <w:tc>
          <w:tcPr>
            <w:tcW w:w="420" w:type="pct"/>
            <w:tcBorders>
              <w:top w:val="nil"/>
              <w:left w:val="nil"/>
              <w:bottom w:val="nil"/>
              <w:right w:val="nil"/>
            </w:tcBorders>
            <w:noWrap/>
            <w:vAlign w:val="bottom"/>
            <w:hideMark/>
          </w:tcPr>
          <w:p w14:paraId="4BA004D8" w14:textId="77777777" w:rsidR="00C3237A" w:rsidRPr="00C00F3A" w:rsidRDefault="00C3237A" w:rsidP="00C3237A">
            <w:pPr>
              <w:rPr>
                <w:rFonts w:ascii="Times New Roman" w:eastAsia="Times New Roman" w:hAnsi="Times New Roman" w:cs="Times New Roman"/>
                <w:sz w:val="20"/>
                <w:szCs w:val="20"/>
                <w:lang w:val="en-GB"/>
              </w:rPr>
            </w:pPr>
          </w:p>
        </w:tc>
        <w:tc>
          <w:tcPr>
            <w:tcW w:w="514" w:type="pct"/>
            <w:tcBorders>
              <w:top w:val="nil"/>
              <w:left w:val="nil"/>
              <w:bottom w:val="nil"/>
              <w:right w:val="nil"/>
            </w:tcBorders>
            <w:noWrap/>
            <w:vAlign w:val="bottom"/>
            <w:hideMark/>
          </w:tcPr>
          <w:p w14:paraId="54E6BC57" w14:textId="77777777" w:rsidR="00C3237A" w:rsidRPr="00C00F3A" w:rsidRDefault="00C3237A" w:rsidP="00C3237A">
            <w:pPr>
              <w:rPr>
                <w:rFonts w:ascii="Times New Roman" w:eastAsia="Times New Roman" w:hAnsi="Times New Roman" w:cs="Times New Roman"/>
                <w:sz w:val="20"/>
                <w:szCs w:val="20"/>
                <w:lang w:val="en-GB"/>
              </w:rPr>
            </w:pPr>
          </w:p>
        </w:tc>
        <w:tc>
          <w:tcPr>
            <w:tcW w:w="700" w:type="pct"/>
            <w:tcBorders>
              <w:top w:val="nil"/>
              <w:left w:val="nil"/>
              <w:bottom w:val="nil"/>
              <w:right w:val="nil"/>
            </w:tcBorders>
            <w:noWrap/>
            <w:vAlign w:val="bottom"/>
            <w:hideMark/>
          </w:tcPr>
          <w:p w14:paraId="32D448B2" w14:textId="77777777" w:rsidR="00C3237A" w:rsidRPr="00C00F3A" w:rsidRDefault="00C3237A" w:rsidP="00C3237A">
            <w:pPr>
              <w:rPr>
                <w:rFonts w:ascii="Times New Roman" w:eastAsia="Times New Roman" w:hAnsi="Times New Roman" w:cs="Times New Roman"/>
                <w:sz w:val="20"/>
                <w:szCs w:val="20"/>
                <w:lang w:val="en-GB"/>
              </w:rPr>
            </w:pPr>
          </w:p>
        </w:tc>
        <w:tc>
          <w:tcPr>
            <w:tcW w:w="798" w:type="pct"/>
            <w:tcBorders>
              <w:top w:val="nil"/>
              <w:left w:val="nil"/>
              <w:bottom w:val="nil"/>
              <w:right w:val="nil"/>
            </w:tcBorders>
            <w:noWrap/>
            <w:vAlign w:val="bottom"/>
            <w:hideMark/>
          </w:tcPr>
          <w:p w14:paraId="14F5AE82" w14:textId="77777777" w:rsidR="00C3237A" w:rsidRPr="00C00F3A" w:rsidRDefault="00C3237A" w:rsidP="00C3237A">
            <w:pPr>
              <w:rPr>
                <w:rFonts w:ascii="Times New Roman" w:eastAsia="Times New Roman" w:hAnsi="Times New Roman" w:cs="Times New Roman"/>
                <w:sz w:val="20"/>
                <w:szCs w:val="20"/>
                <w:lang w:val="en-GB"/>
              </w:rPr>
            </w:pPr>
          </w:p>
        </w:tc>
      </w:tr>
      <w:tr w:rsidR="00C3237A" w:rsidRPr="00C00F3A" w14:paraId="31A35B8E" w14:textId="77777777" w:rsidTr="00C3237A">
        <w:trPr>
          <w:trHeight w:val="315"/>
        </w:trPr>
        <w:tc>
          <w:tcPr>
            <w:tcW w:w="1962" w:type="pct"/>
            <w:tcBorders>
              <w:top w:val="nil"/>
              <w:left w:val="nil"/>
              <w:bottom w:val="nil"/>
              <w:right w:val="nil"/>
            </w:tcBorders>
            <w:shd w:val="clear" w:color="FFFFFF" w:fill="FFF2CC"/>
            <w:noWrap/>
            <w:vAlign w:val="bottom"/>
            <w:hideMark/>
          </w:tcPr>
          <w:p w14:paraId="63CECD28" w14:textId="77777777" w:rsidR="00C3237A" w:rsidRPr="00C00F3A" w:rsidRDefault="00C3237A" w:rsidP="00C3237A">
            <w:pPr>
              <w:rPr>
                <w:rFonts w:eastAsia="Times New Roman"/>
                <w:b/>
                <w:bCs/>
                <w:lang w:val="en-GB"/>
              </w:rPr>
            </w:pPr>
            <w:r w:rsidRPr="00C00F3A">
              <w:rPr>
                <w:rFonts w:eastAsia="Times New Roman"/>
                <w:b/>
                <w:bCs/>
                <w:lang w:val="en-GB"/>
              </w:rPr>
              <w:t>CAPITAL RATIONING ANALYSIS (Maximum capital available = £100 million)</w:t>
            </w:r>
          </w:p>
        </w:tc>
        <w:tc>
          <w:tcPr>
            <w:tcW w:w="606" w:type="pct"/>
            <w:tcBorders>
              <w:top w:val="nil"/>
              <w:left w:val="nil"/>
              <w:bottom w:val="nil"/>
              <w:right w:val="nil"/>
            </w:tcBorders>
            <w:noWrap/>
            <w:vAlign w:val="bottom"/>
            <w:hideMark/>
          </w:tcPr>
          <w:p w14:paraId="0FA16C1F" w14:textId="77777777" w:rsidR="00C3237A" w:rsidRPr="00C00F3A" w:rsidRDefault="00C3237A" w:rsidP="00C3237A">
            <w:pPr>
              <w:rPr>
                <w:rFonts w:eastAsia="Times New Roman"/>
                <w:b/>
                <w:bCs/>
                <w:lang w:val="en-GB"/>
              </w:rPr>
            </w:pPr>
          </w:p>
        </w:tc>
        <w:tc>
          <w:tcPr>
            <w:tcW w:w="420" w:type="pct"/>
            <w:tcBorders>
              <w:top w:val="nil"/>
              <w:left w:val="nil"/>
              <w:bottom w:val="nil"/>
              <w:right w:val="nil"/>
            </w:tcBorders>
            <w:noWrap/>
            <w:vAlign w:val="bottom"/>
            <w:hideMark/>
          </w:tcPr>
          <w:p w14:paraId="3EBDAD04" w14:textId="77777777" w:rsidR="00C3237A" w:rsidRPr="00C00F3A" w:rsidRDefault="00C3237A" w:rsidP="00C3237A">
            <w:pPr>
              <w:rPr>
                <w:rFonts w:ascii="Times New Roman" w:eastAsia="Times New Roman" w:hAnsi="Times New Roman" w:cs="Times New Roman"/>
                <w:sz w:val="20"/>
                <w:szCs w:val="20"/>
                <w:lang w:val="en-GB"/>
              </w:rPr>
            </w:pPr>
          </w:p>
        </w:tc>
        <w:tc>
          <w:tcPr>
            <w:tcW w:w="514" w:type="pct"/>
            <w:tcBorders>
              <w:top w:val="nil"/>
              <w:left w:val="nil"/>
              <w:bottom w:val="nil"/>
              <w:right w:val="nil"/>
            </w:tcBorders>
            <w:noWrap/>
            <w:vAlign w:val="bottom"/>
            <w:hideMark/>
          </w:tcPr>
          <w:p w14:paraId="0DA33E6F" w14:textId="77777777" w:rsidR="00C3237A" w:rsidRPr="00C00F3A" w:rsidRDefault="00C3237A" w:rsidP="00C3237A">
            <w:pPr>
              <w:rPr>
                <w:rFonts w:ascii="Times New Roman" w:eastAsia="Times New Roman" w:hAnsi="Times New Roman" w:cs="Times New Roman"/>
                <w:sz w:val="20"/>
                <w:szCs w:val="20"/>
                <w:lang w:val="en-GB"/>
              </w:rPr>
            </w:pPr>
          </w:p>
        </w:tc>
        <w:tc>
          <w:tcPr>
            <w:tcW w:w="700" w:type="pct"/>
            <w:tcBorders>
              <w:top w:val="nil"/>
              <w:left w:val="nil"/>
              <w:bottom w:val="nil"/>
              <w:right w:val="nil"/>
            </w:tcBorders>
            <w:noWrap/>
            <w:vAlign w:val="bottom"/>
            <w:hideMark/>
          </w:tcPr>
          <w:p w14:paraId="4A9EE2D8" w14:textId="77777777" w:rsidR="00C3237A" w:rsidRPr="00C00F3A" w:rsidRDefault="00C3237A" w:rsidP="00C3237A">
            <w:pPr>
              <w:rPr>
                <w:rFonts w:ascii="Times New Roman" w:eastAsia="Times New Roman" w:hAnsi="Times New Roman" w:cs="Times New Roman"/>
                <w:sz w:val="20"/>
                <w:szCs w:val="20"/>
                <w:lang w:val="en-GB"/>
              </w:rPr>
            </w:pPr>
          </w:p>
        </w:tc>
        <w:tc>
          <w:tcPr>
            <w:tcW w:w="798" w:type="pct"/>
            <w:tcBorders>
              <w:top w:val="nil"/>
              <w:left w:val="nil"/>
              <w:bottom w:val="nil"/>
              <w:right w:val="nil"/>
            </w:tcBorders>
            <w:noWrap/>
            <w:vAlign w:val="bottom"/>
            <w:hideMark/>
          </w:tcPr>
          <w:p w14:paraId="4C714CFD" w14:textId="77777777" w:rsidR="00C3237A" w:rsidRPr="00C00F3A" w:rsidRDefault="00C3237A" w:rsidP="00C3237A">
            <w:pPr>
              <w:rPr>
                <w:rFonts w:ascii="Times New Roman" w:eastAsia="Times New Roman" w:hAnsi="Times New Roman" w:cs="Times New Roman"/>
                <w:sz w:val="20"/>
                <w:szCs w:val="20"/>
                <w:lang w:val="en-GB"/>
              </w:rPr>
            </w:pPr>
          </w:p>
        </w:tc>
      </w:tr>
      <w:tr w:rsidR="00C3237A" w:rsidRPr="00C00F3A" w14:paraId="0B757477" w14:textId="77777777" w:rsidTr="00C3237A">
        <w:trPr>
          <w:trHeight w:val="900"/>
        </w:trPr>
        <w:tc>
          <w:tcPr>
            <w:tcW w:w="1962" w:type="pct"/>
            <w:tcBorders>
              <w:top w:val="single" w:sz="4" w:space="0" w:color="B0B0B0"/>
              <w:left w:val="single" w:sz="4" w:space="0" w:color="B0B0B0"/>
              <w:bottom w:val="single" w:sz="4" w:space="0" w:color="B0B0B0"/>
              <w:right w:val="single" w:sz="4" w:space="0" w:color="B0B0B0"/>
            </w:tcBorders>
            <w:shd w:val="clear" w:color="003366" w:fill="1F4E79"/>
            <w:vAlign w:val="center"/>
            <w:hideMark/>
          </w:tcPr>
          <w:p w14:paraId="62FC21AA" w14:textId="77777777" w:rsidR="00C3237A" w:rsidRPr="00C00F3A" w:rsidRDefault="00C3237A" w:rsidP="00C3237A">
            <w:pPr>
              <w:jc w:val="center"/>
              <w:rPr>
                <w:rFonts w:eastAsia="Times New Roman"/>
                <w:b/>
                <w:bCs/>
                <w:sz w:val="22"/>
                <w:szCs w:val="22"/>
                <w:lang w:val="en-GB"/>
              </w:rPr>
            </w:pPr>
            <w:r w:rsidRPr="00C00F3A">
              <w:rPr>
                <w:rFonts w:eastAsia="Times New Roman"/>
                <w:b/>
                <w:bCs/>
                <w:sz w:val="22"/>
                <w:szCs w:val="22"/>
                <w:lang w:val="en-GB"/>
              </w:rPr>
              <w:t>Combination</w:t>
            </w:r>
          </w:p>
        </w:tc>
        <w:tc>
          <w:tcPr>
            <w:tcW w:w="606" w:type="pct"/>
            <w:tcBorders>
              <w:top w:val="single" w:sz="4" w:space="0" w:color="B0B0B0"/>
              <w:left w:val="nil"/>
              <w:bottom w:val="single" w:sz="4" w:space="0" w:color="B0B0B0"/>
              <w:right w:val="single" w:sz="4" w:space="0" w:color="B0B0B0"/>
            </w:tcBorders>
            <w:shd w:val="clear" w:color="003366" w:fill="1F4E79"/>
            <w:vAlign w:val="center"/>
            <w:hideMark/>
          </w:tcPr>
          <w:p w14:paraId="7DA450BE" w14:textId="77777777" w:rsidR="00C3237A" w:rsidRPr="00C00F3A" w:rsidRDefault="00C3237A" w:rsidP="00C3237A">
            <w:pPr>
              <w:jc w:val="center"/>
              <w:rPr>
                <w:rFonts w:eastAsia="Times New Roman"/>
                <w:b/>
                <w:bCs/>
                <w:sz w:val="22"/>
                <w:szCs w:val="22"/>
                <w:lang w:val="en-GB"/>
              </w:rPr>
            </w:pPr>
            <w:r w:rsidRPr="00C00F3A">
              <w:rPr>
                <w:rFonts w:eastAsia="Times New Roman"/>
                <w:b/>
                <w:bCs/>
                <w:sz w:val="22"/>
                <w:szCs w:val="22"/>
                <w:lang w:val="en-GB"/>
              </w:rPr>
              <w:t>Total Outlay (£m)</w:t>
            </w:r>
          </w:p>
        </w:tc>
        <w:tc>
          <w:tcPr>
            <w:tcW w:w="420" w:type="pct"/>
            <w:tcBorders>
              <w:top w:val="single" w:sz="4" w:space="0" w:color="B0B0B0"/>
              <w:left w:val="nil"/>
              <w:bottom w:val="single" w:sz="4" w:space="0" w:color="B0B0B0"/>
              <w:right w:val="single" w:sz="4" w:space="0" w:color="B0B0B0"/>
            </w:tcBorders>
            <w:shd w:val="clear" w:color="003366" w:fill="1F4E79"/>
            <w:vAlign w:val="center"/>
            <w:hideMark/>
          </w:tcPr>
          <w:p w14:paraId="23BA8EFF" w14:textId="77777777" w:rsidR="00C3237A" w:rsidRPr="00C00F3A" w:rsidRDefault="00C3237A" w:rsidP="00C3237A">
            <w:pPr>
              <w:jc w:val="center"/>
              <w:rPr>
                <w:rFonts w:eastAsia="Times New Roman"/>
                <w:b/>
                <w:bCs/>
                <w:sz w:val="22"/>
                <w:szCs w:val="22"/>
                <w:lang w:val="en-GB"/>
              </w:rPr>
            </w:pPr>
            <w:r w:rsidRPr="00C00F3A">
              <w:rPr>
                <w:rFonts w:eastAsia="Times New Roman"/>
                <w:b/>
                <w:bCs/>
                <w:sz w:val="22"/>
                <w:szCs w:val="22"/>
                <w:lang w:val="en-GB"/>
              </w:rPr>
              <w:t>Combined NPV (£m)</w:t>
            </w:r>
          </w:p>
        </w:tc>
        <w:tc>
          <w:tcPr>
            <w:tcW w:w="514" w:type="pct"/>
            <w:tcBorders>
              <w:top w:val="single" w:sz="4" w:space="0" w:color="B0B0B0"/>
              <w:left w:val="nil"/>
              <w:bottom w:val="single" w:sz="4" w:space="0" w:color="B0B0B0"/>
              <w:right w:val="single" w:sz="4" w:space="0" w:color="B0B0B0"/>
            </w:tcBorders>
            <w:shd w:val="clear" w:color="003366" w:fill="1F4E79"/>
            <w:vAlign w:val="center"/>
            <w:hideMark/>
          </w:tcPr>
          <w:p w14:paraId="470C9DC9" w14:textId="77777777" w:rsidR="00C3237A" w:rsidRPr="00C00F3A" w:rsidRDefault="00C3237A" w:rsidP="00C3237A">
            <w:pPr>
              <w:jc w:val="center"/>
              <w:rPr>
                <w:rFonts w:eastAsia="Times New Roman"/>
                <w:b/>
                <w:bCs/>
                <w:sz w:val="22"/>
                <w:szCs w:val="22"/>
                <w:lang w:val="en-GB"/>
              </w:rPr>
            </w:pPr>
            <w:r w:rsidRPr="00C00F3A">
              <w:rPr>
                <w:rFonts w:eastAsia="Times New Roman"/>
                <w:b/>
                <w:bCs/>
                <w:sz w:val="22"/>
                <w:szCs w:val="22"/>
                <w:lang w:val="en-GB"/>
              </w:rPr>
              <w:t>Rank / Recommendation</w:t>
            </w:r>
          </w:p>
        </w:tc>
        <w:tc>
          <w:tcPr>
            <w:tcW w:w="700" w:type="pct"/>
            <w:tcBorders>
              <w:top w:val="nil"/>
              <w:left w:val="nil"/>
              <w:bottom w:val="nil"/>
              <w:right w:val="nil"/>
            </w:tcBorders>
            <w:noWrap/>
            <w:vAlign w:val="bottom"/>
            <w:hideMark/>
          </w:tcPr>
          <w:p w14:paraId="4A0DF6FE" w14:textId="77777777" w:rsidR="00C3237A" w:rsidRPr="00C00F3A" w:rsidRDefault="00C3237A" w:rsidP="00C3237A">
            <w:pPr>
              <w:jc w:val="center"/>
              <w:rPr>
                <w:rFonts w:eastAsia="Times New Roman"/>
                <w:b/>
                <w:bCs/>
                <w:sz w:val="22"/>
                <w:szCs w:val="22"/>
                <w:lang w:val="en-GB"/>
              </w:rPr>
            </w:pPr>
          </w:p>
        </w:tc>
        <w:tc>
          <w:tcPr>
            <w:tcW w:w="798" w:type="pct"/>
            <w:tcBorders>
              <w:top w:val="nil"/>
              <w:left w:val="nil"/>
              <w:bottom w:val="nil"/>
              <w:right w:val="nil"/>
            </w:tcBorders>
            <w:noWrap/>
            <w:vAlign w:val="bottom"/>
            <w:hideMark/>
          </w:tcPr>
          <w:p w14:paraId="14C95959" w14:textId="77777777" w:rsidR="00C3237A" w:rsidRPr="00C00F3A" w:rsidRDefault="00C3237A" w:rsidP="00C3237A">
            <w:pPr>
              <w:rPr>
                <w:rFonts w:ascii="Times New Roman" w:eastAsia="Times New Roman" w:hAnsi="Times New Roman" w:cs="Times New Roman"/>
                <w:sz w:val="20"/>
                <w:szCs w:val="20"/>
                <w:lang w:val="en-GB"/>
              </w:rPr>
            </w:pPr>
          </w:p>
        </w:tc>
      </w:tr>
      <w:tr w:rsidR="00C3237A" w:rsidRPr="00C00F3A" w14:paraId="4E050C2A" w14:textId="77777777" w:rsidTr="00C3237A">
        <w:trPr>
          <w:trHeight w:val="510"/>
        </w:trPr>
        <w:tc>
          <w:tcPr>
            <w:tcW w:w="1962" w:type="pct"/>
            <w:tcBorders>
              <w:top w:val="nil"/>
              <w:left w:val="single" w:sz="4" w:space="0" w:color="B0B0B0"/>
              <w:bottom w:val="single" w:sz="4" w:space="0" w:color="B0B0B0"/>
              <w:right w:val="single" w:sz="4" w:space="0" w:color="B0B0B0"/>
            </w:tcBorders>
            <w:shd w:val="clear" w:color="D6E3F0" w:fill="C6EFCE"/>
            <w:vAlign w:val="center"/>
            <w:hideMark/>
          </w:tcPr>
          <w:p w14:paraId="3401B77F"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C only</w:t>
            </w:r>
          </w:p>
        </w:tc>
        <w:tc>
          <w:tcPr>
            <w:tcW w:w="606" w:type="pct"/>
            <w:tcBorders>
              <w:top w:val="nil"/>
              <w:left w:val="nil"/>
              <w:bottom w:val="single" w:sz="4" w:space="0" w:color="B0B0B0"/>
              <w:right w:val="single" w:sz="4" w:space="0" w:color="B0B0B0"/>
            </w:tcBorders>
            <w:shd w:val="clear" w:color="D6E3F0" w:fill="C6EFCE"/>
            <w:vAlign w:val="center"/>
            <w:hideMark/>
          </w:tcPr>
          <w:p w14:paraId="40E95ACE"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50</w:t>
            </w:r>
          </w:p>
        </w:tc>
        <w:tc>
          <w:tcPr>
            <w:tcW w:w="420" w:type="pct"/>
            <w:tcBorders>
              <w:top w:val="nil"/>
              <w:left w:val="nil"/>
              <w:bottom w:val="single" w:sz="4" w:space="0" w:color="B0B0B0"/>
              <w:right w:val="single" w:sz="4" w:space="0" w:color="B0B0B0"/>
            </w:tcBorders>
            <w:shd w:val="clear" w:color="D6E3F0" w:fill="C6EFCE"/>
            <w:vAlign w:val="center"/>
            <w:hideMark/>
          </w:tcPr>
          <w:p w14:paraId="534D583E"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0.858</w:t>
            </w:r>
          </w:p>
        </w:tc>
        <w:tc>
          <w:tcPr>
            <w:tcW w:w="514" w:type="pct"/>
            <w:tcBorders>
              <w:top w:val="nil"/>
              <w:left w:val="nil"/>
              <w:bottom w:val="single" w:sz="4" w:space="0" w:color="B0B0B0"/>
              <w:right w:val="single" w:sz="4" w:space="0" w:color="B0B0B0"/>
            </w:tcBorders>
            <w:shd w:val="clear" w:color="D6E3F0" w:fill="C6EFCE"/>
            <w:vAlign w:val="center"/>
            <w:hideMark/>
          </w:tcPr>
          <w:p w14:paraId="593F2055" w14:textId="77777777" w:rsidR="00C3237A" w:rsidRPr="00C00F3A" w:rsidRDefault="00C3237A" w:rsidP="00C3237A">
            <w:pPr>
              <w:jc w:val="center"/>
              <w:rPr>
                <w:rFonts w:eastAsia="Times New Roman"/>
                <w:b/>
                <w:bCs/>
                <w:sz w:val="20"/>
                <w:szCs w:val="20"/>
                <w:lang w:val="en-GB"/>
              </w:rPr>
            </w:pPr>
            <w:r w:rsidRPr="00C00F3A">
              <w:rPr>
                <w:rFonts w:eastAsia="Times New Roman"/>
                <w:b/>
                <w:bCs/>
                <w:sz w:val="20"/>
                <w:szCs w:val="20"/>
                <w:lang w:val="en-GB"/>
              </w:rPr>
              <w:t>1 – RECOMMENDED</w:t>
            </w:r>
          </w:p>
        </w:tc>
        <w:tc>
          <w:tcPr>
            <w:tcW w:w="700" w:type="pct"/>
            <w:tcBorders>
              <w:top w:val="nil"/>
              <w:left w:val="nil"/>
              <w:bottom w:val="nil"/>
              <w:right w:val="nil"/>
            </w:tcBorders>
            <w:noWrap/>
            <w:vAlign w:val="bottom"/>
            <w:hideMark/>
          </w:tcPr>
          <w:p w14:paraId="65C8469A" w14:textId="77777777" w:rsidR="00C3237A" w:rsidRPr="00C00F3A" w:rsidRDefault="00C3237A" w:rsidP="00C3237A">
            <w:pPr>
              <w:jc w:val="center"/>
              <w:rPr>
                <w:rFonts w:eastAsia="Times New Roman"/>
                <w:b/>
                <w:bCs/>
                <w:sz w:val="20"/>
                <w:szCs w:val="20"/>
                <w:lang w:val="en-GB"/>
              </w:rPr>
            </w:pPr>
          </w:p>
        </w:tc>
        <w:tc>
          <w:tcPr>
            <w:tcW w:w="798" w:type="pct"/>
            <w:tcBorders>
              <w:top w:val="nil"/>
              <w:left w:val="nil"/>
              <w:bottom w:val="nil"/>
              <w:right w:val="nil"/>
            </w:tcBorders>
            <w:noWrap/>
            <w:vAlign w:val="bottom"/>
            <w:hideMark/>
          </w:tcPr>
          <w:p w14:paraId="4F496719" w14:textId="77777777" w:rsidR="00C3237A" w:rsidRPr="00C00F3A" w:rsidRDefault="00C3237A" w:rsidP="00C3237A">
            <w:pPr>
              <w:rPr>
                <w:rFonts w:ascii="Times New Roman" w:eastAsia="Times New Roman" w:hAnsi="Times New Roman" w:cs="Times New Roman"/>
                <w:sz w:val="20"/>
                <w:szCs w:val="20"/>
                <w:lang w:val="en-GB"/>
              </w:rPr>
            </w:pPr>
          </w:p>
        </w:tc>
      </w:tr>
      <w:tr w:rsidR="00C3237A" w:rsidRPr="00C00F3A" w14:paraId="3D920B33" w14:textId="77777777" w:rsidTr="00C3237A">
        <w:trPr>
          <w:trHeight w:val="300"/>
        </w:trPr>
        <w:tc>
          <w:tcPr>
            <w:tcW w:w="1962" w:type="pct"/>
            <w:tcBorders>
              <w:top w:val="nil"/>
              <w:left w:val="single" w:sz="4" w:space="0" w:color="B0B0B0"/>
              <w:bottom w:val="single" w:sz="4" w:space="0" w:color="B0B0B0"/>
              <w:right w:val="single" w:sz="4" w:space="0" w:color="B0B0B0"/>
            </w:tcBorders>
            <w:vAlign w:val="center"/>
            <w:hideMark/>
          </w:tcPr>
          <w:p w14:paraId="32B0782E"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B + C</w:t>
            </w:r>
          </w:p>
        </w:tc>
        <w:tc>
          <w:tcPr>
            <w:tcW w:w="606" w:type="pct"/>
            <w:tcBorders>
              <w:top w:val="nil"/>
              <w:left w:val="nil"/>
              <w:bottom w:val="single" w:sz="4" w:space="0" w:color="B0B0B0"/>
              <w:right w:val="single" w:sz="4" w:space="0" w:color="B0B0B0"/>
            </w:tcBorders>
            <w:vAlign w:val="center"/>
            <w:hideMark/>
          </w:tcPr>
          <w:p w14:paraId="36FF5D25"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100.000</w:t>
            </w:r>
          </w:p>
        </w:tc>
        <w:tc>
          <w:tcPr>
            <w:tcW w:w="420" w:type="pct"/>
            <w:tcBorders>
              <w:top w:val="nil"/>
              <w:left w:val="nil"/>
              <w:bottom w:val="single" w:sz="4" w:space="0" w:color="B0B0B0"/>
              <w:right w:val="single" w:sz="4" w:space="0" w:color="B0B0B0"/>
            </w:tcBorders>
            <w:vAlign w:val="center"/>
            <w:hideMark/>
          </w:tcPr>
          <w:p w14:paraId="7DA52583"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-5.222</w:t>
            </w:r>
          </w:p>
        </w:tc>
        <w:tc>
          <w:tcPr>
            <w:tcW w:w="514" w:type="pct"/>
            <w:tcBorders>
              <w:top w:val="nil"/>
              <w:left w:val="nil"/>
              <w:bottom w:val="single" w:sz="4" w:space="0" w:color="B0B0B0"/>
              <w:right w:val="single" w:sz="4" w:space="0" w:color="B0B0B0"/>
            </w:tcBorders>
            <w:vAlign w:val="center"/>
            <w:hideMark/>
          </w:tcPr>
          <w:p w14:paraId="439D00F6"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2</w:t>
            </w:r>
          </w:p>
        </w:tc>
        <w:tc>
          <w:tcPr>
            <w:tcW w:w="700" w:type="pct"/>
            <w:tcBorders>
              <w:top w:val="nil"/>
              <w:left w:val="nil"/>
              <w:bottom w:val="nil"/>
              <w:right w:val="nil"/>
            </w:tcBorders>
            <w:noWrap/>
            <w:vAlign w:val="bottom"/>
            <w:hideMark/>
          </w:tcPr>
          <w:p w14:paraId="793AA645" w14:textId="77777777" w:rsidR="00C3237A" w:rsidRPr="00C00F3A" w:rsidRDefault="00C3237A" w:rsidP="00C3237A">
            <w:pPr>
              <w:jc w:val="center"/>
              <w:rPr>
                <w:rFonts w:ascii="Calibri" w:eastAsia="Times New Roman" w:hAnsi="Calibri" w:cs="Calibri"/>
                <w:sz w:val="22"/>
                <w:szCs w:val="22"/>
                <w:lang w:val="en-GB"/>
              </w:rPr>
            </w:pPr>
          </w:p>
        </w:tc>
        <w:tc>
          <w:tcPr>
            <w:tcW w:w="798" w:type="pct"/>
            <w:tcBorders>
              <w:top w:val="nil"/>
              <w:left w:val="nil"/>
              <w:bottom w:val="nil"/>
              <w:right w:val="nil"/>
            </w:tcBorders>
            <w:noWrap/>
            <w:vAlign w:val="bottom"/>
            <w:hideMark/>
          </w:tcPr>
          <w:p w14:paraId="5A099B27" w14:textId="77777777" w:rsidR="00C3237A" w:rsidRPr="00C00F3A" w:rsidRDefault="00C3237A" w:rsidP="00C3237A">
            <w:pPr>
              <w:rPr>
                <w:rFonts w:ascii="Times New Roman" w:eastAsia="Times New Roman" w:hAnsi="Times New Roman" w:cs="Times New Roman"/>
                <w:sz w:val="20"/>
                <w:szCs w:val="20"/>
                <w:lang w:val="en-GB"/>
              </w:rPr>
            </w:pPr>
          </w:p>
        </w:tc>
      </w:tr>
      <w:tr w:rsidR="00C3237A" w:rsidRPr="00C00F3A" w14:paraId="28937DDB" w14:textId="77777777" w:rsidTr="00C3237A">
        <w:trPr>
          <w:trHeight w:val="300"/>
        </w:trPr>
        <w:tc>
          <w:tcPr>
            <w:tcW w:w="1962" w:type="pct"/>
            <w:tcBorders>
              <w:top w:val="nil"/>
              <w:left w:val="single" w:sz="4" w:space="0" w:color="B0B0B0"/>
              <w:bottom w:val="single" w:sz="4" w:space="0" w:color="B0B0B0"/>
              <w:right w:val="single" w:sz="4" w:space="0" w:color="B0B0B0"/>
            </w:tcBorders>
            <w:vAlign w:val="center"/>
            <w:hideMark/>
          </w:tcPr>
          <w:p w14:paraId="26C469D0"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A + C</w:t>
            </w:r>
          </w:p>
        </w:tc>
        <w:tc>
          <w:tcPr>
            <w:tcW w:w="606" w:type="pct"/>
            <w:tcBorders>
              <w:top w:val="nil"/>
              <w:left w:val="nil"/>
              <w:bottom w:val="single" w:sz="4" w:space="0" w:color="B0B0B0"/>
              <w:right w:val="single" w:sz="4" w:space="0" w:color="B0B0B0"/>
            </w:tcBorders>
            <w:vAlign w:val="center"/>
            <w:hideMark/>
          </w:tcPr>
          <w:p w14:paraId="581C1293"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100.000</w:t>
            </w:r>
          </w:p>
        </w:tc>
        <w:tc>
          <w:tcPr>
            <w:tcW w:w="420" w:type="pct"/>
            <w:tcBorders>
              <w:top w:val="nil"/>
              <w:left w:val="nil"/>
              <w:bottom w:val="single" w:sz="4" w:space="0" w:color="B0B0B0"/>
              <w:right w:val="single" w:sz="4" w:space="0" w:color="B0B0B0"/>
            </w:tcBorders>
            <w:vAlign w:val="center"/>
            <w:hideMark/>
          </w:tcPr>
          <w:p w14:paraId="48016C37"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-5.686</w:t>
            </w:r>
          </w:p>
        </w:tc>
        <w:tc>
          <w:tcPr>
            <w:tcW w:w="514" w:type="pct"/>
            <w:tcBorders>
              <w:top w:val="nil"/>
              <w:left w:val="nil"/>
              <w:bottom w:val="single" w:sz="4" w:space="0" w:color="B0B0B0"/>
              <w:right w:val="single" w:sz="4" w:space="0" w:color="B0B0B0"/>
            </w:tcBorders>
            <w:vAlign w:val="center"/>
            <w:hideMark/>
          </w:tcPr>
          <w:p w14:paraId="79A15983"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3</w:t>
            </w:r>
          </w:p>
        </w:tc>
        <w:tc>
          <w:tcPr>
            <w:tcW w:w="700" w:type="pct"/>
            <w:tcBorders>
              <w:top w:val="nil"/>
              <w:left w:val="nil"/>
              <w:bottom w:val="nil"/>
              <w:right w:val="nil"/>
            </w:tcBorders>
            <w:noWrap/>
            <w:vAlign w:val="bottom"/>
            <w:hideMark/>
          </w:tcPr>
          <w:p w14:paraId="3DF3E722" w14:textId="77777777" w:rsidR="00C3237A" w:rsidRPr="00C00F3A" w:rsidRDefault="00C3237A" w:rsidP="00C3237A">
            <w:pPr>
              <w:jc w:val="center"/>
              <w:rPr>
                <w:rFonts w:ascii="Calibri" w:eastAsia="Times New Roman" w:hAnsi="Calibri" w:cs="Calibri"/>
                <w:sz w:val="22"/>
                <w:szCs w:val="22"/>
                <w:lang w:val="en-GB"/>
              </w:rPr>
            </w:pPr>
          </w:p>
        </w:tc>
        <w:tc>
          <w:tcPr>
            <w:tcW w:w="798" w:type="pct"/>
            <w:tcBorders>
              <w:top w:val="nil"/>
              <w:left w:val="nil"/>
              <w:bottom w:val="nil"/>
              <w:right w:val="nil"/>
            </w:tcBorders>
            <w:noWrap/>
            <w:vAlign w:val="bottom"/>
            <w:hideMark/>
          </w:tcPr>
          <w:p w14:paraId="50F6D699" w14:textId="77777777" w:rsidR="00C3237A" w:rsidRPr="00C00F3A" w:rsidRDefault="00C3237A" w:rsidP="00C3237A">
            <w:pPr>
              <w:rPr>
                <w:rFonts w:ascii="Times New Roman" w:eastAsia="Times New Roman" w:hAnsi="Times New Roman" w:cs="Times New Roman"/>
                <w:sz w:val="20"/>
                <w:szCs w:val="20"/>
                <w:lang w:val="en-GB"/>
              </w:rPr>
            </w:pPr>
          </w:p>
        </w:tc>
      </w:tr>
      <w:tr w:rsidR="00C3237A" w:rsidRPr="00C00F3A" w14:paraId="19074580" w14:textId="77777777" w:rsidTr="00C3237A">
        <w:trPr>
          <w:trHeight w:val="300"/>
        </w:trPr>
        <w:tc>
          <w:tcPr>
            <w:tcW w:w="1962" w:type="pct"/>
            <w:tcBorders>
              <w:top w:val="nil"/>
              <w:left w:val="single" w:sz="4" w:space="0" w:color="B0B0B0"/>
              <w:bottom w:val="single" w:sz="4" w:space="0" w:color="B0B0B0"/>
              <w:right w:val="single" w:sz="4" w:space="0" w:color="B0B0B0"/>
            </w:tcBorders>
            <w:vAlign w:val="center"/>
            <w:hideMark/>
          </w:tcPr>
          <w:p w14:paraId="3D4FFEF8"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A + B</w:t>
            </w:r>
          </w:p>
        </w:tc>
        <w:tc>
          <w:tcPr>
            <w:tcW w:w="606" w:type="pct"/>
            <w:tcBorders>
              <w:top w:val="nil"/>
              <w:left w:val="nil"/>
              <w:bottom w:val="single" w:sz="4" w:space="0" w:color="B0B0B0"/>
              <w:right w:val="single" w:sz="4" w:space="0" w:color="B0B0B0"/>
            </w:tcBorders>
            <w:vAlign w:val="center"/>
            <w:hideMark/>
          </w:tcPr>
          <w:p w14:paraId="40F543B7"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100.000</w:t>
            </w:r>
          </w:p>
        </w:tc>
        <w:tc>
          <w:tcPr>
            <w:tcW w:w="420" w:type="pct"/>
            <w:tcBorders>
              <w:top w:val="nil"/>
              <w:left w:val="nil"/>
              <w:bottom w:val="single" w:sz="4" w:space="0" w:color="B0B0B0"/>
              <w:right w:val="single" w:sz="4" w:space="0" w:color="B0B0B0"/>
            </w:tcBorders>
            <w:vAlign w:val="center"/>
            <w:hideMark/>
          </w:tcPr>
          <w:p w14:paraId="1C33923C"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-12.624</w:t>
            </w:r>
          </w:p>
        </w:tc>
        <w:tc>
          <w:tcPr>
            <w:tcW w:w="514" w:type="pct"/>
            <w:tcBorders>
              <w:top w:val="nil"/>
              <w:left w:val="nil"/>
              <w:bottom w:val="single" w:sz="4" w:space="0" w:color="B0B0B0"/>
              <w:right w:val="single" w:sz="4" w:space="0" w:color="B0B0B0"/>
            </w:tcBorders>
            <w:vAlign w:val="center"/>
            <w:hideMark/>
          </w:tcPr>
          <w:p w14:paraId="017DB79B" w14:textId="77777777" w:rsidR="00C3237A" w:rsidRPr="00C00F3A" w:rsidRDefault="00C3237A" w:rsidP="00C3237A">
            <w:pPr>
              <w:jc w:val="center"/>
              <w:rPr>
                <w:rFonts w:ascii="Calibri" w:eastAsia="Times New Roman" w:hAnsi="Calibri" w:cs="Calibri"/>
                <w:sz w:val="22"/>
                <w:szCs w:val="22"/>
                <w:lang w:val="en-GB"/>
              </w:rPr>
            </w:pPr>
            <w:r w:rsidRPr="00C00F3A">
              <w:rPr>
                <w:rFonts w:ascii="Calibri" w:eastAsia="Times New Roman" w:hAnsi="Calibri" w:cs="Calibri"/>
                <w:sz w:val="22"/>
                <w:szCs w:val="22"/>
                <w:lang w:val="en-GB"/>
              </w:rPr>
              <w:t>4 – Worst</w:t>
            </w:r>
          </w:p>
        </w:tc>
        <w:tc>
          <w:tcPr>
            <w:tcW w:w="700" w:type="pct"/>
            <w:tcBorders>
              <w:top w:val="nil"/>
              <w:left w:val="nil"/>
              <w:bottom w:val="nil"/>
              <w:right w:val="nil"/>
            </w:tcBorders>
            <w:noWrap/>
            <w:vAlign w:val="bottom"/>
            <w:hideMark/>
          </w:tcPr>
          <w:p w14:paraId="4EF96470" w14:textId="77777777" w:rsidR="00C3237A" w:rsidRPr="00C00F3A" w:rsidRDefault="00C3237A" w:rsidP="00C3237A">
            <w:pPr>
              <w:jc w:val="center"/>
              <w:rPr>
                <w:rFonts w:ascii="Calibri" w:eastAsia="Times New Roman" w:hAnsi="Calibri" w:cs="Calibri"/>
                <w:sz w:val="22"/>
                <w:szCs w:val="22"/>
                <w:lang w:val="en-GB"/>
              </w:rPr>
            </w:pPr>
          </w:p>
        </w:tc>
        <w:tc>
          <w:tcPr>
            <w:tcW w:w="798" w:type="pct"/>
            <w:tcBorders>
              <w:top w:val="nil"/>
              <w:left w:val="nil"/>
              <w:bottom w:val="nil"/>
              <w:right w:val="nil"/>
            </w:tcBorders>
            <w:noWrap/>
            <w:vAlign w:val="bottom"/>
            <w:hideMark/>
          </w:tcPr>
          <w:p w14:paraId="508F0031" w14:textId="77777777" w:rsidR="00C3237A" w:rsidRPr="00C00F3A" w:rsidRDefault="00C3237A" w:rsidP="00C3237A">
            <w:pPr>
              <w:rPr>
                <w:rFonts w:ascii="Times New Roman" w:eastAsia="Times New Roman" w:hAnsi="Times New Roman" w:cs="Times New Roman"/>
                <w:sz w:val="20"/>
                <w:szCs w:val="20"/>
                <w:lang w:val="en-GB"/>
              </w:rPr>
            </w:pPr>
          </w:p>
        </w:tc>
      </w:tr>
    </w:tbl>
    <w:p w14:paraId="009175D5" w14:textId="20F9529C" w:rsidR="00140083" w:rsidRPr="00C00F3A" w:rsidRDefault="00140083">
      <w:pPr>
        <w:spacing w:after="160" w:line="360" w:lineRule="auto"/>
        <w:jc w:val="both"/>
        <w:rPr>
          <w:lang w:val="en-GB"/>
        </w:rPr>
      </w:pPr>
    </w:p>
    <w:p w14:paraId="676212D1" w14:textId="77777777" w:rsidR="00140083" w:rsidRPr="00C00F3A" w:rsidRDefault="00176BB0">
      <w:pPr>
        <w:pStyle w:val="Heading2"/>
        <w:rPr>
          <w:color w:val="auto"/>
          <w:lang w:val="en-GB"/>
        </w:rPr>
      </w:pPr>
      <w:bookmarkStart w:id="35" w:name="_Toc237515773"/>
      <w:r w:rsidRPr="00C00F3A">
        <w:rPr>
          <w:color w:val="auto"/>
          <w:lang w:val="en-GB"/>
        </w:rPr>
        <w:lastRenderedPageBreak/>
        <w:t>Appendix C – Statement of Authorship and AI Use Acknowledgement</w:t>
      </w:r>
      <w:bookmarkEnd w:id="35"/>
    </w:p>
    <w:p w14:paraId="3878BCBC" w14:textId="247A204E" w:rsidR="00140083" w:rsidRPr="00C00F3A" w:rsidRDefault="00C3237A">
      <w:pPr>
        <w:spacing w:after="160" w:line="360" w:lineRule="auto"/>
        <w:jc w:val="both"/>
        <w:rPr>
          <w:lang w:val="en-GB"/>
        </w:rPr>
      </w:pPr>
      <w:r w:rsidRPr="00C00F3A">
        <w:rPr>
          <w:lang w:val="en-GB"/>
        </w:rPr>
        <w:t>This document is written by me as the owner of the report. AI technology was only applied in assistance in preparing and verifying this report, as specified in section 6. The figures and financial information used are all taken by me directly from the annual reports of Wolseley Group Holdings Limited. All computations of ratios and investments have been made and verified by me.</w:t>
      </w:r>
    </w:p>
    <w:p w14:paraId="0AED5151" w14:textId="77777777" w:rsidR="00140083" w:rsidRPr="00C00F3A" w:rsidRDefault="00140083">
      <w:pPr>
        <w:spacing w:after="200" w:line="360" w:lineRule="auto"/>
        <w:jc w:val="both"/>
        <w:rPr>
          <w:lang w:val="en-GB"/>
        </w:rPr>
      </w:pPr>
    </w:p>
    <w:p w14:paraId="4D553BCF" w14:textId="77777777" w:rsidR="00140083" w:rsidRPr="00C00F3A" w:rsidRDefault="00176BB0">
      <w:pPr>
        <w:rPr>
          <w:lang w:val="en-GB"/>
        </w:rPr>
      </w:pPr>
      <w:r w:rsidRPr="00C00F3A">
        <w:rPr>
          <w:b/>
          <w:sz w:val="28"/>
          <w:lang w:val="en-GB"/>
        </w:rPr>
        <w:t>ADDITIONAL CRITICAL ANALYSIS (TO BE INTEGRATED INTO RELEVANT SECTIONS IF WORD COUNT REQUIRES)</w:t>
      </w:r>
    </w:p>
    <w:p w14:paraId="59E4548E" w14:textId="0D42C234" w:rsidR="00140083" w:rsidRPr="00C00F3A" w:rsidRDefault="00C3237A">
      <w:pPr>
        <w:spacing w:after="200" w:line="360" w:lineRule="auto"/>
        <w:jc w:val="both"/>
        <w:rPr>
          <w:lang w:val="en-GB"/>
        </w:rPr>
      </w:pPr>
      <w:r w:rsidRPr="00C00F3A">
        <w:rPr>
          <w:lang w:val="en-GB"/>
        </w:rPr>
        <w:t>The fact that the coverage ratio has dropped from 4.21× in FY22 to 0.91× in FY25 is especially troubling, as this means that the Group is not making enough money to be able to cover their debt from the operations carried out. When the coverage ratio is less than 1.0, even a small drop in the EBITDA level or an increase in the interest rate would compel the group to use its cash reserves or arrange for emergency refinancing. In addition to the low interest coverage ratio, the debt-equity ratio has also increased to 8.04×, making the firm vulnerable to even smaller drops in its performance as the equity reserve that can absorb the shocks has greatly diminished due to £121 million dividend payout. From a theoretical point of view, the high financial leverage coupled with the low interest coverage is characteristic of the early stages of financial distress models (like Altman model).</w:t>
      </w:r>
    </w:p>
    <w:p w14:paraId="221DAED4" w14:textId="77777777" w:rsidR="008F78AA" w:rsidRPr="00C00F3A" w:rsidRDefault="008F78AA" w:rsidP="008F78AA">
      <w:pPr>
        <w:spacing w:after="200" w:line="360" w:lineRule="auto"/>
        <w:jc w:val="both"/>
        <w:rPr>
          <w:lang w:val="en-GB"/>
        </w:rPr>
      </w:pPr>
      <w:r w:rsidRPr="00C00F3A">
        <w:rPr>
          <w:lang w:val="en-GB"/>
        </w:rPr>
        <w:t>A final point about the profitability drop-off concerns the relationship between fixed costs and the volume of revenue. While staffing costs did not change much at around £270–272 million during FY23-FY25, despite the slight revenue increase in FY25, depreciation and impairment costs rose in line with the right-of-use asset base growth. The operating leverage effect was such that small drops in gross profit produced large percentage decreases in operating profit. The ability of the company to adjust its cost structure quicker to the changes in demand will play a crucial role in achieving the margin improvement going forward.</w:t>
      </w:r>
    </w:p>
    <w:p w14:paraId="5D173136" w14:textId="67C8AF63" w:rsidR="00140083" w:rsidRPr="00C00F3A" w:rsidRDefault="008F78AA" w:rsidP="008F78AA">
      <w:pPr>
        <w:spacing w:after="200" w:line="360" w:lineRule="auto"/>
        <w:jc w:val="both"/>
        <w:rPr>
          <w:lang w:val="en-GB"/>
        </w:rPr>
      </w:pPr>
      <w:r w:rsidRPr="00C00F3A">
        <w:rPr>
          <w:lang w:val="en-GB"/>
        </w:rPr>
        <w:t>The assessment of the liquidity performance needs to take into account not only the amounts of current assets but also their quality. Wolseley inventory includes a variety of plumbing, heating, and cooling equipment, where some items could become technologically obsolete or fashionable in demand (e.g., certain boiler technologies or finishes). In this case, the quick ratio of 0.96 in FY25 gives a more realistic picture of the company’s short-term liquidity than just a current ratio. Comparing Wolseley with the pure online distributors with no inventory on hand, we see that Wolseley’s business model is significantly more capital-</w:t>
      </w:r>
      <w:r w:rsidRPr="00C00F3A">
        <w:rPr>
          <w:lang w:val="en-GB"/>
        </w:rPr>
        <w:lastRenderedPageBreak/>
        <w:t>intensive, although the availability of such a product and technical consulting is highly valued by many trade customers.</w:t>
      </w:r>
    </w:p>
    <w:p w14:paraId="3C96B2F3" w14:textId="77777777" w:rsidR="008F78AA" w:rsidRPr="00C00F3A" w:rsidRDefault="008F78AA" w:rsidP="008F78AA">
      <w:pPr>
        <w:spacing w:after="200" w:line="360" w:lineRule="auto"/>
        <w:jc w:val="both"/>
        <w:rPr>
          <w:lang w:val="en-GB"/>
        </w:rPr>
      </w:pPr>
      <w:r w:rsidRPr="00C00F3A">
        <w:rPr>
          <w:lang w:val="en-GB"/>
        </w:rPr>
        <w:t xml:space="preserve">While the cash conversion cycle of about 33 – 34 days in the most recent years is quite </w:t>
      </w:r>
      <w:proofErr w:type="spellStart"/>
      <w:r w:rsidRPr="00C00F3A">
        <w:rPr>
          <w:lang w:val="en-GB"/>
        </w:rPr>
        <w:t>favorable</w:t>
      </w:r>
      <w:proofErr w:type="spellEnd"/>
      <w:r w:rsidRPr="00C00F3A">
        <w:rPr>
          <w:lang w:val="en-GB"/>
        </w:rPr>
        <w:t xml:space="preserve"> relative to many traditional wholesale distribution operations, whose CCCs range from 40 to 60 days, the main factor that drives it is the high payable days (112-115 days). In essence, such a high period allows the firm to receive significant interest-free funding from its suppliers. Nevertheless, high dependency on trade credit also implies the concentration risk – if the large suppliers will tighten the payment terms simultaneously (e.g., because they have concerns regarding the creditworthiness of Wolseley), then it might cause unexpected cash outflow. Thus, maintaining good relationship with the suppliers and proper communication regarding the Group’s financial outlook is crucial in the process of managing the working capital risk.</w:t>
      </w:r>
    </w:p>
    <w:p w14:paraId="56073BF7" w14:textId="7C5BFBBB" w:rsidR="00140083" w:rsidRPr="00C00F3A" w:rsidRDefault="008F78AA" w:rsidP="008F78AA">
      <w:pPr>
        <w:spacing w:after="200" w:line="360" w:lineRule="auto"/>
        <w:jc w:val="both"/>
        <w:rPr>
          <w:lang w:val="en-GB"/>
        </w:rPr>
      </w:pPr>
      <w:r w:rsidRPr="00C00F3A">
        <w:rPr>
          <w:lang w:val="en-GB"/>
        </w:rPr>
        <w:t>When considering the three investment projects, it becomes clear that Project C dominates all other projects by the criteria considered (NPV, IRR, PI, ARR and payback). The fact that IRRs of Projects A and B are far below 8% cost of capital means that the cash flow structures of these projects are unable to compensate for the time value of money and the risks involved. Acceptance of either of these projects would result in the value destruction, especially, taking into account already tight coverage ratios of Wolseley. It is also supported by the capital rationing analysis, since, even under the binding rationing level (£100 million), the best course of action is to accept only the positive NPV project and retain the unused capital capacity.</w:t>
      </w:r>
    </w:p>
    <w:p w14:paraId="2B07CD7F" w14:textId="159F91D9" w:rsidR="008F78AA" w:rsidRPr="00C00F3A" w:rsidRDefault="008F78AA" w:rsidP="008F78AA">
      <w:pPr>
        <w:spacing w:after="200" w:line="360" w:lineRule="auto"/>
        <w:jc w:val="both"/>
        <w:rPr>
          <w:lang w:val="en-GB"/>
        </w:rPr>
      </w:pPr>
      <w:r w:rsidRPr="00C00F3A">
        <w:rPr>
          <w:lang w:val="en-GB"/>
        </w:rPr>
        <w:t>The recommendations for strategic reorganization also have to be considered in the context of the owner dynamics at play. The CD&amp;R’s exit strategy and its required rate of return will define the relative attractiveness of equity injection versus accelerated divestment versus a programme aimed at long-term operational improvement. In the former case, an injection of equity that will result in a balanced and healthy coverage and gearing ratios will reduce risks and create a platform for a better exit multiple even if this approach reduces the current level of ownership. On the other hand, the latter scenario implies an additional level of uncertainty due to the risks related to the recovery of margins from organic sources in the soft construction environment.</w:t>
      </w:r>
    </w:p>
    <w:p w14:paraId="49C614A9" w14:textId="65635248" w:rsidR="00140083" w:rsidRPr="00C00F3A" w:rsidRDefault="008F78AA" w:rsidP="008F78AA">
      <w:pPr>
        <w:spacing w:after="200" w:line="360" w:lineRule="auto"/>
        <w:jc w:val="both"/>
        <w:rPr>
          <w:lang w:val="en-GB"/>
        </w:rPr>
      </w:pPr>
      <w:r w:rsidRPr="00C00F3A">
        <w:rPr>
          <w:lang w:val="en-GB"/>
        </w:rPr>
        <w:t xml:space="preserve">In conclusion, ethical and ESG considerations have to be regarded as a competitive advantage rather than a mere compliance matter. As institutional capital is becoming more and more sensitive to the progress towards net-zero operations, circular economy product </w:t>
      </w:r>
      <w:r w:rsidRPr="00C00F3A">
        <w:rPr>
          <w:lang w:val="en-GB"/>
        </w:rPr>
        <w:lastRenderedPageBreak/>
        <w:t>offerings and fair working conditions in the supply chain, incorporating these principles into any branch rationalisation and investment decisions will provide the Group with not only a reputational advantage but also an opportunity to look more attractive for further refinancing or exit.</w:t>
      </w:r>
    </w:p>
    <w:sectPr w:rsidR="00140083" w:rsidRPr="00C00F3A" w:rsidSect="00BC0E86">
      <w:headerReference w:type="default" r:id="rId28"/>
      <w:footerReference w:type="default" r:id="rId29"/>
      <w:pgSz w:w="11906" w:h="16838"/>
      <w:pgMar w:top="1134" w:right="1134" w:bottom="1134" w:left="1134"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5C442" w14:textId="77777777" w:rsidR="00176BB0" w:rsidRDefault="00176BB0">
      <w:r>
        <w:separator/>
      </w:r>
    </w:p>
  </w:endnote>
  <w:endnote w:type="continuationSeparator" w:id="0">
    <w:p w14:paraId="45A5E471" w14:textId="77777777" w:rsidR="00176BB0" w:rsidRDefault="00176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373DB" w14:textId="77777777" w:rsidR="00140083" w:rsidRDefault="00176BB0">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685FA6">
      <w:rPr>
        <w:noProof/>
        <w:sz w:val="18"/>
        <w:szCs w:val="18"/>
      </w:rPr>
      <w:t>4</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685FA6">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40E1E" w14:textId="77777777" w:rsidR="00176BB0" w:rsidRDefault="00176BB0">
      <w:r>
        <w:separator/>
      </w:r>
    </w:p>
  </w:footnote>
  <w:footnote w:type="continuationSeparator" w:id="0">
    <w:p w14:paraId="20FA1D53" w14:textId="77777777" w:rsidR="00176BB0" w:rsidRDefault="00176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33F84" w14:textId="63A3F536" w:rsidR="00140083" w:rsidRDefault="00140083">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C0C5A"/>
    <w:multiLevelType w:val="hybridMultilevel"/>
    <w:tmpl w:val="1E74C8AE"/>
    <w:lvl w:ilvl="0" w:tplc="6914BB0A">
      <w:start w:val="1"/>
      <w:numFmt w:val="decimal"/>
      <w:lvlText w:val="%1."/>
      <w:lvlJc w:val="left"/>
      <w:pPr>
        <w:ind w:left="720" w:hanging="360"/>
      </w:pPr>
    </w:lvl>
    <w:lvl w:ilvl="1" w:tplc="259C378A">
      <w:numFmt w:val="decimal"/>
      <w:lvlText w:val=""/>
      <w:lvlJc w:val="left"/>
    </w:lvl>
    <w:lvl w:ilvl="2" w:tplc="2D7403E0">
      <w:numFmt w:val="decimal"/>
      <w:lvlText w:val=""/>
      <w:lvlJc w:val="left"/>
    </w:lvl>
    <w:lvl w:ilvl="3" w:tplc="1A34A480">
      <w:numFmt w:val="decimal"/>
      <w:lvlText w:val=""/>
      <w:lvlJc w:val="left"/>
    </w:lvl>
    <w:lvl w:ilvl="4" w:tplc="59A445FC">
      <w:numFmt w:val="decimal"/>
      <w:lvlText w:val=""/>
      <w:lvlJc w:val="left"/>
    </w:lvl>
    <w:lvl w:ilvl="5" w:tplc="635A00DE">
      <w:numFmt w:val="decimal"/>
      <w:lvlText w:val=""/>
      <w:lvlJc w:val="left"/>
    </w:lvl>
    <w:lvl w:ilvl="6" w:tplc="93F0C0A8">
      <w:numFmt w:val="decimal"/>
      <w:lvlText w:val=""/>
      <w:lvlJc w:val="left"/>
    </w:lvl>
    <w:lvl w:ilvl="7" w:tplc="8D1015EA">
      <w:numFmt w:val="decimal"/>
      <w:lvlText w:val=""/>
      <w:lvlJc w:val="left"/>
    </w:lvl>
    <w:lvl w:ilvl="8" w:tplc="05469B9A">
      <w:numFmt w:val="decimal"/>
      <w:lvlText w:val=""/>
      <w:lvlJc w:val="left"/>
    </w:lvl>
  </w:abstractNum>
  <w:abstractNum w:abstractNumId="1" w15:restartNumberingAfterBreak="0">
    <w:nsid w:val="28F74E8A"/>
    <w:multiLevelType w:val="hybridMultilevel"/>
    <w:tmpl w:val="0C162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0C7DC8"/>
    <w:multiLevelType w:val="hybridMultilevel"/>
    <w:tmpl w:val="526C6CFE"/>
    <w:lvl w:ilvl="0" w:tplc="D5BE6AD4">
      <w:start w:val="1"/>
      <w:numFmt w:val="decimal"/>
      <w:lvlText w:val="%1."/>
      <w:lvlJc w:val="left"/>
      <w:pPr>
        <w:ind w:left="720" w:hanging="360"/>
      </w:pPr>
    </w:lvl>
    <w:lvl w:ilvl="1" w:tplc="D19AB628">
      <w:numFmt w:val="decimal"/>
      <w:lvlText w:val=""/>
      <w:lvlJc w:val="left"/>
    </w:lvl>
    <w:lvl w:ilvl="2" w:tplc="A6429AEC">
      <w:numFmt w:val="decimal"/>
      <w:lvlText w:val=""/>
      <w:lvlJc w:val="left"/>
    </w:lvl>
    <w:lvl w:ilvl="3" w:tplc="F266B742">
      <w:numFmt w:val="decimal"/>
      <w:lvlText w:val=""/>
      <w:lvlJc w:val="left"/>
    </w:lvl>
    <w:lvl w:ilvl="4" w:tplc="EF367BA0">
      <w:numFmt w:val="decimal"/>
      <w:lvlText w:val=""/>
      <w:lvlJc w:val="left"/>
    </w:lvl>
    <w:lvl w:ilvl="5" w:tplc="3FE0EE30">
      <w:numFmt w:val="decimal"/>
      <w:lvlText w:val=""/>
      <w:lvlJc w:val="left"/>
    </w:lvl>
    <w:lvl w:ilvl="6" w:tplc="67BE6146">
      <w:numFmt w:val="decimal"/>
      <w:lvlText w:val=""/>
      <w:lvlJc w:val="left"/>
    </w:lvl>
    <w:lvl w:ilvl="7" w:tplc="35FEBA12">
      <w:numFmt w:val="decimal"/>
      <w:lvlText w:val=""/>
      <w:lvlJc w:val="left"/>
    </w:lvl>
    <w:lvl w:ilvl="8" w:tplc="EF7A9E34">
      <w:numFmt w:val="decimal"/>
      <w:lvlText w:val=""/>
      <w:lvlJc w:val="left"/>
    </w:lvl>
  </w:abstractNum>
  <w:abstractNum w:abstractNumId="3" w15:restartNumberingAfterBreak="0">
    <w:nsid w:val="432E053F"/>
    <w:multiLevelType w:val="hybridMultilevel"/>
    <w:tmpl w:val="0972D1FE"/>
    <w:lvl w:ilvl="0" w:tplc="9D0E9514">
      <w:start w:val="1"/>
      <w:numFmt w:val="bullet"/>
      <w:lvlText w:val="•"/>
      <w:lvlJc w:val="left"/>
      <w:pPr>
        <w:ind w:left="720" w:hanging="360"/>
      </w:pPr>
    </w:lvl>
    <w:lvl w:ilvl="1" w:tplc="9F9494D4">
      <w:numFmt w:val="decimal"/>
      <w:lvlText w:val=""/>
      <w:lvlJc w:val="left"/>
    </w:lvl>
    <w:lvl w:ilvl="2" w:tplc="FF54DBBA">
      <w:numFmt w:val="decimal"/>
      <w:lvlText w:val=""/>
      <w:lvlJc w:val="left"/>
    </w:lvl>
    <w:lvl w:ilvl="3" w:tplc="EF7E362C">
      <w:numFmt w:val="decimal"/>
      <w:lvlText w:val=""/>
      <w:lvlJc w:val="left"/>
    </w:lvl>
    <w:lvl w:ilvl="4" w:tplc="97344F16">
      <w:numFmt w:val="decimal"/>
      <w:lvlText w:val=""/>
      <w:lvlJc w:val="left"/>
    </w:lvl>
    <w:lvl w:ilvl="5" w:tplc="6F0EF456">
      <w:numFmt w:val="decimal"/>
      <w:lvlText w:val=""/>
      <w:lvlJc w:val="left"/>
    </w:lvl>
    <w:lvl w:ilvl="6" w:tplc="4BB243E4">
      <w:numFmt w:val="decimal"/>
      <w:lvlText w:val=""/>
      <w:lvlJc w:val="left"/>
    </w:lvl>
    <w:lvl w:ilvl="7" w:tplc="DD1E5496">
      <w:numFmt w:val="decimal"/>
      <w:lvlText w:val=""/>
      <w:lvlJc w:val="left"/>
    </w:lvl>
    <w:lvl w:ilvl="8" w:tplc="8552116A">
      <w:numFmt w:val="decimal"/>
      <w:lvlText w:val=""/>
      <w:lvlJc w:val="left"/>
    </w:lvl>
  </w:abstractNum>
  <w:abstractNum w:abstractNumId="4" w15:restartNumberingAfterBreak="0">
    <w:nsid w:val="4E5976D1"/>
    <w:multiLevelType w:val="hybridMultilevel"/>
    <w:tmpl w:val="6566867A"/>
    <w:lvl w:ilvl="0" w:tplc="F530C3F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53206A"/>
    <w:multiLevelType w:val="hybridMultilevel"/>
    <w:tmpl w:val="7C66D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1A08B3"/>
    <w:multiLevelType w:val="hybridMultilevel"/>
    <w:tmpl w:val="CFAEEDD2"/>
    <w:lvl w:ilvl="0" w:tplc="241EE8E8">
      <w:start w:val="1"/>
      <w:numFmt w:val="bullet"/>
      <w:lvlText w:val="●"/>
      <w:lvlJc w:val="left"/>
      <w:pPr>
        <w:ind w:left="720" w:hanging="360"/>
      </w:pPr>
    </w:lvl>
    <w:lvl w:ilvl="1" w:tplc="9376B18A">
      <w:start w:val="1"/>
      <w:numFmt w:val="bullet"/>
      <w:lvlText w:val="○"/>
      <w:lvlJc w:val="left"/>
      <w:pPr>
        <w:ind w:left="1440" w:hanging="360"/>
      </w:pPr>
    </w:lvl>
    <w:lvl w:ilvl="2" w:tplc="83A267E2">
      <w:start w:val="1"/>
      <w:numFmt w:val="bullet"/>
      <w:lvlText w:val="■"/>
      <w:lvlJc w:val="left"/>
      <w:pPr>
        <w:ind w:left="2160" w:hanging="360"/>
      </w:pPr>
    </w:lvl>
    <w:lvl w:ilvl="3" w:tplc="E12C1480">
      <w:start w:val="1"/>
      <w:numFmt w:val="bullet"/>
      <w:lvlText w:val="●"/>
      <w:lvlJc w:val="left"/>
      <w:pPr>
        <w:ind w:left="2880" w:hanging="360"/>
      </w:pPr>
    </w:lvl>
    <w:lvl w:ilvl="4" w:tplc="EED27140">
      <w:start w:val="1"/>
      <w:numFmt w:val="bullet"/>
      <w:lvlText w:val="○"/>
      <w:lvlJc w:val="left"/>
      <w:pPr>
        <w:ind w:left="3600" w:hanging="360"/>
      </w:pPr>
    </w:lvl>
    <w:lvl w:ilvl="5" w:tplc="0B4A8904">
      <w:start w:val="1"/>
      <w:numFmt w:val="bullet"/>
      <w:lvlText w:val="■"/>
      <w:lvlJc w:val="left"/>
      <w:pPr>
        <w:ind w:left="4320" w:hanging="360"/>
      </w:pPr>
    </w:lvl>
    <w:lvl w:ilvl="6" w:tplc="E956264E">
      <w:start w:val="1"/>
      <w:numFmt w:val="bullet"/>
      <w:lvlText w:val="●"/>
      <w:lvlJc w:val="left"/>
      <w:pPr>
        <w:ind w:left="5040" w:hanging="360"/>
      </w:pPr>
    </w:lvl>
    <w:lvl w:ilvl="7" w:tplc="02EA465E">
      <w:start w:val="1"/>
      <w:numFmt w:val="bullet"/>
      <w:lvlText w:val="●"/>
      <w:lvlJc w:val="left"/>
      <w:pPr>
        <w:ind w:left="5760" w:hanging="360"/>
      </w:pPr>
    </w:lvl>
    <w:lvl w:ilvl="8" w:tplc="DB609E6E">
      <w:start w:val="1"/>
      <w:numFmt w:val="bullet"/>
      <w:lvlText w:val="●"/>
      <w:lvlJc w:val="left"/>
      <w:pPr>
        <w:ind w:left="6480" w:hanging="360"/>
      </w:pPr>
    </w:lvl>
  </w:abstractNum>
  <w:abstractNum w:abstractNumId="7" w15:restartNumberingAfterBreak="0">
    <w:nsid w:val="683E6E55"/>
    <w:multiLevelType w:val="multilevel"/>
    <w:tmpl w:val="1CB80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1739160">
    <w:abstractNumId w:val="6"/>
    <w:lvlOverride w:ilvl="0">
      <w:startOverride w:val="1"/>
    </w:lvlOverride>
  </w:num>
  <w:num w:numId="2" w16cid:durableId="1255086434">
    <w:abstractNumId w:val="1"/>
  </w:num>
  <w:num w:numId="3" w16cid:durableId="370543865">
    <w:abstractNumId w:val="7"/>
  </w:num>
  <w:num w:numId="4" w16cid:durableId="990911791">
    <w:abstractNumId w:val="5"/>
  </w:num>
  <w:num w:numId="5" w16cid:durableId="16112798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083"/>
    <w:rsid w:val="000A1041"/>
    <w:rsid w:val="000C4411"/>
    <w:rsid w:val="000D3924"/>
    <w:rsid w:val="00140083"/>
    <w:rsid w:val="00176BB0"/>
    <w:rsid w:val="001B42CE"/>
    <w:rsid w:val="002231AE"/>
    <w:rsid w:val="00390FF4"/>
    <w:rsid w:val="00685FA6"/>
    <w:rsid w:val="00693C64"/>
    <w:rsid w:val="0076404B"/>
    <w:rsid w:val="008F78AA"/>
    <w:rsid w:val="00950EA3"/>
    <w:rsid w:val="00975660"/>
    <w:rsid w:val="00B64ABF"/>
    <w:rsid w:val="00B93E70"/>
    <w:rsid w:val="00BC0E86"/>
    <w:rsid w:val="00C00F3A"/>
    <w:rsid w:val="00C3237A"/>
    <w:rsid w:val="00C760CC"/>
    <w:rsid w:val="00D32A1A"/>
    <w:rsid w:val="00D6246A"/>
    <w:rsid w:val="00E50A6E"/>
    <w:rsid w:val="00E64BEB"/>
    <w:rsid w:val="00EA75C2"/>
    <w:rsid w:val="00ED567F"/>
    <w:rsid w:val="00FA7A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44A93"/>
  <w15:docId w15:val="{4F3A3AF5-76F6-4AEC-8A08-A6E8CD0F9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F4E79"/>
      <w:sz w:val="32"/>
      <w:szCs w:val="32"/>
    </w:rPr>
  </w:style>
  <w:style w:type="paragraph" w:styleId="Heading2">
    <w:name w:val="heading 2"/>
    <w:uiPriority w:val="9"/>
    <w:unhideWhenUsed/>
    <w:qFormat/>
    <w:pPr>
      <w:spacing w:before="280" w:after="160"/>
      <w:outlineLvl w:val="1"/>
    </w:pPr>
    <w:rPr>
      <w:b/>
      <w:bCs/>
      <w:color w:val="2E75B6"/>
      <w:sz w:val="26"/>
      <w:szCs w:val="26"/>
    </w:rPr>
  </w:style>
  <w:style w:type="paragraph" w:styleId="Heading3">
    <w:name w:val="heading 3"/>
    <w:uiPriority w:val="9"/>
    <w:unhideWhenUsed/>
    <w:qFormat/>
    <w:pPr>
      <w:spacing w:before="200" w:after="120"/>
      <w:outlineLvl w:val="2"/>
    </w:pPr>
    <w:rPr>
      <w:b/>
      <w:bCs/>
      <w:color w:val="404040"/>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link w:val="ListParagraphChar"/>
    <w:uiPriority w:val="1"/>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685FA6"/>
    <w:pPr>
      <w:spacing w:after="100"/>
    </w:pPr>
  </w:style>
  <w:style w:type="paragraph" w:styleId="TOC3">
    <w:name w:val="toc 3"/>
    <w:basedOn w:val="Normal"/>
    <w:next w:val="Normal"/>
    <w:autoRedefine/>
    <w:uiPriority w:val="39"/>
    <w:unhideWhenUsed/>
    <w:rsid w:val="00685FA6"/>
    <w:pPr>
      <w:spacing w:after="100"/>
      <w:ind w:left="480"/>
    </w:pPr>
  </w:style>
  <w:style w:type="paragraph" w:styleId="TOC2">
    <w:name w:val="toc 2"/>
    <w:basedOn w:val="Normal"/>
    <w:next w:val="Normal"/>
    <w:autoRedefine/>
    <w:uiPriority w:val="39"/>
    <w:unhideWhenUsed/>
    <w:rsid w:val="00685FA6"/>
    <w:pPr>
      <w:spacing w:after="100"/>
      <w:ind w:left="240"/>
    </w:pPr>
  </w:style>
  <w:style w:type="character" w:styleId="UnresolvedMention">
    <w:name w:val="Unresolved Mention"/>
    <w:basedOn w:val="DefaultParagraphFont"/>
    <w:uiPriority w:val="99"/>
    <w:semiHidden/>
    <w:unhideWhenUsed/>
    <w:rsid w:val="008F78AA"/>
    <w:rPr>
      <w:color w:val="605E5C"/>
      <w:shd w:val="clear" w:color="auto" w:fill="E1DFDD"/>
    </w:rPr>
  </w:style>
  <w:style w:type="table" w:styleId="TableGrid">
    <w:name w:val="Table Grid"/>
    <w:basedOn w:val="TableNormal"/>
    <w:uiPriority w:val="39"/>
    <w:rsid w:val="00EA75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1"/>
    <w:qFormat/>
    <w:locked/>
    <w:rsid w:val="00B93E70"/>
  </w:style>
  <w:style w:type="paragraph" w:styleId="Header">
    <w:name w:val="header"/>
    <w:basedOn w:val="Normal"/>
    <w:link w:val="HeaderChar"/>
    <w:uiPriority w:val="99"/>
    <w:unhideWhenUsed/>
    <w:rsid w:val="00BC0E86"/>
    <w:pPr>
      <w:tabs>
        <w:tab w:val="center" w:pos="4680"/>
        <w:tab w:val="right" w:pos="9360"/>
      </w:tabs>
    </w:pPr>
  </w:style>
  <w:style w:type="character" w:customStyle="1" w:styleId="HeaderChar">
    <w:name w:val="Header Char"/>
    <w:basedOn w:val="DefaultParagraphFont"/>
    <w:link w:val="Header"/>
    <w:uiPriority w:val="99"/>
    <w:rsid w:val="00BC0E86"/>
  </w:style>
  <w:style w:type="paragraph" w:styleId="Footer">
    <w:name w:val="footer"/>
    <w:basedOn w:val="Normal"/>
    <w:link w:val="FooterChar"/>
    <w:uiPriority w:val="99"/>
    <w:unhideWhenUsed/>
    <w:rsid w:val="00BC0E86"/>
    <w:pPr>
      <w:tabs>
        <w:tab w:val="center" w:pos="4680"/>
        <w:tab w:val="right" w:pos="9360"/>
      </w:tabs>
    </w:pPr>
  </w:style>
  <w:style w:type="character" w:customStyle="1" w:styleId="FooterChar">
    <w:name w:val="Footer Char"/>
    <w:basedOn w:val="DefaultParagraphFont"/>
    <w:link w:val="Footer"/>
    <w:uiPriority w:val="99"/>
    <w:rsid w:val="00BC0E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accaglobal.com" TargetMode="External"/><Relationship Id="rId18" Type="http://schemas.openxmlformats.org/officeDocument/2006/relationships/hyperlink" Target="https://www.fergusonplc.com" TargetMode="External"/><Relationship Id="rId26" Type="http://schemas.openxmlformats.org/officeDocument/2006/relationships/hyperlink" Target="https://www.unpri.org" TargetMode="External"/><Relationship Id="rId3" Type="http://schemas.openxmlformats.org/officeDocument/2006/relationships/settings" Target="settings.xml"/><Relationship Id="rId21" Type="http://schemas.openxmlformats.org/officeDocument/2006/relationships/hyperlink" Target="https://www.mckinsey.com/capabilities/strategy-and-corporate-finance/our-insights/valuation" TargetMode="External"/><Relationship Id="rId7" Type="http://schemas.openxmlformats.org/officeDocument/2006/relationships/image" Target="media/image1.png"/><Relationship Id="rId12" Type="http://schemas.openxmlformats.org/officeDocument/2006/relationships/hyperlink" Target="https://www.accaglobal.com" TargetMode="External"/><Relationship Id="rId17" Type="http://schemas.openxmlformats.org/officeDocument/2006/relationships/hyperlink" Target="https://www.wiley.com/en-ae/shop/general-finance-investments/investment-valuation-tools-and-techniques-for-determining-the-value-of-any-asset-4th-edition-p-9781394254613" TargetMode="External"/><Relationship Id="rId25" Type="http://schemas.openxmlformats.org/officeDocument/2006/relationships/hyperlink" Target="https://books.google.com/books?hl=en&amp;lr=&amp;id=8gDLoB9-CpQC&amp;oi=fnd&amp;pg=PR13&amp;dq=Pike,+R.,+Neale,+B.+and+Linsley,+P.+(2022)+Corporate+Finance+and+Investment.+10th+edn.+Harlow:+Pearson.&amp;ots=sGIxArPspT&amp;sig=62Idk_QKfDUJ5g9rlppmxPQt_AI" TargetMode="External"/><Relationship Id="rId2" Type="http://schemas.openxmlformats.org/officeDocument/2006/relationships/styles" Target="styles.xml"/><Relationship Id="rId16" Type="http://schemas.openxmlformats.org/officeDocument/2006/relationships/hyperlink" Target="https://www.academia.edu/download/31182842/DE001125555EA654126BCC12572DF00423B78.pdf" TargetMode="External"/><Relationship Id="rId20" Type="http://schemas.openxmlformats.org/officeDocument/2006/relationships/hyperlink" Target="https://books.google.co.in/books/about/EBOOK_Corporate_Finance_4e.html?id=MMovEAAAQBAJ&amp;redir_esc=y"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ons.gov.uk" TargetMode="External"/><Relationship Id="rId5" Type="http://schemas.openxmlformats.org/officeDocument/2006/relationships/footnotes" Target="footnotes.xml"/><Relationship Id="rId15" Type="http://schemas.openxmlformats.org/officeDocument/2006/relationships/hyperlink" Target="https://www.bankofengland.co.uk/monetary-policy-report" TargetMode="External"/><Relationship Id="rId23" Type="http://schemas.openxmlformats.org/officeDocument/2006/relationships/hyperlink" Target="https://www.ons.gov.uk" TargetMode="External"/><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www.graftonplc.com/~/media/Files/G/Grafton-Group/2%20Annual%20Report%202024%20interactive/Grafton%20Annual%20Report%202024.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books.google.com/books?hl=en&amp;lr=&amp;id=3JQ4z9xhwvcC&amp;oi=fnd&amp;pg=PR13&amp;dq=Atrill,+P.+and+McLaney,+E.+(2022)+Accounting+and+Finance+for+Non-Specialists.+12th+edn.+Harlow:+Pearson.&amp;ots=g3a08igm2x&amp;sig=_vlJD3qRm4STYFWPQ0GvQCS_bb0" TargetMode="External"/><Relationship Id="rId22" Type="http://schemas.openxmlformats.org/officeDocument/2006/relationships/hyperlink" Target="https://www.oecd.org/tax/transfer-pricing" TargetMode="External"/><Relationship Id="rId27" Type="http://schemas.openxmlformats.org/officeDocument/2006/relationships/hyperlink" Target="https://www.travisperkinsplc.co.uk/media/5hdbbhx0/travis-perkins-plc-2024-annual-report-b.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8013</Words>
  <Characters>45675</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Sanketh</dc:creator>
  <cp:lastModifiedBy>Keerthy sewda</cp:lastModifiedBy>
  <cp:revision>2</cp:revision>
  <dcterms:created xsi:type="dcterms:W3CDTF">2026-08-13T08:56:00Z</dcterms:created>
  <dcterms:modified xsi:type="dcterms:W3CDTF">2026-08-13T08:56:00Z</dcterms:modified>
</cp:coreProperties>
</file>