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637C07" w14:textId="77777777" w:rsidR="00CE50C5" w:rsidRPr="00CE50C5" w:rsidRDefault="00CE50C5" w:rsidP="00CE50C5">
      <w:pPr>
        <w:spacing w:line="259" w:lineRule="auto"/>
        <w:jc w:val="center"/>
        <w:rPr>
          <w:b/>
          <w:bCs/>
          <w:sz w:val="32"/>
          <w:szCs w:val="28"/>
        </w:rPr>
      </w:pPr>
      <w:r w:rsidRPr="00CE50C5">
        <w:rPr>
          <w:b/>
          <w:bCs/>
          <w:sz w:val="32"/>
          <w:szCs w:val="28"/>
        </w:rPr>
        <w:t>LCBB6002 International Financial Management</w:t>
      </w:r>
    </w:p>
    <w:p w14:paraId="3DB327CC" w14:textId="77777777" w:rsidR="00CE50C5" w:rsidRPr="00CE50C5" w:rsidRDefault="00CE50C5" w:rsidP="00CE50C5">
      <w:pPr>
        <w:spacing w:line="259" w:lineRule="auto"/>
        <w:jc w:val="center"/>
        <w:rPr>
          <w:b/>
          <w:bCs/>
          <w:sz w:val="32"/>
          <w:szCs w:val="28"/>
        </w:rPr>
      </w:pPr>
    </w:p>
    <w:p w14:paraId="199CCAAD" w14:textId="77777777" w:rsidR="00CE50C5" w:rsidRDefault="00CE50C5" w:rsidP="00CE50C5">
      <w:pPr>
        <w:spacing w:line="259" w:lineRule="auto"/>
        <w:jc w:val="center"/>
        <w:rPr>
          <w:sz w:val="32"/>
          <w:szCs w:val="28"/>
        </w:rPr>
      </w:pPr>
      <w:r w:rsidRPr="00CE50C5">
        <w:rPr>
          <w:b/>
          <w:bCs/>
          <w:sz w:val="32"/>
          <w:szCs w:val="28"/>
        </w:rPr>
        <w:t>Assessment 1</w:t>
      </w:r>
    </w:p>
    <w:p w14:paraId="492C0428" w14:textId="77777777" w:rsidR="00CE50C5" w:rsidRDefault="00CE50C5" w:rsidP="00CE50C5">
      <w:pPr>
        <w:spacing w:line="259" w:lineRule="auto"/>
        <w:jc w:val="center"/>
        <w:rPr>
          <w:sz w:val="32"/>
          <w:szCs w:val="28"/>
        </w:rPr>
      </w:pPr>
    </w:p>
    <w:p w14:paraId="2D6C7454" w14:textId="77777777" w:rsidR="00CE50C5" w:rsidRDefault="00CE50C5" w:rsidP="00CE50C5">
      <w:pPr>
        <w:spacing w:line="259" w:lineRule="auto"/>
        <w:jc w:val="center"/>
        <w:rPr>
          <w:sz w:val="32"/>
          <w:szCs w:val="28"/>
        </w:rPr>
      </w:pPr>
    </w:p>
    <w:p w14:paraId="5C78A2CC" w14:textId="601D2E9B" w:rsidR="00CE50C5" w:rsidRPr="00CE50C5" w:rsidRDefault="00CE50C5" w:rsidP="00CE50C5">
      <w:pPr>
        <w:spacing w:line="259" w:lineRule="auto"/>
        <w:jc w:val="center"/>
        <w:rPr>
          <w:sz w:val="28"/>
          <w:szCs w:val="24"/>
        </w:rPr>
      </w:pPr>
      <w:r w:rsidRPr="00CE50C5">
        <w:rPr>
          <w:sz w:val="28"/>
          <w:szCs w:val="24"/>
        </w:rPr>
        <w:t>Student name:</w:t>
      </w:r>
      <w:r w:rsidR="00CC474D">
        <w:rPr>
          <w:sz w:val="28"/>
          <w:szCs w:val="24"/>
        </w:rPr>
        <w:t xml:space="preserve"> Gabriel </w:t>
      </w:r>
      <w:proofErr w:type="spellStart"/>
      <w:r w:rsidR="00CC474D">
        <w:rPr>
          <w:sz w:val="28"/>
          <w:szCs w:val="24"/>
        </w:rPr>
        <w:t>Ciprian</w:t>
      </w:r>
      <w:proofErr w:type="spellEnd"/>
      <w:r w:rsidR="00CC474D">
        <w:rPr>
          <w:sz w:val="28"/>
          <w:szCs w:val="24"/>
        </w:rPr>
        <w:t xml:space="preserve"> </w:t>
      </w:r>
      <w:proofErr w:type="spellStart"/>
      <w:r w:rsidR="00CC474D">
        <w:rPr>
          <w:sz w:val="28"/>
          <w:szCs w:val="24"/>
        </w:rPr>
        <w:t>Muntean</w:t>
      </w:r>
      <w:proofErr w:type="spellEnd"/>
      <w:r w:rsidR="00CC474D">
        <w:rPr>
          <w:sz w:val="28"/>
          <w:szCs w:val="24"/>
        </w:rPr>
        <w:tab/>
      </w:r>
    </w:p>
    <w:p w14:paraId="7BFB4941" w14:textId="2A1296CB" w:rsidR="008106FE" w:rsidRDefault="00CE50C5" w:rsidP="00CE50C5">
      <w:pPr>
        <w:spacing w:line="259" w:lineRule="auto"/>
        <w:jc w:val="center"/>
        <w:rPr>
          <w:rFonts w:eastAsiaTheme="majorEastAsia" w:cstheme="majorBidi"/>
          <w:b/>
          <w:color w:val="2F5496" w:themeColor="accent1" w:themeShade="BF"/>
          <w:sz w:val="32"/>
          <w:szCs w:val="32"/>
        </w:rPr>
      </w:pPr>
      <w:r w:rsidRPr="00CE50C5">
        <w:rPr>
          <w:sz w:val="28"/>
          <w:szCs w:val="24"/>
        </w:rPr>
        <w:t>Student ID:</w:t>
      </w:r>
      <w:r w:rsidR="00CC474D">
        <w:rPr>
          <w:sz w:val="28"/>
          <w:szCs w:val="24"/>
        </w:rPr>
        <w:t xml:space="preserve"> 2009466</w:t>
      </w:r>
      <w:bookmarkStart w:id="0" w:name="_GoBack"/>
      <w:bookmarkEnd w:id="0"/>
      <w:r w:rsidR="008106FE">
        <w:br w:type="page"/>
      </w:r>
    </w:p>
    <w:p w14:paraId="336D9DD2" w14:textId="2D06E13A" w:rsidR="00F44FE7" w:rsidRDefault="00581124" w:rsidP="00581124">
      <w:pPr>
        <w:pStyle w:val="Titlu1"/>
      </w:pPr>
      <w:r>
        <w:lastRenderedPageBreak/>
        <w:t>Introduction</w:t>
      </w:r>
    </w:p>
    <w:p w14:paraId="7199463F" w14:textId="68DD96DA" w:rsidR="00581124" w:rsidRDefault="00581124" w:rsidP="00581124">
      <w:r w:rsidRPr="00581124">
        <w:t>The study of the monetary dealings between many nations is known as international finance, a subfield of economics. Currency exchange rates and Foreign direct investment are among the subjects discussed here. Financial management concerns</w:t>
      </w:r>
      <w:r w:rsidR="00CC0C4C" w:rsidRPr="00CC0C4C">
        <w:t xml:space="preserve"> are also at play, such as the political and foreign currency </w:t>
      </w:r>
      <w:r w:rsidR="00CC0C4C">
        <w:t>risks</w:t>
      </w:r>
      <w:r w:rsidR="00CC0C4C" w:rsidRPr="00CC0C4C">
        <w:t xml:space="preserve"> inherent in running a global firm</w:t>
      </w:r>
      <w:r w:rsidR="00CC0C4C">
        <w:t xml:space="preserve"> (</w:t>
      </w:r>
      <w:r w:rsidR="00CC0C4C">
        <w:rPr>
          <w:shd w:val="clear" w:color="auto" w:fill="FFFFFF"/>
        </w:rPr>
        <w:t>Madura, 2020)</w:t>
      </w:r>
      <w:r w:rsidRPr="00581124">
        <w:t xml:space="preserve">. Tobacco company British American Tobacco will be the focus of this paper as we examine the role international financial management plays in the company. We also discuss potential </w:t>
      </w:r>
      <w:r w:rsidR="008E1C93">
        <w:t>company problems</w:t>
      </w:r>
      <w:r w:rsidRPr="00581124">
        <w:t xml:space="preserve"> in various foreign financial markets. The debate will be backed up by applicable theories and empirical evidence from the field of international finance management using data gathered from British American Tobacco.</w:t>
      </w:r>
    </w:p>
    <w:p w14:paraId="68264B20" w14:textId="1623F272" w:rsidR="008106FE" w:rsidRDefault="008106FE" w:rsidP="008106FE">
      <w:pPr>
        <w:pStyle w:val="Titlu1"/>
      </w:pPr>
      <w:r>
        <w:t>The importance of international financial management (IFM) to British American Tobacco</w:t>
      </w:r>
    </w:p>
    <w:p w14:paraId="3BF2F93F" w14:textId="4C0879B2" w:rsidR="00581124" w:rsidRDefault="00581124" w:rsidP="008106FE">
      <w:r>
        <w:t>British American Tobacco places considerable emphasis on international finance as a subset of financial economics. It focuses on the problems that arise from the monetary cooperation between many nations</w:t>
      </w:r>
      <w:r w:rsidR="00CC0C4C">
        <w:t xml:space="preserve"> (</w:t>
      </w:r>
      <w:r w:rsidR="00CC0C4C">
        <w:rPr>
          <w:shd w:val="clear" w:color="auto" w:fill="FFFFFF"/>
        </w:rPr>
        <w:t>Shapiro and Hanouna, 2019)</w:t>
      </w:r>
      <w:r>
        <w:t xml:space="preserve">. </w:t>
      </w:r>
      <w:r w:rsidR="00CA4E49" w:rsidRPr="00CA4E49">
        <w:t>Some of the most important aspects of international finance are</w:t>
      </w:r>
      <w:r w:rsidR="00CA4E49">
        <w:t xml:space="preserve"> </w:t>
      </w:r>
      <w:r w:rsidR="00CA4E49" w:rsidRPr="00CA4E49">
        <w:t xml:space="preserve">currency exchange rates, foreign direct investment (FDI), and global monetary systems. Simply said, </w:t>
      </w:r>
      <w:r w:rsidR="001C72F5">
        <w:t xml:space="preserve">a </w:t>
      </w:r>
      <w:r w:rsidR="008106FE">
        <w:t>nations’ existence affects</w:t>
      </w:r>
      <w:r w:rsidR="00CA4E49" w:rsidRPr="00CA4E49">
        <w:t xml:space="preserve"> the economic activities of governments, businesses, and other organisations, along with international trade and business,</w:t>
      </w:r>
      <w:r w:rsidR="00CA4E49">
        <w:t xml:space="preserve"> </w:t>
      </w:r>
      <w:r w:rsidR="00CA4E49" w:rsidRPr="00CA4E49">
        <w:t>making international finance</w:t>
      </w:r>
      <w:r w:rsidR="008106FE">
        <w:t xml:space="preserve"> </w:t>
      </w:r>
      <w:r w:rsidR="00CA4E49" w:rsidRPr="00CA4E49">
        <w:t>essential. International finance is crucial to British American Tobacco's operations because it allows for the unhindered exchange of products and services across borders</w:t>
      </w:r>
      <w:r w:rsidR="00CC0C4C">
        <w:t xml:space="preserve"> (</w:t>
      </w:r>
      <w:r w:rsidR="00CC0C4C">
        <w:rPr>
          <w:shd w:val="clear" w:color="auto" w:fill="FFFFFF"/>
        </w:rPr>
        <w:t>Lane and Milesi-Ferretti, 2018)</w:t>
      </w:r>
      <w:r w:rsidR="00CA4E49" w:rsidRPr="00CA4E49">
        <w:t>.</w:t>
      </w:r>
      <w:r>
        <w:t xml:space="preserve"> There are several reasons why this is crucial, but the most salient is provided here.</w:t>
      </w:r>
    </w:p>
    <w:p w14:paraId="78B33873" w14:textId="639533F0" w:rsidR="00581124" w:rsidRDefault="008E1C93" w:rsidP="00581124">
      <w:r>
        <w:t>One</w:t>
      </w:r>
      <w:r w:rsidR="00581124">
        <w:t xml:space="preserve"> may learn a lot about other nations' economies and financial situations, as well as gauge the health of global markets, by studying international finance. The ability to compare the values of different currencies is crucial in international finance, making exchange rates crucially significant</w:t>
      </w:r>
      <w:r w:rsidR="00CC0C4C">
        <w:t xml:space="preserve"> (</w:t>
      </w:r>
      <w:r w:rsidR="00CC0C4C">
        <w:rPr>
          <w:shd w:val="clear" w:color="auto" w:fill="FFFFFF"/>
        </w:rPr>
        <w:t>Kvint, 2015)</w:t>
      </w:r>
      <w:r w:rsidR="00581124">
        <w:t>. British American Tobacco uses international finance to determine these prices.</w:t>
      </w:r>
    </w:p>
    <w:p w14:paraId="4F665146" w14:textId="0436AD6D" w:rsidR="00581124" w:rsidRDefault="00581124" w:rsidP="00581124">
      <w:r w:rsidRPr="00581124">
        <w:t xml:space="preserve">A number of different economic considerations </w:t>
      </w:r>
      <w:r>
        <w:t>inform</w:t>
      </w:r>
      <w:r w:rsidRPr="00581124">
        <w:t xml:space="preserve"> British American Tobacco's worldwide investment choices</w:t>
      </w:r>
      <w:r>
        <w:t xml:space="preserve">. Investors' confidence in the safety of their money in foreign debt instruments </w:t>
      </w:r>
      <w:r>
        <w:lastRenderedPageBreak/>
        <w:t>may be affected by a variety of economic variables</w:t>
      </w:r>
      <w:r w:rsidR="00CC0C4C">
        <w:t xml:space="preserve"> (</w:t>
      </w:r>
      <w:r w:rsidR="00CC0C4C">
        <w:rPr>
          <w:shd w:val="clear" w:color="auto" w:fill="FFFFFF"/>
        </w:rPr>
        <w:t>Milhaupt and Pargendler, 2017)</w:t>
      </w:r>
      <w:r>
        <w:t>. International Financial Reporting Standards (IFRS) use is crucial in many areas of international finance. After adopting IFRS, British American Tobacco's financial statements are consistent with those of other companies. Similar reporting methods are useful for many nations. British American Tobacco may save resources by adhering to the guidelines of a single accounting standard set out by the International Financial Reporting Standards (IFRS) system, which is an element of international finance</w:t>
      </w:r>
      <w:r w:rsidR="00CC0C4C">
        <w:t xml:space="preserve"> (</w:t>
      </w:r>
      <w:r w:rsidR="00CC0C4C">
        <w:rPr>
          <w:shd w:val="clear" w:color="auto" w:fill="FFFFFF"/>
        </w:rPr>
        <w:t>Karadag, 2015)</w:t>
      </w:r>
      <w:r>
        <w:t>.</w:t>
      </w:r>
    </w:p>
    <w:p w14:paraId="7220D448" w14:textId="71D3DBEF" w:rsidR="008106FE" w:rsidRDefault="008106FE" w:rsidP="008106FE">
      <w:pPr>
        <w:pStyle w:val="Titlu1"/>
      </w:pPr>
      <w:r>
        <w:t>The challenges that British American Tobacco may be experiencing in different international financial markets</w:t>
      </w:r>
    </w:p>
    <w:p w14:paraId="24AEB16E" w14:textId="6C7A730F" w:rsidR="00581124" w:rsidRDefault="00581124" w:rsidP="00581124">
      <w:r>
        <w:t>As a result of globalisation, international finance has become more important. Having a firm grasp of the fundamentals of all international organisations is essential to maintaining peace and harmony within the system</w:t>
      </w:r>
      <w:r w:rsidR="00CC0C4C">
        <w:t xml:space="preserve"> (</w:t>
      </w:r>
      <w:r w:rsidR="00CC0C4C">
        <w:rPr>
          <w:shd w:val="clear" w:color="auto" w:fill="FFFFFF"/>
        </w:rPr>
        <w:t>Akhtar, 2018)</w:t>
      </w:r>
      <w:r>
        <w:t>. International cooperation in the field of finance helps to prevent wars from breaking out. Without a reliable monetary system, every country would act in its best interest. The availability of international funding can prevent this kind of crisis. International financial crises are a reality of having a globalised economy.</w:t>
      </w:r>
    </w:p>
    <w:p w14:paraId="00B9D03A" w14:textId="0308A97B" w:rsidR="008E1C93" w:rsidRDefault="008E1C93" w:rsidP="008E1C93">
      <w:r>
        <w:t>The transaction expenses associated with investing in foreign markets are likely the main deterrent for British American Tobacco. The transaction costs that BAT must bear when investing in a foreign market still vary considerably, despite the fact that we live in a very interconnected and globalised society</w:t>
      </w:r>
      <w:r w:rsidR="00CC0C4C">
        <w:t xml:space="preserve"> (</w:t>
      </w:r>
      <w:r w:rsidR="00CC0C4C">
        <w:rPr>
          <w:shd w:val="clear" w:color="auto" w:fill="FFFFFF"/>
        </w:rPr>
        <w:t>Huang et al., 2015)</w:t>
      </w:r>
      <w:r>
        <w:t>. In most cases, the commissions charged by brokers in foreign markets will be greater than those charged in the home market. In addition to the increased brokerage costs, investors may be subject to extra charges such as stamp duties, levies, taxes, clearing fees, and exchange fees that are unique to the local market.</w:t>
      </w:r>
    </w:p>
    <w:p w14:paraId="13D9C318" w14:textId="15A47CC2" w:rsidR="008E1C93" w:rsidRDefault="008E1C93" w:rsidP="008E1C93">
      <w:r>
        <w:t>Retail investors' exposure to British American Tobacco's next potential risk comes from fluctuations in the value of the pound. They must convert their home currency (USD for U.S. investors) into the target currency (e.g., the local currency of the country where the stock is being traded) at the market exchange rate in order to make the investment</w:t>
      </w:r>
      <w:r w:rsidR="00CC0C4C">
        <w:t xml:space="preserve"> (</w:t>
      </w:r>
      <w:r w:rsidR="00CC0C4C">
        <w:rPr>
          <w:shd w:val="clear" w:color="auto" w:fill="FFFFFF"/>
        </w:rPr>
        <w:t>Singh et al., 2021)</w:t>
      </w:r>
      <w:r>
        <w:t>. If BAT waits a year before selling the foreign shares, the conversion from the foreign currency to US dollars will be based on the exchange rate in effect at the time of sale. Many investors are wary due to doubts about the stability of the currency market.</w:t>
      </w:r>
    </w:p>
    <w:p w14:paraId="319C9568" w14:textId="7E232831" w:rsidR="00581124" w:rsidRDefault="008E1C93" w:rsidP="008E1C93">
      <w:r>
        <w:lastRenderedPageBreak/>
        <w:t>Liquidity risk is an additional threat when dealing with overseas markets, particularly developing economies. Insufficient stock sales after the entry of a sell order constitute liquidity risk</w:t>
      </w:r>
      <w:r w:rsidR="00CC0C4C">
        <w:t xml:space="preserve"> (</w:t>
      </w:r>
      <w:r w:rsidR="00CC0C4C">
        <w:rPr>
          <w:shd w:val="clear" w:color="auto" w:fill="FFFFFF"/>
        </w:rPr>
        <w:t>Ţiţan, 2015)</w:t>
      </w:r>
      <w:r>
        <w:t>. However, the ordinary investor lacks adequate safeguards against liquidity risk. Foreign assets that are now illiquid or may become so before the investor is ready to sell should be scrutinised carefully. In addition, before investing in anything, certain standard approaches exist to assess the asset's liquidity.</w:t>
      </w:r>
    </w:p>
    <w:p w14:paraId="69391355" w14:textId="22F83CC3" w:rsidR="008106FE" w:rsidRPr="008106FE" w:rsidRDefault="008106FE" w:rsidP="008106FE">
      <w:pPr>
        <w:pStyle w:val="Titlu1"/>
      </w:pPr>
      <w:r w:rsidRPr="008106FE">
        <w:t>British American Tobacco dividend distribution policy</w:t>
      </w:r>
    </w:p>
    <w:p w14:paraId="5E09E8B6" w14:textId="67B69E55" w:rsidR="008E1C93" w:rsidRDefault="008E1C93" w:rsidP="008E1C93">
      <w:r>
        <w:t xml:space="preserve">Dividends for British American Tobacco stock are now paid only in cash and are deposited directly into the bank account specified by the shareholder. Required straight credit is the term for this practise. </w:t>
      </w:r>
      <w:r w:rsidR="008106FE" w:rsidRPr="008106FE">
        <w:t>Computershare has contacted shareholders on the UK central register who requested dividend payments</w:t>
      </w:r>
      <w:r w:rsidR="00CA4E49" w:rsidRPr="00CA4E49">
        <w:t xml:space="preserve"> </w:t>
      </w:r>
      <w:r>
        <w:t xml:space="preserve">by check </w:t>
      </w:r>
      <w:r w:rsidR="001C72F5">
        <w:t>for</w:t>
      </w:r>
      <w:r>
        <w:t xml:space="preserve"> the upcoming change</w:t>
      </w:r>
      <w:r w:rsidR="00CC0C4C">
        <w:t xml:space="preserve"> (</w:t>
      </w:r>
      <w:r w:rsidR="00CC0C4C">
        <w:rPr>
          <w:shd w:val="clear" w:color="auto" w:fill="FFFFFF"/>
        </w:rPr>
        <w:t>Madura, 2020)</w:t>
      </w:r>
      <w:r>
        <w:t>. If they get a Computershare notice, those shareholders must respond by choosing the proper course of action.</w:t>
      </w:r>
    </w:p>
    <w:p w14:paraId="44681EBE" w14:textId="26DF1D1E" w:rsidR="008106FE" w:rsidRDefault="008106FE" w:rsidP="008106FE">
      <w:pPr>
        <w:pStyle w:val="Titlu1"/>
      </w:pPr>
      <w:r>
        <w:t>The</w:t>
      </w:r>
      <w:r w:rsidRPr="008106FE">
        <w:t xml:space="preserve"> efficient market hypothesis theory in the context </w:t>
      </w:r>
      <w:r>
        <w:t>of British American Tobacco</w:t>
      </w:r>
    </w:p>
    <w:p w14:paraId="5D569ECE" w14:textId="1730B76C" w:rsidR="008E1C93" w:rsidRDefault="008E1C93" w:rsidP="008E1C93">
      <w:r>
        <w:t xml:space="preserve">The most important aspect of the efficient market theory for British American Tobacco is its contention that </w:t>
      </w:r>
      <w:r w:rsidR="00CA4E49">
        <w:t>it</w:t>
      </w:r>
      <w:r>
        <w:t xml:space="preserve"> cannot continuously beat the market. There isn't a single thing they could possibly know that wouldn't already be common knowledge amongst traders and thus already accounted for in their own positions</w:t>
      </w:r>
      <w:r w:rsidR="00CC0C4C">
        <w:t xml:space="preserve"> (</w:t>
      </w:r>
      <w:r w:rsidR="00CC0C4C">
        <w:rPr>
          <w:shd w:val="clear" w:color="auto" w:fill="FFFFFF"/>
        </w:rPr>
        <w:t>Shapiro and Hanouna, 2019)</w:t>
      </w:r>
      <w:r>
        <w:t xml:space="preserve">. Not that BAT never gets it right; far from it. While it's possible to gain from a successful stock choice, </w:t>
      </w:r>
      <w:r w:rsidR="008106FE" w:rsidRPr="008106FE">
        <w:t>your portfolio won't exceed the average investor in the long run</w:t>
      </w:r>
      <w:r>
        <w:t>. Therefore, according to the efficient market hypothesis, the best way for investors to participate in the market as a whole is to acquire index funds and hold them for an extended period of time.</w:t>
      </w:r>
    </w:p>
    <w:p w14:paraId="5F172CE9" w14:textId="66F464BB" w:rsidR="008E1C93" w:rsidRDefault="008E1C93" w:rsidP="008E1C93">
      <w:r>
        <w:t>According to the efficient market hypothesis, there is no reliable way to profit by trading against the market</w:t>
      </w:r>
      <w:r w:rsidR="00CC0C4C">
        <w:t xml:space="preserve"> (</w:t>
      </w:r>
      <w:r w:rsidR="00CC0C4C">
        <w:rPr>
          <w:shd w:val="clear" w:color="auto" w:fill="FFFFFF"/>
        </w:rPr>
        <w:t>Lane and Milesi-Ferretti, 2018)</w:t>
      </w:r>
      <w:r>
        <w:t xml:space="preserve">. Regardless of what they know, the market as a whole is already acting on it. Thus, the price of a stock already accounts for all of the information that is known about that stock and the firm it represents. However, just because BAT can't win in the market doesn't imply it never will. However, performance will level out over time and be no better than the market average. Proponents of this theory state that it explains why only a few money managers are able to provide superior returns relative to key market </w:t>
      </w:r>
      <w:r>
        <w:lastRenderedPageBreak/>
        <w:t>indices on a regular basis</w:t>
      </w:r>
      <w:r w:rsidR="00CC0C4C">
        <w:t xml:space="preserve"> (</w:t>
      </w:r>
      <w:r w:rsidR="00CC0C4C">
        <w:rPr>
          <w:shd w:val="clear" w:color="auto" w:fill="FFFFFF"/>
        </w:rPr>
        <w:t>Kvint, 2015)</w:t>
      </w:r>
      <w:r>
        <w:t>. Detractors of the idea argue that it runs counter to what we've learned from the field of behavioural economics.</w:t>
      </w:r>
    </w:p>
    <w:p w14:paraId="6A82077F" w14:textId="111B3AE4" w:rsidR="008E1C93" w:rsidRDefault="008E1C93" w:rsidP="008E1C93">
      <w:r>
        <w:t>The implications of efficient market theory for British American Tobacco's investment strategy are worth discussing with a financial adviser. No one should have a hard time finding a competent and trustworthy financial counsellor. Risk management is the next greatest thing for BAT to master after efficiency</w:t>
      </w:r>
      <w:r w:rsidR="00CC0C4C">
        <w:t xml:space="preserve"> (</w:t>
      </w:r>
      <w:r w:rsidR="00CC0C4C">
        <w:rPr>
          <w:shd w:val="clear" w:color="auto" w:fill="FFFFFF"/>
        </w:rPr>
        <w:t>Milhaupt and Pargendler, 2017)</w:t>
      </w:r>
      <w:r>
        <w:t xml:space="preserve">. Although BAT can't outperform the market according to efficient market theory, there are riskier and safer industries. A person's portfolio earnings and losses are subject to their own risk tolerance. </w:t>
      </w:r>
      <w:r w:rsidR="008106FE" w:rsidRPr="008106FE">
        <w:t>Using the current portfolio theory, BAT may improve its efficiency and risk profile</w:t>
      </w:r>
      <w:r>
        <w:t>.</w:t>
      </w:r>
    </w:p>
    <w:p w14:paraId="0EAC8FA5" w14:textId="78AED23E" w:rsidR="008106FE" w:rsidRDefault="008106FE" w:rsidP="008106FE">
      <w:pPr>
        <w:pStyle w:val="Titlu1"/>
      </w:pPr>
      <w:r>
        <w:t>British American Tobacco’s methods of appraising projects</w:t>
      </w:r>
    </w:p>
    <w:p w14:paraId="3B78D6C6" w14:textId="0CB2BCF2" w:rsidR="00416755" w:rsidRDefault="00416755" w:rsidP="00416755">
      <w:r>
        <w:t>The project evaluation process is handled differently at British American Tobacco. In the following, we'll talk about these things</w:t>
      </w:r>
      <w:r w:rsidR="00CC0C4C">
        <w:t xml:space="preserve"> (</w:t>
      </w:r>
      <w:r w:rsidR="00CC0C4C">
        <w:rPr>
          <w:shd w:val="clear" w:color="auto" w:fill="FFFFFF"/>
        </w:rPr>
        <w:t>Karadag, 2015)</w:t>
      </w:r>
      <w:r>
        <w:t xml:space="preserve">. </w:t>
      </w:r>
      <w:r w:rsidR="008106FE">
        <w:t>The economic study includes</w:t>
      </w:r>
      <w:r>
        <w:t xml:space="preserve"> the project's raw material needs, capacity utilisation rate, sales forecast, cost estimate, and expected profit. It has been suggested that British American Tobacco should always have a profit target in mind, which may then be used to guide the company's purchasing decisions, inventory levels, and other key economic indicators. How much money has to be made in sales has to be determined. Obviously, the number of goods sold will be predicted in part by guessing the level of interest in the product</w:t>
      </w:r>
      <w:r w:rsidR="00CC0C4C">
        <w:t xml:space="preserve"> (</w:t>
      </w:r>
      <w:r w:rsidR="00CC0C4C">
        <w:rPr>
          <w:shd w:val="clear" w:color="auto" w:fill="FFFFFF"/>
        </w:rPr>
        <w:t>Akhtar, 2018)</w:t>
      </w:r>
      <w:r>
        <w:t>. Since product demand is such a crucial component in determining the project's viability, it must be thoroughly described.</w:t>
      </w:r>
    </w:p>
    <w:p w14:paraId="5B1BEF88" w14:textId="77A07CAE" w:rsidR="00416755" w:rsidRDefault="00416755" w:rsidP="00416755">
      <w:r>
        <w:t>Before beginning manufacturing, British American Tobacco must first assess the potential demand for the item. The business has to think forward to who may buy its goods and when they could be sold</w:t>
      </w:r>
      <w:r w:rsidR="00CC0C4C">
        <w:t xml:space="preserve"> (</w:t>
      </w:r>
      <w:r w:rsidR="00CC0C4C">
        <w:rPr>
          <w:shd w:val="clear" w:color="auto" w:fill="FFFFFF"/>
        </w:rPr>
        <w:t>Huang et al., 2015)</w:t>
      </w:r>
      <w:r>
        <w:t>. This is because producers may only benefit from their work if they sell their goods. If the evidence of pudding can be found in the eating, then the proof of all products can be found in its sale and use. In reality, market potential is the primary factor in determining the likely benefits of a career in the organisation. As a result, it is crucial that the company owners understand the potential demand for the finished product. In "Managerial Economics," "demand forecasting" refers to the different techniques used to predict the prospective market, which may vary from simple to complex</w:t>
      </w:r>
      <w:r w:rsidR="00CC0C4C">
        <w:t xml:space="preserve"> (</w:t>
      </w:r>
      <w:r w:rsidR="00CC0C4C">
        <w:rPr>
          <w:shd w:val="clear" w:color="auto" w:fill="FFFFFF"/>
        </w:rPr>
        <w:t>Ţiţan, 2015)</w:t>
      </w:r>
      <w:r>
        <w:t>.</w:t>
      </w:r>
    </w:p>
    <w:p w14:paraId="62DC0CD4" w14:textId="0DB92C0A" w:rsidR="00CC0C4C" w:rsidRDefault="00CC0C4C" w:rsidP="00416755">
      <w:r>
        <w:lastRenderedPageBreak/>
        <w:t>A company's success or failure often hinges on the management team's skill and acumen. In the strictest sense, even plausible initiatives may fail if their managers are incompetent. However, competent management may turn even a failing project around (</w:t>
      </w:r>
      <w:r>
        <w:rPr>
          <w:shd w:val="clear" w:color="auto" w:fill="FFFFFF"/>
        </w:rPr>
        <w:t>Singh et al., 2021)</w:t>
      </w:r>
      <w:r>
        <w:t>. Therefore, British American Tobacco's management ability or skill must be taken into account during the project review.</w:t>
      </w:r>
    </w:p>
    <w:p w14:paraId="3FBBAA37" w14:textId="72511E5E" w:rsidR="008106FE" w:rsidRDefault="008106FE" w:rsidP="008106FE">
      <w:pPr>
        <w:pStyle w:val="Titlu1"/>
      </w:pPr>
      <w:r>
        <w:t>Conclusion</w:t>
      </w:r>
    </w:p>
    <w:p w14:paraId="11433865" w14:textId="17AC4A5D" w:rsidR="008106FE" w:rsidRDefault="00416755" w:rsidP="00416755">
      <w:r w:rsidRPr="00416755">
        <w:t xml:space="preserve">British American Tobacco relies heavily on effective international financial management to oversee the company's finances in a number of different nations. International finance supports </w:t>
      </w:r>
      <w:r w:rsidR="001C72F5">
        <w:t xml:space="preserve">and </w:t>
      </w:r>
      <w:r w:rsidRPr="00416755">
        <w:t xml:space="preserve">encourages the integration of economics, giving </w:t>
      </w:r>
      <w:r w:rsidR="001C72F5" w:rsidRPr="001C72F5">
        <w:t>the organisation a simple flow of monetary</w:t>
      </w:r>
      <w:r w:rsidRPr="00416755">
        <w:t xml:space="preserve">. Participating nations in the international monetary system benefit from this as a consequence of increased fairness. Finance on a global scale encompasses both the theory and practise of global company management. It is associated with actions concerning </w:t>
      </w:r>
      <w:r>
        <w:t xml:space="preserve">the </w:t>
      </w:r>
      <w:r w:rsidRPr="00416755">
        <w:t>transportation of resources of the firm. It may be challenging for a financial manager to keep track of and organise all the moving parts involved in foreign financial transactions.</w:t>
      </w:r>
    </w:p>
    <w:p w14:paraId="335AC76F" w14:textId="77777777" w:rsidR="008106FE" w:rsidRDefault="008106FE">
      <w:pPr>
        <w:spacing w:line="259" w:lineRule="auto"/>
        <w:jc w:val="left"/>
      </w:pPr>
      <w:r>
        <w:br w:type="page"/>
      </w:r>
    </w:p>
    <w:p w14:paraId="270179D9" w14:textId="0E57E72E" w:rsidR="00416755" w:rsidRDefault="008106FE" w:rsidP="008106FE">
      <w:pPr>
        <w:pStyle w:val="Titlu1"/>
      </w:pPr>
      <w:r>
        <w:lastRenderedPageBreak/>
        <w:t>References</w:t>
      </w:r>
    </w:p>
    <w:p w14:paraId="1AC96E9C" w14:textId="77777777" w:rsidR="00CC0C4C" w:rsidRDefault="00CC0C4C" w:rsidP="00CC0C4C">
      <w:pPr>
        <w:ind w:left="720" w:hanging="720"/>
        <w:rPr>
          <w:shd w:val="clear" w:color="auto" w:fill="FFFFFF"/>
        </w:rPr>
      </w:pPr>
      <w:r>
        <w:rPr>
          <w:shd w:val="clear" w:color="auto" w:fill="FFFFFF"/>
        </w:rPr>
        <w:t>Akhtar, S., 2018. Dividend policies across multinational and domestic corporations–an international study. </w:t>
      </w:r>
      <w:r>
        <w:rPr>
          <w:i/>
          <w:iCs/>
          <w:shd w:val="clear" w:color="auto" w:fill="FFFFFF"/>
        </w:rPr>
        <w:t>Accounting &amp; Finance</w:t>
      </w:r>
      <w:r>
        <w:rPr>
          <w:shd w:val="clear" w:color="auto" w:fill="FFFFFF"/>
        </w:rPr>
        <w:t>, </w:t>
      </w:r>
      <w:r>
        <w:rPr>
          <w:i/>
          <w:iCs/>
          <w:shd w:val="clear" w:color="auto" w:fill="FFFFFF"/>
        </w:rPr>
        <w:t>58</w:t>
      </w:r>
      <w:r>
        <w:rPr>
          <w:shd w:val="clear" w:color="auto" w:fill="FFFFFF"/>
        </w:rPr>
        <w:t>(3), pp.669-695.</w:t>
      </w:r>
    </w:p>
    <w:p w14:paraId="3CA510BE" w14:textId="77777777" w:rsidR="00CC0C4C" w:rsidRDefault="00CC0C4C" w:rsidP="00CC0C4C">
      <w:pPr>
        <w:ind w:left="720" w:hanging="720"/>
        <w:rPr>
          <w:shd w:val="clear" w:color="auto" w:fill="FFFFFF"/>
        </w:rPr>
      </w:pPr>
      <w:r>
        <w:rPr>
          <w:shd w:val="clear" w:color="auto" w:fill="FFFFFF"/>
        </w:rPr>
        <w:t xml:space="preserve">Altman, E.I., </w:t>
      </w:r>
      <w:proofErr w:type="spellStart"/>
      <w:r>
        <w:rPr>
          <w:shd w:val="clear" w:color="auto" w:fill="FFFFFF"/>
        </w:rPr>
        <w:t>Iwanicz</w:t>
      </w:r>
      <w:r>
        <w:rPr>
          <w:rFonts w:ascii="Cambria Math" w:hAnsi="Cambria Math" w:cs="Cambria Math"/>
          <w:shd w:val="clear" w:color="auto" w:fill="FFFFFF"/>
        </w:rPr>
        <w:t>‐</w:t>
      </w:r>
      <w:r>
        <w:rPr>
          <w:shd w:val="clear" w:color="auto" w:fill="FFFFFF"/>
        </w:rPr>
        <w:t>Drozdowska</w:t>
      </w:r>
      <w:proofErr w:type="spellEnd"/>
      <w:r>
        <w:rPr>
          <w:shd w:val="clear" w:color="auto" w:fill="FFFFFF"/>
        </w:rPr>
        <w:t>, M., Laitinen, E.K. and Suvas, A., 2017. Financial distress prediction in an international context: A review and empirical analysis of Altman's Z</w:t>
      </w:r>
      <w:r>
        <w:rPr>
          <w:rFonts w:ascii="Cambria Math" w:hAnsi="Cambria Math" w:cs="Cambria Math"/>
          <w:shd w:val="clear" w:color="auto" w:fill="FFFFFF"/>
        </w:rPr>
        <w:t>‐</w:t>
      </w:r>
      <w:r>
        <w:rPr>
          <w:shd w:val="clear" w:color="auto" w:fill="FFFFFF"/>
        </w:rPr>
        <w:t>score model. </w:t>
      </w:r>
      <w:r>
        <w:rPr>
          <w:i/>
          <w:iCs/>
          <w:shd w:val="clear" w:color="auto" w:fill="FFFFFF"/>
        </w:rPr>
        <w:t>Journal of International Financial Management &amp; Accounting</w:t>
      </w:r>
      <w:r>
        <w:rPr>
          <w:shd w:val="clear" w:color="auto" w:fill="FFFFFF"/>
        </w:rPr>
        <w:t>, </w:t>
      </w:r>
      <w:r>
        <w:rPr>
          <w:i/>
          <w:iCs/>
          <w:shd w:val="clear" w:color="auto" w:fill="FFFFFF"/>
        </w:rPr>
        <w:t>28</w:t>
      </w:r>
      <w:r>
        <w:rPr>
          <w:shd w:val="clear" w:color="auto" w:fill="FFFFFF"/>
        </w:rPr>
        <w:t>(2), pp.131-171.</w:t>
      </w:r>
    </w:p>
    <w:p w14:paraId="23801A19" w14:textId="77777777" w:rsidR="00CC0C4C" w:rsidRDefault="00CC0C4C" w:rsidP="00CC0C4C">
      <w:pPr>
        <w:ind w:left="720" w:hanging="720"/>
        <w:rPr>
          <w:shd w:val="clear" w:color="auto" w:fill="FFFFFF"/>
        </w:rPr>
      </w:pPr>
      <w:r>
        <w:rPr>
          <w:shd w:val="clear" w:color="auto" w:fill="FFFFFF"/>
        </w:rPr>
        <w:t>Huang, T., Wu, F., Yu, J. and Zhang, B., 2015. Political risk and dividend policy: Evidence from international political crises. </w:t>
      </w:r>
      <w:r>
        <w:rPr>
          <w:i/>
          <w:iCs/>
          <w:shd w:val="clear" w:color="auto" w:fill="FFFFFF"/>
        </w:rPr>
        <w:t>Journal of International Business Studies</w:t>
      </w:r>
      <w:r>
        <w:rPr>
          <w:shd w:val="clear" w:color="auto" w:fill="FFFFFF"/>
        </w:rPr>
        <w:t>, </w:t>
      </w:r>
      <w:r>
        <w:rPr>
          <w:i/>
          <w:iCs/>
          <w:shd w:val="clear" w:color="auto" w:fill="FFFFFF"/>
        </w:rPr>
        <w:t>46</w:t>
      </w:r>
      <w:r>
        <w:rPr>
          <w:shd w:val="clear" w:color="auto" w:fill="FFFFFF"/>
        </w:rPr>
        <w:t>(5), pp.574-595.</w:t>
      </w:r>
    </w:p>
    <w:p w14:paraId="0475F918" w14:textId="77777777" w:rsidR="00CC0C4C" w:rsidRDefault="00CC0C4C" w:rsidP="00CC0C4C">
      <w:pPr>
        <w:ind w:left="720" w:hanging="720"/>
        <w:rPr>
          <w:shd w:val="clear" w:color="auto" w:fill="FFFFFF"/>
        </w:rPr>
      </w:pPr>
      <w:r>
        <w:rPr>
          <w:shd w:val="clear" w:color="auto" w:fill="FFFFFF"/>
        </w:rPr>
        <w:t>Karadag, H., 2015. Financial management challenges in small and medium-sized enterprises: A strategic management approach. </w:t>
      </w:r>
      <w:r>
        <w:rPr>
          <w:i/>
          <w:iCs/>
          <w:shd w:val="clear" w:color="auto" w:fill="FFFFFF"/>
        </w:rPr>
        <w:t>EMAJ: Emerging Markets Journal</w:t>
      </w:r>
      <w:r>
        <w:rPr>
          <w:shd w:val="clear" w:color="auto" w:fill="FFFFFF"/>
        </w:rPr>
        <w:t>, </w:t>
      </w:r>
      <w:r>
        <w:rPr>
          <w:i/>
          <w:iCs/>
          <w:shd w:val="clear" w:color="auto" w:fill="FFFFFF"/>
        </w:rPr>
        <w:t>5</w:t>
      </w:r>
      <w:r>
        <w:rPr>
          <w:shd w:val="clear" w:color="auto" w:fill="FFFFFF"/>
        </w:rPr>
        <w:t>(1), pp.26-40.</w:t>
      </w:r>
    </w:p>
    <w:p w14:paraId="3CE1B030" w14:textId="77777777" w:rsidR="00CC0C4C" w:rsidRDefault="00CC0C4C" w:rsidP="00CC0C4C">
      <w:pPr>
        <w:ind w:left="720" w:hanging="720"/>
        <w:rPr>
          <w:shd w:val="clear" w:color="auto" w:fill="FFFFFF"/>
        </w:rPr>
      </w:pPr>
      <w:r>
        <w:rPr>
          <w:shd w:val="clear" w:color="auto" w:fill="FFFFFF"/>
        </w:rPr>
        <w:t>Kvint, V., 2015. Strategy for the Global Market: Theory and practical applications. Routledge.</w:t>
      </w:r>
    </w:p>
    <w:p w14:paraId="3930EA32" w14:textId="77777777" w:rsidR="00CC0C4C" w:rsidRDefault="00CC0C4C" w:rsidP="00CC0C4C">
      <w:pPr>
        <w:ind w:left="720" w:hanging="720"/>
        <w:rPr>
          <w:shd w:val="clear" w:color="auto" w:fill="FFFFFF"/>
        </w:rPr>
      </w:pPr>
      <w:r>
        <w:rPr>
          <w:shd w:val="clear" w:color="auto" w:fill="FFFFFF"/>
        </w:rPr>
        <w:t>Lane, P.R. and Milesi-Ferretti, G.M., 2018. The external wealth of nations revisited: international financial integration in the aftermath of the global financial crisis. </w:t>
      </w:r>
      <w:r>
        <w:rPr>
          <w:i/>
          <w:iCs/>
          <w:shd w:val="clear" w:color="auto" w:fill="FFFFFF"/>
        </w:rPr>
        <w:t>IMF Economic Review</w:t>
      </w:r>
      <w:r>
        <w:rPr>
          <w:shd w:val="clear" w:color="auto" w:fill="FFFFFF"/>
        </w:rPr>
        <w:t>, </w:t>
      </w:r>
      <w:r>
        <w:rPr>
          <w:i/>
          <w:iCs/>
          <w:shd w:val="clear" w:color="auto" w:fill="FFFFFF"/>
        </w:rPr>
        <w:t>66</w:t>
      </w:r>
      <w:r>
        <w:rPr>
          <w:shd w:val="clear" w:color="auto" w:fill="FFFFFF"/>
        </w:rPr>
        <w:t>(1), pp.189-222.</w:t>
      </w:r>
    </w:p>
    <w:p w14:paraId="249541F4" w14:textId="77777777" w:rsidR="00CC0C4C" w:rsidRDefault="00CC0C4C" w:rsidP="00CC0C4C">
      <w:pPr>
        <w:ind w:left="720" w:hanging="720"/>
        <w:rPr>
          <w:shd w:val="clear" w:color="auto" w:fill="FFFFFF"/>
        </w:rPr>
      </w:pPr>
      <w:r>
        <w:rPr>
          <w:shd w:val="clear" w:color="auto" w:fill="FFFFFF"/>
        </w:rPr>
        <w:t>Madura, J., 2020. </w:t>
      </w:r>
      <w:r>
        <w:rPr>
          <w:i/>
          <w:iCs/>
          <w:shd w:val="clear" w:color="auto" w:fill="FFFFFF"/>
        </w:rPr>
        <w:t>International financial management</w:t>
      </w:r>
      <w:r>
        <w:rPr>
          <w:shd w:val="clear" w:color="auto" w:fill="FFFFFF"/>
        </w:rPr>
        <w:t>. Cengage Learning.</w:t>
      </w:r>
    </w:p>
    <w:p w14:paraId="0D0FF38D" w14:textId="77777777" w:rsidR="00CC0C4C" w:rsidRDefault="00CC0C4C" w:rsidP="00CC0C4C">
      <w:pPr>
        <w:ind w:left="720" w:hanging="720"/>
        <w:rPr>
          <w:shd w:val="clear" w:color="auto" w:fill="FFFFFF"/>
        </w:rPr>
      </w:pPr>
      <w:r>
        <w:rPr>
          <w:shd w:val="clear" w:color="auto" w:fill="FFFFFF"/>
        </w:rPr>
        <w:t>Milhaupt, C.J. and Pargendler, M., 2017. Governance challenges of listed state-owned enterprises around the world: National experiences and a framework for reform. </w:t>
      </w:r>
      <w:r>
        <w:rPr>
          <w:i/>
          <w:iCs/>
          <w:shd w:val="clear" w:color="auto" w:fill="FFFFFF"/>
        </w:rPr>
        <w:t>Cornell Int'l LJ</w:t>
      </w:r>
      <w:r>
        <w:rPr>
          <w:shd w:val="clear" w:color="auto" w:fill="FFFFFF"/>
        </w:rPr>
        <w:t>, </w:t>
      </w:r>
      <w:r>
        <w:rPr>
          <w:i/>
          <w:iCs/>
          <w:shd w:val="clear" w:color="auto" w:fill="FFFFFF"/>
        </w:rPr>
        <w:t>50</w:t>
      </w:r>
      <w:r>
        <w:rPr>
          <w:shd w:val="clear" w:color="auto" w:fill="FFFFFF"/>
        </w:rPr>
        <w:t>, p.473.</w:t>
      </w:r>
    </w:p>
    <w:p w14:paraId="37FF2DC2" w14:textId="77777777" w:rsidR="00CC0C4C" w:rsidRDefault="00CC0C4C" w:rsidP="00CC0C4C">
      <w:pPr>
        <w:ind w:left="720" w:hanging="720"/>
        <w:rPr>
          <w:shd w:val="clear" w:color="auto" w:fill="FFFFFF"/>
        </w:rPr>
      </w:pPr>
      <w:r>
        <w:rPr>
          <w:shd w:val="clear" w:color="auto" w:fill="FFFFFF"/>
        </w:rPr>
        <w:t>Shapiro, A.C. and Hanouna, P., 2019. </w:t>
      </w:r>
      <w:r>
        <w:rPr>
          <w:i/>
          <w:iCs/>
          <w:shd w:val="clear" w:color="auto" w:fill="FFFFFF"/>
        </w:rPr>
        <w:t>Multinational financial management</w:t>
      </w:r>
      <w:r>
        <w:rPr>
          <w:shd w:val="clear" w:color="auto" w:fill="FFFFFF"/>
        </w:rPr>
        <w:t>. John Wiley &amp; Sons.</w:t>
      </w:r>
    </w:p>
    <w:p w14:paraId="538B3488" w14:textId="77777777" w:rsidR="00CC0C4C" w:rsidRPr="008106FE" w:rsidRDefault="00CC0C4C" w:rsidP="00CC0C4C">
      <w:pPr>
        <w:ind w:left="720" w:hanging="720"/>
      </w:pPr>
      <w:r>
        <w:rPr>
          <w:shd w:val="clear" w:color="auto" w:fill="FFFFFF"/>
        </w:rPr>
        <w:t xml:space="preserve">Singh, J.E., </w:t>
      </w:r>
      <w:proofErr w:type="spellStart"/>
      <w:r>
        <w:rPr>
          <w:shd w:val="clear" w:color="auto" w:fill="FFFFFF"/>
        </w:rPr>
        <w:t>Babshetti</w:t>
      </w:r>
      <w:proofErr w:type="spellEnd"/>
      <w:r>
        <w:rPr>
          <w:shd w:val="clear" w:color="auto" w:fill="FFFFFF"/>
        </w:rPr>
        <w:t xml:space="preserve">, V. and Shivaprasad, H.N., 2021. Efficient market hypothesis to </w:t>
      </w:r>
      <w:proofErr w:type="spellStart"/>
      <w:r>
        <w:rPr>
          <w:shd w:val="clear" w:color="auto" w:fill="FFFFFF"/>
        </w:rPr>
        <w:t>behavioral</w:t>
      </w:r>
      <w:proofErr w:type="spellEnd"/>
      <w:r>
        <w:rPr>
          <w:shd w:val="clear" w:color="auto" w:fill="FFFFFF"/>
        </w:rPr>
        <w:t xml:space="preserve"> finance: A review of rationality to irrationality. </w:t>
      </w:r>
      <w:r>
        <w:rPr>
          <w:i/>
          <w:iCs/>
          <w:shd w:val="clear" w:color="auto" w:fill="FFFFFF"/>
        </w:rPr>
        <w:t>Materials Today: Proceedings</w:t>
      </w:r>
      <w:r>
        <w:rPr>
          <w:shd w:val="clear" w:color="auto" w:fill="FFFFFF"/>
        </w:rPr>
        <w:t>.</w:t>
      </w:r>
    </w:p>
    <w:p w14:paraId="1E6B2312" w14:textId="77777777" w:rsidR="00CC0C4C" w:rsidRDefault="00CC0C4C" w:rsidP="00CC0C4C">
      <w:pPr>
        <w:ind w:left="720" w:hanging="720"/>
        <w:rPr>
          <w:shd w:val="clear" w:color="auto" w:fill="FFFFFF"/>
        </w:rPr>
      </w:pPr>
      <w:r>
        <w:rPr>
          <w:shd w:val="clear" w:color="auto" w:fill="FFFFFF"/>
        </w:rPr>
        <w:t>Ţiţan, A.G., 2015. The efficient market hypothesis: Review of specialized literature and empirical research. </w:t>
      </w:r>
      <w:r>
        <w:rPr>
          <w:i/>
          <w:iCs/>
          <w:shd w:val="clear" w:color="auto" w:fill="FFFFFF"/>
        </w:rPr>
        <w:t>Procedia Economics and Finance</w:t>
      </w:r>
      <w:r>
        <w:rPr>
          <w:shd w:val="clear" w:color="auto" w:fill="FFFFFF"/>
        </w:rPr>
        <w:t>, </w:t>
      </w:r>
      <w:r>
        <w:rPr>
          <w:i/>
          <w:iCs/>
          <w:shd w:val="clear" w:color="auto" w:fill="FFFFFF"/>
        </w:rPr>
        <w:t>32</w:t>
      </w:r>
      <w:r>
        <w:rPr>
          <w:shd w:val="clear" w:color="auto" w:fill="FFFFFF"/>
        </w:rPr>
        <w:t>, pp.442-449.</w:t>
      </w:r>
    </w:p>
    <w:sectPr w:rsidR="00CC0C4C" w:rsidSect="00B119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3118EE" w14:textId="77777777" w:rsidR="004E4764" w:rsidRDefault="004E4764" w:rsidP="008A0693">
      <w:pPr>
        <w:spacing w:after="0" w:line="240" w:lineRule="auto"/>
      </w:pPr>
      <w:r>
        <w:separator/>
      </w:r>
    </w:p>
  </w:endnote>
  <w:endnote w:type="continuationSeparator" w:id="0">
    <w:p w14:paraId="712BA750" w14:textId="77777777" w:rsidR="004E4764" w:rsidRDefault="004E4764" w:rsidP="008A0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CA4D1A" w14:textId="77777777" w:rsidR="004E4764" w:rsidRDefault="004E4764" w:rsidP="008A0693">
      <w:pPr>
        <w:spacing w:after="0" w:line="240" w:lineRule="auto"/>
      </w:pPr>
      <w:r>
        <w:separator/>
      </w:r>
    </w:p>
  </w:footnote>
  <w:footnote w:type="continuationSeparator" w:id="0">
    <w:p w14:paraId="6736F136" w14:textId="77777777" w:rsidR="004E4764" w:rsidRDefault="004E4764" w:rsidP="008A06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124"/>
    <w:rsid w:val="00130077"/>
    <w:rsid w:val="001C72F5"/>
    <w:rsid w:val="00416755"/>
    <w:rsid w:val="004E4764"/>
    <w:rsid w:val="00581124"/>
    <w:rsid w:val="005B0528"/>
    <w:rsid w:val="008106FE"/>
    <w:rsid w:val="008A0693"/>
    <w:rsid w:val="008E1C93"/>
    <w:rsid w:val="00B1195A"/>
    <w:rsid w:val="00CA4E49"/>
    <w:rsid w:val="00CC0C4C"/>
    <w:rsid w:val="00CC474D"/>
    <w:rsid w:val="00CE50C5"/>
    <w:rsid w:val="00F44F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6D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124"/>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581124"/>
    <w:pPr>
      <w:keepNext/>
      <w:keepLines/>
      <w:spacing w:before="240" w:after="0"/>
      <w:outlineLvl w:val="0"/>
    </w:pPr>
    <w:rPr>
      <w:rFonts w:eastAsiaTheme="majorEastAsia" w:cstheme="majorBidi"/>
      <w:b/>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81124"/>
    <w:rPr>
      <w:rFonts w:ascii="Times New Roman" w:eastAsiaTheme="majorEastAsia" w:hAnsi="Times New Roman" w:cstheme="majorBidi"/>
      <w:b/>
      <w:color w:val="2F5496" w:themeColor="accent1" w:themeShade="BF"/>
      <w:sz w:val="32"/>
      <w:szCs w:val="32"/>
    </w:rPr>
  </w:style>
  <w:style w:type="paragraph" w:styleId="Antet">
    <w:name w:val="header"/>
    <w:basedOn w:val="Normal"/>
    <w:link w:val="AntetCaracter"/>
    <w:uiPriority w:val="99"/>
    <w:unhideWhenUsed/>
    <w:rsid w:val="008A069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8A0693"/>
    <w:rPr>
      <w:rFonts w:ascii="Times New Roman" w:hAnsi="Times New Roman"/>
      <w:sz w:val="24"/>
    </w:rPr>
  </w:style>
  <w:style w:type="paragraph" w:styleId="Subsol">
    <w:name w:val="footer"/>
    <w:basedOn w:val="Normal"/>
    <w:link w:val="SubsolCaracter"/>
    <w:uiPriority w:val="99"/>
    <w:unhideWhenUsed/>
    <w:rsid w:val="008A069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8A0693"/>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124"/>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581124"/>
    <w:pPr>
      <w:keepNext/>
      <w:keepLines/>
      <w:spacing w:before="240" w:after="0"/>
      <w:outlineLvl w:val="0"/>
    </w:pPr>
    <w:rPr>
      <w:rFonts w:eastAsiaTheme="majorEastAsia" w:cstheme="majorBidi"/>
      <w:b/>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81124"/>
    <w:rPr>
      <w:rFonts w:ascii="Times New Roman" w:eastAsiaTheme="majorEastAsia" w:hAnsi="Times New Roman" w:cstheme="majorBidi"/>
      <w:b/>
      <w:color w:val="2F5496" w:themeColor="accent1" w:themeShade="BF"/>
      <w:sz w:val="32"/>
      <w:szCs w:val="32"/>
    </w:rPr>
  </w:style>
  <w:style w:type="paragraph" w:styleId="Antet">
    <w:name w:val="header"/>
    <w:basedOn w:val="Normal"/>
    <w:link w:val="AntetCaracter"/>
    <w:uiPriority w:val="99"/>
    <w:unhideWhenUsed/>
    <w:rsid w:val="008A069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8A0693"/>
    <w:rPr>
      <w:rFonts w:ascii="Times New Roman" w:hAnsi="Times New Roman"/>
      <w:sz w:val="24"/>
    </w:rPr>
  </w:style>
  <w:style w:type="paragraph" w:styleId="Subsol">
    <w:name w:val="footer"/>
    <w:basedOn w:val="Normal"/>
    <w:link w:val="SubsolCaracter"/>
    <w:uiPriority w:val="99"/>
    <w:unhideWhenUsed/>
    <w:rsid w:val="008A069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8A069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1923</Words>
  <Characters>10962</Characters>
  <Application>Microsoft Office Word</Application>
  <DocSecurity>0</DocSecurity>
  <Lines>91</Lines>
  <Paragraphs>25</Paragraphs>
  <ScaleCrop>false</ScaleCrop>
  <Company/>
  <LinksUpToDate>false</LinksUpToDate>
  <CharactersWithSpaces>12860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Muntean</dc:creator>
  <cp:keywords/>
  <dc:description/>
  <cp:lastModifiedBy/>
  <cp:revision>1</cp:revision>
  <dcterms:created xsi:type="dcterms:W3CDTF">2022-12-09T11:24:00Z</dcterms:created>
  <dcterms:modified xsi:type="dcterms:W3CDTF">2022-12-25T09:34:00Z</dcterms:modified>
</cp:coreProperties>
</file>