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both"/>
        <w:rPr>
          <w:rFonts w:ascii="Arial" w:hAnsi="Arial" w:cs="Arial"/>
          <w:sz w:val="24"/>
          <w:szCs w:val="24"/>
        </w:rPr>
      </w:pPr>
      <w:r>
        <w:rPr>
          <w:rFonts w:ascii="Times New Roman" w:hAnsi="Times New Roman" w:cs="Times New Roman"/>
          <w:b/>
          <w:bCs/>
          <w:sz w:val="24"/>
          <w:szCs w:val="24"/>
        </w:rPr>
        <w:tab/>
      </w:r>
    </w:p>
    <w:p>
      <w:pPr>
        <w:rPr>
          <w:rFonts w:ascii="Calibri" w:hAnsi="Calibri" w:cs="Calibri"/>
          <w:b/>
          <w:bCs/>
          <w:sz w:val="48"/>
          <w:szCs w:val="48"/>
        </w:rPr>
      </w:pPr>
      <w:r>
        <w:rPr>
          <w:rFonts w:ascii="Calibri" w:hAnsi="Calibri" w:cs="Calibri"/>
          <w:b/>
          <w:bCs/>
          <w:sz w:val="48"/>
          <w:szCs w:val="48"/>
        </w:rPr>
        <w:drawing>
          <wp:inline distT="0" distB="0" distL="0" distR="0">
            <wp:extent cx="5633085" cy="2212975"/>
            <wp:effectExtent l="0" t="0" r="5715" b="158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Style w:val="15"/>
          <w:rFonts w:ascii="Arial" w:hAnsi="Arial" w:cs="Arial"/>
          <w:sz w:val="48"/>
          <w:szCs w:val="48"/>
        </w:rPr>
      </w:pPr>
    </w:p>
    <w:p>
      <w:pPr>
        <w:spacing w:line="360" w:lineRule="auto"/>
        <w:jc w:val="center"/>
        <w:rPr>
          <w:rStyle w:val="15"/>
          <w:rFonts w:ascii="Arial" w:hAnsi="Arial" w:cs="Arial"/>
          <w:sz w:val="56"/>
          <w:szCs w:val="56"/>
        </w:rPr>
      </w:pPr>
      <w:r>
        <w:rPr>
          <w:rStyle w:val="15"/>
          <w:rFonts w:hint="eastAsia" w:ascii="Arial" w:hAnsi="Arial" w:eastAsia="宋体" w:cs="Arial"/>
          <w:sz w:val="56"/>
          <w:szCs w:val="56"/>
          <w:lang w:val="en-US" w:eastAsia="zh-CN"/>
        </w:rPr>
        <w:t>R</w:t>
      </w:r>
      <w:r>
        <w:rPr>
          <w:rStyle w:val="15"/>
          <w:rFonts w:hint="eastAsia" w:ascii="Arial" w:hAnsi="Arial" w:cs="Arial"/>
          <w:sz w:val="56"/>
          <w:szCs w:val="56"/>
        </w:rPr>
        <w:t>eflective essay</w:t>
      </w:r>
    </w:p>
    <w:p>
      <w:pPr>
        <w:ind w:firstLine="2400" w:firstLineChars="500"/>
        <w:rPr>
          <w:rFonts w:hint="eastAsia" w:ascii="Arial" w:hAnsi="Arial" w:eastAsia="宋体" w:cs="Arial"/>
          <w:sz w:val="48"/>
          <w:szCs w:val="48"/>
          <w:lang w:val="en-US" w:eastAsia="zh-CN"/>
        </w:rPr>
      </w:pPr>
    </w:p>
    <w:p>
      <w:pPr>
        <w:ind w:firstLine="2400" w:firstLineChars="500"/>
        <w:rPr>
          <w:rFonts w:hint="eastAsia" w:ascii="Arial" w:hAnsi="Arial" w:eastAsia="宋体" w:cs="Arial"/>
          <w:sz w:val="48"/>
          <w:szCs w:val="48"/>
          <w:lang w:val="en-US" w:eastAsia="zh-CN"/>
        </w:rPr>
      </w:pPr>
      <w:r>
        <w:rPr>
          <w:rFonts w:hint="eastAsia" w:ascii="Arial" w:hAnsi="Arial" w:eastAsia="宋体" w:cs="Arial"/>
          <w:sz w:val="48"/>
          <w:szCs w:val="48"/>
          <w:lang w:val="en-US" w:eastAsia="zh-CN"/>
        </w:rPr>
        <w:t>Chen Yilong 2100527</w:t>
      </w:r>
    </w:p>
    <w:p>
      <w:pPr>
        <w:ind w:firstLine="2400" w:firstLineChars="500"/>
        <w:rPr>
          <w:rFonts w:hint="eastAsia" w:ascii="Arial" w:hAnsi="Arial" w:eastAsia="宋体" w:cs="Arial"/>
          <w:sz w:val="48"/>
          <w:szCs w:val="48"/>
          <w:lang w:val="en-US" w:eastAsia="zh-CN"/>
        </w:rPr>
      </w:pPr>
    </w:p>
    <w:p>
      <w:pPr>
        <w:spacing w:line="360" w:lineRule="auto"/>
        <w:ind w:firstLine="240" w:firstLineChars="100"/>
        <w:jc w:val="both"/>
        <w:rPr>
          <w:rFonts w:ascii="Arial" w:hAnsi="Arial" w:cs="Arial"/>
          <w:sz w:val="24"/>
          <w:szCs w:val="24"/>
        </w:rPr>
      </w:pPr>
    </w:p>
    <w:p>
      <w:pPr>
        <w:rPr>
          <w:rFonts w:hint="eastAsia" w:ascii="Arial" w:hAnsi="Arial" w:eastAsia="宋体" w:cs="Arial"/>
          <w:sz w:val="48"/>
          <w:szCs w:val="48"/>
          <w:lang w:val="en-US" w:eastAsia="zh-CN"/>
        </w:rPr>
      </w:pPr>
    </w:p>
    <w:p>
      <w:pPr>
        <w:rPr>
          <w:rFonts w:hint="eastAsia" w:ascii="Arial" w:hAnsi="Arial" w:eastAsia="宋体" w:cs="Arial"/>
          <w:sz w:val="48"/>
          <w:szCs w:val="48"/>
          <w:lang w:val="en-US" w:eastAsia="zh-CN"/>
        </w:rPr>
      </w:pPr>
      <w:bookmarkStart w:id="12" w:name="_GoBack"/>
      <w:bookmarkEnd w:id="12"/>
    </w:p>
    <w:p>
      <w:pPr>
        <w:rPr>
          <w:rFonts w:hint="eastAsia" w:ascii="Arial" w:hAnsi="Arial" w:eastAsia="宋体" w:cs="Arial"/>
          <w:sz w:val="48"/>
          <w:szCs w:val="48"/>
          <w:lang w:val="en-US" w:eastAsia="zh-CN"/>
        </w:rPr>
      </w:pPr>
    </w:p>
    <w:p>
      <w:pPr>
        <w:rPr>
          <w:rFonts w:hint="eastAsia" w:ascii="Arial" w:hAnsi="Arial" w:eastAsia="宋体" w:cs="Arial"/>
          <w:sz w:val="48"/>
          <w:szCs w:val="48"/>
          <w:lang w:val="en-US" w:eastAsia="zh-CN"/>
        </w:rPr>
      </w:pPr>
      <w:r>
        <w:rPr>
          <w:rFonts w:ascii="Arial" w:hAnsi="Arial" w:cs="Arial"/>
          <w:sz w:val="32"/>
          <w:szCs w:val="32"/>
        </w:rPr>
        <w:t xml:space="preserve"> </w:t>
      </w:r>
      <w:r>
        <w:rPr>
          <w:rFonts w:hint="eastAsia" w:ascii="Arial" w:hAnsi="Arial" w:eastAsia="宋体" w:cs="Arial"/>
          <w:sz w:val="32"/>
          <w:szCs w:val="32"/>
          <w:lang w:val="en-US" w:eastAsia="zh-CN"/>
        </w:rPr>
        <w:t xml:space="preserve">                               </w:t>
      </w:r>
      <w:r>
        <w:rPr>
          <w:rFonts w:hint="eastAsia" w:ascii="Arial" w:hAnsi="Arial" w:eastAsia="宋体" w:cs="Arial"/>
          <w:sz w:val="44"/>
          <w:szCs w:val="44"/>
          <w:lang w:val="en-US" w:eastAsia="zh-CN"/>
        </w:rPr>
        <w:t>January 15(th), 2023</w:t>
      </w:r>
    </w:p>
    <w:p>
      <w:pPr>
        <w:ind w:left="3518" w:leftChars="366" w:hanging="2640" w:hangingChars="600"/>
        <w:rPr>
          <w:rFonts w:hint="default" w:ascii="Arial" w:hAnsi="Arial" w:eastAsia="宋体" w:cs="Arial"/>
          <w:b/>
          <w:bCs/>
          <w:sz w:val="24"/>
          <w:szCs w:val="24"/>
          <w:lang w:val="en-US" w:eastAsia="zh-CN"/>
        </w:rPr>
      </w:pPr>
      <w:r>
        <w:rPr>
          <w:rFonts w:hint="eastAsia" w:ascii="Arial" w:hAnsi="Arial" w:cs="Arial"/>
          <w:sz w:val="44"/>
          <w:szCs w:val="44"/>
        </w:rPr>
        <w:t>International Business Communication</w:t>
      </w:r>
      <w:r>
        <w:rPr>
          <w:rFonts w:hint="eastAsia" w:ascii="Arial" w:hAnsi="Arial" w:eastAsia="宋体" w:cs="Arial"/>
          <w:sz w:val="44"/>
          <w:szCs w:val="44"/>
          <w:lang w:val="en-US" w:eastAsia="zh-CN"/>
        </w:rPr>
        <w:t xml:space="preserve"> </w:t>
      </w:r>
      <w:r>
        <w:rPr>
          <w:rFonts w:hint="eastAsia" w:ascii="Arial" w:hAnsi="Arial" w:cs="Arial"/>
          <w:sz w:val="44"/>
          <w:szCs w:val="44"/>
        </w:rPr>
        <w:t>BMBM60</w:t>
      </w:r>
      <w:r>
        <w:rPr>
          <w:rFonts w:hint="eastAsia" w:ascii="Arial" w:hAnsi="Arial" w:eastAsia="宋体" w:cs="Arial"/>
          <w:sz w:val="44"/>
          <w:szCs w:val="44"/>
          <w:lang w:val="en-US" w:eastAsia="zh-CN"/>
        </w:rPr>
        <w:t>21</w:t>
      </w:r>
    </w:p>
    <w:p>
      <w:pPr>
        <w:tabs>
          <w:tab w:val="left" w:pos="3720"/>
        </w:tabs>
        <w:spacing w:after="0" w:line="360" w:lineRule="auto"/>
        <w:jc w:val="both"/>
      </w:pPr>
    </w:p>
    <w:sdt>
      <w:sdtPr>
        <w:id w:val="571852857"/>
        <w:docPartObj>
          <w:docPartGallery w:val="Table of Contents"/>
          <w:docPartUnique/>
        </w:docPartObj>
      </w:sdtPr>
      <w:sdtEndPr>
        <w:rPr>
          <w:rFonts w:ascii="Times New Roman" w:hAnsi="Times New Roman" w:eastAsiaTheme="minorHAnsi" w:cstheme="minorBidi"/>
          <w:b/>
          <w:bCs/>
          <w:color w:val="000000" w:themeColor="text1"/>
          <w:sz w:val="24"/>
          <w:szCs w:val="24"/>
          <w14:textFill>
            <w14:solidFill>
              <w14:schemeClr w14:val="tx1"/>
            </w14:solidFill>
          </w14:textFill>
        </w:rPr>
      </w:sdtEndPr>
      <w:sdtContent>
        <w:p>
          <w:pPr>
            <w:pStyle w:val="14"/>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pPr>
            <w:pStyle w:val="6"/>
            <w:rPr>
              <w:b w:val="0"/>
              <w:bCs w:val="0"/>
            </w:rPr>
          </w:pPr>
          <w:r>
            <w:fldChar w:fldCharType="begin"/>
          </w:r>
          <w:r>
            <w:instrText xml:space="preserve"> TOC \o "1-3" \h \z \u </w:instrText>
          </w:r>
          <w:r>
            <w:fldChar w:fldCharType="separate"/>
          </w:r>
          <w:r>
            <w:fldChar w:fldCharType="begin"/>
          </w:r>
          <w:r>
            <w:instrText xml:space="preserve"> HYPERLINK \l "_Toc124494999" </w:instrText>
          </w:r>
          <w:r>
            <w:fldChar w:fldCharType="separate"/>
          </w:r>
          <w:r>
            <w:rPr>
              <w:rStyle w:val="9"/>
              <w:b w:val="0"/>
              <w:bCs w:val="0"/>
            </w:rPr>
            <w:t>1.0. Introduction</w:t>
          </w:r>
          <w:r>
            <w:rPr>
              <w:b w:val="0"/>
              <w:bCs w:val="0"/>
            </w:rPr>
            <w:tab/>
          </w:r>
          <w:r>
            <w:rPr>
              <w:b w:val="0"/>
              <w:bCs w:val="0"/>
            </w:rPr>
            <w:fldChar w:fldCharType="begin"/>
          </w:r>
          <w:r>
            <w:rPr>
              <w:b w:val="0"/>
              <w:bCs w:val="0"/>
            </w:rPr>
            <w:instrText xml:space="preserve"> PAGEREF _Toc124494999 \h </w:instrText>
          </w:r>
          <w:r>
            <w:rPr>
              <w:b w:val="0"/>
              <w:bCs w:val="0"/>
            </w:rPr>
            <w:fldChar w:fldCharType="separate"/>
          </w:r>
          <w:r>
            <w:rPr>
              <w:b w:val="0"/>
              <w:bCs w:val="0"/>
            </w:rPr>
            <w:t>2</w:t>
          </w:r>
          <w:r>
            <w:rPr>
              <w:b w:val="0"/>
              <w:bCs w:val="0"/>
            </w:rPr>
            <w:fldChar w:fldCharType="end"/>
          </w:r>
          <w:r>
            <w:rPr>
              <w:b w:val="0"/>
              <w:bCs w:val="0"/>
            </w:rPr>
            <w:fldChar w:fldCharType="end"/>
          </w:r>
        </w:p>
        <w:p>
          <w:pPr>
            <w:pStyle w:val="6"/>
            <w:rPr>
              <w:b w:val="0"/>
              <w:bCs w:val="0"/>
            </w:rPr>
          </w:pPr>
          <w:r>
            <w:fldChar w:fldCharType="begin"/>
          </w:r>
          <w:r>
            <w:instrText xml:space="preserve"> HYPERLINK \l "_Toc124495000" </w:instrText>
          </w:r>
          <w:r>
            <w:fldChar w:fldCharType="separate"/>
          </w:r>
          <w:r>
            <w:rPr>
              <w:rStyle w:val="9"/>
              <w:b w:val="0"/>
              <w:bCs w:val="0"/>
            </w:rPr>
            <w:t>1.1. International Business Communication Situations</w:t>
          </w:r>
          <w:r>
            <w:rPr>
              <w:b w:val="0"/>
              <w:bCs w:val="0"/>
            </w:rPr>
            <w:tab/>
          </w:r>
          <w:r>
            <w:rPr>
              <w:b w:val="0"/>
              <w:bCs w:val="0"/>
            </w:rPr>
            <w:fldChar w:fldCharType="begin"/>
          </w:r>
          <w:r>
            <w:rPr>
              <w:b w:val="0"/>
              <w:bCs w:val="0"/>
            </w:rPr>
            <w:instrText xml:space="preserve"> PAGEREF _Toc124495000 \h </w:instrText>
          </w:r>
          <w:r>
            <w:rPr>
              <w:b w:val="0"/>
              <w:bCs w:val="0"/>
            </w:rPr>
            <w:fldChar w:fldCharType="separate"/>
          </w:r>
          <w:r>
            <w:rPr>
              <w:b w:val="0"/>
              <w:bCs w:val="0"/>
            </w:rPr>
            <w:t>3</w:t>
          </w:r>
          <w:r>
            <w:rPr>
              <w:b w:val="0"/>
              <w:bCs w:val="0"/>
            </w:rPr>
            <w:fldChar w:fldCharType="end"/>
          </w:r>
          <w:r>
            <w:rPr>
              <w:b w:val="0"/>
              <w:bCs w:val="0"/>
            </w:rPr>
            <w:fldChar w:fldCharType="end"/>
          </w:r>
        </w:p>
        <w:p>
          <w:pPr>
            <w:pStyle w:val="6"/>
            <w:rPr>
              <w:b w:val="0"/>
              <w:bCs w:val="0"/>
            </w:rPr>
          </w:pPr>
          <w:r>
            <w:fldChar w:fldCharType="begin"/>
          </w:r>
          <w:r>
            <w:instrText xml:space="preserve"> HYPERLINK \l "_Toc124495001" </w:instrText>
          </w:r>
          <w:r>
            <w:fldChar w:fldCharType="separate"/>
          </w:r>
          <w:r>
            <w:rPr>
              <w:rStyle w:val="9"/>
              <w:b w:val="0"/>
              <w:bCs w:val="0"/>
            </w:rPr>
            <w:t>1.2. Strategies to Overcome</w:t>
          </w:r>
          <w:r>
            <w:rPr>
              <w:b w:val="0"/>
              <w:bCs w:val="0"/>
            </w:rPr>
            <w:tab/>
          </w:r>
          <w:r>
            <w:rPr>
              <w:b w:val="0"/>
              <w:bCs w:val="0"/>
            </w:rPr>
            <w:fldChar w:fldCharType="begin"/>
          </w:r>
          <w:r>
            <w:rPr>
              <w:b w:val="0"/>
              <w:bCs w:val="0"/>
            </w:rPr>
            <w:instrText xml:space="preserve"> PAGEREF _Toc124495001 \h </w:instrText>
          </w:r>
          <w:r>
            <w:rPr>
              <w:b w:val="0"/>
              <w:bCs w:val="0"/>
            </w:rPr>
            <w:fldChar w:fldCharType="separate"/>
          </w:r>
          <w:r>
            <w:rPr>
              <w:b w:val="0"/>
              <w:bCs w:val="0"/>
            </w:rPr>
            <w:t>6</w:t>
          </w:r>
          <w:r>
            <w:rPr>
              <w:b w:val="0"/>
              <w:bCs w:val="0"/>
            </w:rPr>
            <w:fldChar w:fldCharType="end"/>
          </w:r>
          <w:r>
            <w:rPr>
              <w:b w:val="0"/>
              <w:bCs w:val="0"/>
            </w:rPr>
            <w:fldChar w:fldCharType="end"/>
          </w:r>
        </w:p>
        <w:p>
          <w:pPr>
            <w:pStyle w:val="6"/>
            <w:rPr>
              <w:b w:val="0"/>
              <w:bCs w:val="0"/>
            </w:rPr>
          </w:pPr>
          <w:r>
            <w:fldChar w:fldCharType="begin"/>
          </w:r>
          <w:r>
            <w:instrText xml:space="preserve"> HYPERLINK \l "_Toc124495002" </w:instrText>
          </w:r>
          <w:r>
            <w:fldChar w:fldCharType="separate"/>
          </w:r>
          <w:r>
            <w:rPr>
              <w:rStyle w:val="9"/>
              <w:b w:val="0"/>
              <w:bCs w:val="0"/>
            </w:rPr>
            <w:t>1.3. Conclusion</w:t>
          </w:r>
          <w:r>
            <w:rPr>
              <w:b w:val="0"/>
              <w:bCs w:val="0"/>
            </w:rPr>
            <w:tab/>
          </w:r>
          <w:r>
            <w:rPr>
              <w:b w:val="0"/>
              <w:bCs w:val="0"/>
            </w:rPr>
            <w:fldChar w:fldCharType="begin"/>
          </w:r>
          <w:r>
            <w:rPr>
              <w:b w:val="0"/>
              <w:bCs w:val="0"/>
            </w:rPr>
            <w:instrText xml:space="preserve"> PAGEREF _Toc124495002 \h </w:instrText>
          </w:r>
          <w:r>
            <w:rPr>
              <w:b w:val="0"/>
              <w:bCs w:val="0"/>
            </w:rPr>
            <w:fldChar w:fldCharType="separate"/>
          </w:r>
          <w:r>
            <w:rPr>
              <w:b w:val="0"/>
              <w:bCs w:val="0"/>
            </w:rPr>
            <w:t>8</w:t>
          </w:r>
          <w:r>
            <w:rPr>
              <w:b w:val="0"/>
              <w:bCs w:val="0"/>
            </w:rPr>
            <w:fldChar w:fldCharType="end"/>
          </w:r>
          <w:r>
            <w:rPr>
              <w:b w:val="0"/>
              <w:bCs w:val="0"/>
            </w:rPr>
            <w:fldChar w:fldCharType="end"/>
          </w:r>
        </w:p>
        <w:p>
          <w:pPr>
            <w:pStyle w:val="6"/>
            <w:rPr>
              <w:b w:val="0"/>
              <w:bCs w:val="0"/>
            </w:rPr>
          </w:pPr>
          <w:r>
            <w:fldChar w:fldCharType="begin"/>
          </w:r>
          <w:r>
            <w:instrText xml:space="preserve"> HYPERLINK \l "_Toc124495003" </w:instrText>
          </w:r>
          <w:r>
            <w:fldChar w:fldCharType="separate"/>
          </w:r>
          <w:r>
            <w:rPr>
              <w:rStyle w:val="9"/>
              <w:b w:val="0"/>
              <w:bCs w:val="0"/>
            </w:rPr>
            <w:t>1.4. Recommendations</w:t>
          </w:r>
          <w:r>
            <w:rPr>
              <w:b w:val="0"/>
              <w:bCs w:val="0"/>
            </w:rPr>
            <w:tab/>
          </w:r>
          <w:r>
            <w:rPr>
              <w:b w:val="0"/>
              <w:bCs w:val="0"/>
            </w:rPr>
            <w:fldChar w:fldCharType="begin"/>
          </w:r>
          <w:r>
            <w:rPr>
              <w:b w:val="0"/>
              <w:bCs w:val="0"/>
            </w:rPr>
            <w:instrText xml:space="preserve"> PAGEREF _Toc124495003 \h </w:instrText>
          </w:r>
          <w:r>
            <w:rPr>
              <w:b w:val="0"/>
              <w:bCs w:val="0"/>
            </w:rPr>
            <w:fldChar w:fldCharType="separate"/>
          </w:r>
          <w:r>
            <w:rPr>
              <w:b w:val="0"/>
              <w:bCs w:val="0"/>
            </w:rPr>
            <w:t>8</w:t>
          </w:r>
          <w:r>
            <w:rPr>
              <w:b w:val="0"/>
              <w:bCs w:val="0"/>
            </w:rPr>
            <w:fldChar w:fldCharType="end"/>
          </w:r>
          <w:r>
            <w:rPr>
              <w:b w:val="0"/>
              <w:bCs w:val="0"/>
            </w:rPr>
            <w:fldChar w:fldCharType="end"/>
          </w:r>
        </w:p>
        <w:p>
          <w:pPr>
            <w:pStyle w:val="6"/>
            <w:rPr>
              <w:b w:val="0"/>
              <w:bCs w:val="0"/>
            </w:rPr>
          </w:pPr>
          <w:r>
            <w:fldChar w:fldCharType="begin"/>
          </w:r>
          <w:r>
            <w:instrText xml:space="preserve"> HYPERLINK \l "_Toc124495004" </w:instrText>
          </w:r>
          <w:r>
            <w:fldChar w:fldCharType="separate"/>
          </w:r>
          <w:r>
            <w:rPr>
              <w:rStyle w:val="9"/>
              <w:b w:val="0"/>
              <w:bCs w:val="0"/>
            </w:rPr>
            <w:t>References</w:t>
          </w:r>
          <w:r>
            <w:rPr>
              <w:b w:val="0"/>
              <w:bCs w:val="0"/>
            </w:rPr>
            <w:tab/>
          </w:r>
          <w:r>
            <w:rPr>
              <w:b w:val="0"/>
              <w:bCs w:val="0"/>
            </w:rPr>
            <w:fldChar w:fldCharType="begin"/>
          </w:r>
          <w:r>
            <w:rPr>
              <w:b w:val="0"/>
              <w:bCs w:val="0"/>
            </w:rPr>
            <w:instrText xml:space="preserve"> PAGEREF _Toc124495004 \h </w:instrText>
          </w:r>
          <w:r>
            <w:rPr>
              <w:b w:val="0"/>
              <w:bCs w:val="0"/>
            </w:rPr>
            <w:fldChar w:fldCharType="separate"/>
          </w:r>
          <w:r>
            <w:rPr>
              <w:b w:val="0"/>
              <w:bCs w:val="0"/>
            </w:rPr>
            <w:t>10</w:t>
          </w:r>
          <w:r>
            <w:rPr>
              <w:b w:val="0"/>
              <w:bCs w:val="0"/>
            </w:rPr>
            <w:fldChar w:fldCharType="end"/>
          </w:r>
          <w:r>
            <w:rPr>
              <w:b w:val="0"/>
              <w:bCs w:val="0"/>
            </w:rPr>
            <w:fldChar w:fldCharType="end"/>
          </w:r>
        </w:p>
        <w:p>
          <w:r>
            <w:rPr>
              <w:b/>
              <w:bCs/>
            </w:rPr>
            <w:fldChar w:fldCharType="end"/>
          </w:r>
        </w:p>
      </w:sdtContent>
    </w:sdt>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Pr>
        <w:pStyle w:val="3"/>
        <w:rPr>
          <w:rFonts w:ascii="Times New Roman" w:hAnsi="Times New Roman" w:cs="Times New Roman"/>
          <w:b/>
          <w:bCs/>
          <w:color w:val="auto"/>
          <w:sz w:val="24"/>
          <w:szCs w:val="24"/>
        </w:rPr>
      </w:pPr>
    </w:p>
    <w:p/>
    <w:p/>
    <w:p/>
    <w:p/>
    <w:p>
      <w:pPr>
        <w:pStyle w:val="3"/>
        <w:rPr>
          <w:rFonts w:ascii="Times New Roman" w:hAnsi="Times New Roman" w:cs="Times New Roman"/>
          <w:b/>
          <w:bCs/>
          <w:color w:val="auto"/>
          <w:sz w:val="24"/>
          <w:szCs w:val="24"/>
        </w:rPr>
      </w:pPr>
      <w:bookmarkStart w:id="0" w:name="_Toc124494999"/>
      <w:r>
        <w:rPr>
          <w:rFonts w:ascii="Times New Roman" w:hAnsi="Times New Roman" w:cs="Times New Roman"/>
          <w:b/>
          <w:bCs/>
          <w:color w:val="auto"/>
          <w:sz w:val="24"/>
          <w:szCs w:val="24"/>
        </w:rPr>
        <w:t>1.0. Introduction</w:t>
      </w:r>
      <w:bookmarkEnd w:id="0"/>
    </w:p>
    <w:p>
      <w:pPr>
        <w:spacing w:after="0" w:line="360" w:lineRule="auto"/>
        <w:ind w:firstLine="720"/>
        <w:jc w:val="both"/>
      </w:pPr>
      <w:r>
        <w:t xml:space="preserve">Over the past two decades, multinational corporations have emphasized the concept of international business communication and allocated a lot of resources to train their employees due to globalization and technological advancements. According to </w:t>
      </w:r>
      <w:r>
        <w:rPr>
          <w:rFonts w:cs="Times New Roman"/>
          <w:color w:val="222222"/>
          <w:shd w:val="clear" w:color="auto" w:fill="FFFFFF"/>
        </w:rPr>
        <w:t>Azar and Drogendijk, (2019)</w:t>
      </w:r>
      <w:r>
        <w:t>, international business communication is communication that occurs across cultures. However, it comes with many challenges occasioned by different cultural orientations and expectations, which vary from country to country. International business communication involves knowledge, tolerance, patience, empathy, open-mindedness, and competencies. This makes it different from regular communication, which mainly focuses on cultural orientations and geographical scope. The development and implementation of international business communication and frameworks by different multinational companies have enabled them to conduct their businesses easily without facing communication hurdles, as experienced before. This report will critically evaluate international business situations that British companies could face while doing business with China. The reason behind choosing China is due to its diverse cultural orientation and strong economic and technological advancements in Asia and globally. China also has the presence of global companies and hence can help to draw a sound conclusion on the topic under study. It will also tackle the strategies to cover these situations, the conclusion, and recommendations on the best strategy to overcome international business situations.</w:t>
      </w:r>
    </w:p>
    <w:p>
      <w:pPr>
        <w:pStyle w:val="3"/>
        <w:rPr>
          <w:rFonts w:ascii="Times New Roman" w:hAnsi="Times New Roman" w:cs="Times New Roman"/>
          <w:b/>
          <w:bCs/>
          <w:color w:val="auto"/>
          <w:sz w:val="24"/>
          <w:szCs w:val="24"/>
        </w:rPr>
      </w:pPr>
      <w:bookmarkStart w:id="1" w:name="_Toc124495000"/>
      <w:r>
        <w:rPr>
          <w:rFonts w:ascii="Times New Roman" w:hAnsi="Times New Roman" w:cs="Times New Roman"/>
          <w:b/>
          <w:bCs/>
          <w:color w:val="auto"/>
          <w:sz w:val="24"/>
          <w:szCs w:val="24"/>
        </w:rPr>
        <w:t>1.1. International Business Communication Situations</w:t>
      </w:r>
      <w:bookmarkEnd w:id="1"/>
    </w:p>
    <w:p>
      <w:pPr>
        <w:spacing w:after="0" w:line="360" w:lineRule="auto"/>
        <w:ind w:firstLine="720"/>
        <w:jc w:val="both"/>
      </w:pPr>
      <w:r>
        <w:t>British companies are likely to face an extraordinary international business communication situation in China is the language barrier. The Chinese use one of the oldest languages globally that is Chinese Mandarin, which has been used for over 6000 years and is made up of over 40,000 alphabetical characters, while the most common language of communication in British is English which has no complexities and is simple learn and understand within a short period (</w:t>
      </w:r>
      <w:r>
        <w:rPr>
          <w:rFonts w:cs="Times New Roman"/>
          <w:color w:val="222222"/>
          <w:shd w:val="clear" w:color="auto" w:fill="FFFFFF"/>
        </w:rPr>
        <w:t>Bjorvatn and Wald, 2019)</w:t>
      </w:r>
      <w:r>
        <w:t>. Other common languages in China include Cantonese, mainly in Hong Kong and Guangdong regions, alongside Taishanese, used by a few people in mainland China, Taiwan, and Hong Kong. There is a great difference between the British and the Chinese languages in terms of how they are spoken and their structuring nature. Both languages' delivery, perceptions, and interpretations also vary greatly depending on the context and nature of what is being communicated</w:t>
      </w:r>
      <w:r>
        <w:rPr>
          <w:rFonts w:cs="Times New Roman"/>
          <w:color w:val="222222"/>
          <w:shd w:val="clear" w:color="auto" w:fill="FFFFFF"/>
        </w:rPr>
        <w:t xml:space="preserve"> (Wang et al,2019)</w:t>
      </w:r>
      <w:r>
        <w:t>. One of the notable differences between the two languages is that British English supports different words in both singular and plural forms.</w:t>
      </w:r>
    </w:p>
    <w:p>
      <w:pPr>
        <w:spacing w:after="0" w:line="360" w:lineRule="auto"/>
        <w:ind w:firstLine="720"/>
        <w:jc w:val="both"/>
      </w:pPr>
      <w:r>
        <w:t>In contrast, the Chinese language has no formal distinction between plural and singular. Therefore, it is clear that British companies are likely to face language barrier challenges occasioned by the different languages spoken in China and British. This may result in British companies incurring huge expenses on hiring translators to ensure smooth operations in the country for some time</w:t>
      </w:r>
      <w:r>
        <w:rPr>
          <w:rFonts w:cs="Times New Roman"/>
          <w:color w:val="222222"/>
          <w:shd w:val="clear" w:color="auto" w:fill="FFFFFF"/>
        </w:rPr>
        <w:t xml:space="preserve"> (Tien et al,2019)</w:t>
      </w:r>
      <w:r>
        <w:t>. Chinese nationals may also need help understanding British English which may require additional resources to implement. Without common language of communication, it may be very challenging to operationalize the goals and objectives of the company. It is crucial to note that the Chinese and British cultural orientations have clear outline on the languages that should be used in the transactions and operations. This is because language is the greatest propeller of international business transactions.</w:t>
      </w:r>
    </w:p>
    <w:p>
      <w:pPr>
        <w:spacing w:after="0" w:line="360" w:lineRule="auto"/>
        <w:ind w:firstLine="720"/>
        <w:jc w:val="both"/>
      </w:pPr>
      <w:r>
        <w:t>According to the International Communication Association, the British are great communicators; their communication is emotional, precise, and open. Their cultural orientation is low-context based. This makes the British communication system simpler and easier to understand. On the hand, the Chinese use the indirect mode of communication and are subtler as they are often not explicit but concentrate on the communication given (</w:t>
      </w:r>
      <w:r>
        <w:rPr>
          <w:rFonts w:cs="Times New Roman"/>
          <w:color w:val="222222"/>
          <w:shd w:val="clear" w:color="auto" w:fill="FFFFFF"/>
        </w:rPr>
        <w:t>Braslauskas,2020)</w:t>
      </w:r>
      <w:r>
        <w:t>. Therefore, it will be necessary for British companies to understand these differences to have the opportunity and ability to realign their communication structures accordingly and be more efficient and coherent in their operational activities in China. The British company must take the difference between these two aspects seriously since they determine their future in China. If a company has a strong operational and financial structures but lack clear communication outlines then it is likely to fail to meet its goals and objective.</w:t>
      </w:r>
    </w:p>
    <w:p>
      <w:pPr>
        <w:spacing w:after="0" w:line="360" w:lineRule="auto"/>
        <w:ind w:firstLine="720"/>
        <w:jc w:val="both"/>
      </w:pPr>
      <w:r>
        <w:t>Similarly, two main types of business communication are direct and indirect. In most Asian countries, such as China, communication is considered direct and explicit. Therefore, when seeking an interpretation of certain information, the listener is not liable for any misinterpretation that occurs after that (</w:t>
      </w:r>
      <w:r>
        <w:rPr>
          <w:rFonts w:cs="Times New Roman"/>
          <w:color w:val="222222"/>
          <w:shd w:val="clear" w:color="auto" w:fill="FFFFFF"/>
        </w:rPr>
        <w:t>Buckley and Casson,2021)</w:t>
      </w:r>
      <w:r>
        <w:t>. Besides, it means that the clarity and interpretation of any message depend on the message itself and not the person who delivered it. British companies must be prepared to employ cross-cultural business communication skills when negotiating business deals. This will ensure that the company's priorities and preferences have been met.</w:t>
      </w:r>
    </w:p>
    <w:p>
      <w:pPr>
        <w:spacing w:after="0" w:line="360" w:lineRule="auto"/>
        <w:ind w:firstLine="720"/>
        <w:jc w:val="both"/>
      </w:pPr>
      <w:r>
        <w:t>Several challenges may arise when handling cross-cultural teams regarding the most appropriate communication approach. For example, the Chinese culture is aligned towards handling business issues with the organizational stakeholders to coordinate and integrate the solution that may be taken. In such scenarios, drawing a sound conclusion may be challenging, and British companies must practice patience. Besides, most Chinese embrace direct communication and immediate feedback, which is different from most British nationals. The relationship between these two combinations of communication may damage the trust in the information being passed (</w:t>
      </w:r>
      <w:r>
        <w:rPr>
          <w:rFonts w:cs="Times New Roman"/>
          <w:color w:val="222222"/>
          <w:shd w:val="clear" w:color="auto" w:fill="FFFFFF"/>
        </w:rPr>
        <w:t>Prokopenko et al,2020)</w:t>
      </w:r>
      <w:r>
        <w:t>. It is also essential to note that Chinese culture only allows for open discussion and uncovering any pending disputes and problems; hence this may make it difficult for British companies to resolve the conflict between the employees and the management. Conflict is a common practice in any organization that might be difficult to control; hence a strong conflict management system is necessary.</w:t>
      </w:r>
    </w:p>
    <w:p>
      <w:pPr>
        <w:spacing w:after="0" w:line="360" w:lineRule="auto"/>
        <w:ind w:firstLine="720"/>
        <w:jc w:val="both"/>
      </w:pPr>
      <w:r>
        <w:t>Furthermore, Chinese Mandarin is a tone-based language, and the use of different tones may greatly impact the meaning of words spoken during business meetings and, to some extent, between employees and managers. For example, using a higher pitch on some words may make the words and phrases easier to understand by British company personnel. For example, in China, the word "wen," when used with a rising pitch, means kiss, while when used with a soft pith means ask. Pitch in Britain is used to emphasize phrases in sentences when there is a need to do so (</w:t>
      </w:r>
      <w:r>
        <w:rPr>
          <w:rFonts w:cs="Times New Roman"/>
          <w:color w:val="222222"/>
          <w:shd w:val="clear" w:color="auto" w:fill="FFFFFF"/>
        </w:rPr>
        <w:t>Othman et al,2020)</w:t>
      </w:r>
      <w:r>
        <w:t>. Besides, the Chinese speak faster than the British, which may pose many challenges to British companies since they have to pay a lot of attention to listening to what the Chinese nationals are saying. The difference in tone between these two countries may pose a challenge in understanding what is communicated between the British companies and the Chinese customers, employees, and government agencies, making it difficult to run business in China and its constituent countries such as China and Hong Kong (</w:t>
      </w:r>
      <w:r>
        <w:rPr>
          <w:rFonts w:cs="Times New Roman"/>
          <w:color w:val="222222"/>
          <w:shd w:val="clear" w:color="auto" w:fill="FFFFFF"/>
        </w:rPr>
        <w:t>Shams et al,2021)</w:t>
      </w:r>
      <w:r>
        <w:t>. Paying a lot of attention to familiarize themselves with the high tone may be time-consuming and require British companies to hire Chinese communication experts to interpret the contents of information delivered by Chinese nationals.</w:t>
      </w:r>
    </w:p>
    <w:p>
      <w:pPr>
        <w:spacing w:after="0" w:line="360" w:lineRule="auto"/>
        <w:ind w:firstLine="720"/>
        <w:jc w:val="both"/>
      </w:pPr>
      <w:r>
        <w:t>China is one the countries known for its cultural diversification and orientation supported by Confucianism's strong and long-lasting influence and impact. The Association for Education in Journalism and Mass Communication and International Communication Association argues that Chinese culture greatly encourages unified communication. In contrast, the British communication system is aggressive and requires a strong sense of attention (</w:t>
      </w:r>
      <w:r>
        <w:rPr>
          <w:rFonts w:cs="Times New Roman"/>
          <w:color w:val="222222"/>
          <w:shd w:val="clear" w:color="auto" w:fill="FFFFFF"/>
        </w:rPr>
        <w:t>Markova et al,2020)</w:t>
      </w:r>
      <w:r>
        <w:t>. Accordingly, the Chinese communication style aims at preserving the Chinese culture and is accompanied by displaying emotions such as negative feelings. This, therefore, means that for British companies to enter the Chinese market and operate without any hurdles effectively, they must invest in incorporating Chinese culture into their business communication structures. It will also be fundamental that the companies find a productive way of delivering information and handling the Chinese attitudes towards information that does not comply with their cultural orientation (Luo,2022). The protection and respect for the Chinese culture while communicating different information will enable it to operate peacefully without any challenges associated with international business communication. The mode and delivery of the messages or information is an essential tool that British companies must look into keenly. It might be challenging for British companies to acquire the right workforce who can express themselves easily without any challenges.</w:t>
      </w:r>
    </w:p>
    <w:p>
      <w:pPr>
        <w:spacing w:after="0" w:line="360" w:lineRule="auto"/>
        <w:ind w:firstLine="720"/>
        <w:jc w:val="both"/>
      </w:pPr>
      <w:r>
        <w:t>Misconceptions among the employees and team members concerning their competency in handling different organizational tasks through proper communication and information delivery. This results in appropriate words and correct translation while communicating these deliverables. For example, a team member from a village in China may be incapacitated during meetings with the managers and team members due to their accents; hence the British managers must spend extra resources in training them to have a competent workforce who can understand each other. Most Chinese people from rural areas must use the correct vocabulary to express themselves. Therefore, one of the team members might have a piece of excellent information or idea to share with the managers but needs more capacity to express themselves</w:t>
      </w:r>
      <w:r>
        <w:rPr>
          <w:rFonts w:cs="Times New Roman"/>
          <w:color w:val="222222"/>
          <w:shd w:val="clear" w:color="auto" w:fill="FFFFFF"/>
        </w:rPr>
        <w:t xml:space="preserve"> (Luo,2020)</w:t>
      </w:r>
      <w:r>
        <w:t>. There is a need to ensure strong collaboration between the organization and team members through an elaborate and coherent communication system. Furthermore, understanding between the members and the organization is necessary to achieve the goals and objectives of the organization.</w:t>
      </w:r>
    </w:p>
    <w:p>
      <w:pPr>
        <w:pStyle w:val="3"/>
        <w:rPr>
          <w:rFonts w:ascii="Times New Roman" w:hAnsi="Times New Roman" w:cs="Times New Roman"/>
          <w:b/>
          <w:bCs/>
          <w:color w:val="auto"/>
          <w:sz w:val="24"/>
          <w:szCs w:val="24"/>
        </w:rPr>
      </w:pPr>
      <w:bookmarkStart w:id="2" w:name="_Toc124495001"/>
      <w:r>
        <w:rPr>
          <w:rFonts w:ascii="Times New Roman" w:hAnsi="Times New Roman" w:cs="Times New Roman"/>
          <w:b/>
          <w:bCs/>
          <w:color w:val="auto"/>
          <w:sz w:val="24"/>
          <w:szCs w:val="24"/>
        </w:rPr>
        <w:t>1.2. Strategies to Overcome</w:t>
      </w:r>
      <w:bookmarkEnd w:id="2"/>
    </w:p>
    <w:p>
      <w:pPr>
        <w:spacing w:after="0" w:line="360" w:lineRule="auto"/>
        <w:ind w:firstLine="720"/>
        <w:jc w:val="both"/>
      </w:pPr>
      <w:r>
        <w:t>To ensure effective and efficient international business communication between British companies and Chinese nationals, there is a need to allocate a lot of human and financial resources to educating British companies' employees on the Chinese Mandarin language and culture. This should entail basic and universally accepted nonverbal communication skills and cues such as shaking hands, smiling, and casual eye contact. The employees should also be trained and informed on the nonverbal cues regarded as offensive by the Chinese nationals, which may affect their smooth operation in the country</w:t>
      </w:r>
      <w:r>
        <w:rPr>
          <w:rFonts w:cs="Times New Roman"/>
          <w:color w:val="222222"/>
          <w:shd w:val="clear" w:color="auto" w:fill="FFFFFF"/>
        </w:rPr>
        <w:t xml:space="preserve"> (Klarin</w:t>
      </w:r>
      <w:r>
        <w:t xml:space="preserve"> et al,2021). It is essential to note that intercultural communication forms an essential basis for international business communication. It can only be implemented through proper training and capacity development of the British employees and workforce acquired from China. The employees from the two sides must be trained to appreciate each other's communication styles to avoid tensions that are always witnessed in organizations occasioned by intercultural communication differences.</w:t>
      </w:r>
    </w:p>
    <w:p>
      <w:pPr>
        <w:spacing w:after="0" w:line="360" w:lineRule="auto"/>
        <w:ind w:firstLine="720"/>
        <w:jc w:val="both"/>
      </w:pPr>
      <w:r>
        <w:t>The vast and stark differences between British English and Mandarin Chinese mean that it will take a lot of time for British companies to train their employees in the Chinese language. Therefore, to enhance communication during the early stages of introducing their operations in China, it would be fundamental for them to acquire the services of translating companies or individual translators during in-person meetings with government agencies and authorities. Written communication forms can be translated using different tools and search engines such as Google Translate</w:t>
      </w:r>
      <w:r>
        <w:rPr>
          <w:rFonts w:cs="Times New Roman"/>
          <w:color w:val="222222"/>
          <w:shd w:val="clear" w:color="auto" w:fill="FFFFFF"/>
        </w:rPr>
        <w:t xml:space="preserve"> (Takino, 2020)</w:t>
      </w:r>
      <w:r>
        <w:t>. This will enhance international business communication with the consumers of their goods and services and with other Chinese companies that they will depend on for some essential operational and financial procedures such as consultancy services and loans.</w:t>
      </w:r>
    </w:p>
    <w:p>
      <w:pPr>
        <w:spacing w:after="0" w:line="360" w:lineRule="auto"/>
        <w:ind w:firstLine="720"/>
        <w:jc w:val="both"/>
      </w:pPr>
      <w:r>
        <w:t>Based on the critical analysis and evaluation of Hofstede's cultural model regards, China is a masculine society, while Britain is both masculine and feminine. This means that there is a big gap in terms of women's and men's communication aspects, with men being more assertive and authoritative regarding the information they intend to pass and are passing</w:t>
      </w:r>
      <w:r>
        <w:rPr>
          <w:rFonts w:cs="Times New Roman"/>
          <w:color w:val="222222"/>
          <w:shd w:val="clear" w:color="auto" w:fill="FFFFFF"/>
        </w:rPr>
        <w:t xml:space="preserve"> (Stadler,2019)</w:t>
      </w:r>
      <w:r>
        <w:t>. Therefore, having a female as a communication manager for a British company in China may go poorly with the different Chinese workforce recruited by the British company. To control the emergence of any tension and rise of negative energy towards the British companies, an interactive communication management strategy and policies need to be developed and implemented to ensure a healthy working relationship between people of different genders in the British companies operating in the country (</w:t>
      </w:r>
      <w:r>
        <w:rPr>
          <w:rFonts w:cs="Times New Roman"/>
          <w:color w:val="222222"/>
          <w:shd w:val="clear" w:color="auto" w:fill="FFFFFF"/>
        </w:rPr>
        <w:t>Khodjayev,2021)</w:t>
      </w:r>
      <w:r>
        <w:t>. Delivery of any business goals and objectives requires that all people from different sexual orientations pull together without any discrimination and alienation. The more inclusive the business is, the more integrated and successful the British companies will be in China since there are many multinational companies with a great competitive hedge in the country.</w:t>
      </w:r>
    </w:p>
    <w:p>
      <w:pPr>
        <w:spacing w:after="0" w:line="360" w:lineRule="auto"/>
        <w:ind w:firstLine="720"/>
        <w:jc w:val="both"/>
      </w:pPr>
      <w:r>
        <w:t>There is a need to be open and inclusive of the Chinese people's culture. Clear understanding and acceptance of Chinese culture is the first step towards ensuring effective and efficient international business communication</w:t>
      </w:r>
      <w:r>
        <w:rPr>
          <w:rFonts w:cs="Times New Roman"/>
          <w:color w:val="222222"/>
          <w:shd w:val="clear" w:color="auto" w:fill="FFFFFF"/>
        </w:rPr>
        <w:t xml:space="preserve"> (Ghauri</w:t>
      </w:r>
      <w:r>
        <w:t xml:space="preserve"> et al,2021). There is a strong relationship between cultural orientation and international business communication. The British companies must therefore put into place strategies and policies that will help their employees accept both the Chinese and the British people's cultures. This will help the company to build relations and open up its communication functions to new experiences in China. It is essential to note that British companies may be new to China and experience challenges as they try to establish effective and efficient operations. According to the Global Alliance for Public Relations and Communication Management, the most effective way to build a strong international business communication system is by incorporating the host country's culture with the operational structures of the business, such as organizational culture and short and long-term business goals and objectives</w:t>
      </w:r>
      <w:r>
        <w:rPr>
          <w:rFonts w:cs="Times New Roman"/>
          <w:color w:val="222222"/>
          <w:shd w:val="clear" w:color="auto" w:fill="FFFFFF"/>
        </w:rPr>
        <w:t xml:space="preserve"> (Johnson and Jordan,2019)</w:t>
      </w:r>
      <w:r>
        <w:t>. Respect for other people's cultures during communication can also increase the acceptance level of British companies in China hence smooth operations in the long run.</w:t>
      </w:r>
    </w:p>
    <w:p>
      <w:pPr>
        <w:pStyle w:val="3"/>
        <w:rPr>
          <w:rFonts w:ascii="Times New Roman" w:hAnsi="Times New Roman" w:cs="Times New Roman"/>
          <w:b/>
          <w:bCs/>
          <w:color w:val="auto"/>
          <w:sz w:val="24"/>
          <w:szCs w:val="24"/>
        </w:rPr>
      </w:pPr>
      <w:bookmarkStart w:id="3" w:name="_Toc124495002"/>
      <w:r>
        <w:rPr>
          <w:rFonts w:ascii="Times New Roman" w:hAnsi="Times New Roman" w:cs="Times New Roman"/>
          <w:b/>
          <w:bCs/>
          <w:color w:val="auto"/>
          <w:sz w:val="24"/>
          <w:szCs w:val="24"/>
        </w:rPr>
        <w:t>1.3. Conclusion</w:t>
      </w:r>
      <w:bookmarkEnd w:id="3"/>
    </w:p>
    <w:p>
      <w:pPr>
        <w:spacing w:after="0" w:line="360" w:lineRule="auto"/>
        <w:ind w:firstLine="720"/>
        <w:jc w:val="both"/>
      </w:pPr>
      <w:r>
        <w:t>Due to the increased technological revolution and globalization, multinational companies are rushing to integrate and diversify their operations abroad. The move may make developing and implementing proper communication strategies and policies invertible. Therefore, British companies must undertake serious intercultural training programs to promote the productivity and effectiveness of international business communications. The training will ensure that the employees are accorded international business communication competencies hence able to adapt to various intercultural business set-ups in the long run. Effective cross-cultural orientation and management bridge the communication gap in organizations due to different cultural orientations.</w:t>
      </w:r>
    </w:p>
    <w:p>
      <w:pPr>
        <w:pStyle w:val="3"/>
        <w:rPr>
          <w:rFonts w:ascii="Times New Roman" w:hAnsi="Times New Roman" w:cs="Times New Roman"/>
          <w:b/>
          <w:bCs/>
          <w:color w:val="auto"/>
          <w:sz w:val="24"/>
          <w:szCs w:val="24"/>
        </w:rPr>
      </w:pPr>
      <w:bookmarkStart w:id="4" w:name="_Toc124495003"/>
      <w:r>
        <w:rPr>
          <w:rFonts w:ascii="Times New Roman" w:hAnsi="Times New Roman" w:cs="Times New Roman"/>
          <w:b/>
          <w:bCs/>
          <w:color w:val="auto"/>
          <w:sz w:val="24"/>
          <w:szCs w:val="24"/>
        </w:rPr>
        <w:t>1.4. Recommendations</w:t>
      </w:r>
      <w:bookmarkEnd w:id="4"/>
    </w:p>
    <w:p>
      <w:pPr>
        <w:spacing w:after="0" w:line="360" w:lineRule="auto"/>
        <w:ind w:firstLine="720"/>
        <w:jc w:val="both"/>
      </w:pPr>
      <w:r>
        <w:t>The most appropriate strategy to help overcome the international business communication situation that British companies may face in China is to be open and inclusive of the Chinese culture, which is crucial in promoting sustainable international business communication. There is a strong relationship between cultural orientation and international business communication. British companies must there put into place strategies and policies that will help their employees accept both the Chinese and the British people's cultures. Understanding the Chinese culture means that it is easy to communicate effectively without any hurdles (</w:t>
      </w:r>
      <w:r>
        <w:rPr>
          <w:rFonts w:cs="Times New Roman"/>
          <w:color w:val="222222"/>
          <w:shd w:val="clear" w:color="auto" w:fill="FFFFFF"/>
        </w:rPr>
        <w:t>Sharma et al,2021)</w:t>
      </w:r>
      <w:r>
        <w:t>. The British companies must therefore put into place strategies and policies that will help their employees accept both the Chinese and the British people's cultures. This will help the company to build relations and open up their communication functions to new experiences in China and enhance international business communication not only with the consumers of their goods and services but also with other Chinese companies that they will depend on for some essential operational and financial procedures such as consultancy services and loans.</w:t>
      </w: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spacing w:after="0" w:line="360" w:lineRule="auto"/>
        <w:ind w:firstLine="720"/>
        <w:jc w:val="both"/>
      </w:pPr>
    </w:p>
    <w:p>
      <w:pPr>
        <w:pStyle w:val="3"/>
        <w:jc w:val="center"/>
        <w:rPr>
          <w:rFonts w:ascii="Times New Roman" w:hAnsi="Times New Roman" w:cs="Times New Roman"/>
          <w:b/>
          <w:bCs/>
          <w:color w:val="auto"/>
          <w:sz w:val="24"/>
          <w:szCs w:val="24"/>
        </w:rPr>
      </w:pPr>
      <w:bookmarkStart w:id="5" w:name="_Toc124495004"/>
      <w:r>
        <w:rPr>
          <w:rFonts w:ascii="Times New Roman" w:hAnsi="Times New Roman" w:cs="Times New Roman"/>
          <w:b/>
          <w:bCs/>
          <w:color w:val="auto"/>
          <w:sz w:val="24"/>
          <w:szCs w:val="24"/>
        </w:rPr>
        <w:t>References</w:t>
      </w:r>
      <w:bookmarkEnd w:id="5"/>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Azar, G., &amp; Drogendijk, R. (2019). Ex-post performance implications of divergence of managers’ perceptions of ‘distance’from ‘reality’in international business. </w:t>
      </w:r>
      <w:r>
        <w:rPr>
          <w:rFonts w:cs="Times New Roman"/>
          <w:i/>
          <w:iCs/>
          <w:color w:val="222222"/>
          <w:shd w:val="clear" w:color="auto" w:fill="FFFFFF"/>
        </w:rPr>
        <w:t>Management International Review</w:t>
      </w:r>
      <w:r>
        <w:rPr>
          <w:rFonts w:cs="Times New Roman"/>
          <w:color w:val="222222"/>
          <w:shd w:val="clear" w:color="auto" w:fill="FFFFFF"/>
        </w:rPr>
        <w:t>, </w:t>
      </w:r>
      <w:r>
        <w:rPr>
          <w:rFonts w:cs="Times New Roman"/>
          <w:i/>
          <w:iCs/>
          <w:color w:val="222222"/>
          <w:shd w:val="clear" w:color="auto" w:fill="FFFFFF"/>
        </w:rPr>
        <w:t>59</w:t>
      </w:r>
      <w:r>
        <w:rPr>
          <w:rFonts w:cs="Times New Roman"/>
          <w:color w:val="222222"/>
          <w:shd w:val="clear" w:color="auto" w:fill="FFFFFF"/>
        </w:rPr>
        <w:t>(1), 67-92.</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Bjorvatn, T., &amp; Wald, A. (2019). Complexity as a driver of media choice: A comparative study of domestic and international teams. </w:t>
      </w:r>
      <w:r>
        <w:rPr>
          <w:rFonts w:cs="Times New Roman"/>
          <w:i/>
          <w:iCs/>
          <w:color w:val="222222"/>
          <w:shd w:val="clear" w:color="auto" w:fill="FFFFFF"/>
        </w:rPr>
        <w:t>International Journal of Business Communication</w:t>
      </w:r>
      <w:r>
        <w:rPr>
          <w:rFonts w:cs="Times New Roman"/>
          <w:color w:val="222222"/>
          <w:shd w:val="clear" w:color="auto" w:fill="FFFFFF"/>
        </w:rPr>
        <w:t>, 2329488419874367.</w:t>
      </w:r>
    </w:p>
    <w:p>
      <w:pPr>
        <w:spacing w:after="0" w:line="360" w:lineRule="auto"/>
        <w:ind w:left="720" w:hanging="720"/>
        <w:jc w:val="both"/>
        <w:rPr>
          <w:rFonts w:cs="Times New Roman"/>
          <w:color w:val="222222"/>
          <w:shd w:val="clear" w:color="auto" w:fill="FFFFFF"/>
        </w:rPr>
      </w:pPr>
      <w:bookmarkStart w:id="6" w:name="_Hlk124493896"/>
      <w:r>
        <w:rPr>
          <w:rFonts w:cs="Times New Roman"/>
          <w:color w:val="222222"/>
          <w:shd w:val="clear" w:color="auto" w:fill="FFFFFF"/>
        </w:rPr>
        <w:t>Braslauskas, J. (2020)</w:t>
      </w:r>
      <w:bookmarkEnd w:id="6"/>
      <w:r>
        <w:rPr>
          <w:rFonts w:cs="Times New Roman"/>
          <w:color w:val="222222"/>
          <w:shd w:val="clear" w:color="auto" w:fill="FFFFFF"/>
        </w:rPr>
        <w:t>. Effective creative intercultural communication in the context of business interaction: theoretical and practical aspects. </w:t>
      </w:r>
      <w:r>
        <w:rPr>
          <w:rFonts w:cs="Times New Roman"/>
          <w:i/>
          <w:iCs/>
          <w:color w:val="222222"/>
          <w:shd w:val="clear" w:color="auto" w:fill="FFFFFF"/>
        </w:rPr>
        <w:t>Creativity studies</w:t>
      </w:r>
      <w:r>
        <w:rPr>
          <w:rFonts w:cs="Times New Roman"/>
          <w:color w:val="222222"/>
          <w:shd w:val="clear" w:color="auto" w:fill="FFFFFF"/>
        </w:rPr>
        <w:t>, </w:t>
      </w:r>
      <w:r>
        <w:rPr>
          <w:rFonts w:cs="Times New Roman"/>
          <w:i/>
          <w:iCs/>
          <w:color w:val="222222"/>
          <w:shd w:val="clear" w:color="auto" w:fill="FFFFFF"/>
        </w:rPr>
        <w:t>13</w:t>
      </w:r>
      <w:r>
        <w:rPr>
          <w:rFonts w:cs="Times New Roman"/>
          <w:color w:val="222222"/>
          <w:shd w:val="clear" w:color="auto" w:fill="FFFFFF"/>
        </w:rPr>
        <w:t>(1), 199-215.</w:t>
      </w:r>
    </w:p>
    <w:p>
      <w:pPr>
        <w:spacing w:after="0" w:line="360" w:lineRule="auto"/>
        <w:ind w:left="720" w:hanging="720"/>
        <w:jc w:val="both"/>
        <w:rPr>
          <w:rFonts w:cs="Times New Roman"/>
          <w:i/>
          <w:iCs/>
          <w:color w:val="222222"/>
          <w:shd w:val="clear" w:color="auto" w:fill="FFFFFF"/>
        </w:rPr>
      </w:pPr>
      <w:r>
        <w:rPr>
          <w:rFonts w:cs="Times New Roman"/>
          <w:color w:val="222222"/>
          <w:shd w:val="clear" w:color="auto" w:fill="FFFFFF"/>
        </w:rPr>
        <w:t>Buckley, P. J. (2019). The role of international business theory in an uncertain world. </w:t>
      </w:r>
      <w:r>
        <w:rPr>
          <w:rFonts w:cs="Times New Roman"/>
          <w:i/>
          <w:iCs/>
          <w:color w:val="222222"/>
          <w:shd w:val="clear" w:color="auto" w:fill="FFFFFF"/>
        </w:rPr>
        <w:t>International business in a VUCA world: The changing role of states and firms</w:t>
      </w:r>
      <w:r>
        <w:rPr>
          <w:rFonts w:cs="Times New Roman"/>
          <w:color w:val="222222"/>
          <w:shd w:val="clear" w:color="auto" w:fill="FFFFFF"/>
        </w:rPr>
        <w:t>.</w:t>
      </w:r>
    </w:p>
    <w:p>
      <w:pPr>
        <w:spacing w:after="0" w:line="360" w:lineRule="auto"/>
        <w:ind w:left="720" w:hanging="720"/>
        <w:jc w:val="both"/>
        <w:rPr>
          <w:rFonts w:cs="Times New Roman"/>
          <w:color w:val="222222"/>
          <w:shd w:val="clear" w:color="auto" w:fill="FFFFFF"/>
        </w:rPr>
      </w:pPr>
      <w:bookmarkStart w:id="7" w:name="_Hlk124493954"/>
      <w:r>
        <w:rPr>
          <w:rFonts w:cs="Times New Roman"/>
          <w:color w:val="222222"/>
          <w:shd w:val="clear" w:color="auto" w:fill="FFFFFF"/>
        </w:rPr>
        <w:t>Buckley, P. J., &amp; Casson, M. (2021)</w:t>
      </w:r>
      <w:bookmarkEnd w:id="7"/>
      <w:r>
        <w:rPr>
          <w:rFonts w:cs="Times New Roman"/>
          <w:color w:val="222222"/>
          <w:shd w:val="clear" w:color="auto" w:fill="FFFFFF"/>
        </w:rPr>
        <w:t>. Thirty years of International Business Review and international business research. </w:t>
      </w:r>
      <w:r>
        <w:rPr>
          <w:rFonts w:cs="Times New Roman"/>
          <w:i/>
          <w:iCs/>
          <w:color w:val="222222"/>
          <w:shd w:val="clear" w:color="auto" w:fill="FFFFFF"/>
        </w:rPr>
        <w:t>International Business Review</w:t>
      </w:r>
      <w:r>
        <w:rPr>
          <w:rFonts w:cs="Times New Roman"/>
          <w:color w:val="222222"/>
          <w:shd w:val="clear" w:color="auto" w:fill="FFFFFF"/>
        </w:rPr>
        <w:t>, </w:t>
      </w:r>
      <w:r>
        <w:rPr>
          <w:rFonts w:cs="Times New Roman"/>
          <w:i/>
          <w:iCs/>
          <w:color w:val="222222"/>
          <w:shd w:val="clear" w:color="auto" w:fill="FFFFFF"/>
        </w:rPr>
        <w:t>30</w:t>
      </w:r>
      <w:r>
        <w:rPr>
          <w:rFonts w:cs="Times New Roman"/>
          <w:color w:val="222222"/>
          <w:shd w:val="clear" w:color="auto" w:fill="FFFFFF"/>
        </w:rPr>
        <w:t>(2), 101795.</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Ghauri, P., Strange, R., &amp; Cooke, F. L. (2021). Research on international business: The new realities. </w:t>
      </w:r>
      <w:r>
        <w:rPr>
          <w:rFonts w:cs="Times New Roman"/>
          <w:i/>
          <w:iCs/>
          <w:color w:val="222222"/>
          <w:shd w:val="clear" w:color="auto" w:fill="FFFFFF"/>
        </w:rPr>
        <w:t>International Business Review</w:t>
      </w:r>
      <w:r>
        <w:rPr>
          <w:rFonts w:cs="Times New Roman"/>
          <w:color w:val="222222"/>
          <w:shd w:val="clear" w:color="auto" w:fill="FFFFFF"/>
        </w:rPr>
        <w:t>, </w:t>
      </w:r>
      <w:r>
        <w:rPr>
          <w:rFonts w:cs="Times New Roman"/>
          <w:i/>
          <w:iCs/>
          <w:color w:val="222222"/>
          <w:shd w:val="clear" w:color="auto" w:fill="FFFFFF"/>
        </w:rPr>
        <w:t>30</w:t>
      </w:r>
      <w:r>
        <w:rPr>
          <w:rFonts w:cs="Times New Roman"/>
          <w:color w:val="222222"/>
          <w:shd w:val="clear" w:color="auto" w:fill="FFFFFF"/>
        </w:rPr>
        <w:t>(2), 101794.</w:t>
      </w:r>
    </w:p>
    <w:p>
      <w:pPr>
        <w:spacing w:after="0" w:line="360" w:lineRule="auto"/>
        <w:ind w:left="720" w:hanging="720"/>
        <w:jc w:val="both"/>
        <w:rPr>
          <w:rFonts w:cs="Times New Roman"/>
          <w:i/>
          <w:iCs/>
          <w:color w:val="222222"/>
          <w:shd w:val="clear" w:color="auto" w:fill="FFFFFF"/>
        </w:rPr>
      </w:pPr>
      <w:bookmarkStart w:id="8" w:name="_Hlk124494062"/>
      <w:r>
        <w:rPr>
          <w:rFonts w:cs="Times New Roman"/>
          <w:color w:val="222222"/>
          <w:shd w:val="clear" w:color="auto" w:fill="FFFFFF"/>
        </w:rPr>
        <w:t>Johnson, J. E., &amp; Jordan, M. L. (2019)</w:t>
      </w:r>
      <w:bookmarkEnd w:id="8"/>
      <w:r>
        <w:rPr>
          <w:rFonts w:cs="Times New Roman"/>
          <w:color w:val="222222"/>
          <w:shd w:val="clear" w:color="auto" w:fill="FFFFFF"/>
        </w:rPr>
        <w:t>. The development of undergraduate international business practicums in small business schools: an experiential learning framework. </w:t>
      </w:r>
      <w:r>
        <w:rPr>
          <w:rFonts w:cs="Times New Roman"/>
          <w:i/>
          <w:iCs/>
          <w:color w:val="222222"/>
          <w:shd w:val="clear" w:color="auto" w:fill="FFFFFF"/>
        </w:rPr>
        <w:t>Journal of Teaching in International Business</w:t>
      </w:r>
      <w:r>
        <w:rPr>
          <w:rFonts w:cs="Times New Roman"/>
          <w:color w:val="222222"/>
          <w:shd w:val="clear" w:color="auto" w:fill="FFFFFF"/>
        </w:rPr>
        <w:t>, </w:t>
      </w:r>
      <w:r>
        <w:rPr>
          <w:rFonts w:cs="Times New Roman"/>
          <w:i/>
          <w:iCs/>
          <w:color w:val="222222"/>
          <w:shd w:val="clear" w:color="auto" w:fill="FFFFFF"/>
        </w:rPr>
        <w:t>30</w:t>
      </w:r>
      <w:r>
        <w:rPr>
          <w:rFonts w:cs="Times New Roman"/>
          <w:color w:val="222222"/>
          <w:shd w:val="clear" w:color="auto" w:fill="FFFFFF"/>
        </w:rPr>
        <w:t>(1), 6-32.</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Khodjayev, A. R. (2021). Efficiency of using modern information and communication technologies in small business. In </w:t>
      </w:r>
      <w:r>
        <w:rPr>
          <w:rFonts w:cs="Times New Roman"/>
          <w:i/>
          <w:iCs/>
          <w:color w:val="222222"/>
          <w:shd w:val="clear" w:color="auto" w:fill="FFFFFF"/>
        </w:rPr>
        <w:t>World science: problems and innovations</w:t>
      </w:r>
      <w:r>
        <w:rPr>
          <w:rFonts w:cs="Times New Roman"/>
          <w:color w:val="222222"/>
          <w:shd w:val="clear" w:color="auto" w:fill="FFFFFF"/>
        </w:rPr>
        <w:t> (pp. 130-132).</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Klarin, A., Inkizhinov, B., Nazarov, D., &amp; Gorenskaia, E. (2021). International business education: What we know and what we have yet to develop. </w:t>
      </w:r>
      <w:r>
        <w:rPr>
          <w:rFonts w:cs="Times New Roman"/>
          <w:i/>
          <w:iCs/>
          <w:color w:val="222222"/>
          <w:shd w:val="clear" w:color="auto" w:fill="FFFFFF"/>
        </w:rPr>
        <w:t>International Business Review</w:t>
      </w:r>
      <w:r>
        <w:rPr>
          <w:rFonts w:cs="Times New Roman"/>
          <w:color w:val="222222"/>
          <w:shd w:val="clear" w:color="auto" w:fill="FFFFFF"/>
        </w:rPr>
        <w:t>, </w:t>
      </w:r>
      <w:r>
        <w:rPr>
          <w:rFonts w:cs="Times New Roman"/>
          <w:i/>
          <w:iCs/>
          <w:color w:val="222222"/>
          <w:shd w:val="clear" w:color="auto" w:fill="FFFFFF"/>
        </w:rPr>
        <w:t>30</w:t>
      </w:r>
      <w:r>
        <w:rPr>
          <w:rFonts w:cs="Times New Roman"/>
          <w:color w:val="222222"/>
          <w:shd w:val="clear" w:color="auto" w:fill="FFFFFF"/>
        </w:rPr>
        <w:t>(5), 101833.</w:t>
      </w:r>
    </w:p>
    <w:p>
      <w:pPr>
        <w:spacing w:after="0" w:line="360" w:lineRule="auto"/>
        <w:ind w:left="720" w:hanging="720"/>
        <w:jc w:val="both"/>
        <w:rPr>
          <w:rFonts w:cs="Times New Roman"/>
          <w:i/>
          <w:iCs/>
          <w:color w:val="222222"/>
          <w:shd w:val="clear" w:color="auto" w:fill="FFFFFF"/>
        </w:rPr>
      </w:pPr>
      <w:r>
        <w:rPr>
          <w:rFonts w:cs="Times New Roman"/>
          <w:color w:val="222222"/>
          <w:shd w:val="clear" w:color="auto" w:fill="FFFFFF"/>
        </w:rPr>
        <w:t>Luo, Y. (2020). Adaptive learning in international business. </w:t>
      </w:r>
      <w:r>
        <w:rPr>
          <w:rFonts w:cs="Times New Roman"/>
          <w:i/>
          <w:iCs/>
          <w:color w:val="222222"/>
          <w:shd w:val="clear" w:color="auto" w:fill="FFFFFF"/>
        </w:rPr>
        <w:t>Journal of International Business Studies</w:t>
      </w:r>
      <w:r>
        <w:rPr>
          <w:rFonts w:cs="Times New Roman"/>
          <w:color w:val="222222"/>
          <w:shd w:val="clear" w:color="auto" w:fill="FFFFFF"/>
        </w:rPr>
        <w:t>, </w:t>
      </w:r>
      <w:r>
        <w:rPr>
          <w:rFonts w:cs="Times New Roman"/>
          <w:i/>
          <w:iCs/>
          <w:color w:val="222222"/>
          <w:shd w:val="clear" w:color="auto" w:fill="FFFFFF"/>
        </w:rPr>
        <w:t>51</w:t>
      </w:r>
      <w:r>
        <w:rPr>
          <w:rFonts w:cs="Times New Roman"/>
          <w:color w:val="222222"/>
          <w:shd w:val="clear" w:color="auto" w:fill="FFFFFF"/>
        </w:rPr>
        <w:t>(9), 1547-1567.</w:t>
      </w:r>
    </w:p>
    <w:p>
      <w:pPr>
        <w:spacing w:after="0" w:line="360" w:lineRule="auto"/>
        <w:ind w:left="720" w:hanging="720"/>
        <w:jc w:val="both"/>
        <w:rPr>
          <w:rFonts w:cs="Times New Roman"/>
          <w:i/>
          <w:iCs/>
          <w:color w:val="222222"/>
          <w:shd w:val="clear" w:color="auto" w:fill="FFFFFF"/>
        </w:rPr>
      </w:pPr>
      <w:r>
        <w:rPr>
          <w:rFonts w:cs="Times New Roman"/>
          <w:color w:val="222222"/>
          <w:shd w:val="clear" w:color="auto" w:fill="FFFFFF"/>
        </w:rPr>
        <w:t>Luo, Y. (2022). A general framework of digitization risks in international business. </w:t>
      </w:r>
      <w:r>
        <w:rPr>
          <w:rFonts w:cs="Times New Roman"/>
          <w:i/>
          <w:iCs/>
          <w:color w:val="222222"/>
          <w:shd w:val="clear" w:color="auto" w:fill="FFFFFF"/>
        </w:rPr>
        <w:t>Journal of international business studies</w:t>
      </w:r>
      <w:r>
        <w:rPr>
          <w:rFonts w:cs="Times New Roman"/>
          <w:color w:val="222222"/>
          <w:shd w:val="clear" w:color="auto" w:fill="FFFFFF"/>
        </w:rPr>
        <w:t>, </w:t>
      </w:r>
      <w:r>
        <w:rPr>
          <w:rFonts w:cs="Times New Roman"/>
          <w:i/>
          <w:iCs/>
          <w:color w:val="222222"/>
          <w:shd w:val="clear" w:color="auto" w:fill="FFFFFF"/>
        </w:rPr>
        <w:t>53</w:t>
      </w:r>
      <w:r>
        <w:rPr>
          <w:rFonts w:cs="Times New Roman"/>
          <w:color w:val="222222"/>
          <w:shd w:val="clear" w:color="auto" w:fill="FFFFFF"/>
        </w:rPr>
        <w:t>(2), 344-361.</w:t>
      </w:r>
    </w:p>
    <w:p>
      <w:pPr>
        <w:spacing w:after="0" w:line="360" w:lineRule="auto"/>
        <w:ind w:left="720" w:hanging="720"/>
        <w:jc w:val="both"/>
        <w:rPr>
          <w:rFonts w:cs="Times New Roman"/>
          <w:color w:val="222222"/>
          <w:shd w:val="clear" w:color="auto" w:fill="FFFFFF"/>
        </w:rPr>
      </w:pPr>
      <w:bookmarkStart w:id="9" w:name="_Hlk124494302"/>
      <w:r>
        <w:rPr>
          <w:rFonts w:cs="Times New Roman"/>
          <w:color w:val="222222"/>
          <w:shd w:val="clear" w:color="auto" w:fill="FFFFFF"/>
        </w:rPr>
        <w:t>Markova</w:t>
      </w:r>
      <w:bookmarkEnd w:id="9"/>
      <w:r>
        <w:rPr>
          <w:rFonts w:cs="Times New Roman"/>
          <w:color w:val="222222"/>
          <w:shd w:val="clear" w:color="auto" w:fill="FFFFFF"/>
        </w:rPr>
        <w:t>, M., Modliński, A., &amp; Pinto, L. M. (2020). Creative or analytical way for career development? Relationship marketing in the field of international business education. </w:t>
      </w:r>
      <w:r>
        <w:rPr>
          <w:rFonts w:cs="Times New Roman"/>
          <w:i/>
          <w:iCs/>
          <w:color w:val="222222"/>
          <w:shd w:val="clear" w:color="auto" w:fill="FFFFFF"/>
        </w:rPr>
        <w:t>Creativity Studies</w:t>
      </w:r>
      <w:r>
        <w:rPr>
          <w:rFonts w:cs="Times New Roman"/>
          <w:color w:val="222222"/>
          <w:shd w:val="clear" w:color="auto" w:fill="FFFFFF"/>
        </w:rPr>
        <w:t>, </w:t>
      </w:r>
      <w:r>
        <w:rPr>
          <w:rFonts w:cs="Times New Roman"/>
          <w:i/>
          <w:iCs/>
          <w:color w:val="222222"/>
          <w:shd w:val="clear" w:color="auto" w:fill="FFFFFF"/>
        </w:rPr>
        <w:t>13</w:t>
      </w:r>
      <w:r>
        <w:rPr>
          <w:rFonts w:cs="Times New Roman"/>
          <w:color w:val="222222"/>
          <w:shd w:val="clear" w:color="auto" w:fill="FFFFFF"/>
        </w:rPr>
        <w:t>(1), 99-113.</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Othman, B. J., Hamawandy, N. M., Aziz, H. T., Ali, R. M., Khoshnaw, R. T., Majid, A. A., &amp; Ogiemwonyi, O. (2020). Interpret and apply economic analysis to the role of international business organizations and their activities: A case study of Adelia. </w:t>
      </w:r>
      <w:r>
        <w:rPr>
          <w:rFonts w:cs="Times New Roman"/>
          <w:i/>
          <w:iCs/>
          <w:color w:val="222222"/>
          <w:shd w:val="clear" w:color="auto" w:fill="FFFFFF"/>
        </w:rPr>
        <w:t>Solid State Technology</w:t>
      </w:r>
      <w:r>
        <w:rPr>
          <w:rFonts w:cs="Times New Roman"/>
          <w:color w:val="222222"/>
          <w:shd w:val="clear" w:color="auto" w:fill="FFFFFF"/>
        </w:rPr>
        <w:t>, </w:t>
      </w:r>
      <w:r>
        <w:rPr>
          <w:rFonts w:cs="Times New Roman"/>
          <w:i/>
          <w:iCs/>
          <w:color w:val="222222"/>
          <w:shd w:val="clear" w:color="auto" w:fill="FFFFFF"/>
        </w:rPr>
        <w:t>63</w:t>
      </w:r>
      <w:r>
        <w:rPr>
          <w:rFonts w:cs="Times New Roman"/>
          <w:color w:val="222222"/>
          <w:shd w:val="clear" w:color="auto" w:fill="FFFFFF"/>
        </w:rPr>
        <w:t>(5), 4525-4533.</w:t>
      </w:r>
    </w:p>
    <w:p>
      <w:pPr>
        <w:spacing w:after="0" w:line="360" w:lineRule="auto"/>
        <w:ind w:left="720" w:hanging="720"/>
        <w:jc w:val="both"/>
        <w:rPr>
          <w:rFonts w:cs="Times New Roman"/>
          <w:color w:val="222222"/>
          <w:shd w:val="clear" w:color="auto" w:fill="FFFFFF"/>
        </w:rPr>
      </w:pPr>
      <w:bookmarkStart w:id="10" w:name="_Hlk124494406"/>
      <w:r>
        <w:rPr>
          <w:rFonts w:cs="Times New Roman"/>
          <w:color w:val="222222"/>
          <w:shd w:val="clear" w:color="auto" w:fill="FFFFFF"/>
        </w:rPr>
        <w:t>Prokopenko</w:t>
      </w:r>
      <w:bookmarkEnd w:id="10"/>
      <w:r>
        <w:rPr>
          <w:rFonts w:cs="Times New Roman"/>
          <w:color w:val="222222"/>
          <w:shd w:val="clear" w:color="auto" w:fill="FFFFFF"/>
        </w:rPr>
        <w:t>, O., Kazanska, O., Deineha, I., Butenko, N., Omelyanenko, V., &amp; Bovkun, O. (2020). Communication business processes of industrial enterprises in the conditions of globalization. </w:t>
      </w:r>
      <w:r>
        <w:rPr>
          <w:rFonts w:cs="Times New Roman"/>
          <w:i/>
          <w:iCs/>
          <w:color w:val="222222"/>
          <w:shd w:val="clear" w:color="auto" w:fill="FFFFFF"/>
        </w:rPr>
        <w:t>International Journal of Management</w:t>
      </w:r>
      <w:r>
        <w:rPr>
          <w:rFonts w:cs="Times New Roman"/>
          <w:color w:val="222222"/>
          <w:shd w:val="clear" w:color="auto" w:fill="FFFFFF"/>
        </w:rPr>
        <w:t>, </w:t>
      </w:r>
      <w:r>
        <w:rPr>
          <w:rFonts w:cs="Times New Roman"/>
          <w:i/>
          <w:iCs/>
          <w:color w:val="222222"/>
          <w:shd w:val="clear" w:color="auto" w:fill="FFFFFF"/>
        </w:rPr>
        <w:t>11</w:t>
      </w:r>
      <w:r>
        <w:rPr>
          <w:rFonts w:cs="Times New Roman"/>
          <w:color w:val="222222"/>
          <w:shd w:val="clear" w:color="auto" w:fill="FFFFFF"/>
        </w:rPr>
        <w:t>(5).</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Shams, R., Vrontis, D., Belyaeva, Z., Ferraris, A., &amp; Czinkota, M. R. (2021). Strategic agility in international business: A conceptual framework for “agile” multinationals. </w:t>
      </w:r>
      <w:r>
        <w:rPr>
          <w:rFonts w:cs="Times New Roman"/>
          <w:i/>
          <w:iCs/>
          <w:color w:val="222222"/>
          <w:shd w:val="clear" w:color="auto" w:fill="FFFFFF"/>
        </w:rPr>
        <w:t>Journal of International Management</w:t>
      </w:r>
      <w:r>
        <w:rPr>
          <w:rFonts w:cs="Times New Roman"/>
          <w:color w:val="222222"/>
          <w:shd w:val="clear" w:color="auto" w:fill="FFFFFF"/>
        </w:rPr>
        <w:t>, </w:t>
      </w:r>
      <w:r>
        <w:rPr>
          <w:rFonts w:cs="Times New Roman"/>
          <w:i/>
          <w:iCs/>
          <w:color w:val="222222"/>
          <w:shd w:val="clear" w:color="auto" w:fill="FFFFFF"/>
        </w:rPr>
        <w:t>27</w:t>
      </w:r>
      <w:r>
        <w:rPr>
          <w:rFonts w:cs="Times New Roman"/>
          <w:color w:val="222222"/>
          <w:shd w:val="clear" w:color="auto" w:fill="FFFFFF"/>
        </w:rPr>
        <w:t>(1), 100737.</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Sharma, P., Leung, T. Y., Kingshott, R. P., Davcik, N. S., &amp; Cardinali, S. (2020). Managing uncertainty during a global pandemic: An international business perspective. </w:t>
      </w:r>
      <w:r>
        <w:rPr>
          <w:rFonts w:cs="Times New Roman"/>
          <w:i/>
          <w:iCs/>
          <w:color w:val="222222"/>
          <w:shd w:val="clear" w:color="auto" w:fill="FFFFFF"/>
        </w:rPr>
        <w:t>Journal of business research</w:t>
      </w:r>
      <w:r>
        <w:rPr>
          <w:rFonts w:cs="Times New Roman"/>
          <w:color w:val="222222"/>
          <w:shd w:val="clear" w:color="auto" w:fill="FFFFFF"/>
        </w:rPr>
        <w:t>, </w:t>
      </w:r>
      <w:r>
        <w:rPr>
          <w:rFonts w:cs="Times New Roman"/>
          <w:i/>
          <w:iCs/>
          <w:color w:val="222222"/>
          <w:shd w:val="clear" w:color="auto" w:fill="FFFFFF"/>
        </w:rPr>
        <w:t>116</w:t>
      </w:r>
      <w:r>
        <w:rPr>
          <w:rFonts w:cs="Times New Roman"/>
          <w:color w:val="222222"/>
          <w:shd w:val="clear" w:color="auto" w:fill="FFFFFF"/>
        </w:rPr>
        <w:t>, 188-192.</w:t>
      </w:r>
    </w:p>
    <w:p>
      <w:pPr>
        <w:spacing w:after="0" w:line="360" w:lineRule="auto"/>
        <w:ind w:left="720" w:hanging="720"/>
        <w:jc w:val="both"/>
        <w:rPr>
          <w:rFonts w:cs="Times New Roman"/>
          <w:i/>
          <w:iCs/>
          <w:color w:val="222222"/>
          <w:shd w:val="clear" w:color="auto" w:fill="FFFFFF"/>
        </w:rPr>
      </w:pPr>
      <w:r>
        <w:rPr>
          <w:rFonts w:cs="Times New Roman"/>
          <w:color w:val="222222"/>
          <w:shd w:val="clear" w:color="auto" w:fill="FFFFFF"/>
        </w:rPr>
        <w:t>Stadler, S. (2019). Laughter and its functions in Japanese business communication. </w:t>
      </w:r>
      <w:r>
        <w:rPr>
          <w:rFonts w:cs="Times New Roman"/>
          <w:i/>
          <w:iCs/>
          <w:color w:val="222222"/>
          <w:shd w:val="clear" w:color="auto" w:fill="FFFFFF"/>
        </w:rPr>
        <w:t>Journal of Pragmatics</w:t>
      </w:r>
      <w:r>
        <w:rPr>
          <w:rFonts w:cs="Times New Roman"/>
          <w:color w:val="222222"/>
          <w:shd w:val="clear" w:color="auto" w:fill="FFFFFF"/>
        </w:rPr>
        <w:t>, </w:t>
      </w:r>
      <w:r>
        <w:rPr>
          <w:rFonts w:cs="Times New Roman"/>
          <w:i/>
          <w:iCs/>
          <w:color w:val="222222"/>
          <w:shd w:val="clear" w:color="auto" w:fill="FFFFFF"/>
        </w:rPr>
        <w:t>141</w:t>
      </w:r>
      <w:r>
        <w:rPr>
          <w:rFonts w:cs="Times New Roman"/>
          <w:color w:val="222222"/>
          <w:shd w:val="clear" w:color="auto" w:fill="FFFFFF"/>
        </w:rPr>
        <w:t>, 16-27.</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Takino, M. (2020). Power in international business communication and linguistic competence: Analyzing the experiences of nonnative business people who use English as a business lingua franca (BELF). </w:t>
      </w:r>
      <w:r>
        <w:rPr>
          <w:rFonts w:cs="Times New Roman"/>
          <w:i/>
          <w:iCs/>
          <w:color w:val="222222"/>
          <w:shd w:val="clear" w:color="auto" w:fill="FFFFFF"/>
        </w:rPr>
        <w:t>International Journal of Business Communication</w:t>
      </w:r>
      <w:r>
        <w:rPr>
          <w:rFonts w:cs="Times New Roman"/>
          <w:color w:val="222222"/>
          <w:shd w:val="clear" w:color="auto" w:fill="FFFFFF"/>
        </w:rPr>
        <w:t>, </w:t>
      </w:r>
      <w:r>
        <w:rPr>
          <w:rFonts w:cs="Times New Roman"/>
          <w:i/>
          <w:iCs/>
          <w:color w:val="222222"/>
          <w:shd w:val="clear" w:color="auto" w:fill="FFFFFF"/>
        </w:rPr>
        <w:t>57</w:t>
      </w:r>
      <w:r>
        <w:rPr>
          <w:rFonts w:cs="Times New Roman"/>
          <w:color w:val="222222"/>
          <w:shd w:val="clear" w:color="auto" w:fill="FFFFFF"/>
        </w:rPr>
        <w:t>(4), 517-544.</w:t>
      </w:r>
    </w:p>
    <w:p>
      <w:pPr>
        <w:spacing w:after="0" w:line="360" w:lineRule="auto"/>
        <w:ind w:left="720" w:hanging="720"/>
        <w:jc w:val="both"/>
        <w:rPr>
          <w:rFonts w:cs="Times New Roman"/>
          <w:color w:val="222222"/>
          <w:shd w:val="clear" w:color="auto" w:fill="FFFFFF"/>
        </w:rPr>
      </w:pPr>
      <w:bookmarkStart w:id="11" w:name="_Hlk124494668"/>
      <w:r>
        <w:rPr>
          <w:rFonts w:cs="Times New Roman"/>
          <w:color w:val="222222"/>
          <w:shd w:val="clear" w:color="auto" w:fill="FFFFFF"/>
        </w:rPr>
        <w:t>Tien</w:t>
      </w:r>
      <w:bookmarkEnd w:id="11"/>
      <w:r>
        <w:rPr>
          <w:rFonts w:cs="Times New Roman"/>
          <w:color w:val="222222"/>
          <w:shd w:val="clear" w:color="auto" w:fill="FFFFFF"/>
        </w:rPr>
        <w:t>, N. H., Phu, P. P., &amp; Chi, D. T. P. (2019). The role of international marketing in international business strategy. </w:t>
      </w:r>
      <w:r>
        <w:rPr>
          <w:rFonts w:cs="Times New Roman"/>
          <w:i/>
          <w:iCs/>
          <w:color w:val="222222"/>
          <w:shd w:val="clear" w:color="auto" w:fill="FFFFFF"/>
        </w:rPr>
        <w:t>International journal of research in marketing management and sales</w:t>
      </w:r>
      <w:r>
        <w:rPr>
          <w:rFonts w:cs="Times New Roman"/>
          <w:color w:val="222222"/>
          <w:shd w:val="clear" w:color="auto" w:fill="FFFFFF"/>
        </w:rPr>
        <w:t>, </w:t>
      </w:r>
      <w:r>
        <w:rPr>
          <w:rFonts w:cs="Times New Roman"/>
          <w:i/>
          <w:iCs/>
          <w:color w:val="222222"/>
          <w:shd w:val="clear" w:color="auto" w:fill="FFFFFF"/>
        </w:rPr>
        <w:t>1</w:t>
      </w:r>
      <w:r>
        <w:rPr>
          <w:rFonts w:cs="Times New Roman"/>
          <w:color w:val="222222"/>
          <w:shd w:val="clear" w:color="auto" w:fill="FFFFFF"/>
        </w:rPr>
        <w:t>(2), 134-138.</w:t>
      </w:r>
    </w:p>
    <w:p>
      <w:pPr>
        <w:spacing w:after="0" w:line="360" w:lineRule="auto"/>
        <w:ind w:left="720" w:hanging="720"/>
        <w:jc w:val="both"/>
        <w:rPr>
          <w:rFonts w:cs="Times New Roman"/>
          <w:color w:val="222222"/>
          <w:shd w:val="clear" w:color="auto" w:fill="FFFFFF"/>
        </w:rPr>
      </w:pPr>
      <w:r>
        <w:rPr>
          <w:rFonts w:cs="Times New Roman"/>
          <w:color w:val="222222"/>
          <w:shd w:val="clear" w:color="auto" w:fill="FFFFFF"/>
        </w:rPr>
        <w:t>Wang, Q., Clegg, J., Gajewska-De Mattos, H., &amp; Buckley, P. (2020). The role of emotions in intercultural business communication: Language standardization in the context of international knowledge transfer. </w:t>
      </w:r>
      <w:r>
        <w:rPr>
          <w:rFonts w:cs="Times New Roman"/>
          <w:i/>
          <w:iCs/>
          <w:color w:val="222222"/>
          <w:shd w:val="clear" w:color="auto" w:fill="FFFFFF"/>
        </w:rPr>
        <w:t>Journal of World Business</w:t>
      </w:r>
      <w:r>
        <w:rPr>
          <w:rFonts w:cs="Times New Roman"/>
          <w:color w:val="222222"/>
          <w:shd w:val="clear" w:color="auto" w:fill="FFFFFF"/>
        </w:rPr>
        <w:t>, </w:t>
      </w:r>
      <w:r>
        <w:rPr>
          <w:rFonts w:cs="Times New Roman"/>
          <w:i/>
          <w:iCs/>
          <w:color w:val="222222"/>
          <w:shd w:val="clear" w:color="auto" w:fill="FFFFFF"/>
        </w:rPr>
        <w:t>55</w:t>
      </w:r>
      <w:r>
        <w:rPr>
          <w:rFonts w:cs="Times New Roman"/>
          <w:color w:val="222222"/>
          <w:shd w:val="clear" w:color="auto" w:fill="FFFFFF"/>
        </w:rPr>
        <w:t>(6), 100973.</w:t>
      </w:r>
    </w:p>
    <w:p>
      <w:pPr>
        <w:spacing w:after="0" w:line="360" w:lineRule="auto"/>
        <w:ind w:left="720" w:hanging="720"/>
        <w:jc w:val="both"/>
        <w:rPr>
          <w:rFonts w:cs="Times New Roman"/>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0080278"/>
      <w:docPartObj>
        <w:docPartGallery w:val="autotext"/>
      </w:docPartObj>
    </w:sdtPr>
    <w:sdtContent>
      <w:p>
        <w:pPr>
          <w:pStyle w:val="5"/>
          <w:jc w:val="right"/>
        </w:pPr>
        <w:r>
          <w:fldChar w:fldCharType="begin"/>
        </w:r>
        <w:r>
          <w:instrText xml:space="preserve"> PAGE   \* MERGEFORMAT </w:instrText>
        </w:r>
        <w:r>
          <w:fldChar w:fldCharType="separate"/>
        </w:r>
        <w:r>
          <w:t>2</w:t>
        </w:r>
        <w:r>
          <w:fldChar w:fldCharType="end"/>
        </w:r>
      </w:p>
    </w:sdtContent>
  </w:sdt>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M5NGJmNjQxMjYyMDc4YWNmMTMzMWZkYzhkM2RhMTgifQ=="/>
  </w:docVars>
  <w:rsids>
    <w:rsidRoot w:val="007C54A1"/>
    <w:rsid w:val="00012D12"/>
    <w:rsid w:val="000214FE"/>
    <w:rsid w:val="00036C92"/>
    <w:rsid w:val="000435E3"/>
    <w:rsid w:val="00087D45"/>
    <w:rsid w:val="000B04E2"/>
    <w:rsid w:val="000B397D"/>
    <w:rsid w:val="000D6611"/>
    <w:rsid w:val="000F385A"/>
    <w:rsid w:val="00194B8F"/>
    <w:rsid w:val="001C381B"/>
    <w:rsid w:val="001C4E63"/>
    <w:rsid w:val="001F4EE2"/>
    <w:rsid w:val="002865C9"/>
    <w:rsid w:val="002A1F41"/>
    <w:rsid w:val="00324494"/>
    <w:rsid w:val="003A0621"/>
    <w:rsid w:val="003A5FBE"/>
    <w:rsid w:val="00425FF4"/>
    <w:rsid w:val="00427CC0"/>
    <w:rsid w:val="004442F4"/>
    <w:rsid w:val="004C41E6"/>
    <w:rsid w:val="00507703"/>
    <w:rsid w:val="00530675"/>
    <w:rsid w:val="00534D1B"/>
    <w:rsid w:val="005C6315"/>
    <w:rsid w:val="005C63C6"/>
    <w:rsid w:val="0061272A"/>
    <w:rsid w:val="006261D2"/>
    <w:rsid w:val="006A4BF9"/>
    <w:rsid w:val="006B7288"/>
    <w:rsid w:val="006C1C50"/>
    <w:rsid w:val="006E1E34"/>
    <w:rsid w:val="007018F1"/>
    <w:rsid w:val="00714D1D"/>
    <w:rsid w:val="0073269B"/>
    <w:rsid w:val="00753E04"/>
    <w:rsid w:val="00787D62"/>
    <w:rsid w:val="007C54A1"/>
    <w:rsid w:val="007E0D86"/>
    <w:rsid w:val="00841BDA"/>
    <w:rsid w:val="0086389B"/>
    <w:rsid w:val="00877A82"/>
    <w:rsid w:val="008C7359"/>
    <w:rsid w:val="008D34CA"/>
    <w:rsid w:val="00921536"/>
    <w:rsid w:val="00933D2A"/>
    <w:rsid w:val="00990DAF"/>
    <w:rsid w:val="00997F72"/>
    <w:rsid w:val="009F41FB"/>
    <w:rsid w:val="009F591A"/>
    <w:rsid w:val="00A012F2"/>
    <w:rsid w:val="00A05BD2"/>
    <w:rsid w:val="00A14D9E"/>
    <w:rsid w:val="00A63B28"/>
    <w:rsid w:val="00A674B1"/>
    <w:rsid w:val="00AD12DB"/>
    <w:rsid w:val="00AF1261"/>
    <w:rsid w:val="00B00B06"/>
    <w:rsid w:val="00B06665"/>
    <w:rsid w:val="00B25466"/>
    <w:rsid w:val="00B568C1"/>
    <w:rsid w:val="00B64D40"/>
    <w:rsid w:val="00BF5A55"/>
    <w:rsid w:val="00BF6A75"/>
    <w:rsid w:val="00C44751"/>
    <w:rsid w:val="00C56D94"/>
    <w:rsid w:val="00C74A11"/>
    <w:rsid w:val="00CB2F41"/>
    <w:rsid w:val="00CD67A3"/>
    <w:rsid w:val="00CD6F89"/>
    <w:rsid w:val="00CE355E"/>
    <w:rsid w:val="00D63ADF"/>
    <w:rsid w:val="00DD6788"/>
    <w:rsid w:val="00DE179B"/>
    <w:rsid w:val="00DE6ACA"/>
    <w:rsid w:val="00E54FDF"/>
    <w:rsid w:val="00ED186E"/>
    <w:rsid w:val="00F22AD9"/>
    <w:rsid w:val="00F36A16"/>
    <w:rsid w:val="00F40518"/>
    <w:rsid w:val="00FE46BF"/>
    <w:rsid w:val="00FF03B7"/>
    <w:rsid w:val="49187E51"/>
    <w:rsid w:val="6B9F2D39"/>
    <w:rsid w:val="77D95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4"/>
      <w:lang w:val="en-US" w:eastAsia="en-US" w:bidi="ar-SA"/>
      <w14:textFill>
        <w14:solidFill>
          <w14:schemeClr w14:val="tx1"/>
        </w14:solidFill>
      </w14:textFill>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1"/>
    <w:unhideWhenUsed/>
    <w:qFormat/>
    <w:uiPriority w:val="99"/>
    <w:pPr>
      <w:tabs>
        <w:tab w:val="center" w:pos="4680"/>
        <w:tab w:val="right" w:pos="9360"/>
      </w:tabs>
      <w:spacing w:after="0" w:line="240" w:lineRule="auto"/>
    </w:pPr>
  </w:style>
  <w:style w:type="paragraph" w:styleId="5">
    <w:name w:val="header"/>
    <w:basedOn w:val="1"/>
    <w:link w:val="10"/>
    <w:unhideWhenUsed/>
    <w:qFormat/>
    <w:uiPriority w:val="99"/>
    <w:pPr>
      <w:tabs>
        <w:tab w:val="center" w:pos="4680"/>
        <w:tab w:val="right" w:pos="9360"/>
      </w:tabs>
      <w:spacing w:after="0" w:line="240" w:lineRule="auto"/>
    </w:pPr>
  </w:style>
  <w:style w:type="paragraph" w:styleId="6">
    <w:name w:val="toc 2"/>
    <w:basedOn w:val="1"/>
    <w:next w:val="1"/>
    <w:unhideWhenUsed/>
    <w:qFormat/>
    <w:uiPriority w:val="39"/>
    <w:pPr>
      <w:tabs>
        <w:tab w:val="right" w:leader="dot" w:pos="9350"/>
      </w:tabs>
      <w:spacing w:after="100"/>
      <w:ind w:left="240"/>
    </w:pPr>
    <w:rPr>
      <w:rFonts w:cs="Times New Roman"/>
      <w:b/>
      <w:bCs/>
    </w:rPr>
  </w:style>
  <w:style w:type="character" w:styleId="9">
    <w:name w:val="Hyperlink"/>
    <w:basedOn w:val="8"/>
    <w:unhideWhenUsed/>
    <w:qFormat/>
    <w:uiPriority w:val="99"/>
    <w:rPr>
      <w:color w:val="0563C1" w:themeColor="hyperlink"/>
      <w:u w:val="single"/>
      <w14:textFill>
        <w14:solidFill>
          <w14:schemeClr w14:val="hlink"/>
        </w14:solidFill>
      </w14:textFill>
    </w:rPr>
  </w:style>
  <w:style w:type="character" w:customStyle="1" w:styleId="10">
    <w:name w:val="Header Char"/>
    <w:basedOn w:val="8"/>
    <w:link w:val="5"/>
    <w:qFormat/>
    <w:uiPriority w:val="99"/>
  </w:style>
  <w:style w:type="character" w:customStyle="1" w:styleId="11">
    <w:name w:val="Footer Char"/>
    <w:basedOn w:val="8"/>
    <w:link w:val="4"/>
    <w:qFormat/>
    <w:uiPriority w:val="99"/>
  </w:style>
  <w:style w:type="character" w:customStyle="1" w:styleId="12">
    <w:name w:val="Heading 2 Char"/>
    <w:basedOn w:val="8"/>
    <w:link w:val="3"/>
    <w:qFormat/>
    <w:uiPriority w:val="9"/>
    <w:rPr>
      <w:rFonts w:asciiTheme="majorHAnsi" w:hAnsiTheme="majorHAnsi" w:eastAsiaTheme="majorEastAsia" w:cstheme="majorBidi"/>
      <w:color w:val="2F5597" w:themeColor="accent1" w:themeShade="BF"/>
      <w:sz w:val="26"/>
      <w:szCs w:val="26"/>
    </w:rPr>
  </w:style>
  <w:style w:type="character" w:customStyle="1" w:styleId="13">
    <w:name w:val="Heading 1 Char"/>
    <w:basedOn w:val="8"/>
    <w:link w:val="2"/>
    <w:qFormat/>
    <w:uiPriority w:val="9"/>
    <w:rPr>
      <w:rFonts w:asciiTheme="majorHAnsi" w:hAnsiTheme="majorHAnsi" w:eastAsiaTheme="majorEastAsia" w:cstheme="majorBidi"/>
      <w:color w:val="2F5597" w:themeColor="accent1" w:themeShade="BF"/>
      <w:sz w:val="32"/>
      <w:szCs w:val="32"/>
    </w:rPr>
  </w:style>
  <w:style w:type="paragraph" w:customStyle="1" w:styleId="14">
    <w:name w:val="TOC Heading"/>
    <w:basedOn w:val="2"/>
    <w:next w:val="1"/>
    <w:unhideWhenUsed/>
    <w:qFormat/>
    <w:uiPriority w:val="39"/>
    <w:pPr>
      <w:outlineLvl w:val="9"/>
    </w:pPr>
  </w:style>
  <w:style w:type="character" w:customStyle="1" w:styleId="15">
    <w:name w:val="Book Title1"/>
    <w:basedOn w:val="8"/>
    <w:qFormat/>
    <w:uiPriority w:val="33"/>
    <w:rPr>
      <w:b/>
      <w:bCs/>
      <w:i/>
      <w:iCs/>
      <w:spacing w:val="5"/>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E38F7-7698-433D-98DA-C6C077A36DFF}">
  <ds:schemaRefs/>
</ds:datastoreItem>
</file>

<file path=docProps/app.xml><?xml version="1.0" encoding="utf-8"?>
<Properties xmlns="http://schemas.openxmlformats.org/officeDocument/2006/extended-properties" xmlns:vt="http://schemas.openxmlformats.org/officeDocument/2006/docPropsVTypes">
  <Template>Normal</Template>
  <Pages>12</Pages>
  <Words>3028</Words>
  <Characters>18133</Characters>
  <Lines>154</Lines>
  <Paragraphs>43</Paragraphs>
  <TotalTime>4</TotalTime>
  <ScaleCrop>false</ScaleCrop>
  <LinksUpToDate>false</LinksUpToDate>
  <CharactersWithSpaces>21418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2023-01-11T05:45:00Z</dcterms:created>
  <dc:creator>Linus Choda</dc:creator>
  <cp:lastModifiedBy>Awaken</cp:lastModifiedBy>
  <dcterms:modified xsi:type="dcterms:W3CDTF">2023-01-16T21:17:59Z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72D43C574A334C4C88D669642EFB14FE</vt:lpwstr>
  </property>
</Properties>
</file>