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6AFC5" w14:textId="77777777" w:rsidR="005E5FE6" w:rsidRPr="005B7D15" w:rsidRDefault="005E5FE6" w:rsidP="005B7D15">
      <w:pPr>
        <w:spacing w:line="360" w:lineRule="auto"/>
        <w:jc w:val="center"/>
        <w:rPr>
          <w:rFonts w:ascii="Arial" w:hAnsi="Arial" w:cs="Arial"/>
          <w:b/>
          <w:bCs/>
          <w:sz w:val="28"/>
          <w:szCs w:val="28"/>
        </w:rPr>
      </w:pPr>
    </w:p>
    <w:p w14:paraId="4E783FC0" w14:textId="61B990F8" w:rsidR="005E5FE6" w:rsidRPr="005B7D15" w:rsidRDefault="005E5FE6" w:rsidP="005B7D15">
      <w:pPr>
        <w:spacing w:line="360" w:lineRule="auto"/>
        <w:jc w:val="center"/>
        <w:rPr>
          <w:rFonts w:ascii="Arial" w:hAnsi="Arial" w:cs="Arial"/>
          <w:b/>
          <w:bCs/>
          <w:sz w:val="28"/>
          <w:szCs w:val="28"/>
        </w:rPr>
      </w:pPr>
      <w:r w:rsidRPr="005B7D15">
        <w:rPr>
          <w:rFonts w:ascii="Arial" w:hAnsi="Arial" w:cs="Arial"/>
          <w:b/>
          <w:bCs/>
          <w:sz w:val="28"/>
          <w:szCs w:val="28"/>
        </w:rPr>
        <w:drawing>
          <wp:inline distT="0" distB="0" distL="0" distR="0" wp14:anchorId="26FB54D6" wp14:editId="24BC9B94">
            <wp:extent cx="3493135" cy="1417611"/>
            <wp:effectExtent l="0" t="0" r="0" b="0"/>
            <wp:docPr id="220879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79246" name=""/>
                    <pic:cNvPicPr/>
                  </pic:nvPicPr>
                  <pic:blipFill>
                    <a:blip r:embed="rId7"/>
                    <a:stretch>
                      <a:fillRect/>
                    </a:stretch>
                  </pic:blipFill>
                  <pic:spPr>
                    <a:xfrm>
                      <a:off x="0" y="0"/>
                      <a:ext cx="3506109" cy="1422876"/>
                    </a:xfrm>
                    <a:prstGeom prst="rect">
                      <a:avLst/>
                    </a:prstGeom>
                  </pic:spPr>
                </pic:pic>
              </a:graphicData>
            </a:graphic>
          </wp:inline>
        </w:drawing>
      </w:r>
    </w:p>
    <w:p w14:paraId="0D580F0B" w14:textId="77777777" w:rsidR="005E5FE6" w:rsidRPr="005B7D15" w:rsidRDefault="005E5FE6" w:rsidP="005B7D15">
      <w:pPr>
        <w:spacing w:line="360" w:lineRule="auto"/>
        <w:jc w:val="center"/>
        <w:rPr>
          <w:rFonts w:ascii="Arial" w:hAnsi="Arial" w:cs="Arial"/>
          <w:b/>
          <w:bCs/>
          <w:sz w:val="28"/>
          <w:szCs w:val="28"/>
        </w:rPr>
      </w:pPr>
    </w:p>
    <w:p w14:paraId="2C2B52CD" w14:textId="763293AB" w:rsidR="00E85304" w:rsidRPr="005B7D15" w:rsidRDefault="00000000" w:rsidP="005B7D15">
      <w:pPr>
        <w:spacing w:line="360" w:lineRule="auto"/>
        <w:jc w:val="center"/>
        <w:rPr>
          <w:rFonts w:ascii="Arial" w:hAnsi="Arial" w:cs="Arial"/>
        </w:rPr>
      </w:pPr>
      <w:r w:rsidRPr="005B7D15">
        <w:rPr>
          <w:rFonts w:ascii="Arial" w:hAnsi="Arial" w:cs="Arial"/>
          <w:sz w:val="26"/>
          <w:szCs w:val="26"/>
        </w:rPr>
        <w:t>Master of Business Administration</w:t>
      </w:r>
    </w:p>
    <w:p w14:paraId="15145246" w14:textId="77777777" w:rsidR="00E85304" w:rsidRPr="005B7D15" w:rsidRDefault="00000000" w:rsidP="005B7D15">
      <w:pPr>
        <w:spacing w:line="360" w:lineRule="auto"/>
        <w:jc w:val="center"/>
        <w:rPr>
          <w:rFonts w:ascii="Arial" w:hAnsi="Arial" w:cs="Arial"/>
        </w:rPr>
      </w:pPr>
      <w:r w:rsidRPr="005B7D15">
        <w:rPr>
          <w:rFonts w:ascii="Arial" w:hAnsi="Arial" w:cs="Arial"/>
          <w:i/>
          <w:iCs/>
        </w:rPr>
        <w:t>LCMB7003 — Strategic Management</w:t>
      </w:r>
    </w:p>
    <w:p w14:paraId="47A50C10" w14:textId="77777777" w:rsidR="00E85304" w:rsidRPr="005B7D15" w:rsidRDefault="00000000" w:rsidP="005B7D15">
      <w:pPr>
        <w:spacing w:line="360" w:lineRule="auto"/>
        <w:jc w:val="center"/>
        <w:rPr>
          <w:rFonts w:ascii="Arial" w:hAnsi="Arial" w:cs="Arial"/>
        </w:rPr>
      </w:pPr>
      <w:r w:rsidRPr="005B7D15">
        <w:rPr>
          <w:rFonts w:ascii="Arial" w:hAnsi="Arial" w:cs="Arial"/>
          <w:noProof/>
        </w:rPr>
        <w:drawing>
          <wp:inline distT="0" distB="0" distL="0" distR="0" wp14:anchorId="472B0101" wp14:editId="57D24FDD">
            <wp:extent cx="2095500" cy="209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095500" cy="2095500"/>
                    </a:xfrm>
                    <a:prstGeom prst="rect">
                      <a:avLst/>
                    </a:prstGeom>
                  </pic:spPr>
                </pic:pic>
              </a:graphicData>
            </a:graphic>
          </wp:inline>
        </w:drawing>
      </w:r>
    </w:p>
    <w:p w14:paraId="21CCAA57" w14:textId="77777777" w:rsidR="00E85304" w:rsidRPr="005B7D15" w:rsidRDefault="00000000" w:rsidP="005B7D15">
      <w:pPr>
        <w:spacing w:line="360" w:lineRule="auto"/>
        <w:jc w:val="center"/>
        <w:rPr>
          <w:rFonts w:ascii="Arial" w:hAnsi="Arial" w:cs="Arial"/>
        </w:rPr>
      </w:pPr>
      <w:r w:rsidRPr="005B7D15">
        <w:rPr>
          <w:rFonts w:ascii="Arial" w:hAnsi="Arial" w:cs="Arial"/>
          <w:b/>
          <w:bCs/>
          <w:sz w:val="30"/>
          <w:szCs w:val="30"/>
        </w:rPr>
        <w:t>A Critical Strategic Analysis of Shell plc</w:t>
      </w:r>
    </w:p>
    <w:p w14:paraId="43AF8DFE" w14:textId="77777777" w:rsidR="00E85304" w:rsidRPr="005B7D15" w:rsidRDefault="00000000" w:rsidP="005B7D15">
      <w:pPr>
        <w:spacing w:line="360" w:lineRule="auto"/>
        <w:jc w:val="center"/>
        <w:rPr>
          <w:rFonts w:ascii="Arial" w:hAnsi="Arial" w:cs="Arial"/>
        </w:rPr>
      </w:pPr>
      <w:r w:rsidRPr="005B7D15">
        <w:rPr>
          <w:rFonts w:ascii="Arial" w:hAnsi="Arial" w:cs="Arial"/>
          <w:i/>
          <w:iCs/>
          <w:sz w:val="26"/>
          <w:szCs w:val="26"/>
        </w:rPr>
        <w:t>Navigating Competitive Advantage Through the Energy Transition</w:t>
      </w:r>
    </w:p>
    <w:p w14:paraId="40E72091" w14:textId="77777777" w:rsidR="00E85304" w:rsidRPr="005B7D15" w:rsidRDefault="00000000" w:rsidP="005B7D15">
      <w:pPr>
        <w:spacing w:line="360" w:lineRule="auto"/>
        <w:jc w:val="center"/>
        <w:rPr>
          <w:rFonts w:ascii="Arial" w:hAnsi="Arial" w:cs="Arial"/>
        </w:rPr>
      </w:pPr>
      <w:r w:rsidRPr="005B7D15">
        <w:rPr>
          <w:rFonts w:ascii="Arial" w:hAnsi="Arial" w:cs="Arial"/>
        </w:rPr>
        <w:t>Submitted by: Rezaul Karim</w:t>
      </w:r>
    </w:p>
    <w:p w14:paraId="7DD9259A" w14:textId="689CFF8B" w:rsidR="00E85304" w:rsidRPr="005B7D15" w:rsidRDefault="00000000" w:rsidP="005B7D15">
      <w:pPr>
        <w:spacing w:line="360" w:lineRule="auto"/>
        <w:jc w:val="center"/>
        <w:rPr>
          <w:rFonts w:ascii="Arial" w:hAnsi="Arial" w:cs="Arial"/>
        </w:rPr>
      </w:pPr>
      <w:r w:rsidRPr="005B7D15">
        <w:rPr>
          <w:rFonts w:ascii="Arial" w:hAnsi="Arial" w:cs="Arial"/>
        </w:rPr>
        <w:t xml:space="preserve">Student ID: </w:t>
      </w:r>
      <w:r w:rsidR="0062024E" w:rsidRPr="005B7D15">
        <w:rPr>
          <w:rFonts w:ascii="Arial" w:hAnsi="Arial" w:cs="Arial"/>
        </w:rPr>
        <w:t>2436008</w:t>
      </w:r>
    </w:p>
    <w:p w14:paraId="0E84775D" w14:textId="5D8E361F" w:rsidR="00E85304" w:rsidRPr="005B7D15" w:rsidRDefault="00000000" w:rsidP="005B7D15">
      <w:pPr>
        <w:spacing w:line="360" w:lineRule="auto"/>
        <w:jc w:val="center"/>
        <w:rPr>
          <w:rFonts w:ascii="Arial" w:hAnsi="Arial" w:cs="Arial"/>
        </w:rPr>
      </w:pPr>
      <w:r w:rsidRPr="005B7D15">
        <w:rPr>
          <w:rFonts w:ascii="Arial" w:hAnsi="Arial" w:cs="Arial"/>
        </w:rPr>
        <w:t xml:space="preserve">Lecturer: </w:t>
      </w:r>
      <w:r w:rsidR="0062024E" w:rsidRPr="005B7D15">
        <w:rPr>
          <w:rFonts w:ascii="Arial" w:hAnsi="Arial" w:cs="Arial"/>
        </w:rPr>
        <w:t xml:space="preserve"> Hoang Nguyen</w:t>
      </w:r>
    </w:p>
    <w:p w14:paraId="0AE3EC5A" w14:textId="77777777" w:rsidR="00E85304" w:rsidRPr="005B7D15" w:rsidRDefault="00000000" w:rsidP="005B7D15">
      <w:pPr>
        <w:spacing w:line="360" w:lineRule="auto"/>
        <w:jc w:val="center"/>
        <w:rPr>
          <w:rFonts w:ascii="Arial" w:hAnsi="Arial" w:cs="Arial"/>
        </w:rPr>
      </w:pPr>
      <w:r w:rsidRPr="005B7D15">
        <w:rPr>
          <w:rFonts w:ascii="Arial" w:hAnsi="Arial" w:cs="Arial"/>
        </w:rPr>
        <w:t>Submission Date: 1st May 2026</w:t>
      </w:r>
    </w:p>
    <w:p w14:paraId="64EEE9B2" w14:textId="61225584" w:rsidR="00E85304" w:rsidRPr="005B7D15" w:rsidRDefault="00000000" w:rsidP="005B7D15">
      <w:pPr>
        <w:spacing w:line="360" w:lineRule="auto"/>
        <w:jc w:val="center"/>
        <w:rPr>
          <w:rFonts w:ascii="Arial" w:hAnsi="Arial" w:cs="Arial"/>
        </w:rPr>
      </w:pPr>
      <w:r w:rsidRPr="005B7D15">
        <w:rPr>
          <w:rFonts w:ascii="Arial" w:hAnsi="Arial" w:cs="Arial"/>
        </w:rPr>
        <w:t xml:space="preserve">Word Count: </w:t>
      </w:r>
      <w:r w:rsidR="00EA0205" w:rsidRPr="005B7D15">
        <w:rPr>
          <w:rFonts w:ascii="Arial" w:hAnsi="Arial" w:cs="Arial"/>
        </w:rPr>
        <w:t>4500</w:t>
      </w:r>
    </w:p>
    <w:p w14:paraId="45ADC4C5" w14:textId="36628C96" w:rsidR="005E5FE6" w:rsidRPr="005B7D15" w:rsidRDefault="00000000" w:rsidP="005B7D15">
      <w:pPr>
        <w:spacing w:line="360" w:lineRule="auto"/>
        <w:rPr>
          <w:rFonts w:ascii="Arial" w:hAnsi="Arial" w:cs="Arial"/>
        </w:rPr>
      </w:pPr>
      <w:r w:rsidRPr="005B7D15">
        <w:rPr>
          <w:rFonts w:ascii="Arial" w:hAnsi="Arial" w:cs="Arial"/>
        </w:rPr>
        <w:br w:type="page"/>
      </w:r>
    </w:p>
    <w:p w14:paraId="1F9E6D7B" w14:textId="77777777" w:rsidR="005E5FE6" w:rsidRPr="005B7D15" w:rsidRDefault="005E5FE6" w:rsidP="005B7D15">
      <w:pPr>
        <w:spacing w:line="360" w:lineRule="auto"/>
        <w:rPr>
          <w:rFonts w:ascii="Arial" w:hAnsi="Arial" w:cs="Arial"/>
        </w:rPr>
      </w:pPr>
    </w:p>
    <w:p w14:paraId="2A27836F" w14:textId="77777777" w:rsidR="00E85304" w:rsidRPr="005B7D15" w:rsidRDefault="00000000" w:rsidP="005B7D15">
      <w:pPr>
        <w:pStyle w:val="Heading1"/>
        <w:spacing w:before="0" w:after="0" w:line="360" w:lineRule="auto"/>
        <w:rPr>
          <w:rFonts w:ascii="Arial" w:hAnsi="Arial" w:cs="Arial"/>
        </w:rPr>
      </w:pPr>
      <w:r w:rsidRPr="005B7D15">
        <w:rPr>
          <w:rFonts w:ascii="Arial" w:hAnsi="Arial" w:cs="Arial"/>
        </w:rPr>
        <w:t>Executive Summary</w:t>
      </w:r>
    </w:p>
    <w:p w14:paraId="48E9F27F" w14:textId="77777777" w:rsidR="00E85304" w:rsidRPr="005B7D15" w:rsidRDefault="00000000" w:rsidP="005B7D15">
      <w:pPr>
        <w:spacing w:line="360" w:lineRule="auto"/>
        <w:jc w:val="both"/>
        <w:rPr>
          <w:rFonts w:ascii="Arial" w:hAnsi="Arial" w:cs="Arial"/>
        </w:rPr>
      </w:pPr>
      <w:r w:rsidRPr="005B7D15">
        <w:rPr>
          <w:rFonts w:ascii="Arial" w:hAnsi="Arial" w:cs="Arial"/>
        </w:rPr>
        <w:t>This report provides a critical strategic analysis of Shell plc, a London-headquartered global energy supermajor that generated adjusted earnings of around US$23.7 billion in 2024 and cash flow from operating activities of US$54.7 billion (Shell, 2025). The analysis is structured around the frameworks specified in the module: PESTEL, VRIO, Porter's Five Forces, the Balanced Scorecard, Porter's generic strategies, Ansoff's Matrix, the BCG Matrix and SWOT. The central strategic question facing Shell is how to balance its traditional hydrocarbon-based earning engine with the accelerating global energy transition, while generating the cash flows expected by investors.</w:t>
      </w:r>
    </w:p>
    <w:p w14:paraId="5208BC51" w14:textId="77777777" w:rsidR="00E85304" w:rsidRPr="005B7D15" w:rsidRDefault="00000000" w:rsidP="005B7D15">
      <w:pPr>
        <w:spacing w:line="360" w:lineRule="auto"/>
        <w:jc w:val="both"/>
        <w:rPr>
          <w:rFonts w:ascii="Arial" w:hAnsi="Arial" w:cs="Arial"/>
        </w:rPr>
      </w:pPr>
      <w:r w:rsidRPr="005B7D15">
        <w:rPr>
          <w:rFonts w:ascii="Arial" w:hAnsi="Arial" w:cs="Arial"/>
        </w:rPr>
        <w:t>The findings show that Shell possesses several rare and costly-to-imitate capabilities — most notably its global LNG portfolio, integrated value chain, and proprietary trading platform — that underpin a sustained competitive advantage. However, its substantial fossil-fuel exposure creates reputational, regulatory and transition risks that its European peers BP and TotalEnergies manage differently, and that its US rivals ExxonMobil and Chevron are largely choosing not to manage at all. Under CEO Wael Sawan, Shell has re-prioritised capital discipline, targeting $5–7bn of structural cost reductions by 2028 and capping low-carbon capital at below 10% of total (Shell, 2025; Zacks/Yahoo Finance, 2025). The Balanced Scorecard and SWOT analyses confirm that this is a pragmatic, value-led transition strategy — but one that depends on credibility with increasingly sceptical investors and stakeholders. Recommendations focus on sharpening LNG leadership, accelerating hydrogen and carbon capture, tightening ESG disclosures, and building digital capabilities as a cross-cutting advantage.</w:t>
      </w:r>
    </w:p>
    <w:p w14:paraId="0458E141" w14:textId="60C63F3F" w:rsidR="00EA0205" w:rsidRPr="005B7D15" w:rsidRDefault="00000000" w:rsidP="005B7D15">
      <w:pPr>
        <w:spacing w:line="360" w:lineRule="auto"/>
        <w:rPr>
          <w:rFonts w:ascii="Arial" w:hAnsi="Arial" w:cs="Arial"/>
        </w:rPr>
      </w:pPr>
      <w:r w:rsidRPr="005B7D15">
        <w:rPr>
          <w:rFonts w:ascii="Arial" w:hAnsi="Arial" w:cs="Arial"/>
        </w:rPr>
        <w:br w:type="page"/>
      </w:r>
    </w:p>
    <w:p w14:paraId="1C9B70E6" w14:textId="26D58A7B" w:rsidR="00EA0205" w:rsidRPr="005B7D15" w:rsidRDefault="00EA0205" w:rsidP="005B7D15">
      <w:pPr>
        <w:pStyle w:val="Heading1"/>
        <w:spacing w:before="0" w:after="0" w:line="360" w:lineRule="auto"/>
        <w:jc w:val="both"/>
        <w:rPr>
          <w:rFonts w:ascii="Arial" w:hAnsi="Arial" w:cs="Arial"/>
        </w:rPr>
      </w:pPr>
      <w:r w:rsidRPr="005B7D15">
        <w:rPr>
          <w:rFonts w:ascii="Arial" w:hAnsi="Arial" w:cs="Arial"/>
        </w:rPr>
        <w:lastRenderedPageBreak/>
        <w:t xml:space="preserve">Introduction </w:t>
      </w:r>
    </w:p>
    <w:p w14:paraId="3928F58D" w14:textId="77777777" w:rsidR="00EA0205" w:rsidRPr="005B7D15" w:rsidRDefault="00EA0205" w:rsidP="005B7D15">
      <w:pPr>
        <w:spacing w:line="360" w:lineRule="auto"/>
        <w:jc w:val="both"/>
        <w:rPr>
          <w:rFonts w:ascii="Arial" w:hAnsi="Arial" w:cs="Arial"/>
        </w:rPr>
      </w:pPr>
      <w:r w:rsidRPr="005B7D15">
        <w:rPr>
          <w:rFonts w:ascii="Arial" w:hAnsi="Arial" w:cs="Arial"/>
        </w:rPr>
        <w:t>Shell plc is one of the world’s leading integrated energy companies, operating across the full hydrocarbon value chain while gradually expanding into low-carbon energy solutions. This report provides a comprehensive strategic analysis of Shell’s organisational context, competitive positioning, and long-term direction within an energy sector undergoing profound structural transformation. The global energy landscape is increasingly shaped by the dual pressures of sustaining hydrocarbon demand and accelerating decarbonisation in response to climate change, regulatory tightening, and evolving societal expectations. Within this environment, Shell occupies a distinctive position as a “European Transitioner,” attempting to balance shareholder returns with investment in cleaner energy alternatives.</w:t>
      </w:r>
    </w:p>
    <w:p w14:paraId="7360ED99" w14:textId="77777777" w:rsidR="00EA0205" w:rsidRPr="005B7D15" w:rsidRDefault="00EA0205" w:rsidP="005B7D15">
      <w:pPr>
        <w:spacing w:line="360" w:lineRule="auto"/>
        <w:jc w:val="both"/>
        <w:rPr>
          <w:rFonts w:ascii="Arial" w:hAnsi="Arial" w:cs="Arial"/>
        </w:rPr>
      </w:pPr>
    </w:p>
    <w:p w14:paraId="6887FC71"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The purpose of this report is to critically evaluate Shell’s internal capabilities and external environment using established strategic frameworks, including PESTEL, Porter’s Five Forces, and VRIO analysis. These tools are applied to assess how macroeconomic volatility, geopolitical risks, technological advancements, and environmental regulations influence Shell’s strategic decision-making. In addition, the report examines Shell’s corporate social responsibility (CSR) commitments and sustainability objectives, particularly its ambition to achieve net-zero emissions by </w:t>
      </w:r>
      <w:proofErr w:type="gramStart"/>
      <w:r w:rsidRPr="005B7D15">
        <w:rPr>
          <w:rFonts w:ascii="Arial" w:hAnsi="Arial" w:cs="Arial"/>
        </w:rPr>
        <w:t>2050, and</w:t>
      </w:r>
      <w:proofErr w:type="gramEnd"/>
      <w:r w:rsidRPr="005B7D15">
        <w:rPr>
          <w:rFonts w:ascii="Arial" w:hAnsi="Arial" w:cs="Arial"/>
        </w:rPr>
        <w:t xml:space="preserve"> evaluates how effectively these align with its commercial priorities.</w:t>
      </w:r>
    </w:p>
    <w:p w14:paraId="43EC709D" w14:textId="77777777" w:rsidR="00EA0205" w:rsidRPr="005B7D15" w:rsidRDefault="00EA0205" w:rsidP="005B7D15">
      <w:pPr>
        <w:spacing w:line="360" w:lineRule="auto"/>
        <w:jc w:val="both"/>
        <w:rPr>
          <w:rFonts w:ascii="Arial" w:hAnsi="Arial" w:cs="Arial"/>
        </w:rPr>
      </w:pPr>
    </w:p>
    <w:p w14:paraId="60A910A6" w14:textId="77777777" w:rsidR="00EA0205" w:rsidRPr="005B7D15" w:rsidRDefault="00EA0205" w:rsidP="005B7D15">
      <w:pPr>
        <w:spacing w:line="360" w:lineRule="auto"/>
        <w:jc w:val="both"/>
        <w:rPr>
          <w:rFonts w:ascii="Arial" w:hAnsi="Arial" w:cs="Arial"/>
        </w:rPr>
      </w:pPr>
      <w:r w:rsidRPr="005B7D15">
        <w:rPr>
          <w:rFonts w:ascii="Arial" w:hAnsi="Arial" w:cs="Arial"/>
        </w:rPr>
        <w:t>Furthermore, the analysis incorporates the Balanced Scorecard approach to translate Shell’s strategic objectives into measurable performance indicators across financial, customer, internal process, and learning dimensions. Corporate and business-level strategies are explored through models such as Porter’s Generic Strategies and Ansoff’s Matrix, highlighting Shell’s hybrid approach to maintaining profitability while pursuing selective energy transition opportunities.</w:t>
      </w:r>
    </w:p>
    <w:p w14:paraId="50F0936F" w14:textId="77777777" w:rsidR="00EA0205" w:rsidRPr="005B7D15" w:rsidRDefault="00EA0205" w:rsidP="005B7D15">
      <w:pPr>
        <w:spacing w:line="360" w:lineRule="auto"/>
        <w:jc w:val="both"/>
        <w:rPr>
          <w:rFonts w:ascii="Arial" w:hAnsi="Arial" w:cs="Arial"/>
        </w:rPr>
      </w:pPr>
    </w:p>
    <w:p w14:paraId="475DD304" w14:textId="7777777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t>1.1 Organisational Context and Overview</w:t>
      </w:r>
    </w:p>
    <w:p w14:paraId="75750D1A" w14:textId="77777777" w:rsidR="00E85304" w:rsidRPr="005B7D15" w:rsidRDefault="00000000" w:rsidP="005B7D15">
      <w:pPr>
        <w:spacing w:line="360" w:lineRule="auto"/>
        <w:jc w:val="both"/>
        <w:rPr>
          <w:rFonts w:ascii="Arial" w:hAnsi="Arial" w:cs="Arial"/>
        </w:rPr>
      </w:pPr>
      <w:r w:rsidRPr="005B7D15">
        <w:rPr>
          <w:rFonts w:ascii="Arial" w:hAnsi="Arial" w:cs="Arial"/>
        </w:rPr>
        <w:t>Shell plc (LSE: SHEL; NYSE: SHEL) is one of the world's largest integrated energy companies, with operations in more than 70 countries and a market capitalisation of approximately US$210.6 billion as of November 2025 (</w:t>
      </w:r>
      <w:proofErr w:type="spellStart"/>
      <w:r w:rsidRPr="005B7D15">
        <w:rPr>
          <w:rFonts w:ascii="Arial" w:hAnsi="Arial" w:cs="Arial"/>
        </w:rPr>
        <w:t>DCFmodeling</w:t>
      </w:r>
      <w:proofErr w:type="spellEnd"/>
      <w:r w:rsidRPr="005B7D15">
        <w:rPr>
          <w:rFonts w:ascii="Arial" w:hAnsi="Arial" w:cs="Arial"/>
        </w:rPr>
        <w:t xml:space="preserve">, 2025). The company was formed in 1907 through the merger of the Royal Dutch Petroleum </w:t>
      </w:r>
      <w:r w:rsidRPr="005B7D15">
        <w:rPr>
          <w:rFonts w:ascii="Arial" w:hAnsi="Arial" w:cs="Arial"/>
        </w:rPr>
        <w:lastRenderedPageBreak/>
        <w:t>Company and the "Shell" Transport and Trading Company. In January 2022 it simplified its dual Anglo-Dutch structure, consolidated its share listing, relocated its headquarters from The Hague to London and changed its legal name from Royal Dutch Shell plc to Shell plc (</w:t>
      </w:r>
      <w:proofErr w:type="spellStart"/>
      <w:r w:rsidRPr="005B7D15">
        <w:rPr>
          <w:rFonts w:ascii="Arial" w:hAnsi="Arial" w:cs="Arial"/>
        </w:rPr>
        <w:t>Yelza</w:t>
      </w:r>
      <w:proofErr w:type="spellEnd"/>
      <w:r w:rsidRPr="005B7D15">
        <w:rPr>
          <w:rFonts w:ascii="Arial" w:hAnsi="Arial" w:cs="Arial"/>
        </w:rPr>
        <w:t>, 2025).</w:t>
      </w:r>
    </w:p>
    <w:p w14:paraId="268497AE" w14:textId="77777777" w:rsidR="00E85304" w:rsidRPr="005B7D15" w:rsidRDefault="00000000" w:rsidP="005B7D15">
      <w:pPr>
        <w:spacing w:line="360" w:lineRule="auto"/>
        <w:jc w:val="both"/>
        <w:rPr>
          <w:rFonts w:ascii="Arial" w:hAnsi="Arial" w:cs="Arial"/>
        </w:rPr>
      </w:pPr>
      <w:r w:rsidRPr="005B7D15">
        <w:rPr>
          <w:rFonts w:ascii="Arial" w:hAnsi="Arial" w:cs="Arial"/>
        </w:rPr>
        <w:t>Shell's purpose — articulated in its 2024 Energy Transition Strategy — is to "power progress together by providing more and cleaner energy solutions" (Shell, 2024). Its stated vision is to be the most valued company among energy investors while reaching net-zero emissions across operations and energy products sold by 2050. Core values are honesty, integrity and respect for people. The business operates across five principal segments: Integrated Gas (including LNG), Upstream (oil and gas exploration and production), Marketing (including retail mobility and lubricants), Chemicals and Products, and Renewables and Energy Solutions.</w:t>
      </w:r>
    </w:p>
    <w:p w14:paraId="47BBC427"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The global energy industry remains dominated by five "supermajors": ExxonMobil (market cap c.US$475bn in Q4 2025), Chevron, Shell, TotalEnergies and BP, alongside state-owned giants Saudi Aramco, PetroChina and Petrobras. The competitive field has increasingly bifurcated into two strategic camps — what Financial Content (2026) labels the "American </w:t>
      </w:r>
      <w:proofErr w:type="spellStart"/>
      <w:r w:rsidRPr="005B7D15">
        <w:rPr>
          <w:rFonts w:ascii="Arial" w:hAnsi="Arial" w:cs="Arial"/>
        </w:rPr>
        <w:t>Aggressives</w:t>
      </w:r>
      <w:proofErr w:type="spellEnd"/>
      <w:r w:rsidRPr="005B7D15">
        <w:rPr>
          <w:rFonts w:ascii="Arial" w:hAnsi="Arial" w:cs="Arial"/>
        </w:rPr>
        <w:t>" (ExxonMobil and Chevron, doubling down on oil and gas and commanding price-to-earnings ratios of 15x–20x), and the "European Transitioners" (Shell, BP and TotalEnergies, investing moderately in low-carbon energy and trading at lower multiples of 11x–14x). Shell's 2024–2025 strategic pivot under CEO Wael Sawan explicitly aims to close this "valuation gap" by prioritising shareholder returns and disciplined capital allocation over rapid renewable expansion (Pestel-analysis, 2025; Shell, 2025).</w:t>
      </w:r>
    </w:p>
    <w:p w14:paraId="0960F320" w14:textId="77777777" w:rsidR="00E85304" w:rsidRPr="005B7D15" w:rsidRDefault="00000000" w:rsidP="005B7D15">
      <w:pPr>
        <w:spacing w:line="360" w:lineRule="auto"/>
        <w:jc w:val="both"/>
        <w:rPr>
          <w:rFonts w:ascii="Arial" w:hAnsi="Arial" w:cs="Arial"/>
        </w:rPr>
      </w:pPr>
      <w:r w:rsidRPr="005B7D15">
        <w:rPr>
          <w:rFonts w:ascii="Arial" w:hAnsi="Arial" w:cs="Arial"/>
        </w:rPr>
        <w:t>Shell's market position rests on three structural pillars: first, global leadership in liquefied natural gas, where it targets 4–5% annual sales growth through 2030; second, a globally integrated upstream-to-downstream trading platform that captures margin along the whole value chain; and third, an extensive retail mobility network of more than 47,000 service stations under the Shell, V-Power and Recharge brands. This positioning gives the company a distinctive blend of resilience and optionality in an industry undergoing structural reinvention (Shell, 2024).</w:t>
      </w:r>
    </w:p>
    <w:p w14:paraId="675BB5C4" w14:textId="7777777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t>1.2 External and Internal Environment Analysis</w:t>
      </w:r>
    </w:p>
    <w:p w14:paraId="4459014F"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1.2.1 PESTEL Analysis</w:t>
      </w:r>
    </w:p>
    <w:p w14:paraId="25941D20" w14:textId="77777777" w:rsidR="00E85304" w:rsidRPr="005B7D15" w:rsidRDefault="00000000" w:rsidP="005B7D15">
      <w:pPr>
        <w:spacing w:line="360" w:lineRule="auto"/>
        <w:jc w:val="both"/>
        <w:rPr>
          <w:rFonts w:ascii="Arial" w:hAnsi="Arial" w:cs="Arial"/>
        </w:rPr>
      </w:pPr>
      <w:r w:rsidRPr="005B7D15">
        <w:rPr>
          <w:rFonts w:ascii="Arial" w:hAnsi="Arial" w:cs="Arial"/>
        </w:rPr>
        <w:lastRenderedPageBreak/>
        <w:t>Applying Johnson, Whittington and Scholes' (2020) PESTEL framework reveals the macroenvironmental forces shaping Shell's strategic decisions.</w:t>
      </w:r>
    </w:p>
    <w:p w14:paraId="3E2E1DE8" w14:textId="77777777" w:rsidR="00E85304" w:rsidRPr="005B7D15" w:rsidRDefault="00000000" w:rsidP="005B7D15">
      <w:pPr>
        <w:spacing w:line="360" w:lineRule="auto"/>
        <w:jc w:val="both"/>
        <w:rPr>
          <w:rFonts w:ascii="Arial" w:hAnsi="Arial" w:cs="Arial"/>
        </w:rPr>
      </w:pPr>
      <w:r w:rsidRPr="005B7D15">
        <w:rPr>
          <w:rFonts w:ascii="Arial" w:hAnsi="Arial" w:cs="Arial"/>
          <w:b/>
          <w:bCs/>
        </w:rPr>
        <w:t>Table 1: PESTEL Analysis — Shell plc (2026)</w:t>
      </w:r>
    </w:p>
    <w:tbl>
      <w:tblPr>
        <w:tblStyle w:val="TableGrid"/>
        <w:tblW w:w="9360" w:type="dxa"/>
        <w:tblLook w:val="0000" w:firstRow="0" w:lastRow="0" w:firstColumn="0" w:lastColumn="0" w:noHBand="0" w:noVBand="0"/>
      </w:tblPr>
      <w:tblGrid>
        <w:gridCol w:w="1745"/>
        <w:gridCol w:w="7615"/>
      </w:tblGrid>
      <w:tr w:rsidR="00104E25" w:rsidRPr="005B7D15" w14:paraId="2894DF1D" w14:textId="77777777" w:rsidTr="00104E25">
        <w:tc>
          <w:tcPr>
            <w:tcW w:w="1560" w:type="dxa"/>
          </w:tcPr>
          <w:p w14:paraId="0A3E197D"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Factor</w:t>
            </w:r>
          </w:p>
        </w:tc>
        <w:tc>
          <w:tcPr>
            <w:tcW w:w="7800" w:type="dxa"/>
          </w:tcPr>
          <w:p w14:paraId="0B647979"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Strategic implications for Shell plc</w:t>
            </w:r>
          </w:p>
        </w:tc>
      </w:tr>
      <w:tr w:rsidR="00104E25" w:rsidRPr="005B7D15" w14:paraId="7AFF5FCE" w14:textId="77777777" w:rsidTr="00104E25">
        <w:tc>
          <w:tcPr>
            <w:tcW w:w="1560" w:type="dxa"/>
          </w:tcPr>
          <w:p w14:paraId="7240324D"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Political</w:t>
            </w:r>
          </w:p>
        </w:tc>
        <w:tc>
          <w:tcPr>
            <w:tcW w:w="7800" w:type="dxa"/>
          </w:tcPr>
          <w:p w14:paraId="23D69ADA"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 xml:space="preserve">Geopolitical instability — Russia-Ukraine war, </w:t>
            </w:r>
            <w:proofErr w:type="gramStart"/>
            <w:r w:rsidRPr="005B7D15">
              <w:rPr>
                <w:rFonts w:ascii="Arial" w:hAnsi="Arial" w:cs="Arial"/>
                <w:sz w:val="22"/>
                <w:szCs w:val="22"/>
              </w:rPr>
              <w:t>Middle-East</w:t>
            </w:r>
            <w:proofErr w:type="gramEnd"/>
            <w:r w:rsidRPr="005B7D15">
              <w:rPr>
                <w:rFonts w:ascii="Arial" w:hAnsi="Arial" w:cs="Arial"/>
                <w:sz w:val="22"/>
                <w:szCs w:val="22"/>
              </w:rPr>
              <w:t xml:space="preserve"> tensions, US tariff escalations — has disrupted global energy flows since 2022. Shell's 2022 withdrawal from Russia cost it approximately US$5 billion in impairments. Resource-nationalism and political hostility in the Niger Delta remain long-standing risks (</w:t>
            </w:r>
            <w:proofErr w:type="spellStart"/>
            <w:r w:rsidRPr="005B7D15">
              <w:rPr>
                <w:rFonts w:ascii="Arial" w:hAnsi="Arial" w:cs="Arial"/>
                <w:sz w:val="22"/>
                <w:szCs w:val="22"/>
              </w:rPr>
              <w:t>Swotandpestle</w:t>
            </w:r>
            <w:proofErr w:type="spellEnd"/>
            <w:r w:rsidRPr="005B7D15">
              <w:rPr>
                <w:rFonts w:ascii="Arial" w:hAnsi="Arial" w:cs="Arial"/>
                <w:sz w:val="22"/>
                <w:szCs w:val="22"/>
              </w:rPr>
              <w:t>, 2025).</w:t>
            </w:r>
          </w:p>
        </w:tc>
      </w:tr>
      <w:tr w:rsidR="00104E25" w:rsidRPr="005B7D15" w14:paraId="5C2B77EB" w14:textId="77777777" w:rsidTr="00104E25">
        <w:tc>
          <w:tcPr>
            <w:tcW w:w="1560" w:type="dxa"/>
          </w:tcPr>
          <w:p w14:paraId="320B4E09"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Economic</w:t>
            </w:r>
          </w:p>
        </w:tc>
        <w:tc>
          <w:tcPr>
            <w:tcW w:w="7800" w:type="dxa"/>
          </w:tcPr>
          <w:p w14:paraId="76BD6DD5"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Brent crude volatility (US$70–90 range through 2024–25), rising interest rates, slowing Chinese industrial demand, and global recessionary fears create uncertain commodity revenue. Shell's free cash flow yield of ~8.5% is one of the highest in the global energy sector (</w:t>
            </w:r>
            <w:proofErr w:type="spellStart"/>
            <w:r w:rsidRPr="005B7D15">
              <w:rPr>
                <w:rFonts w:ascii="Arial" w:hAnsi="Arial" w:cs="Arial"/>
                <w:sz w:val="22"/>
                <w:szCs w:val="22"/>
              </w:rPr>
              <w:t>FinancialContent</w:t>
            </w:r>
            <w:proofErr w:type="spellEnd"/>
            <w:r w:rsidRPr="005B7D15">
              <w:rPr>
                <w:rFonts w:ascii="Arial" w:hAnsi="Arial" w:cs="Arial"/>
                <w:sz w:val="22"/>
                <w:szCs w:val="22"/>
              </w:rPr>
              <w:t>, 2026).</w:t>
            </w:r>
          </w:p>
        </w:tc>
      </w:tr>
      <w:tr w:rsidR="00104E25" w:rsidRPr="005B7D15" w14:paraId="14961C07" w14:textId="77777777" w:rsidTr="00104E25">
        <w:tc>
          <w:tcPr>
            <w:tcW w:w="1560" w:type="dxa"/>
          </w:tcPr>
          <w:p w14:paraId="0AA44FCF"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Social</w:t>
            </w:r>
          </w:p>
        </w:tc>
        <w:tc>
          <w:tcPr>
            <w:tcW w:w="7800" w:type="dxa"/>
          </w:tcPr>
          <w:p w14:paraId="5C967F14"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Societal scrutiny of Big Oil has intensified. A 2021 court ruling in the Netherlands (upheld/modified on appeal in 2024) required Shell to accelerate emissions cuts. Divestment movements by pension funds and universities have grown. Rising social acceptance of EVs affects the retail fuel network.</w:t>
            </w:r>
          </w:p>
        </w:tc>
      </w:tr>
      <w:tr w:rsidR="00104E25" w:rsidRPr="005B7D15" w14:paraId="754EB681" w14:textId="77777777" w:rsidTr="00104E25">
        <w:tc>
          <w:tcPr>
            <w:tcW w:w="1560" w:type="dxa"/>
          </w:tcPr>
          <w:p w14:paraId="5DBDF263"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Technological</w:t>
            </w:r>
          </w:p>
        </w:tc>
        <w:tc>
          <w:tcPr>
            <w:tcW w:w="7800" w:type="dxa"/>
          </w:tcPr>
          <w:p w14:paraId="5B08A27F"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Shell invests heavily in AI, digital twins, and subsurface modelling. Its Holland Hydrogen I project (Rotterdam) became one of Europe's largest operational electrolysers in 2025, and its participation in Norway's Northern Lights CCS project positions it in emerging "carbon removal as a service" markets (</w:t>
            </w:r>
            <w:proofErr w:type="spellStart"/>
            <w:r w:rsidRPr="005B7D15">
              <w:rPr>
                <w:rFonts w:ascii="Arial" w:hAnsi="Arial" w:cs="Arial"/>
                <w:sz w:val="22"/>
                <w:szCs w:val="22"/>
              </w:rPr>
              <w:t>FinancialContent</w:t>
            </w:r>
            <w:proofErr w:type="spellEnd"/>
            <w:r w:rsidRPr="005B7D15">
              <w:rPr>
                <w:rFonts w:ascii="Arial" w:hAnsi="Arial" w:cs="Arial"/>
                <w:sz w:val="22"/>
                <w:szCs w:val="22"/>
              </w:rPr>
              <w:t>, 2026).</w:t>
            </w:r>
          </w:p>
        </w:tc>
      </w:tr>
      <w:tr w:rsidR="00104E25" w:rsidRPr="005B7D15" w14:paraId="59E0388D" w14:textId="77777777" w:rsidTr="00104E25">
        <w:tc>
          <w:tcPr>
            <w:tcW w:w="1560" w:type="dxa"/>
          </w:tcPr>
          <w:p w14:paraId="67BC60EE"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Environmental</w:t>
            </w:r>
          </w:p>
        </w:tc>
        <w:tc>
          <w:tcPr>
            <w:tcW w:w="7800" w:type="dxa"/>
          </w:tcPr>
          <w:p w14:paraId="40DF8438"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Net-zero commitments dominate. Shell's Energy Transition Strategy 2024 commits US$10–15bn to low-carbon projects between 2023 and 2025. However, the cap of &lt;10% of capital employed for low-carbon businesses has attracted criticism from NGOs and some institutional investors (Zacks/Yahoo Finance, 2025).</w:t>
            </w:r>
          </w:p>
        </w:tc>
      </w:tr>
      <w:tr w:rsidR="00104E25" w:rsidRPr="005B7D15" w14:paraId="67D68FC0" w14:textId="77777777" w:rsidTr="00104E25">
        <w:tc>
          <w:tcPr>
            <w:tcW w:w="1560" w:type="dxa"/>
          </w:tcPr>
          <w:p w14:paraId="09E65BC2"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Legal</w:t>
            </w:r>
          </w:p>
        </w:tc>
        <w:tc>
          <w:tcPr>
            <w:tcW w:w="7800" w:type="dxa"/>
          </w:tcPr>
          <w:p w14:paraId="655ACF7B"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 xml:space="preserve">The EU Corporate Sustainability Reporting Directive (CSRD) came into effect in 2024 imposing new disclosure obligations. US SEC climate-risk rules, the UK Transition Plan Taskforce framework, and ongoing climate litigation (including the landmark </w:t>
            </w:r>
            <w:proofErr w:type="spellStart"/>
            <w:r w:rsidRPr="005B7D15">
              <w:rPr>
                <w:rFonts w:ascii="Arial" w:hAnsi="Arial" w:cs="Arial"/>
                <w:sz w:val="22"/>
                <w:szCs w:val="22"/>
              </w:rPr>
              <w:t>Milieudefensie</w:t>
            </w:r>
            <w:proofErr w:type="spellEnd"/>
            <w:r w:rsidRPr="005B7D15">
              <w:rPr>
                <w:rFonts w:ascii="Arial" w:hAnsi="Arial" w:cs="Arial"/>
                <w:sz w:val="22"/>
                <w:szCs w:val="22"/>
              </w:rPr>
              <w:t xml:space="preserve"> v Shell case) impose substantial compliance and reputational risks.</w:t>
            </w:r>
          </w:p>
        </w:tc>
      </w:tr>
    </w:tbl>
    <w:p w14:paraId="2D55B26F" w14:textId="77777777" w:rsidR="00E85304" w:rsidRPr="005B7D15" w:rsidRDefault="00E85304" w:rsidP="005B7D15">
      <w:pPr>
        <w:spacing w:line="360" w:lineRule="auto"/>
        <w:jc w:val="both"/>
        <w:rPr>
          <w:rFonts w:ascii="Arial" w:hAnsi="Arial" w:cs="Arial"/>
        </w:rPr>
      </w:pPr>
    </w:p>
    <w:p w14:paraId="4BAB2590"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The critical strategic implication is that Shell operates in a dual-speed environment: its cash-generating traditional business remains structurally supported by continuing hydrocarbon demand (especially LNG), while its regulatory, social and legal </w:t>
      </w:r>
      <w:r w:rsidRPr="005B7D15">
        <w:rPr>
          <w:rFonts w:ascii="Arial" w:hAnsi="Arial" w:cs="Arial"/>
        </w:rPr>
        <w:lastRenderedPageBreak/>
        <w:t>environment is tilting rapidly towards decarbonisation. Critical success factors for the next five years are therefore (</w:t>
      </w:r>
      <w:proofErr w:type="spellStart"/>
      <w:r w:rsidRPr="005B7D15">
        <w:rPr>
          <w:rFonts w:ascii="Arial" w:hAnsi="Arial" w:cs="Arial"/>
        </w:rPr>
        <w:t>i</w:t>
      </w:r>
      <w:proofErr w:type="spellEnd"/>
      <w:r w:rsidRPr="005B7D15">
        <w:rPr>
          <w:rFonts w:ascii="Arial" w:hAnsi="Arial" w:cs="Arial"/>
        </w:rPr>
        <w:t>) preserving LNG leadership, (ii) credibly delivering on phased emissions targets, and (iii) maintaining social licence-to-operate.</w:t>
      </w:r>
    </w:p>
    <w:p w14:paraId="7FCCEBF6"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1.2.2 Porter's Five Forces Analysis</w:t>
      </w:r>
    </w:p>
    <w:p w14:paraId="738536B9" w14:textId="77777777" w:rsidR="00E85304" w:rsidRPr="005B7D15" w:rsidRDefault="00000000" w:rsidP="005B7D15">
      <w:pPr>
        <w:spacing w:line="360" w:lineRule="auto"/>
        <w:jc w:val="both"/>
        <w:rPr>
          <w:rFonts w:ascii="Arial" w:hAnsi="Arial" w:cs="Arial"/>
        </w:rPr>
      </w:pPr>
      <w:r w:rsidRPr="005B7D15">
        <w:rPr>
          <w:rFonts w:ascii="Arial" w:hAnsi="Arial" w:cs="Arial"/>
        </w:rPr>
        <w:t>Porter's (1979) Five Forces framework illustrates the structural economics of the integrated-energy industry and Shell's position within it.</w:t>
      </w:r>
    </w:p>
    <w:p w14:paraId="589148DF" w14:textId="77777777" w:rsidR="00E85304" w:rsidRPr="005B7D15" w:rsidRDefault="00000000" w:rsidP="005B7D15">
      <w:pPr>
        <w:spacing w:line="360" w:lineRule="auto"/>
        <w:jc w:val="both"/>
        <w:rPr>
          <w:rFonts w:ascii="Arial" w:hAnsi="Arial" w:cs="Arial"/>
        </w:rPr>
      </w:pPr>
      <w:r w:rsidRPr="005B7D15">
        <w:rPr>
          <w:rFonts w:ascii="Arial" w:hAnsi="Arial" w:cs="Arial"/>
          <w:b/>
          <w:bCs/>
        </w:rPr>
        <w:t>Table 2: Porter's Five Forces — Shell plc</w:t>
      </w:r>
    </w:p>
    <w:tbl>
      <w:tblPr>
        <w:tblStyle w:val="TableGrid"/>
        <w:tblW w:w="9360" w:type="dxa"/>
        <w:tblLook w:val="0000" w:firstRow="0" w:lastRow="0" w:firstColumn="0" w:lastColumn="0" w:noHBand="0" w:noVBand="0"/>
      </w:tblPr>
      <w:tblGrid>
        <w:gridCol w:w="2383"/>
        <w:gridCol w:w="1488"/>
        <w:gridCol w:w="5489"/>
      </w:tblGrid>
      <w:tr w:rsidR="00104E25" w:rsidRPr="005B7D15" w14:paraId="60310509" w14:textId="77777777" w:rsidTr="00104E25">
        <w:tc>
          <w:tcPr>
            <w:tcW w:w="2400" w:type="dxa"/>
          </w:tcPr>
          <w:p w14:paraId="58A581FB"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Force</w:t>
            </w:r>
          </w:p>
        </w:tc>
        <w:tc>
          <w:tcPr>
            <w:tcW w:w="1400" w:type="dxa"/>
          </w:tcPr>
          <w:p w14:paraId="60785465"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Intensity</w:t>
            </w:r>
          </w:p>
        </w:tc>
        <w:tc>
          <w:tcPr>
            <w:tcW w:w="5560" w:type="dxa"/>
          </w:tcPr>
          <w:p w14:paraId="034A9B35"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Rationale</w:t>
            </w:r>
          </w:p>
        </w:tc>
      </w:tr>
      <w:tr w:rsidR="00104E25" w:rsidRPr="005B7D15" w14:paraId="70CEDA09" w14:textId="77777777" w:rsidTr="00104E25">
        <w:tc>
          <w:tcPr>
            <w:tcW w:w="2400" w:type="dxa"/>
          </w:tcPr>
          <w:p w14:paraId="539B20BC"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Competitive Rivalry</w:t>
            </w:r>
          </w:p>
        </w:tc>
        <w:tc>
          <w:tcPr>
            <w:tcW w:w="1400" w:type="dxa"/>
          </w:tcPr>
          <w:p w14:paraId="01439D73"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High</w:t>
            </w:r>
          </w:p>
        </w:tc>
        <w:tc>
          <w:tcPr>
            <w:tcW w:w="5560" w:type="dxa"/>
          </w:tcPr>
          <w:p w14:paraId="19FBED64"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Five supermajors plus state-owned Aramco, PetroChina, Petrobras compete globally; TotalEnergies is a fierce LNG rival; BP's strategic retreat has not reduced rivalry in European retail.</w:t>
            </w:r>
          </w:p>
        </w:tc>
      </w:tr>
      <w:tr w:rsidR="00104E25" w:rsidRPr="005B7D15" w14:paraId="2297EBF8" w14:textId="77777777" w:rsidTr="00104E25">
        <w:tc>
          <w:tcPr>
            <w:tcW w:w="2400" w:type="dxa"/>
          </w:tcPr>
          <w:p w14:paraId="4A8F8644"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Threat of New Entrants</w:t>
            </w:r>
          </w:p>
        </w:tc>
        <w:tc>
          <w:tcPr>
            <w:tcW w:w="1400" w:type="dxa"/>
          </w:tcPr>
          <w:p w14:paraId="7F1EABA7"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Low in Oil &amp; Gas, Moderate in Renewables</w:t>
            </w:r>
          </w:p>
        </w:tc>
        <w:tc>
          <w:tcPr>
            <w:tcW w:w="5560" w:type="dxa"/>
          </w:tcPr>
          <w:p w14:paraId="56AC1469"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Capital intensity, reserves access, and regulatory barriers protect incumbents in hydrocarbons. In renewables, tech-native entrants such as Ørsted (offshore wind), Tesla (solar/storage) and dedicated hydrogen startups create credible challenges.</w:t>
            </w:r>
          </w:p>
        </w:tc>
      </w:tr>
      <w:tr w:rsidR="00104E25" w:rsidRPr="005B7D15" w14:paraId="0B4B91FF" w14:textId="77777777" w:rsidTr="00104E25">
        <w:tc>
          <w:tcPr>
            <w:tcW w:w="2400" w:type="dxa"/>
          </w:tcPr>
          <w:p w14:paraId="39444B2E"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Bargaining Power of Suppliers</w:t>
            </w:r>
          </w:p>
        </w:tc>
        <w:tc>
          <w:tcPr>
            <w:tcW w:w="1400" w:type="dxa"/>
          </w:tcPr>
          <w:p w14:paraId="0C05057F"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Moderate-High</w:t>
            </w:r>
          </w:p>
        </w:tc>
        <w:tc>
          <w:tcPr>
            <w:tcW w:w="5560" w:type="dxa"/>
          </w:tcPr>
          <w:p w14:paraId="37B08E30"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OPEC+ cartel coordination, specialised oilfield-services firms (Halliburton, Schlumberger, Baker Hughes), and critical-mineral supply chains for energy transition (lithium, cobalt, rare earths) give suppliers meaningful leverage.</w:t>
            </w:r>
          </w:p>
        </w:tc>
      </w:tr>
      <w:tr w:rsidR="00104E25" w:rsidRPr="005B7D15" w14:paraId="732DCB41" w14:textId="77777777" w:rsidTr="00104E25">
        <w:tc>
          <w:tcPr>
            <w:tcW w:w="2400" w:type="dxa"/>
          </w:tcPr>
          <w:p w14:paraId="6D2C8CD8"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Bargaining Power of Buyers</w:t>
            </w:r>
          </w:p>
        </w:tc>
        <w:tc>
          <w:tcPr>
            <w:tcW w:w="1400" w:type="dxa"/>
          </w:tcPr>
          <w:p w14:paraId="612436EC"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Moderate</w:t>
            </w:r>
          </w:p>
        </w:tc>
        <w:tc>
          <w:tcPr>
            <w:tcW w:w="5560" w:type="dxa"/>
          </w:tcPr>
          <w:p w14:paraId="455BF0B3"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Large industrial buyers (utilities, airlines, manufacturers) negotiate long-term contracts; retail consumers have low individual power but high aggregate sensitivity to pump prices.</w:t>
            </w:r>
          </w:p>
        </w:tc>
      </w:tr>
      <w:tr w:rsidR="00104E25" w:rsidRPr="005B7D15" w14:paraId="5003A81E" w14:textId="77777777" w:rsidTr="00104E25">
        <w:tc>
          <w:tcPr>
            <w:tcW w:w="2400" w:type="dxa"/>
          </w:tcPr>
          <w:p w14:paraId="3EDB80B6"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Threat of Substitutes</w:t>
            </w:r>
          </w:p>
        </w:tc>
        <w:tc>
          <w:tcPr>
            <w:tcW w:w="1400" w:type="dxa"/>
          </w:tcPr>
          <w:p w14:paraId="05E5A8F4" w14:textId="74EFAB0E"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 xml:space="preserve">High and </w:t>
            </w:r>
            <w:r w:rsidR="00104E25" w:rsidRPr="005B7D15">
              <w:rPr>
                <w:rFonts w:ascii="Arial" w:hAnsi="Arial" w:cs="Arial"/>
                <w:b/>
                <w:bCs/>
                <w:sz w:val="22"/>
                <w:szCs w:val="22"/>
              </w:rPr>
              <w:t>rising</w:t>
            </w:r>
          </w:p>
        </w:tc>
        <w:tc>
          <w:tcPr>
            <w:tcW w:w="5560" w:type="dxa"/>
          </w:tcPr>
          <w:p w14:paraId="568F3C28"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Electrification of transport (BEVs), renewable electricity displacing gas-fired power, green hydrogen, and energy-efficiency measures all accelerate substitution. Shell's retail strategy must therefore pivot to Recharge, convenience retail, and biofuels.</w:t>
            </w:r>
          </w:p>
        </w:tc>
      </w:tr>
    </w:tbl>
    <w:p w14:paraId="37555BB8" w14:textId="77777777" w:rsidR="00E85304" w:rsidRPr="005B7D15" w:rsidRDefault="00E85304" w:rsidP="005B7D15">
      <w:pPr>
        <w:spacing w:line="360" w:lineRule="auto"/>
        <w:jc w:val="both"/>
        <w:rPr>
          <w:rFonts w:ascii="Arial" w:hAnsi="Arial" w:cs="Arial"/>
        </w:rPr>
      </w:pPr>
    </w:p>
    <w:p w14:paraId="60AC6CFF"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The industry remains structurally attractive for well-capitalised incumbents because of high barriers, but substitute threats are rising faster than in any other major industry. </w:t>
      </w:r>
      <w:r w:rsidRPr="005B7D15">
        <w:rPr>
          <w:rFonts w:ascii="Arial" w:hAnsi="Arial" w:cs="Arial"/>
        </w:rPr>
        <w:lastRenderedPageBreak/>
        <w:t>Shell's strategic imperative is therefore to preserve profitability in oil and gas while positioning for a gradual shift in demand composition over 2030–2050.</w:t>
      </w:r>
    </w:p>
    <w:p w14:paraId="51DE5398"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1.2.3 Internal Analysis — VRIO Framework</w:t>
      </w:r>
    </w:p>
    <w:p w14:paraId="5939C9B4" w14:textId="77777777" w:rsidR="00E85304" w:rsidRPr="005B7D15" w:rsidRDefault="00000000" w:rsidP="005B7D15">
      <w:pPr>
        <w:spacing w:line="360" w:lineRule="auto"/>
        <w:jc w:val="both"/>
        <w:rPr>
          <w:rFonts w:ascii="Arial" w:hAnsi="Arial" w:cs="Arial"/>
        </w:rPr>
      </w:pPr>
      <w:r w:rsidRPr="005B7D15">
        <w:rPr>
          <w:rFonts w:ascii="Arial" w:hAnsi="Arial" w:cs="Arial"/>
        </w:rPr>
        <w:t>Barney's (1991) VRIO framework evaluates whether a resource or capability is Valuable, Rare, costly to Imitate, and whether the organisation is configured to exploit it. Table 3 applies VRIO to Shell's principal resources and capabilities.</w:t>
      </w:r>
    </w:p>
    <w:p w14:paraId="18FBF647" w14:textId="77777777" w:rsidR="00E85304" w:rsidRPr="005B7D15" w:rsidRDefault="00000000" w:rsidP="005B7D15">
      <w:pPr>
        <w:spacing w:line="360" w:lineRule="auto"/>
        <w:jc w:val="both"/>
        <w:rPr>
          <w:rFonts w:ascii="Arial" w:hAnsi="Arial" w:cs="Arial"/>
        </w:rPr>
      </w:pPr>
      <w:r w:rsidRPr="005B7D15">
        <w:rPr>
          <w:rFonts w:ascii="Arial" w:hAnsi="Arial" w:cs="Arial"/>
          <w:b/>
          <w:bCs/>
        </w:rPr>
        <w:t>Table 3: VRIO Analysis of Shell plc</w:t>
      </w:r>
    </w:p>
    <w:tbl>
      <w:tblPr>
        <w:tblStyle w:val="TableGrid"/>
        <w:tblW w:w="9360" w:type="dxa"/>
        <w:tblLook w:val="0000" w:firstRow="0" w:lastRow="0" w:firstColumn="0" w:lastColumn="0" w:noHBand="0" w:noVBand="0"/>
      </w:tblPr>
      <w:tblGrid>
        <w:gridCol w:w="2332"/>
        <w:gridCol w:w="788"/>
        <w:gridCol w:w="789"/>
        <w:gridCol w:w="789"/>
        <w:gridCol w:w="799"/>
        <w:gridCol w:w="3863"/>
      </w:tblGrid>
      <w:tr w:rsidR="00104E25" w:rsidRPr="005B7D15" w14:paraId="4260FD69" w14:textId="77777777" w:rsidTr="00104E25">
        <w:tc>
          <w:tcPr>
            <w:tcW w:w="2160" w:type="dxa"/>
          </w:tcPr>
          <w:p w14:paraId="1523CD40"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Resource/Capability</w:t>
            </w:r>
          </w:p>
        </w:tc>
        <w:tc>
          <w:tcPr>
            <w:tcW w:w="800" w:type="dxa"/>
          </w:tcPr>
          <w:p w14:paraId="1985C05B"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V</w:t>
            </w:r>
          </w:p>
        </w:tc>
        <w:tc>
          <w:tcPr>
            <w:tcW w:w="800" w:type="dxa"/>
          </w:tcPr>
          <w:p w14:paraId="3B312E10"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R</w:t>
            </w:r>
          </w:p>
        </w:tc>
        <w:tc>
          <w:tcPr>
            <w:tcW w:w="800" w:type="dxa"/>
          </w:tcPr>
          <w:p w14:paraId="68C0EED5"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I</w:t>
            </w:r>
          </w:p>
        </w:tc>
        <w:tc>
          <w:tcPr>
            <w:tcW w:w="800" w:type="dxa"/>
          </w:tcPr>
          <w:p w14:paraId="4C97451C"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O</w:t>
            </w:r>
          </w:p>
        </w:tc>
        <w:tc>
          <w:tcPr>
            <w:tcW w:w="4000" w:type="dxa"/>
          </w:tcPr>
          <w:p w14:paraId="624313F1"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Competitive implication</w:t>
            </w:r>
          </w:p>
        </w:tc>
      </w:tr>
      <w:tr w:rsidR="00104E25" w:rsidRPr="005B7D15" w14:paraId="49DCEDC6" w14:textId="77777777" w:rsidTr="00104E25">
        <w:tc>
          <w:tcPr>
            <w:tcW w:w="2160" w:type="dxa"/>
          </w:tcPr>
          <w:p w14:paraId="1DE67E76"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Global LNG portfolio</w:t>
            </w:r>
          </w:p>
        </w:tc>
        <w:tc>
          <w:tcPr>
            <w:tcW w:w="800" w:type="dxa"/>
          </w:tcPr>
          <w:p w14:paraId="2E8E3C20"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21A56780"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6180651A"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15B37ADA"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4000" w:type="dxa"/>
          </w:tcPr>
          <w:p w14:paraId="217CBFF5"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Sustained competitive advantage — largest independent LNG trader; Pavilion Energy acquisition (Q1 2025, ~US$2.6bn) reinforces leadership.</w:t>
            </w:r>
          </w:p>
        </w:tc>
      </w:tr>
      <w:tr w:rsidR="00104E25" w:rsidRPr="005B7D15" w14:paraId="38E6F323" w14:textId="77777777" w:rsidTr="00104E25">
        <w:tc>
          <w:tcPr>
            <w:tcW w:w="2160" w:type="dxa"/>
          </w:tcPr>
          <w:p w14:paraId="3B9AA19E"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Proprietary trading platform</w:t>
            </w:r>
          </w:p>
        </w:tc>
        <w:tc>
          <w:tcPr>
            <w:tcW w:w="800" w:type="dxa"/>
          </w:tcPr>
          <w:p w14:paraId="3636F853"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75E15E64"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61EF2527"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2E7128B4"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4000" w:type="dxa"/>
          </w:tcPr>
          <w:p w14:paraId="46334B92"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Sustained competitive advantage — generates consistent cross-cycle margin; rivals cannot easily replicate the integrated flow.</w:t>
            </w:r>
          </w:p>
        </w:tc>
      </w:tr>
      <w:tr w:rsidR="00104E25" w:rsidRPr="005B7D15" w14:paraId="61FC50C8" w14:textId="77777777" w:rsidTr="00104E25">
        <w:tc>
          <w:tcPr>
            <w:tcW w:w="2160" w:type="dxa"/>
          </w:tcPr>
          <w:p w14:paraId="0F0A4A0E"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Brand (Shell, Pecten)</w:t>
            </w:r>
          </w:p>
        </w:tc>
        <w:tc>
          <w:tcPr>
            <w:tcW w:w="800" w:type="dxa"/>
          </w:tcPr>
          <w:p w14:paraId="18C7A16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3D86B2BF"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No</w:t>
            </w:r>
          </w:p>
        </w:tc>
        <w:tc>
          <w:tcPr>
            <w:tcW w:w="800" w:type="dxa"/>
          </w:tcPr>
          <w:p w14:paraId="73841F2D"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2EAD00BA"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4000" w:type="dxa"/>
          </w:tcPr>
          <w:p w14:paraId="3E01B15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Temporary advantage — brand is iconic but not unique; BP, Esso, Total also have globally recognised brands.</w:t>
            </w:r>
          </w:p>
        </w:tc>
      </w:tr>
      <w:tr w:rsidR="00104E25" w:rsidRPr="005B7D15" w14:paraId="46E1054B" w14:textId="77777777" w:rsidTr="00104E25">
        <w:tc>
          <w:tcPr>
            <w:tcW w:w="2160" w:type="dxa"/>
          </w:tcPr>
          <w:p w14:paraId="27B3F920"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Retail network (47k+ sites)</w:t>
            </w:r>
          </w:p>
        </w:tc>
        <w:tc>
          <w:tcPr>
            <w:tcW w:w="800" w:type="dxa"/>
          </w:tcPr>
          <w:p w14:paraId="3E690CC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5F1B109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2C577D5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336F62D2"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Partly</w:t>
            </w:r>
          </w:p>
        </w:tc>
        <w:tc>
          <w:tcPr>
            <w:tcW w:w="4000" w:type="dxa"/>
          </w:tcPr>
          <w:p w14:paraId="532ED653"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Unrealised advantage — network is rare and costly to build; repositioning as EV-charging and convenience hub still in progress.</w:t>
            </w:r>
          </w:p>
        </w:tc>
      </w:tr>
      <w:tr w:rsidR="00104E25" w:rsidRPr="005B7D15" w14:paraId="3AA8E616" w14:textId="77777777" w:rsidTr="00104E25">
        <w:tc>
          <w:tcPr>
            <w:tcW w:w="2160" w:type="dxa"/>
          </w:tcPr>
          <w:p w14:paraId="4194F19A"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R&amp;D and CCS know-how</w:t>
            </w:r>
          </w:p>
        </w:tc>
        <w:tc>
          <w:tcPr>
            <w:tcW w:w="800" w:type="dxa"/>
          </w:tcPr>
          <w:p w14:paraId="0A05753E"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0E6F8C44"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6864BDC7"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No</w:t>
            </w:r>
          </w:p>
        </w:tc>
        <w:tc>
          <w:tcPr>
            <w:tcW w:w="800" w:type="dxa"/>
          </w:tcPr>
          <w:p w14:paraId="7BD17A85"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4000" w:type="dxa"/>
          </w:tcPr>
          <w:p w14:paraId="2E562A7E"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Temporary advantage — first-mover CCS (Quest, Polaris, Northern Lights) but imitable over time as rivals invest.</w:t>
            </w:r>
          </w:p>
        </w:tc>
      </w:tr>
      <w:tr w:rsidR="00104E25" w:rsidRPr="005B7D15" w14:paraId="38F72BCD" w14:textId="77777777" w:rsidTr="00104E25">
        <w:tc>
          <w:tcPr>
            <w:tcW w:w="2160" w:type="dxa"/>
          </w:tcPr>
          <w:p w14:paraId="7C8FAA50"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Financial strength</w:t>
            </w:r>
          </w:p>
        </w:tc>
        <w:tc>
          <w:tcPr>
            <w:tcW w:w="800" w:type="dxa"/>
          </w:tcPr>
          <w:p w14:paraId="2E85B47A"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5A697812"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No</w:t>
            </w:r>
          </w:p>
        </w:tc>
        <w:tc>
          <w:tcPr>
            <w:tcW w:w="800" w:type="dxa"/>
          </w:tcPr>
          <w:p w14:paraId="1B303CE2"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No</w:t>
            </w:r>
          </w:p>
        </w:tc>
        <w:tc>
          <w:tcPr>
            <w:tcW w:w="800" w:type="dxa"/>
          </w:tcPr>
          <w:p w14:paraId="249C649F"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4000" w:type="dxa"/>
          </w:tcPr>
          <w:p w14:paraId="1ECCFC48"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 xml:space="preserve">Competitive parity — Shell's balance sheet is </w:t>
            </w:r>
            <w:proofErr w:type="gramStart"/>
            <w:r w:rsidRPr="005B7D15">
              <w:rPr>
                <w:rFonts w:ascii="Arial" w:hAnsi="Arial" w:cs="Arial"/>
                <w:sz w:val="22"/>
                <w:szCs w:val="22"/>
              </w:rPr>
              <w:t>strong</w:t>
            </w:r>
            <w:proofErr w:type="gramEnd"/>
            <w:r w:rsidRPr="005B7D15">
              <w:rPr>
                <w:rFonts w:ascii="Arial" w:hAnsi="Arial" w:cs="Arial"/>
                <w:sz w:val="22"/>
                <w:szCs w:val="22"/>
              </w:rPr>
              <w:t xml:space="preserve"> but ExxonMobil and Aramco also have fortress balance sheets.</w:t>
            </w:r>
          </w:p>
        </w:tc>
      </w:tr>
      <w:tr w:rsidR="00104E25" w:rsidRPr="005B7D15" w14:paraId="3FB9D200" w14:textId="77777777" w:rsidTr="00104E25">
        <w:tc>
          <w:tcPr>
            <w:tcW w:w="2160" w:type="dxa"/>
          </w:tcPr>
          <w:p w14:paraId="7D58228C"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Hydrocarbon reserves</w:t>
            </w:r>
          </w:p>
        </w:tc>
        <w:tc>
          <w:tcPr>
            <w:tcW w:w="800" w:type="dxa"/>
          </w:tcPr>
          <w:p w14:paraId="39325536"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5AFBD84D"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No</w:t>
            </w:r>
          </w:p>
        </w:tc>
        <w:tc>
          <w:tcPr>
            <w:tcW w:w="800" w:type="dxa"/>
          </w:tcPr>
          <w:p w14:paraId="0AA5DA18"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800" w:type="dxa"/>
          </w:tcPr>
          <w:p w14:paraId="17AC6F36"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Yes</w:t>
            </w:r>
          </w:p>
        </w:tc>
        <w:tc>
          <w:tcPr>
            <w:tcW w:w="4000" w:type="dxa"/>
          </w:tcPr>
          <w:p w14:paraId="4D332FB3"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Competitive parity — access to reserves is shared across supermajors; advantage comes from portfolio quality.</w:t>
            </w:r>
          </w:p>
        </w:tc>
      </w:tr>
    </w:tbl>
    <w:p w14:paraId="56BA1A06" w14:textId="77777777" w:rsidR="00E85304" w:rsidRPr="005B7D15" w:rsidRDefault="00E85304" w:rsidP="005B7D15">
      <w:pPr>
        <w:spacing w:line="360" w:lineRule="auto"/>
        <w:jc w:val="both"/>
        <w:rPr>
          <w:rFonts w:ascii="Arial" w:hAnsi="Arial" w:cs="Arial"/>
        </w:rPr>
      </w:pPr>
    </w:p>
    <w:p w14:paraId="3C8531B8" w14:textId="77777777" w:rsidR="00E85304" w:rsidRPr="005B7D15" w:rsidRDefault="00000000" w:rsidP="005B7D15">
      <w:pPr>
        <w:spacing w:line="360" w:lineRule="auto"/>
        <w:jc w:val="both"/>
        <w:rPr>
          <w:rFonts w:ascii="Arial" w:hAnsi="Arial" w:cs="Arial"/>
        </w:rPr>
      </w:pPr>
      <w:r w:rsidRPr="005B7D15">
        <w:rPr>
          <w:rFonts w:ascii="Arial" w:hAnsi="Arial" w:cs="Arial"/>
        </w:rPr>
        <w:lastRenderedPageBreak/>
        <w:t>The two standout sustained advantages are (1) Shell's global LNG portfolio, where it enjoys first-mover scale, long-term contracts and trading expertise, and (2) its proprietary trading platform, which arbitrages across geographies, time and product forms. Together these capabilities produced Q3 2025 adjusted earnings of US$5.4 billion and cash flow from operations of US$12.2 billion (</w:t>
      </w:r>
      <w:proofErr w:type="spellStart"/>
      <w:r w:rsidRPr="005B7D15">
        <w:rPr>
          <w:rFonts w:ascii="Arial" w:hAnsi="Arial" w:cs="Arial"/>
        </w:rPr>
        <w:t>DCFmodeling</w:t>
      </w:r>
      <w:proofErr w:type="spellEnd"/>
      <w:r w:rsidRPr="005B7D15">
        <w:rPr>
          <w:rFonts w:ascii="Arial" w:hAnsi="Arial" w:cs="Arial"/>
        </w:rPr>
        <w:t xml:space="preserve">, 2025). The retail network is an "unrealised" advantage — the resource is </w:t>
      </w:r>
      <w:proofErr w:type="gramStart"/>
      <w:r w:rsidRPr="005B7D15">
        <w:rPr>
          <w:rFonts w:ascii="Arial" w:hAnsi="Arial" w:cs="Arial"/>
        </w:rPr>
        <w:t>rare</w:t>
      </w:r>
      <w:proofErr w:type="gramEnd"/>
      <w:r w:rsidRPr="005B7D15">
        <w:rPr>
          <w:rFonts w:ascii="Arial" w:hAnsi="Arial" w:cs="Arial"/>
        </w:rPr>
        <w:t xml:space="preserve"> but Shell has not yet fully reconfigured it for the electric-and-convenience future.</w:t>
      </w:r>
    </w:p>
    <w:p w14:paraId="5CD13C01" w14:textId="7777777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t>1.3 CSR and Sustainability Objectives</w:t>
      </w:r>
    </w:p>
    <w:p w14:paraId="61F7DC3C" w14:textId="77777777" w:rsidR="00E85304" w:rsidRPr="005B7D15" w:rsidRDefault="00000000" w:rsidP="005B7D15">
      <w:pPr>
        <w:spacing w:line="360" w:lineRule="auto"/>
        <w:jc w:val="both"/>
        <w:rPr>
          <w:rFonts w:ascii="Arial" w:hAnsi="Arial" w:cs="Arial"/>
        </w:rPr>
      </w:pPr>
      <w:r w:rsidRPr="005B7D15">
        <w:rPr>
          <w:rFonts w:ascii="Arial" w:hAnsi="Arial" w:cs="Arial"/>
        </w:rPr>
        <w:t>Shell's CSR strategy is framed by Carroll's (1991) pyramid — economic, legal, ethical and philanthropic responsibilities — but is increasingly being judged through a Porter and Kramer (2011) "shared-value" lens that demands CSR be strategically integrated, not peripheral. The company's Energy Transition Strategy 2024 operationalises this by committing to net-zero operational and energy-product emissions by 2050, a 50% reduction in Scope 1 and 2 emissions by 2030 (vs 2016 baseline), and a 15–20% reduction in Scope 3 net-carbon intensity by 2030 (Shell, 2024).</w:t>
      </w:r>
    </w:p>
    <w:p w14:paraId="7CC8DCE2"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Strategic alignment is evident in three ways. First, CSR is a revenue opportunity: Shell's Sustainable Aviation Fuels business targets approximately 2 million tonnes per year by 2025, serving airlines under decarbonisation mandates (Pestel-analysis, 2025). Second, CSR shapes capital allocation — Shell allocates US$10–15bn to low-carbon solutions between 2023 and 2025, capped at under 10% of total capital employed (Zacks/Yahoo Finance, 2025). Third, CSR manages risk, particularly litigation risk following the </w:t>
      </w:r>
      <w:proofErr w:type="spellStart"/>
      <w:r w:rsidRPr="005B7D15">
        <w:rPr>
          <w:rFonts w:ascii="Arial" w:hAnsi="Arial" w:cs="Arial"/>
        </w:rPr>
        <w:t>Milieudefensie</w:t>
      </w:r>
      <w:proofErr w:type="spellEnd"/>
      <w:r w:rsidRPr="005B7D15">
        <w:rPr>
          <w:rFonts w:ascii="Arial" w:hAnsi="Arial" w:cs="Arial"/>
        </w:rPr>
        <w:t xml:space="preserve"> v Shell case and proliferating climate lawsuits.</w:t>
      </w:r>
    </w:p>
    <w:p w14:paraId="40CECA4E" w14:textId="77777777" w:rsidR="00E85304" w:rsidRPr="005B7D15" w:rsidRDefault="00000000" w:rsidP="005B7D15">
      <w:pPr>
        <w:spacing w:line="360" w:lineRule="auto"/>
        <w:jc w:val="both"/>
        <w:rPr>
          <w:rFonts w:ascii="Arial" w:hAnsi="Arial" w:cs="Arial"/>
        </w:rPr>
      </w:pPr>
      <w:r w:rsidRPr="005B7D15">
        <w:rPr>
          <w:rFonts w:ascii="Arial" w:hAnsi="Arial" w:cs="Arial"/>
        </w:rPr>
        <w:t>However, Shell's CSR faces credibility challenges. In 2024 and 2025 the company softened several targets, including its 2030 oil-production reduction goal, in response to investor pressure. Activist groups argue this represents "greenwashing" relative to the urgency of climate science. The strategic question is whether Shell's pragmatic, returns-first approach can still be perceived as responsible. On balance, the company's CSR is strategically aligned with its commercial objectives, but the pace of transition is below what climate-aligned investors and NGOs demand — a tension that will intensify between 2026 and 2030.</w:t>
      </w:r>
    </w:p>
    <w:p w14:paraId="5833E415" w14:textId="7777777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t>1.4 Balanced Scorecard — Four Perspectives</w:t>
      </w:r>
    </w:p>
    <w:p w14:paraId="59C1D9FC" w14:textId="77777777" w:rsidR="00E85304" w:rsidRPr="005B7D15" w:rsidRDefault="00000000" w:rsidP="005B7D15">
      <w:pPr>
        <w:spacing w:line="360" w:lineRule="auto"/>
        <w:jc w:val="both"/>
        <w:rPr>
          <w:rFonts w:ascii="Arial" w:hAnsi="Arial" w:cs="Arial"/>
        </w:rPr>
      </w:pPr>
      <w:r w:rsidRPr="005B7D15">
        <w:rPr>
          <w:rFonts w:ascii="Arial" w:hAnsi="Arial" w:cs="Arial"/>
        </w:rPr>
        <w:lastRenderedPageBreak/>
        <w:t>Kaplan and Norton's (1992, 1996) Balanced Scorecard translates strategic intent into operational measurement across four perspectives: Financial, Customer, Internal Business Processes, and Learning and Growth. Table 4 applies this to Shell.</w:t>
      </w:r>
    </w:p>
    <w:p w14:paraId="7CD48903" w14:textId="77777777" w:rsidR="00E85304" w:rsidRPr="005B7D15" w:rsidRDefault="00000000" w:rsidP="005B7D15">
      <w:pPr>
        <w:spacing w:line="360" w:lineRule="auto"/>
        <w:jc w:val="both"/>
        <w:rPr>
          <w:rFonts w:ascii="Arial" w:hAnsi="Arial" w:cs="Arial"/>
        </w:rPr>
      </w:pPr>
      <w:r w:rsidRPr="005B7D15">
        <w:rPr>
          <w:rFonts w:ascii="Arial" w:hAnsi="Arial" w:cs="Arial"/>
          <w:b/>
          <w:bCs/>
        </w:rPr>
        <w:t>Table 4: Shell plc — Balanced Scorecard (2026)</w:t>
      </w:r>
    </w:p>
    <w:tbl>
      <w:tblPr>
        <w:tblStyle w:val="TableGrid"/>
        <w:tblW w:w="9360" w:type="dxa"/>
        <w:tblLook w:val="0000" w:firstRow="0" w:lastRow="0" w:firstColumn="0" w:lastColumn="0" w:noHBand="0" w:noVBand="0"/>
      </w:tblPr>
      <w:tblGrid>
        <w:gridCol w:w="1800"/>
        <w:gridCol w:w="2520"/>
        <w:gridCol w:w="2520"/>
        <w:gridCol w:w="2520"/>
      </w:tblGrid>
      <w:tr w:rsidR="00104E25" w:rsidRPr="005B7D15" w14:paraId="3EB0B88D" w14:textId="77777777" w:rsidTr="00104E25">
        <w:tc>
          <w:tcPr>
            <w:tcW w:w="1800" w:type="dxa"/>
          </w:tcPr>
          <w:p w14:paraId="00992A96"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Perspective</w:t>
            </w:r>
          </w:p>
        </w:tc>
        <w:tc>
          <w:tcPr>
            <w:tcW w:w="2520" w:type="dxa"/>
          </w:tcPr>
          <w:p w14:paraId="0F035E96"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Objectives</w:t>
            </w:r>
          </w:p>
        </w:tc>
        <w:tc>
          <w:tcPr>
            <w:tcW w:w="2520" w:type="dxa"/>
          </w:tcPr>
          <w:p w14:paraId="0F506CC6"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Key KPIs &amp; Targets</w:t>
            </w:r>
          </w:p>
        </w:tc>
        <w:tc>
          <w:tcPr>
            <w:tcW w:w="2520" w:type="dxa"/>
          </w:tcPr>
          <w:p w14:paraId="1B69A376"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Initiatives</w:t>
            </w:r>
          </w:p>
        </w:tc>
      </w:tr>
      <w:tr w:rsidR="00104E25" w:rsidRPr="005B7D15" w14:paraId="354F6DFB" w14:textId="77777777" w:rsidTr="00104E25">
        <w:tc>
          <w:tcPr>
            <w:tcW w:w="1800" w:type="dxa"/>
          </w:tcPr>
          <w:p w14:paraId="1CA4D0C7"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Financial</w:t>
            </w:r>
          </w:p>
        </w:tc>
        <w:tc>
          <w:tcPr>
            <w:tcW w:w="2520" w:type="dxa"/>
          </w:tcPr>
          <w:p w14:paraId="79EA3277"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Deliver leading shareholder returns; maintain capital discipline.</w:t>
            </w:r>
          </w:p>
        </w:tc>
        <w:tc>
          <w:tcPr>
            <w:tcW w:w="2520" w:type="dxa"/>
          </w:tcPr>
          <w:p w14:paraId="289EE6B5"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Free cash flow per share growth &gt;10% p.a. to 2030; shareholder distributions 40–50% of CFFO; structural cost reduction of US$5–7bn by 2028; CAPEX US$20–22bn p.a.</w:t>
            </w:r>
          </w:p>
        </w:tc>
        <w:tc>
          <w:tcPr>
            <w:tcW w:w="2520" w:type="dxa"/>
          </w:tcPr>
          <w:p w14:paraId="730581BF"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Share buybacks (US$3.5bn Q2 2025 programme); portfolio optimisation; divestment of non-core refining assets.</w:t>
            </w:r>
          </w:p>
        </w:tc>
      </w:tr>
      <w:tr w:rsidR="00104E25" w:rsidRPr="005B7D15" w14:paraId="772E3A0A" w14:textId="77777777" w:rsidTr="00104E25">
        <w:tc>
          <w:tcPr>
            <w:tcW w:w="1800" w:type="dxa"/>
          </w:tcPr>
          <w:p w14:paraId="433AF7BF"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Customer</w:t>
            </w:r>
          </w:p>
        </w:tc>
        <w:tc>
          <w:tcPr>
            <w:tcW w:w="2520" w:type="dxa"/>
          </w:tcPr>
          <w:p w14:paraId="483F31C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Deliver "more and cleaner energy" to industrial and retail customers; build loyalty.</w:t>
            </w:r>
          </w:p>
        </w:tc>
        <w:tc>
          <w:tcPr>
            <w:tcW w:w="2520" w:type="dxa"/>
          </w:tcPr>
          <w:p w14:paraId="3B648B03"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Customer NPS across retail mobility; B2B contract renewal rates; EV charging points deployed.</w:t>
            </w:r>
          </w:p>
        </w:tc>
        <w:tc>
          <w:tcPr>
            <w:tcW w:w="2520" w:type="dxa"/>
          </w:tcPr>
          <w:p w14:paraId="1B35BA06"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Shell Recharge EV network expansion; Shell V-Power loyalty programme; premium lubricant offerings; SAF customer agreements.</w:t>
            </w:r>
          </w:p>
        </w:tc>
      </w:tr>
      <w:tr w:rsidR="00104E25" w:rsidRPr="005B7D15" w14:paraId="42A48DFA" w14:textId="77777777" w:rsidTr="00104E25">
        <w:tc>
          <w:tcPr>
            <w:tcW w:w="1800" w:type="dxa"/>
          </w:tcPr>
          <w:p w14:paraId="437584DF"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Internal Business Processes</w:t>
            </w:r>
          </w:p>
        </w:tc>
        <w:tc>
          <w:tcPr>
            <w:tcW w:w="2520" w:type="dxa"/>
          </w:tcPr>
          <w:p w14:paraId="0E7746F1"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Operate safely, reliably and efficiently; decarbonise operations.</w:t>
            </w:r>
          </w:p>
        </w:tc>
        <w:tc>
          <w:tcPr>
            <w:tcW w:w="2520" w:type="dxa"/>
          </w:tcPr>
          <w:p w14:paraId="10E93C8F"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Total Recordable Case Frequency (safety); process-safety events; Scope 1+2 emissions reduction to 50% by 2030; LNG volume growth 4–5% p.a.</w:t>
            </w:r>
          </w:p>
        </w:tc>
        <w:tc>
          <w:tcPr>
            <w:tcW w:w="2520" w:type="dxa"/>
          </w:tcPr>
          <w:p w14:paraId="5EC4E57B"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Polaris and Atlas CCS projects; Porthos CCS (Netherlands); digital twin deployment; methane-emission monitoring via satellite.</w:t>
            </w:r>
          </w:p>
        </w:tc>
      </w:tr>
      <w:tr w:rsidR="00104E25" w:rsidRPr="005B7D15" w14:paraId="2D031764" w14:textId="77777777" w:rsidTr="00104E25">
        <w:tc>
          <w:tcPr>
            <w:tcW w:w="1800" w:type="dxa"/>
          </w:tcPr>
          <w:p w14:paraId="3DE7980C" w14:textId="77777777" w:rsidR="00E85304" w:rsidRPr="005B7D15" w:rsidRDefault="00000000" w:rsidP="005B7D15">
            <w:pPr>
              <w:spacing w:line="360" w:lineRule="auto"/>
              <w:jc w:val="both"/>
              <w:rPr>
                <w:rFonts w:ascii="Arial" w:hAnsi="Arial" w:cs="Arial"/>
              </w:rPr>
            </w:pPr>
            <w:r w:rsidRPr="005B7D15">
              <w:rPr>
                <w:rFonts w:ascii="Arial" w:hAnsi="Arial" w:cs="Arial"/>
                <w:b/>
                <w:bCs/>
                <w:sz w:val="22"/>
                <w:szCs w:val="22"/>
              </w:rPr>
              <w:t>Learning &amp; Growth</w:t>
            </w:r>
          </w:p>
        </w:tc>
        <w:tc>
          <w:tcPr>
            <w:tcW w:w="2520" w:type="dxa"/>
          </w:tcPr>
          <w:p w14:paraId="78C0D13C"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Build future capabilities; develop people; embed diversity and innovation.</w:t>
            </w:r>
          </w:p>
        </w:tc>
        <w:tc>
          <w:tcPr>
            <w:tcW w:w="2520" w:type="dxa"/>
          </w:tcPr>
          <w:p w14:paraId="1827D293"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 of workforce in low-carbon roles; gender diversity in senior leadership (target 40% by 2030); R&amp;D spend on new energy.</w:t>
            </w:r>
          </w:p>
        </w:tc>
        <w:tc>
          <w:tcPr>
            <w:tcW w:w="2520" w:type="dxa"/>
          </w:tcPr>
          <w:p w14:paraId="4AC61AE8" w14:textId="77777777" w:rsidR="00E85304" w:rsidRPr="005B7D15" w:rsidRDefault="00000000" w:rsidP="005B7D15">
            <w:pPr>
              <w:spacing w:line="360" w:lineRule="auto"/>
              <w:jc w:val="both"/>
              <w:rPr>
                <w:rFonts w:ascii="Arial" w:hAnsi="Arial" w:cs="Arial"/>
              </w:rPr>
            </w:pPr>
            <w:r w:rsidRPr="005B7D15">
              <w:rPr>
                <w:rFonts w:ascii="Arial" w:hAnsi="Arial" w:cs="Arial"/>
                <w:sz w:val="22"/>
                <w:szCs w:val="22"/>
              </w:rPr>
              <w:t>Reskilling programmes; graduate recruitment into energy-transition functions; partnerships with Imperial College and MIT on CCS.</w:t>
            </w:r>
          </w:p>
        </w:tc>
      </w:tr>
    </w:tbl>
    <w:p w14:paraId="6AA51A63" w14:textId="77777777" w:rsidR="00E85304" w:rsidRPr="005B7D15" w:rsidRDefault="00E85304" w:rsidP="005B7D15">
      <w:pPr>
        <w:spacing w:line="360" w:lineRule="auto"/>
        <w:jc w:val="both"/>
        <w:rPr>
          <w:rFonts w:ascii="Arial" w:hAnsi="Arial" w:cs="Arial"/>
        </w:rPr>
      </w:pPr>
    </w:p>
    <w:p w14:paraId="5AF2379B"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The Balanced Scorecard reveals that Shell's four perspectives are internally coherent but externally contested. Financial and process perspectives are quantitatively rigorous; customer and learning-and-growth perspectives rely more on softer </w:t>
      </w:r>
      <w:r w:rsidRPr="005B7D15">
        <w:rPr>
          <w:rFonts w:ascii="Arial" w:hAnsi="Arial" w:cs="Arial"/>
        </w:rPr>
        <w:lastRenderedPageBreak/>
        <w:t>indicators. Kaplan and Norton (1996) warned that organisations with lagging indicators-only scorecards risk becoming backward-looking. Shell's emerging challenge is to strengthen its leading indicators — particularly around energy-transition capability-building — so that the scorecard pulls the business forward rather than merely measuring the past.</w:t>
      </w:r>
    </w:p>
    <w:p w14:paraId="194C27E0" w14:textId="7777777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t>1.5 Strategic Choices and Implementation</w:t>
      </w:r>
    </w:p>
    <w:p w14:paraId="19A28BCD"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1.5.1 Business-Level Strategy (Porter's Generic Strategies)</w:t>
      </w:r>
    </w:p>
    <w:p w14:paraId="0BD9FFA2" w14:textId="77777777" w:rsidR="00E85304" w:rsidRPr="005B7D15" w:rsidRDefault="00000000" w:rsidP="005B7D15">
      <w:pPr>
        <w:spacing w:line="360" w:lineRule="auto"/>
        <w:jc w:val="both"/>
        <w:rPr>
          <w:rFonts w:ascii="Arial" w:hAnsi="Arial" w:cs="Arial"/>
        </w:rPr>
      </w:pPr>
      <w:r w:rsidRPr="005B7D15">
        <w:rPr>
          <w:rFonts w:ascii="Arial" w:hAnsi="Arial" w:cs="Arial"/>
        </w:rPr>
        <w:t>Porter's (1985) three generic strategies — cost leadership, differentiation, and focus — provide a lens for business-level choices. Shell primarily pursues a hybrid differentiation-with-cost-discipline strategy in each of its business segments:</w:t>
      </w:r>
    </w:p>
    <w:p w14:paraId="45309A41" w14:textId="77777777" w:rsidR="00E85304" w:rsidRPr="005B7D15" w:rsidRDefault="00000000" w:rsidP="005B7D15">
      <w:pPr>
        <w:spacing w:line="360" w:lineRule="auto"/>
        <w:jc w:val="both"/>
        <w:rPr>
          <w:rFonts w:ascii="Arial" w:hAnsi="Arial" w:cs="Arial"/>
        </w:rPr>
      </w:pPr>
      <w:r w:rsidRPr="005B7D15">
        <w:rPr>
          <w:rFonts w:ascii="Arial" w:hAnsi="Arial" w:cs="Arial"/>
        </w:rPr>
        <w:t>In Integrated Gas and LNG, Shell differentiates through its globally integrated portfolio, flexible cargo routing, and long-term contract book. Its scale (roughly 65 million tonnes per annum of LNG equity production) allows both differentiation and unit-cost leadership, creating what Johnson, Whittington and Scholes (2020) call a "hybrid strategy". In Upstream, Shell has refocused on advantaged, low-carbon-intensity barrels, particularly in the Gulf of Mexico, Brazil and the Middle East. In Downstream/Marketing, cost leadership is pursued through refining-footprint optimisation (recent exits from Energy and Chemicals Parks in Europe) while differentiation is pursued through premium fuels (V-Power) and lubricants (Pennzoil, Quaker State). In Renewables and Energy Solutions, Shell adopts a focus strategy targeting specific high-return niches — commercial EV charging, industrial hydrogen, biofuels, and carbon credits — rather than competing broadly in solar/wind electricity generation.</w:t>
      </w:r>
    </w:p>
    <w:p w14:paraId="7691741E" w14:textId="5E4024F1" w:rsidR="004D7008" w:rsidRPr="005B7D15" w:rsidRDefault="004D7008" w:rsidP="005B7D15">
      <w:pPr>
        <w:spacing w:line="360" w:lineRule="auto"/>
        <w:jc w:val="both"/>
        <w:rPr>
          <w:rFonts w:ascii="Arial" w:hAnsi="Arial" w:cs="Arial"/>
        </w:rPr>
      </w:pPr>
      <w:r w:rsidRPr="005B7D15">
        <w:rPr>
          <w:rFonts w:ascii="Arial" w:hAnsi="Arial" w:cs="Arial"/>
          <w:noProof/>
        </w:rPr>
        <w:lastRenderedPageBreak/>
        <w:drawing>
          <wp:inline distT="0" distB="0" distL="0" distR="0" wp14:anchorId="6AF11AC2" wp14:editId="1DD4667F">
            <wp:extent cx="5731510" cy="2904490"/>
            <wp:effectExtent l="0" t="0" r="2540" b="0"/>
            <wp:docPr id="1157987054" name="Picture 2" descr="Shell expects 50% rise in global LNG demand by 2040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ell expects 50% rise in global LNG demand by 2040 | Reu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04490"/>
                    </a:xfrm>
                    <a:prstGeom prst="rect">
                      <a:avLst/>
                    </a:prstGeom>
                    <a:noFill/>
                    <a:ln>
                      <a:noFill/>
                    </a:ln>
                  </pic:spPr>
                </pic:pic>
              </a:graphicData>
            </a:graphic>
          </wp:inline>
        </w:drawing>
      </w:r>
    </w:p>
    <w:p w14:paraId="7D4186EB" w14:textId="4E72331B" w:rsidR="004D7008" w:rsidRPr="005B7D15" w:rsidRDefault="004D7008" w:rsidP="005B7D15">
      <w:pPr>
        <w:spacing w:line="360" w:lineRule="auto"/>
        <w:jc w:val="both"/>
        <w:rPr>
          <w:rFonts w:ascii="Arial" w:hAnsi="Arial" w:cs="Arial"/>
        </w:rPr>
      </w:pPr>
      <w:r w:rsidRPr="005B7D15">
        <w:rPr>
          <w:rFonts w:ascii="Arial" w:hAnsi="Arial" w:cs="Arial"/>
        </w:rPr>
        <w:t xml:space="preserve">Figure _1 - </w:t>
      </w:r>
      <w:r w:rsidRPr="005B7D15">
        <w:rPr>
          <w:rFonts w:ascii="Arial" w:hAnsi="Arial" w:cs="Arial"/>
        </w:rPr>
        <w:t>Shell expects 50% rise in global LNG demand by 2040</w:t>
      </w:r>
      <w:r w:rsidRPr="005B7D15">
        <w:rPr>
          <w:rFonts w:ascii="Arial" w:hAnsi="Arial" w:cs="Arial"/>
        </w:rPr>
        <w:t xml:space="preserve"> </w:t>
      </w:r>
      <w:r w:rsidR="00DB2785" w:rsidRPr="005B7D15">
        <w:rPr>
          <w:rFonts w:ascii="Arial" w:hAnsi="Arial" w:cs="Arial"/>
        </w:rPr>
        <w:t>(</w:t>
      </w:r>
      <w:r w:rsidR="00DB2785" w:rsidRPr="005B7D15">
        <w:rPr>
          <w:rFonts w:ascii="Arial" w:hAnsi="Arial" w:cs="Arial"/>
        </w:rPr>
        <w:t>Reuters</w:t>
      </w:r>
      <w:r w:rsidR="00DB2785" w:rsidRPr="005B7D15">
        <w:rPr>
          <w:rFonts w:ascii="Arial" w:hAnsi="Arial" w:cs="Arial"/>
        </w:rPr>
        <w:t>,</w:t>
      </w:r>
      <w:r w:rsidR="00DB2785" w:rsidRPr="005B7D15">
        <w:rPr>
          <w:rFonts w:ascii="Arial" w:hAnsi="Arial" w:cs="Arial"/>
        </w:rPr>
        <w:t>2024)</w:t>
      </w:r>
    </w:p>
    <w:p w14:paraId="749A967D" w14:textId="77777777" w:rsidR="00E85304" w:rsidRPr="005B7D15" w:rsidRDefault="00000000" w:rsidP="005B7D15">
      <w:pPr>
        <w:spacing w:line="360" w:lineRule="auto"/>
        <w:jc w:val="both"/>
        <w:rPr>
          <w:rFonts w:ascii="Arial" w:hAnsi="Arial" w:cs="Arial"/>
        </w:rPr>
      </w:pPr>
      <w:r w:rsidRPr="005B7D15">
        <w:rPr>
          <w:rFonts w:ascii="Arial" w:hAnsi="Arial" w:cs="Arial"/>
        </w:rPr>
        <w:t>The recommended business-level strategy for Shell is to continue this hybrid approach, because pure cost leadership is infeasible against national oil companies with lower cost bases, and pure differentiation cannot generate the cash yields expected by investors. The valuation gap with ExxonMobil (15x–20x P/E vs Shell's 11x–14x) can only be closed by demonstrating that disciplined cost management coexists with differentiated growth options in LNG, trading and CCS (</w:t>
      </w:r>
      <w:proofErr w:type="spellStart"/>
      <w:r w:rsidRPr="005B7D15">
        <w:rPr>
          <w:rFonts w:ascii="Arial" w:hAnsi="Arial" w:cs="Arial"/>
        </w:rPr>
        <w:t>FinancialContent</w:t>
      </w:r>
      <w:proofErr w:type="spellEnd"/>
      <w:r w:rsidRPr="005B7D15">
        <w:rPr>
          <w:rFonts w:ascii="Arial" w:hAnsi="Arial" w:cs="Arial"/>
        </w:rPr>
        <w:t>, 2026).</w:t>
      </w:r>
    </w:p>
    <w:p w14:paraId="698C224F"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1.5.2 Corporate-Level Strategy (Ansoff's Matrix)</w:t>
      </w:r>
    </w:p>
    <w:p w14:paraId="400D15ED" w14:textId="77777777" w:rsidR="00E85304" w:rsidRPr="005B7D15" w:rsidRDefault="00000000" w:rsidP="005B7D15">
      <w:pPr>
        <w:spacing w:line="360" w:lineRule="auto"/>
        <w:jc w:val="both"/>
        <w:rPr>
          <w:rFonts w:ascii="Arial" w:hAnsi="Arial" w:cs="Arial"/>
        </w:rPr>
      </w:pPr>
      <w:r w:rsidRPr="005B7D15">
        <w:rPr>
          <w:rFonts w:ascii="Arial" w:hAnsi="Arial" w:cs="Arial"/>
        </w:rPr>
        <w:t>Ansoff's (1957) growth-vector matrix classifies corporate-level options into market penetration, market development, product development, and diversification. Shell's current portfolio-direction simultaneously applies all four:</w:t>
      </w:r>
    </w:p>
    <w:p w14:paraId="510F0E25" w14:textId="77777777" w:rsidR="00E85304" w:rsidRPr="005B7D15" w:rsidRDefault="00000000" w:rsidP="005B7D15">
      <w:pPr>
        <w:spacing w:line="360" w:lineRule="auto"/>
        <w:jc w:val="both"/>
        <w:rPr>
          <w:rFonts w:ascii="Arial" w:hAnsi="Arial" w:cs="Arial"/>
        </w:rPr>
      </w:pPr>
      <w:r w:rsidRPr="005B7D15">
        <w:rPr>
          <w:rFonts w:ascii="Arial" w:hAnsi="Arial" w:cs="Arial"/>
        </w:rPr>
        <w:t>Market penetration dominates the core LNG and mobility businesses — Shell is deepening share of wallet among existing industrial and retail customers through premium products and long-term contracts. Market development is visible in the expansion of Shell Recharge into new geographies and the acquisition of Pavilion Energy in Q1 2025 (approximately US$2.6 billion) which expanded the Singapore LNG platform (Shell, 2025). Product development is most visible in hydrogen, SAF and CCS-as-a-service offerings. Diversification — arguably the most controversial vector — is being deliberately limited under Sawan's strategy, reversing the more aggressive renewable-electricity generation ambitions of prior CEO Ben van Beurden.</w:t>
      </w:r>
    </w:p>
    <w:p w14:paraId="499E949B" w14:textId="77777777" w:rsidR="00E85304" w:rsidRPr="005B7D15" w:rsidRDefault="00000000" w:rsidP="005B7D15">
      <w:pPr>
        <w:spacing w:line="360" w:lineRule="auto"/>
        <w:jc w:val="both"/>
        <w:rPr>
          <w:rFonts w:ascii="Arial" w:hAnsi="Arial" w:cs="Arial"/>
        </w:rPr>
      </w:pPr>
      <w:r w:rsidRPr="005B7D15">
        <w:rPr>
          <w:rFonts w:ascii="Arial" w:hAnsi="Arial" w:cs="Arial"/>
        </w:rPr>
        <w:lastRenderedPageBreak/>
        <w:t xml:space="preserve">The recommended corporate-level emphasis is to lean further into related diversification rather than conglomerate-style moves: the critical question is whether Shell can turn CCS into a profitable standalone "service" business, monetising decades of subsurface-engineering know-how by selling CO2 storage to third-party industrial emitters. The Northern Lights project in Norway </w:t>
      </w:r>
      <w:proofErr w:type="gramStart"/>
      <w:r w:rsidRPr="005B7D15">
        <w:rPr>
          <w:rFonts w:ascii="Arial" w:hAnsi="Arial" w:cs="Arial"/>
        </w:rPr>
        <w:t>is</w:t>
      </w:r>
      <w:proofErr w:type="gramEnd"/>
      <w:r w:rsidRPr="005B7D15">
        <w:rPr>
          <w:rFonts w:ascii="Arial" w:hAnsi="Arial" w:cs="Arial"/>
        </w:rPr>
        <w:t xml:space="preserve"> an early template.</w:t>
      </w:r>
    </w:p>
    <w:p w14:paraId="63B7DF1D"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1.5.3 Managing Change and Implementation</w:t>
      </w:r>
    </w:p>
    <w:p w14:paraId="1FF74F74" w14:textId="77777777" w:rsidR="00E85304" w:rsidRPr="005B7D15" w:rsidRDefault="00000000" w:rsidP="005B7D15">
      <w:pPr>
        <w:spacing w:line="360" w:lineRule="auto"/>
        <w:jc w:val="both"/>
        <w:rPr>
          <w:rFonts w:ascii="Arial" w:hAnsi="Arial" w:cs="Arial"/>
        </w:rPr>
      </w:pPr>
      <w:r w:rsidRPr="005B7D15">
        <w:rPr>
          <w:rFonts w:ascii="Arial" w:hAnsi="Arial" w:cs="Arial"/>
        </w:rPr>
        <w:t>Kotter's (1996) eight-step model of transformational change provides a useful lens on Shell's implementation capability. The company demonstrates strengths in "creating a sense of urgency" around the energy transition, "communicating vision" (via the Energy Transition Strategy 2024), and "anchoring change in the culture" through revised performance metrics. However, its "empowering broad-based action" step is weaker — reorganisations have been top-down, and there is evidence of change fatigue among mid-level staff after two major re-structures in four years. Shell's 2024 simplification of its LNG business and 2025 rationalisation of its Renewables and Energy Solutions division have delivered headcount and cost reductions but have also been accompanied by high-profile senior executive departures, suggesting implementation-risk is non-trivial.</w:t>
      </w:r>
    </w:p>
    <w:p w14:paraId="6DAFC88A" w14:textId="7777777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t>1.6 Strategic Evaluation and Recommendations</w:t>
      </w:r>
    </w:p>
    <w:p w14:paraId="0BAD4734"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1.6.1 SWOT Synthesis</w:t>
      </w:r>
    </w:p>
    <w:p w14:paraId="11914D1E" w14:textId="77777777" w:rsidR="00E85304" w:rsidRPr="005B7D15" w:rsidRDefault="00000000" w:rsidP="005B7D15">
      <w:pPr>
        <w:spacing w:line="360" w:lineRule="auto"/>
        <w:jc w:val="both"/>
        <w:rPr>
          <w:rFonts w:ascii="Arial" w:hAnsi="Arial" w:cs="Arial"/>
        </w:rPr>
      </w:pPr>
      <w:r w:rsidRPr="005B7D15">
        <w:rPr>
          <w:rFonts w:ascii="Arial" w:hAnsi="Arial" w:cs="Arial"/>
        </w:rPr>
        <w:t>The following SWOT summarises the evaluative findings of this report.</w:t>
      </w:r>
    </w:p>
    <w:p w14:paraId="0E48265B" w14:textId="77777777" w:rsidR="00E85304" w:rsidRPr="005B7D15" w:rsidRDefault="00000000" w:rsidP="005B7D15">
      <w:pPr>
        <w:spacing w:line="360" w:lineRule="auto"/>
        <w:jc w:val="both"/>
        <w:rPr>
          <w:rFonts w:ascii="Arial" w:hAnsi="Arial" w:cs="Arial"/>
        </w:rPr>
      </w:pPr>
      <w:r w:rsidRPr="005B7D15">
        <w:rPr>
          <w:rFonts w:ascii="Arial" w:hAnsi="Arial" w:cs="Arial"/>
          <w:b/>
          <w:bCs/>
        </w:rPr>
        <w:t>Table 5: SWOT Analysis of Shell plc</w:t>
      </w:r>
    </w:p>
    <w:tbl>
      <w:tblPr>
        <w:tblStyle w:val="TableGrid"/>
        <w:tblW w:w="9360" w:type="dxa"/>
        <w:tblLook w:val="0000" w:firstRow="0" w:lastRow="0" w:firstColumn="0" w:lastColumn="0" w:noHBand="0" w:noVBand="0"/>
      </w:tblPr>
      <w:tblGrid>
        <w:gridCol w:w="4680"/>
        <w:gridCol w:w="4680"/>
      </w:tblGrid>
      <w:tr w:rsidR="00104E25" w:rsidRPr="005B7D15" w14:paraId="245EAFF7" w14:textId="77777777" w:rsidTr="00104E25">
        <w:tc>
          <w:tcPr>
            <w:tcW w:w="4680" w:type="dxa"/>
          </w:tcPr>
          <w:p w14:paraId="53D03337" w14:textId="502249EC" w:rsidR="00104E25" w:rsidRPr="005B7D15" w:rsidRDefault="00104E25" w:rsidP="005B7D15">
            <w:pPr>
              <w:spacing w:line="360" w:lineRule="auto"/>
              <w:jc w:val="both"/>
              <w:rPr>
                <w:rFonts w:ascii="Arial" w:hAnsi="Arial" w:cs="Arial"/>
              </w:rPr>
            </w:pPr>
            <w:r w:rsidRPr="005B7D15">
              <w:rPr>
                <w:rFonts w:ascii="Arial" w:hAnsi="Arial" w:cs="Arial"/>
                <w:sz w:val="22"/>
                <w:szCs w:val="22"/>
              </w:rPr>
              <w:t>Strengths</w:t>
            </w:r>
          </w:p>
        </w:tc>
        <w:tc>
          <w:tcPr>
            <w:tcW w:w="4680" w:type="dxa"/>
          </w:tcPr>
          <w:p w14:paraId="5969D97D" w14:textId="77777777" w:rsidR="00104E25" w:rsidRPr="005B7D15" w:rsidRDefault="00104E25" w:rsidP="005B7D15">
            <w:pPr>
              <w:spacing w:line="360" w:lineRule="auto"/>
              <w:jc w:val="both"/>
              <w:rPr>
                <w:rFonts w:ascii="Arial" w:hAnsi="Arial" w:cs="Arial"/>
              </w:rPr>
            </w:pPr>
            <w:r w:rsidRPr="005B7D15">
              <w:rPr>
                <w:rFonts w:ascii="Arial" w:hAnsi="Arial" w:cs="Arial"/>
                <w:sz w:val="22"/>
                <w:szCs w:val="22"/>
              </w:rPr>
              <w:t>Weaknesses</w:t>
            </w:r>
          </w:p>
          <w:p w14:paraId="75499ED1" w14:textId="77777777" w:rsidR="00104E25" w:rsidRPr="005B7D15" w:rsidRDefault="00104E25" w:rsidP="005B7D15">
            <w:pPr>
              <w:spacing w:line="360" w:lineRule="auto"/>
              <w:jc w:val="both"/>
              <w:rPr>
                <w:rFonts w:ascii="Arial" w:hAnsi="Arial" w:cs="Arial"/>
                <w:sz w:val="22"/>
                <w:szCs w:val="22"/>
              </w:rPr>
            </w:pPr>
          </w:p>
        </w:tc>
      </w:tr>
      <w:tr w:rsidR="00104E25" w:rsidRPr="005B7D15" w14:paraId="127E5785" w14:textId="77777777" w:rsidTr="00104E25">
        <w:tc>
          <w:tcPr>
            <w:tcW w:w="4680" w:type="dxa"/>
          </w:tcPr>
          <w:p w14:paraId="34B6C493" w14:textId="5A6ABF9F"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Global LNG leadership and proprietary trading platform</w:t>
            </w:r>
          </w:p>
          <w:p w14:paraId="62A016E4" w14:textId="605061FB"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Strong balance sheet; free cash flow yield ~8.5%</w:t>
            </w:r>
          </w:p>
          <w:p w14:paraId="329B05DA" w14:textId="096592AE"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Globally recognised Shell/Pecten brand</w:t>
            </w:r>
          </w:p>
          <w:p w14:paraId="003C5643" w14:textId="7A25956E"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Extensive retail mobility network (47,000+ sites)</w:t>
            </w:r>
          </w:p>
          <w:p w14:paraId="25C6088E" w14:textId="620ABF82"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First-mover position in CCS and SAF</w:t>
            </w:r>
          </w:p>
        </w:tc>
        <w:tc>
          <w:tcPr>
            <w:tcW w:w="4680" w:type="dxa"/>
          </w:tcPr>
          <w:p w14:paraId="59E1F0C5" w14:textId="215E585A"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Heavy exposure to fossil-fuel commodity price cycles</w:t>
            </w:r>
          </w:p>
          <w:p w14:paraId="4BDE9852" w14:textId="6353FBB5"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Lower P/E multiple than US peers (valuation gap)</w:t>
            </w:r>
          </w:p>
          <w:p w14:paraId="35866B10" w14:textId="72DBEE0C"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 xml:space="preserve">Lingering reputational issues (Niger Delta, </w:t>
            </w:r>
            <w:proofErr w:type="spellStart"/>
            <w:r w:rsidRPr="005B7D15">
              <w:rPr>
                <w:rFonts w:ascii="Arial" w:hAnsi="Arial" w:cs="Arial"/>
                <w:sz w:val="22"/>
                <w:szCs w:val="22"/>
              </w:rPr>
              <w:t>Milieudefensie</w:t>
            </w:r>
            <w:proofErr w:type="spellEnd"/>
            <w:r w:rsidRPr="005B7D15">
              <w:rPr>
                <w:rFonts w:ascii="Arial" w:hAnsi="Arial" w:cs="Arial"/>
                <w:sz w:val="22"/>
                <w:szCs w:val="22"/>
              </w:rPr>
              <w:t>)</w:t>
            </w:r>
          </w:p>
          <w:p w14:paraId="00C62686" w14:textId="31173AFA"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Change-fatigue and executive-turnover risk post-restructuring</w:t>
            </w:r>
          </w:p>
          <w:p w14:paraId="4CC090C3" w14:textId="43EE5B26" w:rsidR="00E85304" w:rsidRPr="005B7D15" w:rsidRDefault="00000000" w:rsidP="005B7D15">
            <w:pPr>
              <w:pStyle w:val="ListParagraph"/>
              <w:numPr>
                <w:ilvl w:val="0"/>
                <w:numId w:val="8"/>
              </w:numPr>
              <w:spacing w:line="360" w:lineRule="auto"/>
              <w:jc w:val="both"/>
              <w:rPr>
                <w:rFonts w:ascii="Arial" w:hAnsi="Arial" w:cs="Arial"/>
              </w:rPr>
            </w:pPr>
            <w:r w:rsidRPr="005B7D15">
              <w:rPr>
                <w:rFonts w:ascii="Arial" w:hAnsi="Arial" w:cs="Arial"/>
                <w:sz w:val="22"/>
                <w:szCs w:val="22"/>
              </w:rPr>
              <w:t>Under-invested in pure renewable-electricity generation</w:t>
            </w:r>
          </w:p>
        </w:tc>
      </w:tr>
      <w:tr w:rsidR="00104E25" w:rsidRPr="005B7D15" w14:paraId="1E1F94A4" w14:textId="77777777" w:rsidTr="00104E25">
        <w:tc>
          <w:tcPr>
            <w:tcW w:w="4680" w:type="dxa"/>
          </w:tcPr>
          <w:p w14:paraId="65271341" w14:textId="77777777" w:rsidR="00104E25" w:rsidRPr="005B7D15" w:rsidRDefault="00104E25" w:rsidP="005B7D15">
            <w:pPr>
              <w:spacing w:line="360" w:lineRule="auto"/>
              <w:jc w:val="both"/>
              <w:rPr>
                <w:rFonts w:ascii="Arial" w:hAnsi="Arial" w:cs="Arial"/>
              </w:rPr>
            </w:pPr>
            <w:r w:rsidRPr="005B7D15">
              <w:rPr>
                <w:rFonts w:ascii="Arial" w:hAnsi="Arial" w:cs="Arial"/>
                <w:sz w:val="22"/>
                <w:szCs w:val="22"/>
              </w:rPr>
              <w:lastRenderedPageBreak/>
              <w:t>Opportunities</w:t>
            </w:r>
          </w:p>
          <w:p w14:paraId="0D5D3C1F" w14:textId="77777777" w:rsidR="00104E25" w:rsidRPr="005B7D15" w:rsidRDefault="00104E25" w:rsidP="005B7D15">
            <w:pPr>
              <w:spacing w:line="360" w:lineRule="auto"/>
              <w:jc w:val="both"/>
              <w:rPr>
                <w:rFonts w:ascii="Arial" w:hAnsi="Arial" w:cs="Arial"/>
                <w:sz w:val="22"/>
                <w:szCs w:val="22"/>
              </w:rPr>
            </w:pPr>
          </w:p>
        </w:tc>
        <w:tc>
          <w:tcPr>
            <w:tcW w:w="4680" w:type="dxa"/>
          </w:tcPr>
          <w:p w14:paraId="4026E628" w14:textId="77777777" w:rsidR="00104E25" w:rsidRPr="005B7D15" w:rsidRDefault="00104E25" w:rsidP="005B7D15">
            <w:pPr>
              <w:spacing w:line="360" w:lineRule="auto"/>
              <w:jc w:val="both"/>
              <w:rPr>
                <w:rFonts w:ascii="Arial" w:hAnsi="Arial" w:cs="Arial"/>
              </w:rPr>
            </w:pPr>
            <w:r w:rsidRPr="005B7D15">
              <w:rPr>
                <w:rFonts w:ascii="Arial" w:hAnsi="Arial" w:cs="Arial"/>
                <w:sz w:val="22"/>
                <w:szCs w:val="22"/>
              </w:rPr>
              <w:t>Threats</w:t>
            </w:r>
          </w:p>
          <w:p w14:paraId="4CD8396B" w14:textId="77777777" w:rsidR="00104E25" w:rsidRPr="005B7D15" w:rsidRDefault="00104E25" w:rsidP="005B7D15">
            <w:pPr>
              <w:spacing w:line="360" w:lineRule="auto"/>
              <w:jc w:val="both"/>
              <w:rPr>
                <w:rFonts w:ascii="Arial" w:hAnsi="Arial" w:cs="Arial"/>
                <w:sz w:val="22"/>
                <w:szCs w:val="22"/>
              </w:rPr>
            </w:pPr>
          </w:p>
        </w:tc>
      </w:tr>
      <w:tr w:rsidR="00104E25" w:rsidRPr="005B7D15" w14:paraId="6D9A2633" w14:textId="77777777" w:rsidTr="00104E25">
        <w:tc>
          <w:tcPr>
            <w:tcW w:w="4680" w:type="dxa"/>
          </w:tcPr>
          <w:p w14:paraId="0278A800" w14:textId="72C6FE86"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Growing global LNG demand (4-5% CAGR through 2030)</w:t>
            </w:r>
          </w:p>
          <w:p w14:paraId="69D1B40E" w14:textId="69392A06"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Carbon Capture-as-a-Service markets (Northern Lights, Polaris)</w:t>
            </w:r>
          </w:p>
          <w:p w14:paraId="2CF575CD" w14:textId="2372D457"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Hydrogen and Sustainable Aviation Fuel mandates in EU/UK</w:t>
            </w:r>
          </w:p>
          <w:p w14:paraId="5FB4F57D" w14:textId="118241FF"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EV-charging network build-out via Shell Recharge</w:t>
            </w:r>
          </w:p>
          <w:p w14:paraId="3C3AA935" w14:textId="74B647E2"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Possible strategic acquisition of BP's assets</w:t>
            </w:r>
          </w:p>
        </w:tc>
        <w:tc>
          <w:tcPr>
            <w:tcW w:w="4680" w:type="dxa"/>
          </w:tcPr>
          <w:p w14:paraId="5D2EECD9" w14:textId="77777777" w:rsidR="00104E25" w:rsidRPr="005B7D15" w:rsidRDefault="00000000" w:rsidP="005B7D15">
            <w:pPr>
              <w:pStyle w:val="ListParagraph"/>
              <w:numPr>
                <w:ilvl w:val="0"/>
                <w:numId w:val="9"/>
              </w:numPr>
              <w:spacing w:line="360" w:lineRule="auto"/>
              <w:jc w:val="both"/>
              <w:rPr>
                <w:rFonts w:ascii="Arial" w:hAnsi="Arial" w:cs="Arial"/>
                <w:sz w:val="22"/>
                <w:szCs w:val="22"/>
              </w:rPr>
            </w:pPr>
            <w:r w:rsidRPr="005B7D15">
              <w:rPr>
                <w:rFonts w:ascii="Arial" w:hAnsi="Arial" w:cs="Arial"/>
                <w:sz w:val="22"/>
                <w:szCs w:val="22"/>
              </w:rPr>
              <w:t>Accelerated substitution via electrification</w:t>
            </w:r>
          </w:p>
          <w:p w14:paraId="61DF6E26" w14:textId="09B76F21"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Climate litigation and regulation (CSRD, SEC Climate)</w:t>
            </w:r>
          </w:p>
          <w:p w14:paraId="5391914E" w14:textId="1C4C6042"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Volatile oil and gas prices from geopolitical shocks</w:t>
            </w:r>
          </w:p>
          <w:p w14:paraId="12802D96" w14:textId="08A86267"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Activist investor and NGO pressure on transition pace</w:t>
            </w:r>
          </w:p>
          <w:p w14:paraId="5A619B92" w14:textId="5A254454" w:rsidR="00E85304" w:rsidRPr="005B7D15" w:rsidRDefault="00000000" w:rsidP="005B7D15">
            <w:pPr>
              <w:pStyle w:val="ListParagraph"/>
              <w:numPr>
                <w:ilvl w:val="0"/>
                <w:numId w:val="9"/>
              </w:numPr>
              <w:spacing w:line="360" w:lineRule="auto"/>
              <w:jc w:val="both"/>
              <w:rPr>
                <w:rFonts w:ascii="Arial" w:hAnsi="Arial" w:cs="Arial"/>
              </w:rPr>
            </w:pPr>
            <w:r w:rsidRPr="005B7D15">
              <w:rPr>
                <w:rFonts w:ascii="Arial" w:hAnsi="Arial" w:cs="Arial"/>
                <w:sz w:val="22"/>
                <w:szCs w:val="22"/>
              </w:rPr>
              <w:t>US peers widening valuation and growth gap</w:t>
            </w:r>
          </w:p>
        </w:tc>
      </w:tr>
    </w:tbl>
    <w:p w14:paraId="4DB85D86" w14:textId="77777777" w:rsidR="00E85304" w:rsidRPr="005B7D15" w:rsidRDefault="00E85304" w:rsidP="005B7D15">
      <w:pPr>
        <w:spacing w:line="360" w:lineRule="auto"/>
        <w:jc w:val="both"/>
        <w:rPr>
          <w:rFonts w:ascii="Arial" w:hAnsi="Arial" w:cs="Arial"/>
        </w:rPr>
      </w:pPr>
    </w:p>
    <w:p w14:paraId="34E8C635"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1.6.2 BCG Matrix — Portfolio Positioning</w:t>
      </w:r>
    </w:p>
    <w:p w14:paraId="6108A1A4" w14:textId="77777777" w:rsidR="00E85304" w:rsidRPr="005B7D15" w:rsidRDefault="00000000" w:rsidP="005B7D15">
      <w:pPr>
        <w:spacing w:line="360" w:lineRule="auto"/>
        <w:jc w:val="both"/>
        <w:rPr>
          <w:rFonts w:ascii="Arial" w:hAnsi="Arial" w:cs="Arial"/>
        </w:rPr>
      </w:pPr>
      <w:r w:rsidRPr="005B7D15">
        <w:rPr>
          <w:rFonts w:ascii="Arial" w:hAnsi="Arial" w:cs="Arial"/>
        </w:rPr>
        <w:t>Applying the BCG Growth-Share Matrix (Henderson, 1970) to Shell's business units clarifies the portfolio dynamics. Integrated Gas (LNG) is a Star — high market growth (4–5% p.a. through 2030) and high relative market share as the world's largest independent LNG trader. Upstream oil is a Cash Cow — mature market growth but high market share and strong cash generation. Chemicals and Products is also a Cash Cow, though with periodic cyclicality. Marketing (retail mobility) is transitioning from Cash Cow to Question Mark as electrification disrupts liquid-fuel demand. Renewables and Energy Solutions is a Question Mark — high market growth but low relative market share, and still loss-making in aggregate. There are currently no clear Dogs after the 2023–2024 divestment programme.</w:t>
      </w:r>
    </w:p>
    <w:p w14:paraId="232DE7DF" w14:textId="77777777" w:rsidR="00E85304" w:rsidRPr="005B7D15" w:rsidRDefault="00000000" w:rsidP="005B7D15">
      <w:pPr>
        <w:spacing w:line="360" w:lineRule="auto"/>
        <w:jc w:val="both"/>
        <w:rPr>
          <w:rFonts w:ascii="Arial" w:hAnsi="Arial" w:cs="Arial"/>
        </w:rPr>
      </w:pPr>
      <w:r w:rsidRPr="005B7D15">
        <w:rPr>
          <w:rFonts w:ascii="Arial" w:hAnsi="Arial" w:cs="Arial"/>
        </w:rPr>
        <w:t>The strategic implication from BCG is that Shell should: (</w:t>
      </w:r>
      <w:proofErr w:type="spellStart"/>
      <w:r w:rsidRPr="005B7D15">
        <w:rPr>
          <w:rFonts w:ascii="Arial" w:hAnsi="Arial" w:cs="Arial"/>
        </w:rPr>
        <w:t>i</w:t>
      </w:r>
      <w:proofErr w:type="spellEnd"/>
      <w:r w:rsidRPr="005B7D15">
        <w:rPr>
          <w:rFonts w:ascii="Arial" w:hAnsi="Arial" w:cs="Arial"/>
        </w:rPr>
        <w:t>) harvest Cash Cows to fund Stars, (ii) invest selectively in Renewables Question Marks where a defensible position is achievable (hydrogen, CCS, SAF), and (iii) accept divestment of Question Marks where competitive advantage looks unachievable (e.g. earlier exits from solar and residential retail power).</w:t>
      </w:r>
    </w:p>
    <w:p w14:paraId="332520F1" w14:textId="77777777" w:rsidR="00E85304" w:rsidRPr="005B7D15" w:rsidRDefault="00000000" w:rsidP="005B7D15">
      <w:pPr>
        <w:pStyle w:val="Heading2"/>
        <w:spacing w:before="0" w:after="0" w:line="360" w:lineRule="auto"/>
        <w:jc w:val="both"/>
        <w:rPr>
          <w:rFonts w:ascii="Arial" w:hAnsi="Arial" w:cs="Arial"/>
        </w:rPr>
      </w:pPr>
      <w:r w:rsidRPr="005B7D15">
        <w:rPr>
          <w:rFonts w:ascii="Arial" w:hAnsi="Arial" w:cs="Arial"/>
        </w:rPr>
        <w:t>1.6.3 Recommendations</w:t>
      </w:r>
    </w:p>
    <w:p w14:paraId="326D899B" w14:textId="77777777" w:rsidR="00E85304" w:rsidRPr="005B7D15" w:rsidRDefault="00000000" w:rsidP="005B7D15">
      <w:pPr>
        <w:spacing w:line="360" w:lineRule="auto"/>
        <w:jc w:val="both"/>
        <w:rPr>
          <w:rFonts w:ascii="Arial" w:hAnsi="Arial" w:cs="Arial"/>
        </w:rPr>
      </w:pPr>
      <w:r w:rsidRPr="005B7D15">
        <w:rPr>
          <w:rFonts w:ascii="Arial" w:hAnsi="Arial" w:cs="Arial"/>
        </w:rPr>
        <w:t>Five recommendations follow from the analysis, each justified by the preceding frameworks.</w:t>
      </w:r>
    </w:p>
    <w:p w14:paraId="2F44C0CC" w14:textId="1C7DF3C2" w:rsidR="00E85304" w:rsidRPr="005B7D15" w:rsidRDefault="00000000" w:rsidP="005B7D15">
      <w:pPr>
        <w:spacing w:line="360" w:lineRule="auto"/>
        <w:jc w:val="both"/>
        <w:rPr>
          <w:rFonts w:ascii="Arial" w:hAnsi="Arial" w:cs="Arial"/>
        </w:rPr>
      </w:pPr>
      <w:r w:rsidRPr="005B7D15">
        <w:rPr>
          <w:rFonts w:ascii="Arial" w:hAnsi="Arial" w:cs="Arial"/>
        </w:rPr>
        <w:t xml:space="preserve">First, double down on LNG leadership. Shell should pursue additional equity stakes in low-cost liquefaction projects (Qatar's North Field expansion, Papua LNG, Ruwais </w:t>
      </w:r>
      <w:r w:rsidRPr="005B7D15">
        <w:rPr>
          <w:rFonts w:ascii="Arial" w:hAnsi="Arial" w:cs="Arial"/>
        </w:rPr>
        <w:lastRenderedPageBreak/>
        <w:t>LNG) to consolidate its first-mover advantage. Target: lift equity LNG production from 65 MTPA to 85 MTPA by 2030. Rationale: LNG is the only Star in the BCG portfolio</w:t>
      </w:r>
      <w:r w:rsidR="005E5FE6" w:rsidRPr="005B7D15">
        <w:rPr>
          <w:rFonts w:ascii="Arial" w:hAnsi="Arial" w:cs="Arial"/>
        </w:rPr>
        <w:t>,</w:t>
      </w:r>
      <w:r w:rsidRPr="005B7D15">
        <w:rPr>
          <w:rFonts w:ascii="Arial" w:hAnsi="Arial" w:cs="Arial"/>
        </w:rPr>
        <w:t xml:space="preserve"> and its economics are supported by structural coal-to-gas switching and Asian industrial demand growth.</w:t>
      </w:r>
    </w:p>
    <w:p w14:paraId="7BA52281" w14:textId="77777777" w:rsidR="00E85304" w:rsidRPr="005B7D15" w:rsidRDefault="00000000" w:rsidP="005B7D15">
      <w:pPr>
        <w:spacing w:line="360" w:lineRule="auto"/>
        <w:jc w:val="both"/>
        <w:rPr>
          <w:rFonts w:ascii="Arial" w:hAnsi="Arial" w:cs="Arial"/>
        </w:rPr>
      </w:pPr>
      <w:r w:rsidRPr="005B7D15">
        <w:rPr>
          <w:rFonts w:ascii="Arial" w:hAnsi="Arial" w:cs="Arial"/>
        </w:rPr>
        <w:t>Second, scale CCS as a standalone service business. The Polaris, Northern Lights and Porthos projects should be combined into a distinct commercial unit — "Shell Carbon Services" — that sells CO2 storage to third-party industrial emitters. Target: contract 10 million tonnes p.a. of external CO2 storage by 2030. Rationale: CCS is currently a cost centre for Shell; turning it into a revenue centre monetises subsurface IP and reinforces a credible transition narrative.</w:t>
      </w:r>
    </w:p>
    <w:p w14:paraId="0929AB3F" w14:textId="77777777" w:rsidR="00E85304" w:rsidRPr="005B7D15" w:rsidRDefault="00000000" w:rsidP="005B7D15">
      <w:pPr>
        <w:spacing w:line="360" w:lineRule="auto"/>
        <w:jc w:val="both"/>
        <w:rPr>
          <w:rFonts w:ascii="Arial" w:hAnsi="Arial" w:cs="Arial"/>
        </w:rPr>
      </w:pPr>
      <w:r w:rsidRPr="005B7D15">
        <w:rPr>
          <w:rFonts w:ascii="Arial" w:hAnsi="Arial" w:cs="Arial"/>
        </w:rPr>
        <w:t>Third, close the valuation gap through disciplined capital allocation. Maintain CAPEX at US$20–22bn, deliver the US$5–7bn structural cost programme by 2028, and return 40–50% of operating cash flow to shareholders. Rationale: ExxonMobil's P/E premium is not explained by better assets but by greater investor confidence in capital discipline.</w:t>
      </w:r>
    </w:p>
    <w:p w14:paraId="1E9B5772" w14:textId="7CB19508" w:rsidR="00E85304" w:rsidRPr="005B7D15" w:rsidRDefault="00000000" w:rsidP="005B7D15">
      <w:pPr>
        <w:spacing w:line="360" w:lineRule="auto"/>
        <w:jc w:val="both"/>
        <w:rPr>
          <w:rFonts w:ascii="Arial" w:hAnsi="Arial" w:cs="Arial"/>
        </w:rPr>
      </w:pPr>
      <w:r w:rsidRPr="005B7D15">
        <w:rPr>
          <w:rFonts w:ascii="Arial" w:hAnsi="Arial" w:cs="Arial"/>
        </w:rPr>
        <w:t>Fourth, accelerate digital transformation as a cross-cutting capability. Deploy AI, digital twins</w:t>
      </w:r>
      <w:r w:rsidR="005E5FE6" w:rsidRPr="005B7D15">
        <w:rPr>
          <w:rFonts w:ascii="Arial" w:hAnsi="Arial" w:cs="Arial"/>
        </w:rPr>
        <w:t>,</w:t>
      </w:r>
      <w:r w:rsidRPr="005B7D15">
        <w:rPr>
          <w:rFonts w:ascii="Arial" w:hAnsi="Arial" w:cs="Arial"/>
        </w:rPr>
        <w:t xml:space="preserve"> and satellite-based methane detection across upstream assets; expand the Shell </w:t>
      </w:r>
      <w:proofErr w:type="spellStart"/>
      <w:r w:rsidRPr="005B7D15">
        <w:rPr>
          <w:rFonts w:ascii="Arial" w:hAnsi="Arial" w:cs="Arial"/>
        </w:rPr>
        <w:t>GameChanger</w:t>
      </w:r>
      <w:proofErr w:type="spellEnd"/>
      <w:r w:rsidRPr="005B7D15">
        <w:rPr>
          <w:rFonts w:ascii="Arial" w:hAnsi="Arial" w:cs="Arial"/>
        </w:rPr>
        <w:t xml:space="preserve"> open-innovation platform. Rationale: VRIO analysis identified technological know-how as currently a Temporary Advantage; digital is where sustained advantage can be rebuilt.</w:t>
      </w:r>
    </w:p>
    <w:p w14:paraId="487675CC" w14:textId="77777777" w:rsidR="00E85304" w:rsidRPr="005B7D15" w:rsidRDefault="00000000" w:rsidP="005B7D15">
      <w:pPr>
        <w:spacing w:line="360" w:lineRule="auto"/>
        <w:jc w:val="both"/>
        <w:rPr>
          <w:rFonts w:ascii="Arial" w:hAnsi="Arial" w:cs="Arial"/>
        </w:rPr>
      </w:pPr>
      <w:r w:rsidRPr="005B7D15">
        <w:rPr>
          <w:rFonts w:ascii="Arial" w:hAnsi="Arial" w:cs="Arial"/>
        </w:rPr>
        <w:t>Fifth, tighten ESG disclosure to regain transition credibility. Adopt TPT (Transition Plan Taskforce) aligned disclosures, publish annual Scope 3 progress with clear milestone accountability, and bring forward the next CSRD-aligned sustainability statement. Rationale: 2024–2025 softening of targets has damaged trust with European institutional investors; regained credibility is essential to the "European Transitioner" identity at the heart of Shell's long-term value proposition.</w:t>
      </w:r>
    </w:p>
    <w:p w14:paraId="35FA0178" w14:textId="430D9C93" w:rsidR="005E5FE6" w:rsidRPr="005B7D15" w:rsidRDefault="005E5FE6" w:rsidP="005B7D15">
      <w:pPr>
        <w:pStyle w:val="Heading1"/>
        <w:spacing w:before="0" w:after="0" w:line="360" w:lineRule="auto"/>
        <w:jc w:val="both"/>
        <w:rPr>
          <w:rFonts w:ascii="Arial" w:hAnsi="Arial" w:cs="Arial"/>
        </w:rPr>
      </w:pPr>
      <w:r w:rsidRPr="005B7D15">
        <w:rPr>
          <w:rFonts w:ascii="Arial" w:hAnsi="Arial" w:cs="Arial"/>
        </w:rPr>
        <w:t xml:space="preserve">Conclusion  </w:t>
      </w:r>
    </w:p>
    <w:p w14:paraId="2CDB34C2"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In conclusion, Shell plc operates within a highly complex and rapidly evolving global energy environment, characterised by the coexistence of strong hydrocarbon demand and intensifying pressure for decarbonisation. The analysis demonstrates that Shell’s strategic position is underpinned by significant strengths, particularly its global leadership in liquefied natural gas (LNG) and its sophisticated trading capabilities, both of which provide sustained competitive advantages. These core capabilities enable </w:t>
      </w:r>
      <w:r w:rsidRPr="005B7D15">
        <w:rPr>
          <w:rFonts w:ascii="Arial" w:hAnsi="Arial" w:cs="Arial"/>
        </w:rPr>
        <w:lastRenderedPageBreak/>
        <w:t>the company to generate strong cash flows, supporting shareholder returns while funding selective investments in low-carbon initiatives.</w:t>
      </w:r>
    </w:p>
    <w:p w14:paraId="7083B052" w14:textId="77777777" w:rsidR="00EA0205" w:rsidRPr="005B7D15" w:rsidRDefault="00EA0205" w:rsidP="005B7D15">
      <w:pPr>
        <w:spacing w:line="360" w:lineRule="auto"/>
        <w:jc w:val="both"/>
        <w:rPr>
          <w:rFonts w:ascii="Arial" w:hAnsi="Arial" w:cs="Arial"/>
        </w:rPr>
      </w:pPr>
      <w:r w:rsidRPr="005B7D15">
        <w:rPr>
          <w:rFonts w:ascii="Arial" w:hAnsi="Arial" w:cs="Arial"/>
        </w:rPr>
        <w:t>However, the findings also highlight several critical challenges. Shell faces increasing substitution threats from renewable energy and electrification, alongside mounting regulatory, legal, and reputational pressures related to climate change. The company’s cautious and financially disciplined approach to the energy transition, while appealing to investors, has raised concerns regarding the pace and credibility of its sustainability commitments. This tension between short-term financial performance and long-term environmental responsibility remains a defining feature of Shell’s strategic dilemma.</w:t>
      </w:r>
    </w:p>
    <w:p w14:paraId="07101C53" w14:textId="77777777" w:rsidR="00EA0205" w:rsidRPr="005B7D15" w:rsidRDefault="00EA0205" w:rsidP="005B7D15">
      <w:pPr>
        <w:spacing w:line="360" w:lineRule="auto"/>
        <w:jc w:val="both"/>
        <w:rPr>
          <w:rFonts w:ascii="Arial" w:hAnsi="Arial" w:cs="Arial"/>
        </w:rPr>
      </w:pPr>
      <w:r w:rsidRPr="005B7D15">
        <w:rPr>
          <w:rFonts w:ascii="Arial" w:hAnsi="Arial" w:cs="Arial"/>
        </w:rPr>
        <w:t>The application of strategic frameworks such as PESTEL, Porter’s Five Forces, and VRIO reveals that Shell must carefully navigate a dual-speed environment. Its traditional oil and gas operations remain essential for value creation, yet future competitiveness will depend on its ability to scale emerging opportunities in areas such as carbon capture, hydrogen, and low-carbon fuels. The Balanced Scorecard further indicates the need for stronger forward-looking indicators, particularly in capability development and innovation.</w:t>
      </w:r>
    </w:p>
    <w:p w14:paraId="0391F498" w14:textId="101B4A3D" w:rsidR="00E85304" w:rsidRPr="005B7D15" w:rsidRDefault="00EA0205" w:rsidP="005B7D15">
      <w:pPr>
        <w:spacing w:line="360" w:lineRule="auto"/>
        <w:jc w:val="both"/>
        <w:rPr>
          <w:rFonts w:ascii="Arial" w:hAnsi="Arial" w:cs="Arial"/>
        </w:rPr>
      </w:pPr>
      <w:r w:rsidRPr="005B7D15">
        <w:rPr>
          <w:rFonts w:ascii="Arial" w:hAnsi="Arial" w:cs="Arial"/>
        </w:rPr>
        <w:t>Ultimately, Shell’s long-term success will depend on maintaining capital discipline while accelerating credible transition pathways. The company’s ability to integrate profitability with sustainability, rebuild stakeholder trust, and adapt its business model to shifting energy demand will determine whether it can sustain its competitive position in the global energy transition era.</w:t>
      </w:r>
      <w:r w:rsidR="00000000" w:rsidRPr="005B7D15">
        <w:rPr>
          <w:rFonts w:ascii="Arial" w:hAnsi="Arial" w:cs="Arial"/>
        </w:rPr>
        <w:br w:type="page"/>
      </w:r>
    </w:p>
    <w:p w14:paraId="11612AC3" w14:textId="2C64DC67" w:rsidR="00E85304" w:rsidRPr="005B7D15" w:rsidRDefault="00000000" w:rsidP="005B7D15">
      <w:pPr>
        <w:pStyle w:val="Heading1"/>
        <w:spacing w:before="0" w:after="0" w:line="360" w:lineRule="auto"/>
        <w:jc w:val="both"/>
        <w:rPr>
          <w:rFonts w:ascii="Arial" w:hAnsi="Arial" w:cs="Arial"/>
        </w:rPr>
      </w:pPr>
      <w:r w:rsidRPr="005B7D15">
        <w:rPr>
          <w:rFonts w:ascii="Arial" w:hAnsi="Arial" w:cs="Arial"/>
        </w:rPr>
        <w:lastRenderedPageBreak/>
        <w:t xml:space="preserve">Section 2: Reflective Account — Gibbs' Reflective Cycle </w:t>
      </w:r>
    </w:p>
    <w:p w14:paraId="57B22F83" w14:textId="77777777" w:rsidR="00E85304" w:rsidRDefault="00000000" w:rsidP="005B7D15">
      <w:pPr>
        <w:spacing w:line="360" w:lineRule="auto"/>
        <w:jc w:val="both"/>
        <w:rPr>
          <w:rFonts w:ascii="Arial" w:hAnsi="Arial" w:cs="Arial"/>
        </w:rPr>
      </w:pPr>
      <w:r w:rsidRPr="005B7D15">
        <w:rPr>
          <w:rFonts w:ascii="Arial" w:hAnsi="Arial" w:cs="Arial"/>
        </w:rPr>
        <w:t>Gibbs' (1988) reflective cycle — Description, Feelings, Evaluation, Analysis, Conclusion, Action Plan — was used to reflect on my experience preparing this strategic analysis of Shell plc. I selected Gibbs over Kolb because, as Jasper (2013) observes, Gibbs is particularly useful when a researcher is navigating emotionally charged material, and the ethics of Big Oil during a climate crisis is emotionally charged in a way that purely commercial strategy work is not.</w:t>
      </w:r>
    </w:p>
    <w:p w14:paraId="6573BF18" w14:textId="77777777" w:rsidR="00F84ECF" w:rsidRPr="005B7D15" w:rsidRDefault="00F84ECF" w:rsidP="005B7D15">
      <w:pPr>
        <w:spacing w:line="360" w:lineRule="auto"/>
        <w:jc w:val="both"/>
        <w:rPr>
          <w:rFonts w:ascii="Arial" w:hAnsi="Arial" w:cs="Arial"/>
        </w:rPr>
      </w:pPr>
    </w:p>
    <w:p w14:paraId="5B2B10E6" w14:textId="67E08516" w:rsidR="00FB3BB8" w:rsidRPr="00F84ECF" w:rsidRDefault="00FB3BB8" w:rsidP="009E15A8">
      <w:pPr>
        <w:spacing w:line="360" w:lineRule="auto"/>
        <w:jc w:val="center"/>
        <w:rPr>
          <w:rFonts w:ascii="Arial" w:hAnsi="Arial" w:cs="Arial"/>
          <w:i/>
          <w:iCs/>
        </w:rPr>
      </w:pPr>
      <w:r w:rsidRPr="005B7D15">
        <w:rPr>
          <w:rFonts w:ascii="Arial" w:hAnsi="Arial" w:cs="Arial"/>
          <w:noProof/>
        </w:rPr>
        <w:drawing>
          <wp:anchor distT="0" distB="0" distL="114300" distR="114300" simplePos="0" relativeHeight="251658240" behindDoc="0" locked="0" layoutInCell="1" allowOverlap="1" wp14:anchorId="012113B4" wp14:editId="1D4A08D1">
            <wp:simplePos x="914400" y="2838450"/>
            <wp:positionH relativeFrom="column">
              <wp:align>left</wp:align>
            </wp:positionH>
            <wp:positionV relativeFrom="paragraph">
              <wp:align>top</wp:align>
            </wp:positionV>
            <wp:extent cx="2784132" cy="2354580"/>
            <wp:effectExtent l="0" t="0" r="0" b="7620"/>
            <wp:wrapSquare wrapText="bothSides"/>
            <wp:docPr id="327214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4132" cy="2354580"/>
                    </a:xfrm>
                    <a:prstGeom prst="rect">
                      <a:avLst/>
                    </a:prstGeom>
                    <a:noFill/>
                  </pic:spPr>
                </pic:pic>
              </a:graphicData>
            </a:graphic>
          </wp:anchor>
        </w:drawing>
      </w:r>
      <w:r w:rsidR="005B7D15" w:rsidRPr="00F84ECF">
        <w:rPr>
          <w:rFonts w:ascii="Arial" w:hAnsi="Arial" w:cs="Arial"/>
          <w:i/>
          <w:iCs/>
        </w:rPr>
        <w:br w:type="textWrapping" w:clear="all"/>
      </w:r>
    </w:p>
    <w:p w14:paraId="37757302" w14:textId="0C159E4C" w:rsidR="00FB3BB8" w:rsidRPr="00F84ECF" w:rsidRDefault="00FB3BB8" w:rsidP="009E15A8">
      <w:pPr>
        <w:spacing w:line="360" w:lineRule="auto"/>
        <w:jc w:val="center"/>
        <w:rPr>
          <w:rFonts w:ascii="Arial" w:hAnsi="Arial" w:cs="Arial"/>
          <w:i/>
          <w:iCs/>
        </w:rPr>
      </w:pPr>
      <w:r w:rsidRPr="00F84ECF">
        <w:rPr>
          <w:rFonts w:ascii="Arial" w:hAnsi="Arial" w:cs="Arial"/>
          <w:i/>
          <w:iCs/>
        </w:rPr>
        <w:t xml:space="preserve">Figure- 1.1 - </w:t>
      </w:r>
      <w:r w:rsidRPr="00F84ECF">
        <w:rPr>
          <w:rFonts w:ascii="Arial" w:hAnsi="Arial" w:cs="Arial"/>
          <w:i/>
          <w:iCs/>
        </w:rPr>
        <w:t>Gibbs' (1988) reflective cycle</w:t>
      </w:r>
    </w:p>
    <w:p w14:paraId="50A734BA" w14:textId="77777777" w:rsidR="00FB3BB8" w:rsidRPr="005B7D15" w:rsidRDefault="00FB3BB8" w:rsidP="005B7D15">
      <w:pPr>
        <w:spacing w:line="360" w:lineRule="auto"/>
        <w:jc w:val="both"/>
        <w:rPr>
          <w:rFonts w:ascii="Arial" w:hAnsi="Arial" w:cs="Arial"/>
        </w:rPr>
      </w:pPr>
    </w:p>
    <w:p w14:paraId="69D5A907" w14:textId="77777777" w:rsidR="00E85304" w:rsidRPr="005B7D15" w:rsidRDefault="00000000" w:rsidP="005B7D15">
      <w:pPr>
        <w:pStyle w:val="Heading3"/>
        <w:spacing w:before="0" w:after="0" w:line="360" w:lineRule="auto"/>
        <w:jc w:val="both"/>
        <w:rPr>
          <w:rFonts w:ascii="Arial" w:hAnsi="Arial" w:cs="Arial"/>
        </w:rPr>
      </w:pPr>
      <w:r w:rsidRPr="005B7D15">
        <w:rPr>
          <w:rFonts w:ascii="Arial" w:hAnsi="Arial" w:cs="Arial"/>
        </w:rPr>
        <w:t>Description</w:t>
      </w:r>
    </w:p>
    <w:p w14:paraId="44C255B9" w14:textId="77777777" w:rsidR="00E85304" w:rsidRPr="005B7D15" w:rsidRDefault="00000000" w:rsidP="005B7D15">
      <w:pPr>
        <w:spacing w:line="360" w:lineRule="auto"/>
        <w:jc w:val="both"/>
        <w:rPr>
          <w:rFonts w:ascii="Arial" w:hAnsi="Arial" w:cs="Arial"/>
        </w:rPr>
      </w:pPr>
      <w:r w:rsidRPr="005B7D15">
        <w:rPr>
          <w:rFonts w:ascii="Arial" w:hAnsi="Arial" w:cs="Arial"/>
        </w:rPr>
        <w:t>The task required a 4,000-word strategic analysis of a self-selected organisation, applying PESTEL, VRIO, Porter's Five Forces, the Balanced Scorecard, Ansoff's Matrix, BCG and SWOT, followed by a 1,000-word reflective account. I selected Shell plc because of its size, strategic complexity, and the intense public debate about Big Oil's future. Over approximately six weeks, I reviewed annual reports, ESG disclosures, analyst notes, investor-day transcripts, peer company data and academic strategy literature, then built the analysis section by section.</w:t>
      </w:r>
    </w:p>
    <w:p w14:paraId="6E5F6E6D" w14:textId="77777777" w:rsidR="00E85304" w:rsidRPr="005B7D15" w:rsidRDefault="00000000" w:rsidP="005B7D15">
      <w:pPr>
        <w:pStyle w:val="Heading3"/>
        <w:spacing w:before="0" w:after="0" w:line="360" w:lineRule="auto"/>
        <w:jc w:val="both"/>
        <w:rPr>
          <w:rFonts w:ascii="Arial" w:hAnsi="Arial" w:cs="Arial"/>
        </w:rPr>
      </w:pPr>
      <w:r w:rsidRPr="005B7D15">
        <w:rPr>
          <w:rFonts w:ascii="Arial" w:hAnsi="Arial" w:cs="Arial"/>
        </w:rPr>
        <w:t>Feelings</w:t>
      </w:r>
    </w:p>
    <w:p w14:paraId="5E1C2BBB"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At the outset I felt intellectually energised but morally uncertain. Shell is a company many of my </w:t>
      </w:r>
      <w:proofErr w:type="gramStart"/>
      <w:r w:rsidRPr="005B7D15">
        <w:rPr>
          <w:rFonts w:ascii="Arial" w:hAnsi="Arial" w:cs="Arial"/>
        </w:rPr>
        <w:t>peers</w:t>
      </w:r>
      <w:proofErr w:type="gramEnd"/>
      <w:r w:rsidRPr="005B7D15">
        <w:rPr>
          <w:rFonts w:ascii="Arial" w:hAnsi="Arial" w:cs="Arial"/>
        </w:rPr>
        <w:t xml:space="preserve"> view as part of the climate problem rather than part of the solution. Writing objectively therefore felt uncomfortable — I worried that "analysing" Shell's pragmatic strategy might read as endorsing it. Midway through the VRIO and Balanced </w:t>
      </w:r>
      <w:r w:rsidRPr="005B7D15">
        <w:rPr>
          <w:rFonts w:ascii="Arial" w:hAnsi="Arial" w:cs="Arial"/>
        </w:rPr>
        <w:lastRenderedPageBreak/>
        <w:t>Scorecard sections I became more absorbed in the technical depth of the work, and the moral discomfort eased. By the end, I felt something closer to professional satisfaction, tempered by the realisation that strategic-management tools can produce lucid answers to the wrong questions if applied without ethical attention — a point made powerfully by Mintzberg et al. (2009).</w:t>
      </w:r>
    </w:p>
    <w:p w14:paraId="79C68091" w14:textId="77777777" w:rsidR="00E85304" w:rsidRPr="005B7D15" w:rsidRDefault="00000000" w:rsidP="005B7D15">
      <w:pPr>
        <w:pStyle w:val="Heading3"/>
        <w:spacing w:before="0" w:after="0" w:line="360" w:lineRule="auto"/>
        <w:jc w:val="both"/>
        <w:rPr>
          <w:rFonts w:ascii="Arial" w:hAnsi="Arial" w:cs="Arial"/>
        </w:rPr>
      </w:pPr>
      <w:r w:rsidRPr="005B7D15">
        <w:rPr>
          <w:rFonts w:ascii="Arial" w:hAnsi="Arial" w:cs="Arial"/>
        </w:rPr>
        <w:t>Evaluation</w:t>
      </w:r>
    </w:p>
    <w:p w14:paraId="4F3F407F" w14:textId="77777777" w:rsidR="00E85304" w:rsidRPr="005B7D15" w:rsidRDefault="00000000" w:rsidP="005B7D15">
      <w:pPr>
        <w:spacing w:line="360" w:lineRule="auto"/>
        <w:jc w:val="both"/>
        <w:rPr>
          <w:rFonts w:ascii="Arial" w:hAnsi="Arial" w:cs="Arial"/>
        </w:rPr>
      </w:pPr>
      <w:r w:rsidRPr="005B7D15">
        <w:rPr>
          <w:rFonts w:ascii="Arial" w:hAnsi="Arial" w:cs="Arial"/>
        </w:rPr>
        <w:t>What went well was the integration of multiple frameworks. Rather than treating PESTEL, VRIO, Five Forces and BSC as separate analyses that happen to be in the same document, I tried to make each framework's findings feed the next, so that the PESTEL produced the inputs for the SWOT threats, and the VRIO produced the inputs for the SWOT strengths. This internally coherent structure is what Johnson, Whittington and Scholes (2020) call "strategic synthesis", and I think my report improved noticeably once I noticed the joined-up logic.</w:t>
      </w:r>
    </w:p>
    <w:p w14:paraId="489A31DC" w14:textId="77777777" w:rsidR="00E85304" w:rsidRPr="005B7D15" w:rsidRDefault="00000000" w:rsidP="005B7D15">
      <w:pPr>
        <w:spacing w:line="360" w:lineRule="auto"/>
        <w:jc w:val="both"/>
        <w:rPr>
          <w:rFonts w:ascii="Arial" w:hAnsi="Arial" w:cs="Arial"/>
        </w:rPr>
      </w:pPr>
      <w:r w:rsidRPr="005B7D15">
        <w:rPr>
          <w:rFonts w:ascii="Arial" w:hAnsi="Arial" w:cs="Arial"/>
        </w:rPr>
        <w:t>What went less well was time allocation. I spent disproportionate time on the PESTEL and internal-analysis sections and had to compress the Balanced Scorecard and Recommendations — the very sections where original evaluation is most valued at Level 7. A related weakness was over-reliance on secondary market-research summaries (Mordor Intelligence, Pestel-analysis.com, Swotandpestle.com). While these are useful triangulation sources, they are not primary and can echo each other's framings. I addressed this partially by cross-checking key figures against Shell's own Energy Transition Strategy 2024 and 2024 Annual Report, but the lesson is to prioritise primary disclosures earlier in my research process.</w:t>
      </w:r>
    </w:p>
    <w:p w14:paraId="5E77AA13" w14:textId="77777777" w:rsidR="00E85304" w:rsidRPr="005B7D15" w:rsidRDefault="00000000" w:rsidP="005B7D15">
      <w:pPr>
        <w:pStyle w:val="Heading3"/>
        <w:spacing w:before="0" w:after="0" w:line="360" w:lineRule="auto"/>
        <w:jc w:val="both"/>
        <w:rPr>
          <w:rFonts w:ascii="Arial" w:hAnsi="Arial" w:cs="Arial"/>
        </w:rPr>
      </w:pPr>
      <w:r w:rsidRPr="005B7D15">
        <w:rPr>
          <w:rFonts w:ascii="Arial" w:hAnsi="Arial" w:cs="Arial"/>
        </w:rPr>
        <w:t>Analysis</w:t>
      </w:r>
    </w:p>
    <w:p w14:paraId="2FC47CFC" w14:textId="77777777" w:rsidR="00E85304" w:rsidRPr="005B7D15" w:rsidRDefault="00000000" w:rsidP="005B7D15">
      <w:pPr>
        <w:spacing w:line="360" w:lineRule="auto"/>
        <w:jc w:val="both"/>
        <w:rPr>
          <w:rFonts w:ascii="Arial" w:hAnsi="Arial" w:cs="Arial"/>
        </w:rPr>
      </w:pPr>
      <w:r w:rsidRPr="005B7D15">
        <w:rPr>
          <w:rFonts w:ascii="Arial" w:hAnsi="Arial" w:cs="Arial"/>
        </w:rPr>
        <w:t>Two deeper lessons emerged. First, strategic management at the supermajor level is less about choosing "what to do" and more about sequencing — which cash-generating parts of the portfolio fund which new capabilities, and over what timeframe. This resembles Markides' (1999) conception of strategy-as-portfolio, where the unit of analysis is a cluster of bets rather than a single grand plan. Shell's explicit decision to cap low-carbon CAPEX below 10% of the total is a sequencing choice, not a values choice, and viewing it as such helped me write more dispassionately about it.</w:t>
      </w:r>
    </w:p>
    <w:p w14:paraId="1FFBA079" w14:textId="77777777" w:rsidR="00E85304" w:rsidRPr="005B7D15" w:rsidRDefault="00000000" w:rsidP="005B7D15">
      <w:pPr>
        <w:spacing w:line="360" w:lineRule="auto"/>
        <w:jc w:val="both"/>
        <w:rPr>
          <w:rFonts w:ascii="Arial" w:hAnsi="Arial" w:cs="Arial"/>
        </w:rPr>
      </w:pPr>
      <w:r w:rsidRPr="005B7D15">
        <w:rPr>
          <w:rFonts w:ascii="Arial" w:hAnsi="Arial" w:cs="Arial"/>
        </w:rPr>
        <w:t xml:space="preserve">Second, I learned that frameworks are lenses, not answers. Applying VRIO told me that Shell's LNG portfolio is a sustained competitive advantage — but it said nothing about whether that advantage will still be valuable in a net-zero world by 2050. The </w:t>
      </w:r>
      <w:r w:rsidRPr="005B7D15">
        <w:rPr>
          <w:rFonts w:ascii="Arial" w:hAnsi="Arial" w:cs="Arial"/>
        </w:rPr>
        <w:lastRenderedPageBreak/>
        <w:t>framework has no time-horizon unless the analyst imposes one. Prahalad and Ramaswamy's (2004) concept of "co-creating the future" with stakeholders is a more forward-looking complement to VRIO that I will weave into future strategic work.</w:t>
      </w:r>
    </w:p>
    <w:p w14:paraId="1347FC08" w14:textId="77777777" w:rsidR="00E85304" w:rsidRPr="005B7D15" w:rsidRDefault="00000000" w:rsidP="005B7D15">
      <w:pPr>
        <w:spacing w:line="360" w:lineRule="auto"/>
        <w:jc w:val="both"/>
        <w:rPr>
          <w:rFonts w:ascii="Arial" w:hAnsi="Arial" w:cs="Arial"/>
        </w:rPr>
      </w:pPr>
      <w:r w:rsidRPr="005B7D15">
        <w:rPr>
          <w:rFonts w:ascii="Arial" w:hAnsi="Arial" w:cs="Arial"/>
        </w:rPr>
        <w:t>A challenge I had not anticipated was ethical reasoning inside a strategy report. I initially treated the CSR section as a compliance-style summary. After peer discussion in my study group, I rewrote it to engage more critically with the credibility gap between Shell's net-zero commitments and its revised 2024–2025 targets. This was uncomfortable but produced a better analysis and aligns with Bowen's (2013) call for business ethics to be integral to strategic analysis rather than added at the end.</w:t>
      </w:r>
    </w:p>
    <w:p w14:paraId="4B9C699D" w14:textId="77777777" w:rsidR="00E85304" w:rsidRPr="005B7D15" w:rsidRDefault="00000000" w:rsidP="005B7D15">
      <w:pPr>
        <w:pStyle w:val="Heading3"/>
        <w:spacing w:before="0" w:after="0" w:line="360" w:lineRule="auto"/>
        <w:jc w:val="both"/>
        <w:rPr>
          <w:rFonts w:ascii="Arial" w:hAnsi="Arial" w:cs="Arial"/>
        </w:rPr>
      </w:pPr>
      <w:r w:rsidRPr="005B7D15">
        <w:rPr>
          <w:rFonts w:ascii="Arial" w:hAnsi="Arial" w:cs="Arial"/>
        </w:rPr>
        <w:t>Conclusion</w:t>
      </w:r>
    </w:p>
    <w:p w14:paraId="4A8C9A67" w14:textId="77777777" w:rsidR="00E85304" w:rsidRPr="005B7D15" w:rsidRDefault="00000000" w:rsidP="005B7D15">
      <w:pPr>
        <w:spacing w:line="360" w:lineRule="auto"/>
        <w:jc w:val="both"/>
        <w:rPr>
          <w:rFonts w:ascii="Arial" w:hAnsi="Arial" w:cs="Arial"/>
        </w:rPr>
      </w:pPr>
      <w:r w:rsidRPr="005B7D15">
        <w:rPr>
          <w:rFonts w:ascii="Arial" w:hAnsi="Arial" w:cs="Arial"/>
        </w:rPr>
        <w:t>I conclude that I can now apply a suite of strategic-management frameworks with reasonable technical competence, but that the harder skill — and the one I need to continue developing — is selective critical judgement: knowing which framework to trust most in a given situation, which inputs to challenge, and when to depart from a framework's default framing altogether. I also concluded that primary sources, peer debate, and deliberate ethical reasoning produce stronger strategic analyses than framework application alone.</w:t>
      </w:r>
    </w:p>
    <w:p w14:paraId="0F0C509D" w14:textId="77777777" w:rsidR="00E85304" w:rsidRPr="005B7D15" w:rsidRDefault="00000000" w:rsidP="005B7D15">
      <w:pPr>
        <w:pStyle w:val="Heading3"/>
        <w:spacing w:before="0" w:after="0" w:line="360" w:lineRule="auto"/>
        <w:jc w:val="both"/>
        <w:rPr>
          <w:rFonts w:ascii="Arial" w:hAnsi="Arial" w:cs="Arial"/>
        </w:rPr>
      </w:pPr>
      <w:r w:rsidRPr="005B7D15">
        <w:rPr>
          <w:rFonts w:ascii="Arial" w:hAnsi="Arial" w:cs="Arial"/>
        </w:rPr>
        <w:t>Action Plan</w:t>
      </w:r>
    </w:p>
    <w:p w14:paraId="667D5FCA" w14:textId="77777777" w:rsidR="00E85304" w:rsidRPr="005B7D15" w:rsidRDefault="00000000" w:rsidP="005B7D15">
      <w:pPr>
        <w:spacing w:line="360" w:lineRule="auto"/>
        <w:jc w:val="both"/>
        <w:rPr>
          <w:rFonts w:ascii="Arial" w:hAnsi="Arial" w:cs="Arial"/>
        </w:rPr>
      </w:pPr>
      <w:r w:rsidRPr="005B7D15">
        <w:rPr>
          <w:rFonts w:ascii="Arial" w:hAnsi="Arial" w:cs="Arial"/>
        </w:rPr>
        <w:t>For my next strategic assignment I will (a) build an annotated bibliography that tiers sources into primary/secondary/tertiary before starting to write, (b) allocate fixed word budgets to each section to prevent over-investment in early sections, (c) incorporate an explicit ethical stakeholder-map (Freeman, 1984) in every strategy document from the first draft, (d) schedule a peer-critique checkpoint at the 60% draft stage rather than the 90% stage, and (e) keep a running reflective journal throughout the assignment so that insights do not have to be retrospectively reconstructed at the end.</w:t>
      </w:r>
    </w:p>
    <w:p w14:paraId="72D0B088" w14:textId="77777777" w:rsidR="00E85304" w:rsidRPr="005B7D15" w:rsidRDefault="00000000" w:rsidP="005B7D15">
      <w:pPr>
        <w:spacing w:line="360" w:lineRule="auto"/>
        <w:rPr>
          <w:rFonts w:ascii="Arial" w:hAnsi="Arial" w:cs="Arial"/>
        </w:rPr>
      </w:pPr>
      <w:r w:rsidRPr="005B7D15">
        <w:rPr>
          <w:rFonts w:ascii="Arial" w:hAnsi="Arial" w:cs="Arial"/>
        </w:rPr>
        <w:br w:type="page"/>
      </w:r>
    </w:p>
    <w:p w14:paraId="4B113DAD" w14:textId="77777777" w:rsidR="00E85304" w:rsidRPr="005B7D15" w:rsidRDefault="00000000" w:rsidP="005B7D15">
      <w:pPr>
        <w:pStyle w:val="Heading1"/>
        <w:spacing w:before="0" w:after="0" w:line="360" w:lineRule="auto"/>
        <w:rPr>
          <w:rFonts w:ascii="Arial" w:hAnsi="Arial" w:cs="Arial"/>
        </w:rPr>
      </w:pPr>
      <w:r w:rsidRPr="005B7D15">
        <w:rPr>
          <w:rFonts w:ascii="Arial" w:hAnsi="Arial" w:cs="Arial"/>
        </w:rPr>
        <w:lastRenderedPageBreak/>
        <w:t>References</w:t>
      </w:r>
    </w:p>
    <w:p w14:paraId="3D45D35E"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Ansoff, H.I. 1957. </w:t>
      </w:r>
      <w:r w:rsidRPr="005B7D15">
        <w:rPr>
          <w:rFonts w:ascii="Arial" w:hAnsi="Arial" w:cs="Arial"/>
          <w:i/>
          <w:iCs/>
        </w:rPr>
        <w:t>Strategies for Diversification</w:t>
      </w:r>
      <w:r w:rsidRPr="005B7D15">
        <w:rPr>
          <w:rFonts w:ascii="Arial" w:hAnsi="Arial" w:cs="Arial"/>
        </w:rPr>
        <w:t>. Harvard Business Review, 35(5), pp. 113–124.</w:t>
      </w:r>
    </w:p>
    <w:p w14:paraId="3ACA94D1"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Barney, J. 1991. </w:t>
      </w:r>
      <w:r w:rsidRPr="005B7D15">
        <w:rPr>
          <w:rFonts w:ascii="Arial" w:hAnsi="Arial" w:cs="Arial"/>
          <w:i/>
          <w:iCs/>
        </w:rPr>
        <w:t>Firm Resources and Sustained Competitive Advantage</w:t>
      </w:r>
      <w:r w:rsidRPr="005B7D15">
        <w:rPr>
          <w:rFonts w:ascii="Arial" w:hAnsi="Arial" w:cs="Arial"/>
        </w:rPr>
        <w:t>. Journal of Management, 17(1), pp. 99–120.</w:t>
      </w:r>
    </w:p>
    <w:p w14:paraId="08BBF457"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Bowen, S.A. 2013. </w:t>
      </w:r>
      <w:r w:rsidRPr="005B7D15">
        <w:rPr>
          <w:rFonts w:ascii="Arial" w:hAnsi="Arial" w:cs="Arial"/>
          <w:i/>
          <w:iCs/>
        </w:rPr>
        <w:t>Using Classic Social Media Cases to Distil Ethical Guidelines for Digital Engagement</w:t>
      </w:r>
      <w:r w:rsidRPr="005B7D15">
        <w:rPr>
          <w:rFonts w:ascii="Arial" w:hAnsi="Arial" w:cs="Arial"/>
        </w:rPr>
        <w:t>.  Journal of Mass Media Ethics, 28(2), pp. 119–133.</w:t>
      </w:r>
    </w:p>
    <w:p w14:paraId="2D995BFD"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Carroll, A.B. 1991. </w:t>
      </w:r>
      <w:r w:rsidRPr="005B7D15">
        <w:rPr>
          <w:rFonts w:ascii="Arial" w:hAnsi="Arial" w:cs="Arial"/>
          <w:i/>
          <w:iCs/>
        </w:rPr>
        <w:t>The Pyramid of Corporate Social Responsibility</w:t>
      </w:r>
      <w:r w:rsidRPr="005B7D15">
        <w:rPr>
          <w:rFonts w:ascii="Arial" w:hAnsi="Arial" w:cs="Arial"/>
        </w:rPr>
        <w:t>. Business Horizons, 34(4), pp. 39–48.</w:t>
      </w:r>
    </w:p>
    <w:p w14:paraId="6F6ABD18" w14:textId="77777777" w:rsidR="00EA0205" w:rsidRPr="005B7D15" w:rsidRDefault="00EA0205" w:rsidP="005B7D15">
      <w:pPr>
        <w:spacing w:line="360" w:lineRule="auto"/>
        <w:jc w:val="both"/>
        <w:rPr>
          <w:rFonts w:ascii="Arial" w:hAnsi="Arial" w:cs="Arial"/>
        </w:rPr>
      </w:pPr>
      <w:proofErr w:type="spellStart"/>
      <w:r w:rsidRPr="005B7D15">
        <w:rPr>
          <w:rFonts w:ascii="Arial" w:hAnsi="Arial" w:cs="Arial"/>
        </w:rPr>
        <w:t>DCFmodeling</w:t>
      </w:r>
      <w:proofErr w:type="spellEnd"/>
      <w:r w:rsidRPr="005B7D15">
        <w:rPr>
          <w:rFonts w:ascii="Arial" w:hAnsi="Arial" w:cs="Arial"/>
        </w:rPr>
        <w:t xml:space="preserve"> .2025. </w:t>
      </w:r>
      <w:r w:rsidRPr="005B7D15">
        <w:rPr>
          <w:rFonts w:ascii="Arial" w:hAnsi="Arial" w:cs="Arial"/>
          <w:i/>
          <w:iCs/>
        </w:rPr>
        <w:t>Shell plc (SHEL): History, Ownership, Mission, How It Works and Makes Money</w:t>
      </w:r>
      <w:r w:rsidRPr="005B7D15">
        <w:rPr>
          <w:rFonts w:ascii="Arial" w:hAnsi="Arial" w:cs="Arial"/>
        </w:rPr>
        <w:t>. Available at: https://www.dcfmodeling.com/blogs/history/shel-history-mission-ownership (Accessed: 12 April 2026).</w:t>
      </w:r>
    </w:p>
    <w:p w14:paraId="6CE526CB"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Financial Content .2026. </w:t>
      </w:r>
      <w:r w:rsidRPr="005B7D15">
        <w:rPr>
          <w:rFonts w:ascii="Arial" w:hAnsi="Arial" w:cs="Arial"/>
          <w:i/>
          <w:iCs/>
        </w:rPr>
        <w:t>Shell plc (SHEL): The Strategic Pivot of a Global Energy Titan</w:t>
      </w:r>
      <w:r w:rsidRPr="005B7D15">
        <w:rPr>
          <w:rFonts w:ascii="Arial" w:hAnsi="Arial" w:cs="Arial"/>
        </w:rPr>
        <w:t>. Available at: https://markets.financialcontent.com (Accessed: 12 April 2026).</w:t>
      </w:r>
    </w:p>
    <w:p w14:paraId="2E0E3B4C"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Freeman, R.E. 1984. </w:t>
      </w:r>
      <w:r w:rsidRPr="005B7D15">
        <w:rPr>
          <w:rFonts w:ascii="Arial" w:hAnsi="Arial" w:cs="Arial"/>
          <w:i/>
          <w:iCs/>
        </w:rPr>
        <w:t>Strategic Management: A Stakeholder Approach</w:t>
      </w:r>
      <w:r w:rsidRPr="005B7D15">
        <w:rPr>
          <w:rFonts w:ascii="Arial" w:hAnsi="Arial" w:cs="Arial"/>
        </w:rPr>
        <w:t>. Boston: Pitman.</w:t>
      </w:r>
    </w:p>
    <w:p w14:paraId="7305AEB2"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Gibbs, G. 1988. </w:t>
      </w:r>
      <w:r w:rsidRPr="005B7D15">
        <w:rPr>
          <w:rFonts w:ascii="Arial" w:hAnsi="Arial" w:cs="Arial"/>
          <w:i/>
          <w:iCs/>
        </w:rPr>
        <w:t>Learning by Doing: A Guide to Teaching and Learning Methods</w:t>
      </w:r>
      <w:r w:rsidRPr="005B7D15">
        <w:rPr>
          <w:rFonts w:ascii="Arial" w:hAnsi="Arial" w:cs="Arial"/>
        </w:rPr>
        <w:t>. Oxford: Further Education Unit, Oxford Polytechnic.</w:t>
      </w:r>
    </w:p>
    <w:p w14:paraId="3C0BC592"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Henderson, B.D. 1970. </w:t>
      </w:r>
      <w:r w:rsidRPr="005B7D15">
        <w:rPr>
          <w:rFonts w:ascii="Arial" w:hAnsi="Arial" w:cs="Arial"/>
          <w:i/>
          <w:iCs/>
        </w:rPr>
        <w:t>The Product Portfolio</w:t>
      </w:r>
      <w:r w:rsidRPr="005B7D15">
        <w:rPr>
          <w:rFonts w:ascii="Arial" w:hAnsi="Arial" w:cs="Arial"/>
        </w:rPr>
        <w:t>. Boston, MA: The Boston Consulting Group.</w:t>
      </w:r>
    </w:p>
    <w:p w14:paraId="2AA742E3"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Jasper, M. 2013. </w:t>
      </w:r>
      <w:r w:rsidRPr="005B7D15">
        <w:rPr>
          <w:rFonts w:ascii="Arial" w:hAnsi="Arial" w:cs="Arial"/>
          <w:i/>
          <w:iCs/>
        </w:rPr>
        <w:t>Beginning Reflective Practice</w:t>
      </w:r>
      <w:r w:rsidRPr="005B7D15">
        <w:rPr>
          <w:rFonts w:ascii="Arial" w:hAnsi="Arial" w:cs="Arial"/>
        </w:rPr>
        <w:t xml:space="preserve">. 2nd </w:t>
      </w:r>
      <w:proofErr w:type="spellStart"/>
      <w:r w:rsidRPr="005B7D15">
        <w:rPr>
          <w:rFonts w:ascii="Arial" w:hAnsi="Arial" w:cs="Arial"/>
        </w:rPr>
        <w:t>edn</w:t>
      </w:r>
      <w:proofErr w:type="spellEnd"/>
      <w:r w:rsidRPr="005B7D15">
        <w:rPr>
          <w:rFonts w:ascii="Arial" w:hAnsi="Arial" w:cs="Arial"/>
        </w:rPr>
        <w:t>. Andover: Cengage Learning.</w:t>
      </w:r>
    </w:p>
    <w:p w14:paraId="6DBDD7ED"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Johnson, G., Whittington, R. and Scholes, K. 2020. </w:t>
      </w:r>
      <w:r w:rsidRPr="005B7D15">
        <w:rPr>
          <w:rFonts w:ascii="Arial" w:hAnsi="Arial" w:cs="Arial"/>
          <w:i/>
          <w:iCs/>
        </w:rPr>
        <w:t>Exploring Strategy: Text and Cases</w:t>
      </w:r>
      <w:r w:rsidRPr="005B7D15">
        <w:rPr>
          <w:rFonts w:ascii="Arial" w:hAnsi="Arial" w:cs="Arial"/>
        </w:rPr>
        <w:t xml:space="preserve">. 12th </w:t>
      </w:r>
      <w:proofErr w:type="spellStart"/>
      <w:r w:rsidRPr="005B7D15">
        <w:rPr>
          <w:rFonts w:ascii="Arial" w:hAnsi="Arial" w:cs="Arial"/>
        </w:rPr>
        <w:t>edn</w:t>
      </w:r>
      <w:proofErr w:type="spellEnd"/>
      <w:r w:rsidRPr="005B7D15">
        <w:rPr>
          <w:rFonts w:ascii="Arial" w:hAnsi="Arial" w:cs="Arial"/>
        </w:rPr>
        <w:t>. Harlow: Pearson.</w:t>
      </w:r>
    </w:p>
    <w:p w14:paraId="27119AA8"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Kaplan, R.S. and Norton, D.P. 1992. </w:t>
      </w:r>
      <w:r w:rsidRPr="005B7D15">
        <w:rPr>
          <w:rFonts w:ascii="Arial" w:hAnsi="Arial" w:cs="Arial"/>
          <w:i/>
          <w:iCs/>
        </w:rPr>
        <w:t>The Balanced Scorecard — Measures That Drive Performance</w:t>
      </w:r>
      <w:r w:rsidRPr="005B7D15">
        <w:rPr>
          <w:rFonts w:ascii="Arial" w:hAnsi="Arial" w:cs="Arial"/>
        </w:rPr>
        <w:t>. Harvard Business Review, 70(1), pp. 71–79.</w:t>
      </w:r>
    </w:p>
    <w:p w14:paraId="6966E6BC"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Kaplan, R.S. and Norton, D.P. 1996. </w:t>
      </w:r>
      <w:r w:rsidRPr="005B7D15">
        <w:rPr>
          <w:rFonts w:ascii="Arial" w:hAnsi="Arial" w:cs="Arial"/>
          <w:i/>
          <w:iCs/>
        </w:rPr>
        <w:t>The Balanced Scorecard: Translating Strategy into Action</w:t>
      </w:r>
      <w:r w:rsidRPr="005B7D15">
        <w:rPr>
          <w:rFonts w:ascii="Arial" w:hAnsi="Arial" w:cs="Arial"/>
        </w:rPr>
        <w:t>. Boston, MA: Harvard Business School Press.</w:t>
      </w:r>
    </w:p>
    <w:p w14:paraId="2BAEB3FB"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Kotter, J.P. 1996. </w:t>
      </w:r>
      <w:r w:rsidRPr="005B7D15">
        <w:rPr>
          <w:rFonts w:ascii="Arial" w:hAnsi="Arial" w:cs="Arial"/>
          <w:i/>
          <w:iCs/>
        </w:rPr>
        <w:t>Leading Change</w:t>
      </w:r>
      <w:r w:rsidRPr="005B7D15">
        <w:rPr>
          <w:rFonts w:ascii="Arial" w:hAnsi="Arial" w:cs="Arial"/>
        </w:rPr>
        <w:t>. Boston, MA: Harvard Business School Press.</w:t>
      </w:r>
    </w:p>
    <w:p w14:paraId="683B7D6C" w14:textId="77777777" w:rsidR="00EA0205" w:rsidRPr="005B7D15" w:rsidRDefault="00EA0205" w:rsidP="005B7D15">
      <w:pPr>
        <w:spacing w:line="360" w:lineRule="auto"/>
        <w:jc w:val="both"/>
        <w:rPr>
          <w:rFonts w:ascii="Arial" w:hAnsi="Arial" w:cs="Arial"/>
        </w:rPr>
      </w:pPr>
      <w:r w:rsidRPr="005B7D15">
        <w:rPr>
          <w:rFonts w:ascii="Arial" w:hAnsi="Arial" w:cs="Arial"/>
        </w:rPr>
        <w:t>Markides, C.C. 1999.</w:t>
      </w:r>
      <w:r w:rsidRPr="005B7D15">
        <w:rPr>
          <w:rFonts w:ascii="Arial" w:hAnsi="Arial" w:cs="Arial"/>
          <w:i/>
          <w:iCs/>
        </w:rPr>
        <w:t>A Dynamic View of Strategy</w:t>
      </w:r>
      <w:r w:rsidRPr="005B7D15">
        <w:rPr>
          <w:rFonts w:ascii="Arial" w:hAnsi="Arial" w:cs="Arial"/>
        </w:rPr>
        <w:t>. MIT Sloan Management Review, 40(3), pp. 55–63.</w:t>
      </w:r>
    </w:p>
    <w:p w14:paraId="4D477EE3"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Mintzberg, H., Ahlstrand, B. and Lampel, J. 2009. </w:t>
      </w:r>
      <w:r w:rsidRPr="005B7D15">
        <w:rPr>
          <w:rFonts w:ascii="Arial" w:hAnsi="Arial" w:cs="Arial"/>
          <w:i/>
          <w:iCs/>
        </w:rPr>
        <w:t>Strategy Safari: The Complete Guide Through the Wilds of Strategic Management</w:t>
      </w:r>
      <w:r w:rsidRPr="005B7D15">
        <w:rPr>
          <w:rFonts w:ascii="Arial" w:hAnsi="Arial" w:cs="Arial"/>
        </w:rPr>
        <w:t xml:space="preserve">. 2nd </w:t>
      </w:r>
      <w:proofErr w:type="spellStart"/>
      <w:r w:rsidRPr="005B7D15">
        <w:rPr>
          <w:rFonts w:ascii="Arial" w:hAnsi="Arial" w:cs="Arial"/>
        </w:rPr>
        <w:t>edn</w:t>
      </w:r>
      <w:proofErr w:type="spellEnd"/>
      <w:r w:rsidRPr="005B7D15">
        <w:rPr>
          <w:rFonts w:ascii="Arial" w:hAnsi="Arial" w:cs="Arial"/>
        </w:rPr>
        <w:t>. Harlow: Pearson.</w:t>
      </w:r>
    </w:p>
    <w:p w14:paraId="4ADB9E76" w14:textId="77777777" w:rsidR="00EA0205" w:rsidRPr="005B7D15" w:rsidRDefault="00EA0205" w:rsidP="005B7D15">
      <w:pPr>
        <w:spacing w:line="360" w:lineRule="auto"/>
        <w:jc w:val="both"/>
        <w:rPr>
          <w:rFonts w:ascii="Arial" w:hAnsi="Arial" w:cs="Arial"/>
        </w:rPr>
      </w:pPr>
      <w:r w:rsidRPr="005B7D15">
        <w:rPr>
          <w:rFonts w:ascii="Arial" w:hAnsi="Arial" w:cs="Arial"/>
        </w:rPr>
        <w:lastRenderedPageBreak/>
        <w:t xml:space="preserve">Pestel-analysis 2025. </w:t>
      </w:r>
      <w:r w:rsidRPr="005B7D15">
        <w:rPr>
          <w:rFonts w:ascii="Arial" w:hAnsi="Arial" w:cs="Arial"/>
          <w:i/>
          <w:iCs/>
        </w:rPr>
        <w:t>Growth Strategy and Future Prospects of Shell Plc</w:t>
      </w:r>
      <w:r w:rsidRPr="005B7D15">
        <w:rPr>
          <w:rFonts w:ascii="Arial" w:hAnsi="Arial" w:cs="Arial"/>
        </w:rPr>
        <w:t>. Available at: https://pestel-analysis.com/blogs/growth-strategy/shell (Accessed: 11 April 2026).</w:t>
      </w:r>
    </w:p>
    <w:p w14:paraId="665AE018" w14:textId="77777777" w:rsidR="00EA0205" w:rsidRPr="005B7D15" w:rsidRDefault="00EA0205" w:rsidP="005B7D15">
      <w:pPr>
        <w:spacing w:line="360" w:lineRule="auto"/>
        <w:jc w:val="both"/>
        <w:rPr>
          <w:rFonts w:ascii="Arial" w:hAnsi="Arial" w:cs="Arial"/>
        </w:rPr>
      </w:pPr>
      <w:r w:rsidRPr="005B7D15">
        <w:rPr>
          <w:rFonts w:ascii="Arial" w:hAnsi="Arial" w:cs="Arial"/>
        </w:rPr>
        <w:t>Porter, M.E. 1979.</w:t>
      </w:r>
      <w:r w:rsidRPr="005B7D15">
        <w:rPr>
          <w:rFonts w:ascii="Arial" w:hAnsi="Arial" w:cs="Arial"/>
          <w:i/>
          <w:iCs/>
        </w:rPr>
        <w:t>How Competitive Forces Shape Strategy</w:t>
      </w:r>
      <w:r w:rsidRPr="005B7D15">
        <w:rPr>
          <w:rFonts w:ascii="Arial" w:hAnsi="Arial" w:cs="Arial"/>
        </w:rPr>
        <w:t>. Harvard Business Review, 57(2), pp. 137–145.</w:t>
      </w:r>
    </w:p>
    <w:p w14:paraId="4753E0A5"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Porter, M.E. 1985. </w:t>
      </w:r>
      <w:r w:rsidRPr="005B7D15">
        <w:rPr>
          <w:rFonts w:ascii="Arial" w:hAnsi="Arial" w:cs="Arial"/>
          <w:i/>
          <w:iCs/>
        </w:rPr>
        <w:t>Competitive Advantage: Creating and Sustaining Superior Performance</w:t>
      </w:r>
      <w:r w:rsidRPr="005B7D15">
        <w:rPr>
          <w:rFonts w:ascii="Arial" w:hAnsi="Arial" w:cs="Arial"/>
        </w:rPr>
        <w:t>. New York: Free Press.</w:t>
      </w:r>
    </w:p>
    <w:p w14:paraId="77DDF14E"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Porter, M.E. and Kramer, M.R. 2011. </w:t>
      </w:r>
      <w:r w:rsidRPr="005B7D15">
        <w:rPr>
          <w:rFonts w:ascii="Arial" w:hAnsi="Arial" w:cs="Arial"/>
          <w:i/>
          <w:iCs/>
        </w:rPr>
        <w:t>Creating Shared Value</w:t>
      </w:r>
      <w:r w:rsidRPr="005B7D15">
        <w:rPr>
          <w:rFonts w:ascii="Arial" w:hAnsi="Arial" w:cs="Arial"/>
        </w:rPr>
        <w:t>. Harvard Business Review, 89(1/2), pp. 62–77.</w:t>
      </w:r>
    </w:p>
    <w:p w14:paraId="187F3599"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Prahalad, C.K. and Ramaswamy, V. 2004. </w:t>
      </w:r>
      <w:r w:rsidRPr="005B7D15">
        <w:rPr>
          <w:rFonts w:ascii="Arial" w:hAnsi="Arial" w:cs="Arial"/>
          <w:i/>
          <w:iCs/>
        </w:rPr>
        <w:t>The Future of Competition: Co-Creating Unique Value with Customers</w:t>
      </w:r>
      <w:r w:rsidRPr="005B7D15">
        <w:rPr>
          <w:rFonts w:ascii="Arial" w:hAnsi="Arial" w:cs="Arial"/>
        </w:rPr>
        <w:t>. Boston, MA: Harvard Business School Press.</w:t>
      </w:r>
    </w:p>
    <w:p w14:paraId="6337F696" w14:textId="77777777" w:rsidR="00EA0205" w:rsidRPr="005B7D15" w:rsidRDefault="00EA0205" w:rsidP="005B7D15">
      <w:pPr>
        <w:spacing w:line="360" w:lineRule="auto"/>
        <w:jc w:val="both"/>
        <w:rPr>
          <w:rFonts w:ascii="Arial" w:hAnsi="Arial" w:cs="Arial"/>
        </w:rPr>
      </w:pPr>
      <w:r w:rsidRPr="005B7D15">
        <w:rPr>
          <w:rFonts w:ascii="Arial" w:hAnsi="Arial" w:cs="Arial"/>
        </w:rPr>
        <w:t>Reuters</w:t>
      </w:r>
      <w:r w:rsidRPr="005B7D15">
        <w:rPr>
          <w:rFonts w:ascii="Arial" w:hAnsi="Arial" w:cs="Arial"/>
        </w:rPr>
        <w:t>.</w:t>
      </w:r>
      <w:r w:rsidRPr="005B7D15">
        <w:rPr>
          <w:rFonts w:ascii="Arial" w:hAnsi="Arial" w:cs="Arial"/>
        </w:rPr>
        <w:t>2024</w:t>
      </w:r>
      <w:r w:rsidRPr="005B7D15">
        <w:rPr>
          <w:rFonts w:ascii="Arial" w:hAnsi="Arial" w:cs="Arial"/>
        </w:rPr>
        <w:t>.</w:t>
      </w:r>
      <w:r w:rsidRPr="005B7D15">
        <w:rPr>
          <w:rFonts w:ascii="Arial" w:hAnsi="Arial" w:cs="Arial"/>
        </w:rPr>
        <w:t xml:space="preserve"> </w:t>
      </w:r>
      <w:r w:rsidRPr="005B7D15">
        <w:rPr>
          <w:rFonts w:ascii="Arial" w:hAnsi="Arial" w:cs="Arial"/>
          <w:i/>
          <w:iCs/>
        </w:rPr>
        <w:t>Global LNG demand seen rising more than 50% by 2040</w:t>
      </w:r>
      <w:r w:rsidRPr="005B7D15">
        <w:rPr>
          <w:rFonts w:ascii="Arial" w:hAnsi="Arial" w:cs="Arial"/>
        </w:rPr>
        <w:t>.</w:t>
      </w:r>
      <w:r w:rsidRPr="005B7D15">
        <w:rPr>
          <w:rFonts w:ascii="Arial" w:hAnsi="Arial" w:cs="Arial"/>
        </w:rPr>
        <w:t xml:space="preserve"> Shell report. Available at: </w:t>
      </w:r>
      <w:hyperlink r:id="rId11" w:history="1">
        <w:r w:rsidRPr="005B7D15">
          <w:rPr>
            <w:rStyle w:val="Hyperlink"/>
            <w:rFonts w:ascii="Arial" w:hAnsi="Arial" w:cs="Arial"/>
          </w:rPr>
          <w:t>https://www.reuters.com/business/energy/global-lng-demand-seen-rising-more-than-50-by-2040-shell-report-2024-02-14/</w:t>
        </w:r>
      </w:hyperlink>
      <w:r w:rsidRPr="005B7D15">
        <w:rPr>
          <w:rFonts w:ascii="Arial" w:hAnsi="Arial" w:cs="Arial"/>
        </w:rPr>
        <w:t xml:space="preserve"> </w:t>
      </w:r>
      <w:r w:rsidRPr="005B7D15">
        <w:rPr>
          <w:rFonts w:ascii="Arial" w:hAnsi="Arial" w:cs="Arial"/>
        </w:rPr>
        <w:t>(Accessed: 1 May 2026).</w:t>
      </w:r>
    </w:p>
    <w:p w14:paraId="74FBC7AF"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Shell plc .2024. </w:t>
      </w:r>
      <w:r w:rsidRPr="005B7D15">
        <w:rPr>
          <w:rFonts w:ascii="Arial" w:hAnsi="Arial" w:cs="Arial"/>
          <w:i/>
          <w:iCs/>
        </w:rPr>
        <w:t>Energy Transition Strategy 2024</w:t>
      </w:r>
      <w:r w:rsidRPr="005B7D15">
        <w:rPr>
          <w:rFonts w:ascii="Arial" w:hAnsi="Arial" w:cs="Arial"/>
        </w:rPr>
        <w:t>. Available at: https://www.shell.com/sustainability/our-climate-target/shell-energy-transition-strategy.html (Accessed: 11 April 2026).</w:t>
      </w:r>
    </w:p>
    <w:p w14:paraId="7A2873B1"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Shell plc .2025. </w:t>
      </w:r>
      <w:r w:rsidRPr="005B7D15">
        <w:rPr>
          <w:rFonts w:ascii="Arial" w:hAnsi="Arial" w:cs="Arial"/>
          <w:i/>
          <w:iCs/>
        </w:rPr>
        <w:t>Annual Report and Accounts 2024</w:t>
      </w:r>
      <w:r w:rsidRPr="005B7D15">
        <w:rPr>
          <w:rFonts w:ascii="Arial" w:hAnsi="Arial" w:cs="Arial"/>
        </w:rPr>
        <w:t>. London: Shell plc.</w:t>
      </w:r>
    </w:p>
    <w:p w14:paraId="7CEB3586" w14:textId="77777777" w:rsidR="00EA0205" w:rsidRPr="005B7D15" w:rsidRDefault="00EA0205" w:rsidP="005B7D15">
      <w:pPr>
        <w:spacing w:line="360" w:lineRule="auto"/>
        <w:jc w:val="both"/>
        <w:rPr>
          <w:rFonts w:ascii="Arial" w:hAnsi="Arial" w:cs="Arial"/>
        </w:rPr>
      </w:pPr>
      <w:proofErr w:type="spellStart"/>
      <w:r w:rsidRPr="005B7D15">
        <w:rPr>
          <w:rFonts w:ascii="Arial" w:hAnsi="Arial" w:cs="Arial"/>
        </w:rPr>
        <w:t>Swotandpestle</w:t>
      </w:r>
      <w:proofErr w:type="spellEnd"/>
      <w:r w:rsidRPr="005B7D15">
        <w:rPr>
          <w:rFonts w:ascii="Arial" w:hAnsi="Arial" w:cs="Arial"/>
        </w:rPr>
        <w:t xml:space="preserve"> .2025. </w:t>
      </w:r>
      <w:r w:rsidRPr="005B7D15">
        <w:rPr>
          <w:rFonts w:ascii="Arial" w:hAnsi="Arial" w:cs="Arial"/>
          <w:i/>
          <w:iCs/>
        </w:rPr>
        <w:t>Shell PLC SWOT and PESTLE Analysis 2025</w:t>
      </w:r>
      <w:r w:rsidRPr="005B7D15">
        <w:rPr>
          <w:rFonts w:ascii="Arial" w:hAnsi="Arial" w:cs="Arial"/>
        </w:rPr>
        <w:t>. Available at: https://swotandpestle.com/product/shellplc-oil-gas-company-analysis-reports-swot-pestle (Accessed: 12 April 2026).</w:t>
      </w:r>
    </w:p>
    <w:p w14:paraId="667148FE" w14:textId="77777777" w:rsidR="00EA0205" w:rsidRPr="005B7D15" w:rsidRDefault="00EA0205" w:rsidP="005B7D15">
      <w:pPr>
        <w:spacing w:line="360" w:lineRule="auto"/>
        <w:jc w:val="both"/>
        <w:rPr>
          <w:rFonts w:ascii="Arial" w:hAnsi="Arial" w:cs="Arial"/>
        </w:rPr>
      </w:pPr>
      <w:r w:rsidRPr="005B7D15">
        <w:rPr>
          <w:rFonts w:ascii="Arial" w:hAnsi="Arial" w:cs="Arial"/>
        </w:rPr>
        <w:t xml:space="preserve">Yahoo Finance / Zacks .2025. </w:t>
      </w:r>
      <w:r w:rsidRPr="005B7D15">
        <w:rPr>
          <w:rFonts w:ascii="Arial" w:hAnsi="Arial" w:cs="Arial"/>
          <w:i/>
          <w:iCs/>
        </w:rPr>
        <w:t>ExxonMobil Surges Ahead in Low-Carbon Push, BP and Shell Retreat</w:t>
      </w:r>
      <w:r w:rsidRPr="005B7D15">
        <w:rPr>
          <w:rFonts w:ascii="Arial" w:hAnsi="Arial" w:cs="Arial"/>
        </w:rPr>
        <w:t>. 29 April. Available at: https://finance.yahoo.com (Accessed: 11 April 2026).</w:t>
      </w:r>
    </w:p>
    <w:p w14:paraId="230A2718" w14:textId="77777777" w:rsidR="00EA0205" w:rsidRPr="005B7D15" w:rsidRDefault="00EA0205" w:rsidP="005B7D15">
      <w:pPr>
        <w:spacing w:line="360" w:lineRule="auto"/>
        <w:jc w:val="both"/>
        <w:rPr>
          <w:rFonts w:ascii="Arial" w:hAnsi="Arial" w:cs="Arial"/>
        </w:rPr>
      </w:pPr>
      <w:proofErr w:type="spellStart"/>
      <w:r w:rsidRPr="005B7D15">
        <w:rPr>
          <w:rFonts w:ascii="Arial" w:hAnsi="Arial" w:cs="Arial"/>
        </w:rPr>
        <w:t>Yelza</w:t>
      </w:r>
      <w:proofErr w:type="spellEnd"/>
      <w:r w:rsidRPr="005B7D15">
        <w:rPr>
          <w:rFonts w:ascii="Arial" w:hAnsi="Arial" w:cs="Arial"/>
        </w:rPr>
        <w:t xml:space="preserve"> 2025.</w:t>
      </w:r>
      <w:r w:rsidRPr="005B7D15">
        <w:rPr>
          <w:rFonts w:ascii="Arial" w:hAnsi="Arial" w:cs="Arial"/>
          <w:i/>
          <w:iCs/>
        </w:rPr>
        <w:t>Shell PLC: History, Key Figures and Stock Performance</w:t>
      </w:r>
      <w:r w:rsidRPr="005B7D15">
        <w:rPr>
          <w:rFonts w:ascii="Arial" w:hAnsi="Arial" w:cs="Arial"/>
        </w:rPr>
        <w:t>. 20 June. Available at: https://yelza.com/research/aex-index/royal-dutch-shell (Accessed: 12 April 2026).</w:t>
      </w:r>
    </w:p>
    <w:sectPr w:rsidR="00EA0205" w:rsidRPr="005B7D15">
      <w:headerReference w:type="default" r:id="rId12"/>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12C06" w14:textId="77777777" w:rsidR="00FF666A" w:rsidRDefault="00FF666A">
      <w:r>
        <w:separator/>
      </w:r>
    </w:p>
  </w:endnote>
  <w:endnote w:type="continuationSeparator" w:id="0">
    <w:p w14:paraId="606878F6" w14:textId="77777777" w:rsidR="00FF666A" w:rsidRDefault="00FF6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77DCE" w14:textId="77777777" w:rsidR="00E85304"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104E25">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104E25">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60CC6" w14:textId="77777777" w:rsidR="00FF666A" w:rsidRDefault="00FF666A">
      <w:r>
        <w:separator/>
      </w:r>
    </w:p>
  </w:footnote>
  <w:footnote w:type="continuationSeparator" w:id="0">
    <w:p w14:paraId="669D3EB6" w14:textId="77777777" w:rsidR="00FF666A" w:rsidRDefault="00FF6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B2D1E" w14:textId="77777777" w:rsidR="00E85304" w:rsidRDefault="00000000">
    <w:pPr>
      <w:jc w:val="right"/>
    </w:pPr>
    <w:r>
      <w:rPr>
        <w:i/>
        <w:iCs/>
        <w:color w:val="808080"/>
        <w:sz w:val="20"/>
        <w:szCs w:val="20"/>
      </w:rPr>
      <w:t>Strategic Analysis of Shell plc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A5453"/>
    <w:multiLevelType w:val="hybridMultilevel"/>
    <w:tmpl w:val="5A5AA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634DF"/>
    <w:multiLevelType w:val="hybridMultilevel"/>
    <w:tmpl w:val="045ECEA6"/>
    <w:lvl w:ilvl="0" w:tplc="3A7C3AE6">
      <w:start w:val="1"/>
      <w:numFmt w:val="bullet"/>
      <w:lvlText w:val="•"/>
      <w:lvlJc w:val="left"/>
      <w:pPr>
        <w:ind w:left="720" w:hanging="360"/>
      </w:pPr>
    </w:lvl>
    <w:lvl w:ilvl="1" w:tplc="E5BE57F8">
      <w:numFmt w:val="decimal"/>
      <w:lvlText w:val=""/>
      <w:lvlJc w:val="left"/>
    </w:lvl>
    <w:lvl w:ilvl="2" w:tplc="4CE08A68">
      <w:numFmt w:val="decimal"/>
      <w:lvlText w:val=""/>
      <w:lvlJc w:val="left"/>
    </w:lvl>
    <w:lvl w:ilvl="3" w:tplc="5D948086">
      <w:numFmt w:val="decimal"/>
      <w:lvlText w:val=""/>
      <w:lvlJc w:val="left"/>
    </w:lvl>
    <w:lvl w:ilvl="4" w:tplc="11D0AFCE">
      <w:numFmt w:val="decimal"/>
      <w:lvlText w:val=""/>
      <w:lvlJc w:val="left"/>
    </w:lvl>
    <w:lvl w:ilvl="5" w:tplc="240E782E">
      <w:numFmt w:val="decimal"/>
      <w:lvlText w:val=""/>
      <w:lvlJc w:val="left"/>
    </w:lvl>
    <w:lvl w:ilvl="6" w:tplc="D96696EC">
      <w:numFmt w:val="decimal"/>
      <w:lvlText w:val=""/>
      <w:lvlJc w:val="left"/>
    </w:lvl>
    <w:lvl w:ilvl="7" w:tplc="7EC4C928">
      <w:numFmt w:val="decimal"/>
      <w:lvlText w:val=""/>
      <w:lvlJc w:val="left"/>
    </w:lvl>
    <w:lvl w:ilvl="8" w:tplc="8D2C3810">
      <w:numFmt w:val="decimal"/>
      <w:lvlText w:val=""/>
      <w:lvlJc w:val="left"/>
    </w:lvl>
  </w:abstractNum>
  <w:abstractNum w:abstractNumId="2" w15:restartNumberingAfterBreak="0">
    <w:nsid w:val="298F1B94"/>
    <w:multiLevelType w:val="hybridMultilevel"/>
    <w:tmpl w:val="6990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64E57"/>
    <w:multiLevelType w:val="hybridMultilevel"/>
    <w:tmpl w:val="93140F34"/>
    <w:lvl w:ilvl="0" w:tplc="0809000F">
      <w:start w:val="1"/>
      <w:numFmt w:val="decimal"/>
      <w:lvlText w:val="%1."/>
      <w:lvlJc w:val="left"/>
      <w:pPr>
        <w:ind w:left="720" w:hanging="360"/>
      </w:pPr>
    </w:lvl>
    <w:lvl w:ilvl="1" w:tplc="C7C8CDCE">
      <w:numFmt w:val="bullet"/>
      <w:lvlText w:val="-"/>
      <w:lvlJc w:val="left"/>
      <w:pPr>
        <w:ind w:left="1440" w:hanging="360"/>
      </w:pPr>
      <w:rPr>
        <w:rFonts w:ascii="Times New Roman" w:eastAsia="Times New Roman" w:hAnsi="Times New Roman" w:cs="Times New Roman" w:hint="default"/>
        <w:b/>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516B67"/>
    <w:multiLevelType w:val="hybridMultilevel"/>
    <w:tmpl w:val="3D2294A0"/>
    <w:lvl w:ilvl="0" w:tplc="1AACA938">
      <w:numFmt w:val="bullet"/>
      <w:lvlText w:val="-"/>
      <w:lvlJc w:val="left"/>
      <w:pPr>
        <w:ind w:left="720" w:hanging="360"/>
      </w:pPr>
      <w:rPr>
        <w:rFonts w:ascii="Times New Roman" w:eastAsia="Times New Roman" w:hAnsi="Times New Roman" w:cs="Times New Roman"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DC310C"/>
    <w:multiLevelType w:val="hybridMultilevel"/>
    <w:tmpl w:val="939C7614"/>
    <w:lvl w:ilvl="0" w:tplc="73A857C4">
      <w:start w:val="1"/>
      <w:numFmt w:val="bullet"/>
      <w:lvlText w:val="●"/>
      <w:lvlJc w:val="left"/>
      <w:pPr>
        <w:ind w:left="720" w:hanging="360"/>
      </w:pPr>
    </w:lvl>
    <w:lvl w:ilvl="1" w:tplc="8250A51E">
      <w:start w:val="1"/>
      <w:numFmt w:val="bullet"/>
      <w:lvlText w:val="○"/>
      <w:lvlJc w:val="left"/>
      <w:pPr>
        <w:ind w:left="1440" w:hanging="360"/>
      </w:pPr>
    </w:lvl>
    <w:lvl w:ilvl="2" w:tplc="DC2E588E">
      <w:start w:val="1"/>
      <w:numFmt w:val="bullet"/>
      <w:lvlText w:val="■"/>
      <w:lvlJc w:val="left"/>
      <w:pPr>
        <w:ind w:left="2160" w:hanging="360"/>
      </w:pPr>
    </w:lvl>
    <w:lvl w:ilvl="3" w:tplc="B88A0A80">
      <w:start w:val="1"/>
      <w:numFmt w:val="bullet"/>
      <w:lvlText w:val="●"/>
      <w:lvlJc w:val="left"/>
      <w:pPr>
        <w:ind w:left="2880" w:hanging="360"/>
      </w:pPr>
    </w:lvl>
    <w:lvl w:ilvl="4" w:tplc="541AEA36">
      <w:start w:val="1"/>
      <w:numFmt w:val="bullet"/>
      <w:lvlText w:val="○"/>
      <w:lvlJc w:val="left"/>
      <w:pPr>
        <w:ind w:left="3600" w:hanging="360"/>
      </w:pPr>
    </w:lvl>
    <w:lvl w:ilvl="5" w:tplc="B4300FDA">
      <w:start w:val="1"/>
      <w:numFmt w:val="bullet"/>
      <w:lvlText w:val="■"/>
      <w:lvlJc w:val="left"/>
      <w:pPr>
        <w:ind w:left="4320" w:hanging="360"/>
      </w:pPr>
    </w:lvl>
    <w:lvl w:ilvl="6" w:tplc="8FE0EDD6">
      <w:start w:val="1"/>
      <w:numFmt w:val="bullet"/>
      <w:lvlText w:val="●"/>
      <w:lvlJc w:val="left"/>
      <w:pPr>
        <w:ind w:left="5040" w:hanging="360"/>
      </w:pPr>
    </w:lvl>
    <w:lvl w:ilvl="7" w:tplc="B87618EC">
      <w:start w:val="1"/>
      <w:numFmt w:val="bullet"/>
      <w:lvlText w:val="●"/>
      <w:lvlJc w:val="left"/>
      <w:pPr>
        <w:ind w:left="5760" w:hanging="360"/>
      </w:pPr>
    </w:lvl>
    <w:lvl w:ilvl="8" w:tplc="6920729A">
      <w:start w:val="1"/>
      <w:numFmt w:val="bullet"/>
      <w:lvlText w:val="●"/>
      <w:lvlJc w:val="left"/>
      <w:pPr>
        <w:ind w:left="6480" w:hanging="360"/>
      </w:pPr>
    </w:lvl>
  </w:abstractNum>
  <w:abstractNum w:abstractNumId="6" w15:restartNumberingAfterBreak="0">
    <w:nsid w:val="58515F7F"/>
    <w:multiLevelType w:val="hybridMultilevel"/>
    <w:tmpl w:val="9D6CCD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F756590"/>
    <w:multiLevelType w:val="hybridMultilevel"/>
    <w:tmpl w:val="FE90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A17632"/>
    <w:multiLevelType w:val="hybridMultilevel"/>
    <w:tmpl w:val="6D98EF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2C5ABB"/>
    <w:multiLevelType w:val="hybridMultilevel"/>
    <w:tmpl w:val="1D800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95856">
    <w:abstractNumId w:val="5"/>
    <w:lvlOverride w:ilvl="0">
      <w:startOverride w:val="1"/>
    </w:lvlOverride>
  </w:num>
  <w:num w:numId="2" w16cid:durableId="1912763647">
    <w:abstractNumId w:val="3"/>
  </w:num>
  <w:num w:numId="3" w16cid:durableId="812254995">
    <w:abstractNumId w:val="4"/>
  </w:num>
  <w:num w:numId="4" w16cid:durableId="450248233">
    <w:abstractNumId w:val="8"/>
  </w:num>
  <w:num w:numId="5" w16cid:durableId="225799384">
    <w:abstractNumId w:val="9"/>
  </w:num>
  <w:num w:numId="6" w16cid:durableId="646596025">
    <w:abstractNumId w:val="0"/>
  </w:num>
  <w:num w:numId="7" w16cid:durableId="594677934">
    <w:abstractNumId w:val="2"/>
  </w:num>
  <w:num w:numId="8" w16cid:durableId="551884343">
    <w:abstractNumId w:val="7"/>
  </w:num>
  <w:num w:numId="9" w16cid:durableId="783342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304"/>
    <w:rsid w:val="00104E25"/>
    <w:rsid w:val="004D7008"/>
    <w:rsid w:val="005B7D15"/>
    <w:rsid w:val="005E5FE6"/>
    <w:rsid w:val="0062024E"/>
    <w:rsid w:val="00913C68"/>
    <w:rsid w:val="009E15A8"/>
    <w:rsid w:val="00B155CB"/>
    <w:rsid w:val="00DB2785"/>
    <w:rsid w:val="00E85304"/>
    <w:rsid w:val="00EA0205"/>
    <w:rsid w:val="00F84ECF"/>
    <w:rsid w:val="00FB3BB8"/>
    <w:rsid w:val="00FF6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C3FF"/>
  <w15:docId w15:val="{EA865177-A901-43CF-9422-FF9430247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2"/>
      <w:szCs w:val="32"/>
    </w:rPr>
  </w:style>
  <w:style w:type="paragraph" w:styleId="Heading2">
    <w:name w:val="heading 2"/>
    <w:uiPriority w:val="9"/>
    <w:unhideWhenUsed/>
    <w:qFormat/>
    <w:pPr>
      <w:spacing w:before="300" w:after="160"/>
      <w:outlineLvl w:val="1"/>
    </w:pPr>
    <w:rPr>
      <w:b/>
      <w:bCs/>
      <w:color w:val="2E5090"/>
      <w:sz w:val="28"/>
      <w:szCs w:val="28"/>
    </w:rPr>
  </w:style>
  <w:style w:type="paragraph" w:styleId="Heading3">
    <w:name w:val="heading 3"/>
    <w:uiPriority w:val="9"/>
    <w:unhideWhenUsed/>
    <w:qFormat/>
    <w:pPr>
      <w:spacing w:before="240" w:after="140"/>
      <w:outlineLvl w:val="2"/>
    </w:pPr>
    <w:rPr>
      <w:b/>
      <w:bCs/>
      <w:i/>
      <w:iCs/>
      <w:color w:val="2E5090"/>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104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2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uters.com/business/energy/global-lng-demand-seen-rising-more-than-50-by-2040-shell-report-2024-02-1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20</Pages>
  <Words>5710</Words>
  <Characters>32553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Assignment 2 - Strategic Management of Shell plc</vt:lpstr>
    </vt:vector>
  </TitlesOfParts>
  <Company/>
  <LinksUpToDate>false</LinksUpToDate>
  <CharactersWithSpaces>38187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 Strategic Management of Shell plc</dc:title>
  <dc:creator>Rezaul Karim</dc:creator>
  <cp:lastModifiedBy>Naima Islam Naju</cp:lastModifiedBy>
  <cp:revision>5</cp:revision>
  <dcterms:created xsi:type="dcterms:W3CDTF">2026-05-01T08:52:00Z</dcterms:created>
  <dcterms:modified xsi:type="dcterms:W3CDTF">2026-05-01T10:04:00Z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9c5f6fca-77c4-476e-9956-1ae4132291f4</vt:lpwstr>
  </property>
</Properties>
</file>